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E4023" w14:textId="77777777" w:rsidR="00485131" w:rsidRPr="00A90756" w:rsidRDefault="00485131" w:rsidP="00485131">
      <w:pPr>
        <w:spacing w:after="0" w:line="240" w:lineRule="auto"/>
        <w:ind w:firstLine="284"/>
        <w:jc w:val="center"/>
        <w:rPr>
          <w:rFonts w:ascii="Garamond" w:hAnsi="Garamond" w:cs="Times New Roman"/>
          <w:b/>
          <w:sz w:val="24"/>
          <w:szCs w:val="24"/>
        </w:rPr>
      </w:pPr>
      <w:r w:rsidRPr="00A90756">
        <w:rPr>
          <w:rFonts w:ascii="Garamond" w:hAnsi="Garamond" w:cs="Times New Roman"/>
          <w:b/>
          <w:sz w:val="24"/>
          <w:szCs w:val="24"/>
        </w:rPr>
        <w:t>LIGJ</w:t>
      </w:r>
    </w:p>
    <w:p w14:paraId="014E4024" w14:textId="77777777" w:rsidR="00485131" w:rsidRPr="00A90756" w:rsidRDefault="00485131" w:rsidP="00485131">
      <w:pPr>
        <w:spacing w:after="0" w:line="240" w:lineRule="auto"/>
        <w:ind w:firstLine="284"/>
        <w:jc w:val="center"/>
        <w:rPr>
          <w:rFonts w:ascii="Garamond" w:hAnsi="Garamond" w:cs="Times New Roman"/>
          <w:b/>
          <w:sz w:val="24"/>
          <w:szCs w:val="24"/>
        </w:rPr>
      </w:pPr>
      <w:r w:rsidRPr="00A90756">
        <w:rPr>
          <w:rFonts w:ascii="Garamond" w:hAnsi="Garamond" w:cs="Times New Roman"/>
          <w:b/>
          <w:sz w:val="24"/>
          <w:szCs w:val="24"/>
        </w:rPr>
        <w:t xml:space="preserve">Nr. 9/2024 </w:t>
      </w:r>
    </w:p>
    <w:p w14:paraId="014E4025"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26" w14:textId="77777777" w:rsidR="00485131" w:rsidRPr="00A90756" w:rsidRDefault="00485131" w:rsidP="00485131">
      <w:pPr>
        <w:spacing w:after="0" w:line="240" w:lineRule="auto"/>
        <w:ind w:firstLine="284"/>
        <w:jc w:val="center"/>
        <w:rPr>
          <w:rFonts w:ascii="Garamond" w:hAnsi="Garamond" w:cs="Times New Roman"/>
          <w:b/>
          <w:bCs/>
          <w:sz w:val="24"/>
          <w:szCs w:val="24"/>
        </w:rPr>
      </w:pPr>
      <w:r w:rsidRPr="00A90756">
        <w:rPr>
          <w:rFonts w:ascii="Garamond" w:hAnsi="Garamond" w:cs="Times New Roman"/>
          <w:b/>
          <w:bCs/>
          <w:sz w:val="24"/>
          <w:szCs w:val="24"/>
        </w:rPr>
        <w:t>PËR RATIFIKIMIN E MARRËVESHJES SË FINANCIMIT NDËRMJET REPUBLIKËS SË SHQIPËRISË, PËRFAQËSUAR NGA KËSHILLI I MINISTRAVE I REPUBLIKËS SË SHQIPËRISË, MALIT TË ZI DHE KOMISIONIT EVROPIAN PËR PROGRAMIN IPA TË BASHKËPUNIMIT NDËRKUFITAR MALI I ZI–SHQIPËRI 2021–2027</w:t>
      </w:r>
    </w:p>
    <w:p w14:paraId="014E4027"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28" w14:textId="77777777" w:rsidR="00485131" w:rsidRPr="00A90756" w:rsidRDefault="00485131" w:rsidP="00485131">
      <w:pPr>
        <w:spacing w:after="0" w:line="240" w:lineRule="auto"/>
        <w:ind w:firstLine="284"/>
        <w:jc w:val="both"/>
        <w:rPr>
          <w:rFonts w:ascii="Garamond" w:hAnsi="Garamond" w:cs="Times New Roman"/>
          <w:bCs/>
          <w:sz w:val="24"/>
          <w:szCs w:val="24"/>
        </w:rPr>
      </w:pPr>
      <w:r w:rsidRPr="00A90756">
        <w:rPr>
          <w:rFonts w:ascii="Garamond" w:hAnsi="Garamond" w:cs="Times New Roman"/>
          <w:bCs/>
          <w:sz w:val="24"/>
          <w:szCs w:val="24"/>
        </w:rPr>
        <w:t xml:space="preserve">Në mbështetje të neneve 78, 83, pika 1, dhe 121 të Kushtetutës, me propozimin e Këshillit të Ministrave, </w:t>
      </w:r>
    </w:p>
    <w:p w14:paraId="014E4029"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2A" w14:textId="77777777" w:rsidR="00485131" w:rsidRPr="00A90756" w:rsidRDefault="00485131" w:rsidP="00485131">
      <w:pPr>
        <w:spacing w:after="0" w:line="240" w:lineRule="auto"/>
        <w:ind w:firstLine="284"/>
        <w:jc w:val="center"/>
        <w:rPr>
          <w:rFonts w:ascii="Garamond" w:hAnsi="Garamond" w:cs="Times New Roman"/>
          <w:bCs/>
          <w:sz w:val="24"/>
          <w:szCs w:val="24"/>
        </w:rPr>
      </w:pPr>
      <w:r w:rsidRPr="00A90756">
        <w:rPr>
          <w:rFonts w:ascii="Garamond" w:hAnsi="Garamond" w:cs="Times New Roman"/>
          <w:bCs/>
          <w:sz w:val="24"/>
          <w:szCs w:val="24"/>
        </w:rPr>
        <w:t>KUVENDI</w:t>
      </w:r>
    </w:p>
    <w:p w14:paraId="014E402B" w14:textId="77777777" w:rsidR="00485131" w:rsidRPr="00A90756" w:rsidRDefault="00485131" w:rsidP="00485131">
      <w:pPr>
        <w:spacing w:after="0" w:line="240" w:lineRule="auto"/>
        <w:ind w:firstLine="284"/>
        <w:jc w:val="center"/>
        <w:rPr>
          <w:rFonts w:ascii="Garamond" w:hAnsi="Garamond" w:cs="Times New Roman"/>
          <w:bCs/>
          <w:sz w:val="24"/>
          <w:szCs w:val="24"/>
        </w:rPr>
      </w:pPr>
      <w:r w:rsidRPr="00A90756">
        <w:rPr>
          <w:rFonts w:ascii="Garamond" w:hAnsi="Garamond" w:cs="Times New Roman"/>
          <w:bCs/>
          <w:sz w:val="24"/>
          <w:szCs w:val="24"/>
        </w:rPr>
        <w:t>I REPUBLIKËS SË SHQIPËRISË</w:t>
      </w:r>
    </w:p>
    <w:p w14:paraId="014E402C" w14:textId="77777777" w:rsidR="00485131" w:rsidRPr="00A90756" w:rsidRDefault="00485131" w:rsidP="00485131">
      <w:pPr>
        <w:spacing w:after="0" w:line="240" w:lineRule="auto"/>
        <w:ind w:firstLine="284"/>
        <w:jc w:val="center"/>
        <w:rPr>
          <w:rFonts w:ascii="Garamond" w:hAnsi="Garamond" w:cs="Times New Roman"/>
          <w:bCs/>
          <w:sz w:val="24"/>
          <w:szCs w:val="24"/>
        </w:rPr>
      </w:pPr>
    </w:p>
    <w:p w14:paraId="014E402D" w14:textId="77777777" w:rsidR="00485131" w:rsidRPr="00A90756" w:rsidRDefault="00485131" w:rsidP="00485131">
      <w:pPr>
        <w:spacing w:after="0" w:line="240" w:lineRule="auto"/>
        <w:ind w:firstLine="284"/>
        <w:jc w:val="center"/>
        <w:rPr>
          <w:rFonts w:ascii="Garamond" w:hAnsi="Garamond" w:cs="Times New Roman"/>
          <w:bCs/>
          <w:sz w:val="24"/>
          <w:szCs w:val="24"/>
        </w:rPr>
      </w:pPr>
      <w:r w:rsidRPr="00A90756">
        <w:rPr>
          <w:rFonts w:ascii="Garamond" w:hAnsi="Garamond" w:cs="Times New Roman"/>
          <w:bCs/>
          <w:sz w:val="24"/>
          <w:szCs w:val="24"/>
        </w:rPr>
        <w:t>VENDOSI:</w:t>
      </w:r>
    </w:p>
    <w:p w14:paraId="014E402E" w14:textId="77777777" w:rsidR="00485131" w:rsidRPr="00A90756" w:rsidRDefault="00485131" w:rsidP="00485131">
      <w:pPr>
        <w:spacing w:after="0" w:line="240" w:lineRule="auto"/>
        <w:ind w:firstLine="284"/>
        <w:jc w:val="center"/>
        <w:rPr>
          <w:rFonts w:ascii="Garamond" w:hAnsi="Garamond" w:cs="Times New Roman"/>
          <w:bCs/>
          <w:sz w:val="24"/>
          <w:szCs w:val="24"/>
        </w:rPr>
      </w:pPr>
    </w:p>
    <w:p w14:paraId="014E402F" w14:textId="77777777" w:rsidR="00485131" w:rsidRPr="00A90756" w:rsidRDefault="00485131" w:rsidP="00485131">
      <w:pPr>
        <w:spacing w:after="0" w:line="240" w:lineRule="auto"/>
        <w:ind w:firstLine="284"/>
        <w:jc w:val="center"/>
        <w:rPr>
          <w:rFonts w:ascii="Garamond" w:hAnsi="Garamond" w:cs="Times New Roman"/>
          <w:bCs/>
          <w:sz w:val="24"/>
          <w:szCs w:val="24"/>
        </w:rPr>
      </w:pPr>
      <w:r w:rsidRPr="00A90756">
        <w:rPr>
          <w:rFonts w:ascii="Garamond" w:hAnsi="Garamond" w:cs="Times New Roman"/>
          <w:bCs/>
          <w:sz w:val="24"/>
          <w:szCs w:val="24"/>
        </w:rPr>
        <w:t>Neni 1</w:t>
      </w:r>
    </w:p>
    <w:p w14:paraId="014E4030"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31" w14:textId="77777777" w:rsidR="00485131" w:rsidRPr="00A90756" w:rsidRDefault="00485131" w:rsidP="00485131">
      <w:pPr>
        <w:spacing w:after="0" w:line="240" w:lineRule="auto"/>
        <w:ind w:firstLine="284"/>
        <w:jc w:val="both"/>
        <w:rPr>
          <w:rFonts w:ascii="Garamond" w:hAnsi="Garamond" w:cs="Times New Roman"/>
          <w:bCs/>
          <w:sz w:val="24"/>
          <w:szCs w:val="24"/>
        </w:rPr>
      </w:pPr>
      <w:r w:rsidRPr="00A90756">
        <w:rPr>
          <w:rFonts w:ascii="Garamond" w:hAnsi="Garamond" w:cs="Times New Roman"/>
          <w:bCs/>
          <w:sz w:val="24"/>
          <w:szCs w:val="24"/>
        </w:rPr>
        <w:t>Ratifikohet marrëveshja e financimit ndërmjet Republikës së Shqipërisë, përfaqësuar nga Këshilli i Ministrave i Republikës së Shqipërisë, Malit të Zi dhe Komisionit Evropian për programin IPA të bashkëpunimit ndërkufitar Mali i Zi–Shqipëri 2021–2027, sipas tekstit që i bashkëlidhet këtij ligji.</w:t>
      </w:r>
    </w:p>
    <w:p w14:paraId="014E4032"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33" w14:textId="77777777" w:rsidR="00485131" w:rsidRPr="00A90756" w:rsidRDefault="00485131" w:rsidP="00485131">
      <w:pPr>
        <w:spacing w:after="0" w:line="240" w:lineRule="auto"/>
        <w:ind w:firstLine="284"/>
        <w:jc w:val="center"/>
        <w:rPr>
          <w:rFonts w:ascii="Garamond" w:hAnsi="Garamond" w:cs="Times New Roman"/>
          <w:bCs/>
          <w:sz w:val="24"/>
          <w:szCs w:val="24"/>
        </w:rPr>
      </w:pPr>
      <w:r w:rsidRPr="00A90756">
        <w:rPr>
          <w:rFonts w:ascii="Garamond" w:hAnsi="Garamond" w:cs="Times New Roman"/>
          <w:bCs/>
          <w:sz w:val="24"/>
          <w:szCs w:val="24"/>
        </w:rPr>
        <w:t>Neni 2</w:t>
      </w:r>
    </w:p>
    <w:p w14:paraId="014E4034"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35" w14:textId="77777777" w:rsidR="00485131" w:rsidRPr="00A90756" w:rsidRDefault="00485131" w:rsidP="00485131">
      <w:pPr>
        <w:spacing w:after="0" w:line="240" w:lineRule="auto"/>
        <w:ind w:firstLine="284"/>
        <w:jc w:val="both"/>
        <w:rPr>
          <w:rFonts w:ascii="Garamond" w:hAnsi="Garamond" w:cs="Times New Roman"/>
          <w:bCs/>
          <w:sz w:val="24"/>
          <w:szCs w:val="24"/>
        </w:rPr>
      </w:pPr>
      <w:r w:rsidRPr="00A90756">
        <w:rPr>
          <w:rFonts w:ascii="Garamond" w:hAnsi="Garamond" w:cs="Times New Roman"/>
          <w:bCs/>
          <w:sz w:val="24"/>
          <w:szCs w:val="24"/>
        </w:rPr>
        <w:t>Ky ligj hyn në fuqi 15 ditë pas botimit në Fletoren Zyrtare.</w:t>
      </w:r>
    </w:p>
    <w:p w14:paraId="014E4036"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37" w14:textId="77777777" w:rsidR="00485131" w:rsidRPr="00A90756" w:rsidRDefault="00485131" w:rsidP="00485131">
      <w:pPr>
        <w:spacing w:after="0" w:line="240" w:lineRule="auto"/>
        <w:ind w:firstLine="284"/>
        <w:jc w:val="both"/>
        <w:rPr>
          <w:rFonts w:ascii="Garamond" w:hAnsi="Garamond" w:cs="Times New Roman"/>
          <w:bCs/>
          <w:sz w:val="24"/>
          <w:szCs w:val="24"/>
        </w:rPr>
      </w:pPr>
      <w:r w:rsidRPr="00A90756">
        <w:rPr>
          <w:rFonts w:ascii="Garamond" w:hAnsi="Garamond" w:cs="Times New Roman"/>
          <w:bCs/>
          <w:sz w:val="24"/>
          <w:szCs w:val="24"/>
        </w:rPr>
        <w:t>Miratuar në datën 8.2.2024.</w:t>
      </w:r>
    </w:p>
    <w:p w14:paraId="014E4038" w14:textId="77777777" w:rsidR="00485131" w:rsidRPr="00A90756" w:rsidRDefault="00485131" w:rsidP="00485131">
      <w:pPr>
        <w:spacing w:after="0" w:line="240" w:lineRule="auto"/>
        <w:ind w:firstLine="284"/>
        <w:jc w:val="both"/>
        <w:rPr>
          <w:rFonts w:ascii="Garamond" w:hAnsi="Garamond" w:cs="Times New Roman"/>
          <w:bCs/>
          <w:sz w:val="24"/>
          <w:szCs w:val="24"/>
        </w:rPr>
      </w:pPr>
    </w:p>
    <w:p w14:paraId="014E4039" w14:textId="77777777" w:rsidR="00485131" w:rsidRPr="00A90756" w:rsidRDefault="00485131" w:rsidP="00485131">
      <w:pPr>
        <w:spacing w:after="0" w:line="240" w:lineRule="auto"/>
        <w:ind w:firstLine="284"/>
        <w:jc w:val="both"/>
        <w:rPr>
          <w:rFonts w:ascii="Garamond" w:eastAsia="Times New Roman" w:hAnsi="Garamond" w:cs="Times New Roman"/>
          <w:sz w:val="20"/>
          <w:szCs w:val="20"/>
        </w:rPr>
      </w:pPr>
      <w:r w:rsidRPr="00A90756">
        <w:rPr>
          <w:rFonts w:ascii="Garamond" w:hAnsi="Garamond"/>
          <w:b/>
          <w:sz w:val="24"/>
          <w:szCs w:val="24"/>
        </w:rPr>
        <w:t>Shpallur me dekretin nr. 84, datë 26.2.2024, të Presidentit të Republikës së Shqipërisë, Bajram Begaj.</w:t>
      </w:r>
    </w:p>
    <w:p w14:paraId="014E403A" w14:textId="77777777" w:rsidR="00485131" w:rsidRPr="00A90756" w:rsidRDefault="00485131" w:rsidP="00EC73A8">
      <w:pPr>
        <w:autoSpaceDE w:val="0"/>
        <w:autoSpaceDN w:val="0"/>
        <w:adjustRightInd w:val="0"/>
        <w:spacing w:after="0" w:line="240" w:lineRule="auto"/>
        <w:ind w:firstLine="284"/>
        <w:jc w:val="center"/>
        <w:rPr>
          <w:rFonts w:ascii="Garamond" w:hAnsi="Garamond" w:cs="Times New Roman"/>
          <w:b/>
          <w:bCs/>
          <w:color w:val="000000"/>
          <w:sz w:val="24"/>
          <w:szCs w:val="24"/>
        </w:rPr>
      </w:pPr>
    </w:p>
    <w:p w14:paraId="014E403B" w14:textId="7F77D2A9" w:rsidR="00EC73A8" w:rsidRPr="00A90756" w:rsidRDefault="00EC73A8" w:rsidP="00EC73A8">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MARRËVESHJE FINANCIMI</w:t>
      </w:r>
    </w:p>
    <w:p w14:paraId="32D9A7B7" w14:textId="77777777" w:rsidR="002A1614" w:rsidRPr="00A90756" w:rsidRDefault="002A1614" w:rsidP="00EC73A8">
      <w:pPr>
        <w:autoSpaceDE w:val="0"/>
        <w:autoSpaceDN w:val="0"/>
        <w:adjustRightInd w:val="0"/>
        <w:spacing w:after="0" w:line="240" w:lineRule="auto"/>
        <w:ind w:firstLine="284"/>
        <w:jc w:val="center"/>
        <w:rPr>
          <w:rFonts w:ascii="Garamond" w:hAnsi="Garamond" w:cs="Times New Roman"/>
          <w:b/>
          <w:bCs/>
          <w:color w:val="000000"/>
          <w:sz w:val="24"/>
          <w:szCs w:val="24"/>
        </w:rPr>
      </w:pPr>
    </w:p>
    <w:p w14:paraId="014E403E" w14:textId="6303D6F1" w:rsidR="00EC73A8" w:rsidRPr="00A90756" w:rsidRDefault="00EC73A8" w:rsidP="002A1614">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KUSHTET E VEÇANTA</w:t>
      </w:r>
    </w:p>
    <w:p w14:paraId="2559D5FC" w14:textId="77777777" w:rsidR="002A1614" w:rsidRPr="00A90756" w:rsidRDefault="002A1614" w:rsidP="002A1614">
      <w:pPr>
        <w:autoSpaceDE w:val="0"/>
        <w:autoSpaceDN w:val="0"/>
        <w:adjustRightInd w:val="0"/>
        <w:spacing w:after="0" w:line="240" w:lineRule="auto"/>
        <w:ind w:firstLine="284"/>
        <w:jc w:val="center"/>
        <w:rPr>
          <w:rFonts w:ascii="Garamond" w:hAnsi="Garamond" w:cs="Times New Roman"/>
          <w:bCs/>
          <w:color w:val="000000"/>
          <w:sz w:val="24"/>
          <w:szCs w:val="24"/>
        </w:rPr>
      </w:pPr>
    </w:p>
    <w:p w14:paraId="370270C8" w14:textId="77777777" w:rsidR="0093663C" w:rsidRPr="00A90756" w:rsidRDefault="00EC73A8" w:rsidP="0093663C">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Komisioni Evropian, në vijim referuar si </w:t>
      </w:r>
      <w:r w:rsidR="00AE64AA" w:rsidRPr="00A90756">
        <w:rPr>
          <w:rFonts w:ascii="Garamond" w:hAnsi="Garamond" w:cs="Times New Roman"/>
          <w:color w:val="000000"/>
          <w:sz w:val="24"/>
          <w:szCs w:val="24"/>
        </w:rPr>
        <w:t>“</w:t>
      </w:r>
      <w:r w:rsidRPr="00A90756">
        <w:rPr>
          <w:rFonts w:ascii="Garamond" w:hAnsi="Garamond" w:cs="Times New Roman"/>
          <w:bCs/>
          <w:color w:val="000000"/>
          <w:sz w:val="24"/>
          <w:szCs w:val="24"/>
        </w:rPr>
        <w:t>Komisioni</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i cili vepron për llogari dhe në emër të Bashkimit Evropian, në vijim i referuar si </w:t>
      </w:r>
      <w:r w:rsidR="00AE64AA" w:rsidRPr="00A90756">
        <w:rPr>
          <w:rFonts w:ascii="Garamond" w:hAnsi="Garamond" w:cs="Times New Roman"/>
          <w:bCs/>
          <w:color w:val="000000"/>
          <w:sz w:val="24"/>
          <w:szCs w:val="24"/>
        </w:rPr>
        <w:t>“</w:t>
      </w:r>
      <w:r w:rsidRPr="00A90756">
        <w:rPr>
          <w:rFonts w:ascii="Garamond" w:hAnsi="Garamond" w:cs="Times New Roman"/>
          <w:bCs/>
          <w:color w:val="000000"/>
          <w:sz w:val="24"/>
          <w:szCs w:val="24"/>
        </w:rPr>
        <w:t>BE</w:t>
      </w:r>
      <w:r w:rsidR="00AE64AA" w:rsidRPr="00A90756">
        <w:rPr>
          <w:rFonts w:ascii="Garamond" w:hAnsi="Garamond" w:cs="Times New Roman"/>
          <w:bCs/>
          <w:color w:val="000000"/>
          <w:sz w:val="24"/>
          <w:szCs w:val="24"/>
        </w:rPr>
        <w:t>”</w:t>
      </w:r>
      <w:r w:rsidRPr="00A90756">
        <w:rPr>
          <w:rFonts w:ascii="Garamond" w:hAnsi="Garamond" w:cs="Times New Roman"/>
          <w:color w:val="000000"/>
          <w:sz w:val="24"/>
          <w:szCs w:val="24"/>
        </w:rPr>
        <w:t>, në njërën anë</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w:t>
      </w:r>
    </w:p>
    <w:p w14:paraId="014E4040" w14:textId="3DBA8162" w:rsidR="00EC73A8" w:rsidRPr="00A90756" w:rsidRDefault="00EC73A8" w:rsidP="0093663C">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dhe </w:t>
      </w:r>
    </w:p>
    <w:p w14:paraId="271BE064" w14:textId="7E67EA9A" w:rsidR="00606134"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Mali i Zi</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i përfaqësuar nga </w:t>
      </w:r>
      <w:r w:rsidR="00606134" w:rsidRPr="00A90756">
        <w:rPr>
          <w:rFonts w:ascii="Garamond" w:hAnsi="Garamond" w:cs="Times New Roman"/>
          <w:color w:val="000000"/>
          <w:sz w:val="24"/>
          <w:szCs w:val="24"/>
        </w:rPr>
        <w:t xml:space="preserve">qeveria </w:t>
      </w:r>
      <w:r w:rsidRPr="00A90756">
        <w:rPr>
          <w:rFonts w:ascii="Garamond" w:hAnsi="Garamond" w:cs="Times New Roman"/>
          <w:color w:val="000000"/>
          <w:sz w:val="24"/>
          <w:szCs w:val="24"/>
        </w:rPr>
        <w:t xml:space="preserve">e Malit të Zi (në vijim referuar si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Mali i Zi</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w:t>
      </w:r>
    </w:p>
    <w:p w14:paraId="5DEC13A8" w14:textId="1EA8EEDB" w:rsidR="00606134" w:rsidRPr="00A90756" w:rsidRDefault="00606134"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w:t>
      </w:r>
      <w:r w:rsidR="00EC73A8" w:rsidRPr="00A90756">
        <w:rPr>
          <w:rFonts w:ascii="Garamond" w:hAnsi="Garamond" w:cs="Times New Roman"/>
          <w:color w:val="000000"/>
          <w:sz w:val="24"/>
          <w:szCs w:val="24"/>
        </w:rPr>
        <w:t>he</w:t>
      </w:r>
    </w:p>
    <w:p w14:paraId="014E4042" w14:textId="639D16FD" w:rsidR="00EC73A8" w:rsidRPr="00A90756" w:rsidRDefault="00EC73A8" w:rsidP="009442B6">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Republika e Shqipërisë e përfaqësuar nga Këshilli i Ministrave (në vijim referuar si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Shqipëria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vijim referuar bashkërisht si </w:t>
      </w:r>
      <w:r w:rsidR="00AE64AA" w:rsidRPr="00A90756">
        <w:rPr>
          <w:rFonts w:ascii="Garamond" w:hAnsi="Garamond" w:cs="Times New Roman"/>
          <w:bCs/>
          <w:color w:val="000000"/>
          <w:sz w:val="24"/>
          <w:szCs w:val="24"/>
        </w:rPr>
        <w:t>“</w:t>
      </w:r>
      <w:r w:rsidRPr="00A90756">
        <w:rPr>
          <w:rFonts w:ascii="Garamond" w:hAnsi="Garamond" w:cs="Times New Roman"/>
          <w:bCs/>
          <w:color w:val="000000"/>
          <w:sz w:val="24"/>
          <w:szCs w:val="24"/>
        </w:rPr>
        <w:t>Përfituesit e IPA III</w:t>
      </w:r>
      <w:r w:rsidR="00AE64AA" w:rsidRPr="00A90756">
        <w:rPr>
          <w:rFonts w:ascii="Garamond" w:hAnsi="Garamond" w:cs="Times New Roman"/>
          <w:bCs/>
          <w:color w:val="000000"/>
          <w:sz w:val="24"/>
          <w:szCs w:val="24"/>
        </w:rPr>
        <w:t>”</w:t>
      </w:r>
      <w:r w:rsidRPr="00A90756">
        <w:rPr>
          <w:rFonts w:ascii="Garamond" w:hAnsi="Garamond" w:cs="Times New Roman"/>
          <w:color w:val="000000"/>
          <w:sz w:val="24"/>
          <w:szCs w:val="24"/>
        </w:rPr>
        <w:t xml:space="preserve">, ose veçmas referuar si </w:t>
      </w:r>
      <w:r w:rsidR="00AE64AA" w:rsidRPr="00A90756">
        <w:rPr>
          <w:rFonts w:ascii="Garamond" w:hAnsi="Garamond" w:cs="Times New Roman"/>
          <w:color w:val="000000"/>
          <w:sz w:val="24"/>
          <w:szCs w:val="24"/>
        </w:rPr>
        <w:t>“</w:t>
      </w:r>
      <w:r w:rsidRPr="00A90756">
        <w:rPr>
          <w:rFonts w:ascii="Garamond" w:hAnsi="Garamond" w:cs="Times New Roman"/>
          <w:bCs/>
          <w:color w:val="000000"/>
          <w:sz w:val="24"/>
          <w:szCs w:val="24"/>
        </w:rPr>
        <w:t>përfitues/e i/e IPA III</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w:t>
      </w:r>
      <w:r w:rsidR="009442B6"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në anën tjetër,</w:t>
      </w:r>
    </w:p>
    <w:p w14:paraId="014E4043" w14:textId="1CD02A5A" w:rsidR="00EC73A8" w:rsidRPr="00A90756" w:rsidRDefault="00EC73A8" w:rsidP="00EC73A8">
      <w:pPr>
        <w:autoSpaceDE w:val="0"/>
        <w:autoSpaceDN w:val="0"/>
        <w:adjustRightInd w:val="0"/>
        <w:spacing w:after="0" w:line="240" w:lineRule="auto"/>
        <w:ind w:firstLine="284"/>
        <w:jc w:val="both"/>
        <w:rPr>
          <w:rFonts w:ascii="Garamond" w:hAnsi="Garamond" w:cs="Times New Roman"/>
          <w:bCs/>
          <w:color w:val="000000"/>
          <w:sz w:val="24"/>
          <w:szCs w:val="24"/>
        </w:rPr>
      </w:pPr>
      <w:r w:rsidRPr="00A90756">
        <w:rPr>
          <w:rFonts w:ascii="Garamond" w:hAnsi="Garamond" w:cs="Times New Roman"/>
          <w:bCs/>
          <w:color w:val="000000"/>
          <w:sz w:val="24"/>
          <w:szCs w:val="24"/>
        </w:rPr>
        <w:t xml:space="preserve">dhe së bashku e bashkërisht, referuar si </w:t>
      </w:r>
      <w:r w:rsidR="00AE64AA" w:rsidRPr="00A90756">
        <w:rPr>
          <w:rFonts w:ascii="Garamond" w:hAnsi="Garamond" w:cs="Times New Roman"/>
          <w:bCs/>
          <w:color w:val="000000"/>
          <w:sz w:val="24"/>
          <w:szCs w:val="24"/>
        </w:rPr>
        <w:t>“</w:t>
      </w:r>
      <w:r w:rsidRPr="00A90756">
        <w:rPr>
          <w:rFonts w:ascii="Garamond" w:hAnsi="Garamond" w:cs="Times New Roman"/>
          <w:bCs/>
          <w:color w:val="000000"/>
          <w:sz w:val="24"/>
          <w:szCs w:val="24"/>
        </w:rPr>
        <w:t>palët</w:t>
      </w:r>
      <w:r w:rsidR="00AE64AA" w:rsidRPr="00A90756">
        <w:rPr>
          <w:rFonts w:ascii="Garamond" w:hAnsi="Garamond" w:cs="Times New Roman"/>
          <w:bCs/>
          <w:color w:val="000000"/>
          <w:sz w:val="24"/>
          <w:szCs w:val="24"/>
        </w:rPr>
        <w:t>”</w:t>
      </w:r>
      <w:r w:rsidR="00606134" w:rsidRPr="00A90756">
        <w:rPr>
          <w:rFonts w:ascii="Garamond" w:hAnsi="Garamond" w:cs="Times New Roman"/>
          <w:bCs/>
          <w:color w:val="000000"/>
          <w:sz w:val="24"/>
          <w:szCs w:val="24"/>
        </w:rPr>
        <w:t>;</w:t>
      </w:r>
    </w:p>
    <w:p w14:paraId="014E4044" w14:textId="3BEAF1BC" w:rsidR="00EC73A8" w:rsidRPr="00A90756" w:rsidRDefault="002A1614"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kanë rënë dakord si më poshtë</w:t>
      </w:r>
      <w:r w:rsidR="00EC73A8" w:rsidRPr="00A90756">
        <w:rPr>
          <w:rFonts w:ascii="Garamond" w:hAnsi="Garamond" w:cs="Times New Roman"/>
          <w:color w:val="000000"/>
          <w:sz w:val="24"/>
          <w:szCs w:val="24"/>
        </w:rPr>
        <w:t>:</w:t>
      </w:r>
    </w:p>
    <w:p w14:paraId="3F489AC7" w14:textId="77777777" w:rsidR="002A1614" w:rsidRPr="00A90756" w:rsidRDefault="002A1614" w:rsidP="00EC73A8">
      <w:pPr>
        <w:autoSpaceDE w:val="0"/>
        <w:autoSpaceDN w:val="0"/>
        <w:adjustRightInd w:val="0"/>
        <w:spacing w:after="0" w:line="240" w:lineRule="auto"/>
        <w:ind w:firstLine="284"/>
        <w:jc w:val="both"/>
        <w:rPr>
          <w:rFonts w:ascii="Garamond" w:hAnsi="Garamond" w:cs="Times New Roman"/>
          <w:color w:val="000000"/>
          <w:sz w:val="24"/>
          <w:szCs w:val="24"/>
        </w:rPr>
      </w:pPr>
    </w:p>
    <w:p w14:paraId="4BA6F00F" w14:textId="23D97FAF" w:rsidR="002A1614" w:rsidRPr="00A90756" w:rsidRDefault="00EC73A8" w:rsidP="002A1614">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1</w:t>
      </w:r>
    </w:p>
    <w:p w14:paraId="014E4045" w14:textId="5F66AA32" w:rsidR="00EC73A8" w:rsidRPr="00A90756" w:rsidRDefault="00EC73A8" w:rsidP="002A1614">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Programi i Bashkëpunimit Ndërkufitar (BNK)</w:t>
      </w:r>
    </w:p>
    <w:p w14:paraId="009C1B35" w14:textId="77777777" w:rsidR="002A1614" w:rsidRPr="00A90756" w:rsidRDefault="002A1614" w:rsidP="002A1614">
      <w:pPr>
        <w:autoSpaceDE w:val="0"/>
        <w:autoSpaceDN w:val="0"/>
        <w:adjustRightInd w:val="0"/>
        <w:spacing w:after="0" w:line="240" w:lineRule="auto"/>
        <w:ind w:firstLine="284"/>
        <w:jc w:val="center"/>
        <w:rPr>
          <w:rFonts w:ascii="Garamond" w:hAnsi="Garamond" w:cs="Calibri"/>
          <w:color w:val="000000"/>
          <w:sz w:val="24"/>
          <w:szCs w:val="24"/>
        </w:rPr>
      </w:pPr>
    </w:p>
    <w:p w14:paraId="014E4046" w14:textId="223025FC"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1. BE</w:t>
      </w:r>
      <w:r w:rsidR="00606134" w:rsidRPr="00A90756">
        <w:rPr>
          <w:rFonts w:ascii="Garamond" w:hAnsi="Garamond" w:cs="Times New Roman"/>
          <w:color w:val="000000"/>
          <w:sz w:val="24"/>
          <w:szCs w:val="24"/>
        </w:rPr>
        <w:t>-ja</w:t>
      </w:r>
      <w:r w:rsidRPr="00A90756">
        <w:rPr>
          <w:rFonts w:ascii="Garamond" w:hAnsi="Garamond" w:cs="Times New Roman"/>
          <w:color w:val="000000"/>
          <w:sz w:val="24"/>
          <w:szCs w:val="24"/>
        </w:rPr>
        <w:t xml:space="preserve"> bie dakord të financojë dhe përfituesit e IPA III bien dakord që të pranojnë financimin e Programit të mëposhtëm të BNK-së</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siç përshkruhet në shtojcën I: </w:t>
      </w:r>
    </w:p>
    <w:p w14:paraId="014E4047" w14:textId="2FF528F4"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Programi i bashkëpunimit ndërkufitar Mali i Zi</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Republika e Shqipërisë për periudhën 2021</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2027</w:t>
      </w:r>
      <w:r w:rsidR="00606134" w:rsidRPr="00A90756">
        <w:rPr>
          <w:rFonts w:ascii="Garamond" w:hAnsi="Garamond" w:cs="Times New Roman"/>
          <w:color w:val="000000"/>
          <w:sz w:val="24"/>
          <w:szCs w:val="24"/>
        </w:rPr>
        <w:t>.</w:t>
      </w:r>
    </w:p>
    <w:p w14:paraId="014E4048" w14:textId="6B30EC1C"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Numrat e angazhimit global:</w:t>
      </w:r>
    </w:p>
    <w:p w14:paraId="014E4049" w14:textId="784FE266"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Për vitin 2022:</w:t>
      </w:r>
      <w:r w:rsidR="00C61854"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JAD.976622</w:t>
      </w:r>
    </w:p>
    <w:p w14:paraId="014E404A"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b/>
          <w:bCs/>
          <w:color w:val="000000"/>
          <w:sz w:val="24"/>
          <w:szCs w:val="24"/>
        </w:rPr>
      </w:pPr>
      <w:r w:rsidRPr="00A90756">
        <w:rPr>
          <w:rFonts w:ascii="Garamond" w:hAnsi="Garamond" w:cs="Times New Roman"/>
          <w:color w:val="000000"/>
          <w:sz w:val="24"/>
          <w:szCs w:val="24"/>
        </w:rPr>
        <w:t>Ky Program i BNK-së financohet nga buxheti i BE-së në bazë të aktit themelor në vijim: Instrumenti për Asistencën e Paraanëtarësimit (IPA III)</w:t>
      </w:r>
      <w:r w:rsidRPr="00A90756">
        <w:rPr>
          <w:rStyle w:val="FootnoteReference"/>
          <w:rFonts w:ascii="Garamond" w:hAnsi="Garamond" w:cs="Times New Roman"/>
          <w:color w:val="000000"/>
          <w:sz w:val="24"/>
          <w:szCs w:val="24"/>
        </w:rPr>
        <w:footnoteReference w:id="2"/>
      </w:r>
      <w:r w:rsidRPr="00A90756">
        <w:rPr>
          <w:rFonts w:ascii="Garamond" w:hAnsi="Garamond" w:cs="Times New Roman"/>
          <w:color w:val="000000"/>
          <w:sz w:val="24"/>
          <w:szCs w:val="24"/>
        </w:rPr>
        <w:t>.</w:t>
      </w:r>
    </w:p>
    <w:p w14:paraId="014E404B"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Kostoja totale e vlerësuar e këtij Programi të BNK-së është 13 790 000 euro dhe kontributi maksimal i BE-së në këtë Program të BNK-së është përcaktuar të jetë 11 900 000 euro.</w:t>
      </w:r>
    </w:p>
    <w:p w14:paraId="014E404C" w14:textId="55AB95D1"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Kontributi i BE-së do të ndahet në angazhime vjetore për periudhën 2022, 2025 dhe 2027 në përputhje me shtojcën I. Asnjë element në këtë Marrëveshje Financimi nuk mund të interpretohet sikur nënkupton një angazhim financiar të BE-së në lidhje me kreditë, të cilat ende nuk kanë marrë miratimin nga buxheti i aprovuar i BE-së. Miratimi i angazhimeve vjetore të mëvonshme</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përcaktuara në shtojcën I</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do të aprovohet përmes shkëmbimit të shkresave midis Komisionit dhe përfituesve të IPA III.</w:t>
      </w:r>
    </w:p>
    <w:p w14:paraId="014E404D"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Nga përfituesit e IPA III nuk kërkohet asnjë kontribut financiar.</w:t>
      </w:r>
    </w:p>
    <w:p w14:paraId="014E404E" w14:textId="5B49FFEC"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Programi i BNK-së do të zbatohet në përputhje me përshkrimin e dhënë në shtojcën I.</w:t>
      </w:r>
    </w:p>
    <w:p w14:paraId="40EBE764" w14:textId="77777777" w:rsidR="002A1614" w:rsidRPr="00A90756" w:rsidRDefault="002A1614" w:rsidP="00EC73A8">
      <w:pPr>
        <w:autoSpaceDE w:val="0"/>
        <w:autoSpaceDN w:val="0"/>
        <w:adjustRightInd w:val="0"/>
        <w:spacing w:after="0" w:line="240" w:lineRule="auto"/>
        <w:ind w:firstLine="284"/>
        <w:jc w:val="both"/>
        <w:rPr>
          <w:rFonts w:ascii="Garamond" w:hAnsi="Garamond" w:cs="Times New Roman"/>
          <w:color w:val="000000"/>
          <w:sz w:val="24"/>
          <w:szCs w:val="24"/>
        </w:rPr>
      </w:pPr>
    </w:p>
    <w:p w14:paraId="244F48DB" w14:textId="6C90953C" w:rsidR="002A1614" w:rsidRPr="00A90756" w:rsidRDefault="00EC73A8" w:rsidP="002A1614">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2</w:t>
      </w:r>
    </w:p>
    <w:p w14:paraId="014E404F" w14:textId="3518ABF7" w:rsidR="00EC73A8" w:rsidRPr="00A90756" w:rsidRDefault="00EC73A8" w:rsidP="002A1614">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Periudha e ekzekutimit dhe periudha e zbatimit operacional</w:t>
      </w:r>
    </w:p>
    <w:p w14:paraId="0E89E4E5" w14:textId="77777777" w:rsidR="002A1614" w:rsidRPr="00A90756" w:rsidRDefault="002A1614" w:rsidP="002A1614">
      <w:pPr>
        <w:autoSpaceDE w:val="0"/>
        <w:autoSpaceDN w:val="0"/>
        <w:adjustRightInd w:val="0"/>
        <w:spacing w:after="0" w:line="240" w:lineRule="auto"/>
        <w:ind w:firstLine="284"/>
        <w:jc w:val="center"/>
        <w:rPr>
          <w:rFonts w:ascii="Garamond" w:hAnsi="Garamond" w:cs="Times New Roman"/>
          <w:b/>
          <w:bCs/>
          <w:color w:val="000000"/>
          <w:sz w:val="24"/>
          <w:szCs w:val="24"/>
        </w:rPr>
      </w:pPr>
    </w:p>
    <w:p w14:paraId="014E4050" w14:textId="2498A9A5"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Periudha e ekzekutimit të kësaj Marrëveshjeje Financimi, siç përcaktohet në nenin 1, paragrafi 1</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shtojcës II, është përcaktuar të jetë 12 vjet nga nënshkrimi i Marrëveshjes së Financimit, ose nga shkëmbimi i shkresave për këstet e mëvonshme të buxhetit.</w:t>
      </w:r>
    </w:p>
    <w:p w14:paraId="014E4051" w14:textId="0FB0DE09"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Kohëzgjatja e periudhës së zbatimit operacional të kësaj Marrëveshjeje Financimi, siç përcaktohet në nenin 1, paragrafi 2</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shtojcës II, është përcaktuar të jetë 6 vjet nga nënshkrimi i Marrëveshjes së Financimit, ose nga shkëmbimi i shkresave për këstet e mëvonshme të buxhetit.</w:t>
      </w:r>
    </w:p>
    <w:p w14:paraId="014E4052" w14:textId="0F42B080"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Këto periudha mund të zgjaten siç parashikohet në nenin 15</w:t>
      </w:r>
      <w:r w:rsidR="00606134"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shtojcës II.</w:t>
      </w:r>
    </w:p>
    <w:p w14:paraId="014E4053"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p>
    <w:p w14:paraId="014E4054"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3</w:t>
      </w:r>
    </w:p>
    <w:p w14:paraId="014E4055" w14:textId="0C79DEF1" w:rsidR="00EC73A8" w:rsidRPr="00A90756" w:rsidRDefault="00EC73A8" w:rsidP="00EC73A8">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Adresat dhe komunikimi</w:t>
      </w:r>
    </w:p>
    <w:p w14:paraId="3A6A7F1F" w14:textId="77777777" w:rsidR="00606134" w:rsidRPr="00A90756" w:rsidRDefault="00606134" w:rsidP="00EC73A8">
      <w:pPr>
        <w:autoSpaceDE w:val="0"/>
        <w:autoSpaceDN w:val="0"/>
        <w:adjustRightInd w:val="0"/>
        <w:spacing w:after="0" w:line="240" w:lineRule="auto"/>
        <w:ind w:firstLine="284"/>
        <w:jc w:val="center"/>
        <w:rPr>
          <w:rFonts w:ascii="Garamond" w:hAnsi="Garamond" w:cs="Times New Roman"/>
          <w:b/>
          <w:bCs/>
          <w:color w:val="000000"/>
          <w:sz w:val="24"/>
          <w:szCs w:val="24"/>
        </w:rPr>
      </w:pPr>
    </w:p>
    <w:p w14:paraId="014E4056" w14:textId="65934F8C"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Të gjitha komunikimet në lidhje me zbatimin e kësaj Marrëveshjeje Financimi do të bëhen me shkrim, do</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referohen shprehimisht Programit të BNK-së, siç përcaktohet në nenin 1, paragrafi 1 dhe do të dërgohen në adresat e mëposhtme:</w:t>
      </w:r>
    </w:p>
    <w:p w14:paraId="014E4057" w14:textId="09CC7B43" w:rsidR="00EC73A8" w:rsidRPr="00A90756" w:rsidRDefault="00EC73A8" w:rsidP="00EC73A8">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b/>
          <w:bCs/>
          <w:color w:val="000000"/>
          <w:sz w:val="24"/>
          <w:szCs w:val="24"/>
        </w:rPr>
        <w:t>a) për Komisionin</w:t>
      </w:r>
      <w:r w:rsidR="002A1614" w:rsidRPr="00A90756">
        <w:rPr>
          <w:rFonts w:ascii="Garamond" w:hAnsi="Garamond" w:cs="Times New Roman"/>
          <w:b/>
          <w:bCs/>
          <w:color w:val="000000"/>
          <w:sz w:val="24"/>
          <w:szCs w:val="24"/>
        </w:rPr>
        <w:t>:</w:t>
      </w:r>
    </w:p>
    <w:p w14:paraId="014E4058"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Znj. Michela Matuella</w:t>
      </w:r>
    </w:p>
    <w:p w14:paraId="014E4059"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Drejtore në detyrë (Drejtoria NEAR. D), për Ballkanin Perëndimor</w:t>
      </w:r>
    </w:p>
    <w:p w14:paraId="014E405A"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Drejtoria e Përgjithshme për Fqinjësinë dhe Negociatat e Zgjerimit (DG NEAR)</w:t>
      </w:r>
    </w:p>
    <w:p w14:paraId="014E405B"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i/>
          <w:color w:val="000000"/>
          <w:sz w:val="24"/>
          <w:szCs w:val="24"/>
        </w:rPr>
        <w:t>Rue de la Loi</w:t>
      </w:r>
      <w:r w:rsidRPr="00A90756">
        <w:rPr>
          <w:rFonts w:ascii="Garamond" w:hAnsi="Garamond" w:cs="Times New Roman"/>
          <w:color w:val="000000"/>
          <w:sz w:val="24"/>
          <w:szCs w:val="24"/>
        </w:rPr>
        <w:t xml:space="preserve"> 15</w:t>
      </w:r>
    </w:p>
    <w:p w14:paraId="014E405C"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Komisioni Evropian</w:t>
      </w:r>
    </w:p>
    <w:p w14:paraId="014E405D"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B-1049 Bruksel, Belgjikë</w:t>
      </w:r>
    </w:p>
    <w:p w14:paraId="014E405E" w14:textId="7F5E2843" w:rsidR="00EC73A8" w:rsidRPr="00A90756" w:rsidRDefault="00606134"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i/>
          <w:color w:val="000000"/>
          <w:sz w:val="24"/>
          <w:szCs w:val="24"/>
        </w:rPr>
        <w:t>e</w:t>
      </w:r>
      <w:r w:rsidR="00EC73A8" w:rsidRPr="00A90756">
        <w:rPr>
          <w:rFonts w:ascii="Garamond" w:hAnsi="Garamond" w:cs="Times New Roman"/>
          <w:i/>
          <w:color w:val="000000"/>
          <w:sz w:val="24"/>
          <w:szCs w:val="24"/>
        </w:rPr>
        <w:t>mail</w:t>
      </w:r>
      <w:r w:rsidR="00EC73A8" w:rsidRPr="00A90756">
        <w:rPr>
          <w:rFonts w:ascii="Garamond" w:hAnsi="Garamond" w:cs="Times New Roman"/>
          <w:color w:val="000000"/>
          <w:sz w:val="24"/>
          <w:szCs w:val="24"/>
        </w:rPr>
        <w:t xml:space="preserve">: </w:t>
      </w:r>
      <w:r w:rsidR="00EC73A8" w:rsidRPr="00A90756">
        <w:rPr>
          <w:rFonts w:ascii="Garamond" w:hAnsi="Garamond" w:cs="Times New Roman"/>
          <w:color w:val="0000FF"/>
          <w:sz w:val="24"/>
          <w:szCs w:val="24"/>
          <w:u w:val="single"/>
        </w:rPr>
        <w:t>NEAR-D@ec.europa.eu</w:t>
      </w:r>
    </w:p>
    <w:p w14:paraId="014E4060" w14:textId="4439D890" w:rsidR="00EC73A8" w:rsidRPr="00A90756" w:rsidRDefault="00EC73A8" w:rsidP="00606134">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b/>
          <w:bCs/>
          <w:color w:val="000000"/>
          <w:sz w:val="24"/>
          <w:szCs w:val="24"/>
        </w:rPr>
        <w:t>b) për përfituesit e IPA III</w:t>
      </w:r>
    </w:p>
    <w:p w14:paraId="014E4061"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b/>
          <w:bCs/>
          <w:color w:val="000000"/>
          <w:sz w:val="24"/>
          <w:szCs w:val="24"/>
        </w:rPr>
        <w:t>Për Malin e Zi:</w:t>
      </w:r>
    </w:p>
    <w:p w14:paraId="014E4062"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 xml:space="preserve">Ministria e Punëve për Evropën </w:t>
      </w:r>
    </w:p>
    <w:p w14:paraId="014E4063"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i/>
          <w:color w:val="000000"/>
          <w:sz w:val="24"/>
          <w:szCs w:val="24"/>
        </w:rPr>
        <w:t>Bulevar Revolucije</w:t>
      </w:r>
      <w:r w:rsidRPr="00A90756">
        <w:rPr>
          <w:rFonts w:ascii="Garamond" w:hAnsi="Garamond" w:cs="Times New Roman"/>
          <w:color w:val="000000"/>
          <w:sz w:val="24"/>
          <w:szCs w:val="24"/>
        </w:rPr>
        <w:t xml:space="preserve"> 15</w:t>
      </w:r>
    </w:p>
    <w:p w14:paraId="014E4064"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lastRenderedPageBreak/>
        <w:t>81000 Podgoricë, Mal i Zi</w:t>
      </w:r>
    </w:p>
    <w:p w14:paraId="014E4065"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i/>
          <w:color w:val="000000"/>
          <w:sz w:val="24"/>
          <w:szCs w:val="24"/>
        </w:rPr>
        <w:t>email</w:t>
      </w:r>
      <w:r w:rsidRPr="00A90756">
        <w:rPr>
          <w:rFonts w:ascii="Garamond" w:hAnsi="Garamond" w:cs="Times New Roman"/>
          <w:color w:val="000000"/>
          <w:sz w:val="24"/>
          <w:szCs w:val="24"/>
        </w:rPr>
        <w:t xml:space="preserve">: </w:t>
      </w:r>
      <w:r w:rsidRPr="00A90756">
        <w:rPr>
          <w:rFonts w:ascii="Garamond" w:hAnsi="Garamond" w:cs="Times New Roman"/>
          <w:color w:val="0000FF"/>
          <w:sz w:val="24"/>
          <w:szCs w:val="24"/>
          <w:u w:val="single"/>
        </w:rPr>
        <w:t>kabinet@mep.gov.me</w:t>
      </w:r>
      <w:r w:rsidRPr="00A90756">
        <w:rPr>
          <w:rFonts w:ascii="Garamond" w:hAnsi="Garamond" w:cs="Times New Roman"/>
          <w:color w:val="000000"/>
          <w:sz w:val="24"/>
          <w:szCs w:val="24"/>
        </w:rPr>
        <w:t xml:space="preserve"> </w:t>
      </w:r>
    </w:p>
    <w:p w14:paraId="014E4066"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14"/>
          <w:szCs w:val="24"/>
        </w:rPr>
      </w:pPr>
    </w:p>
    <w:p w14:paraId="014E4067" w14:textId="77777777" w:rsidR="00EC73A8" w:rsidRPr="00A90756" w:rsidRDefault="00EC73A8" w:rsidP="00EC73A8">
      <w:pPr>
        <w:autoSpaceDE w:val="0"/>
        <w:autoSpaceDN w:val="0"/>
        <w:adjustRightInd w:val="0"/>
        <w:spacing w:after="0" w:line="240" w:lineRule="auto"/>
        <w:ind w:firstLine="284"/>
        <w:rPr>
          <w:rFonts w:ascii="Garamond" w:hAnsi="Garamond" w:cs="Times New Roman"/>
          <w:b/>
          <w:bCs/>
          <w:color w:val="000000"/>
          <w:sz w:val="24"/>
          <w:szCs w:val="24"/>
        </w:rPr>
      </w:pPr>
      <w:r w:rsidRPr="00A90756">
        <w:rPr>
          <w:rFonts w:ascii="Garamond" w:hAnsi="Garamond" w:cs="Times New Roman"/>
          <w:b/>
          <w:bCs/>
          <w:color w:val="000000"/>
          <w:sz w:val="24"/>
          <w:szCs w:val="24"/>
        </w:rPr>
        <w:t>Për Shqipërinë:</w:t>
      </w:r>
    </w:p>
    <w:p w14:paraId="014E4068"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Z. Ilir Beqaj</w:t>
      </w:r>
    </w:p>
    <w:p w14:paraId="014E4069"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Koordinator Kombëtar i IPA-s (KKIPA)</w:t>
      </w:r>
    </w:p>
    <w:p w14:paraId="014E406A"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Kryeministria</w:t>
      </w:r>
    </w:p>
    <w:p w14:paraId="014E406B" w14:textId="34F1E0C4"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 xml:space="preserve">Bulevardi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Dëshmorët e Kombit</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1</w:t>
      </w:r>
    </w:p>
    <w:p w14:paraId="014E406C"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1001 Tiranë, Shqipëri</w:t>
      </w:r>
    </w:p>
    <w:p w14:paraId="014E406D"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i/>
          <w:color w:val="000000"/>
          <w:sz w:val="24"/>
          <w:szCs w:val="24"/>
        </w:rPr>
        <w:t>email</w:t>
      </w:r>
      <w:r w:rsidRPr="00A90756">
        <w:rPr>
          <w:rFonts w:ascii="Garamond" w:hAnsi="Garamond" w:cs="Times New Roman"/>
          <w:color w:val="000000"/>
          <w:sz w:val="24"/>
          <w:szCs w:val="24"/>
        </w:rPr>
        <w:t xml:space="preserve">: </w:t>
      </w:r>
      <w:r w:rsidRPr="00A90756">
        <w:rPr>
          <w:rFonts w:ascii="Garamond" w:hAnsi="Garamond" w:cs="Times New Roman"/>
          <w:color w:val="0000FF"/>
          <w:sz w:val="24"/>
          <w:szCs w:val="24"/>
          <w:u w:val="single"/>
        </w:rPr>
        <w:t>eufa@saspac.gov.al</w:t>
      </w:r>
      <w:r w:rsidRPr="00A90756">
        <w:rPr>
          <w:rFonts w:ascii="Garamond" w:hAnsi="Garamond" w:cs="Times New Roman"/>
          <w:color w:val="000000"/>
          <w:sz w:val="24"/>
          <w:szCs w:val="24"/>
        </w:rPr>
        <w:t xml:space="preserve"> </w:t>
      </w:r>
    </w:p>
    <w:p w14:paraId="014E406E" w14:textId="77777777" w:rsidR="00EC73A8" w:rsidRPr="00A90756" w:rsidRDefault="00EC73A8" w:rsidP="00EC73A8">
      <w:pPr>
        <w:autoSpaceDE w:val="0"/>
        <w:autoSpaceDN w:val="0"/>
        <w:adjustRightInd w:val="0"/>
        <w:spacing w:after="0" w:line="240" w:lineRule="auto"/>
        <w:ind w:firstLine="284"/>
        <w:rPr>
          <w:rFonts w:ascii="Garamond" w:hAnsi="Garamond" w:cs="Times New Roman"/>
          <w:b/>
          <w:bCs/>
          <w:color w:val="000000"/>
          <w:sz w:val="24"/>
          <w:szCs w:val="24"/>
        </w:rPr>
      </w:pPr>
    </w:p>
    <w:p w14:paraId="014E406F"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4</w:t>
      </w:r>
    </w:p>
    <w:p w14:paraId="014E4070"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Pika e kontaktit të Zyrës Evropiane Kundër Mashtrimit (ZEKM)</w:t>
      </w:r>
    </w:p>
    <w:p w14:paraId="014E4071"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p>
    <w:p w14:paraId="014E4072" w14:textId="5A3B8474"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Pika e kontaktit të përfituesit të IPA III që ka kompetencat e duhura për të bashkëpunuar në mënyrë të drejtpërdrejtë me Zyrën Evropiane Kundër Mashtrimit (ZEKM), në mënyrë që të lehtësojë aktivitetet operative të ZEKM-së do të jetë:</w:t>
      </w:r>
    </w:p>
    <w:p w14:paraId="014E4074" w14:textId="49AD0FA3" w:rsidR="00EC73A8" w:rsidRPr="00A90756" w:rsidRDefault="00EC73A8" w:rsidP="002132A6">
      <w:pPr>
        <w:autoSpaceDE w:val="0"/>
        <w:autoSpaceDN w:val="0"/>
        <w:adjustRightInd w:val="0"/>
        <w:spacing w:after="0" w:line="240" w:lineRule="auto"/>
        <w:ind w:firstLine="284"/>
        <w:jc w:val="both"/>
        <w:rPr>
          <w:rFonts w:ascii="Garamond" w:hAnsi="Garamond" w:cs="Times New Roman"/>
          <w:b/>
          <w:bCs/>
          <w:color w:val="000000"/>
          <w:sz w:val="24"/>
          <w:szCs w:val="24"/>
        </w:rPr>
      </w:pPr>
      <w:r w:rsidRPr="00A90756">
        <w:rPr>
          <w:rFonts w:ascii="Garamond" w:hAnsi="Garamond" w:cs="Times New Roman"/>
          <w:b/>
          <w:bCs/>
          <w:color w:val="000000"/>
          <w:sz w:val="24"/>
          <w:szCs w:val="24"/>
        </w:rPr>
        <w:t>Për Malin e Zi:</w:t>
      </w:r>
    </w:p>
    <w:p w14:paraId="014E4075"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Znj. Nataša Kovačević</w:t>
      </w:r>
    </w:p>
    <w:p w14:paraId="014E4076"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Pikë kontakti për SHKKM-në/zyra e SHKKM-së</w:t>
      </w:r>
    </w:p>
    <w:p w14:paraId="014E4077"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Ministria e Financave</w:t>
      </w:r>
    </w:p>
    <w:p w14:paraId="014E4078"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Stanka Dragoj evića 2</w:t>
      </w:r>
    </w:p>
    <w:p w14:paraId="014E4079"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81000 Podgoricë, Mal i Zi</w:t>
      </w:r>
    </w:p>
    <w:p w14:paraId="014E407A" w14:textId="4D2EA73C"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i/>
          <w:color w:val="000000"/>
          <w:sz w:val="24"/>
          <w:szCs w:val="24"/>
        </w:rPr>
        <w:t>email</w:t>
      </w:r>
      <w:r w:rsidRPr="00A90756">
        <w:rPr>
          <w:rFonts w:ascii="Garamond" w:hAnsi="Garamond" w:cs="Times New Roman"/>
          <w:color w:val="000000"/>
          <w:sz w:val="24"/>
          <w:szCs w:val="24"/>
        </w:rPr>
        <w:t xml:space="preserve">: </w:t>
      </w:r>
      <w:r w:rsidRPr="00A90756">
        <w:rPr>
          <w:rFonts w:ascii="Garamond" w:hAnsi="Garamond" w:cs="Times New Roman"/>
          <w:color w:val="0000FF"/>
          <w:sz w:val="24"/>
          <w:szCs w:val="24"/>
          <w:u w:val="single"/>
        </w:rPr>
        <w:t>natasa.kovacevic@mif.gov.me</w:t>
      </w:r>
      <w:r w:rsidRPr="00A90756">
        <w:rPr>
          <w:rFonts w:ascii="Garamond" w:hAnsi="Garamond" w:cs="Times New Roman"/>
          <w:color w:val="000000"/>
          <w:sz w:val="24"/>
          <w:szCs w:val="24"/>
        </w:rPr>
        <w:t xml:space="preserve"> </w:t>
      </w:r>
    </w:p>
    <w:p w14:paraId="11D276BA" w14:textId="77777777" w:rsidR="002132A6" w:rsidRPr="00A90756" w:rsidRDefault="002132A6" w:rsidP="00EC73A8">
      <w:pPr>
        <w:autoSpaceDE w:val="0"/>
        <w:autoSpaceDN w:val="0"/>
        <w:adjustRightInd w:val="0"/>
        <w:spacing w:after="0" w:line="240" w:lineRule="auto"/>
        <w:ind w:firstLine="284"/>
        <w:rPr>
          <w:rFonts w:ascii="Garamond" w:hAnsi="Garamond" w:cs="Times New Roman"/>
          <w:color w:val="000000"/>
          <w:sz w:val="12"/>
          <w:szCs w:val="24"/>
        </w:rPr>
      </w:pPr>
    </w:p>
    <w:p w14:paraId="014E407C" w14:textId="0F3DB3FD" w:rsidR="00EC73A8" w:rsidRPr="00A90756" w:rsidRDefault="00EC73A8" w:rsidP="002132A6">
      <w:pPr>
        <w:autoSpaceDE w:val="0"/>
        <w:autoSpaceDN w:val="0"/>
        <w:adjustRightInd w:val="0"/>
        <w:spacing w:after="0" w:line="240" w:lineRule="auto"/>
        <w:ind w:firstLine="284"/>
        <w:jc w:val="both"/>
        <w:rPr>
          <w:rFonts w:ascii="Garamond" w:hAnsi="Garamond" w:cs="Times New Roman"/>
          <w:b/>
          <w:bCs/>
          <w:color w:val="000000"/>
          <w:sz w:val="24"/>
          <w:szCs w:val="24"/>
        </w:rPr>
      </w:pPr>
      <w:r w:rsidRPr="00A90756">
        <w:rPr>
          <w:rFonts w:ascii="Garamond" w:hAnsi="Garamond" w:cs="Times New Roman"/>
          <w:b/>
          <w:bCs/>
          <w:color w:val="000000"/>
          <w:sz w:val="24"/>
          <w:szCs w:val="24"/>
        </w:rPr>
        <w:t>Për Shqipërinë:</w:t>
      </w:r>
    </w:p>
    <w:p w14:paraId="014E407D"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Znj. Blerina Naska</w:t>
      </w:r>
    </w:p>
    <w:p w14:paraId="014E407E"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Drejtore e Drejtorisë së Inspektimit Financiar, Inspektimi Financiar Publik pranë Ministrisë së Financave dhe Ekonomisë</w:t>
      </w:r>
    </w:p>
    <w:p w14:paraId="014E407F" w14:textId="717CCA53"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Bulevardi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Dëshmorët e Kombit</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3</w:t>
      </w:r>
    </w:p>
    <w:p w14:paraId="014E4080"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1001 Tiranë, Shqipëri</w:t>
      </w:r>
    </w:p>
    <w:p w14:paraId="014E4081"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FF"/>
          <w:sz w:val="24"/>
          <w:szCs w:val="24"/>
          <w:u w:val="single"/>
        </w:rPr>
      </w:pPr>
      <w:r w:rsidRPr="00A90756">
        <w:rPr>
          <w:rFonts w:ascii="Garamond" w:hAnsi="Garamond" w:cs="Times New Roman"/>
          <w:i/>
          <w:color w:val="000000"/>
          <w:sz w:val="24"/>
          <w:szCs w:val="24"/>
        </w:rPr>
        <w:t>email</w:t>
      </w:r>
      <w:r w:rsidRPr="00A90756">
        <w:rPr>
          <w:rFonts w:ascii="Garamond" w:hAnsi="Garamond" w:cs="Times New Roman"/>
          <w:color w:val="000000"/>
          <w:sz w:val="24"/>
          <w:szCs w:val="24"/>
        </w:rPr>
        <w:t xml:space="preserve">: </w:t>
      </w:r>
      <w:r w:rsidRPr="00A90756">
        <w:rPr>
          <w:rFonts w:ascii="Garamond" w:hAnsi="Garamond" w:cs="Times New Roman"/>
          <w:color w:val="0000FF"/>
          <w:sz w:val="24"/>
          <w:szCs w:val="24"/>
          <w:u w:val="single"/>
        </w:rPr>
        <w:t xml:space="preserve">blerina.naska@financa.gov.al </w:t>
      </w:r>
    </w:p>
    <w:p w14:paraId="014E4082" w14:textId="77777777" w:rsidR="00EC73A8" w:rsidRPr="00A90756" w:rsidRDefault="00EC73A8" w:rsidP="00EC73A8">
      <w:pPr>
        <w:autoSpaceDE w:val="0"/>
        <w:autoSpaceDN w:val="0"/>
        <w:adjustRightInd w:val="0"/>
        <w:spacing w:after="0" w:line="240" w:lineRule="auto"/>
        <w:ind w:firstLine="284"/>
        <w:rPr>
          <w:rFonts w:ascii="Garamond" w:hAnsi="Garamond" w:cs="Times New Roman"/>
          <w:b/>
          <w:bCs/>
          <w:color w:val="000000"/>
          <w:sz w:val="24"/>
          <w:szCs w:val="24"/>
        </w:rPr>
      </w:pPr>
    </w:p>
    <w:p w14:paraId="014E4083"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5</w:t>
      </w:r>
    </w:p>
    <w:p w14:paraId="014E4084"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Marrëveshjet Financiare Kuadër të Partneritetit</w:t>
      </w:r>
    </w:p>
    <w:p w14:paraId="014E4085"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color w:val="000000"/>
          <w:sz w:val="24"/>
          <w:szCs w:val="24"/>
        </w:rPr>
      </w:pPr>
    </w:p>
    <w:p w14:paraId="014E4086" w14:textId="1F5120C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Programi i BNK-së do të zbatohet në përputhje me dispozitat e Marrëveshjes Financiare Kuadër të Partneritetit (MFKP), përkatësisht ndërmjet Komisionit Evropian dhe Malit të Zi për rregullat specifike të zbatimit të asistencës financiare të BE-së për Malin e Zi</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kuadër të Instrumentit për Asistencën e Paraanëtarësimit (IPA III), dhe në përputhje me dispozitat e MFKP-së mes Komisionit Evropian dhe Shqipërisë</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për rregullat specifike të zbatimit të asistencës financiare të BE-së për Shqipërinë</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kuadër të Instrumentit për Asistencën e Paraanëtarësimit (IPA III) (referuar në vijim si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MFKP-të</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w:t>
      </w:r>
    </w:p>
    <w:p w14:paraId="014E4087"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Kjo Marrëveshje Financimi plotëson dispozitat e MFKP-ve të sipërpërmendura. Në rast konflikti, nga njëra anë, e dispozitave të kësaj Marrëveshjeje Financimi dhe, nga ana tjetër, e dispozitave të MFKP-së përkatëse, kjo e fundit do të ketë përparësi.</w:t>
      </w:r>
    </w:p>
    <w:p w14:paraId="014E4088" w14:textId="066326F9"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Sipas nenit 154, paragrafi 5</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Rregullores Financiare, zbatimi i programit nën menaxhimin e tërthortë të përfituesit të IPA-s do të plotësohet me masat e posaçme të paraqitura në nenin 7.</w:t>
      </w:r>
    </w:p>
    <w:p w14:paraId="014E4089" w14:textId="77777777" w:rsidR="00EC73A8" w:rsidRPr="00A90756" w:rsidRDefault="00EC73A8" w:rsidP="00EC73A8">
      <w:pPr>
        <w:autoSpaceDE w:val="0"/>
        <w:autoSpaceDN w:val="0"/>
        <w:adjustRightInd w:val="0"/>
        <w:spacing w:after="0" w:line="240" w:lineRule="auto"/>
        <w:ind w:firstLine="284"/>
        <w:rPr>
          <w:rFonts w:ascii="Garamond" w:hAnsi="Garamond" w:cs="Times New Roman"/>
          <w:b/>
          <w:bCs/>
          <w:color w:val="000000"/>
          <w:sz w:val="24"/>
          <w:szCs w:val="24"/>
        </w:rPr>
      </w:pPr>
    </w:p>
    <w:p w14:paraId="014E408A"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6</w:t>
      </w:r>
    </w:p>
    <w:p w14:paraId="014E408B"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Shtojcat</w:t>
      </w:r>
    </w:p>
    <w:p w14:paraId="014E408C" w14:textId="77777777" w:rsidR="00EC73A8" w:rsidRPr="00A90756" w:rsidRDefault="00EC73A8" w:rsidP="00EC73A8">
      <w:pPr>
        <w:autoSpaceDE w:val="0"/>
        <w:autoSpaceDN w:val="0"/>
        <w:adjustRightInd w:val="0"/>
        <w:spacing w:after="0" w:line="240" w:lineRule="auto"/>
        <w:ind w:firstLine="284"/>
        <w:rPr>
          <w:rFonts w:ascii="Garamond" w:hAnsi="Garamond" w:cs="Times New Roman"/>
          <w:b/>
          <w:bCs/>
          <w:color w:val="000000"/>
          <w:sz w:val="24"/>
          <w:szCs w:val="24"/>
        </w:rPr>
      </w:pPr>
    </w:p>
    <w:p w14:paraId="014E408D"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1. Kjo Marrëveshjeje Financimi është e përbërë nga:</w:t>
      </w:r>
    </w:p>
    <w:p w14:paraId="014E408E" w14:textId="7013255D"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a) Këto </w:t>
      </w:r>
      <w:r w:rsidR="009F06FA" w:rsidRPr="00A90756">
        <w:rPr>
          <w:rFonts w:ascii="Garamond" w:hAnsi="Garamond" w:cs="Times New Roman"/>
          <w:color w:val="000000"/>
          <w:sz w:val="24"/>
          <w:szCs w:val="24"/>
        </w:rPr>
        <w:t>Kushte të Veçanta;</w:t>
      </w:r>
    </w:p>
    <w:p w14:paraId="014E408F" w14:textId="2FEA3F15"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Shtojca I: Programi i BNK-së Mali i Zi</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Republika e Shqipërisë për periudhën</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2021</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2027</w:t>
      </w:r>
      <w:r w:rsidR="009F06FA" w:rsidRPr="00A90756">
        <w:rPr>
          <w:rFonts w:ascii="Garamond" w:hAnsi="Garamond" w:cs="Times New Roman"/>
          <w:color w:val="000000"/>
          <w:sz w:val="24"/>
          <w:szCs w:val="24"/>
        </w:rPr>
        <w:t>;</w:t>
      </w:r>
    </w:p>
    <w:p w14:paraId="014E4090" w14:textId="5EF4F5C0"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c) Shtojca II: Kushtet e Përgjithshme</w:t>
      </w:r>
      <w:r w:rsidR="009F06FA" w:rsidRPr="00A90756">
        <w:rPr>
          <w:rFonts w:ascii="Garamond" w:hAnsi="Garamond" w:cs="Times New Roman"/>
          <w:color w:val="000000"/>
          <w:sz w:val="24"/>
          <w:szCs w:val="24"/>
        </w:rPr>
        <w:t>;</w:t>
      </w:r>
    </w:p>
    <w:p w14:paraId="014E4091" w14:textId="7684A156"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 Shtojca III</w:t>
      </w:r>
      <w:r w:rsidR="002132A6"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Modeli i raportit vjetor të BNK-së për zbatimin e asistencës nga IPA III në përputhje me nenin 80 të MFKP-së</w:t>
      </w:r>
      <w:r w:rsidR="009F06FA" w:rsidRPr="00A90756">
        <w:rPr>
          <w:rFonts w:ascii="Garamond" w:hAnsi="Garamond" w:cs="Times New Roman"/>
          <w:color w:val="000000"/>
          <w:sz w:val="24"/>
          <w:szCs w:val="24"/>
        </w:rPr>
        <w:t>;</w:t>
      </w:r>
    </w:p>
    <w:p w14:paraId="014E4092" w14:textId="60EF4156"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e) Shtojca IV, modeli i raportit financiar sipas nenit 61, paragrafi 2,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 61, paragrafi 3</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MFKP-së, duke përfshirë modelin e parashikimeve për kërkesat e pagesave të mundshme sipas nenit 33, paragrafi 3</w:t>
      </w:r>
      <w:r w:rsidR="002132A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MFKP-së</w:t>
      </w:r>
      <w:r w:rsidR="009F06FA" w:rsidRPr="00A90756">
        <w:rPr>
          <w:rFonts w:ascii="Garamond" w:hAnsi="Garamond" w:cs="Times New Roman"/>
          <w:color w:val="000000"/>
          <w:sz w:val="24"/>
          <w:szCs w:val="24"/>
        </w:rPr>
        <w:t>;</w:t>
      </w:r>
    </w:p>
    <w:p w14:paraId="014E4093" w14:textId="07E094AB"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f) Shtojca V: Specifikimet minimale të sistemit të kontabilitetit me të drejta dhe detyrime të konstatuara</w:t>
      </w:r>
      <w:r w:rsidR="009F06FA" w:rsidRPr="00A90756">
        <w:rPr>
          <w:rFonts w:ascii="Garamond" w:hAnsi="Garamond" w:cs="Times New Roman"/>
          <w:color w:val="000000"/>
          <w:sz w:val="24"/>
          <w:szCs w:val="24"/>
        </w:rPr>
        <w:t>.</w:t>
      </w:r>
    </w:p>
    <w:p w14:paraId="014E4094" w14:textId="298D6329"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Në rast konflikti midis dispozitave të shtojcave dhe dispozitave të këtyre Kushteve të Veçanta, këto të fundit do të kenë përparësi. Në rast konflikti midis dispozitave të shtojcës I dhe dispozitave të shtojcës II, kjo e fundit do të ketë përparësi.</w:t>
      </w:r>
    </w:p>
    <w:p w14:paraId="014E4095"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b/>
          <w:bCs/>
          <w:color w:val="000000"/>
          <w:sz w:val="24"/>
          <w:szCs w:val="24"/>
        </w:rPr>
      </w:pPr>
    </w:p>
    <w:p w14:paraId="014E4096"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7</w:t>
      </w:r>
    </w:p>
    <w:p w14:paraId="014E4097"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Dispozita që derogojnë nga shtojca II apo që e plotësojnë atë</w:t>
      </w:r>
    </w:p>
    <w:p w14:paraId="014E4098"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p>
    <w:p w14:paraId="014E4099" w14:textId="3021F7D5" w:rsidR="00EC73A8" w:rsidRPr="00A90756" w:rsidRDefault="00EC73A8" w:rsidP="00EC73A8">
      <w:pPr>
        <w:autoSpaceDE w:val="0"/>
        <w:autoSpaceDN w:val="0"/>
        <w:adjustRightInd w:val="0"/>
        <w:spacing w:after="0" w:line="240" w:lineRule="auto"/>
        <w:ind w:firstLine="284"/>
        <w:jc w:val="both"/>
        <w:rPr>
          <w:rFonts w:ascii="Garamond" w:hAnsi="Garamond" w:cs="Symbol"/>
          <w:color w:val="000000"/>
          <w:sz w:val="24"/>
          <w:szCs w:val="24"/>
        </w:rPr>
      </w:pPr>
      <w:r w:rsidRPr="00A90756">
        <w:rPr>
          <w:rFonts w:ascii="Garamond" w:hAnsi="Garamond" w:cs="Times New Roman"/>
          <w:color w:val="000000"/>
          <w:sz w:val="24"/>
          <w:szCs w:val="24"/>
        </w:rPr>
        <w:t>Në bazë të misionit verifikues për delegimin e detyrave të zbatimit të buxhetit, i cili u realizua në qershor të vitit 2023, do të zbatohen masat e mëposhtme të posaçme:</w:t>
      </w:r>
    </w:p>
    <w:p w14:paraId="014E409A" w14:textId="45E1DE6C" w:rsidR="00EC73A8" w:rsidRPr="00A90756" w:rsidRDefault="009F06FA"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 </w:t>
      </w:r>
      <w:r w:rsidR="00EC73A8" w:rsidRPr="00A90756">
        <w:rPr>
          <w:rFonts w:ascii="Garamond" w:hAnsi="Garamond" w:cs="Times New Roman"/>
          <w:color w:val="000000"/>
          <w:sz w:val="24"/>
          <w:szCs w:val="24"/>
        </w:rPr>
        <w:t>DG NEAR do të kryejë një mision vijues verifikimi menjëherë pas krijimit të sistemeve të IPA III;</w:t>
      </w:r>
    </w:p>
    <w:p w14:paraId="014E409B"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 Strukturave dhe autoriteteve kombëtare u ndalohet të hyjnë në angazhime të reja ligjore, duke përfshirë vendimet e shpalljes së fituesve, pa dalë më parë rezultati i kënaqshëm i misionit vijues të verifikimit; </w:t>
      </w:r>
    </w:p>
    <w:p w14:paraId="014E409C" w14:textId="051EADF4"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Transferimi i fondeve nga DG NEAR te përfituesit e IPA III do të pezullohen pa dalë më parë rezultati i kënaqshëm i misionit vijues të verifikimit</w:t>
      </w:r>
      <w:r w:rsidR="009F06FA" w:rsidRPr="00A90756">
        <w:rPr>
          <w:rFonts w:ascii="Garamond" w:hAnsi="Garamond" w:cs="Times New Roman"/>
          <w:color w:val="000000"/>
          <w:sz w:val="24"/>
          <w:szCs w:val="24"/>
        </w:rPr>
        <w:t>.</w:t>
      </w:r>
    </w:p>
    <w:p w14:paraId="014E409D"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Paragrafi në vijim plotëson shtojcën II:</w:t>
      </w:r>
    </w:p>
    <w:p w14:paraId="014E409E" w14:textId="05041F85"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Komisioni synon të prezantojë, në mënyrë progresive, një sistem shkëmbimi elektronik për raportimin e kontratave nën menaxhimin e tërthortë të përfituesit të IPA III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Aplikacioni IPA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Përfituesi i IPA III do të duhet të regjistrohet dhe të përdorë aplikimin IPA për të mundësuar menaxhimin elektronik të Marrëveshjeve të Financimit.</w:t>
      </w:r>
    </w:p>
    <w:p w14:paraId="014E409F"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b/>
          <w:bCs/>
          <w:color w:val="000000"/>
          <w:sz w:val="24"/>
          <w:szCs w:val="24"/>
        </w:rPr>
      </w:pPr>
    </w:p>
    <w:p w14:paraId="014E40A0"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Neni 8</w:t>
      </w:r>
    </w:p>
    <w:p w14:paraId="014E40A1" w14:textId="77777777" w:rsidR="00EC73A8" w:rsidRPr="00A90756" w:rsidRDefault="00EC73A8" w:rsidP="00EC73A8">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Nënshkrimi dhe hyrja në fuqi</w:t>
      </w:r>
    </w:p>
    <w:p w14:paraId="014E40A2" w14:textId="77777777"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p>
    <w:p w14:paraId="014E40A3" w14:textId="67BDCBED"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Kjo Marrëveshje Financimi konsiderohet e nënshkruar në datën që nënshkruhet nga pala e fundit, dhe jo më vonë se data 31 dhjetor 2023.</w:t>
      </w:r>
    </w:p>
    <w:p w14:paraId="014E40A4" w14:textId="37421200"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Kjo Marrëveshje Financimi do të hyjë në fuqi në datën kur Komisioni merr një njoftim nga përfituesit e IPA III, i cili konfirmon realizimin e procedurave të brendshme të përfituesit të IPA III</w:t>
      </w:r>
      <w:r w:rsidR="009F06F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që cilësohen të nevojshme për hyrjen e saj në fuqi. Komisioni do të informojë përfituesit e IPA III për datën e marrjes së këtij njoftimi. Njoftimi i fundit nga dy njoftimet e marra nga përfituesit e IPA III do të merret në konsideratë për hyrjen në fuqi.</w:t>
      </w:r>
    </w:p>
    <w:p w14:paraId="014E40A5" w14:textId="7CB94EDB" w:rsidR="00EC73A8" w:rsidRPr="00A90756" w:rsidRDefault="00EC73A8" w:rsidP="00EC73A8">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Pjesa e programit e zbatuar nën menaxhim të tërthortë me përfituesit e IPA III, me përjashtim të hapjes së procedurave për shpalljen e fituesit, do të nisë vetëm pasi të ketë hyrë në fuqi MFKP-ja dhe pasi të ketë përfunduar delegimi i nevojshëm i detyrave për zbatimin e buxhetit.</w:t>
      </w:r>
    </w:p>
    <w:p w14:paraId="014E40A6" w14:textId="357EDA73"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Kjo marrëveshje është hartuar në tr</w:t>
      </w:r>
      <w:r w:rsidR="009F06FA" w:rsidRPr="00A90756">
        <w:rPr>
          <w:rFonts w:ascii="Garamond" w:hAnsi="Garamond" w:cs="Times New Roman"/>
          <w:color w:val="000000"/>
          <w:sz w:val="24"/>
          <w:szCs w:val="24"/>
        </w:rPr>
        <w:t>i</w:t>
      </w:r>
      <w:r w:rsidRPr="00A90756">
        <w:rPr>
          <w:rFonts w:ascii="Garamond" w:hAnsi="Garamond" w:cs="Times New Roman"/>
          <w:color w:val="000000"/>
          <w:sz w:val="24"/>
          <w:szCs w:val="24"/>
        </w:rPr>
        <w:t xml:space="preserve"> kopje në gjuhën angleze, një i dorëzohet Komisionit dhe një për secilin prej përfituesve të IPA III.</w:t>
      </w:r>
    </w:p>
    <w:p w14:paraId="014E40A7" w14:textId="77777777" w:rsidR="00EC73A8" w:rsidRPr="00A90756" w:rsidRDefault="00EC73A8" w:rsidP="00EC73A8">
      <w:pPr>
        <w:autoSpaceDE w:val="0"/>
        <w:autoSpaceDN w:val="0"/>
        <w:adjustRightInd w:val="0"/>
        <w:spacing w:after="0" w:line="240" w:lineRule="auto"/>
        <w:ind w:firstLine="284"/>
        <w:rPr>
          <w:rFonts w:ascii="Garamond" w:hAnsi="Garamond" w:cs="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4526"/>
      </w:tblGrid>
      <w:tr w:rsidR="008E52E9" w:rsidRPr="00A90756" w14:paraId="014E40AA" w14:textId="77777777" w:rsidTr="00665BD2">
        <w:trPr>
          <w:trHeight w:val="532"/>
        </w:trPr>
        <w:tc>
          <w:tcPr>
            <w:tcW w:w="4280" w:type="dxa"/>
          </w:tcPr>
          <w:p w14:paraId="014E40A8" w14:textId="1448CB02" w:rsidR="008E52E9" w:rsidRPr="00A90756" w:rsidRDefault="002132A6"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PËR PËRFITUESIT E IPA III</w:t>
            </w:r>
          </w:p>
        </w:tc>
        <w:tc>
          <w:tcPr>
            <w:tcW w:w="4526" w:type="dxa"/>
          </w:tcPr>
          <w:p w14:paraId="014E40A9" w14:textId="7C35E6AC" w:rsidR="008E52E9" w:rsidRPr="00A90756" w:rsidRDefault="002132A6"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PËR KOMISIONIN</w:t>
            </w:r>
          </w:p>
        </w:tc>
      </w:tr>
      <w:tr w:rsidR="008E52E9" w:rsidRPr="00A90756" w14:paraId="014E40AD" w14:textId="77777777" w:rsidTr="00665BD2">
        <w:trPr>
          <w:trHeight w:val="266"/>
        </w:trPr>
        <w:tc>
          <w:tcPr>
            <w:tcW w:w="4280" w:type="dxa"/>
          </w:tcPr>
          <w:p w14:paraId="014E40AB" w14:textId="77777777" w:rsidR="008E52E9" w:rsidRPr="00A90756" w:rsidRDefault="008E52E9" w:rsidP="008E52E9">
            <w:pPr>
              <w:autoSpaceDE w:val="0"/>
              <w:autoSpaceDN w:val="0"/>
              <w:adjustRightInd w:val="0"/>
              <w:rPr>
                <w:rFonts w:ascii="Garamond" w:hAnsi="Garamond" w:cs="Times New Roman"/>
                <w:color w:val="000000"/>
                <w:sz w:val="20"/>
                <w:szCs w:val="24"/>
              </w:rPr>
            </w:pPr>
          </w:p>
        </w:tc>
        <w:tc>
          <w:tcPr>
            <w:tcW w:w="4526" w:type="dxa"/>
          </w:tcPr>
          <w:p w14:paraId="014E40AC" w14:textId="77777777" w:rsidR="008E52E9" w:rsidRPr="00A90756" w:rsidRDefault="008E52E9" w:rsidP="008E52E9">
            <w:pPr>
              <w:autoSpaceDE w:val="0"/>
              <w:autoSpaceDN w:val="0"/>
              <w:adjustRightInd w:val="0"/>
              <w:rPr>
                <w:rFonts w:ascii="Garamond" w:hAnsi="Garamond" w:cs="Times New Roman"/>
                <w:color w:val="000000"/>
                <w:sz w:val="20"/>
                <w:szCs w:val="24"/>
              </w:rPr>
            </w:pPr>
          </w:p>
        </w:tc>
      </w:tr>
      <w:tr w:rsidR="008E52E9" w:rsidRPr="00A90756" w14:paraId="014E40B0" w14:textId="77777777" w:rsidTr="00665BD2">
        <w:trPr>
          <w:trHeight w:val="266"/>
        </w:trPr>
        <w:tc>
          <w:tcPr>
            <w:tcW w:w="4280" w:type="dxa"/>
          </w:tcPr>
          <w:p w14:paraId="014E40AE"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b/>
                <w:bCs/>
                <w:color w:val="000000"/>
                <w:sz w:val="20"/>
                <w:szCs w:val="24"/>
              </w:rPr>
              <w:t>Për Malin e Zi:</w:t>
            </w:r>
          </w:p>
        </w:tc>
        <w:tc>
          <w:tcPr>
            <w:tcW w:w="4526" w:type="dxa"/>
          </w:tcPr>
          <w:p w14:paraId="014E40AF"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b/>
                <w:bCs/>
                <w:color w:val="000000"/>
                <w:sz w:val="20"/>
                <w:szCs w:val="24"/>
              </w:rPr>
              <w:t>Për Komisionin:</w:t>
            </w:r>
          </w:p>
        </w:tc>
      </w:tr>
      <w:tr w:rsidR="008E52E9" w:rsidRPr="00A90756" w14:paraId="014E40B4" w14:textId="77777777" w:rsidTr="00665BD2">
        <w:trPr>
          <w:trHeight w:val="1867"/>
        </w:trPr>
        <w:tc>
          <w:tcPr>
            <w:tcW w:w="4280" w:type="dxa"/>
          </w:tcPr>
          <w:p w14:paraId="014E40B1" w14:textId="7AB28510" w:rsidR="006C339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Qeveria e Malit të Zi</w:t>
            </w:r>
          </w:p>
          <w:p w14:paraId="521E2A31" w14:textId="77777777" w:rsidR="006C3399" w:rsidRPr="00A90756" w:rsidRDefault="006C3399" w:rsidP="006C3399">
            <w:pPr>
              <w:rPr>
                <w:rFonts w:ascii="Garamond" w:hAnsi="Garamond" w:cs="Times New Roman"/>
                <w:sz w:val="20"/>
                <w:szCs w:val="24"/>
              </w:rPr>
            </w:pPr>
          </w:p>
          <w:p w14:paraId="7D9E39F3" w14:textId="4A04A4AB" w:rsidR="008E52E9" w:rsidRPr="00A90756" w:rsidRDefault="008E52E9" w:rsidP="006C3399">
            <w:pPr>
              <w:tabs>
                <w:tab w:val="left" w:pos="1578"/>
              </w:tabs>
              <w:rPr>
                <w:rFonts w:ascii="Garamond" w:hAnsi="Garamond" w:cs="Times New Roman"/>
                <w:sz w:val="20"/>
                <w:szCs w:val="24"/>
              </w:rPr>
            </w:pPr>
          </w:p>
        </w:tc>
        <w:tc>
          <w:tcPr>
            <w:tcW w:w="4526" w:type="dxa"/>
          </w:tcPr>
          <w:p w14:paraId="014E40B2"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 xml:space="preserve">Znj. Michela Matuella </w:t>
            </w:r>
          </w:p>
          <w:p w14:paraId="014E40B3"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Drejtore në detyrë (Drejtoria NEAR. D), për Ballkanin Perëndimor Drejtoria e Përgjithshme për Fqinjësinë dhe Negociatat e Zgjerimit, Komisioni Evropian</w:t>
            </w:r>
          </w:p>
        </w:tc>
      </w:tr>
      <w:tr w:rsidR="008E52E9" w:rsidRPr="00A90756" w14:paraId="014E40B7" w14:textId="77777777" w:rsidTr="00665BD2">
        <w:trPr>
          <w:trHeight w:val="253"/>
        </w:trPr>
        <w:tc>
          <w:tcPr>
            <w:tcW w:w="4280" w:type="dxa"/>
          </w:tcPr>
          <w:p w14:paraId="014E40B5" w14:textId="77777777" w:rsidR="008E52E9" w:rsidRPr="00A90756" w:rsidRDefault="008E52E9" w:rsidP="008E52E9">
            <w:pPr>
              <w:autoSpaceDE w:val="0"/>
              <w:autoSpaceDN w:val="0"/>
              <w:adjustRightInd w:val="0"/>
              <w:rPr>
                <w:rFonts w:ascii="Garamond" w:hAnsi="Garamond" w:cs="Times New Roman"/>
                <w:color w:val="000000"/>
                <w:sz w:val="20"/>
                <w:szCs w:val="24"/>
              </w:rPr>
            </w:pPr>
          </w:p>
        </w:tc>
        <w:tc>
          <w:tcPr>
            <w:tcW w:w="4526" w:type="dxa"/>
          </w:tcPr>
          <w:p w14:paraId="014E40B6" w14:textId="77777777" w:rsidR="008E52E9" w:rsidRPr="00A90756" w:rsidRDefault="008E52E9" w:rsidP="008E52E9">
            <w:pPr>
              <w:autoSpaceDE w:val="0"/>
              <w:autoSpaceDN w:val="0"/>
              <w:adjustRightInd w:val="0"/>
              <w:rPr>
                <w:rFonts w:ascii="Garamond" w:hAnsi="Garamond" w:cs="Times New Roman"/>
                <w:color w:val="000000"/>
                <w:sz w:val="20"/>
                <w:szCs w:val="24"/>
              </w:rPr>
            </w:pPr>
          </w:p>
        </w:tc>
      </w:tr>
      <w:tr w:rsidR="008E52E9" w:rsidRPr="00A90756" w14:paraId="014E40BA" w14:textId="77777777" w:rsidTr="00665BD2">
        <w:trPr>
          <w:trHeight w:val="266"/>
        </w:trPr>
        <w:tc>
          <w:tcPr>
            <w:tcW w:w="4280" w:type="dxa"/>
          </w:tcPr>
          <w:p w14:paraId="014E40B8"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Podgoricë, më</w:t>
            </w:r>
          </w:p>
        </w:tc>
        <w:tc>
          <w:tcPr>
            <w:tcW w:w="4526" w:type="dxa"/>
          </w:tcPr>
          <w:p w14:paraId="014E40B9"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Bruksel, më</w:t>
            </w:r>
          </w:p>
        </w:tc>
      </w:tr>
      <w:tr w:rsidR="008E52E9" w:rsidRPr="00A90756" w14:paraId="014E40BD" w14:textId="77777777" w:rsidTr="00665BD2">
        <w:trPr>
          <w:trHeight w:val="266"/>
        </w:trPr>
        <w:tc>
          <w:tcPr>
            <w:tcW w:w="4280" w:type="dxa"/>
          </w:tcPr>
          <w:p w14:paraId="014E40BB"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Data:</w:t>
            </w:r>
          </w:p>
        </w:tc>
        <w:tc>
          <w:tcPr>
            <w:tcW w:w="4526" w:type="dxa"/>
          </w:tcPr>
          <w:p w14:paraId="014E40BC"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Data:</w:t>
            </w:r>
          </w:p>
        </w:tc>
      </w:tr>
      <w:tr w:rsidR="008E52E9" w:rsidRPr="00A90756" w14:paraId="014E40C0" w14:textId="77777777" w:rsidTr="00665BD2">
        <w:trPr>
          <w:trHeight w:val="266"/>
        </w:trPr>
        <w:tc>
          <w:tcPr>
            <w:tcW w:w="4280" w:type="dxa"/>
          </w:tcPr>
          <w:p w14:paraId="014E40BE"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Nënshkrimi:</w:t>
            </w:r>
          </w:p>
        </w:tc>
        <w:tc>
          <w:tcPr>
            <w:tcW w:w="4526" w:type="dxa"/>
          </w:tcPr>
          <w:p w14:paraId="014E40BF"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Nënshkrimi:</w:t>
            </w:r>
          </w:p>
        </w:tc>
      </w:tr>
      <w:tr w:rsidR="008E52E9" w:rsidRPr="00A90756" w14:paraId="014E40C3" w14:textId="77777777" w:rsidTr="00665BD2">
        <w:trPr>
          <w:trHeight w:val="266"/>
        </w:trPr>
        <w:tc>
          <w:tcPr>
            <w:tcW w:w="4280" w:type="dxa"/>
          </w:tcPr>
          <w:p w14:paraId="014E40C1" w14:textId="77777777" w:rsidR="008E52E9" w:rsidRPr="00A90756" w:rsidRDefault="008E52E9" w:rsidP="008E52E9">
            <w:pPr>
              <w:autoSpaceDE w:val="0"/>
              <w:autoSpaceDN w:val="0"/>
              <w:adjustRightInd w:val="0"/>
              <w:rPr>
                <w:rFonts w:ascii="Garamond" w:hAnsi="Garamond" w:cs="Times New Roman"/>
                <w:color w:val="000000"/>
                <w:sz w:val="20"/>
                <w:szCs w:val="24"/>
              </w:rPr>
            </w:pPr>
          </w:p>
        </w:tc>
        <w:tc>
          <w:tcPr>
            <w:tcW w:w="4526" w:type="dxa"/>
          </w:tcPr>
          <w:p w14:paraId="014E40C2" w14:textId="77777777" w:rsidR="008E52E9" w:rsidRPr="00A90756" w:rsidRDefault="008E52E9" w:rsidP="008E52E9">
            <w:pPr>
              <w:autoSpaceDE w:val="0"/>
              <w:autoSpaceDN w:val="0"/>
              <w:adjustRightInd w:val="0"/>
              <w:rPr>
                <w:rFonts w:ascii="Garamond" w:hAnsi="Garamond" w:cs="Times New Roman"/>
                <w:color w:val="000000"/>
                <w:sz w:val="20"/>
                <w:szCs w:val="24"/>
              </w:rPr>
            </w:pPr>
          </w:p>
        </w:tc>
      </w:tr>
      <w:tr w:rsidR="008E52E9" w:rsidRPr="00A90756" w14:paraId="014E40C8" w14:textId="77777777" w:rsidTr="00665BD2">
        <w:trPr>
          <w:trHeight w:val="1067"/>
        </w:trPr>
        <w:tc>
          <w:tcPr>
            <w:tcW w:w="4280" w:type="dxa"/>
          </w:tcPr>
          <w:p w14:paraId="014E40C4" w14:textId="77777777" w:rsidR="008E52E9" w:rsidRPr="00A90756" w:rsidRDefault="008E52E9" w:rsidP="008E52E9">
            <w:pPr>
              <w:autoSpaceDE w:val="0"/>
              <w:autoSpaceDN w:val="0"/>
              <w:adjustRightInd w:val="0"/>
              <w:rPr>
                <w:rFonts w:ascii="Garamond" w:hAnsi="Garamond" w:cs="Times New Roman"/>
                <w:b/>
                <w:bCs/>
                <w:color w:val="000000"/>
                <w:sz w:val="20"/>
                <w:szCs w:val="24"/>
              </w:rPr>
            </w:pPr>
            <w:r w:rsidRPr="00A90756">
              <w:rPr>
                <w:rFonts w:ascii="Garamond" w:hAnsi="Garamond" w:cs="Times New Roman"/>
                <w:b/>
                <w:bCs/>
                <w:color w:val="000000"/>
                <w:sz w:val="20"/>
                <w:szCs w:val="24"/>
              </w:rPr>
              <w:t>Për Shqipërinë:</w:t>
            </w:r>
          </w:p>
          <w:p w14:paraId="014E40C5"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 xml:space="preserve">Z. Ilir Beqaj </w:t>
            </w:r>
          </w:p>
          <w:p w14:paraId="014E40C6"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Koordinator Kombëtar i IPA-s (KKIPA)</w:t>
            </w:r>
          </w:p>
        </w:tc>
        <w:tc>
          <w:tcPr>
            <w:tcW w:w="4526" w:type="dxa"/>
          </w:tcPr>
          <w:p w14:paraId="014E40C7" w14:textId="77777777" w:rsidR="008E52E9" w:rsidRPr="00A90756" w:rsidRDefault="008E52E9" w:rsidP="008E52E9">
            <w:pPr>
              <w:autoSpaceDE w:val="0"/>
              <w:autoSpaceDN w:val="0"/>
              <w:adjustRightInd w:val="0"/>
              <w:rPr>
                <w:rFonts w:ascii="Garamond" w:hAnsi="Garamond" w:cs="Times New Roman"/>
                <w:color w:val="000000"/>
                <w:sz w:val="20"/>
                <w:szCs w:val="24"/>
              </w:rPr>
            </w:pPr>
          </w:p>
        </w:tc>
      </w:tr>
      <w:tr w:rsidR="008E52E9" w:rsidRPr="00A90756" w14:paraId="014E40CD" w14:textId="77777777" w:rsidTr="00665BD2">
        <w:trPr>
          <w:trHeight w:val="800"/>
        </w:trPr>
        <w:tc>
          <w:tcPr>
            <w:tcW w:w="4280" w:type="dxa"/>
          </w:tcPr>
          <w:p w14:paraId="014E40C9"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Tiranë, më</w:t>
            </w:r>
          </w:p>
          <w:p w14:paraId="014E40CA" w14:textId="77777777" w:rsidR="008E52E9" w:rsidRPr="00A90756" w:rsidRDefault="008E52E9" w:rsidP="008E52E9">
            <w:pPr>
              <w:autoSpaceDE w:val="0"/>
              <w:autoSpaceDN w:val="0"/>
              <w:adjustRightInd w:val="0"/>
              <w:rPr>
                <w:rFonts w:ascii="Garamond" w:hAnsi="Garamond" w:cs="Times New Roman"/>
                <w:color w:val="000000"/>
                <w:sz w:val="20"/>
                <w:szCs w:val="24"/>
              </w:rPr>
            </w:pPr>
            <w:r w:rsidRPr="00A90756">
              <w:rPr>
                <w:rFonts w:ascii="Garamond" w:hAnsi="Garamond" w:cs="Times New Roman"/>
                <w:color w:val="000000"/>
                <w:sz w:val="20"/>
                <w:szCs w:val="24"/>
              </w:rPr>
              <w:t>Data:</w:t>
            </w:r>
          </w:p>
          <w:p w14:paraId="014E40CB" w14:textId="77777777" w:rsidR="008E52E9" w:rsidRPr="00A90756" w:rsidRDefault="008E52E9" w:rsidP="008E52E9">
            <w:pPr>
              <w:autoSpaceDE w:val="0"/>
              <w:autoSpaceDN w:val="0"/>
              <w:adjustRightInd w:val="0"/>
              <w:rPr>
                <w:rFonts w:ascii="Garamond" w:hAnsi="Garamond" w:cs="Times New Roman"/>
                <w:b/>
                <w:bCs/>
                <w:color w:val="000000"/>
                <w:sz w:val="20"/>
                <w:szCs w:val="24"/>
              </w:rPr>
            </w:pPr>
            <w:r w:rsidRPr="00A90756">
              <w:rPr>
                <w:rFonts w:ascii="Garamond" w:hAnsi="Garamond" w:cs="Times New Roman"/>
                <w:color w:val="000000"/>
                <w:sz w:val="20"/>
                <w:szCs w:val="24"/>
              </w:rPr>
              <w:t>Nënshkrimi</w:t>
            </w:r>
          </w:p>
        </w:tc>
        <w:tc>
          <w:tcPr>
            <w:tcW w:w="4526" w:type="dxa"/>
          </w:tcPr>
          <w:p w14:paraId="014E40CC" w14:textId="77777777" w:rsidR="008E52E9" w:rsidRPr="00A90756" w:rsidRDefault="008E52E9" w:rsidP="008E52E9">
            <w:pPr>
              <w:autoSpaceDE w:val="0"/>
              <w:autoSpaceDN w:val="0"/>
              <w:adjustRightInd w:val="0"/>
              <w:rPr>
                <w:rFonts w:ascii="Garamond" w:hAnsi="Garamond" w:cs="Times New Roman"/>
                <w:color w:val="000000"/>
                <w:sz w:val="20"/>
                <w:szCs w:val="24"/>
              </w:rPr>
            </w:pPr>
          </w:p>
        </w:tc>
      </w:tr>
    </w:tbl>
    <w:p w14:paraId="014E40CE" w14:textId="77777777" w:rsidR="003C3138" w:rsidRPr="00A90756" w:rsidRDefault="003C3138" w:rsidP="00EC73A8">
      <w:pPr>
        <w:spacing w:after="0" w:line="240" w:lineRule="auto"/>
        <w:ind w:firstLine="284"/>
        <w:rPr>
          <w:rFonts w:ascii="Garamond" w:hAnsi="Garamond"/>
          <w:sz w:val="24"/>
          <w:szCs w:val="24"/>
        </w:rPr>
      </w:pPr>
    </w:p>
    <w:p w14:paraId="014E40CF" w14:textId="77777777" w:rsidR="000D306C" w:rsidRPr="00A90756" w:rsidRDefault="000D306C" w:rsidP="000D306C">
      <w:pPr>
        <w:pStyle w:val="Bodytext20"/>
        <w:spacing w:after="0"/>
        <w:ind w:left="0" w:firstLine="284"/>
        <w:jc w:val="center"/>
        <w:rPr>
          <w:rFonts w:ascii="Garamond" w:hAnsi="Garamond"/>
        </w:rPr>
      </w:pPr>
      <w:r w:rsidRPr="00A90756">
        <w:rPr>
          <w:rStyle w:val="Bodytext2"/>
          <w:rFonts w:ascii="Garamond" w:hAnsi="Garamond"/>
          <w:bCs/>
        </w:rPr>
        <w:t>SHQIP</w:t>
      </w:r>
    </w:p>
    <w:p w14:paraId="014E40D0" w14:textId="74FDCAB8" w:rsidR="000D306C" w:rsidRPr="00A90756" w:rsidRDefault="002132A6" w:rsidP="000D306C">
      <w:pPr>
        <w:pStyle w:val="Bodytext40"/>
        <w:spacing w:after="0" w:line="240" w:lineRule="auto"/>
        <w:ind w:firstLine="284"/>
        <w:rPr>
          <w:rFonts w:ascii="Garamond" w:hAnsi="Garamond"/>
          <w:sz w:val="24"/>
          <w:szCs w:val="24"/>
        </w:rPr>
      </w:pPr>
      <w:r w:rsidRPr="00A90756">
        <w:rPr>
          <w:rStyle w:val="Bodytext4"/>
          <w:rFonts w:ascii="Garamond" w:hAnsi="Garamond"/>
          <w:bCs/>
          <w:smallCaps/>
          <w:sz w:val="24"/>
          <w:szCs w:val="24"/>
        </w:rPr>
        <w:t>ANEKS</w:t>
      </w:r>
    </w:p>
    <w:p w14:paraId="014E40D1" w14:textId="3277238B" w:rsidR="000D306C" w:rsidRPr="00A90756" w:rsidRDefault="002132A6" w:rsidP="000D306C">
      <w:pPr>
        <w:pStyle w:val="Bodytext20"/>
        <w:spacing w:after="0"/>
        <w:ind w:left="0" w:firstLine="284"/>
        <w:jc w:val="center"/>
        <w:rPr>
          <w:rStyle w:val="SubtleEmphasis"/>
          <w:rFonts w:ascii="Garamond" w:hAnsi="Garamond"/>
          <w:b w:val="0"/>
          <w:i w:val="0"/>
          <w:iCs w:val="0"/>
        </w:rPr>
      </w:pPr>
      <w:r w:rsidRPr="00A90756">
        <w:rPr>
          <w:rStyle w:val="SubtleEmphasis"/>
          <w:rFonts w:ascii="Garamond" w:hAnsi="Garamond"/>
          <w:b w:val="0"/>
          <w:i w:val="0"/>
          <w:iCs w:val="0"/>
        </w:rPr>
        <w:t>I VENDIMIT ZBATUES TË KOMISIONIT PËR FINANCIMIN E PROGRAMIT TË BASHKËPUNIMIT NDËRKUFITAR MALI I ZI–REPUBLIKA E SHQIPËRISË</w:t>
      </w:r>
      <w:r w:rsidR="009F06FA" w:rsidRPr="00A90756">
        <w:rPr>
          <w:rStyle w:val="SubtleEmphasis"/>
          <w:rFonts w:ascii="Garamond" w:hAnsi="Garamond"/>
          <w:b w:val="0"/>
          <w:i w:val="0"/>
          <w:iCs w:val="0"/>
        </w:rPr>
        <w:t>,</w:t>
      </w:r>
      <w:r w:rsidRPr="00A90756">
        <w:rPr>
          <w:rStyle w:val="SubtleEmphasis"/>
          <w:rFonts w:ascii="Garamond" w:hAnsi="Garamond"/>
          <w:b w:val="0"/>
          <w:i w:val="0"/>
          <w:iCs w:val="0"/>
        </w:rPr>
        <w:t xml:space="preserve"> PËR PERIUDHËN 2021–2027</w:t>
      </w:r>
    </w:p>
    <w:p w14:paraId="014E40D2" w14:textId="35895949" w:rsidR="000D306C" w:rsidRPr="00A90756" w:rsidRDefault="002132A6" w:rsidP="000D306C">
      <w:pPr>
        <w:pStyle w:val="Bodytext20"/>
        <w:spacing w:after="0"/>
        <w:ind w:left="0" w:firstLine="284"/>
        <w:jc w:val="center"/>
        <w:rPr>
          <w:rStyle w:val="SubtleEmphasis"/>
          <w:rFonts w:ascii="Garamond" w:hAnsi="Garamond"/>
          <w:b w:val="0"/>
          <w:i w:val="0"/>
          <w:iCs w:val="0"/>
        </w:rPr>
      </w:pPr>
      <w:r w:rsidRPr="00A90756">
        <w:rPr>
          <w:rStyle w:val="SubtleEmphasis"/>
          <w:rFonts w:ascii="Garamond" w:hAnsi="Garamond"/>
          <w:b w:val="0"/>
          <w:i w:val="0"/>
          <w:iCs w:val="0"/>
        </w:rPr>
        <w:t>DOKUMENTI I VEPRIMIT PËR: PROGRAMIN E BASHKËPUNIMIT NDËRKUFITAR MALI I ZI–REPUBLIKA E SHQIPËRISË</w:t>
      </w:r>
      <w:r w:rsidR="00930B35" w:rsidRPr="00A90756">
        <w:rPr>
          <w:rStyle w:val="SubtleEmphasis"/>
          <w:rFonts w:ascii="Garamond" w:hAnsi="Garamond"/>
          <w:b w:val="0"/>
          <w:i w:val="0"/>
          <w:iCs w:val="0"/>
        </w:rPr>
        <w:t>,</w:t>
      </w:r>
      <w:r w:rsidRPr="00A90756">
        <w:rPr>
          <w:rStyle w:val="SubtleEmphasis"/>
          <w:rFonts w:ascii="Garamond" w:hAnsi="Garamond"/>
          <w:b w:val="0"/>
          <w:i w:val="0"/>
          <w:iCs w:val="0"/>
        </w:rPr>
        <w:t xml:space="preserve"> PËR PERIUDHËN 2021–2027</w:t>
      </w:r>
    </w:p>
    <w:p w14:paraId="014E40D3" w14:textId="77777777" w:rsidR="000D306C" w:rsidRPr="00A90756" w:rsidRDefault="000D306C" w:rsidP="000D306C">
      <w:pPr>
        <w:pStyle w:val="Bodytext20"/>
        <w:spacing w:after="0"/>
        <w:ind w:left="0" w:firstLine="284"/>
        <w:jc w:val="center"/>
        <w:rPr>
          <w:rStyle w:val="SubtleEmphasis"/>
          <w:rFonts w:ascii="Garamond" w:hAnsi="Garamond"/>
          <w:b w:val="0"/>
        </w:rPr>
      </w:pPr>
    </w:p>
    <w:p w14:paraId="014E40D5" w14:textId="23850C3A" w:rsidR="000D306C" w:rsidRPr="00A90756" w:rsidRDefault="00930B35" w:rsidP="00930B35">
      <w:pPr>
        <w:pStyle w:val="Bodytext20"/>
        <w:spacing w:after="0"/>
        <w:ind w:left="0" w:firstLine="284"/>
        <w:jc w:val="center"/>
        <w:rPr>
          <w:rStyle w:val="SubtleEmphasis"/>
          <w:rFonts w:ascii="Garamond" w:hAnsi="Garamond"/>
          <w:b w:val="0"/>
          <w:i w:val="0"/>
        </w:rPr>
      </w:pPr>
      <w:r w:rsidRPr="00A90756">
        <w:rPr>
          <w:rStyle w:val="SubtleEmphasis"/>
          <w:rFonts w:ascii="Garamond" w:hAnsi="Garamond"/>
          <w:b w:val="0"/>
          <w:i w:val="0"/>
        </w:rPr>
        <w:t>TABELA E PËRMBAJTJES</w:t>
      </w:r>
    </w:p>
    <w:p w14:paraId="014E40D6" w14:textId="0315F6FC" w:rsidR="000D306C" w:rsidRPr="00A90756" w:rsidRDefault="000D306C" w:rsidP="00930B35">
      <w:pPr>
        <w:pStyle w:val="TOC1"/>
        <w:rPr>
          <w:rStyle w:val="Emphasis"/>
          <w:i w:val="0"/>
        </w:rPr>
      </w:pPr>
      <w:r w:rsidRPr="00A90756">
        <w:rPr>
          <w:rStyle w:val="Emphasis"/>
          <w:i w:val="0"/>
        </w:rPr>
        <w:t xml:space="preserve">Përmbledhja e </w:t>
      </w:r>
      <w:r w:rsidR="00D75C5A" w:rsidRPr="00A90756">
        <w:rPr>
          <w:rStyle w:val="Emphasis"/>
          <w:i w:val="0"/>
        </w:rPr>
        <w:t>programit</w:t>
      </w:r>
    </w:p>
    <w:p w14:paraId="014E40D7" w14:textId="77777777" w:rsidR="000D306C" w:rsidRPr="00A90756" w:rsidRDefault="000D306C" w:rsidP="00930B35">
      <w:pPr>
        <w:spacing w:after="0" w:line="240" w:lineRule="auto"/>
        <w:ind w:firstLine="288"/>
        <w:jc w:val="both"/>
        <w:rPr>
          <w:rFonts w:ascii="Garamond" w:eastAsia="Verdana" w:hAnsi="Garamond"/>
        </w:rPr>
      </w:pPr>
      <w:r w:rsidRPr="00A90756">
        <w:rPr>
          <w:rFonts w:ascii="Garamond" w:eastAsia="Verdana" w:hAnsi="Garamond"/>
        </w:rPr>
        <w:t>Qëllimet kryesore të zhvillimit të qëndrueshëm</w:t>
      </w:r>
    </w:p>
    <w:p w14:paraId="014E40D8" w14:textId="77777777" w:rsidR="000D306C" w:rsidRPr="00A90756" w:rsidRDefault="000D306C" w:rsidP="00930B35">
      <w:pPr>
        <w:spacing w:after="0" w:line="240" w:lineRule="auto"/>
        <w:ind w:firstLine="288"/>
        <w:jc w:val="both"/>
        <w:rPr>
          <w:rFonts w:ascii="Garamond" w:eastAsia="Verdana" w:hAnsi="Garamond"/>
        </w:rPr>
      </w:pPr>
      <w:r w:rsidRPr="00A90756">
        <w:rPr>
          <w:rFonts w:ascii="Garamond" w:eastAsia="Verdana" w:hAnsi="Garamond"/>
        </w:rPr>
        <w:t>Qëllimi 8. Promovimi i rritjes ekonomike të qëndrueshme, gjithëpërfshirëse dhe elastike, punësimi i plotë dhe produktiv dhe sigurimi i punës së denjë për të gjithë</w:t>
      </w:r>
    </w:p>
    <w:p w14:paraId="014E40D9" w14:textId="04767C4B" w:rsidR="000D306C" w:rsidRPr="00A90756" w:rsidRDefault="000D306C" w:rsidP="00930B35">
      <w:pPr>
        <w:spacing w:after="0" w:line="240" w:lineRule="auto"/>
        <w:ind w:firstLine="288"/>
        <w:jc w:val="both"/>
        <w:rPr>
          <w:rFonts w:ascii="Garamond" w:eastAsia="Verdana" w:hAnsi="Garamond"/>
        </w:rPr>
      </w:pPr>
      <w:r w:rsidRPr="00A90756">
        <w:rPr>
          <w:rFonts w:ascii="Garamond" w:eastAsia="Verdana" w:hAnsi="Garamond"/>
        </w:rPr>
        <w:t>Qëllimi 4.</w:t>
      </w:r>
      <w:r w:rsidRPr="00A90756">
        <w:rPr>
          <w:rFonts w:ascii="Garamond" w:eastAsia="Verdana" w:hAnsi="Garamond" w:cs="Verdana"/>
        </w:rPr>
        <w:t xml:space="preserve"> </w:t>
      </w:r>
      <w:r w:rsidRPr="00A90756">
        <w:rPr>
          <w:rFonts w:ascii="Garamond" w:eastAsia="Verdana" w:hAnsi="Garamond"/>
        </w:rPr>
        <w:t>Sigurimi i arsimit cilësor gjithëpërfshirës dhe të barabartë dhe promovimi i mundësive të të mësuarit gjatë</w:t>
      </w:r>
      <w:r w:rsidR="00930B35" w:rsidRPr="00A90756">
        <w:rPr>
          <w:rFonts w:ascii="Garamond" w:eastAsia="Verdana" w:hAnsi="Garamond"/>
        </w:rPr>
        <w:t xml:space="preserve"> të</w:t>
      </w:r>
      <w:r w:rsidRPr="00A90756">
        <w:rPr>
          <w:rFonts w:ascii="Garamond" w:eastAsia="Verdana" w:hAnsi="Garamond"/>
        </w:rPr>
        <w:t xml:space="preserve"> gjithë jetës për të gjithë</w:t>
      </w:r>
    </w:p>
    <w:p w14:paraId="014E40DA" w14:textId="77777777" w:rsidR="000D306C" w:rsidRPr="00A90756" w:rsidRDefault="000D306C" w:rsidP="00930B35">
      <w:pPr>
        <w:spacing w:after="0" w:line="240" w:lineRule="auto"/>
        <w:ind w:firstLine="288"/>
        <w:jc w:val="both"/>
        <w:rPr>
          <w:rFonts w:ascii="Garamond" w:eastAsia="Verdana" w:hAnsi="Garamond"/>
        </w:rPr>
      </w:pPr>
      <w:r w:rsidRPr="00A90756">
        <w:rPr>
          <w:rFonts w:ascii="Garamond" w:eastAsia="Verdana" w:hAnsi="Garamond"/>
        </w:rPr>
        <w:t>Qëllimi 10.</w:t>
      </w:r>
      <w:r w:rsidRPr="00A90756">
        <w:rPr>
          <w:rFonts w:ascii="Garamond" w:eastAsia="Verdana" w:hAnsi="Garamond" w:cs="Verdana"/>
        </w:rPr>
        <w:t xml:space="preserve"> </w:t>
      </w:r>
      <w:r w:rsidRPr="00A90756">
        <w:rPr>
          <w:rFonts w:ascii="Garamond" w:eastAsia="Verdana" w:hAnsi="Garamond"/>
        </w:rPr>
        <w:t>Ulja e pabarazisë brenda dhe ndërmjet vendeve</w:t>
      </w:r>
    </w:p>
    <w:p w14:paraId="014E40DB" w14:textId="77777777" w:rsidR="000D306C" w:rsidRPr="00A90756" w:rsidRDefault="000D306C" w:rsidP="00930B35">
      <w:pPr>
        <w:spacing w:after="0" w:line="240" w:lineRule="auto"/>
        <w:ind w:firstLine="288"/>
        <w:jc w:val="both"/>
        <w:rPr>
          <w:rFonts w:ascii="Garamond" w:eastAsia="Verdana" w:hAnsi="Garamond"/>
        </w:rPr>
      </w:pPr>
      <w:r w:rsidRPr="00A90756">
        <w:rPr>
          <w:rFonts w:ascii="Garamond" w:eastAsia="Verdana" w:hAnsi="Garamond"/>
        </w:rPr>
        <w:t>Qëllimi 11. Transformimi i qyteteve dhe vendbanimeve njerëzore gjithëpërfshirëse, të sigurta, rezistente dhe të qëndrueshme</w:t>
      </w:r>
    </w:p>
    <w:p w14:paraId="014E40DC" w14:textId="7C9809AD" w:rsidR="000D306C" w:rsidRPr="00A90756" w:rsidRDefault="000D306C" w:rsidP="004429C3">
      <w:pPr>
        <w:spacing w:after="0"/>
        <w:ind w:firstLine="288"/>
        <w:jc w:val="both"/>
        <w:rPr>
          <w:rFonts w:ascii="Garamond" w:eastAsia="Verdana" w:hAnsi="Garamond"/>
        </w:rPr>
      </w:pPr>
      <w:r w:rsidRPr="00A90756">
        <w:rPr>
          <w:rFonts w:ascii="Garamond" w:eastAsia="Verdana" w:hAnsi="Garamond"/>
        </w:rPr>
        <w:t>Qëllimi 13. M</w:t>
      </w:r>
      <w:r w:rsidR="00A27A51" w:rsidRPr="00A90756">
        <w:rPr>
          <w:rFonts w:ascii="Garamond" w:eastAsia="Verdana" w:hAnsi="Garamond"/>
        </w:rPr>
        <w:t>a</w:t>
      </w:r>
      <w:r w:rsidRPr="00A90756">
        <w:rPr>
          <w:rFonts w:ascii="Garamond" w:eastAsia="Verdana" w:hAnsi="Garamond"/>
        </w:rPr>
        <w:t>rrja e masave urgjente për të luftuar ndryshimet klimatike dhe ndikimet e tyre</w:t>
      </w:r>
    </w:p>
    <w:p w14:paraId="014E40DD" w14:textId="0125F5DE" w:rsidR="000D306C" w:rsidRPr="00A90756" w:rsidRDefault="000D306C" w:rsidP="004429C3">
      <w:pPr>
        <w:spacing w:after="0" w:line="240" w:lineRule="auto"/>
        <w:ind w:firstLine="288"/>
        <w:jc w:val="both"/>
        <w:rPr>
          <w:rFonts w:ascii="Garamond" w:eastAsia="Verdana" w:hAnsi="Garamond"/>
        </w:rPr>
      </w:pPr>
      <w:r w:rsidRPr="00A90756">
        <w:rPr>
          <w:rFonts w:ascii="Garamond" w:eastAsia="Verdana" w:hAnsi="Garamond"/>
        </w:rPr>
        <w:t>Qëllimi 15. Mbrojtja, rikuperimi dhe promovimi i përdorimit të qëndrueshëm të ekosistemeve tokësore, menaxhimi në mënyrë të qëndrueshme i pyjeve, lufta kundër shkretëtirëzimit dhe ndalimi i degradimit të tokës dhe i humbjes së</w:t>
      </w:r>
      <w:r w:rsidR="00C61854" w:rsidRPr="00A90756">
        <w:rPr>
          <w:rFonts w:ascii="Garamond" w:eastAsia="Verdana" w:hAnsi="Garamond"/>
        </w:rPr>
        <w:t xml:space="preserve"> </w:t>
      </w:r>
      <w:r w:rsidRPr="00A90756">
        <w:rPr>
          <w:rFonts w:ascii="Garamond" w:eastAsia="Verdana" w:hAnsi="Garamond"/>
        </w:rPr>
        <w:t>biodiversitetit</w:t>
      </w:r>
    </w:p>
    <w:p w14:paraId="014E40DE" w14:textId="77777777" w:rsidR="000D306C" w:rsidRPr="00A90756" w:rsidRDefault="000D306C" w:rsidP="00930B35">
      <w:pPr>
        <w:spacing w:after="0" w:line="240" w:lineRule="auto"/>
        <w:ind w:firstLine="288"/>
        <w:jc w:val="both"/>
        <w:rPr>
          <w:rFonts w:ascii="Garamond" w:eastAsia="Verdana" w:hAnsi="Garamond"/>
        </w:rPr>
      </w:pPr>
      <w:r w:rsidRPr="00A90756">
        <w:rPr>
          <w:rFonts w:ascii="Garamond" w:eastAsia="Verdana" w:hAnsi="Garamond"/>
        </w:rPr>
        <w:t>Lista e akronimeve</w:t>
      </w:r>
    </w:p>
    <w:p w14:paraId="014E40DF" w14:textId="77777777"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1. Përmbledhje e programit </w:t>
      </w:r>
    </w:p>
    <w:p w14:paraId="014E40E0" w14:textId="4CBD733A"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1.1 Përmbledhje e </w:t>
      </w:r>
      <w:r w:rsidR="00D75C5A" w:rsidRPr="00A90756">
        <w:rPr>
          <w:rStyle w:val="Emphasis"/>
          <w:rFonts w:ascii="Garamond" w:eastAsia="Verdana" w:hAnsi="Garamond"/>
        </w:rPr>
        <w:t>programit</w:t>
      </w:r>
    </w:p>
    <w:p w14:paraId="014E40E1" w14:textId="5B0B9A87"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1.2 Përgatitja e programit dhe përfshirja e partnerëve</w:t>
      </w:r>
    </w:p>
    <w:p w14:paraId="014E40E2" w14:textId="67340BCA"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2. Zona e programit</w:t>
      </w:r>
    </w:p>
    <w:p w14:paraId="014E40E3" w14:textId="52B52557"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Gjeografia</w:t>
      </w:r>
    </w:p>
    <w:p w14:paraId="014E40E4" w14:textId="0A665619"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Demografia</w:t>
      </w:r>
    </w:p>
    <w:p w14:paraId="014E40E5" w14:textId="1301A83E"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Migrimi dhe dendësia</w:t>
      </w:r>
    </w:p>
    <w:p w14:paraId="014E40E6" w14:textId="41A01DFA"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Varfëria</w:t>
      </w:r>
    </w:p>
    <w:p w14:paraId="014E40E7" w14:textId="1497C82A"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lastRenderedPageBreak/>
        <w:t xml:space="preserve">Sektori </w:t>
      </w:r>
      <w:r w:rsidR="00D75C5A" w:rsidRPr="00A90756">
        <w:rPr>
          <w:rStyle w:val="Emphasis"/>
          <w:rFonts w:ascii="Garamond" w:eastAsia="Verdana" w:hAnsi="Garamond"/>
        </w:rPr>
        <w:t>privat</w:t>
      </w:r>
    </w:p>
    <w:p w14:paraId="014E40E8" w14:textId="3876FF5A"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Bujqësia dhe </w:t>
      </w:r>
      <w:r w:rsidR="00D75C5A" w:rsidRPr="00A90756">
        <w:rPr>
          <w:rStyle w:val="Emphasis"/>
          <w:rFonts w:ascii="Garamond" w:eastAsia="Verdana" w:hAnsi="Garamond"/>
        </w:rPr>
        <w:t>zhvillimi rural</w:t>
      </w:r>
    </w:p>
    <w:p w14:paraId="014E40E9" w14:textId="34619A7D"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Turizmi</w:t>
      </w:r>
    </w:p>
    <w:p w14:paraId="014E40EA" w14:textId="0BC89C70"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Mjedisi dhe </w:t>
      </w:r>
      <w:r w:rsidR="00D75C5A" w:rsidRPr="00A90756">
        <w:rPr>
          <w:rStyle w:val="Emphasis"/>
          <w:rFonts w:ascii="Garamond" w:eastAsia="Verdana" w:hAnsi="Garamond"/>
        </w:rPr>
        <w:t>natyra</w:t>
      </w:r>
    </w:p>
    <w:p w14:paraId="014E40EB" w14:textId="36BD2511"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Infrastruktura</w:t>
      </w:r>
    </w:p>
    <w:p w14:paraId="014E40EC" w14:textId="1143CFAD"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Rrugët</w:t>
      </w:r>
    </w:p>
    <w:p w14:paraId="014E40ED" w14:textId="7182D2CC"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Transporti hekurudhor</w:t>
      </w:r>
    </w:p>
    <w:p w14:paraId="014E40EE" w14:textId="1EC704A2"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Transporti </w:t>
      </w:r>
      <w:r w:rsidR="00D75C5A" w:rsidRPr="00A90756">
        <w:rPr>
          <w:rStyle w:val="Emphasis"/>
          <w:rFonts w:ascii="Garamond" w:eastAsia="Verdana" w:hAnsi="Garamond"/>
        </w:rPr>
        <w:t xml:space="preserve">ajror </w:t>
      </w:r>
      <w:r w:rsidRPr="00A90756">
        <w:rPr>
          <w:rStyle w:val="Emphasis"/>
          <w:rFonts w:ascii="Garamond" w:eastAsia="Verdana" w:hAnsi="Garamond"/>
        </w:rPr>
        <w:t xml:space="preserve">dhe </w:t>
      </w:r>
      <w:r w:rsidR="00D75C5A" w:rsidRPr="00A90756">
        <w:rPr>
          <w:rStyle w:val="Emphasis"/>
          <w:rFonts w:ascii="Garamond" w:eastAsia="Verdana" w:hAnsi="Garamond"/>
        </w:rPr>
        <w:t>detar</w:t>
      </w:r>
    </w:p>
    <w:p w14:paraId="014E40EF" w14:textId="5360665B"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Telekomunikacioni, </w:t>
      </w:r>
      <w:r w:rsidR="00D75C5A" w:rsidRPr="00A90756">
        <w:rPr>
          <w:rStyle w:val="Emphasis"/>
          <w:rFonts w:ascii="Garamond" w:eastAsia="Verdana" w:hAnsi="Garamond"/>
        </w:rPr>
        <w:t xml:space="preserve">teknologjitë </w:t>
      </w:r>
      <w:r w:rsidRPr="00A90756">
        <w:rPr>
          <w:rStyle w:val="Emphasis"/>
          <w:rFonts w:ascii="Garamond" w:eastAsia="Verdana" w:hAnsi="Garamond"/>
        </w:rPr>
        <w:t xml:space="preserve">e </w:t>
      </w:r>
      <w:r w:rsidR="00D75C5A" w:rsidRPr="00A90756">
        <w:rPr>
          <w:rStyle w:val="Emphasis"/>
          <w:rFonts w:ascii="Garamond" w:eastAsia="Verdana" w:hAnsi="Garamond"/>
        </w:rPr>
        <w:t>informacionit</w:t>
      </w:r>
    </w:p>
    <w:p w14:paraId="014E40F0" w14:textId="2F727211"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Energjia</w:t>
      </w:r>
    </w:p>
    <w:p w14:paraId="014E40F1" w14:textId="0270762E"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Aspekti social</w:t>
      </w:r>
    </w:p>
    <w:p w14:paraId="014E40F2" w14:textId="4499616D"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Arsimi dhe </w:t>
      </w:r>
      <w:r w:rsidR="00D75C5A" w:rsidRPr="00A90756">
        <w:rPr>
          <w:rStyle w:val="Emphasis"/>
          <w:rFonts w:ascii="Garamond" w:eastAsia="Verdana" w:hAnsi="Garamond"/>
        </w:rPr>
        <w:t>rinia</w:t>
      </w:r>
    </w:p>
    <w:p w14:paraId="014E40F3" w14:textId="3FBC2D61"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Kërkimi shkencor, TIK dhe </w:t>
      </w:r>
      <w:r w:rsidR="00D75C5A" w:rsidRPr="00A90756">
        <w:rPr>
          <w:rStyle w:val="Emphasis"/>
          <w:rFonts w:ascii="Garamond" w:eastAsia="Verdana" w:hAnsi="Garamond"/>
        </w:rPr>
        <w:t>inovacioni</w:t>
      </w:r>
    </w:p>
    <w:p w14:paraId="014E40F4" w14:textId="0AB88957"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Shëndeti</w:t>
      </w:r>
    </w:p>
    <w:p w14:paraId="014E40F5" w14:textId="3990FFF7"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Kultura</w:t>
      </w:r>
    </w:p>
    <w:p w14:paraId="014E40F6" w14:textId="3688CF99"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Shoqëria civile</w:t>
      </w:r>
    </w:p>
    <w:p w14:paraId="014E40F7" w14:textId="548EC839"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2.2 Gjetjet kryesore </w:t>
      </w:r>
    </w:p>
    <w:p w14:paraId="014E40F8" w14:textId="77777777"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3. Strategjia e Programit</w:t>
      </w:r>
    </w:p>
    <w:p w14:paraId="014E40F9" w14:textId="0B10C4DA"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3.1 Arsyetimi </w:t>
      </w:r>
      <w:r w:rsidR="00930B35" w:rsidRPr="00A90756">
        <w:rPr>
          <w:rStyle w:val="Emphasis"/>
          <w:rFonts w:ascii="Garamond" w:eastAsia="Verdana" w:hAnsi="Garamond"/>
        </w:rPr>
        <w:t>–</w:t>
      </w:r>
      <w:r w:rsidRPr="00A90756">
        <w:rPr>
          <w:rStyle w:val="Emphasis"/>
          <w:rFonts w:ascii="Garamond" w:eastAsia="Verdana" w:hAnsi="Garamond"/>
        </w:rPr>
        <w:t xml:space="preserve"> Arsyetimi për strategjinë e përzgjedhur të ndërhyrjes</w:t>
      </w:r>
    </w:p>
    <w:p w14:paraId="014E40FA" w14:textId="06D1FB5D"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3.2 Përshkrimi i prioriteteve të programit</w:t>
      </w:r>
    </w:p>
    <w:p w14:paraId="014E40FB" w14:textId="0CC475CB"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3.3 Çështjet horizontale dhe ndërsektoriale</w:t>
      </w:r>
    </w:p>
    <w:p w14:paraId="014E40FC" w14:textId="3C84762C"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3.4 Koherenca me programet e tjera dhe me strategjitë makro-rajonale</w:t>
      </w:r>
    </w:p>
    <w:p w14:paraId="014E40FD" w14:textId="2C29EE73"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3.5 Kushtet dhe supozimet</w:t>
      </w:r>
    </w:p>
    <w:p w14:paraId="014E40FE" w14:textId="4F5ABD05"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4. Buxheti </w:t>
      </w:r>
      <w:r w:rsidR="00D75C5A" w:rsidRPr="00A90756">
        <w:rPr>
          <w:rStyle w:val="Emphasis"/>
          <w:rFonts w:ascii="Garamond" w:eastAsia="Verdana" w:hAnsi="Garamond"/>
        </w:rPr>
        <w:t>indikativ</w:t>
      </w:r>
    </w:p>
    <w:p w14:paraId="014E40FF" w14:textId="1B5FB149"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5. Marrëveshjet e zbatimit</w:t>
      </w:r>
    </w:p>
    <w:p w14:paraId="014E4100" w14:textId="2AD25564"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5.1 Marrëveshja financiare</w:t>
      </w:r>
    </w:p>
    <w:p w14:paraId="014E4101" w14:textId="68C2BF53"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5.2 Periudha treguese e zbatimit</w:t>
      </w:r>
    </w:p>
    <w:p w14:paraId="014E4102" w14:textId="4202E5D1"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5.3 Metodat e zbatimit</w:t>
      </w:r>
    </w:p>
    <w:p w14:paraId="014E4103" w14:textId="5D0B048F"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5.4 Struktura e menaxhimit të programit</w:t>
      </w:r>
    </w:p>
    <w:p w14:paraId="014E4104" w14:textId="3D52118D"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5.5 Zhvillimi, përzgjedhja dhe zbatimi i projektit</w:t>
      </w:r>
    </w:p>
    <w:p w14:paraId="014E4105" w14:textId="690DE8DE"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5.6 Fusha e përshtatshmërisë gjeografike për prokurime dhe grante</w:t>
      </w:r>
    </w:p>
    <w:p w14:paraId="014E4106" w14:textId="2107EE7E"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 xml:space="preserve">6. </w:t>
      </w:r>
      <w:r w:rsidR="00930B35" w:rsidRPr="00A90756">
        <w:rPr>
          <w:rStyle w:val="Emphasis"/>
          <w:rFonts w:ascii="Garamond" w:eastAsia="Verdana" w:hAnsi="Garamond"/>
        </w:rPr>
        <w:t xml:space="preserve">Raportimi, </w:t>
      </w:r>
      <w:r w:rsidR="00D75C5A" w:rsidRPr="00A90756">
        <w:rPr>
          <w:rStyle w:val="Emphasis"/>
          <w:rFonts w:ascii="Garamond" w:eastAsia="Verdana" w:hAnsi="Garamond"/>
        </w:rPr>
        <w:t xml:space="preserve">monitorimi dhe vlerësimi </w:t>
      </w:r>
    </w:p>
    <w:p w14:paraId="014E4107" w14:textId="1E7BC062" w:rsidR="000D306C" w:rsidRPr="00A90756" w:rsidRDefault="000D306C" w:rsidP="002132A6">
      <w:pPr>
        <w:spacing w:after="0"/>
        <w:ind w:firstLine="288"/>
        <w:jc w:val="both"/>
        <w:rPr>
          <w:rStyle w:val="Emphasis"/>
          <w:rFonts w:ascii="Garamond" w:eastAsia="Verdana" w:hAnsi="Garamond"/>
        </w:rPr>
      </w:pPr>
      <w:r w:rsidRPr="00A90756">
        <w:rPr>
          <w:rStyle w:val="Emphasis"/>
          <w:rFonts w:ascii="Garamond" w:eastAsia="Verdana" w:hAnsi="Garamond"/>
        </w:rPr>
        <w:t>7. Informacioni dhe vizibiliteti</w:t>
      </w:r>
    </w:p>
    <w:p w14:paraId="014E4108" w14:textId="77777777" w:rsidR="000D306C" w:rsidRPr="00A90756" w:rsidRDefault="000D306C" w:rsidP="00930B35">
      <w:pPr>
        <w:pStyle w:val="TOC1"/>
        <w:rPr>
          <w:rStyle w:val="Emphasis"/>
        </w:rPr>
      </w:pPr>
      <w:r w:rsidRPr="00A90756">
        <w:rPr>
          <w:rStyle w:val="Emphasis"/>
        </w:rPr>
        <w:t>8. Qëndrueshmëria</w:t>
      </w:r>
      <w:bookmarkStart w:id="0" w:name="bookmark0"/>
    </w:p>
    <w:p w14:paraId="6DEB053C" w14:textId="77777777" w:rsidR="00930B35" w:rsidRPr="00A90756" w:rsidRDefault="00930B35" w:rsidP="00EC73A9">
      <w:pPr>
        <w:pStyle w:val="Tableofcontents10"/>
        <w:tabs>
          <w:tab w:val="left" w:pos="468"/>
          <w:tab w:val="left" w:pos="475"/>
          <w:tab w:val="right" w:leader="dot" w:pos="8620"/>
        </w:tabs>
        <w:spacing w:after="0"/>
        <w:jc w:val="both"/>
        <w:rPr>
          <w:rStyle w:val="Emphasis"/>
          <w:rFonts w:ascii="Garamond" w:hAnsi="Garamond"/>
          <w:sz w:val="24"/>
          <w:szCs w:val="24"/>
        </w:rPr>
      </w:pPr>
    </w:p>
    <w:p w14:paraId="014E410A" w14:textId="77777777" w:rsidR="000D306C" w:rsidRPr="00A90756" w:rsidRDefault="000D306C" w:rsidP="000D306C">
      <w:pPr>
        <w:pStyle w:val="Tableofcontents10"/>
        <w:tabs>
          <w:tab w:val="left" w:pos="468"/>
          <w:tab w:val="left" w:pos="475"/>
          <w:tab w:val="right" w:leader="dot" w:pos="8620"/>
        </w:tabs>
        <w:spacing w:after="0"/>
        <w:ind w:firstLine="284"/>
        <w:jc w:val="both"/>
        <w:rPr>
          <w:rStyle w:val="Tablecaption1"/>
          <w:rFonts w:ascii="Garamond" w:hAnsi="Garamond"/>
          <w:bCs/>
          <w:i w:val="0"/>
          <w:smallCaps/>
          <w:sz w:val="24"/>
          <w:szCs w:val="24"/>
        </w:rPr>
      </w:pPr>
      <w:r w:rsidRPr="00A90756">
        <w:rPr>
          <w:rStyle w:val="Tablecaption1"/>
          <w:rFonts w:ascii="Garamond" w:hAnsi="Garamond"/>
          <w:bCs/>
          <w:i w:val="0"/>
          <w:smallCaps/>
          <w:sz w:val="24"/>
          <w:szCs w:val="24"/>
        </w:rPr>
        <w:t>Përmbledhja e programit</w:t>
      </w:r>
      <w:bookmarkEnd w:id="0"/>
    </w:p>
    <w:p w14:paraId="014E410B" w14:textId="77777777" w:rsidR="000D306C" w:rsidRPr="00A90756" w:rsidRDefault="000D306C" w:rsidP="000D306C">
      <w:pPr>
        <w:pStyle w:val="Tableofcontents10"/>
        <w:tabs>
          <w:tab w:val="left" w:pos="468"/>
          <w:tab w:val="left" w:pos="475"/>
          <w:tab w:val="right" w:leader="dot" w:pos="8620"/>
        </w:tabs>
        <w:spacing w:after="0"/>
        <w:ind w:firstLine="284"/>
        <w:jc w:val="both"/>
        <w:rPr>
          <w:rFonts w:ascii="Garamond" w:hAnsi="Garamond"/>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132"/>
        <w:gridCol w:w="6885"/>
      </w:tblGrid>
      <w:tr w:rsidR="000D306C" w:rsidRPr="00A90756" w14:paraId="014E410E" w14:textId="77777777" w:rsidTr="000D306C">
        <w:trPr>
          <w:trHeight w:val="20"/>
          <w:jc w:val="center"/>
        </w:trPr>
        <w:tc>
          <w:tcPr>
            <w:tcW w:w="1182" w:type="pct"/>
            <w:tcBorders>
              <w:top w:val="single" w:sz="4" w:space="0" w:color="auto"/>
              <w:left w:val="single" w:sz="4" w:space="0" w:color="auto"/>
            </w:tcBorders>
            <w:shd w:val="clear" w:color="auto" w:fill="auto"/>
            <w:vAlign w:val="bottom"/>
          </w:tcPr>
          <w:p w14:paraId="014E410C"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Akti themelor</w:t>
            </w:r>
          </w:p>
        </w:tc>
        <w:tc>
          <w:tcPr>
            <w:tcW w:w="3818" w:type="pct"/>
            <w:tcBorders>
              <w:top w:val="single" w:sz="4" w:space="0" w:color="auto"/>
              <w:left w:val="single" w:sz="4" w:space="0" w:color="auto"/>
              <w:right w:val="single" w:sz="4" w:space="0" w:color="auto"/>
            </w:tcBorders>
            <w:shd w:val="clear" w:color="auto" w:fill="auto"/>
            <w:vAlign w:val="bottom"/>
          </w:tcPr>
          <w:p w14:paraId="014E410D"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Instrumenti për Asistencën e Para-Aderimit (IPA III)</w:t>
            </w:r>
          </w:p>
        </w:tc>
      </w:tr>
      <w:tr w:rsidR="000D306C" w:rsidRPr="00A90756" w14:paraId="014E4111" w14:textId="77777777" w:rsidTr="000D306C">
        <w:trPr>
          <w:trHeight w:val="20"/>
          <w:jc w:val="center"/>
        </w:trPr>
        <w:tc>
          <w:tcPr>
            <w:tcW w:w="1182" w:type="pct"/>
            <w:tcBorders>
              <w:top w:val="single" w:sz="4" w:space="0" w:color="auto"/>
              <w:left w:val="single" w:sz="4" w:space="0" w:color="auto"/>
            </w:tcBorders>
            <w:shd w:val="clear" w:color="auto" w:fill="auto"/>
            <w:vAlign w:val="center"/>
          </w:tcPr>
          <w:p w14:paraId="014E410F"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Titulli i programit</w:t>
            </w:r>
          </w:p>
        </w:tc>
        <w:tc>
          <w:tcPr>
            <w:tcW w:w="3818" w:type="pct"/>
            <w:tcBorders>
              <w:top w:val="single" w:sz="4" w:space="0" w:color="auto"/>
              <w:left w:val="single" w:sz="4" w:space="0" w:color="auto"/>
              <w:right w:val="single" w:sz="4" w:space="0" w:color="auto"/>
            </w:tcBorders>
            <w:shd w:val="clear" w:color="auto" w:fill="auto"/>
            <w:vAlign w:val="center"/>
          </w:tcPr>
          <w:p w14:paraId="014E4110"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Programi i bashkëpunimit ndërkufitar Mali i Zi – Republika e Shqipërisë për 2021-2027</w:t>
            </w:r>
          </w:p>
        </w:tc>
      </w:tr>
      <w:tr w:rsidR="000D306C" w:rsidRPr="00A90756" w14:paraId="014E4117" w14:textId="77777777" w:rsidTr="000D306C">
        <w:trPr>
          <w:trHeight w:val="20"/>
          <w:jc w:val="center"/>
        </w:trPr>
        <w:tc>
          <w:tcPr>
            <w:tcW w:w="1182" w:type="pct"/>
            <w:tcBorders>
              <w:top w:val="single" w:sz="4" w:space="0" w:color="auto"/>
              <w:left w:val="single" w:sz="4" w:space="0" w:color="auto"/>
            </w:tcBorders>
            <w:shd w:val="clear" w:color="auto" w:fill="auto"/>
            <w:vAlign w:val="center"/>
          </w:tcPr>
          <w:p w14:paraId="014E4112"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Numri OPSYS</w:t>
            </w:r>
          </w:p>
        </w:tc>
        <w:tc>
          <w:tcPr>
            <w:tcW w:w="3818" w:type="pct"/>
            <w:tcBorders>
              <w:top w:val="single" w:sz="4" w:space="0" w:color="auto"/>
              <w:left w:val="single" w:sz="4" w:space="0" w:color="auto"/>
              <w:right w:val="single" w:sz="4" w:space="0" w:color="auto"/>
            </w:tcBorders>
            <w:shd w:val="clear" w:color="auto" w:fill="auto"/>
            <w:vAlign w:val="bottom"/>
          </w:tcPr>
          <w:p w14:paraId="014E4113"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ACT-60806</w:t>
            </w:r>
          </w:p>
          <w:p w14:paraId="014E4114"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2022 JAD.976622</w:t>
            </w:r>
          </w:p>
          <w:p w14:paraId="014E4115"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2025 JAD.976628</w:t>
            </w:r>
          </w:p>
          <w:p w14:paraId="014E4116"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2027 JAD.976631</w:t>
            </w:r>
          </w:p>
        </w:tc>
      </w:tr>
      <w:tr w:rsidR="000D306C" w:rsidRPr="00A90756" w14:paraId="014E411A" w14:textId="77777777" w:rsidTr="000D306C">
        <w:trPr>
          <w:trHeight w:val="20"/>
          <w:jc w:val="center"/>
        </w:trPr>
        <w:tc>
          <w:tcPr>
            <w:tcW w:w="1182" w:type="pct"/>
            <w:tcBorders>
              <w:top w:val="single" w:sz="4" w:space="0" w:color="auto"/>
              <w:left w:val="single" w:sz="4" w:space="0" w:color="auto"/>
            </w:tcBorders>
            <w:shd w:val="clear" w:color="auto" w:fill="auto"/>
            <w:vAlign w:val="center"/>
          </w:tcPr>
          <w:p w14:paraId="014E4118"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Dokument programimi</w:t>
            </w:r>
          </w:p>
        </w:tc>
        <w:tc>
          <w:tcPr>
            <w:tcW w:w="3818" w:type="pct"/>
            <w:tcBorders>
              <w:top w:val="single" w:sz="4" w:space="0" w:color="auto"/>
              <w:left w:val="single" w:sz="4" w:space="0" w:color="auto"/>
              <w:right w:val="single" w:sz="4" w:space="0" w:color="auto"/>
            </w:tcBorders>
            <w:shd w:val="clear" w:color="auto" w:fill="auto"/>
            <w:vAlign w:val="center"/>
          </w:tcPr>
          <w:p w14:paraId="014E4119"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Korniza e Programimit IPA III</w:t>
            </w:r>
          </w:p>
        </w:tc>
      </w:tr>
      <w:tr w:rsidR="000D306C" w:rsidRPr="00A90756" w14:paraId="014E411D" w14:textId="77777777" w:rsidTr="000D306C">
        <w:trPr>
          <w:trHeight w:val="20"/>
          <w:jc w:val="center"/>
        </w:trPr>
        <w:tc>
          <w:tcPr>
            <w:tcW w:w="1182" w:type="pct"/>
            <w:tcBorders>
              <w:top w:val="single" w:sz="4" w:space="0" w:color="auto"/>
              <w:left w:val="single" w:sz="4" w:space="0" w:color="auto"/>
            </w:tcBorders>
            <w:shd w:val="clear" w:color="auto" w:fill="auto"/>
            <w:vAlign w:val="center"/>
          </w:tcPr>
          <w:p w14:paraId="014E411B"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Dritarja</w:t>
            </w:r>
          </w:p>
        </w:tc>
        <w:tc>
          <w:tcPr>
            <w:tcW w:w="3818" w:type="pct"/>
            <w:tcBorders>
              <w:top w:val="single" w:sz="4" w:space="0" w:color="auto"/>
              <w:left w:val="single" w:sz="4" w:space="0" w:color="auto"/>
              <w:right w:val="single" w:sz="4" w:space="0" w:color="auto"/>
            </w:tcBorders>
            <w:shd w:val="clear" w:color="auto" w:fill="auto"/>
            <w:vAlign w:val="center"/>
          </w:tcPr>
          <w:p w14:paraId="014E411C"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Dritarja 5 Bashkëpunimi territorial dhe ndërkufitar</w:t>
            </w:r>
          </w:p>
        </w:tc>
      </w:tr>
      <w:tr w:rsidR="000D306C" w:rsidRPr="00A90756" w14:paraId="014E4124" w14:textId="77777777" w:rsidTr="000D306C">
        <w:trPr>
          <w:trHeight w:val="20"/>
          <w:jc w:val="center"/>
        </w:trPr>
        <w:tc>
          <w:tcPr>
            <w:tcW w:w="1182" w:type="pct"/>
            <w:tcBorders>
              <w:top w:val="single" w:sz="4" w:space="0" w:color="auto"/>
              <w:left w:val="single" w:sz="4" w:space="0" w:color="auto"/>
            </w:tcBorders>
            <w:shd w:val="clear" w:color="auto" w:fill="auto"/>
            <w:vAlign w:val="center"/>
          </w:tcPr>
          <w:p w14:paraId="014E411E"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Zona e programit</w:t>
            </w:r>
          </w:p>
        </w:tc>
        <w:tc>
          <w:tcPr>
            <w:tcW w:w="3818" w:type="pct"/>
            <w:tcBorders>
              <w:top w:val="single" w:sz="4" w:space="0" w:color="auto"/>
              <w:left w:val="single" w:sz="4" w:space="0" w:color="auto"/>
              <w:right w:val="single" w:sz="4" w:space="0" w:color="auto"/>
            </w:tcBorders>
            <w:shd w:val="clear" w:color="auto" w:fill="auto"/>
            <w:vAlign w:val="bottom"/>
          </w:tcPr>
          <w:p w14:paraId="014E411F" w14:textId="77777777" w:rsidR="000D306C" w:rsidRPr="00A90756" w:rsidRDefault="000D306C" w:rsidP="002132A6">
            <w:pPr>
              <w:pStyle w:val="Other10"/>
              <w:spacing w:after="0"/>
              <w:jc w:val="both"/>
              <w:rPr>
                <w:rFonts w:ascii="Garamond" w:hAnsi="Garamond"/>
                <w:sz w:val="18"/>
                <w:szCs w:val="18"/>
              </w:rPr>
            </w:pPr>
            <w:r w:rsidRPr="00A90756">
              <w:rPr>
                <w:rStyle w:val="Other1"/>
                <w:rFonts w:ascii="Garamond" w:hAnsi="Garamond"/>
                <w:sz w:val="18"/>
                <w:szCs w:val="18"/>
              </w:rPr>
              <w:t>Mali i Zi:</w:t>
            </w:r>
          </w:p>
          <w:p w14:paraId="014E4120" w14:textId="77777777" w:rsidR="000D306C" w:rsidRPr="00A90756" w:rsidRDefault="000D306C" w:rsidP="002132A6">
            <w:pPr>
              <w:tabs>
                <w:tab w:val="left" w:pos="355"/>
              </w:tabs>
              <w:spacing w:after="0"/>
              <w:jc w:val="both"/>
              <w:rPr>
                <w:rStyle w:val="Other1"/>
                <w:rFonts w:ascii="Garamond" w:hAnsi="Garamond"/>
                <w:sz w:val="18"/>
                <w:szCs w:val="18"/>
              </w:rPr>
            </w:pPr>
            <w:r w:rsidRPr="00A90756">
              <w:rPr>
                <w:rStyle w:val="Other1"/>
                <w:rFonts w:ascii="Garamond" w:hAnsi="Garamond"/>
                <w:sz w:val="18"/>
                <w:szCs w:val="18"/>
              </w:rPr>
              <w:t>- Andrijevica, Berane, Plavë, Petnjica, Rožaje, Podgoricë, Cetinjë, Danilovgrad, Budva, Ulqin, Tivar, Gusinje, Tuz, Kolashin</w:t>
            </w:r>
          </w:p>
          <w:p w14:paraId="014E4121" w14:textId="77777777" w:rsidR="000D306C" w:rsidRPr="00A90756" w:rsidRDefault="000D306C" w:rsidP="002132A6">
            <w:pPr>
              <w:pStyle w:val="Other10"/>
              <w:spacing w:after="0"/>
              <w:jc w:val="both"/>
              <w:rPr>
                <w:rFonts w:ascii="Garamond" w:hAnsi="Garamond"/>
                <w:sz w:val="18"/>
                <w:szCs w:val="18"/>
              </w:rPr>
            </w:pPr>
            <w:r w:rsidRPr="00A90756">
              <w:rPr>
                <w:rStyle w:val="Other1"/>
                <w:rFonts w:ascii="Garamond" w:hAnsi="Garamond"/>
                <w:sz w:val="18"/>
                <w:szCs w:val="18"/>
              </w:rPr>
              <w:t>Shqipëri:</w:t>
            </w:r>
          </w:p>
          <w:p w14:paraId="014E4122" w14:textId="77777777" w:rsidR="000D306C" w:rsidRPr="00A90756" w:rsidRDefault="000D306C" w:rsidP="002132A6">
            <w:pPr>
              <w:pStyle w:val="Other10"/>
              <w:tabs>
                <w:tab w:val="left" w:pos="331"/>
                <w:tab w:val="left" w:pos="355"/>
              </w:tabs>
              <w:spacing w:after="0"/>
              <w:jc w:val="both"/>
              <w:rPr>
                <w:rFonts w:ascii="Garamond" w:hAnsi="Garamond"/>
                <w:sz w:val="18"/>
                <w:szCs w:val="18"/>
              </w:rPr>
            </w:pPr>
            <w:r w:rsidRPr="00A90756">
              <w:rPr>
                <w:rStyle w:val="Other1"/>
                <w:rFonts w:ascii="Garamond" w:hAnsi="Garamond"/>
                <w:sz w:val="18"/>
                <w:szCs w:val="18"/>
              </w:rPr>
              <w:t>- Qarqet Shkodër dhe Lezhë</w:t>
            </w:r>
          </w:p>
          <w:p w14:paraId="014E4123" w14:textId="77777777" w:rsidR="000D306C" w:rsidRPr="00A90756" w:rsidRDefault="000D306C" w:rsidP="002132A6">
            <w:pPr>
              <w:pStyle w:val="Other10"/>
              <w:tabs>
                <w:tab w:val="left" w:pos="331"/>
                <w:tab w:val="left" w:pos="355"/>
              </w:tabs>
              <w:spacing w:after="0"/>
              <w:jc w:val="both"/>
              <w:rPr>
                <w:rFonts w:ascii="Garamond" w:hAnsi="Garamond"/>
                <w:sz w:val="18"/>
                <w:szCs w:val="18"/>
              </w:rPr>
            </w:pPr>
            <w:r w:rsidRPr="00A90756">
              <w:rPr>
                <w:rStyle w:val="Other1"/>
                <w:rFonts w:ascii="Garamond" w:hAnsi="Garamond"/>
                <w:sz w:val="18"/>
                <w:szCs w:val="18"/>
              </w:rPr>
              <w:t>- Bashkia Tropojë</w:t>
            </w:r>
          </w:p>
        </w:tc>
      </w:tr>
      <w:tr w:rsidR="000D306C" w:rsidRPr="00A90756" w14:paraId="014E4127" w14:textId="77777777" w:rsidTr="000D306C">
        <w:trPr>
          <w:trHeight w:val="20"/>
          <w:jc w:val="center"/>
        </w:trPr>
        <w:tc>
          <w:tcPr>
            <w:tcW w:w="1182" w:type="pct"/>
            <w:tcBorders>
              <w:top w:val="single" w:sz="4" w:space="0" w:color="auto"/>
              <w:left w:val="single" w:sz="4" w:space="0" w:color="auto"/>
            </w:tcBorders>
            <w:shd w:val="clear" w:color="auto" w:fill="auto"/>
            <w:vAlign w:val="center"/>
          </w:tcPr>
          <w:p w14:paraId="014E4125"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Objektivi/ndikimi i përgjithshëm i programit</w:t>
            </w:r>
          </w:p>
        </w:tc>
        <w:tc>
          <w:tcPr>
            <w:tcW w:w="3818" w:type="pct"/>
            <w:tcBorders>
              <w:top w:val="single" w:sz="4" w:space="0" w:color="auto"/>
              <w:left w:val="single" w:sz="4" w:space="0" w:color="auto"/>
              <w:right w:val="single" w:sz="4" w:space="0" w:color="auto"/>
            </w:tcBorders>
            <w:shd w:val="clear" w:color="auto" w:fill="auto"/>
            <w:vAlign w:val="bottom"/>
          </w:tcPr>
          <w:p w14:paraId="014E4126"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 xml:space="preserve">Promovimi i marrëdhënieve të fqinjësisë së mirë, nxitja e integrimit në Bashkimin Evropian dhe kontribuimi në zhvillimin social, ekonomik dhe territorial duke përmirësuar cilësinë e jetës së </w:t>
            </w:r>
            <w:r w:rsidRPr="00A90756">
              <w:rPr>
                <w:rStyle w:val="Other1"/>
                <w:rFonts w:ascii="Garamond" w:hAnsi="Garamond"/>
                <w:sz w:val="18"/>
                <w:szCs w:val="18"/>
              </w:rPr>
              <w:lastRenderedPageBreak/>
              <w:t>popullsisë në zonën ndërkufitare të programit nëpërmjet zhvillimit të turizmit bazuar në trashëgiminë kulturore/natyrore dhe duke mbrojtur mjedisin</w:t>
            </w:r>
          </w:p>
        </w:tc>
      </w:tr>
      <w:tr w:rsidR="000D306C" w:rsidRPr="00A90756" w14:paraId="014E412C" w14:textId="77777777" w:rsidTr="000D306C">
        <w:trPr>
          <w:trHeight w:val="20"/>
          <w:jc w:val="center"/>
        </w:trPr>
        <w:tc>
          <w:tcPr>
            <w:tcW w:w="1182" w:type="pct"/>
            <w:vMerge w:val="restart"/>
            <w:tcBorders>
              <w:top w:val="single" w:sz="4" w:space="0" w:color="auto"/>
              <w:left w:val="single" w:sz="4" w:space="0" w:color="auto"/>
            </w:tcBorders>
            <w:shd w:val="clear" w:color="auto" w:fill="auto"/>
            <w:vAlign w:val="center"/>
          </w:tcPr>
          <w:p w14:paraId="014E4128"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lastRenderedPageBreak/>
              <w:t>Grupimet tematike të programit (KT), prioritetet tematike (PT) dhe objektivat/rezultatet specifike (OS) për çdo prioritet tematik</w:t>
            </w:r>
          </w:p>
        </w:tc>
        <w:tc>
          <w:tcPr>
            <w:tcW w:w="3818" w:type="pct"/>
            <w:tcBorders>
              <w:top w:val="single" w:sz="4" w:space="0" w:color="auto"/>
              <w:left w:val="single" w:sz="4" w:space="0" w:color="auto"/>
              <w:right w:val="single" w:sz="4" w:space="0" w:color="auto"/>
            </w:tcBorders>
            <w:shd w:val="clear" w:color="auto" w:fill="auto"/>
            <w:vAlign w:val="bottom"/>
          </w:tcPr>
          <w:p w14:paraId="014E4129"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b/>
                <w:bCs/>
                <w:sz w:val="18"/>
                <w:szCs w:val="18"/>
              </w:rPr>
              <w:t>PT0</w:t>
            </w:r>
            <w:r w:rsidRPr="00A90756">
              <w:rPr>
                <w:rStyle w:val="Other1"/>
                <w:rFonts w:ascii="Garamond" w:hAnsi="Garamond"/>
                <w:sz w:val="18"/>
                <w:szCs w:val="18"/>
              </w:rPr>
              <w:t>: Asistencë Teknike</w:t>
            </w:r>
          </w:p>
          <w:p w14:paraId="014E412A" w14:textId="34C14E11"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b/>
                <w:bCs/>
                <w:sz w:val="18"/>
                <w:szCs w:val="18"/>
              </w:rPr>
              <w:t>OS1:</w:t>
            </w:r>
            <w:r w:rsidRPr="00A90756">
              <w:rPr>
                <w:rStyle w:val="Other1"/>
                <w:rFonts w:ascii="Garamond" w:hAnsi="Garamond"/>
                <w:sz w:val="18"/>
                <w:szCs w:val="18"/>
              </w:rPr>
              <w:t xml:space="preserve"> Sigurimi i zbatimit efi</w:t>
            </w:r>
            <w:r w:rsidR="00930B35" w:rsidRPr="00A90756">
              <w:rPr>
                <w:rStyle w:val="Other1"/>
                <w:rFonts w:ascii="Garamond" w:hAnsi="Garamond"/>
                <w:sz w:val="18"/>
                <w:szCs w:val="18"/>
              </w:rPr>
              <w:t>ci</w:t>
            </w:r>
            <w:r w:rsidRPr="00A90756">
              <w:rPr>
                <w:rStyle w:val="Other1"/>
                <w:rFonts w:ascii="Garamond" w:hAnsi="Garamond"/>
                <w:sz w:val="18"/>
                <w:szCs w:val="18"/>
              </w:rPr>
              <w:t>ent, efikas, transparent dhe në kohë të programit të bashkëpunimit ndërkufitar, si dhe rritja e ndërgjegjësimit për programin mes komuniteteve kombëtare, rajonale dhe lokale dhe, në përgjithësi, popullatës në zonën që plotëson kushtet për të përfituar nga ky program.</w:t>
            </w:r>
          </w:p>
          <w:p w14:paraId="014E412B" w14:textId="0D5882A5"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 xml:space="preserve">Grupimi </w:t>
            </w:r>
            <w:r w:rsidR="00733DD6" w:rsidRPr="00A90756">
              <w:rPr>
                <w:rStyle w:val="Other1"/>
                <w:rFonts w:ascii="Garamond" w:hAnsi="Garamond"/>
                <w:sz w:val="18"/>
                <w:szCs w:val="18"/>
              </w:rPr>
              <w:t xml:space="preserve">tematik </w:t>
            </w:r>
            <w:r w:rsidRPr="00A90756">
              <w:rPr>
                <w:rStyle w:val="Other1"/>
                <w:rFonts w:ascii="Garamond" w:hAnsi="Garamond"/>
                <w:sz w:val="18"/>
                <w:szCs w:val="18"/>
              </w:rPr>
              <w:t>2: Efi</w:t>
            </w:r>
            <w:r w:rsidR="00930B35" w:rsidRPr="00A90756">
              <w:rPr>
                <w:rStyle w:val="Other1"/>
                <w:rFonts w:ascii="Garamond" w:hAnsi="Garamond"/>
                <w:sz w:val="18"/>
                <w:szCs w:val="18"/>
              </w:rPr>
              <w:t>ci</w:t>
            </w:r>
            <w:r w:rsidRPr="00A90756">
              <w:rPr>
                <w:rStyle w:val="Other1"/>
                <w:rFonts w:ascii="Garamond" w:hAnsi="Garamond"/>
                <w:sz w:val="18"/>
                <w:szCs w:val="18"/>
              </w:rPr>
              <w:t>encë më e gjelbër dhe e përmirësuar i burimeve</w:t>
            </w:r>
          </w:p>
        </w:tc>
      </w:tr>
      <w:tr w:rsidR="000D306C" w:rsidRPr="00A90756" w14:paraId="014E4132" w14:textId="77777777" w:rsidTr="000D306C">
        <w:trPr>
          <w:trHeight w:val="20"/>
          <w:jc w:val="center"/>
        </w:trPr>
        <w:tc>
          <w:tcPr>
            <w:tcW w:w="1182" w:type="pct"/>
            <w:vMerge/>
            <w:tcBorders>
              <w:left w:val="single" w:sz="4" w:space="0" w:color="auto"/>
            </w:tcBorders>
            <w:shd w:val="clear" w:color="auto" w:fill="auto"/>
            <w:vAlign w:val="center"/>
          </w:tcPr>
          <w:p w14:paraId="014E412D" w14:textId="77777777" w:rsidR="000D306C" w:rsidRPr="00A90756" w:rsidRDefault="000D306C" w:rsidP="000D306C">
            <w:pPr>
              <w:rPr>
                <w:rFonts w:ascii="Garamond" w:hAnsi="Garamond"/>
                <w:sz w:val="18"/>
                <w:szCs w:val="18"/>
              </w:rPr>
            </w:pPr>
          </w:p>
        </w:tc>
        <w:tc>
          <w:tcPr>
            <w:tcW w:w="3818" w:type="pct"/>
            <w:tcBorders>
              <w:top w:val="single" w:sz="4" w:space="0" w:color="auto"/>
              <w:left w:val="single" w:sz="4" w:space="0" w:color="auto"/>
              <w:right w:val="single" w:sz="4" w:space="0" w:color="auto"/>
            </w:tcBorders>
            <w:shd w:val="clear" w:color="auto" w:fill="auto"/>
            <w:vAlign w:val="bottom"/>
          </w:tcPr>
          <w:p w14:paraId="014E412E" w14:textId="7DE2CF3F" w:rsidR="000D306C" w:rsidRPr="00A90756" w:rsidRDefault="000D306C" w:rsidP="000D306C">
            <w:pPr>
              <w:pStyle w:val="Other10"/>
              <w:tabs>
                <w:tab w:val="left" w:pos="701"/>
              </w:tabs>
              <w:spacing w:after="0"/>
              <w:jc w:val="both"/>
              <w:rPr>
                <w:rFonts w:ascii="Garamond" w:hAnsi="Garamond"/>
                <w:sz w:val="18"/>
                <w:szCs w:val="18"/>
              </w:rPr>
            </w:pPr>
            <w:r w:rsidRPr="00A90756">
              <w:rPr>
                <w:rStyle w:val="Other1"/>
                <w:rFonts w:ascii="Garamond" w:hAnsi="Garamond"/>
                <w:b/>
                <w:bCs/>
                <w:sz w:val="18"/>
                <w:szCs w:val="18"/>
              </w:rPr>
              <w:t>PT2:</w:t>
            </w:r>
            <w:r w:rsidR="00665BD2">
              <w:rPr>
                <w:rStyle w:val="Other1"/>
                <w:rFonts w:ascii="Garamond" w:hAnsi="Garamond"/>
                <w:b/>
                <w:bCs/>
                <w:sz w:val="18"/>
                <w:szCs w:val="18"/>
              </w:rPr>
              <w:t xml:space="preserve"> </w:t>
            </w:r>
            <w:r w:rsidRPr="00A90756">
              <w:rPr>
                <w:rStyle w:val="Other1"/>
                <w:rFonts w:ascii="Garamond" w:hAnsi="Garamond"/>
                <w:sz w:val="18"/>
                <w:szCs w:val="18"/>
              </w:rPr>
              <w:t>Mbrojtja e mjedisit, përshtatja ndaj ndryshimeve klimatike dhe</w:t>
            </w:r>
          </w:p>
          <w:p w14:paraId="014E412F"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zbutja, parandalimi dhe menaxhimi i rrezikut</w:t>
            </w:r>
          </w:p>
          <w:p w14:paraId="014E4130"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b/>
                <w:bCs/>
                <w:sz w:val="18"/>
                <w:szCs w:val="18"/>
              </w:rPr>
              <w:t>OS1</w:t>
            </w:r>
            <w:r w:rsidRPr="00A90756">
              <w:rPr>
                <w:rStyle w:val="Other1"/>
                <w:rFonts w:ascii="Garamond" w:hAnsi="Garamond"/>
                <w:sz w:val="18"/>
                <w:szCs w:val="18"/>
              </w:rPr>
              <w:t>: Bërja e territorit ndërkufitar më të qëndrueshëm sa i përket mjedisit dhe më elastik</w:t>
            </w:r>
          </w:p>
          <w:p w14:paraId="014E4131" w14:textId="6E89D613" w:rsidR="000D306C" w:rsidRPr="00A90756" w:rsidRDefault="000D306C" w:rsidP="000D306C">
            <w:pPr>
              <w:pStyle w:val="Other10"/>
              <w:tabs>
                <w:tab w:val="left" w:pos="1190"/>
                <w:tab w:val="left" w:pos="2155"/>
                <w:tab w:val="left" w:pos="2645"/>
                <w:tab w:val="left" w:pos="3883"/>
                <w:tab w:val="left" w:pos="5002"/>
                <w:tab w:val="left" w:pos="6538"/>
              </w:tabs>
              <w:spacing w:after="0"/>
              <w:jc w:val="both"/>
              <w:rPr>
                <w:rFonts w:ascii="Garamond" w:hAnsi="Garamond"/>
                <w:sz w:val="18"/>
                <w:szCs w:val="18"/>
              </w:rPr>
            </w:pPr>
            <w:r w:rsidRPr="00A90756">
              <w:rPr>
                <w:rStyle w:val="Other1"/>
                <w:rFonts w:ascii="Garamond" w:hAnsi="Garamond"/>
                <w:sz w:val="18"/>
                <w:szCs w:val="18"/>
              </w:rPr>
              <w:t xml:space="preserve">Grupimi </w:t>
            </w:r>
            <w:r w:rsidR="00733DD6" w:rsidRPr="00A90756">
              <w:rPr>
                <w:rStyle w:val="Other1"/>
                <w:rFonts w:ascii="Garamond" w:hAnsi="Garamond"/>
                <w:sz w:val="18"/>
                <w:szCs w:val="18"/>
              </w:rPr>
              <w:t>tematik</w:t>
            </w:r>
            <w:r w:rsidRPr="00A90756">
              <w:rPr>
                <w:rStyle w:val="Other1"/>
                <w:rFonts w:ascii="Garamond" w:hAnsi="Garamond"/>
                <w:sz w:val="18"/>
                <w:szCs w:val="18"/>
              </w:rPr>
              <w:tab/>
              <w:t>4:</w:t>
            </w:r>
            <w:r w:rsidR="00665BD2">
              <w:rPr>
                <w:rStyle w:val="Other1"/>
                <w:rFonts w:ascii="Garamond" w:hAnsi="Garamond"/>
                <w:sz w:val="18"/>
                <w:szCs w:val="18"/>
              </w:rPr>
              <w:t xml:space="preserve"> </w:t>
            </w:r>
            <w:r w:rsidRPr="00A90756">
              <w:rPr>
                <w:rStyle w:val="Other1"/>
                <w:rFonts w:ascii="Garamond" w:hAnsi="Garamond"/>
                <w:sz w:val="18"/>
                <w:szCs w:val="18"/>
              </w:rPr>
              <w:t>Përmirësimi i klimës së biznesit dhe</w:t>
            </w:r>
          </w:p>
        </w:tc>
      </w:tr>
      <w:tr w:rsidR="000D306C" w:rsidRPr="00A90756" w14:paraId="014E4139" w14:textId="77777777" w:rsidTr="000D306C">
        <w:trPr>
          <w:trHeight w:val="20"/>
          <w:jc w:val="center"/>
        </w:trPr>
        <w:tc>
          <w:tcPr>
            <w:tcW w:w="1182" w:type="pct"/>
            <w:vMerge/>
            <w:tcBorders>
              <w:left w:val="single" w:sz="4" w:space="0" w:color="auto"/>
              <w:bottom w:val="single" w:sz="4" w:space="0" w:color="auto"/>
            </w:tcBorders>
            <w:shd w:val="clear" w:color="auto" w:fill="auto"/>
            <w:vAlign w:val="center"/>
          </w:tcPr>
          <w:p w14:paraId="014E4133" w14:textId="77777777" w:rsidR="000D306C" w:rsidRPr="00A90756" w:rsidRDefault="000D306C" w:rsidP="000D306C">
            <w:pPr>
              <w:rPr>
                <w:rFonts w:ascii="Garamond" w:hAnsi="Garamond"/>
                <w:sz w:val="18"/>
                <w:szCs w:val="18"/>
              </w:rPr>
            </w:pPr>
          </w:p>
        </w:tc>
        <w:tc>
          <w:tcPr>
            <w:tcW w:w="3818" w:type="pct"/>
            <w:tcBorders>
              <w:top w:val="single" w:sz="4" w:space="0" w:color="auto"/>
              <w:left w:val="single" w:sz="4" w:space="0" w:color="auto"/>
              <w:bottom w:val="single" w:sz="4" w:space="0" w:color="auto"/>
              <w:right w:val="single" w:sz="4" w:space="0" w:color="auto"/>
            </w:tcBorders>
            <w:shd w:val="clear" w:color="auto" w:fill="auto"/>
          </w:tcPr>
          <w:p w14:paraId="014E4134" w14:textId="16C3F80D" w:rsidR="000D306C" w:rsidRPr="00A90756" w:rsidRDefault="002132A6" w:rsidP="000D306C">
            <w:pPr>
              <w:pStyle w:val="Other10"/>
              <w:spacing w:after="0"/>
              <w:jc w:val="both"/>
              <w:rPr>
                <w:rFonts w:ascii="Garamond" w:hAnsi="Garamond"/>
                <w:sz w:val="18"/>
                <w:szCs w:val="18"/>
              </w:rPr>
            </w:pPr>
            <w:r w:rsidRPr="00A90756">
              <w:rPr>
                <w:rStyle w:val="Other1"/>
                <w:rFonts w:ascii="Garamond" w:hAnsi="Garamond"/>
                <w:sz w:val="18"/>
                <w:szCs w:val="18"/>
                <w:u w:val="single"/>
              </w:rPr>
              <w:t>Konkurrueshmërisë</w:t>
            </w:r>
          </w:p>
          <w:p w14:paraId="014E4135"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b/>
                <w:bCs/>
                <w:sz w:val="18"/>
                <w:szCs w:val="18"/>
              </w:rPr>
              <w:t>PT5:</w:t>
            </w:r>
            <w:r w:rsidRPr="00A90756">
              <w:rPr>
                <w:rStyle w:val="Other1"/>
                <w:rFonts w:ascii="Garamond" w:hAnsi="Garamond"/>
                <w:sz w:val="18"/>
                <w:szCs w:val="18"/>
              </w:rPr>
              <w:t xml:space="preserve"> Turizmi dhe trashëgimia kulturore dhe natyrore</w:t>
            </w:r>
          </w:p>
          <w:p w14:paraId="014E4136" w14:textId="414A1B41" w:rsidR="000D306C" w:rsidRPr="00A90756" w:rsidRDefault="00665BD2" w:rsidP="00665BD2">
            <w:pPr>
              <w:pStyle w:val="Other10"/>
              <w:tabs>
                <w:tab w:val="left" w:pos="605"/>
              </w:tabs>
              <w:spacing w:after="0"/>
              <w:jc w:val="both"/>
              <w:rPr>
                <w:rFonts w:ascii="Garamond" w:hAnsi="Garamond"/>
                <w:sz w:val="18"/>
                <w:szCs w:val="18"/>
              </w:rPr>
            </w:pPr>
            <w:r w:rsidRPr="00665BD2">
              <w:rPr>
                <w:rStyle w:val="Other1"/>
                <w:rFonts w:ascii="Garamond" w:hAnsi="Garamond"/>
                <w:b/>
                <w:sz w:val="18"/>
                <w:szCs w:val="18"/>
              </w:rPr>
              <w:t>501:</w:t>
            </w:r>
            <w:r>
              <w:rPr>
                <w:rStyle w:val="Other1"/>
                <w:rFonts w:ascii="Garamond" w:hAnsi="Garamond"/>
                <w:sz w:val="18"/>
                <w:szCs w:val="18"/>
              </w:rPr>
              <w:t xml:space="preserve"> </w:t>
            </w:r>
            <w:r w:rsidR="000D306C" w:rsidRPr="00A90756">
              <w:rPr>
                <w:rStyle w:val="Other1"/>
                <w:rFonts w:ascii="Garamond" w:hAnsi="Garamond"/>
                <w:sz w:val="18"/>
                <w:szCs w:val="18"/>
              </w:rPr>
              <w:t>Ofrimi i një kontributi më të madh nga turizmi ndërkufitar dhe trashëgimia kulturore/natyrore në zhvillimin ekonomik ndërkufitar</w:t>
            </w:r>
          </w:p>
          <w:p w14:paraId="014E4137" w14:textId="399EE5B7" w:rsidR="000D306C" w:rsidRPr="00A90756" w:rsidRDefault="00665BD2" w:rsidP="00665BD2">
            <w:pPr>
              <w:pStyle w:val="Other10"/>
              <w:tabs>
                <w:tab w:val="left" w:pos="605"/>
              </w:tabs>
              <w:spacing w:after="0"/>
              <w:jc w:val="both"/>
              <w:rPr>
                <w:rFonts w:ascii="Garamond" w:hAnsi="Garamond"/>
                <w:sz w:val="18"/>
                <w:szCs w:val="18"/>
              </w:rPr>
            </w:pPr>
            <w:r w:rsidRPr="00665BD2">
              <w:rPr>
                <w:rStyle w:val="Other1"/>
                <w:rFonts w:ascii="Garamond" w:hAnsi="Garamond"/>
                <w:b/>
                <w:sz w:val="18"/>
                <w:szCs w:val="18"/>
              </w:rPr>
              <w:t>502:</w:t>
            </w:r>
            <w:r>
              <w:rPr>
                <w:rStyle w:val="Other1"/>
                <w:rFonts w:ascii="Garamond" w:hAnsi="Garamond"/>
                <w:sz w:val="18"/>
                <w:szCs w:val="18"/>
              </w:rPr>
              <w:t xml:space="preserve"> </w:t>
            </w:r>
            <w:r w:rsidR="000D306C" w:rsidRPr="00A90756">
              <w:rPr>
                <w:rStyle w:val="Other1"/>
                <w:rFonts w:ascii="Garamond" w:hAnsi="Garamond"/>
                <w:sz w:val="18"/>
                <w:szCs w:val="18"/>
              </w:rPr>
              <w:t>Përmirësimi i konkurrencës së ofruesve të shërbimeve/NVM-ve në sektorin e turizmit</w:t>
            </w:r>
          </w:p>
          <w:p w14:paraId="014E4138"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Shënim: Grupimi tematik KT 5: Integrimi i një kapaciteti më të mirë të autoriteteve lokale dhe rajonale për adresimin e sfidave lokale. Propozimi i përfituesve për integrimin e këtij Grupimi tematik është paraqitur në seksionin 3.3 të këtij dokumenti.</w:t>
            </w:r>
          </w:p>
        </w:tc>
      </w:tr>
    </w:tbl>
    <w:p w14:paraId="014E413A" w14:textId="76BFB886" w:rsidR="000D306C" w:rsidRPr="00A90756" w:rsidRDefault="000D306C" w:rsidP="000D306C">
      <w:pPr>
        <w:ind w:firstLine="284"/>
        <w:rPr>
          <w:rFonts w:ascii="Garamond" w:hAnsi="Garamond"/>
          <w:sz w:val="2"/>
          <w:szCs w:val="2"/>
        </w:rPr>
      </w:pPr>
    </w:p>
    <w:tbl>
      <w:tblPr>
        <w:tblOverlap w:val="never"/>
        <w:tblW w:w="5000" w:type="pct"/>
        <w:jc w:val="center"/>
        <w:tblCellMar>
          <w:left w:w="10" w:type="dxa"/>
          <w:right w:w="10" w:type="dxa"/>
        </w:tblCellMar>
        <w:tblLook w:val="04A0" w:firstRow="1" w:lastRow="0" w:firstColumn="1" w:lastColumn="0" w:noHBand="0" w:noVBand="1"/>
      </w:tblPr>
      <w:tblGrid>
        <w:gridCol w:w="2330"/>
        <w:gridCol w:w="6687"/>
      </w:tblGrid>
      <w:tr w:rsidR="000D306C" w:rsidRPr="00A90756" w14:paraId="014E4145" w14:textId="77777777" w:rsidTr="000D306C">
        <w:trPr>
          <w:trHeight w:val="20"/>
          <w:jc w:val="center"/>
        </w:trPr>
        <w:tc>
          <w:tcPr>
            <w:tcW w:w="1292" w:type="pct"/>
            <w:tcBorders>
              <w:top w:val="single" w:sz="4" w:space="0" w:color="auto"/>
              <w:left w:val="single" w:sz="4" w:space="0" w:color="auto"/>
            </w:tcBorders>
            <w:shd w:val="clear" w:color="auto" w:fill="auto"/>
            <w:vAlign w:val="center"/>
          </w:tcPr>
          <w:p w14:paraId="014E413B"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Objektivat e Zhvillimit të Qëndrueshëm (OZHQ-të)</w:t>
            </w:r>
          </w:p>
        </w:tc>
        <w:tc>
          <w:tcPr>
            <w:tcW w:w="3708" w:type="pct"/>
            <w:tcBorders>
              <w:top w:val="single" w:sz="4" w:space="0" w:color="auto"/>
              <w:left w:val="single" w:sz="4" w:space="0" w:color="auto"/>
              <w:right w:val="single" w:sz="4" w:space="0" w:color="auto"/>
            </w:tcBorders>
            <w:shd w:val="clear" w:color="auto" w:fill="auto"/>
            <w:vAlign w:val="bottom"/>
          </w:tcPr>
          <w:p w14:paraId="014E413C" w14:textId="77777777" w:rsidR="000D306C" w:rsidRPr="00A90756" w:rsidRDefault="000D306C" w:rsidP="000D306C">
            <w:pPr>
              <w:pStyle w:val="Other10"/>
              <w:spacing w:after="0"/>
              <w:jc w:val="both"/>
              <w:rPr>
                <w:rFonts w:ascii="Garamond" w:hAnsi="Garamond"/>
                <w:sz w:val="18"/>
                <w:szCs w:val="18"/>
              </w:rPr>
            </w:pPr>
            <w:bookmarkStart w:id="1" w:name="bookmark2"/>
            <w:r w:rsidRPr="00A90756">
              <w:rPr>
                <w:rStyle w:val="Other1"/>
                <w:rFonts w:ascii="Garamond" w:hAnsi="Garamond"/>
                <w:i/>
                <w:iCs/>
                <w:sz w:val="18"/>
                <w:szCs w:val="18"/>
              </w:rPr>
              <w:t>OZHQ kryesore:</w:t>
            </w:r>
            <w:bookmarkEnd w:id="1"/>
          </w:p>
          <w:p w14:paraId="014E413D"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Objektivi 8. Promovimi i rritjes ekonomike të qëndrueshme, gjithëpërfshirëse dhe elastike, punësimi i plotë dhe produktiv dhe sigurimi i punës së denjë për të gjithë</w:t>
            </w:r>
          </w:p>
          <w:p w14:paraId="014E413E"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Në kuadër të zbatimit të programit 7-vjeçar të bashkëpunimit ndërkufitar, operacionet e përzgjedhura do të kontribuojnë edhe në OZHQ-të e mëposhtme</w:t>
            </w:r>
          </w:p>
          <w:p w14:paraId="014E413F"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Objektivi 4. Sigurimi i arsimit cilësor gjithëpërfshirës dhe të barabartë dhe promovimi i mundësive të të mësuarit gjatë gjithë jetës për të gjithë</w:t>
            </w:r>
          </w:p>
          <w:p w14:paraId="014E4140" w14:textId="77777777" w:rsidR="000D306C" w:rsidRPr="00A90756" w:rsidRDefault="000D306C" w:rsidP="000D306C">
            <w:pPr>
              <w:pStyle w:val="Other10"/>
              <w:spacing w:after="0"/>
              <w:jc w:val="both"/>
              <w:rPr>
                <w:rFonts w:ascii="Garamond" w:hAnsi="Garamond"/>
                <w:sz w:val="18"/>
                <w:szCs w:val="18"/>
              </w:rPr>
            </w:pPr>
            <w:bookmarkStart w:id="2" w:name="bookmark5"/>
            <w:r w:rsidRPr="00A90756">
              <w:rPr>
                <w:rStyle w:val="Other1"/>
                <w:rFonts w:ascii="Garamond" w:hAnsi="Garamond"/>
                <w:sz w:val="18"/>
                <w:szCs w:val="18"/>
              </w:rPr>
              <w:t>Objektivi 5. Arritja e barazisë gjinore dhe fuqizimi i të gjitha grave dhe vajzave</w:t>
            </w:r>
            <w:bookmarkEnd w:id="2"/>
            <w:r w:rsidRPr="00A90756">
              <w:rPr>
                <w:rStyle w:val="Other1"/>
                <w:rFonts w:ascii="Garamond" w:hAnsi="Garamond"/>
                <w:sz w:val="18"/>
                <w:szCs w:val="18"/>
              </w:rPr>
              <w:t xml:space="preserve"> </w:t>
            </w:r>
          </w:p>
          <w:p w14:paraId="014E4141" w14:textId="77777777" w:rsidR="000D306C" w:rsidRPr="00A90756" w:rsidRDefault="000D306C" w:rsidP="000D306C">
            <w:pPr>
              <w:pStyle w:val="Other10"/>
              <w:spacing w:after="0"/>
              <w:jc w:val="both"/>
              <w:rPr>
                <w:rFonts w:ascii="Garamond" w:hAnsi="Garamond"/>
                <w:sz w:val="18"/>
                <w:szCs w:val="18"/>
              </w:rPr>
            </w:pPr>
            <w:bookmarkStart w:id="3" w:name="bookmark6"/>
            <w:r w:rsidRPr="00A90756">
              <w:rPr>
                <w:rStyle w:val="Other1"/>
                <w:rFonts w:ascii="Garamond" w:hAnsi="Garamond"/>
                <w:sz w:val="18"/>
                <w:szCs w:val="18"/>
              </w:rPr>
              <w:t>Objektivi 10. Ulja e pabarazisë brenda dhe ndërmjet vendeve të ndryshme</w:t>
            </w:r>
            <w:bookmarkEnd w:id="3"/>
          </w:p>
          <w:p w14:paraId="014E4142" w14:textId="77777777" w:rsidR="000D306C" w:rsidRPr="00A90756" w:rsidRDefault="000D306C" w:rsidP="000D306C">
            <w:pPr>
              <w:pStyle w:val="Other10"/>
              <w:spacing w:after="0"/>
              <w:jc w:val="both"/>
              <w:rPr>
                <w:rFonts w:ascii="Garamond" w:hAnsi="Garamond"/>
                <w:sz w:val="18"/>
                <w:szCs w:val="18"/>
              </w:rPr>
            </w:pPr>
            <w:bookmarkStart w:id="4" w:name="bookmark7"/>
            <w:r w:rsidRPr="00A90756">
              <w:rPr>
                <w:rStyle w:val="Other1"/>
                <w:rFonts w:ascii="Garamond" w:hAnsi="Garamond"/>
                <w:sz w:val="18"/>
                <w:szCs w:val="18"/>
              </w:rPr>
              <w:t>Objektivi 11. Transformimi i qyteteve dhe vendbanimeve njerëzore gjithëpërfshirëse, të sigurta, rezistente dhe të qëndrueshme</w:t>
            </w:r>
            <w:bookmarkEnd w:id="4"/>
          </w:p>
          <w:p w14:paraId="014E4143" w14:textId="39005631" w:rsidR="000D306C" w:rsidRPr="00A90756" w:rsidRDefault="000D306C" w:rsidP="000D306C">
            <w:pPr>
              <w:pStyle w:val="Other10"/>
              <w:spacing w:after="0"/>
              <w:jc w:val="both"/>
              <w:rPr>
                <w:rFonts w:ascii="Garamond" w:hAnsi="Garamond"/>
                <w:sz w:val="18"/>
                <w:szCs w:val="18"/>
              </w:rPr>
            </w:pPr>
            <w:bookmarkStart w:id="5" w:name="bookmark8"/>
            <w:r w:rsidRPr="00A90756">
              <w:rPr>
                <w:rStyle w:val="Other1"/>
                <w:rFonts w:ascii="Garamond" w:hAnsi="Garamond"/>
                <w:sz w:val="18"/>
                <w:szCs w:val="18"/>
              </w:rPr>
              <w:t>Objektivi 13. M</w:t>
            </w:r>
            <w:r w:rsidR="008009BB" w:rsidRPr="00A90756">
              <w:rPr>
                <w:rStyle w:val="Other1"/>
                <w:rFonts w:ascii="Garamond" w:hAnsi="Garamond"/>
                <w:sz w:val="18"/>
                <w:szCs w:val="18"/>
              </w:rPr>
              <w:t>a</w:t>
            </w:r>
            <w:r w:rsidRPr="00A90756">
              <w:rPr>
                <w:rStyle w:val="Other1"/>
                <w:rFonts w:ascii="Garamond" w:hAnsi="Garamond"/>
                <w:sz w:val="18"/>
                <w:szCs w:val="18"/>
              </w:rPr>
              <w:t>rrja e masave urgjente për të luftuar ndryshimet klimatike dhe ndikimet e tyre</w:t>
            </w:r>
            <w:bookmarkEnd w:id="5"/>
          </w:p>
          <w:p w14:paraId="014E4144" w14:textId="189EF791"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Objektivi 15. Mbrojtja, rikuperimi dhe promovimi i përdorimit të qëndrueshëm të ekosistemeve tokësore, menaxhimi në mënyrë të qëndrueshme i pyjeve, lufta kundër shkretëtirëzimit dhe ndalimi i degradimit të tokës dhe i humbjes së</w:t>
            </w:r>
            <w:r w:rsidR="00C61854" w:rsidRPr="00A90756">
              <w:rPr>
                <w:rStyle w:val="Other1"/>
                <w:rFonts w:ascii="Garamond" w:hAnsi="Garamond"/>
                <w:sz w:val="18"/>
                <w:szCs w:val="18"/>
              </w:rPr>
              <w:t xml:space="preserve"> </w:t>
            </w:r>
            <w:r w:rsidRPr="00A90756">
              <w:rPr>
                <w:rStyle w:val="Other1"/>
                <w:rFonts w:ascii="Garamond" w:hAnsi="Garamond"/>
                <w:sz w:val="18"/>
                <w:szCs w:val="18"/>
              </w:rPr>
              <w:t>biodiversitetit</w:t>
            </w:r>
          </w:p>
        </w:tc>
      </w:tr>
      <w:tr w:rsidR="000D306C" w:rsidRPr="00A90756" w14:paraId="014E414C" w14:textId="77777777" w:rsidTr="000D306C">
        <w:trPr>
          <w:trHeight w:val="20"/>
          <w:jc w:val="center"/>
        </w:trPr>
        <w:tc>
          <w:tcPr>
            <w:tcW w:w="1292" w:type="pct"/>
            <w:tcBorders>
              <w:top w:val="single" w:sz="4" w:space="0" w:color="auto"/>
              <w:left w:val="single" w:sz="4" w:space="0" w:color="auto"/>
            </w:tcBorders>
            <w:shd w:val="clear" w:color="auto" w:fill="auto"/>
          </w:tcPr>
          <w:p w14:paraId="014E4146"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Kodi(et) DAC</w:t>
            </w:r>
            <w:r w:rsidRPr="00A90756">
              <w:rPr>
                <w:rStyle w:val="FootnoteReference"/>
                <w:rFonts w:ascii="Garamond" w:hAnsi="Garamond"/>
                <w:b/>
                <w:sz w:val="18"/>
                <w:szCs w:val="18"/>
              </w:rPr>
              <w:footnoteReference w:id="3"/>
            </w:r>
          </w:p>
        </w:tc>
        <w:tc>
          <w:tcPr>
            <w:tcW w:w="3708" w:type="pct"/>
            <w:tcBorders>
              <w:top w:val="single" w:sz="4" w:space="0" w:color="auto"/>
              <w:left w:val="single" w:sz="4" w:space="0" w:color="auto"/>
              <w:right w:val="single" w:sz="4" w:space="0" w:color="auto"/>
            </w:tcBorders>
            <w:shd w:val="clear" w:color="auto" w:fill="auto"/>
            <w:vAlign w:val="center"/>
          </w:tcPr>
          <w:p w14:paraId="014E4147" w14:textId="028B9045"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15110 – Politika e sektorit publik dhe menaxhimi administrativ – 10%</w:t>
            </w:r>
            <w:r w:rsidR="00930B35" w:rsidRPr="00A90756">
              <w:rPr>
                <w:rStyle w:val="Other1"/>
                <w:rFonts w:ascii="Garamond" w:hAnsi="Garamond"/>
                <w:sz w:val="18"/>
                <w:szCs w:val="18"/>
              </w:rPr>
              <w:t>;</w:t>
            </w:r>
          </w:p>
          <w:p w14:paraId="014E4148" w14:textId="3F2A6A6D"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33210 – Politika e turizmit dhe menaxhimi administrativ – 45%</w:t>
            </w:r>
            <w:r w:rsidR="00930B35" w:rsidRPr="00A90756">
              <w:rPr>
                <w:rStyle w:val="Other1"/>
                <w:rFonts w:ascii="Garamond" w:hAnsi="Garamond"/>
                <w:sz w:val="18"/>
                <w:szCs w:val="18"/>
              </w:rPr>
              <w:t>;</w:t>
            </w:r>
          </w:p>
          <w:p w14:paraId="014E4149" w14:textId="5941BCC1"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410 – Mbrojtja e Përgjithshme e Mjedisit – 25%</w:t>
            </w:r>
            <w:r w:rsidR="00930B35" w:rsidRPr="00A90756">
              <w:rPr>
                <w:rStyle w:val="Other1"/>
                <w:rFonts w:ascii="Garamond" w:hAnsi="Garamond"/>
                <w:sz w:val="18"/>
                <w:szCs w:val="18"/>
              </w:rPr>
              <w:t>;</w:t>
            </w:r>
          </w:p>
          <w:p w14:paraId="014E414A" w14:textId="49F30AD5"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 xml:space="preserve">43060 - Reduktimi i rrezikut nga fatkeqësitë </w:t>
            </w:r>
            <w:r w:rsidR="00930B35" w:rsidRPr="00A90756">
              <w:rPr>
                <w:rStyle w:val="Other1"/>
                <w:rFonts w:ascii="Garamond" w:hAnsi="Garamond"/>
                <w:sz w:val="18"/>
                <w:szCs w:val="18"/>
              </w:rPr>
              <w:t>–</w:t>
            </w:r>
            <w:r w:rsidRPr="00A90756">
              <w:rPr>
                <w:rStyle w:val="Other1"/>
                <w:rFonts w:ascii="Garamond" w:hAnsi="Garamond"/>
                <w:sz w:val="18"/>
                <w:szCs w:val="18"/>
              </w:rPr>
              <w:t xml:space="preserve"> 10%</w:t>
            </w:r>
            <w:r w:rsidR="00930B35" w:rsidRPr="00A90756">
              <w:rPr>
                <w:rStyle w:val="Other1"/>
                <w:rFonts w:ascii="Garamond" w:hAnsi="Garamond"/>
                <w:sz w:val="18"/>
                <w:szCs w:val="18"/>
              </w:rPr>
              <w:t>;</w:t>
            </w:r>
          </w:p>
          <w:p w14:paraId="014E414B" w14:textId="0BF37B9A"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74020 - Gatishmëria për të reaguar ndaj disa rreziqeve njëherësh - 10%</w:t>
            </w:r>
            <w:r w:rsidR="00930B35" w:rsidRPr="00A90756">
              <w:rPr>
                <w:rStyle w:val="Other1"/>
                <w:rFonts w:ascii="Garamond" w:hAnsi="Garamond"/>
                <w:sz w:val="18"/>
                <w:szCs w:val="18"/>
              </w:rPr>
              <w:t>.</w:t>
            </w:r>
          </w:p>
        </w:tc>
      </w:tr>
      <w:tr w:rsidR="000D306C" w:rsidRPr="00A90756" w14:paraId="014E414E" w14:textId="77777777" w:rsidTr="000D306C">
        <w:trPr>
          <w:trHeight w:val="20"/>
          <w:jc w:val="center"/>
        </w:trPr>
        <w:tc>
          <w:tcPr>
            <w:tcW w:w="5000" w:type="pct"/>
            <w:gridSpan w:val="2"/>
            <w:tcBorders>
              <w:top w:val="single" w:sz="4" w:space="0" w:color="auto"/>
              <w:left w:val="single" w:sz="4" w:space="0" w:color="auto"/>
              <w:right w:val="single" w:sz="4" w:space="0" w:color="auto"/>
            </w:tcBorders>
            <w:shd w:val="clear" w:color="auto" w:fill="auto"/>
            <w:vAlign w:val="bottom"/>
          </w:tcPr>
          <w:p w14:paraId="014E414D" w14:textId="77777777" w:rsidR="000D306C" w:rsidRPr="00A90756" w:rsidRDefault="000D306C" w:rsidP="000D306C">
            <w:pPr>
              <w:pStyle w:val="Other10"/>
              <w:spacing w:after="0"/>
              <w:jc w:val="center"/>
              <w:rPr>
                <w:rFonts w:ascii="Garamond" w:hAnsi="Garamond"/>
                <w:sz w:val="18"/>
                <w:szCs w:val="18"/>
              </w:rPr>
            </w:pPr>
            <w:r w:rsidRPr="00A90756">
              <w:rPr>
                <w:rStyle w:val="Other1"/>
                <w:rFonts w:ascii="Garamond" w:hAnsi="Garamond"/>
                <w:bCs/>
                <w:sz w:val="18"/>
                <w:szCs w:val="18"/>
              </w:rPr>
              <w:t>INFORMACION PËR BUXHETIN</w:t>
            </w:r>
          </w:p>
        </w:tc>
      </w:tr>
      <w:tr w:rsidR="000D306C" w:rsidRPr="00A90756" w14:paraId="014E4151" w14:textId="77777777" w:rsidTr="000D306C">
        <w:trPr>
          <w:trHeight w:val="20"/>
          <w:jc w:val="center"/>
        </w:trPr>
        <w:tc>
          <w:tcPr>
            <w:tcW w:w="1292" w:type="pct"/>
            <w:tcBorders>
              <w:top w:val="single" w:sz="4" w:space="0" w:color="auto"/>
              <w:left w:val="single" w:sz="4" w:space="0" w:color="auto"/>
            </w:tcBorders>
            <w:shd w:val="clear" w:color="auto" w:fill="auto"/>
            <w:vAlign w:val="bottom"/>
          </w:tcPr>
          <w:p w14:paraId="014E414F"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Zërat buxhetorë</w:t>
            </w:r>
          </w:p>
        </w:tc>
        <w:tc>
          <w:tcPr>
            <w:tcW w:w="3708" w:type="pct"/>
            <w:tcBorders>
              <w:top w:val="single" w:sz="4" w:space="0" w:color="auto"/>
              <w:left w:val="single" w:sz="4" w:space="0" w:color="auto"/>
              <w:right w:val="single" w:sz="4" w:space="0" w:color="auto"/>
            </w:tcBorders>
            <w:shd w:val="clear" w:color="auto" w:fill="auto"/>
            <w:vAlign w:val="bottom"/>
          </w:tcPr>
          <w:p w14:paraId="014E4150"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15.020300</w:t>
            </w:r>
          </w:p>
        </w:tc>
      </w:tr>
      <w:tr w:rsidR="000D306C" w:rsidRPr="00A90756" w14:paraId="014E4154" w14:textId="77777777" w:rsidTr="000D306C">
        <w:trPr>
          <w:trHeight w:val="20"/>
          <w:jc w:val="center"/>
        </w:trPr>
        <w:tc>
          <w:tcPr>
            <w:tcW w:w="1292" w:type="pct"/>
            <w:tcBorders>
              <w:top w:val="single" w:sz="4" w:space="0" w:color="auto"/>
              <w:left w:val="single" w:sz="4" w:space="0" w:color="auto"/>
            </w:tcBorders>
            <w:shd w:val="clear" w:color="auto" w:fill="auto"/>
            <w:vAlign w:val="bottom"/>
          </w:tcPr>
          <w:p w14:paraId="014E4152"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Kostoja totale 2021-2027</w:t>
            </w:r>
          </w:p>
        </w:tc>
        <w:tc>
          <w:tcPr>
            <w:tcW w:w="3708" w:type="pct"/>
            <w:tcBorders>
              <w:top w:val="single" w:sz="4" w:space="0" w:color="auto"/>
              <w:left w:val="single" w:sz="4" w:space="0" w:color="auto"/>
              <w:right w:val="single" w:sz="4" w:space="0" w:color="auto"/>
            </w:tcBorders>
            <w:shd w:val="clear" w:color="auto" w:fill="auto"/>
            <w:vAlign w:val="bottom"/>
          </w:tcPr>
          <w:p w14:paraId="014E4153"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13 790 000 euro</w:t>
            </w:r>
          </w:p>
        </w:tc>
      </w:tr>
      <w:tr w:rsidR="000D306C" w:rsidRPr="00A90756" w14:paraId="014E4157" w14:textId="77777777" w:rsidTr="000D306C">
        <w:trPr>
          <w:trHeight w:val="20"/>
          <w:jc w:val="center"/>
        </w:trPr>
        <w:tc>
          <w:tcPr>
            <w:tcW w:w="1292" w:type="pct"/>
            <w:tcBorders>
              <w:top w:val="single" w:sz="4" w:space="0" w:color="auto"/>
              <w:left w:val="single" w:sz="4" w:space="0" w:color="auto"/>
            </w:tcBorders>
            <w:shd w:val="clear" w:color="auto" w:fill="auto"/>
            <w:vAlign w:val="bottom"/>
          </w:tcPr>
          <w:p w14:paraId="014E4155"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Kontributi total i BE-së 2021-2027</w:t>
            </w:r>
          </w:p>
        </w:tc>
        <w:tc>
          <w:tcPr>
            <w:tcW w:w="3708" w:type="pct"/>
            <w:tcBorders>
              <w:top w:val="single" w:sz="4" w:space="0" w:color="auto"/>
              <w:left w:val="single" w:sz="4" w:space="0" w:color="auto"/>
              <w:right w:val="single" w:sz="4" w:space="0" w:color="auto"/>
            </w:tcBorders>
            <w:shd w:val="clear" w:color="auto" w:fill="auto"/>
          </w:tcPr>
          <w:p w14:paraId="014E4156"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11 900 000 euro</w:t>
            </w:r>
          </w:p>
        </w:tc>
      </w:tr>
      <w:tr w:rsidR="000D306C" w:rsidRPr="00A90756" w14:paraId="014E415D" w14:textId="77777777" w:rsidTr="000D306C">
        <w:trPr>
          <w:trHeight w:val="20"/>
          <w:jc w:val="center"/>
        </w:trPr>
        <w:tc>
          <w:tcPr>
            <w:tcW w:w="1292" w:type="pct"/>
            <w:tcBorders>
              <w:top w:val="single" w:sz="4" w:space="0" w:color="auto"/>
              <w:left w:val="single" w:sz="4" w:space="0" w:color="auto"/>
            </w:tcBorders>
            <w:shd w:val="clear" w:color="auto" w:fill="auto"/>
            <w:vAlign w:val="center"/>
          </w:tcPr>
          <w:p w14:paraId="014E4158"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Kontributi vjetor i BE-së</w:t>
            </w:r>
          </w:p>
        </w:tc>
        <w:tc>
          <w:tcPr>
            <w:tcW w:w="3708" w:type="pct"/>
            <w:tcBorders>
              <w:top w:val="single" w:sz="4" w:space="0" w:color="auto"/>
              <w:left w:val="single" w:sz="4" w:space="0" w:color="auto"/>
              <w:right w:val="single" w:sz="4" w:space="0" w:color="auto"/>
            </w:tcBorders>
            <w:shd w:val="clear" w:color="auto" w:fill="auto"/>
            <w:vAlign w:val="bottom"/>
          </w:tcPr>
          <w:p w14:paraId="014E4159" w14:textId="62B6AD75" w:rsidR="000D306C" w:rsidRPr="00A90756" w:rsidRDefault="000D306C" w:rsidP="000D306C">
            <w:pPr>
              <w:pStyle w:val="Other10"/>
              <w:tabs>
                <w:tab w:val="right" w:pos="797"/>
                <w:tab w:val="center" w:pos="979"/>
                <w:tab w:val="right" w:pos="1790"/>
                <w:tab w:val="right" w:pos="1978"/>
                <w:tab w:val="right" w:pos="2472"/>
                <w:tab w:val="left" w:pos="2506"/>
                <w:tab w:val="center" w:pos="2894"/>
                <w:tab w:val="right" w:pos="3518"/>
              </w:tabs>
              <w:spacing w:after="0"/>
              <w:rPr>
                <w:rFonts w:ascii="Garamond" w:hAnsi="Garamond"/>
                <w:sz w:val="18"/>
                <w:szCs w:val="18"/>
              </w:rPr>
            </w:pPr>
            <w:r w:rsidRPr="00A90756">
              <w:rPr>
                <w:rStyle w:val="Other1"/>
                <w:rFonts w:ascii="Garamond" w:hAnsi="Garamond"/>
                <w:sz w:val="18"/>
                <w:szCs w:val="18"/>
              </w:rPr>
              <w:t>Për</w:t>
            </w:r>
            <w:r w:rsidR="00930B35" w:rsidRPr="00A90756">
              <w:rPr>
                <w:rStyle w:val="Other1"/>
                <w:rFonts w:ascii="Garamond" w:hAnsi="Garamond"/>
                <w:sz w:val="18"/>
                <w:szCs w:val="18"/>
              </w:rPr>
              <w:t xml:space="preserve"> </w:t>
            </w:r>
            <w:r w:rsidRPr="00A90756">
              <w:rPr>
                <w:rStyle w:val="Other1"/>
                <w:rFonts w:ascii="Garamond" w:hAnsi="Garamond"/>
                <w:sz w:val="18"/>
                <w:szCs w:val="18"/>
              </w:rPr>
              <w:t>vitin</w:t>
            </w:r>
            <w:r w:rsidRPr="00A90756">
              <w:rPr>
                <w:rStyle w:val="Other1"/>
                <w:rFonts w:ascii="Garamond" w:hAnsi="Garamond"/>
                <w:sz w:val="18"/>
                <w:szCs w:val="18"/>
              </w:rPr>
              <w:tab/>
              <w:t xml:space="preserve"> 2022</w:t>
            </w:r>
            <w:r w:rsidR="00930B35" w:rsidRPr="00A90756">
              <w:rPr>
                <w:rStyle w:val="Other1"/>
                <w:rFonts w:ascii="Garamond" w:hAnsi="Garamond"/>
                <w:sz w:val="18"/>
                <w:szCs w:val="18"/>
              </w:rPr>
              <w:t xml:space="preserve"> – </w:t>
            </w:r>
            <w:r w:rsidRPr="00A90756">
              <w:rPr>
                <w:rStyle w:val="Other1"/>
                <w:rFonts w:ascii="Garamond" w:hAnsi="Garamond"/>
                <w:sz w:val="18"/>
                <w:szCs w:val="18"/>
              </w:rPr>
              <w:t>EUR</w:t>
            </w:r>
            <w:r w:rsidRPr="00A90756">
              <w:rPr>
                <w:rStyle w:val="Other1"/>
                <w:rFonts w:ascii="Garamond" w:hAnsi="Garamond"/>
                <w:sz w:val="18"/>
                <w:szCs w:val="18"/>
              </w:rPr>
              <w:tab/>
            </w:r>
            <w:r w:rsidR="00930B35" w:rsidRPr="00A90756">
              <w:rPr>
                <w:rStyle w:val="Other1"/>
                <w:rFonts w:ascii="Garamond" w:hAnsi="Garamond"/>
                <w:sz w:val="18"/>
                <w:szCs w:val="18"/>
              </w:rPr>
              <w:t xml:space="preserve"> </w:t>
            </w:r>
            <w:r w:rsidRPr="00A90756">
              <w:rPr>
                <w:rStyle w:val="Other1"/>
                <w:rFonts w:ascii="Garamond" w:hAnsi="Garamond"/>
                <w:sz w:val="18"/>
                <w:szCs w:val="18"/>
              </w:rPr>
              <w:t>3</w:t>
            </w:r>
            <w:r w:rsidRPr="00A90756">
              <w:rPr>
                <w:rStyle w:val="Other1"/>
                <w:rFonts w:ascii="Garamond" w:hAnsi="Garamond"/>
                <w:sz w:val="18"/>
                <w:szCs w:val="18"/>
              </w:rPr>
              <w:tab/>
              <w:t>400</w:t>
            </w:r>
            <w:r w:rsidRPr="00A90756">
              <w:rPr>
                <w:rStyle w:val="Other1"/>
                <w:rFonts w:ascii="Garamond" w:hAnsi="Garamond"/>
                <w:sz w:val="18"/>
                <w:szCs w:val="18"/>
              </w:rPr>
              <w:tab/>
              <w:t>000</w:t>
            </w:r>
            <w:r w:rsidR="00930B35" w:rsidRPr="00A90756">
              <w:rPr>
                <w:rStyle w:val="Other1"/>
                <w:rFonts w:ascii="Garamond" w:hAnsi="Garamond"/>
                <w:sz w:val="18"/>
                <w:szCs w:val="18"/>
              </w:rPr>
              <w:t>;</w:t>
            </w:r>
          </w:p>
          <w:p w14:paraId="014E415A" w14:textId="6C1B1684" w:rsidR="000D306C" w:rsidRPr="00A90756" w:rsidRDefault="000D306C" w:rsidP="000D306C">
            <w:pPr>
              <w:pStyle w:val="Other10"/>
              <w:tabs>
                <w:tab w:val="right" w:pos="797"/>
                <w:tab w:val="center" w:pos="979"/>
                <w:tab w:val="right" w:pos="1790"/>
                <w:tab w:val="right" w:pos="1978"/>
                <w:tab w:val="right" w:pos="2472"/>
                <w:tab w:val="left" w:pos="2506"/>
                <w:tab w:val="center" w:pos="2894"/>
                <w:tab w:val="right" w:pos="3518"/>
              </w:tabs>
              <w:spacing w:after="0"/>
              <w:rPr>
                <w:rFonts w:ascii="Garamond" w:hAnsi="Garamond"/>
                <w:sz w:val="18"/>
                <w:szCs w:val="18"/>
              </w:rPr>
            </w:pPr>
            <w:r w:rsidRPr="00A90756">
              <w:rPr>
                <w:rStyle w:val="Other1"/>
                <w:rFonts w:ascii="Garamond" w:hAnsi="Garamond"/>
                <w:sz w:val="18"/>
                <w:szCs w:val="18"/>
              </w:rPr>
              <w:t>Për</w:t>
            </w:r>
            <w:r w:rsidR="00930B35" w:rsidRPr="00A90756">
              <w:rPr>
                <w:rStyle w:val="Other1"/>
                <w:rFonts w:ascii="Garamond" w:hAnsi="Garamond"/>
                <w:sz w:val="18"/>
                <w:szCs w:val="18"/>
              </w:rPr>
              <w:t xml:space="preserve"> </w:t>
            </w:r>
            <w:r w:rsidRPr="00A90756">
              <w:rPr>
                <w:rStyle w:val="Other1"/>
                <w:rFonts w:ascii="Garamond" w:hAnsi="Garamond"/>
                <w:sz w:val="18"/>
                <w:szCs w:val="18"/>
              </w:rPr>
              <w:t xml:space="preserve">vitin </w:t>
            </w:r>
            <w:r w:rsidRPr="00A90756">
              <w:rPr>
                <w:rStyle w:val="Other1"/>
                <w:rFonts w:ascii="Garamond" w:hAnsi="Garamond"/>
                <w:sz w:val="18"/>
                <w:szCs w:val="18"/>
              </w:rPr>
              <w:tab/>
              <w:t>2025</w:t>
            </w:r>
            <w:r w:rsidR="00930B35" w:rsidRPr="00A90756">
              <w:rPr>
                <w:rStyle w:val="Other1"/>
                <w:rFonts w:ascii="Garamond" w:hAnsi="Garamond"/>
                <w:sz w:val="18"/>
                <w:szCs w:val="18"/>
              </w:rPr>
              <w:t xml:space="preserve"> – </w:t>
            </w:r>
            <w:r w:rsidRPr="00A90756">
              <w:rPr>
                <w:rStyle w:val="Other1"/>
                <w:rFonts w:ascii="Garamond" w:hAnsi="Garamond"/>
                <w:sz w:val="18"/>
                <w:szCs w:val="18"/>
              </w:rPr>
              <w:t>EUR</w:t>
            </w:r>
            <w:r w:rsidRPr="00A90756">
              <w:rPr>
                <w:rStyle w:val="Other1"/>
                <w:rFonts w:ascii="Garamond" w:hAnsi="Garamond"/>
                <w:sz w:val="18"/>
                <w:szCs w:val="18"/>
              </w:rPr>
              <w:tab/>
            </w:r>
            <w:r w:rsidR="00930B35" w:rsidRPr="00A90756">
              <w:rPr>
                <w:rStyle w:val="Other1"/>
                <w:rFonts w:ascii="Garamond" w:hAnsi="Garamond"/>
                <w:sz w:val="18"/>
                <w:szCs w:val="18"/>
              </w:rPr>
              <w:t xml:space="preserve"> </w:t>
            </w:r>
            <w:r w:rsidRPr="00A90756">
              <w:rPr>
                <w:rStyle w:val="Other1"/>
                <w:rFonts w:ascii="Garamond" w:hAnsi="Garamond"/>
                <w:sz w:val="18"/>
                <w:szCs w:val="18"/>
              </w:rPr>
              <w:t>5</w:t>
            </w:r>
            <w:r w:rsidRPr="00A90756">
              <w:rPr>
                <w:rStyle w:val="Other1"/>
                <w:rFonts w:ascii="Garamond" w:hAnsi="Garamond"/>
                <w:sz w:val="18"/>
                <w:szCs w:val="18"/>
              </w:rPr>
              <w:tab/>
              <w:t>100</w:t>
            </w:r>
            <w:r w:rsidRPr="00A90756">
              <w:rPr>
                <w:rStyle w:val="Other1"/>
                <w:rFonts w:ascii="Garamond" w:hAnsi="Garamond"/>
                <w:sz w:val="18"/>
                <w:szCs w:val="18"/>
              </w:rPr>
              <w:tab/>
              <w:t>000</w:t>
            </w:r>
            <w:r w:rsidR="00930B35" w:rsidRPr="00A90756">
              <w:rPr>
                <w:rStyle w:val="Other1"/>
                <w:rFonts w:ascii="Garamond" w:hAnsi="Garamond"/>
                <w:sz w:val="18"/>
                <w:szCs w:val="18"/>
              </w:rPr>
              <w:t>;</w:t>
            </w:r>
          </w:p>
          <w:p w14:paraId="014E415B" w14:textId="0FCAF9F4" w:rsidR="000D306C" w:rsidRPr="00A90756" w:rsidRDefault="000D306C" w:rsidP="000D306C">
            <w:pPr>
              <w:pStyle w:val="Other10"/>
              <w:tabs>
                <w:tab w:val="right" w:pos="797"/>
                <w:tab w:val="center" w:pos="979"/>
                <w:tab w:val="right" w:pos="1790"/>
                <w:tab w:val="right" w:pos="1978"/>
                <w:tab w:val="right" w:pos="2472"/>
                <w:tab w:val="left" w:pos="2506"/>
                <w:tab w:val="center" w:pos="2894"/>
                <w:tab w:val="right" w:pos="3518"/>
              </w:tabs>
              <w:spacing w:after="0"/>
              <w:rPr>
                <w:rFonts w:ascii="Garamond" w:hAnsi="Garamond"/>
                <w:sz w:val="18"/>
                <w:szCs w:val="18"/>
              </w:rPr>
            </w:pPr>
            <w:r w:rsidRPr="00A90756">
              <w:rPr>
                <w:rStyle w:val="Other1"/>
                <w:rFonts w:ascii="Garamond" w:hAnsi="Garamond"/>
                <w:sz w:val="18"/>
                <w:szCs w:val="18"/>
              </w:rPr>
              <w:t>Për</w:t>
            </w:r>
            <w:r w:rsidR="00930B35" w:rsidRPr="00A90756">
              <w:rPr>
                <w:rStyle w:val="Other1"/>
                <w:rFonts w:ascii="Garamond" w:hAnsi="Garamond"/>
                <w:sz w:val="18"/>
                <w:szCs w:val="18"/>
              </w:rPr>
              <w:t xml:space="preserve"> </w:t>
            </w:r>
            <w:r w:rsidRPr="00A90756">
              <w:rPr>
                <w:rStyle w:val="Other1"/>
                <w:rFonts w:ascii="Garamond" w:hAnsi="Garamond"/>
                <w:sz w:val="18"/>
                <w:szCs w:val="18"/>
              </w:rPr>
              <w:t xml:space="preserve">vitin </w:t>
            </w:r>
            <w:r w:rsidRPr="00A90756">
              <w:rPr>
                <w:rStyle w:val="Other1"/>
                <w:rFonts w:ascii="Garamond" w:hAnsi="Garamond"/>
                <w:sz w:val="18"/>
                <w:szCs w:val="18"/>
              </w:rPr>
              <w:tab/>
              <w:t>2027</w:t>
            </w:r>
            <w:r w:rsidR="00930B35" w:rsidRPr="00A90756">
              <w:rPr>
                <w:rStyle w:val="Other1"/>
                <w:rFonts w:ascii="Garamond" w:hAnsi="Garamond"/>
                <w:sz w:val="18"/>
                <w:szCs w:val="18"/>
              </w:rPr>
              <w:t xml:space="preserve"> – </w:t>
            </w:r>
            <w:r w:rsidRPr="00A90756">
              <w:rPr>
                <w:rStyle w:val="Other1"/>
                <w:rFonts w:ascii="Garamond" w:hAnsi="Garamond"/>
                <w:sz w:val="18"/>
                <w:szCs w:val="18"/>
              </w:rPr>
              <w:t>EUR</w:t>
            </w:r>
            <w:r w:rsidRPr="00A90756">
              <w:rPr>
                <w:rStyle w:val="Other1"/>
                <w:rFonts w:ascii="Garamond" w:hAnsi="Garamond"/>
                <w:sz w:val="18"/>
                <w:szCs w:val="18"/>
              </w:rPr>
              <w:tab/>
            </w:r>
            <w:r w:rsidR="00930B35" w:rsidRPr="00A90756">
              <w:rPr>
                <w:rStyle w:val="Other1"/>
                <w:rFonts w:ascii="Garamond" w:hAnsi="Garamond"/>
                <w:sz w:val="18"/>
                <w:szCs w:val="18"/>
              </w:rPr>
              <w:t xml:space="preserve"> </w:t>
            </w:r>
            <w:r w:rsidRPr="00A90756">
              <w:rPr>
                <w:rStyle w:val="Other1"/>
                <w:rFonts w:ascii="Garamond" w:hAnsi="Garamond"/>
                <w:sz w:val="18"/>
                <w:szCs w:val="18"/>
              </w:rPr>
              <w:t>3</w:t>
            </w:r>
            <w:r w:rsidRPr="00A90756">
              <w:rPr>
                <w:rStyle w:val="Other1"/>
                <w:rFonts w:ascii="Garamond" w:hAnsi="Garamond"/>
                <w:sz w:val="18"/>
                <w:szCs w:val="18"/>
              </w:rPr>
              <w:tab/>
              <w:t>400</w:t>
            </w:r>
            <w:r w:rsidRPr="00A90756">
              <w:rPr>
                <w:rStyle w:val="Other1"/>
                <w:rFonts w:ascii="Garamond" w:hAnsi="Garamond"/>
                <w:sz w:val="18"/>
                <w:szCs w:val="18"/>
              </w:rPr>
              <w:tab/>
              <w:t>000</w:t>
            </w:r>
            <w:r w:rsidR="00930B35" w:rsidRPr="00A90756">
              <w:rPr>
                <w:rStyle w:val="Other1"/>
                <w:rFonts w:ascii="Garamond" w:hAnsi="Garamond"/>
                <w:sz w:val="18"/>
                <w:szCs w:val="18"/>
              </w:rPr>
              <w:t>.</w:t>
            </w:r>
          </w:p>
          <w:p w14:paraId="014E415C"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Në varësi të disponueshmërisë së ndarjeve buxhetore për vitet përkatëse financiare pas miratimit të buxhetit vjetor përkatës, ose siç parashikohet në sistemin e një të dymbëdhjetës së përkohshme.</w:t>
            </w:r>
          </w:p>
        </w:tc>
      </w:tr>
      <w:tr w:rsidR="000D306C" w:rsidRPr="00A90756" w14:paraId="014E415F" w14:textId="77777777" w:rsidTr="000D306C">
        <w:trPr>
          <w:trHeight w:val="20"/>
          <w:jc w:val="center"/>
        </w:trPr>
        <w:tc>
          <w:tcPr>
            <w:tcW w:w="5000" w:type="pct"/>
            <w:gridSpan w:val="2"/>
            <w:tcBorders>
              <w:top w:val="single" w:sz="4" w:space="0" w:color="auto"/>
              <w:left w:val="single" w:sz="4" w:space="0" w:color="auto"/>
              <w:right w:val="single" w:sz="4" w:space="0" w:color="auto"/>
            </w:tcBorders>
            <w:shd w:val="clear" w:color="auto" w:fill="auto"/>
            <w:vAlign w:val="bottom"/>
          </w:tcPr>
          <w:p w14:paraId="014E415E" w14:textId="77777777" w:rsidR="000D306C" w:rsidRPr="00A90756" w:rsidRDefault="000D306C" w:rsidP="000D306C">
            <w:pPr>
              <w:pStyle w:val="Other10"/>
              <w:spacing w:after="0"/>
              <w:jc w:val="center"/>
              <w:rPr>
                <w:rFonts w:ascii="Garamond" w:hAnsi="Garamond"/>
                <w:sz w:val="18"/>
                <w:szCs w:val="18"/>
              </w:rPr>
            </w:pPr>
            <w:r w:rsidRPr="00A90756">
              <w:rPr>
                <w:rStyle w:val="Other1"/>
                <w:rFonts w:ascii="Garamond" w:hAnsi="Garamond"/>
                <w:bCs/>
                <w:sz w:val="18"/>
                <w:szCs w:val="18"/>
              </w:rPr>
              <w:t>MENAXHIMI DHE ZBATIMI</w:t>
            </w:r>
          </w:p>
        </w:tc>
      </w:tr>
      <w:tr w:rsidR="000D306C" w:rsidRPr="00A90756" w14:paraId="014E4162" w14:textId="77777777" w:rsidTr="000D306C">
        <w:trPr>
          <w:trHeight w:val="20"/>
          <w:jc w:val="center"/>
        </w:trPr>
        <w:tc>
          <w:tcPr>
            <w:tcW w:w="1292" w:type="pct"/>
            <w:tcBorders>
              <w:top w:val="single" w:sz="4" w:space="0" w:color="auto"/>
              <w:left w:val="single" w:sz="4" w:space="0" w:color="auto"/>
            </w:tcBorders>
            <w:shd w:val="clear" w:color="auto" w:fill="auto"/>
          </w:tcPr>
          <w:p w14:paraId="014E4160" w14:textId="77777777" w:rsidR="000D306C" w:rsidRPr="00A90756" w:rsidRDefault="000D306C" w:rsidP="000D306C">
            <w:pPr>
              <w:rPr>
                <w:rFonts w:ascii="Garamond" w:hAnsi="Garamond"/>
                <w:sz w:val="18"/>
                <w:szCs w:val="18"/>
              </w:rPr>
            </w:pPr>
          </w:p>
        </w:tc>
        <w:tc>
          <w:tcPr>
            <w:tcW w:w="3708" w:type="pct"/>
            <w:tcBorders>
              <w:top w:val="single" w:sz="4" w:space="0" w:color="auto"/>
              <w:left w:val="single" w:sz="4" w:space="0" w:color="auto"/>
              <w:right w:val="single" w:sz="4" w:space="0" w:color="auto"/>
            </w:tcBorders>
            <w:shd w:val="clear" w:color="auto" w:fill="auto"/>
          </w:tcPr>
          <w:p w14:paraId="014E4161" w14:textId="77777777" w:rsidR="000D306C" w:rsidRPr="00A90756" w:rsidRDefault="000D306C" w:rsidP="000D306C">
            <w:pPr>
              <w:rPr>
                <w:rFonts w:ascii="Garamond" w:hAnsi="Garamond"/>
                <w:sz w:val="18"/>
                <w:szCs w:val="18"/>
              </w:rPr>
            </w:pPr>
          </w:p>
        </w:tc>
      </w:tr>
      <w:tr w:rsidR="000D306C" w:rsidRPr="00A90756" w14:paraId="014E4168" w14:textId="77777777" w:rsidTr="000D306C">
        <w:trPr>
          <w:trHeight w:val="20"/>
          <w:jc w:val="center"/>
        </w:trPr>
        <w:tc>
          <w:tcPr>
            <w:tcW w:w="1292" w:type="pct"/>
            <w:tcBorders>
              <w:top w:val="single" w:sz="4" w:space="0" w:color="auto"/>
              <w:left w:val="single" w:sz="4" w:space="0" w:color="auto"/>
              <w:bottom w:val="single" w:sz="4" w:space="0" w:color="auto"/>
            </w:tcBorders>
            <w:shd w:val="clear" w:color="auto" w:fill="auto"/>
            <w:vAlign w:val="center"/>
          </w:tcPr>
          <w:p w14:paraId="014E4163" w14:textId="77777777" w:rsidR="000D306C" w:rsidRPr="00A90756" w:rsidRDefault="000D306C" w:rsidP="000D306C">
            <w:pPr>
              <w:pStyle w:val="Other10"/>
              <w:spacing w:after="0"/>
              <w:rPr>
                <w:rFonts w:ascii="Garamond" w:hAnsi="Garamond"/>
                <w:b/>
                <w:sz w:val="18"/>
                <w:szCs w:val="18"/>
              </w:rPr>
            </w:pPr>
            <w:r w:rsidRPr="00A90756">
              <w:rPr>
                <w:rStyle w:val="Other1"/>
                <w:rFonts w:ascii="Garamond" w:hAnsi="Garamond"/>
                <w:b/>
                <w:sz w:val="18"/>
                <w:szCs w:val="18"/>
              </w:rPr>
              <w:t>Metoda e zbatimit</w:t>
            </w:r>
          </w:p>
        </w:tc>
        <w:tc>
          <w:tcPr>
            <w:tcW w:w="3708" w:type="pct"/>
            <w:tcBorders>
              <w:top w:val="single" w:sz="4" w:space="0" w:color="auto"/>
              <w:left w:val="single" w:sz="4" w:space="0" w:color="auto"/>
              <w:bottom w:val="single" w:sz="4" w:space="0" w:color="auto"/>
              <w:right w:val="single" w:sz="4" w:space="0" w:color="auto"/>
            </w:tcBorders>
            <w:shd w:val="clear" w:color="auto" w:fill="auto"/>
          </w:tcPr>
          <w:p w14:paraId="014E4164"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i/>
                <w:iCs/>
                <w:sz w:val="18"/>
                <w:szCs w:val="18"/>
              </w:rPr>
              <w:t>Për operacionet:</w:t>
            </w:r>
          </w:p>
          <w:p w14:paraId="014E4165"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Menaxhimi indirekt nga Mali i Zi</w:t>
            </w:r>
          </w:p>
          <w:p w14:paraId="014E4166"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i/>
                <w:iCs/>
                <w:sz w:val="18"/>
                <w:szCs w:val="18"/>
              </w:rPr>
              <w:t>Për Asistencën Teknike</w:t>
            </w:r>
          </w:p>
          <w:p w14:paraId="014E4167"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Menaxhimi i drejtpërdrejtë nga Komisioni Evropian</w:t>
            </w:r>
          </w:p>
        </w:tc>
      </w:tr>
    </w:tbl>
    <w:p w14:paraId="014E4169" w14:textId="77777777" w:rsidR="000D306C" w:rsidRPr="00A90756" w:rsidRDefault="000D306C" w:rsidP="000D306C">
      <w:pPr>
        <w:pStyle w:val="Tablecaption10"/>
        <w:tabs>
          <w:tab w:val="left" w:pos="1541"/>
          <w:tab w:val="left" w:pos="3259"/>
        </w:tabs>
        <w:ind w:firstLine="284"/>
        <w:rPr>
          <w:rFonts w:ascii="Garamond" w:hAnsi="Garamond"/>
          <w:sz w:val="16"/>
          <w:szCs w:val="16"/>
        </w:rPr>
      </w:pPr>
    </w:p>
    <w:tbl>
      <w:tblPr>
        <w:tblOverlap w:val="never"/>
        <w:tblW w:w="5000" w:type="pct"/>
        <w:jc w:val="center"/>
        <w:tblCellMar>
          <w:left w:w="10" w:type="dxa"/>
          <w:right w:w="10" w:type="dxa"/>
        </w:tblCellMar>
        <w:tblLook w:val="04A0" w:firstRow="1" w:lastRow="0" w:firstColumn="1" w:lastColumn="0" w:noHBand="0" w:noVBand="1"/>
      </w:tblPr>
      <w:tblGrid>
        <w:gridCol w:w="2631"/>
        <w:gridCol w:w="6386"/>
      </w:tblGrid>
      <w:tr w:rsidR="000D306C" w:rsidRPr="00A90756" w14:paraId="014E416D" w14:textId="77777777" w:rsidTr="000D306C">
        <w:trPr>
          <w:trHeight w:val="20"/>
          <w:jc w:val="center"/>
        </w:trPr>
        <w:tc>
          <w:tcPr>
            <w:tcW w:w="1459" w:type="pct"/>
            <w:tcBorders>
              <w:top w:val="single" w:sz="4" w:space="0" w:color="auto"/>
              <w:left w:val="single" w:sz="4" w:space="0" w:color="auto"/>
            </w:tcBorders>
            <w:shd w:val="clear" w:color="auto" w:fill="auto"/>
          </w:tcPr>
          <w:p w14:paraId="014E416A" w14:textId="77777777" w:rsidR="000D306C" w:rsidRPr="00A90756" w:rsidRDefault="000D306C" w:rsidP="000D306C">
            <w:pPr>
              <w:rPr>
                <w:rFonts w:ascii="Garamond" w:hAnsi="Garamond"/>
                <w:sz w:val="18"/>
                <w:szCs w:val="18"/>
              </w:rPr>
            </w:pPr>
          </w:p>
        </w:tc>
        <w:tc>
          <w:tcPr>
            <w:tcW w:w="3541" w:type="pct"/>
            <w:tcBorders>
              <w:top w:val="single" w:sz="4" w:space="0" w:color="auto"/>
              <w:left w:val="single" w:sz="4" w:space="0" w:color="auto"/>
              <w:right w:val="single" w:sz="4" w:space="0" w:color="auto"/>
            </w:tcBorders>
            <w:shd w:val="clear" w:color="auto" w:fill="auto"/>
            <w:vAlign w:val="bottom"/>
          </w:tcPr>
          <w:p w14:paraId="014E416B"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Në Malin e Zi:</w:t>
            </w:r>
          </w:p>
          <w:p w14:paraId="014E416C" w14:textId="77777777" w:rsidR="000D306C" w:rsidRPr="00A90756" w:rsidRDefault="000D306C" w:rsidP="000D306C">
            <w:pPr>
              <w:pStyle w:val="Other10"/>
              <w:tabs>
                <w:tab w:val="left" w:pos="360"/>
              </w:tabs>
              <w:spacing w:after="0"/>
              <w:rPr>
                <w:rFonts w:ascii="Garamond" w:hAnsi="Garamond"/>
                <w:sz w:val="18"/>
                <w:szCs w:val="18"/>
              </w:rPr>
            </w:pPr>
            <w:r w:rsidRPr="00A90756">
              <w:rPr>
                <w:rStyle w:val="Other1"/>
                <w:rFonts w:ascii="Garamond" w:hAnsi="Garamond"/>
                <w:sz w:val="18"/>
                <w:szCs w:val="18"/>
              </w:rPr>
              <w:t>- Qeveria e Malit të Zi, Zyra e Integrimit Evropian</w:t>
            </w:r>
          </w:p>
        </w:tc>
      </w:tr>
      <w:tr w:rsidR="000D306C" w:rsidRPr="00A90756" w14:paraId="014E4171" w14:textId="77777777" w:rsidTr="000D306C">
        <w:trPr>
          <w:trHeight w:val="20"/>
          <w:jc w:val="center"/>
        </w:trPr>
        <w:tc>
          <w:tcPr>
            <w:tcW w:w="1459" w:type="pct"/>
            <w:tcBorders>
              <w:left w:val="single" w:sz="4" w:space="0" w:color="auto"/>
            </w:tcBorders>
            <w:shd w:val="clear" w:color="auto" w:fill="auto"/>
            <w:vAlign w:val="center"/>
          </w:tcPr>
          <w:p w14:paraId="014E416E" w14:textId="77777777" w:rsidR="000D306C" w:rsidRPr="00A90756" w:rsidRDefault="000D306C" w:rsidP="002132A6">
            <w:pPr>
              <w:pStyle w:val="Other10"/>
              <w:spacing w:after="0"/>
              <w:jc w:val="center"/>
              <w:rPr>
                <w:rFonts w:ascii="Garamond" w:hAnsi="Garamond"/>
                <w:b/>
                <w:sz w:val="18"/>
                <w:szCs w:val="18"/>
              </w:rPr>
            </w:pPr>
            <w:r w:rsidRPr="00A90756">
              <w:rPr>
                <w:rStyle w:val="Other1"/>
                <w:rFonts w:ascii="Garamond" w:hAnsi="Garamond"/>
                <w:b/>
                <w:sz w:val="18"/>
                <w:szCs w:val="18"/>
              </w:rPr>
              <w:t xml:space="preserve">Strukturat përgjegjëse të BNK-së/autoritetet përkatëse të </w:t>
            </w:r>
            <w:r w:rsidRPr="00A90756">
              <w:rPr>
                <w:rStyle w:val="Other1"/>
                <w:rFonts w:ascii="Garamond" w:hAnsi="Garamond"/>
                <w:b/>
                <w:sz w:val="18"/>
                <w:szCs w:val="18"/>
              </w:rPr>
              <w:lastRenderedPageBreak/>
              <w:t>vendeve pjesëmarrëse të IPA III</w:t>
            </w:r>
            <w:r w:rsidRPr="00A90756">
              <w:rPr>
                <w:rStyle w:val="FootnoteReference"/>
                <w:rFonts w:ascii="Garamond" w:hAnsi="Garamond"/>
                <w:b/>
                <w:sz w:val="18"/>
                <w:szCs w:val="18"/>
              </w:rPr>
              <w:footnoteReference w:id="4"/>
            </w:r>
          </w:p>
        </w:tc>
        <w:tc>
          <w:tcPr>
            <w:tcW w:w="3541" w:type="pct"/>
            <w:tcBorders>
              <w:left w:val="single" w:sz="4" w:space="0" w:color="auto"/>
              <w:right w:val="single" w:sz="4" w:space="0" w:color="auto"/>
            </w:tcBorders>
            <w:shd w:val="clear" w:color="auto" w:fill="auto"/>
            <w:vAlign w:val="center"/>
          </w:tcPr>
          <w:p w14:paraId="014E416F"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lastRenderedPageBreak/>
              <w:t>(Autoriteti Menaxhues)</w:t>
            </w:r>
          </w:p>
          <w:p w14:paraId="014E4170" w14:textId="5375433E" w:rsidR="000D306C" w:rsidRPr="00A90756" w:rsidRDefault="000D306C" w:rsidP="000D306C">
            <w:pPr>
              <w:pStyle w:val="Other10"/>
              <w:tabs>
                <w:tab w:val="left" w:pos="370"/>
              </w:tabs>
              <w:spacing w:after="0"/>
              <w:rPr>
                <w:rFonts w:ascii="Garamond" w:hAnsi="Garamond"/>
                <w:sz w:val="18"/>
                <w:szCs w:val="18"/>
              </w:rPr>
            </w:pPr>
            <w:r w:rsidRPr="00A90756">
              <w:rPr>
                <w:rStyle w:val="Other1"/>
                <w:rFonts w:ascii="Garamond" w:hAnsi="Garamond"/>
                <w:sz w:val="18"/>
                <w:szCs w:val="18"/>
              </w:rPr>
              <w:t>- Ministria e Financave dhe Mirëqenies Sociale, Drejtoria e Financës dhe Kontraktimi i Fondeve të Asistencës së BE-së (organ i ndërmjetëm për menaxhimin financiar)</w:t>
            </w:r>
            <w:r w:rsidR="00930B35" w:rsidRPr="00A90756">
              <w:rPr>
                <w:rStyle w:val="Other1"/>
                <w:rFonts w:ascii="Garamond" w:hAnsi="Garamond"/>
                <w:sz w:val="18"/>
                <w:szCs w:val="18"/>
              </w:rPr>
              <w:t>.</w:t>
            </w:r>
          </w:p>
        </w:tc>
      </w:tr>
      <w:tr w:rsidR="000D306C" w:rsidRPr="00A90756" w14:paraId="014E4176" w14:textId="77777777" w:rsidTr="000D306C">
        <w:trPr>
          <w:trHeight w:val="20"/>
          <w:jc w:val="center"/>
        </w:trPr>
        <w:tc>
          <w:tcPr>
            <w:tcW w:w="1459" w:type="pct"/>
            <w:tcBorders>
              <w:left w:val="single" w:sz="4" w:space="0" w:color="auto"/>
            </w:tcBorders>
            <w:shd w:val="clear" w:color="auto" w:fill="auto"/>
          </w:tcPr>
          <w:p w14:paraId="014E4172" w14:textId="77777777" w:rsidR="000D306C" w:rsidRPr="00A90756" w:rsidRDefault="000D306C" w:rsidP="002132A6">
            <w:pPr>
              <w:pStyle w:val="Other10"/>
              <w:spacing w:after="0"/>
              <w:jc w:val="center"/>
              <w:rPr>
                <w:rFonts w:ascii="Garamond" w:hAnsi="Garamond"/>
                <w:b/>
                <w:sz w:val="18"/>
                <w:szCs w:val="18"/>
              </w:rPr>
            </w:pPr>
          </w:p>
        </w:tc>
        <w:tc>
          <w:tcPr>
            <w:tcW w:w="3541" w:type="pct"/>
            <w:tcBorders>
              <w:left w:val="single" w:sz="4" w:space="0" w:color="auto"/>
              <w:right w:val="single" w:sz="4" w:space="0" w:color="auto"/>
            </w:tcBorders>
            <w:shd w:val="clear" w:color="auto" w:fill="auto"/>
            <w:vAlign w:val="center"/>
          </w:tcPr>
          <w:p w14:paraId="014E4173"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Në Shqipëri:</w:t>
            </w:r>
          </w:p>
          <w:p w14:paraId="014E4174" w14:textId="77777777" w:rsidR="000D306C" w:rsidRPr="00A90756" w:rsidRDefault="000D306C" w:rsidP="000D306C">
            <w:pPr>
              <w:pStyle w:val="Other10"/>
              <w:tabs>
                <w:tab w:val="left" w:pos="350"/>
              </w:tabs>
              <w:spacing w:after="0"/>
              <w:rPr>
                <w:rFonts w:ascii="Garamond" w:hAnsi="Garamond"/>
                <w:sz w:val="18"/>
                <w:szCs w:val="18"/>
              </w:rPr>
            </w:pPr>
            <w:r w:rsidRPr="00A90756">
              <w:rPr>
                <w:rStyle w:val="Other1"/>
                <w:rFonts w:ascii="Garamond" w:hAnsi="Garamond"/>
                <w:sz w:val="18"/>
                <w:szCs w:val="18"/>
              </w:rPr>
              <w:t>- Qeveria e Shqipërisë, Koordinatori Kombëtar i IPA-s (NIPAC)</w:t>
            </w:r>
          </w:p>
          <w:p w14:paraId="014E4175" w14:textId="78E3BA76"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dhe Struktura BNK e krijuar sipas kuadrit ligjor IPA III</w:t>
            </w:r>
            <w:r w:rsidR="00930B35" w:rsidRPr="00A90756">
              <w:rPr>
                <w:rStyle w:val="Other1"/>
                <w:rFonts w:ascii="Garamond" w:hAnsi="Garamond"/>
                <w:sz w:val="18"/>
                <w:szCs w:val="18"/>
              </w:rPr>
              <w:t>.</w:t>
            </w:r>
          </w:p>
        </w:tc>
      </w:tr>
      <w:tr w:rsidR="000D306C" w:rsidRPr="00A90756" w14:paraId="014E417A" w14:textId="77777777" w:rsidTr="000D306C">
        <w:trPr>
          <w:trHeight w:val="20"/>
          <w:jc w:val="center"/>
        </w:trPr>
        <w:tc>
          <w:tcPr>
            <w:tcW w:w="1459" w:type="pct"/>
            <w:tcBorders>
              <w:top w:val="single" w:sz="4" w:space="0" w:color="auto"/>
              <w:left w:val="single" w:sz="4" w:space="0" w:color="auto"/>
            </w:tcBorders>
            <w:shd w:val="clear" w:color="auto" w:fill="auto"/>
            <w:vAlign w:val="bottom"/>
          </w:tcPr>
          <w:p w14:paraId="014E4177" w14:textId="77777777" w:rsidR="000D306C" w:rsidRPr="00A90756" w:rsidRDefault="000D306C" w:rsidP="002132A6">
            <w:pPr>
              <w:pStyle w:val="Other10"/>
              <w:spacing w:after="0"/>
              <w:jc w:val="center"/>
              <w:rPr>
                <w:rFonts w:ascii="Garamond" w:hAnsi="Garamond"/>
                <w:b/>
                <w:sz w:val="18"/>
                <w:szCs w:val="18"/>
              </w:rPr>
            </w:pPr>
            <w:r w:rsidRPr="00A90756">
              <w:rPr>
                <w:rStyle w:val="Other1"/>
                <w:rFonts w:ascii="Garamond" w:hAnsi="Garamond"/>
                <w:b/>
                <w:sz w:val="18"/>
                <w:szCs w:val="18"/>
              </w:rPr>
              <w:t>SPT/Zyrat e Antenave të Sekretariatit të Përbashkët Teknik (SPT)</w:t>
            </w:r>
          </w:p>
        </w:tc>
        <w:tc>
          <w:tcPr>
            <w:tcW w:w="3541" w:type="pct"/>
            <w:tcBorders>
              <w:top w:val="single" w:sz="4" w:space="0" w:color="auto"/>
              <w:left w:val="single" w:sz="4" w:space="0" w:color="auto"/>
              <w:right w:val="single" w:sz="4" w:space="0" w:color="auto"/>
            </w:tcBorders>
            <w:shd w:val="clear" w:color="auto" w:fill="auto"/>
          </w:tcPr>
          <w:p w14:paraId="014E4178" w14:textId="77777777" w:rsidR="000D306C" w:rsidRPr="00A90756" w:rsidRDefault="000D306C" w:rsidP="000D306C">
            <w:pPr>
              <w:pStyle w:val="Other10"/>
              <w:spacing w:after="0"/>
              <w:rPr>
                <w:rStyle w:val="Other1"/>
                <w:rFonts w:ascii="Garamond" w:hAnsi="Garamond"/>
                <w:sz w:val="18"/>
                <w:szCs w:val="18"/>
              </w:rPr>
            </w:pPr>
            <w:r w:rsidRPr="00A90756">
              <w:rPr>
                <w:rStyle w:val="Other1"/>
                <w:rFonts w:ascii="Garamond" w:hAnsi="Garamond"/>
                <w:sz w:val="18"/>
                <w:szCs w:val="18"/>
              </w:rPr>
              <w:t>Zyra kryesore e SPT-së: Podgoricë, Mali i Zi</w:t>
            </w:r>
          </w:p>
          <w:p w14:paraId="014E4179"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Zyra e Antenës: Shkodër, Shqipëri</w:t>
            </w:r>
          </w:p>
        </w:tc>
      </w:tr>
      <w:tr w:rsidR="000D306C" w:rsidRPr="00A90756" w14:paraId="014E417D" w14:textId="77777777" w:rsidTr="000D306C">
        <w:trPr>
          <w:trHeight w:val="20"/>
          <w:jc w:val="center"/>
        </w:trPr>
        <w:tc>
          <w:tcPr>
            <w:tcW w:w="1459" w:type="pct"/>
            <w:tcBorders>
              <w:top w:val="single" w:sz="4" w:space="0" w:color="auto"/>
              <w:left w:val="single" w:sz="4" w:space="0" w:color="auto"/>
            </w:tcBorders>
            <w:shd w:val="clear" w:color="auto" w:fill="auto"/>
          </w:tcPr>
          <w:p w14:paraId="014E417B" w14:textId="77777777" w:rsidR="000D306C" w:rsidRPr="00A90756" w:rsidRDefault="000D306C" w:rsidP="002132A6">
            <w:pPr>
              <w:pStyle w:val="Other10"/>
              <w:spacing w:after="0"/>
              <w:jc w:val="center"/>
              <w:rPr>
                <w:rFonts w:ascii="Garamond" w:hAnsi="Garamond"/>
                <w:b/>
                <w:sz w:val="18"/>
                <w:szCs w:val="18"/>
              </w:rPr>
            </w:pPr>
            <w:r w:rsidRPr="00A90756">
              <w:rPr>
                <w:rStyle w:val="Other1"/>
                <w:rFonts w:ascii="Garamond" w:hAnsi="Garamond"/>
                <w:b/>
                <w:sz w:val="18"/>
                <w:szCs w:val="18"/>
              </w:rPr>
              <w:t xml:space="preserve">Data përfundimtare për lidhjen e </w:t>
            </w:r>
            <w:r w:rsidRPr="00A90756">
              <w:rPr>
                <w:rStyle w:val="Other1"/>
                <w:rFonts w:ascii="Garamond" w:hAnsi="Garamond"/>
                <w:b/>
                <w:sz w:val="18"/>
                <w:szCs w:val="18"/>
                <w:u w:val="single"/>
              </w:rPr>
              <w:t>Marrëveshjes Financiare</w:t>
            </w:r>
          </w:p>
        </w:tc>
        <w:tc>
          <w:tcPr>
            <w:tcW w:w="3541" w:type="pct"/>
            <w:tcBorders>
              <w:top w:val="single" w:sz="4" w:space="0" w:color="auto"/>
              <w:left w:val="single" w:sz="4" w:space="0" w:color="auto"/>
              <w:right w:val="single" w:sz="4" w:space="0" w:color="auto"/>
            </w:tcBorders>
            <w:shd w:val="clear" w:color="auto" w:fill="auto"/>
          </w:tcPr>
          <w:p w14:paraId="014E417C" w14:textId="6BC8A6D4"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Për angazhimin buxhetor të vitit 2022 maksimumi brenda 31 dhjetorit N+1</w:t>
            </w:r>
            <w:r w:rsidR="00930B35" w:rsidRPr="00A90756">
              <w:rPr>
                <w:rStyle w:val="Other1"/>
                <w:rFonts w:ascii="Garamond" w:hAnsi="Garamond"/>
                <w:sz w:val="18"/>
                <w:szCs w:val="18"/>
              </w:rPr>
              <w:t>.</w:t>
            </w:r>
          </w:p>
        </w:tc>
      </w:tr>
      <w:tr w:rsidR="000D306C" w:rsidRPr="00A90756" w14:paraId="014E4181" w14:textId="77777777" w:rsidTr="000D306C">
        <w:trPr>
          <w:trHeight w:val="20"/>
          <w:jc w:val="center"/>
        </w:trPr>
        <w:tc>
          <w:tcPr>
            <w:tcW w:w="1459" w:type="pct"/>
            <w:tcBorders>
              <w:top w:val="single" w:sz="4" w:space="0" w:color="auto"/>
              <w:left w:val="single" w:sz="4" w:space="0" w:color="auto"/>
            </w:tcBorders>
            <w:shd w:val="clear" w:color="auto" w:fill="auto"/>
            <w:vAlign w:val="bottom"/>
          </w:tcPr>
          <w:p w14:paraId="014E417E" w14:textId="77777777" w:rsidR="000D306C" w:rsidRPr="00A90756" w:rsidRDefault="000D306C" w:rsidP="002132A6">
            <w:pPr>
              <w:pStyle w:val="Other10"/>
              <w:spacing w:after="0"/>
              <w:jc w:val="center"/>
              <w:rPr>
                <w:rFonts w:ascii="Garamond" w:hAnsi="Garamond"/>
                <w:b/>
                <w:sz w:val="18"/>
                <w:szCs w:val="18"/>
              </w:rPr>
            </w:pPr>
            <w:r w:rsidRPr="00A90756">
              <w:rPr>
                <w:rStyle w:val="Other1"/>
                <w:rFonts w:ascii="Garamond" w:hAnsi="Garamond"/>
                <w:b/>
                <w:sz w:val="18"/>
                <w:szCs w:val="18"/>
              </w:rPr>
              <w:t>Data përfundimtare për marrëveshjen (shkëmbimin e letrave) mes të gjitha palëve për alokimet e mëtejshme buxhetore vjetore për zbatimin e Marrëveshjes Financiare</w:t>
            </w:r>
          </w:p>
        </w:tc>
        <w:tc>
          <w:tcPr>
            <w:tcW w:w="3541" w:type="pct"/>
            <w:tcBorders>
              <w:top w:val="single" w:sz="4" w:space="0" w:color="auto"/>
              <w:left w:val="single" w:sz="4" w:space="0" w:color="auto"/>
              <w:right w:val="single" w:sz="4" w:space="0" w:color="auto"/>
            </w:tcBorders>
            <w:shd w:val="clear" w:color="auto" w:fill="auto"/>
          </w:tcPr>
          <w:p w14:paraId="014E417F" w14:textId="54A17D76"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Për angazhimin buxhetor të vitit 2025 maksimumi brenda 31 dhjetorit N+1</w:t>
            </w:r>
            <w:r w:rsidR="00930B35" w:rsidRPr="00A90756">
              <w:rPr>
                <w:rStyle w:val="Other1"/>
                <w:rFonts w:ascii="Garamond" w:hAnsi="Garamond"/>
                <w:sz w:val="18"/>
                <w:szCs w:val="18"/>
              </w:rPr>
              <w:t>;</w:t>
            </w:r>
          </w:p>
          <w:p w14:paraId="014E4180" w14:textId="5256ECD6"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rPr>
              <w:t>Për angazhimin buxhetor të vitit 2027 maksimumi brenda 31 dhjetorit N+1</w:t>
            </w:r>
            <w:r w:rsidR="00930B35" w:rsidRPr="00A90756">
              <w:rPr>
                <w:rStyle w:val="Other1"/>
                <w:rFonts w:ascii="Garamond" w:hAnsi="Garamond"/>
                <w:sz w:val="18"/>
                <w:szCs w:val="18"/>
              </w:rPr>
              <w:t>.</w:t>
            </w:r>
          </w:p>
        </w:tc>
      </w:tr>
      <w:tr w:rsidR="000D306C" w:rsidRPr="00A90756" w14:paraId="014E4184" w14:textId="77777777" w:rsidTr="000D306C">
        <w:trPr>
          <w:trHeight w:val="20"/>
          <w:jc w:val="center"/>
        </w:trPr>
        <w:tc>
          <w:tcPr>
            <w:tcW w:w="1459" w:type="pct"/>
            <w:tcBorders>
              <w:top w:val="single" w:sz="4" w:space="0" w:color="auto"/>
              <w:left w:val="single" w:sz="4" w:space="0" w:color="auto"/>
            </w:tcBorders>
            <w:shd w:val="clear" w:color="auto" w:fill="auto"/>
          </w:tcPr>
          <w:p w14:paraId="014E4182" w14:textId="77777777" w:rsidR="000D306C" w:rsidRPr="00A90756" w:rsidRDefault="000D306C" w:rsidP="002132A6">
            <w:pPr>
              <w:pStyle w:val="Other10"/>
              <w:spacing w:after="0"/>
              <w:jc w:val="center"/>
              <w:rPr>
                <w:rFonts w:ascii="Garamond" w:hAnsi="Garamond"/>
                <w:b/>
                <w:sz w:val="18"/>
                <w:szCs w:val="18"/>
              </w:rPr>
            </w:pPr>
            <w:r w:rsidRPr="00A90756">
              <w:rPr>
                <w:rStyle w:val="Other1"/>
                <w:rFonts w:ascii="Garamond" w:hAnsi="Garamond"/>
                <w:b/>
                <w:sz w:val="18"/>
                <w:szCs w:val="18"/>
              </w:rPr>
              <w:t>Data përfundimtare për lidhjen</w:t>
            </w:r>
            <w:r w:rsidRPr="00A90756">
              <w:rPr>
                <w:rStyle w:val="Other1"/>
                <w:rFonts w:ascii="Garamond" w:hAnsi="Garamond"/>
                <w:b/>
                <w:sz w:val="18"/>
                <w:szCs w:val="18"/>
                <w:u w:val="single"/>
              </w:rPr>
              <w:t xml:space="preserve"> e kontratave të prokurimit dhe grantit</w:t>
            </w:r>
          </w:p>
        </w:tc>
        <w:tc>
          <w:tcPr>
            <w:tcW w:w="3541" w:type="pct"/>
            <w:tcBorders>
              <w:top w:val="single" w:sz="4" w:space="0" w:color="auto"/>
              <w:left w:val="single" w:sz="4" w:space="0" w:color="auto"/>
              <w:right w:val="single" w:sz="4" w:space="0" w:color="auto"/>
            </w:tcBorders>
            <w:shd w:val="clear" w:color="auto" w:fill="auto"/>
          </w:tcPr>
          <w:p w14:paraId="014E4183" w14:textId="4D69A8A7" w:rsidR="000D306C" w:rsidRPr="00A90756" w:rsidRDefault="000D306C" w:rsidP="000D306C">
            <w:pPr>
              <w:pStyle w:val="Other10"/>
              <w:tabs>
                <w:tab w:val="left" w:pos="1042"/>
                <w:tab w:val="left" w:pos="2208"/>
                <w:tab w:val="left" w:pos="2626"/>
                <w:tab w:val="left" w:pos="3466"/>
                <w:tab w:val="left" w:pos="4498"/>
                <w:tab w:val="left" w:pos="5875"/>
              </w:tabs>
              <w:spacing w:after="0"/>
              <w:rPr>
                <w:rFonts w:ascii="Garamond" w:hAnsi="Garamond"/>
                <w:sz w:val="18"/>
                <w:szCs w:val="18"/>
              </w:rPr>
            </w:pPr>
            <w:r w:rsidRPr="00A90756">
              <w:rPr>
                <w:rStyle w:val="Other1"/>
                <w:rFonts w:ascii="Garamond" w:hAnsi="Garamond"/>
                <w:sz w:val="18"/>
                <w:szCs w:val="18"/>
              </w:rPr>
              <w:t>3 vjet pas datës së lidhjes së Marrëveshjes Financiare (ose shkëmbimit të letrave</w:t>
            </w:r>
            <w:r w:rsidR="00C61854" w:rsidRPr="00A90756">
              <w:rPr>
                <w:rStyle w:val="Other1"/>
                <w:rFonts w:ascii="Garamond" w:hAnsi="Garamond"/>
                <w:sz w:val="18"/>
                <w:szCs w:val="18"/>
              </w:rPr>
              <w:t xml:space="preserve"> </w:t>
            </w:r>
            <w:r w:rsidRPr="00A90756">
              <w:rPr>
                <w:rStyle w:val="Other1"/>
                <w:rFonts w:ascii="Garamond" w:hAnsi="Garamond"/>
                <w:sz w:val="18"/>
                <w:szCs w:val="18"/>
              </w:rPr>
              <w:t>për këstet buxhetore pasuese) me përjashtim të rasteve të parashikuara në nenin 114 të FR</w:t>
            </w:r>
            <w:r w:rsidR="00930B35" w:rsidRPr="00A90756">
              <w:rPr>
                <w:rStyle w:val="Other1"/>
                <w:rFonts w:ascii="Garamond" w:hAnsi="Garamond"/>
                <w:sz w:val="18"/>
                <w:szCs w:val="18"/>
              </w:rPr>
              <w:t>.</w:t>
            </w:r>
          </w:p>
        </w:tc>
      </w:tr>
      <w:tr w:rsidR="000D306C" w:rsidRPr="00A90756" w14:paraId="014E4187" w14:textId="77777777" w:rsidTr="000D306C">
        <w:trPr>
          <w:trHeight w:val="20"/>
          <w:jc w:val="center"/>
        </w:trPr>
        <w:tc>
          <w:tcPr>
            <w:tcW w:w="1459" w:type="pct"/>
            <w:tcBorders>
              <w:top w:val="single" w:sz="4" w:space="0" w:color="auto"/>
              <w:left w:val="single" w:sz="4" w:space="0" w:color="auto"/>
            </w:tcBorders>
            <w:shd w:val="clear" w:color="auto" w:fill="auto"/>
            <w:vAlign w:val="center"/>
          </w:tcPr>
          <w:p w14:paraId="014E4185" w14:textId="77777777" w:rsidR="000D306C" w:rsidRPr="00A90756" w:rsidRDefault="000D306C" w:rsidP="00930B35">
            <w:pPr>
              <w:pStyle w:val="Other10"/>
              <w:spacing w:after="0"/>
              <w:jc w:val="center"/>
              <w:rPr>
                <w:rFonts w:ascii="Garamond" w:hAnsi="Garamond"/>
                <w:b/>
                <w:sz w:val="18"/>
                <w:szCs w:val="18"/>
              </w:rPr>
            </w:pPr>
            <w:r w:rsidRPr="00A90756">
              <w:rPr>
                <w:rStyle w:val="Other1"/>
                <w:rFonts w:ascii="Garamond" w:hAnsi="Garamond"/>
                <w:b/>
                <w:sz w:val="18"/>
                <w:szCs w:val="18"/>
              </w:rPr>
              <w:t>Periudha indikative e zbatimit operacional</w:t>
            </w:r>
          </w:p>
        </w:tc>
        <w:tc>
          <w:tcPr>
            <w:tcW w:w="3541" w:type="pct"/>
            <w:tcBorders>
              <w:top w:val="single" w:sz="4" w:space="0" w:color="auto"/>
              <w:left w:val="single" w:sz="4" w:space="0" w:color="auto"/>
              <w:right w:val="single" w:sz="4" w:space="0" w:color="auto"/>
            </w:tcBorders>
            <w:shd w:val="clear" w:color="auto" w:fill="auto"/>
            <w:vAlign w:val="center"/>
          </w:tcPr>
          <w:p w14:paraId="014E4186" w14:textId="1C29A3AE" w:rsidR="000D306C" w:rsidRPr="00A90756" w:rsidRDefault="000D306C" w:rsidP="000D306C">
            <w:pPr>
              <w:pStyle w:val="Other10"/>
              <w:tabs>
                <w:tab w:val="left" w:pos="1046"/>
                <w:tab w:val="left" w:pos="2213"/>
                <w:tab w:val="left" w:pos="2630"/>
                <w:tab w:val="left" w:pos="3470"/>
                <w:tab w:val="left" w:pos="4502"/>
                <w:tab w:val="left" w:pos="5880"/>
              </w:tabs>
              <w:spacing w:after="0"/>
              <w:jc w:val="both"/>
              <w:rPr>
                <w:rFonts w:ascii="Garamond" w:hAnsi="Garamond"/>
                <w:sz w:val="18"/>
                <w:szCs w:val="18"/>
              </w:rPr>
            </w:pPr>
            <w:r w:rsidRPr="00A90756">
              <w:rPr>
                <w:rStyle w:val="Other1"/>
                <w:rFonts w:ascii="Garamond" w:hAnsi="Garamond"/>
                <w:sz w:val="18"/>
                <w:szCs w:val="18"/>
              </w:rPr>
              <w:t>6 vjet pas datës së lidhjes së Marrëveshjes Financiare (ose shkëmbimit të letrave për</w:t>
            </w:r>
            <w:r w:rsidR="00930B35" w:rsidRPr="00A90756">
              <w:rPr>
                <w:rStyle w:val="Other1"/>
                <w:rFonts w:ascii="Garamond" w:hAnsi="Garamond"/>
                <w:sz w:val="18"/>
                <w:szCs w:val="18"/>
              </w:rPr>
              <w:t xml:space="preserve"> </w:t>
            </w:r>
            <w:r w:rsidRPr="00A90756">
              <w:rPr>
                <w:rStyle w:val="Other1"/>
                <w:rFonts w:ascii="Garamond" w:hAnsi="Garamond"/>
                <w:sz w:val="18"/>
                <w:szCs w:val="18"/>
              </w:rPr>
              <w:t>këstet buxhetore)</w:t>
            </w:r>
            <w:r w:rsidR="00930B35" w:rsidRPr="00A90756">
              <w:rPr>
                <w:rStyle w:val="Other1"/>
                <w:rFonts w:ascii="Garamond" w:hAnsi="Garamond"/>
                <w:sz w:val="18"/>
                <w:szCs w:val="18"/>
              </w:rPr>
              <w:t>.</w:t>
            </w:r>
          </w:p>
        </w:tc>
      </w:tr>
      <w:tr w:rsidR="000D306C" w:rsidRPr="00A90756" w14:paraId="014E418A" w14:textId="77777777" w:rsidTr="000D306C">
        <w:trPr>
          <w:trHeight w:val="20"/>
          <w:jc w:val="center"/>
        </w:trPr>
        <w:tc>
          <w:tcPr>
            <w:tcW w:w="1459" w:type="pct"/>
            <w:tcBorders>
              <w:top w:val="single" w:sz="4" w:space="0" w:color="auto"/>
              <w:left w:val="single" w:sz="4" w:space="0" w:color="auto"/>
              <w:bottom w:val="single" w:sz="4" w:space="0" w:color="auto"/>
            </w:tcBorders>
            <w:shd w:val="clear" w:color="auto" w:fill="auto"/>
            <w:vAlign w:val="center"/>
          </w:tcPr>
          <w:p w14:paraId="014E4188" w14:textId="77777777" w:rsidR="000D306C" w:rsidRPr="00A90756" w:rsidRDefault="000D306C" w:rsidP="00930B35">
            <w:pPr>
              <w:pStyle w:val="Other10"/>
              <w:spacing w:after="0"/>
              <w:jc w:val="center"/>
              <w:rPr>
                <w:rFonts w:ascii="Garamond" w:hAnsi="Garamond"/>
                <w:b/>
                <w:sz w:val="18"/>
                <w:szCs w:val="18"/>
              </w:rPr>
            </w:pPr>
            <w:r w:rsidRPr="00A90756">
              <w:rPr>
                <w:rStyle w:val="Other1"/>
                <w:rFonts w:ascii="Garamond" w:hAnsi="Garamond"/>
                <w:b/>
                <w:sz w:val="18"/>
                <w:szCs w:val="18"/>
              </w:rPr>
              <w:t>Data përfundimtare për zbatimin e Marrëveshjes Financiare</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014E4189" w14:textId="7AF48094"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12 vjet pas përfundimit të Marrëveshjes Financiare (ose shkëmbimit të letrave për këstet e mëvonshme buxhetore)</w:t>
            </w:r>
            <w:r w:rsidR="00930B35" w:rsidRPr="00A90756">
              <w:rPr>
                <w:rStyle w:val="Other1"/>
                <w:rFonts w:ascii="Garamond" w:hAnsi="Garamond"/>
                <w:sz w:val="18"/>
                <w:szCs w:val="18"/>
              </w:rPr>
              <w:t>.</w:t>
            </w:r>
          </w:p>
        </w:tc>
      </w:tr>
    </w:tbl>
    <w:p w14:paraId="014E418B" w14:textId="77777777" w:rsidR="000D306C" w:rsidRPr="00A90756" w:rsidRDefault="000D306C" w:rsidP="000D306C">
      <w:pPr>
        <w:pStyle w:val="AAAATEXXX"/>
      </w:pPr>
    </w:p>
    <w:p w14:paraId="014E418C" w14:textId="77777777" w:rsidR="000D306C" w:rsidRPr="00665BD2" w:rsidRDefault="000D306C" w:rsidP="00665BD2">
      <w:pPr>
        <w:spacing w:after="0" w:line="240" w:lineRule="auto"/>
        <w:ind w:firstLine="288"/>
        <w:jc w:val="both"/>
        <w:rPr>
          <w:rFonts w:ascii="Garamond" w:hAnsi="Garamond"/>
          <w:b/>
          <w:sz w:val="24"/>
          <w:szCs w:val="24"/>
        </w:rPr>
      </w:pPr>
      <w:bookmarkStart w:id="6" w:name="bookmark9"/>
      <w:r w:rsidRPr="00665BD2">
        <w:rPr>
          <w:rFonts w:ascii="Garamond" w:hAnsi="Garamond"/>
          <w:b/>
          <w:sz w:val="24"/>
          <w:szCs w:val="24"/>
        </w:rPr>
        <w:t>Lista e shkurtimeve</w:t>
      </w:r>
      <w:bookmarkEnd w:id="6"/>
    </w:p>
    <w:tbl>
      <w:tblPr>
        <w:tblOverlap w:val="never"/>
        <w:tblW w:w="5000" w:type="pct"/>
        <w:tblCellMar>
          <w:left w:w="10" w:type="dxa"/>
          <w:right w:w="10" w:type="dxa"/>
        </w:tblCellMar>
        <w:tblLook w:val="04A0" w:firstRow="1" w:lastRow="0" w:firstColumn="1" w:lastColumn="0" w:noHBand="0" w:noVBand="1"/>
      </w:tblPr>
      <w:tblGrid>
        <w:gridCol w:w="1637"/>
        <w:gridCol w:w="7390"/>
      </w:tblGrid>
      <w:tr w:rsidR="000D306C" w:rsidRPr="00A90756" w14:paraId="014E418F" w14:textId="77777777" w:rsidTr="000D306C">
        <w:trPr>
          <w:trHeight w:val="20"/>
        </w:trPr>
        <w:tc>
          <w:tcPr>
            <w:tcW w:w="907" w:type="pct"/>
            <w:shd w:val="clear" w:color="auto" w:fill="00ADEF"/>
            <w:vAlign w:val="bottom"/>
          </w:tcPr>
          <w:p w14:paraId="014E418D" w14:textId="77777777" w:rsidR="000D306C" w:rsidRPr="00A90756" w:rsidRDefault="000D306C" w:rsidP="000D306C">
            <w:pPr>
              <w:pStyle w:val="Other10"/>
              <w:pBdr>
                <w:top w:val="single" w:sz="0" w:space="0" w:color="00ADEF"/>
                <w:left w:val="single" w:sz="0" w:space="0" w:color="00ADEF"/>
                <w:bottom w:val="single" w:sz="0" w:space="0" w:color="00ADEF"/>
                <w:right w:val="single" w:sz="0" w:space="0" w:color="00ADEF"/>
              </w:pBdr>
              <w:shd w:val="clear" w:color="auto" w:fill="00ADEF"/>
              <w:spacing w:after="0"/>
              <w:ind w:firstLine="284"/>
              <w:rPr>
                <w:rFonts w:ascii="Garamond" w:hAnsi="Garamond"/>
                <w:sz w:val="16"/>
                <w:szCs w:val="16"/>
              </w:rPr>
            </w:pPr>
            <w:r w:rsidRPr="00A90756">
              <w:rPr>
                <w:rStyle w:val="Other1"/>
                <w:rFonts w:ascii="Garamond" w:hAnsi="Garamond"/>
                <w:color w:val="FFFFFF"/>
                <w:sz w:val="16"/>
                <w:szCs w:val="16"/>
              </w:rPr>
              <w:t>AL</w:t>
            </w:r>
          </w:p>
        </w:tc>
        <w:tc>
          <w:tcPr>
            <w:tcW w:w="4093" w:type="pct"/>
            <w:shd w:val="clear" w:color="auto" w:fill="00ADEF"/>
            <w:vAlign w:val="bottom"/>
          </w:tcPr>
          <w:p w14:paraId="014E418E" w14:textId="77777777" w:rsidR="000D306C" w:rsidRPr="00A90756" w:rsidRDefault="000D306C" w:rsidP="000D306C">
            <w:pPr>
              <w:pStyle w:val="Other10"/>
              <w:pBdr>
                <w:top w:val="single" w:sz="0" w:space="0" w:color="00ADEF"/>
                <w:left w:val="single" w:sz="0" w:space="0" w:color="00ADEF"/>
                <w:bottom w:val="single" w:sz="0" w:space="0" w:color="00ADEF"/>
                <w:right w:val="single" w:sz="0" w:space="0" w:color="00ADEF"/>
              </w:pBdr>
              <w:shd w:val="clear" w:color="auto" w:fill="00ADEF"/>
              <w:spacing w:after="0"/>
              <w:ind w:firstLine="284"/>
              <w:rPr>
                <w:rFonts w:ascii="Garamond" w:hAnsi="Garamond"/>
                <w:sz w:val="16"/>
                <w:szCs w:val="16"/>
              </w:rPr>
            </w:pPr>
            <w:r w:rsidRPr="00A90756">
              <w:rPr>
                <w:rStyle w:val="Other1"/>
                <w:rFonts w:ascii="Garamond" w:hAnsi="Garamond"/>
                <w:color w:val="FFFFFF"/>
                <w:sz w:val="16"/>
                <w:szCs w:val="16"/>
              </w:rPr>
              <w:t>Shqip</w:t>
            </w:r>
            <w:r w:rsidRPr="00A90756">
              <w:rPr>
                <w:rStyle w:val="Other1"/>
                <w:rFonts w:ascii="Garamond" w:hAnsi="Garamond" w:cs="Arial"/>
                <w:color w:val="FFFFFF"/>
                <w:sz w:val="16"/>
                <w:szCs w:val="16"/>
              </w:rPr>
              <w:t>ë</w:t>
            </w:r>
            <w:r w:rsidRPr="00A90756">
              <w:rPr>
                <w:rStyle w:val="Other1"/>
                <w:rFonts w:ascii="Garamond" w:hAnsi="Garamond"/>
                <w:color w:val="FFFFFF"/>
                <w:sz w:val="16"/>
                <w:szCs w:val="16"/>
              </w:rPr>
              <w:t>ria (</w:t>
            </w:r>
            <w:r w:rsidRPr="00A90756">
              <w:rPr>
                <w:rStyle w:val="Other1"/>
                <w:rFonts w:ascii="Garamond" w:hAnsi="Garamond"/>
                <w:i/>
                <w:color w:val="FFFFFF"/>
                <w:sz w:val="16"/>
                <w:szCs w:val="16"/>
              </w:rPr>
              <w:t>Albania</w:t>
            </w:r>
            <w:r w:rsidRPr="00A90756">
              <w:rPr>
                <w:rStyle w:val="Other1"/>
                <w:rFonts w:ascii="Garamond" w:hAnsi="Garamond"/>
                <w:color w:val="FFFFFF"/>
                <w:sz w:val="16"/>
                <w:szCs w:val="16"/>
              </w:rPr>
              <w:t>)</w:t>
            </w:r>
          </w:p>
        </w:tc>
      </w:tr>
      <w:tr w:rsidR="000D306C" w:rsidRPr="00A90756" w14:paraId="014E4192" w14:textId="77777777" w:rsidTr="000D306C">
        <w:trPr>
          <w:trHeight w:val="20"/>
        </w:trPr>
        <w:tc>
          <w:tcPr>
            <w:tcW w:w="907" w:type="pct"/>
            <w:shd w:val="clear" w:color="auto" w:fill="DDECF3"/>
            <w:vAlign w:val="bottom"/>
          </w:tcPr>
          <w:p w14:paraId="014E4190"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AK</w:t>
            </w:r>
          </w:p>
        </w:tc>
        <w:tc>
          <w:tcPr>
            <w:tcW w:w="4093" w:type="pct"/>
            <w:shd w:val="clear" w:color="auto" w:fill="DDECF3"/>
            <w:vAlign w:val="bottom"/>
          </w:tcPr>
          <w:p w14:paraId="014E4191"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Autoriteti Kontraktues</w:t>
            </w:r>
          </w:p>
        </w:tc>
      </w:tr>
      <w:tr w:rsidR="000D306C" w:rsidRPr="00A90756" w14:paraId="014E4195" w14:textId="77777777" w:rsidTr="000D306C">
        <w:trPr>
          <w:trHeight w:val="20"/>
        </w:trPr>
        <w:tc>
          <w:tcPr>
            <w:tcW w:w="907" w:type="pct"/>
            <w:shd w:val="clear" w:color="auto" w:fill="DDECF3"/>
          </w:tcPr>
          <w:p w14:paraId="014E4193"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BNK</w:t>
            </w:r>
          </w:p>
        </w:tc>
        <w:tc>
          <w:tcPr>
            <w:tcW w:w="4093" w:type="pct"/>
            <w:shd w:val="clear" w:color="auto" w:fill="DDECF3"/>
          </w:tcPr>
          <w:p w14:paraId="014E4194"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Bashkëpunimi ndërkufitar</w:t>
            </w:r>
          </w:p>
        </w:tc>
      </w:tr>
      <w:tr w:rsidR="000D306C" w:rsidRPr="00A90756" w14:paraId="014E4198" w14:textId="77777777" w:rsidTr="00930B35">
        <w:trPr>
          <w:trHeight w:hRule="exact" w:val="198"/>
        </w:trPr>
        <w:tc>
          <w:tcPr>
            <w:tcW w:w="907" w:type="pct"/>
            <w:shd w:val="clear" w:color="auto" w:fill="DDECF3"/>
            <w:vAlign w:val="bottom"/>
          </w:tcPr>
          <w:p w14:paraId="014E4196"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Forumi BNK</w:t>
            </w:r>
          </w:p>
        </w:tc>
        <w:tc>
          <w:tcPr>
            <w:tcW w:w="4093" w:type="pct"/>
            <w:shd w:val="clear" w:color="auto" w:fill="DDECF3"/>
            <w:vAlign w:val="bottom"/>
          </w:tcPr>
          <w:p w14:paraId="014E4197"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Forumi konsultativ rajonal BNK</w:t>
            </w:r>
          </w:p>
        </w:tc>
      </w:tr>
      <w:tr w:rsidR="000D306C" w:rsidRPr="00A90756" w14:paraId="014E419B" w14:textId="77777777" w:rsidTr="000D306C">
        <w:trPr>
          <w:trHeight w:val="20"/>
        </w:trPr>
        <w:tc>
          <w:tcPr>
            <w:tcW w:w="907" w:type="pct"/>
            <w:shd w:val="clear" w:color="auto" w:fill="DDECF3"/>
            <w:vAlign w:val="bottom"/>
          </w:tcPr>
          <w:p w14:paraId="014E4199"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CBIB+3</w:t>
            </w:r>
          </w:p>
        </w:tc>
        <w:tc>
          <w:tcPr>
            <w:tcW w:w="4093" w:type="pct"/>
            <w:shd w:val="clear" w:color="auto" w:fill="DDECF3"/>
            <w:vAlign w:val="bottom"/>
          </w:tcPr>
          <w:p w14:paraId="014E419A" w14:textId="65EEBBD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Ndërtimi i </w:t>
            </w:r>
            <w:r w:rsidR="00930B35" w:rsidRPr="00A90756">
              <w:rPr>
                <w:rStyle w:val="Other1"/>
                <w:rFonts w:ascii="Garamond" w:hAnsi="Garamond"/>
                <w:sz w:val="16"/>
                <w:szCs w:val="16"/>
              </w:rPr>
              <w:t xml:space="preserve">institucioneve ndërkufitare plus </w:t>
            </w:r>
            <w:r w:rsidRPr="00A90756">
              <w:rPr>
                <w:rStyle w:val="Other1"/>
                <w:rFonts w:ascii="Garamond" w:hAnsi="Garamond"/>
                <w:sz w:val="16"/>
                <w:szCs w:val="16"/>
              </w:rPr>
              <w:t>Faza III</w:t>
            </w:r>
          </w:p>
        </w:tc>
      </w:tr>
      <w:tr w:rsidR="000D306C" w:rsidRPr="00A90756" w14:paraId="014E419E" w14:textId="77777777" w:rsidTr="000D306C">
        <w:trPr>
          <w:trHeight w:val="20"/>
        </w:trPr>
        <w:tc>
          <w:tcPr>
            <w:tcW w:w="907" w:type="pct"/>
            <w:shd w:val="clear" w:color="auto" w:fill="DDECF3"/>
            <w:vAlign w:val="bottom"/>
          </w:tcPr>
          <w:p w14:paraId="014E419C"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NJQFK</w:t>
            </w:r>
          </w:p>
        </w:tc>
        <w:tc>
          <w:tcPr>
            <w:tcW w:w="4093" w:type="pct"/>
            <w:shd w:val="clear" w:color="auto" w:fill="DDECF3"/>
            <w:vAlign w:val="bottom"/>
          </w:tcPr>
          <w:p w14:paraId="014E419D" w14:textId="7BA6D24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Njësia </w:t>
            </w:r>
            <w:r w:rsidR="00930B35" w:rsidRPr="00A90756">
              <w:rPr>
                <w:rStyle w:val="Other1"/>
                <w:rFonts w:ascii="Garamond" w:hAnsi="Garamond"/>
                <w:sz w:val="16"/>
                <w:szCs w:val="16"/>
              </w:rPr>
              <w:t>qendrore e financave dhe kontraktimit</w:t>
            </w:r>
          </w:p>
        </w:tc>
      </w:tr>
      <w:tr w:rsidR="000D306C" w:rsidRPr="00A90756" w14:paraId="014E41A1" w14:textId="77777777" w:rsidTr="000D306C">
        <w:trPr>
          <w:trHeight w:val="20"/>
        </w:trPr>
        <w:tc>
          <w:tcPr>
            <w:tcW w:w="907" w:type="pct"/>
            <w:shd w:val="clear" w:color="auto" w:fill="DDECF3"/>
          </w:tcPr>
          <w:p w14:paraId="014E419F"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CfP-të</w:t>
            </w:r>
          </w:p>
        </w:tc>
        <w:tc>
          <w:tcPr>
            <w:tcW w:w="4093" w:type="pct"/>
            <w:shd w:val="clear" w:color="auto" w:fill="DDECF3"/>
          </w:tcPr>
          <w:p w14:paraId="014E41A0"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Thirrjet për propozime</w:t>
            </w:r>
          </w:p>
        </w:tc>
      </w:tr>
      <w:tr w:rsidR="000D306C" w:rsidRPr="00A90756" w14:paraId="014E41A4" w14:textId="77777777" w:rsidTr="000D306C">
        <w:trPr>
          <w:trHeight w:val="20"/>
        </w:trPr>
        <w:tc>
          <w:tcPr>
            <w:tcW w:w="907" w:type="pct"/>
            <w:shd w:val="clear" w:color="auto" w:fill="DDECF3"/>
          </w:tcPr>
          <w:p w14:paraId="014E41A2"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OSHC</w:t>
            </w:r>
          </w:p>
        </w:tc>
        <w:tc>
          <w:tcPr>
            <w:tcW w:w="4093" w:type="pct"/>
            <w:shd w:val="clear" w:color="auto" w:fill="DDECF3"/>
          </w:tcPr>
          <w:p w14:paraId="014E41A3"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Organizatë e Shoqërisë Civile</w:t>
            </w:r>
          </w:p>
        </w:tc>
      </w:tr>
      <w:tr w:rsidR="000D306C" w:rsidRPr="00A90756" w14:paraId="014E41A7" w14:textId="77777777" w:rsidTr="000D306C">
        <w:trPr>
          <w:trHeight w:val="20"/>
        </w:trPr>
        <w:tc>
          <w:tcPr>
            <w:tcW w:w="907" w:type="pct"/>
            <w:shd w:val="clear" w:color="auto" w:fill="DDECF3"/>
            <w:vAlign w:val="bottom"/>
          </w:tcPr>
          <w:p w14:paraId="014E41A5"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DEU</w:t>
            </w:r>
          </w:p>
        </w:tc>
        <w:tc>
          <w:tcPr>
            <w:tcW w:w="4093" w:type="pct"/>
            <w:shd w:val="clear" w:color="auto" w:fill="DDECF3"/>
            <w:vAlign w:val="bottom"/>
          </w:tcPr>
          <w:p w14:paraId="014E41A6"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Delegacioni i Bashkimit Evropian</w:t>
            </w:r>
          </w:p>
        </w:tc>
      </w:tr>
      <w:tr w:rsidR="000D306C" w:rsidRPr="00A90756" w14:paraId="014E41AA" w14:textId="77777777" w:rsidTr="000D306C">
        <w:trPr>
          <w:trHeight w:val="20"/>
        </w:trPr>
        <w:tc>
          <w:tcPr>
            <w:tcW w:w="907" w:type="pct"/>
            <w:shd w:val="clear" w:color="auto" w:fill="DDECF3"/>
            <w:vAlign w:val="bottom"/>
          </w:tcPr>
          <w:p w14:paraId="014E41A8"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ZIE</w:t>
            </w:r>
          </w:p>
        </w:tc>
        <w:tc>
          <w:tcPr>
            <w:tcW w:w="4093" w:type="pct"/>
            <w:shd w:val="clear" w:color="auto" w:fill="DDECF3"/>
            <w:vAlign w:val="bottom"/>
          </w:tcPr>
          <w:p w14:paraId="014E41A9"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Zyra e Integrimit Evropian, Mali i Zi</w:t>
            </w:r>
          </w:p>
        </w:tc>
      </w:tr>
      <w:tr w:rsidR="000D306C" w:rsidRPr="00A90756" w14:paraId="014E41AD" w14:textId="77777777" w:rsidTr="000D306C">
        <w:trPr>
          <w:trHeight w:val="20"/>
        </w:trPr>
        <w:tc>
          <w:tcPr>
            <w:tcW w:w="907" w:type="pct"/>
            <w:shd w:val="clear" w:color="auto" w:fill="DDECF3"/>
          </w:tcPr>
          <w:p w14:paraId="014E41AB"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BE</w:t>
            </w:r>
          </w:p>
        </w:tc>
        <w:tc>
          <w:tcPr>
            <w:tcW w:w="4093" w:type="pct"/>
            <w:shd w:val="clear" w:color="auto" w:fill="DDECF3"/>
          </w:tcPr>
          <w:p w14:paraId="014E41AC"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Bashkimi Evropian</w:t>
            </w:r>
          </w:p>
        </w:tc>
      </w:tr>
      <w:tr w:rsidR="000D306C" w:rsidRPr="00A90756" w14:paraId="014E41B0" w14:textId="77777777" w:rsidTr="000D306C">
        <w:trPr>
          <w:trHeight w:val="20"/>
        </w:trPr>
        <w:tc>
          <w:tcPr>
            <w:tcW w:w="907" w:type="pct"/>
            <w:shd w:val="clear" w:color="auto" w:fill="DDECF3"/>
            <w:vAlign w:val="bottom"/>
          </w:tcPr>
          <w:p w14:paraId="014E41AE"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EUSAIR</w:t>
            </w:r>
          </w:p>
        </w:tc>
        <w:tc>
          <w:tcPr>
            <w:tcW w:w="4093" w:type="pct"/>
            <w:shd w:val="clear" w:color="auto" w:fill="DDECF3"/>
            <w:vAlign w:val="bottom"/>
          </w:tcPr>
          <w:p w14:paraId="014E41AF"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Strategjia e BE-së për Rajonin Adriatik dhe Jon</w:t>
            </w:r>
          </w:p>
        </w:tc>
      </w:tr>
      <w:tr w:rsidR="000D306C" w:rsidRPr="00A90756" w14:paraId="014E41B3" w14:textId="77777777" w:rsidTr="000D306C">
        <w:trPr>
          <w:trHeight w:val="20"/>
        </w:trPr>
        <w:tc>
          <w:tcPr>
            <w:tcW w:w="907" w:type="pct"/>
            <w:shd w:val="clear" w:color="auto" w:fill="DDECF3"/>
            <w:vAlign w:val="bottom"/>
          </w:tcPr>
          <w:p w14:paraId="014E41B1"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EUSDR</w:t>
            </w:r>
          </w:p>
        </w:tc>
        <w:tc>
          <w:tcPr>
            <w:tcW w:w="4093" w:type="pct"/>
            <w:shd w:val="clear" w:color="auto" w:fill="DDECF3"/>
            <w:vAlign w:val="bottom"/>
          </w:tcPr>
          <w:p w14:paraId="014E41B2"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Strategjia e BE-së për Rajonin e Danubit</w:t>
            </w:r>
          </w:p>
        </w:tc>
      </w:tr>
      <w:tr w:rsidR="000D306C" w:rsidRPr="00A90756" w14:paraId="014E41B6" w14:textId="77777777" w:rsidTr="000D306C">
        <w:trPr>
          <w:trHeight w:val="20"/>
        </w:trPr>
        <w:tc>
          <w:tcPr>
            <w:tcW w:w="907" w:type="pct"/>
            <w:shd w:val="clear" w:color="auto" w:fill="DDECF3"/>
            <w:vAlign w:val="bottom"/>
          </w:tcPr>
          <w:p w14:paraId="014E41B4"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IHD</w:t>
            </w:r>
          </w:p>
        </w:tc>
        <w:tc>
          <w:tcPr>
            <w:tcW w:w="4093" w:type="pct"/>
            <w:shd w:val="clear" w:color="auto" w:fill="DDECF3"/>
            <w:vAlign w:val="bottom"/>
          </w:tcPr>
          <w:p w14:paraId="014E41B5"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Investimet e Huaja Direkte</w:t>
            </w:r>
          </w:p>
        </w:tc>
      </w:tr>
      <w:tr w:rsidR="000D306C" w:rsidRPr="00A90756" w14:paraId="014E41B9" w14:textId="77777777" w:rsidTr="000D306C">
        <w:trPr>
          <w:trHeight w:val="20"/>
        </w:trPr>
        <w:tc>
          <w:tcPr>
            <w:tcW w:w="907" w:type="pct"/>
            <w:shd w:val="clear" w:color="auto" w:fill="DDECF3"/>
          </w:tcPr>
          <w:p w14:paraId="014E41B7"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PBB</w:t>
            </w:r>
          </w:p>
        </w:tc>
        <w:tc>
          <w:tcPr>
            <w:tcW w:w="4093" w:type="pct"/>
            <w:shd w:val="clear" w:color="auto" w:fill="DDECF3"/>
          </w:tcPr>
          <w:p w14:paraId="014E41B8"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Prodhimi i Brendshëm Bruto</w:t>
            </w:r>
          </w:p>
        </w:tc>
      </w:tr>
      <w:tr w:rsidR="000D306C" w:rsidRPr="00A90756" w14:paraId="014E41BC" w14:textId="77777777" w:rsidTr="000D306C">
        <w:trPr>
          <w:trHeight w:val="20"/>
        </w:trPr>
        <w:tc>
          <w:tcPr>
            <w:tcW w:w="907" w:type="pct"/>
            <w:shd w:val="clear" w:color="auto" w:fill="DDECF3"/>
            <w:vAlign w:val="bottom"/>
          </w:tcPr>
          <w:p w14:paraId="014E41BA"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INSTAT</w:t>
            </w:r>
          </w:p>
        </w:tc>
        <w:tc>
          <w:tcPr>
            <w:tcW w:w="4093" w:type="pct"/>
            <w:shd w:val="clear" w:color="auto" w:fill="DDECF3"/>
            <w:vAlign w:val="bottom"/>
          </w:tcPr>
          <w:p w14:paraId="014E41BB"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Instituti Kombëtar i Statistikave</w:t>
            </w:r>
          </w:p>
        </w:tc>
      </w:tr>
      <w:tr w:rsidR="000D306C" w:rsidRPr="00A90756" w14:paraId="014E41BF" w14:textId="77777777" w:rsidTr="000D306C">
        <w:trPr>
          <w:trHeight w:val="20"/>
        </w:trPr>
        <w:tc>
          <w:tcPr>
            <w:tcW w:w="907" w:type="pct"/>
            <w:shd w:val="clear" w:color="auto" w:fill="DDECF3"/>
            <w:vAlign w:val="bottom"/>
          </w:tcPr>
          <w:p w14:paraId="014E41BD"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IPA</w:t>
            </w:r>
          </w:p>
        </w:tc>
        <w:tc>
          <w:tcPr>
            <w:tcW w:w="4093" w:type="pct"/>
            <w:shd w:val="clear" w:color="auto" w:fill="DDECF3"/>
            <w:vAlign w:val="bottom"/>
          </w:tcPr>
          <w:p w14:paraId="014E41BE"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Instrumenti për Asistencën e Para-Aderimit</w:t>
            </w:r>
          </w:p>
        </w:tc>
      </w:tr>
      <w:tr w:rsidR="000D306C" w:rsidRPr="00A90756" w14:paraId="014E41C2" w14:textId="77777777" w:rsidTr="000D306C">
        <w:trPr>
          <w:trHeight w:val="20"/>
        </w:trPr>
        <w:tc>
          <w:tcPr>
            <w:tcW w:w="907" w:type="pct"/>
            <w:shd w:val="clear" w:color="auto" w:fill="DDECF3"/>
            <w:vAlign w:val="bottom"/>
          </w:tcPr>
          <w:p w14:paraId="014E41C0"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IPARD</w:t>
            </w:r>
          </w:p>
        </w:tc>
        <w:tc>
          <w:tcPr>
            <w:tcW w:w="4093" w:type="pct"/>
            <w:shd w:val="clear" w:color="auto" w:fill="DDECF3"/>
            <w:vAlign w:val="bottom"/>
          </w:tcPr>
          <w:p w14:paraId="014E41C1" w14:textId="35D6FB36"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Instrumenti i Asistencës së Paraanëtarësimit për Zhvillimin Rural</w:t>
            </w:r>
          </w:p>
        </w:tc>
      </w:tr>
      <w:tr w:rsidR="000D306C" w:rsidRPr="00A90756" w14:paraId="014E41C5" w14:textId="77777777" w:rsidTr="000D306C">
        <w:trPr>
          <w:trHeight w:val="20"/>
        </w:trPr>
        <w:tc>
          <w:tcPr>
            <w:tcW w:w="907" w:type="pct"/>
            <w:shd w:val="clear" w:color="auto" w:fill="DDECF3"/>
            <w:vAlign w:val="bottom"/>
          </w:tcPr>
          <w:p w14:paraId="014E41C3"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KPM</w:t>
            </w:r>
          </w:p>
        </w:tc>
        <w:tc>
          <w:tcPr>
            <w:tcW w:w="4093" w:type="pct"/>
            <w:shd w:val="clear" w:color="auto" w:fill="DDECF3"/>
            <w:vAlign w:val="bottom"/>
          </w:tcPr>
          <w:p w14:paraId="014E41C4"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Komiteti i Përbashkët Monitorues</w:t>
            </w:r>
          </w:p>
        </w:tc>
      </w:tr>
      <w:tr w:rsidR="000D306C" w:rsidRPr="00A90756" w14:paraId="014E41C8" w14:textId="77777777" w:rsidTr="000D306C">
        <w:trPr>
          <w:trHeight w:val="20"/>
        </w:trPr>
        <w:tc>
          <w:tcPr>
            <w:tcW w:w="907" w:type="pct"/>
            <w:shd w:val="clear" w:color="auto" w:fill="DDECF3"/>
          </w:tcPr>
          <w:p w14:paraId="014E41C6"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TFP</w:t>
            </w:r>
          </w:p>
        </w:tc>
        <w:tc>
          <w:tcPr>
            <w:tcW w:w="4093" w:type="pct"/>
            <w:shd w:val="clear" w:color="auto" w:fill="DDECF3"/>
          </w:tcPr>
          <w:p w14:paraId="014E41C7" w14:textId="600ED7D5"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Task</w:t>
            </w:r>
            <w:r w:rsidR="00930B35" w:rsidRPr="00A90756">
              <w:rPr>
                <w:rStyle w:val="Other1"/>
                <w:rFonts w:ascii="Garamond" w:hAnsi="Garamond"/>
                <w:sz w:val="16"/>
                <w:szCs w:val="16"/>
              </w:rPr>
              <w:t>-</w:t>
            </w:r>
            <w:r w:rsidRPr="00A90756">
              <w:rPr>
                <w:rStyle w:val="Other1"/>
                <w:rFonts w:ascii="Garamond" w:hAnsi="Garamond"/>
                <w:sz w:val="16"/>
                <w:szCs w:val="16"/>
              </w:rPr>
              <w:t>Forca e Përbashkët</w:t>
            </w:r>
          </w:p>
        </w:tc>
      </w:tr>
      <w:tr w:rsidR="000D306C" w:rsidRPr="00A90756" w14:paraId="014E41CB" w14:textId="77777777" w:rsidTr="000D306C">
        <w:trPr>
          <w:trHeight w:val="20"/>
        </w:trPr>
        <w:tc>
          <w:tcPr>
            <w:tcW w:w="907" w:type="pct"/>
            <w:shd w:val="clear" w:color="auto" w:fill="DDECF3"/>
            <w:vAlign w:val="center"/>
          </w:tcPr>
          <w:p w14:paraId="014E41C9"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SPT</w:t>
            </w:r>
          </w:p>
        </w:tc>
        <w:tc>
          <w:tcPr>
            <w:tcW w:w="4093" w:type="pct"/>
            <w:shd w:val="clear" w:color="auto" w:fill="DDECF3"/>
            <w:vAlign w:val="center"/>
          </w:tcPr>
          <w:p w14:paraId="014E41CA"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Sekretariati i Përbashkët Teknik</w:t>
            </w:r>
          </w:p>
        </w:tc>
      </w:tr>
      <w:tr w:rsidR="000D306C" w:rsidRPr="00A90756" w14:paraId="014E41CE" w14:textId="77777777" w:rsidTr="000D306C">
        <w:trPr>
          <w:trHeight w:val="20"/>
        </w:trPr>
        <w:tc>
          <w:tcPr>
            <w:tcW w:w="907" w:type="pct"/>
            <w:shd w:val="clear" w:color="auto" w:fill="DDECF3"/>
            <w:vAlign w:val="bottom"/>
          </w:tcPr>
          <w:p w14:paraId="014E41CC"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ME</w:t>
            </w:r>
          </w:p>
        </w:tc>
        <w:tc>
          <w:tcPr>
            <w:tcW w:w="4093" w:type="pct"/>
            <w:shd w:val="clear" w:color="auto" w:fill="DDECF3"/>
            <w:vAlign w:val="bottom"/>
          </w:tcPr>
          <w:p w14:paraId="014E41CD"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Mali i Zi</w:t>
            </w:r>
          </w:p>
        </w:tc>
      </w:tr>
      <w:tr w:rsidR="000D306C" w:rsidRPr="00A90756" w14:paraId="014E41D1" w14:textId="77777777" w:rsidTr="000D306C">
        <w:trPr>
          <w:trHeight w:val="20"/>
        </w:trPr>
        <w:tc>
          <w:tcPr>
            <w:tcW w:w="907" w:type="pct"/>
            <w:shd w:val="clear" w:color="auto" w:fill="DDECF3"/>
            <w:vAlign w:val="bottom"/>
          </w:tcPr>
          <w:p w14:paraId="014E41CF"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MEPJ</w:t>
            </w:r>
          </w:p>
        </w:tc>
        <w:tc>
          <w:tcPr>
            <w:tcW w:w="4093" w:type="pct"/>
            <w:shd w:val="clear" w:color="auto" w:fill="DDECF3"/>
            <w:vAlign w:val="bottom"/>
          </w:tcPr>
          <w:p w14:paraId="014E41D0"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Ministria për Evropën dhe Punët e Jashtme, Shqipëri</w:t>
            </w:r>
          </w:p>
        </w:tc>
      </w:tr>
      <w:tr w:rsidR="000D306C" w:rsidRPr="00A90756" w14:paraId="014E41D4" w14:textId="77777777" w:rsidTr="000D306C">
        <w:trPr>
          <w:trHeight w:val="20"/>
        </w:trPr>
        <w:tc>
          <w:tcPr>
            <w:tcW w:w="907" w:type="pct"/>
            <w:shd w:val="clear" w:color="auto" w:fill="DDECF3"/>
            <w:vAlign w:val="bottom"/>
          </w:tcPr>
          <w:p w14:paraId="014E41D2"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MONSTAT</w:t>
            </w:r>
          </w:p>
        </w:tc>
        <w:tc>
          <w:tcPr>
            <w:tcW w:w="4093" w:type="pct"/>
            <w:shd w:val="clear" w:color="auto" w:fill="DDECF3"/>
            <w:vAlign w:val="bottom"/>
          </w:tcPr>
          <w:p w14:paraId="014E41D3"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Enti Statistikor i Malit të Zi</w:t>
            </w:r>
          </w:p>
        </w:tc>
      </w:tr>
      <w:tr w:rsidR="000D306C" w:rsidRPr="00A90756" w14:paraId="014E41D7" w14:textId="77777777" w:rsidTr="000D306C">
        <w:trPr>
          <w:trHeight w:val="20"/>
        </w:trPr>
        <w:tc>
          <w:tcPr>
            <w:tcW w:w="907" w:type="pct"/>
            <w:shd w:val="clear" w:color="auto" w:fill="DDECF3"/>
            <w:vAlign w:val="bottom"/>
          </w:tcPr>
          <w:p w14:paraId="014E41D5"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OJQ</w:t>
            </w:r>
          </w:p>
        </w:tc>
        <w:tc>
          <w:tcPr>
            <w:tcW w:w="4093" w:type="pct"/>
            <w:shd w:val="clear" w:color="auto" w:fill="DDECF3"/>
            <w:vAlign w:val="bottom"/>
          </w:tcPr>
          <w:p w14:paraId="014E41D6"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Organizatë Joqeveritare</w:t>
            </w:r>
          </w:p>
        </w:tc>
      </w:tr>
      <w:tr w:rsidR="000D306C" w:rsidRPr="00A90756" w14:paraId="014E41DA" w14:textId="77777777" w:rsidTr="000D306C">
        <w:trPr>
          <w:trHeight w:val="20"/>
        </w:trPr>
        <w:tc>
          <w:tcPr>
            <w:tcW w:w="907" w:type="pct"/>
            <w:shd w:val="clear" w:color="auto" w:fill="DDECF3"/>
          </w:tcPr>
          <w:p w14:paraId="014E41D8"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OS</w:t>
            </w:r>
          </w:p>
        </w:tc>
        <w:tc>
          <w:tcPr>
            <w:tcW w:w="4093" w:type="pct"/>
            <w:shd w:val="clear" w:color="auto" w:fill="DDECF3"/>
          </w:tcPr>
          <w:p w14:paraId="014E41D9" w14:textId="4D2BF65E"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Struktura e BNK-së (nëse teksti i referohet IPA II, nënkupton</w:t>
            </w:r>
            <w:r w:rsidR="00C61854" w:rsidRPr="00A90756">
              <w:rPr>
                <w:rStyle w:val="Other1"/>
                <w:rFonts w:ascii="Garamond" w:hAnsi="Garamond"/>
                <w:sz w:val="16"/>
                <w:szCs w:val="16"/>
              </w:rPr>
              <w:t xml:space="preserve"> </w:t>
            </w:r>
            <w:r w:rsidRPr="00A90756">
              <w:rPr>
                <w:rStyle w:val="Other1"/>
                <w:rFonts w:ascii="Garamond" w:hAnsi="Garamond"/>
                <w:sz w:val="16"/>
                <w:szCs w:val="16"/>
              </w:rPr>
              <w:t>Strukturën Operuese)</w:t>
            </w:r>
          </w:p>
        </w:tc>
      </w:tr>
      <w:tr w:rsidR="000D306C" w:rsidRPr="00A90756" w14:paraId="014E41DD" w14:textId="77777777" w:rsidTr="000D306C">
        <w:trPr>
          <w:trHeight w:val="20"/>
        </w:trPr>
        <w:tc>
          <w:tcPr>
            <w:tcW w:w="907" w:type="pct"/>
            <w:shd w:val="clear" w:color="auto" w:fill="DDECF3"/>
            <w:vAlign w:val="bottom"/>
          </w:tcPr>
          <w:p w14:paraId="014E41DB"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PESTLE</w:t>
            </w:r>
          </w:p>
        </w:tc>
        <w:tc>
          <w:tcPr>
            <w:tcW w:w="4093" w:type="pct"/>
            <w:shd w:val="clear" w:color="auto" w:fill="DDECF3"/>
            <w:vAlign w:val="bottom"/>
          </w:tcPr>
          <w:p w14:paraId="014E41DC" w14:textId="78AAE8CE"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Politike, </w:t>
            </w:r>
            <w:r w:rsidR="00930B35" w:rsidRPr="00A90756">
              <w:rPr>
                <w:rStyle w:val="Other1"/>
                <w:rFonts w:ascii="Garamond" w:hAnsi="Garamond"/>
                <w:sz w:val="16"/>
                <w:szCs w:val="16"/>
              </w:rPr>
              <w:t>ekonomike, sociale, teknologjike, juridike, mjedisore</w:t>
            </w:r>
          </w:p>
        </w:tc>
      </w:tr>
      <w:tr w:rsidR="000D306C" w:rsidRPr="00A90756" w14:paraId="014E41E0" w14:textId="77777777" w:rsidTr="000D306C">
        <w:trPr>
          <w:trHeight w:val="20"/>
        </w:trPr>
        <w:tc>
          <w:tcPr>
            <w:tcW w:w="907" w:type="pct"/>
            <w:shd w:val="clear" w:color="auto" w:fill="DDECF3"/>
            <w:vAlign w:val="bottom"/>
          </w:tcPr>
          <w:p w14:paraId="014E41DE"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KBR</w:t>
            </w:r>
          </w:p>
        </w:tc>
        <w:tc>
          <w:tcPr>
            <w:tcW w:w="4093" w:type="pct"/>
            <w:shd w:val="clear" w:color="auto" w:fill="DDECF3"/>
            <w:vAlign w:val="bottom"/>
          </w:tcPr>
          <w:p w14:paraId="014E41DF"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Këshilli i Bashkëpunimit Rajonal</w:t>
            </w:r>
          </w:p>
        </w:tc>
      </w:tr>
      <w:tr w:rsidR="000D306C" w:rsidRPr="00A90756" w14:paraId="014E41E3" w14:textId="77777777" w:rsidTr="000D306C">
        <w:trPr>
          <w:trHeight w:val="20"/>
        </w:trPr>
        <w:tc>
          <w:tcPr>
            <w:tcW w:w="907" w:type="pct"/>
            <w:shd w:val="clear" w:color="auto" w:fill="DDECF3"/>
          </w:tcPr>
          <w:p w14:paraId="014E41E1"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NMVM</w:t>
            </w:r>
          </w:p>
        </w:tc>
        <w:tc>
          <w:tcPr>
            <w:tcW w:w="4093" w:type="pct"/>
            <w:shd w:val="clear" w:color="auto" w:fill="DDECF3"/>
          </w:tcPr>
          <w:p w14:paraId="014E41E2" w14:textId="7D829F8E"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Ndërmarrjet </w:t>
            </w:r>
            <w:r w:rsidR="00930B35" w:rsidRPr="00A90756">
              <w:rPr>
                <w:rStyle w:val="Other1"/>
                <w:rFonts w:ascii="Garamond" w:hAnsi="Garamond"/>
                <w:sz w:val="16"/>
                <w:szCs w:val="16"/>
              </w:rPr>
              <w:t>m</w:t>
            </w:r>
            <w:r w:rsidRPr="00A90756">
              <w:rPr>
                <w:rStyle w:val="Other1"/>
                <w:rFonts w:ascii="Garamond" w:hAnsi="Garamond"/>
                <w:sz w:val="16"/>
                <w:szCs w:val="16"/>
              </w:rPr>
              <w:t xml:space="preserve">ikro, të </w:t>
            </w:r>
            <w:r w:rsidR="00930B35" w:rsidRPr="00A90756">
              <w:rPr>
                <w:rStyle w:val="Other1"/>
                <w:rFonts w:ascii="Garamond" w:hAnsi="Garamond"/>
                <w:sz w:val="16"/>
                <w:szCs w:val="16"/>
              </w:rPr>
              <w:t>vogla dhe të mesme</w:t>
            </w:r>
          </w:p>
        </w:tc>
      </w:tr>
      <w:tr w:rsidR="000D306C" w:rsidRPr="00A90756" w14:paraId="014E41E6" w14:textId="77777777" w:rsidTr="000D306C">
        <w:trPr>
          <w:trHeight w:val="20"/>
        </w:trPr>
        <w:tc>
          <w:tcPr>
            <w:tcW w:w="907" w:type="pct"/>
            <w:shd w:val="clear" w:color="auto" w:fill="DDECF3"/>
          </w:tcPr>
          <w:p w14:paraId="014E41E4"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OS</w:t>
            </w:r>
          </w:p>
        </w:tc>
        <w:tc>
          <w:tcPr>
            <w:tcW w:w="4093" w:type="pct"/>
            <w:shd w:val="clear" w:color="auto" w:fill="DDECF3"/>
          </w:tcPr>
          <w:p w14:paraId="014E41E5" w14:textId="5D110600"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Objektivi/</w:t>
            </w:r>
            <w:r w:rsidR="00930B35" w:rsidRPr="00A90756">
              <w:rPr>
                <w:rStyle w:val="Other1"/>
                <w:rFonts w:ascii="Garamond" w:hAnsi="Garamond"/>
                <w:sz w:val="16"/>
                <w:szCs w:val="16"/>
              </w:rPr>
              <w:t>rezultati specifik</w:t>
            </w:r>
          </w:p>
        </w:tc>
      </w:tr>
      <w:tr w:rsidR="000D306C" w:rsidRPr="00A90756" w14:paraId="014E41E9" w14:textId="77777777" w:rsidTr="000D306C">
        <w:trPr>
          <w:trHeight w:val="20"/>
        </w:trPr>
        <w:tc>
          <w:tcPr>
            <w:tcW w:w="907" w:type="pct"/>
            <w:shd w:val="clear" w:color="auto" w:fill="DDECF3"/>
          </w:tcPr>
          <w:p w14:paraId="014E41E7"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SWOT</w:t>
            </w:r>
          </w:p>
        </w:tc>
        <w:tc>
          <w:tcPr>
            <w:tcW w:w="4093" w:type="pct"/>
            <w:shd w:val="clear" w:color="auto" w:fill="DDECF3"/>
          </w:tcPr>
          <w:p w14:paraId="014E41E8" w14:textId="259701AF"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Përparësitë, </w:t>
            </w:r>
            <w:r w:rsidR="00930B35" w:rsidRPr="00A90756">
              <w:rPr>
                <w:rStyle w:val="Other1"/>
                <w:rFonts w:ascii="Garamond" w:hAnsi="Garamond"/>
                <w:sz w:val="16"/>
                <w:szCs w:val="16"/>
              </w:rPr>
              <w:t>dobësitë, mundësitë, kërcënimet</w:t>
            </w:r>
          </w:p>
        </w:tc>
      </w:tr>
      <w:tr w:rsidR="000D306C" w:rsidRPr="00A90756" w14:paraId="014E41EC" w14:textId="77777777" w:rsidTr="000D306C">
        <w:trPr>
          <w:trHeight w:val="20"/>
        </w:trPr>
        <w:tc>
          <w:tcPr>
            <w:tcW w:w="907" w:type="pct"/>
            <w:shd w:val="clear" w:color="auto" w:fill="DDECF3"/>
          </w:tcPr>
          <w:p w14:paraId="014E41EA"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AT</w:t>
            </w:r>
          </w:p>
        </w:tc>
        <w:tc>
          <w:tcPr>
            <w:tcW w:w="4093" w:type="pct"/>
            <w:shd w:val="clear" w:color="auto" w:fill="DDECF3"/>
          </w:tcPr>
          <w:p w14:paraId="014E41EB" w14:textId="06A6F1A8"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Asistencë </w:t>
            </w:r>
            <w:r w:rsidR="00930B35" w:rsidRPr="00A90756">
              <w:rPr>
                <w:rStyle w:val="Other1"/>
                <w:rFonts w:ascii="Garamond" w:hAnsi="Garamond"/>
                <w:sz w:val="16"/>
                <w:szCs w:val="16"/>
              </w:rPr>
              <w:t>teknike</w:t>
            </w:r>
          </w:p>
        </w:tc>
      </w:tr>
      <w:tr w:rsidR="000D306C" w:rsidRPr="00A90756" w14:paraId="014E41EF" w14:textId="77777777" w:rsidTr="000D306C">
        <w:trPr>
          <w:trHeight w:val="20"/>
        </w:trPr>
        <w:tc>
          <w:tcPr>
            <w:tcW w:w="907" w:type="pct"/>
            <w:shd w:val="clear" w:color="auto" w:fill="DDECF3"/>
            <w:vAlign w:val="bottom"/>
          </w:tcPr>
          <w:p w14:paraId="014E41ED"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KT</w:t>
            </w:r>
          </w:p>
        </w:tc>
        <w:tc>
          <w:tcPr>
            <w:tcW w:w="4093" w:type="pct"/>
            <w:shd w:val="clear" w:color="auto" w:fill="DDECF3"/>
            <w:vAlign w:val="bottom"/>
          </w:tcPr>
          <w:p w14:paraId="014E41EE" w14:textId="44482B09"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Grupim </w:t>
            </w:r>
            <w:r w:rsidR="00930B35" w:rsidRPr="00A90756">
              <w:rPr>
                <w:rStyle w:val="Other1"/>
                <w:rFonts w:ascii="Garamond" w:hAnsi="Garamond"/>
                <w:sz w:val="16"/>
                <w:szCs w:val="16"/>
              </w:rPr>
              <w:t>tematik</w:t>
            </w:r>
          </w:p>
        </w:tc>
      </w:tr>
      <w:tr w:rsidR="000D306C" w:rsidRPr="00A90756" w14:paraId="014E41F2" w14:textId="77777777" w:rsidTr="000D306C">
        <w:trPr>
          <w:trHeight w:val="20"/>
        </w:trPr>
        <w:tc>
          <w:tcPr>
            <w:tcW w:w="907" w:type="pct"/>
            <w:shd w:val="clear" w:color="auto" w:fill="DDECF3"/>
            <w:vAlign w:val="bottom"/>
          </w:tcPr>
          <w:p w14:paraId="014E41F0"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PT</w:t>
            </w:r>
          </w:p>
        </w:tc>
        <w:tc>
          <w:tcPr>
            <w:tcW w:w="4093" w:type="pct"/>
            <w:shd w:val="clear" w:color="auto" w:fill="DDECF3"/>
            <w:vAlign w:val="bottom"/>
          </w:tcPr>
          <w:p w14:paraId="014E41F1" w14:textId="034805DD"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 xml:space="preserve">Prioritet </w:t>
            </w:r>
            <w:r w:rsidR="00930B35" w:rsidRPr="00A90756">
              <w:rPr>
                <w:rStyle w:val="Other1"/>
                <w:rFonts w:ascii="Garamond" w:hAnsi="Garamond"/>
                <w:sz w:val="16"/>
                <w:szCs w:val="16"/>
              </w:rPr>
              <w:t>tematik</w:t>
            </w:r>
          </w:p>
        </w:tc>
      </w:tr>
      <w:tr w:rsidR="000D306C" w:rsidRPr="00A90756" w14:paraId="014E41F5" w14:textId="77777777" w:rsidTr="000D306C">
        <w:trPr>
          <w:trHeight w:val="20"/>
        </w:trPr>
        <w:tc>
          <w:tcPr>
            <w:tcW w:w="907" w:type="pct"/>
            <w:shd w:val="clear" w:color="auto" w:fill="DDECF3"/>
          </w:tcPr>
          <w:p w14:paraId="014E41F3"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BB</w:t>
            </w:r>
          </w:p>
        </w:tc>
        <w:tc>
          <w:tcPr>
            <w:tcW w:w="4093" w:type="pct"/>
            <w:shd w:val="clear" w:color="auto" w:fill="DDECF3"/>
          </w:tcPr>
          <w:p w14:paraId="014E41F4"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hAnsi="Garamond"/>
                <w:sz w:val="16"/>
                <w:szCs w:val="16"/>
              </w:rPr>
              <w:t>Ballkani Perëndimor</w:t>
            </w:r>
          </w:p>
        </w:tc>
      </w:tr>
    </w:tbl>
    <w:p w14:paraId="286822E2" w14:textId="77777777" w:rsidR="00CC2406" w:rsidRPr="00A90756" w:rsidRDefault="00CC2406" w:rsidP="000D306C">
      <w:pPr>
        <w:pStyle w:val="AAAATEXXX"/>
        <w:rPr>
          <w:rStyle w:val="Heading11"/>
          <w:rFonts w:ascii="Garamond" w:hAnsi="Garamond"/>
          <w:bCs w:val="0"/>
          <w:smallCaps w:val="0"/>
          <w:sz w:val="24"/>
          <w:szCs w:val="24"/>
        </w:rPr>
      </w:pPr>
      <w:bookmarkStart w:id="7" w:name="bookmark11"/>
      <w:bookmarkStart w:id="8" w:name="_Toc118696839"/>
    </w:p>
    <w:p w14:paraId="014E41F7" w14:textId="2B9FB178" w:rsidR="000D306C" w:rsidRPr="00A90756" w:rsidRDefault="000D306C" w:rsidP="000D306C">
      <w:pPr>
        <w:pStyle w:val="AAAATEXXX"/>
      </w:pPr>
      <w:r w:rsidRPr="00A90756">
        <w:rPr>
          <w:rStyle w:val="Heading11"/>
          <w:rFonts w:ascii="Garamond" w:hAnsi="Garamond"/>
          <w:bCs w:val="0"/>
          <w:smallCaps w:val="0"/>
          <w:sz w:val="24"/>
          <w:szCs w:val="24"/>
        </w:rPr>
        <w:t>1. Përmbledhje e programit</w:t>
      </w:r>
      <w:bookmarkEnd w:id="7"/>
      <w:bookmarkEnd w:id="8"/>
    </w:p>
    <w:p w14:paraId="014E41F8" w14:textId="57E17A3F"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Programi IPA III i bashkëpunimit ndërkufitar 2021</w:t>
      </w:r>
      <w:r w:rsidR="002132A6" w:rsidRPr="00A90756">
        <w:rPr>
          <w:rStyle w:val="SubtleEmphasis"/>
          <w:rFonts w:ascii="Garamond" w:hAnsi="Garamond"/>
          <w:i w:val="0"/>
          <w:iCs w:val="0"/>
        </w:rPr>
        <w:t>–</w:t>
      </w:r>
      <w:r w:rsidRPr="00A90756">
        <w:rPr>
          <w:rStyle w:val="Bodytext1"/>
          <w:rFonts w:ascii="Garamond" w:hAnsi="Garamond"/>
          <w:sz w:val="24"/>
          <w:szCs w:val="24"/>
        </w:rPr>
        <w:t>2027 midis Malit të Zi (ME) dhe Shqipërisë (AL) do të zbatohet në kuadrin e Instrumentit për Asistencën e Para-Aderimit (IPA III) me synim promovimin e marrëdhënieve të fqinjësisë së mirë, nxitjen e integrimit n</w:t>
      </w:r>
      <w:r w:rsidRPr="00A90756">
        <w:rPr>
          <w:rStyle w:val="Other1"/>
          <w:rFonts w:ascii="Garamond" w:hAnsi="Garamond"/>
          <w:sz w:val="24"/>
          <w:szCs w:val="24"/>
        </w:rPr>
        <w:t>ë</w:t>
      </w:r>
      <w:r w:rsidRPr="00A90756">
        <w:rPr>
          <w:rStyle w:val="Bodytext1"/>
          <w:rFonts w:ascii="Garamond" w:hAnsi="Garamond"/>
          <w:sz w:val="24"/>
          <w:szCs w:val="24"/>
        </w:rPr>
        <w:t xml:space="preserve"> Bashkimin Evropian, si dhe zhvillimin social-ekonomik nëpërmjet nismave të përbashkëta lokale dhe rajonale.</w:t>
      </w:r>
    </w:p>
    <w:p w14:paraId="014E41F9" w14:textId="0E56166B" w:rsidR="000D306C" w:rsidRPr="00A90756" w:rsidRDefault="000D306C" w:rsidP="000D306C">
      <w:pPr>
        <w:pStyle w:val="Bodytext10"/>
        <w:tabs>
          <w:tab w:val="left" w:pos="1262"/>
        </w:tabs>
        <w:spacing w:after="0"/>
        <w:ind w:firstLine="284"/>
        <w:jc w:val="both"/>
        <w:rPr>
          <w:rStyle w:val="Bodytext1"/>
          <w:rFonts w:ascii="Garamond" w:hAnsi="Garamond"/>
          <w:sz w:val="24"/>
          <w:szCs w:val="24"/>
        </w:rPr>
      </w:pPr>
      <w:r w:rsidRPr="00A90756">
        <w:rPr>
          <w:rStyle w:val="Bodytext1"/>
          <w:rFonts w:ascii="Garamond" w:hAnsi="Garamond"/>
          <w:sz w:val="24"/>
          <w:szCs w:val="24"/>
        </w:rPr>
        <w:t>Dispozitat ligjore për zbatimin e programit përcaktohen në legjislacionin e mëposhtëm të BE-</w:t>
      </w:r>
      <w:r w:rsidRPr="00A90756">
        <w:rPr>
          <w:rStyle w:val="Bodytext1"/>
          <w:rFonts w:ascii="Garamond" w:hAnsi="Garamond"/>
          <w:sz w:val="24"/>
          <w:szCs w:val="24"/>
        </w:rPr>
        <w:lastRenderedPageBreak/>
        <w:t>së: Rregullorja (BE) 2021/1529</w:t>
      </w:r>
      <w:r w:rsidR="00330C89" w:rsidRPr="00A90756">
        <w:rPr>
          <w:rStyle w:val="Bodytext1"/>
          <w:rFonts w:ascii="Garamond" w:hAnsi="Garamond"/>
          <w:sz w:val="24"/>
          <w:szCs w:val="24"/>
        </w:rPr>
        <w:t>,</w:t>
      </w:r>
      <w:r w:rsidRPr="00A90756">
        <w:rPr>
          <w:rStyle w:val="Bodytext1"/>
          <w:rFonts w:ascii="Garamond" w:hAnsi="Garamond"/>
          <w:sz w:val="24"/>
          <w:szCs w:val="24"/>
        </w:rPr>
        <w:t xml:space="preserve"> e Parlamentit Evropian dhe e Këshillit e dat</w:t>
      </w:r>
      <w:r w:rsidRPr="00A90756">
        <w:rPr>
          <w:rStyle w:val="Other1"/>
          <w:rFonts w:ascii="Garamond" w:hAnsi="Garamond"/>
          <w:sz w:val="24"/>
          <w:szCs w:val="24"/>
        </w:rPr>
        <w:t>ë</w:t>
      </w:r>
      <w:r w:rsidRPr="00A90756">
        <w:rPr>
          <w:rStyle w:val="Bodytext1"/>
          <w:rFonts w:ascii="Garamond" w:hAnsi="Garamond"/>
          <w:sz w:val="24"/>
          <w:szCs w:val="24"/>
        </w:rPr>
        <w:t>s 15 shtator 2021</w:t>
      </w:r>
      <w:r w:rsidR="002132A6" w:rsidRPr="00A90756">
        <w:rPr>
          <w:rStyle w:val="Bodytext1"/>
          <w:rFonts w:ascii="Garamond" w:hAnsi="Garamond"/>
          <w:sz w:val="24"/>
          <w:szCs w:val="24"/>
        </w:rPr>
        <w:t>,</w:t>
      </w:r>
      <w:r w:rsidRPr="00A90756">
        <w:rPr>
          <w:rStyle w:val="Bodytext1"/>
          <w:rFonts w:ascii="Garamond" w:hAnsi="Garamond"/>
          <w:sz w:val="24"/>
          <w:szCs w:val="24"/>
        </w:rPr>
        <w:t xml:space="preserve"> p</w:t>
      </w:r>
      <w:r w:rsidRPr="00A90756">
        <w:rPr>
          <w:rStyle w:val="Other1"/>
          <w:rFonts w:ascii="Garamond" w:hAnsi="Garamond"/>
          <w:sz w:val="24"/>
          <w:szCs w:val="24"/>
        </w:rPr>
        <w:t>ë</w:t>
      </w:r>
      <w:r w:rsidRPr="00A90756">
        <w:rPr>
          <w:rStyle w:val="Bodytext1"/>
          <w:rFonts w:ascii="Garamond" w:hAnsi="Garamond"/>
          <w:sz w:val="24"/>
          <w:szCs w:val="24"/>
        </w:rPr>
        <w:t>r ngritjen e Instrumentit për Asistencën e Para-Aderimit (IPA III).</w:t>
      </w:r>
    </w:p>
    <w:p w14:paraId="014E41FA" w14:textId="7092CDA9" w:rsidR="000D306C" w:rsidRPr="00A90756" w:rsidRDefault="000D306C" w:rsidP="000D306C">
      <w:pPr>
        <w:pStyle w:val="AAAATEXXX"/>
      </w:pPr>
      <w:bookmarkStart w:id="9" w:name="bookmark14"/>
      <w:bookmarkStart w:id="10" w:name="_Toc118696840"/>
      <w:r w:rsidRPr="00A90756">
        <w:rPr>
          <w:rStyle w:val="Heading21"/>
          <w:rFonts w:ascii="Garamond" w:hAnsi="Garamond"/>
          <w:bCs w:val="0"/>
        </w:rPr>
        <w:t xml:space="preserve">1.1 Përmbledhje e </w:t>
      </w:r>
      <w:r w:rsidR="00330C89" w:rsidRPr="00A90756">
        <w:rPr>
          <w:rStyle w:val="Heading21"/>
          <w:rFonts w:ascii="Garamond" w:hAnsi="Garamond"/>
          <w:bCs w:val="0"/>
        </w:rPr>
        <w:t>p</w:t>
      </w:r>
      <w:r w:rsidRPr="00A90756">
        <w:rPr>
          <w:rStyle w:val="Heading21"/>
          <w:rFonts w:ascii="Garamond" w:hAnsi="Garamond"/>
          <w:bCs w:val="0"/>
        </w:rPr>
        <w:t>rogramit</w:t>
      </w:r>
      <w:bookmarkEnd w:id="9"/>
      <w:bookmarkEnd w:id="10"/>
    </w:p>
    <w:p w14:paraId="014E41FB"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Analiza e detajuar e situatës socio-ekonomike e bashkive dhe e rajoneve të përfshira në zonën e programit na jep një tablo të realitetit në terren, bazuar në të dhënat statistikore të disponueshme, raportet, strategjitë kombëtare, rajonale dhe bashkiake.</w:t>
      </w:r>
    </w:p>
    <w:p w14:paraId="014E41FC" w14:textId="648F4024"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t</w:t>
      </w:r>
      <w:r w:rsidRPr="00A90756">
        <w:rPr>
          <w:rStyle w:val="Other1"/>
          <w:rFonts w:ascii="Garamond" w:hAnsi="Garamond"/>
          <w:sz w:val="24"/>
          <w:szCs w:val="24"/>
        </w:rPr>
        <w:t>ë</w:t>
      </w:r>
      <w:r w:rsidRPr="00A90756">
        <w:rPr>
          <w:rStyle w:val="Bodytext1"/>
          <w:rFonts w:ascii="Garamond" w:hAnsi="Garamond"/>
          <w:sz w:val="24"/>
          <w:szCs w:val="24"/>
        </w:rPr>
        <w:t xml:space="preserve"> bashkëpunimit ndërkufitar IPA III mes Malit të Zi dhe Shqipërisë mbulon një territor prej 12,781 km², duke z</w:t>
      </w:r>
      <w:r w:rsidRPr="00A90756">
        <w:rPr>
          <w:rStyle w:val="Other1"/>
          <w:rFonts w:ascii="Garamond" w:hAnsi="Garamond"/>
          <w:sz w:val="24"/>
          <w:szCs w:val="24"/>
        </w:rPr>
        <w:t>ë</w:t>
      </w:r>
      <w:r w:rsidRPr="00A90756">
        <w:rPr>
          <w:rStyle w:val="Bodytext1"/>
          <w:rFonts w:ascii="Garamond" w:hAnsi="Garamond"/>
          <w:sz w:val="24"/>
          <w:szCs w:val="24"/>
        </w:rPr>
        <w:t>n</w:t>
      </w:r>
      <w:r w:rsidRPr="00A90756">
        <w:rPr>
          <w:rStyle w:val="Other1"/>
          <w:rFonts w:ascii="Garamond" w:hAnsi="Garamond"/>
          <w:sz w:val="24"/>
          <w:szCs w:val="24"/>
        </w:rPr>
        <w:t>ë</w:t>
      </w:r>
      <w:r w:rsidRPr="00A90756">
        <w:rPr>
          <w:rStyle w:val="Bodytext1"/>
          <w:rFonts w:ascii="Garamond" w:hAnsi="Garamond"/>
          <w:sz w:val="24"/>
          <w:szCs w:val="24"/>
        </w:rPr>
        <w:t xml:space="preserve"> nj</w:t>
      </w:r>
      <w:r w:rsidRPr="00A90756">
        <w:rPr>
          <w:rStyle w:val="Other1"/>
          <w:rFonts w:ascii="Garamond" w:hAnsi="Garamond"/>
          <w:sz w:val="24"/>
          <w:szCs w:val="24"/>
        </w:rPr>
        <w:t>ë</w:t>
      </w:r>
      <w:r w:rsidRPr="00A90756">
        <w:rPr>
          <w:rStyle w:val="Bodytext1"/>
          <w:rFonts w:ascii="Garamond" w:hAnsi="Garamond"/>
          <w:sz w:val="24"/>
          <w:szCs w:val="24"/>
        </w:rPr>
        <w:t xml:space="preserve"> sip</w:t>
      </w:r>
      <w:r w:rsidRPr="00A90756">
        <w:rPr>
          <w:rStyle w:val="Other1"/>
          <w:rFonts w:ascii="Garamond" w:hAnsi="Garamond"/>
          <w:sz w:val="24"/>
          <w:szCs w:val="24"/>
        </w:rPr>
        <w:t>ë</w:t>
      </w:r>
      <w:r w:rsidRPr="00A90756">
        <w:rPr>
          <w:rStyle w:val="Bodytext1"/>
          <w:rFonts w:ascii="Garamond" w:hAnsi="Garamond"/>
          <w:sz w:val="24"/>
          <w:szCs w:val="24"/>
        </w:rPr>
        <w:t>rfaqe pak m</w:t>
      </w:r>
      <w:r w:rsidRPr="00A90756">
        <w:rPr>
          <w:rStyle w:val="Other1"/>
          <w:rFonts w:ascii="Garamond" w:hAnsi="Garamond"/>
          <w:sz w:val="24"/>
          <w:szCs w:val="24"/>
        </w:rPr>
        <w:t>ë</w:t>
      </w:r>
      <w:r w:rsidRPr="00A90756">
        <w:rPr>
          <w:rStyle w:val="Bodytext1"/>
          <w:rFonts w:ascii="Garamond" w:hAnsi="Garamond"/>
          <w:sz w:val="24"/>
          <w:szCs w:val="24"/>
        </w:rPr>
        <w:t xml:space="preserve"> t</w:t>
      </w:r>
      <w:r w:rsidRPr="00A90756">
        <w:rPr>
          <w:rStyle w:val="Other1"/>
          <w:rFonts w:ascii="Garamond" w:hAnsi="Garamond"/>
          <w:sz w:val="24"/>
          <w:szCs w:val="24"/>
        </w:rPr>
        <w:t>ë</w:t>
      </w:r>
      <w:r w:rsidRPr="00A90756">
        <w:rPr>
          <w:rStyle w:val="Bodytext1"/>
          <w:rFonts w:ascii="Garamond" w:hAnsi="Garamond"/>
          <w:sz w:val="24"/>
          <w:szCs w:val="24"/>
        </w:rPr>
        <w:t xml:space="preserve"> madhe në Malin e Zi</w:t>
      </w:r>
      <w:r w:rsidR="00330C89" w:rsidRPr="00A90756">
        <w:rPr>
          <w:rStyle w:val="Bodytext1"/>
          <w:rFonts w:ascii="Garamond" w:hAnsi="Garamond"/>
          <w:sz w:val="24"/>
          <w:szCs w:val="24"/>
        </w:rPr>
        <w:t>,</w:t>
      </w:r>
      <w:r w:rsidRPr="00A90756">
        <w:rPr>
          <w:rStyle w:val="Bodytext1"/>
          <w:rFonts w:ascii="Garamond" w:hAnsi="Garamond"/>
          <w:sz w:val="24"/>
          <w:szCs w:val="24"/>
        </w:rPr>
        <w:t xml:space="preserve"> që përbën rreth 52% të t</w:t>
      </w:r>
      <w:r w:rsidRPr="00A90756">
        <w:rPr>
          <w:rStyle w:val="Other1"/>
          <w:rFonts w:ascii="Garamond" w:hAnsi="Garamond"/>
          <w:sz w:val="24"/>
          <w:szCs w:val="24"/>
        </w:rPr>
        <w:t>ë</w:t>
      </w:r>
      <w:r w:rsidRPr="00A90756">
        <w:rPr>
          <w:rStyle w:val="Bodytext1"/>
          <w:rFonts w:ascii="Garamond" w:hAnsi="Garamond"/>
          <w:sz w:val="24"/>
          <w:szCs w:val="24"/>
        </w:rPr>
        <w:t xml:space="preserve"> gjith</w:t>
      </w:r>
      <w:r w:rsidRPr="00A90756">
        <w:rPr>
          <w:rStyle w:val="Other1"/>
          <w:rFonts w:ascii="Garamond" w:hAnsi="Garamond"/>
          <w:sz w:val="24"/>
          <w:szCs w:val="24"/>
        </w:rPr>
        <w:t>ë</w:t>
      </w:r>
      <w:r w:rsidRPr="00A90756">
        <w:rPr>
          <w:rStyle w:val="Bodytext1"/>
          <w:rFonts w:ascii="Garamond" w:hAnsi="Garamond"/>
          <w:sz w:val="24"/>
          <w:szCs w:val="24"/>
        </w:rPr>
        <w:t xml:space="preserve"> vendit krahasuar me 48% të sipërfaqes së Shqipërisë. Popullsia që jeton në zonën e këtij programi është 754.190 banorë dhe përbën rreth 64,91% të popullsisë së përgjithshme të Malit të Zi dhe 12,31% të popullsisë së Shqipërisë. Në total, zona e programit përfshin 23 komuna dhe gjithsej 1305 vendbanime, duke përfshirë shumë qytete dhe fshatra. Nëntë prej komunave që mbulon ky program ndodhen drejtpërdrejt në kufi. Gjatësia e vijës kufitare është 244 km, nga të cilat 38 km janë kufij ujorë të përbërë nga liqeni i Shkodrës, deti Adriatik dhe një sërë lumenjsh. Zona e programit e të dyja vendeve ka përjetuar flukse të brendshme migrimi. Vitet e fundit, në zonën e programit ka ndodhur një lëvizje e popullsisë drejt rajoneve qendrore dhe bregdetare, të cilat janë gjerësisht më të zhvilluara dhe ofrojnë më shumë mundësi socio-ekonomike, si dhe nga qendrat rurale në ato urbane. Emigrantët e brendshëm vendosen në qytete në kërkim të punësimit, veçanërisht në sektorët e turizmit dhe ndërtimit. Kontrastet e element</w:t>
      </w:r>
      <w:r w:rsidR="00330C89" w:rsidRPr="00A90756">
        <w:rPr>
          <w:rStyle w:val="Bodytext1"/>
          <w:rFonts w:ascii="Garamond" w:hAnsi="Garamond"/>
          <w:sz w:val="24"/>
          <w:szCs w:val="24"/>
        </w:rPr>
        <w:t>e</w:t>
      </w:r>
      <w:r w:rsidRPr="00A90756">
        <w:rPr>
          <w:rStyle w:val="Bodytext1"/>
          <w:rFonts w:ascii="Garamond" w:hAnsi="Garamond"/>
          <w:sz w:val="24"/>
          <w:szCs w:val="24"/>
        </w:rPr>
        <w:t>ve gjeografikë të kësaj zone e pasurojnë mjedisin, florën dhe faunën e zonës së programit. Burimet e tij natyrore janë tërheqëse për zhvillimin e turizmit dhe të bujqësisë së qëndrueshme dhe mund të jenë shtytësit kryesorë ekonomikë drejt rritjes së prosperitetit të zonës së programit. Për shkak të vlerës së tyre mjedisore, zona e BNK-së është strehëz për disa zona të mbrojtura, rezerva natyrore dhe parqe kombëtare.</w:t>
      </w:r>
    </w:p>
    <w:p w14:paraId="014E41FD" w14:textId="5B736AEF"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Bazuar në një raund konsultimesh me disa organizata dhe institucione, një sërë autoritetesh lokale kërkuan dhe theksuan rëndësinë e përfshirjes së komunës së Kolashinit në zonën e programit. Kjo u mbështet njëzëri nga anëtarët e Task</w:t>
      </w:r>
      <w:r w:rsidR="002132A6" w:rsidRPr="00A90756">
        <w:rPr>
          <w:rStyle w:val="Bodytext1"/>
          <w:rFonts w:ascii="Garamond" w:hAnsi="Garamond"/>
          <w:sz w:val="24"/>
          <w:szCs w:val="24"/>
        </w:rPr>
        <w:t>-</w:t>
      </w:r>
      <w:r w:rsidRPr="00A90756">
        <w:rPr>
          <w:rStyle w:val="Bodytext1"/>
          <w:rFonts w:ascii="Garamond" w:hAnsi="Garamond"/>
          <w:sz w:val="24"/>
          <w:szCs w:val="24"/>
        </w:rPr>
        <w:t xml:space="preserve">Forcës së Përbashkët. Gjithashtu, krahas prioriteteve tematike të përzgjedhura dhe objektivave/rezultateve specifike të </w:t>
      </w:r>
      <w:r w:rsidR="00330C89" w:rsidRPr="00A90756">
        <w:rPr>
          <w:rStyle w:val="Bodytext1"/>
          <w:rFonts w:ascii="Garamond" w:hAnsi="Garamond"/>
          <w:sz w:val="24"/>
          <w:szCs w:val="24"/>
        </w:rPr>
        <w:t>programit</w:t>
      </w:r>
      <w:r w:rsidRPr="00A90756">
        <w:rPr>
          <w:rStyle w:val="Bodytext1"/>
          <w:rFonts w:ascii="Garamond" w:hAnsi="Garamond"/>
          <w:sz w:val="24"/>
          <w:szCs w:val="24"/>
        </w:rPr>
        <w:t>, vihet re se integrimi gjinor mbetet një pjesë e rëndësishme horizontale e këtij programi. Qëllimi i tij është të sigurojë që ky program BNK</w:t>
      </w:r>
      <w:r w:rsidR="00330C89" w:rsidRPr="00A90756">
        <w:rPr>
          <w:rStyle w:val="Bodytext1"/>
          <w:rFonts w:ascii="Garamond" w:hAnsi="Garamond"/>
          <w:sz w:val="24"/>
          <w:szCs w:val="24"/>
        </w:rPr>
        <w:t>-je</w:t>
      </w:r>
      <w:r w:rsidRPr="00A90756">
        <w:rPr>
          <w:rStyle w:val="Bodytext1"/>
          <w:rFonts w:ascii="Garamond" w:hAnsi="Garamond"/>
          <w:sz w:val="24"/>
          <w:szCs w:val="24"/>
        </w:rPr>
        <w:t xml:space="preserve"> të maksimizojë përfitimet e tij për të gjithë dhe të kontribuojë në adresimin e çështjeve të pabarazisë.</w:t>
      </w:r>
    </w:p>
    <w:p w14:paraId="014E41FE" w14:textId="3F5A7A75"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është e larmishme, por megjithatë ka një sërë karakteristikash të përbashkëta, si</w:t>
      </w:r>
      <w:r w:rsidR="00330C89" w:rsidRPr="00A90756">
        <w:rPr>
          <w:rStyle w:val="Bodytext1"/>
          <w:rFonts w:ascii="Garamond" w:hAnsi="Garamond"/>
          <w:sz w:val="24"/>
          <w:szCs w:val="24"/>
        </w:rPr>
        <w:t>:</w:t>
      </w:r>
      <w:r w:rsidRPr="00A90756">
        <w:rPr>
          <w:rStyle w:val="Bodytext1"/>
          <w:rFonts w:ascii="Garamond" w:hAnsi="Garamond"/>
          <w:sz w:val="24"/>
          <w:szCs w:val="24"/>
        </w:rPr>
        <w:t xml:space="preserve"> gjeografia, tendencat demografike - popullsia e re në moshë, zhvillimi ekonomik, potenciali turistik, asetet mjedisore dhe antropogjene, shpirti sipërmarrës dhe angazhimet e ndërmarra drejt rritjes së konkurrencës, inovacionit dhe aftësive; të gjitha këto përfaqësojnë mundësi për iniciativa BNK. Në këtë kontekst, gjetjet dhe nevojat kryesore të zonës së programit përfshijnë veçoritë ekonomike, si investimet në turizëm, energjitë e rinovueshme dhe bujqësinë. Edhe çështja e mbrojtjes së mjedisit ka nevojë për shqyrtim serioz në planet e ardhshme zhvillimore të zonës së programit. Me zhvillimin e përgjithshëm të zonës së programit që mbështetet kryesisht në burimet natyrore, mbrojtja e mjedisit dhe ruajtja e këtyre burimeve është thelbësore për zhvillimin e qëndrueshëm dhe për biodiversitetin e zonës. Zona e programit ka gjithashtu një potencial të lartë turistik dhe kështu duhet të merren parasysh iniciativat e BNK</w:t>
      </w:r>
      <w:r w:rsidR="00330C89" w:rsidRPr="00A90756">
        <w:rPr>
          <w:rStyle w:val="Bodytext1"/>
          <w:rFonts w:ascii="Garamond" w:hAnsi="Garamond"/>
          <w:sz w:val="24"/>
          <w:szCs w:val="24"/>
        </w:rPr>
        <w:t>-së</w:t>
      </w:r>
      <w:r w:rsidRPr="00A90756">
        <w:rPr>
          <w:rStyle w:val="Bodytext1"/>
          <w:rFonts w:ascii="Garamond" w:hAnsi="Garamond"/>
          <w:sz w:val="24"/>
          <w:szCs w:val="24"/>
        </w:rPr>
        <w:t xml:space="preserve"> që synojnë të prodhojnë një ofertë të përbashkët turistike. Për më tepër, ka një sërë sinergjish, të cilat potencialisht mund të mbështeten nga programi BNK. Në zonën e programit ka një </w:t>
      </w:r>
      <w:r w:rsidRPr="00A90756">
        <w:rPr>
          <w:rStyle w:val="Bodytext1"/>
          <w:rFonts w:ascii="Garamond" w:hAnsi="Garamond"/>
          <w:bCs/>
          <w:sz w:val="24"/>
          <w:szCs w:val="24"/>
        </w:rPr>
        <w:t>trashëgimi</w:t>
      </w:r>
      <w:r w:rsidRPr="00A90756">
        <w:rPr>
          <w:rStyle w:val="Bodytext1"/>
          <w:rFonts w:ascii="Garamond" w:hAnsi="Garamond"/>
          <w:sz w:val="24"/>
          <w:szCs w:val="24"/>
        </w:rPr>
        <w:t xml:space="preserve"> të pasur </w:t>
      </w:r>
      <w:r w:rsidRPr="00A90756">
        <w:rPr>
          <w:rStyle w:val="Bodytext1"/>
          <w:rFonts w:ascii="Garamond" w:hAnsi="Garamond"/>
          <w:bCs/>
          <w:sz w:val="24"/>
          <w:szCs w:val="24"/>
        </w:rPr>
        <w:t>historiko-kulturore-artistiko-fetare</w:t>
      </w:r>
      <w:r w:rsidRPr="00A90756">
        <w:rPr>
          <w:rStyle w:val="Bodytext1"/>
          <w:rFonts w:ascii="Garamond" w:hAnsi="Garamond"/>
          <w:sz w:val="24"/>
          <w:szCs w:val="24"/>
        </w:rPr>
        <w:t xml:space="preserve"> e cila duhet të ruhet. Përveç kësaj, shumë më tepër vlerë mund të ketë trashëgimia e saj historike dhe kulturore. Nga ana tjetër, edhe sinergjitë me turizmin fetar mund të kontribuojnë në forcimin e identitetit të zonës. </w:t>
      </w:r>
      <w:r w:rsidRPr="00A90756">
        <w:rPr>
          <w:rStyle w:val="Bodytext1"/>
          <w:rFonts w:ascii="Garamond" w:hAnsi="Garamond"/>
          <w:bCs/>
          <w:sz w:val="24"/>
          <w:szCs w:val="24"/>
        </w:rPr>
        <w:t>Konkurrueshmëria</w:t>
      </w:r>
      <w:r w:rsidRPr="00A90756">
        <w:rPr>
          <w:rStyle w:val="Bodytext1"/>
          <w:rFonts w:ascii="Garamond" w:hAnsi="Garamond"/>
          <w:sz w:val="24"/>
          <w:szCs w:val="24"/>
        </w:rPr>
        <w:t xml:space="preserve"> si temë kërkon gjithashtu vëmendje pasi është ende në zhvillim në të dyja anët e kufirit duke pasur parasysh se të dyja vendet kanë një interes të shtuar për të investuar në të. </w:t>
      </w:r>
      <w:r w:rsidRPr="00A90756">
        <w:rPr>
          <w:rStyle w:val="Bodytext1"/>
          <w:rFonts w:ascii="Garamond" w:hAnsi="Garamond"/>
          <w:bCs/>
          <w:sz w:val="24"/>
          <w:szCs w:val="24"/>
        </w:rPr>
        <w:t>Qeveritë lokale dhe rajonale</w:t>
      </w:r>
      <w:r w:rsidRPr="00A90756">
        <w:rPr>
          <w:rStyle w:val="Bodytext1"/>
          <w:rFonts w:ascii="Garamond" w:hAnsi="Garamond"/>
          <w:sz w:val="24"/>
          <w:szCs w:val="24"/>
        </w:rPr>
        <w:t xml:space="preserve"> kërkojnë gjithashtu veprime për ngritjen e kapaciteteve në mënyrë që të absorbojnë më mirë projektet e financuara nga BE-ja. Mund të përmirësohet edhe bashkëpunimi ndërmjet qeverive lokale dhe rajonale </w:t>
      </w:r>
      <w:r w:rsidRPr="00A90756">
        <w:rPr>
          <w:rStyle w:val="Bodytext1"/>
          <w:rFonts w:ascii="Garamond" w:hAnsi="Garamond"/>
          <w:sz w:val="24"/>
          <w:szCs w:val="24"/>
        </w:rPr>
        <w:lastRenderedPageBreak/>
        <w:t xml:space="preserve">ndërmjet </w:t>
      </w:r>
      <w:r w:rsidR="00330C89" w:rsidRPr="00A90756">
        <w:rPr>
          <w:rStyle w:val="Bodytext1"/>
          <w:rFonts w:ascii="Garamond" w:hAnsi="Garamond"/>
          <w:sz w:val="24"/>
          <w:szCs w:val="24"/>
        </w:rPr>
        <w:t xml:space="preserve">të </w:t>
      </w:r>
      <w:r w:rsidRPr="00A90756">
        <w:rPr>
          <w:rStyle w:val="Bodytext1"/>
          <w:rFonts w:ascii="Garamond" w:hAnsi="Garamond"/>
          <w:sz w:val="24"/>
          <w:szCs w:val="24"/>
        </w:rPr>
        <w:t>dy</w:t>
      </w:r>
      <w:r w:rsidR="00330C89" w:rsidRPr="00A90756">
        <w:rPr>
          <w:rStyle w:val="Bodytext1"/>
          <w:rFonts w:ascii="Garamond" w:hAnsi="Garamond"/>
          <w:sz w:val="24"/>
          <w:szCs w:val="24"/>
        </w:rPr>
        <w:t>ja</w:t>
      </w:r>
      <w:r w:rsidRPr="00A90756">
        <w:rPr>
          <w:rStyle w:val="Bodytext1"/>
          <w:rFonts w:ascii="Garamond" w:hAnsi="Garamond"/>
          <w:sz w:val="24"/>
          <w:szCs w:val="24"/>
        </w:rPr>
        <w:t xml:space="preserve"> vendeve.</w:t>
      </w:r>
    </w:p>
    <w:p w14:paraId="014E41FF" w14:textId="41C7C92F"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Çështjet kryesore të theksuara nga analiza socio-ekonomike e lartpërmendur u konfirmuan dhe u plotësuan përmes konsultimeve të gjera me një gamë të gjerë palësh të interesuara në nivel kombëtar, rajonal dhe komunal</w:t>
      </w:r>
      <w:r w:rsidR="00DC0722" w:rsidRPr="00A90756">
        <w:rPr>
          <w:rStyle w:val="Bodytext1"/>
          <w:rFonts w:ascii="Garamond" w:hAnsi="Garamond"/>
          <w:sz w:val="24"/>
          <w:szCs w:val="24"/>
        </w:rPr>
        <w:t>,</w:t>
      </w:r>
      <w:r w:rsidRPr="00A90756">
        <w:rPr>
          <w:rStyle w:val="Bodytext1"/>
          <w:rFonts w:ascii="Garamond" w:hAnsi="Garamond"/>
          <w:sz w:val="24"/>
          <w:szCs w:val="24"/>
        </w:rPr>
        <w:t xml:space="preserve"> si me intervista ballë për ballë ashtu edhe me një pyetësor të strukturuar (të ofruar nga projekti CBIB+) që mundësoi mbledhjen e pikëpamjeve mbi pikat e forta, dobësitë, mundësitë dhe kërcënimet (SWOT), si dhe analizimin se cilat ishin prioritetet kryesore për rajonin.</w:t>
      </w:r>
    </w:p>
    <w:p w14:paraId="014E4200" w14:textId="12963448"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këtë kontekst, dhe bazuar në situatën dhe analizat SWOT, duke përfshirë një sërë aspektesh politike, ekonomike, sociale, teknologjike, ligjore dhe mjedisore (PESTLE), mbi situatën aktuale në të dyja vendet dhe veçanërisht në zonën e programit, Task</w:t>
      </w:r>
      <w:r w:rsidR="002132A6" w:rsidRPr="00A90756">
        <w:rPr>
          <w:rStyle w:val="Bodytext1"/>
          <w:rFonts w:ascii="Garamond" w:hAnsi="Garamond"/>
          <w:sz w:val="24"/>
          <w:szCs w:val="24"/>
        </w:rPr>
        <w:t>-</w:t>
      </w:r>
      <w:r w:rsidRPr="00A90756">
        <w:rPr>
          <w:rStyle w:val="Bodytext1"/>
          <w:rFonts w:ascii="Garamond" w:hAnsi="Garamond"/>
          <w:sz w:val="24"/>
          <w:szCs w:val="24"/>
        </w:rPr>
        <w:t>Forca e Përbashkët (TFP) që mbikëqyr zbatimin e këtij programi zgjodhi grupet tematike/prioritetet tematike të mëposhtme:</w:t>
      </w:r>
    </w:p>
    <w:p w14:paraId="014E4201" w14:textId="27A072DB"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 xml:space="preserve">Grupimi </w:t>
      </w:r>
      <w:r w:rsidR="00733DD6" w:rsidRPr="00A90756">
        <w:rPr>
          <w:rStyle w:val="Bodytext1"/>
          <w:rFonts w:ascii="Garamond" w:hAnsi="Garamond"/>
          <w:b/>
          <w:bCs/>
          <w:sz w:val="24"/>
          <w:szCs w:val="24"/>
        </w:rPr>
        <w:t xml:space="preserve">tematik </w:t>
      </w:r>
      <w:r w:rsidRPr="00A90756">
        <w:rPr>
          <w:rStyle w:val="Bodytext1"/>
          <w:rFonts w:ascii="Garamond" w:hAnsi="Garamond"/>
          <w:b/>
          <w:bCs/>
          <w:sz w:val="24"/>
          <w:szCs w:val="24"/>
        </w:rPr>
        <w:t>2:</w:t>
      </w:r>
      <w:r w:rsidRPr="00A90756">
        <w:rPr>
          <w:rStyle w:val="Bodytext1"/>
          <w:rFonts w:ascii="Garamond" w:hAnsi="Garamond"/>
          <w:sz w:val="24"/>
          <w:szCs w:val="24"/>
          <w:u w:val="single"/>
        </w:rPr>
        <w:t xml:space="preserve"> Sigurimi i një efikasiteti më të gjelbër dhe më të mirë të burimeve</w:t>
      </w:r>
    </w:p>
    <w:p w14:paraId="014E4202" w14:textId="7FE59A4D" w:rsidR="000D306C" w:rsidRPr="00A90756" w:rsidRDefault="000D306C" w:rsidP="000D306C">
      <w:pPr>
        <w:pStyle w:val="Bodytext10"/>
        <w:spacing w:after="0"/>
        <w:ind w:firstLine="284"/>
        <w:rPr>
          <w:rFonts w:ascii="Garamond" w:hAnsi="Garamond"/>
          <w:sz w:val="24"/>
          <w:szCs w:val="24"/>
        </w:rPr>
      </w:pPr>
      <w:r w:rsidRPr="00A90756">
        <w:rPr>
          <w:rStyle w:val="Bodytext1"/>
          <w:rFonts w:ascii="Garamond" w:hAnsi="Garamond"/>
          <w:b/>
          <w:bCs/>
          <w:sz w:val="24"/>
          <w:szCs w:val="24"/>
        </w:rPr>
        <w:t>TP2</w:t>
      </w:r>
      <w:r w:rsidRPr="00A90756">
        <w:rPr>
          <w:rStyle w:val="Bodytext1"/>
          <w:rFonts w:ascii="Garamond" w:hAnsi="Garamond"/>
          <w:sz w:val="24"/>
          <w:szCs w:val="24"/>
        </w:rPr>
        <w:t>: Bërja e territorit ndërkufitar më të qëndrueshëm dhe më elastik në aspektin ekologjik</w:t>
      </w:r>
      <w:r w:rsidR="00DC0722" w:rsidRPr="00A90756">
        <w:rPr>
          <w:rStyle w:val="Bodytext1"/>
          <w:rFonts w:ascii="Garamond" w:hAnsi="Garamond"/>
          <w:sz w:val="24"/>
          <w:szCs w:val="24"/>
        </w:rPr>
        <w:t>.</w:t>
      </w:r>
    </w:p>
    <w:p w14:paraId="014E4203"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Fushat kryesore të ndërhyrjes në këtë kontekst theksojnë se zona e programit është e pasur me burime mjedisore dhe ka një diversitet të lartë biologjik që përfshin male, kodra, fusha, vijë bregdetare, parqe natyrore, liqene dhe lumenj. Ruajtja e mjedisit dhe mbrojtja e këtyre burimeve janë shtylla të të gjitha strategjive të zhvillimit në të dyja vendet dhe konsiderohen si prioritet i lartë nga të dyja qeveritë.</w:t>
      </w:r>
    </w:p>
    <w:p w14:paraId="014E4204" w14:textId="5BA8ADBD"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 xml:space="preserve">Grupimi </w:t>
      </w:r>
      <w:r w:rsidR="00733DD6" w:rsidRPr="00A90756">
        <w:rPr>
          <w:rStyle w:val="Bodytext1"/>
          <w:rFonts w:ascii="Garamond" w:hAnsi="Garamond"/>
          <w:b/>
          <w:bCs/>
          <w:sz w:val="24"/>
          <w:szCs w:val="24"/>
        </w:rPr>
        <w:t xml:space="preserve">tematik </w:t>
      </w:r>
      <w:r w:rsidRPr="00A90756">
        <w:rPr>
          <w:rStyle w:val="Bodytext1"/>
          <w:rFonts w:ascii="Garamond" w:hAnsi="Garamond"/>
          <w:b/>
          <w:bCs/>
          <w:sz w:val="24"/>
          <w:szCs w:val="24"/>
        </w:rPr>
        <w:t>4:</w:t>
      </w:r>
      <w:r w:rsidRPr="00A90756">
        <w:rPr>
          <w:rStyle w:val="Bodytext1"/>
          <w:rFonts w:ascii="Garamond" w:hAnsi="Garamond"/>
          <w:sz w:val="24"/>
          <w:szCs w:val="24"/>
          <w:u w:val="single"/>
        </w:rPr>
        <w:t xml:space="preserve"> Përmirësimi i mjedisit të biznesit dhe konkurrueshmërisë</w:t>
      </w:r>
    </w:p>
    <w:p w14:paraId="014E4205"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PT5:</w:t>
      </w:r>
      <w:r w:rsidRPr="00A90756">
        <w:rPr>
          <w:rStyle w:val="Bodytext1"/>
          <w:rFonts w:ascii="Garamond" w:hAnsi="Garamond"/>
          <w:sz w:val="24"/>
          <w:szCs w:val="24"/>
        </w:rPr>
        <w:t xml:space="preserve"> Turizmi dhe trashëgimia kulturore dhe natyrore.</w:t>
      </w:r>
    </w:p>
    <w:p w14:paraId="014E4206" w14:textId="265D6759"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karakterizohet nga një potencial i lartë turistik, por mundësi të tilla ekonomike duhet ende të zhvillohen</w:t>
      </w:r>
      <w:r w:rsidR="00DC0722" w:rsidRPr="00A90756">
        <w:rPr>
          <w:rStyle w:val="Bodytext1"/>
          <w:rFonts w:ascii="Garamond" w:hAnsi="Garamond"/>
          <w:sz w:val="24"/>
          <w:szCs w:val="24"/>
        </w:rPr>
        <w:t>,</w:t>
      </w:r>
      <w:r w:rsidRPr="00A90756">
        <w:rPr>
          <w:rStyle w:val="Bodytext1"/>
          <w:rFonts w:ascii="Garamond" w:hAnsi="Garamond"/>
          <w:sz w:val="24"/>
          <w:szCs w:val="24"/>
        </w:rPr>
        <w:t xml:space="preserve"> duke rritur vëmendjen dhe fokusin si nga politikëbërësit kombëtarë, ashtu edhe ata vendorë. Zona e programit është gjithashtu e pasur me tradita të larmishme të kulinarisë dhe zejeve që luajnë rol të rëndësishëm në promovimin dhe zhvillimin e turizmit. Bashkëpunimi ndërkufitar ndërmjet institucioneve kulturore është tashmë i pranishëm, por kjo mund të intensifikohet më tej.</w:t>
      </w:r>
    </w:p>
    <w:p w14:paraId="014E4207" w14:textId="74970E21"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ka shumë subjekte biznesi të dominuara nga NMVM-të, të cilat luajnë një rol vendimtar në zhvillimin e saj ekonomik. Megjithatë, konkurrenca kërkon vëmendjen e duhur pasi është ende e dobët në të dyja anët e kufirit. Produktiviteti më i lartë dhe investimi i mëtejshëm në njohjen dhe në përdorimin e teknologjive inovative janë parakushte për</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bërë më konkurrues</w:t>
      </w:r>
      <w:r w:rsidR="00DC0722" w:rsidRPr="00A90756">
        <w:rPr>
          <w:rStyle w:val="Bodytext1"/>
          <w:rFonts w:ascii="Garamond" w:hAnsi="Garamond"/>
          <w:sz w:val="24"/>
          <w:szCs w:val="24"/>
        </w:rPr>
        <w:t>,</w:t>
      </w:r>
      <w:r w:rsidRPr="00A90756">
        <w:rPr>
          <w:rStyle w:val="Bodytext1"/>
          <w:rFonts w:ascii="Garamond" w:hAnsi="Garamond"/>
          <w:sz w:val="24"/>
          <w:szCs w:val="24"/>
        </w:rPr>
        <w:t xml:space="preserve"> si në nivel kombëtar ashtu edhe ndërkombëtar. Me përfshirjen horizontale të autoriteteve publike në të gjitha/shumicën e operacioneve (bazuar në kapacitetet e tyre juridike), kapacitetet e tyre do të forcohen dhe do të fuqizohen për të luajtur një rol aktiv në mbështetjen e sa më sipër.</w:t>
      </w:r>
    </w:p>
    <w:p w14:paraId="014E4208" w14:textId="40072779"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Dizajni i programit është mbështetur gjithashtu në përvojën e zbatimit të dy programeve të mëparshme</w:t>
      </w:r>
      <w:r w:rsidR="00DC0722" w:rsidRPr="00A90756">
        <w:rPr>
          <w:rStyle w:val="Bodytext1"/>
          <w:rFonts w:ascii="Garamond" w:hAnsi="Garamond"/>
          <w:sz w:val="24"/>
          <w:szCs w:val="24"/>
        </w:rPr>
        <w:t>,</w:t>
      </w:r>
      <w:r w:rsidRPr="00A90756">
        <w:rPr>
          <w:rStyle w:val="Bodytext1"/>
          <w:rFonts w:ascii="Garamond" w:hAnsi="Garamond"/>
          <w:sz w:val="24"/>
          <w:szCs w:val="24"/>
        </w:rPr>
        <w:t xml:space="preserve"> në ciklet financiare 2007</w:t>
      </w:r>
      <w:r w:rsidR="002132A6" w:rsidRPr="00A90756">
        <w:rPr>
          <w:rStyle w:val="SubtleEmphasis"/>
          <w:rFonts w:ascii="Garamond" w:hAnsi="Garamond"/>
          <w:i w:val="0"/>
          <w:iCs w:val="0"/>
        </w:rPr>
        <w:t>–</w:t>
      </w:r>
      <w:r w:rsidRPr="00A90756">
        <w:rPr>
          <w:rStyle w:val="Bodytext1"/>
          <w:rFonts w:ascii="Garamond" w:hAnsi="Garamond"/>
          <w:sz w:val="24"/>
          <w:szCs w:val="24"/>
        </w:rPr>
        <w:t>2013 dhe 2014</w:t>
      </w:r>
      <w:r w:rsidR="002132A6" w:rsidRPr="00A90756">
        <w:rPr>
          <w:rStyle w:val="SubtleEmphasis"/>
          <w:rFonts w:ascii="Garamond" w:hAnsi="Garamond"/>
          <w:i w:val="0"/>
          <w:iCs w:val="0"/>
        </w:rPr>
        <w:t>–</w:t>
      </w:r>
      <w:r w:rsidRPr="00A90756">
        <w:rPr>
          <w:rStyle w:val="Bodytext1"/>
          <w:rFonts w:ascii="Garamond" w:hAnsi="Garamond"/>
          <w:sz w:val="24"/>
          <w:szCs w:val="24"/>
        </w:rPr>
        <w:t>2020, si dhe nga programe të tjera BNK dhe programe transnacionale ku marrin pjesë të dyja vendet. Gjithashtu, ai konsideron si relevante edhe ndërhyrjet e tjera që po ndodhin ose që planifikohen të ndërmerren në zonën e programit.</w:t>
      </w:r>
    </w:p>
    <w:p w14:paraId="014E4209"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Mbështetja që do të jepet në kuadër të këtij plani veprimi shumëvjeçar do të kontribuojë drejtpërdrejt dhe do të krijojë sinergji me prioritetet e Planit Ekonomik dhe të Investimeve</w:t>
      </w:r>
      <w:r w:rsidRPr="00A90756">
        <w:rPr>
          <w:rStyle w:val="Bodytext1"/>
          <w:rFonts w:ascii="Garamond" w:hAnsi="Garamond"/>
          <w:sz w:val="24"/>
          <w:szCs w:val="24"/>
          <w:vertAlign w:val="superscript"/>
        </w:rPr>
        <w:footnoteReference w:id="5"/>
      </w:r>
      <w:r w:rsidRPr="00A90756">
        <w:rPr>
          <w:rStyle w:val="Bodytext1"/>
          <w:rFonts w:ascii="Garamond" w:hAnsi="Garamond"/>
          <w:sz w:val="24"/>
          <w:szCs w:val="24"/>
        </w:rPr>
        <w:t xml:space="preserve"> dhe me Axhendën e Gjelbër</w:t>
      </w:r>
      <w:r w:rsidRPr="00A90756">
        <w:rPr>
          <w:rStyle w:val="Bodytext1"/>
          <w:rFonts w:ascii="Garamond" w:hAnsi="Garamond"/>
          <w:sz w:val="24"/>
          <w:szCs w:val="24"/>
          <w:vertAlign w:val="superscript"/>
        </w:rPr>
        <w:footnoteReference w:id="6"/>
      </w:r>
      <w:r w:rsidRPr="00A90756">
        <w:rPr>
          <w:rStyle w:val="Bodytext1"/>
          <w:rFonts w:ascii="Garamond" w:hAnsi="Garamond"/>
          <w:sz w:val="24"/>
          <w:szCs w:val="24"/>
        </w:rPr>
        <w:t xml:space="preserve"> për Ballkanin Perëndimor.</w:t>
      </w:r>
    </w:p>
    <w:p w14:paraId="014E420A" w14:textId="6D822200" w:rsidR="000D306C" w:rsidRPr="00A90756" w:rsidRDefault="000D306C" w:rsidP="000D306C">
      <w:pPr>
        <w:pStyle w:val="AAAATEXXX"/>
      </w:pPr>
      <w:bookmarkStart w:id="11" w:name="bookmark17"/>
      <w:bookmarkStart w:id="12" w:name="_Toc118696841"/>
      <w:r w:rsidRPr="00A90756">
        <w:rPr>
          <w:rStyle w:val="Heading21"/>
          <w:rFonts w:ascii="Garamond" w:hAnsi="Garamond"/>
          <w:bCs w:val="0"/>
        </w:rPr>
        <w:t>1.2 Përgatitja e programit dhe përfshirja e partnerëve</w:t>
      </w:r>
      <w:bookmarkEnd w:id="11"/>
      <w:bookmarkEnd w:id="12"/>
    </w:p>
    <w:p w14:paraId="014E420B" w14:textId="44432631"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Programi IPA III BNK 2021</w:t>
      </w:r>
      <w:r w:rsidR="002132A6" w:rsidRPr="00A90756">
        <w:rPr>
          <w:rStyle w:val="SubtleEmphasis"/>
          <w:rFonts w:ascii="Garamond" w:hAnsi="Garamond"/>
          <w:i w:val="0"/>
          <w:iCs w:val="0"/>
        </w:rPr>
        <w:t>–</w:t>
      </w:r>
      <w:r w:rsidRPr="00A90756">
        <w:rPr>
          <w:rStyle w:val="Bodytext1"/>
          <w:rFonts w:ascii="Garamond" w:hAnsi="Garamond"/>
          <w:sz w:val="24"/>
          <w:szCs w:val="24"/>
        </w:rPr>
        <w:t>2027</w:t>
      </w:r>
      <w:r w:rsidR="00DC0722" w:rsidRPr="00A90756">
        <w:rPr>
          <w:rStyle w:val="Bodytext1"/>
          <w:rFonts w:ascii="Garamond" w:hAnsi="Garamond"/>
          <w:sz w:val="24"/>
          <w:szCs w:val="24"/>
        </w:rPr>
        <w:t>,</w:t>
      </w:r>
      <w:r w:rsidRPr="00A90756">
        <w:rPr>
          <w:rStyle w:val="Bodytext1"/>
          <w:rFonts w:ascii="Garamond" w:hAnsi="Garamond"/>
          <w:sz w:val="24"/>
          <w:szCs w:val="24"/>
        </w:rPr>
        <w:t xml:space="preserve"> midis Malit të Zi dhe Shqipërisë</w:t>
      </w:r>
      <w:r w:rsidR="00DC0722" w:rsidRPr="00A90756">
        <w:rPr>
          <w:rStyle w:val="Bodytext1"/>
          <w:rFonts w:ascii="Garamond" w:hAnsi="Garamond"/>
          <w:sz w:val="24"/>
          <w:szCs w:val="24"/>
        </w:rPr>
        <w:t>,</w:t>
      </w:r>
      <w:r w:rsidRPr="00A90756">
        <w:rPr>
          <w:rStyle w:val="Bodytext1"/>
          <w:rFonts w:ascii="Garamond" w:hAnsi="Garamond"/>
          <w:sz w:val="24"/>
          <w:szCs w:val="24"/>
        </w:rPr>
        <w:t xml:space="preserve"> është rezultat i punës së përbashkët programuese, të kryer nga strukturat operative (SO) të vendeve pjesëmarrëse në koordinim me përfaqësues nga institucionet qendrore përkatëse, institucionet lokale të zonës së programit dhe organizatat lokale dhe me mbështetjen e projektit CBIB+3 dhe në koordinim të ngushtë me DG NEAR dhe DEU-t përkatëse. Një TFP është krijuar me të gjithë këta anëtarë nga të dyja vendet për të përgatitur këtë dokument programi nën udhëheqjen e SO-ve dhe me mbështetjen e Sekretariatit të Përbashkët Teknik (SPT). Qëllimi i SPT-së është të përgatisë planifikimin dhe programimin strategjik të IPA III BNK 2021</w:t>
      </w:r>
      <w:r w:rsidR="002132A6" w:rsidRPr="00A90756">
        <w:rPr>
          <w:rStyle w:val="SubtleEmphasis"/>
          <w:rFonts w:ascii="Garamond" w:hAnsi="Garamond"/>
          <w:i w:val="0"/>
          <w:iCs w:val="0"/>
        </w:rPr>
        <w:t>–</w:t>
      </w:r>
      <w:r w:rsidRPr="00A90756">
        <w:rPr>
          <w:rStyle w:val="Bodytext1"/>
          <w:rFonts w:ascii="Garamond" w:hAnsi="Garamond"/>
          <w:sz w:val="24"/>
          <w:szCs w:val="24"/>
        </w:rPr>
        <w:t xml:space="preserve">2027. Ai përbëhet nga ministritë e </w:t>
      </w:r>
      <w:r w:rsidRPr="00A90756">
        <w:rPr>
          <w:rStyle w:val="Bodytext1"/>
          <w:rFonts w:ascii="Garamond" w:hAnsi="Garamond"/>
          <w:sz w:val="24"/>
          <w:szCs w:val="24"/>
        </w:rPr>
        <w:lastRenderedPageBreak/>
        <w:t>linjës së të dyja vendeve, këshillat e rajoneve nga zonat e pranueshme dhe nga anëtarë të bashkive dhe përfaqësues të OSHC-ve. Gjithashtu janë mbledhur dhe janë analizuar burimet dytësore, duke përfshirë edhe statistikat në nivelet e BE-së, statistika kombëtare, rajonale dhe lokale. Studimet, vlerësimet, dokumentet strategjike dhe planet ekzistuese të veprimit në nivele sektoriale dhe territoriale dhe raportet mbi zbatimin e programit IPA II janë analizuar dhe informacioni përkatës është përfshirë në Analizën e Situatës.</w:t>
      </w:r>
    </w:p>
    <w:p w14:paraId="014E420C"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Procesi i programimit është zhvilluar nga fundi i prillit 2020 deri në korrik 2021. Më pas, programi është hartuar nëpërmjet një procesi konsultimi që përfshin aktorët lokalë dhe përfituesit e mundshëm nga të dyja anët e territorit të pranueshëm. Pyetësorët u hartuan nga ekipi CBIB+3 dhe u shpërndanë nga SO-të me mbështetjen e SPT-së tek institucionet në nivel qendror dhe lokal, si dhe te OSHC-të. Përgjigjet e mbledhura, së bashku me situatën dhe analizat SWOT, ndihmuan shumë në identifikimin e prioriteteve të përbashkëta për zonën ndërkufitare. Për më tepër, SO-të e Shqipërisë, të ndihmuara nga SPT-ja, organizuan një sërë takimesh me autoritetet vendore nga 8 bashkitë dhe 2 qarqet në zonën shqiptare të programit, pasi kishin shpërndarë pyetësorët mes tyre.</w:t>
      </w:r>
    </w:p>
    <w:p w14:paraId="014E420D" w14:textId="79090B68"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Siç ishte parashikuar, më 11 dhjetor 2020, filloi një konsultim publik në faqen e programit, në faqen e Zyrës së Integrimit Evropian të Malit të Zi, Ministrisë për Evropën dhe Punët e Jashtme të Shqipërisë, me afat për dorëzimin e komenteve 30 dhjetorin 2020. Për më tepër, drafti i parë i dokumentit të programit u dërgua në 534 adresa </w:t>
      </w:r>
      <w:r w:rsidRPr="00A90756">
        <w:rPr>
          <w:rStyle w:val="Bodytext1"/>
          <w:rFonts w:ascii="Garamond" w:hAnsi="Garamond"/>
          <w:i/>
          <w:sz w:val="24"/>
          <w:szCs w:val="24"/>
        </w:rPr>
        <w:t>email</w:t>
      </w:r>
      <w:r w:rsidR="002132A6" w:rsidRPr="00A90756">
        <w:rPr>
          <w:rStyle w:val="Bodytext1"/>
          <w:rFonts w:ascii="Garamond" w:hAnsi="Garamond"/>
          <w:sz w:val="24"/>
          <w:szCs w:val="24"/>
        </w:rPr>
        <w:t>-</w:t>
      </w:r>
      <w:r w:rsidRPr="00A90756">
        <w:rPr>
          <w:rStyle w:val="Bodytext1"/>
          <w:rFonts w:ascii="Garamond" w:hAnsi="Garamond"/>
          <w:sz w:val="24"/>
          <w:szCs w:val="24"/>
        </w:rPr>
        <w:t>i</w:t>
      </w:r>
      <w:r w:rsidR="00DC0722" w:rsidRPr="00A90756">
        <w:rPr>
          <w:rStyle w:val="Bodytext1"/>
          <w:rFonts w:ascii="Garamond" w:hAnsi="Garamond"/>
          <w:sz w:val="24"/>
          <w:szCs w:val="24"/>
        </w:rPr>
        <w:t>,</w:t>
      </w:r>
      <w:r w:rsidRPr="00A90756">
        <w:rPr>
          <w:rStyle w:val="Bodytext1"/>
          <w:rFonts w:ascii="Garamond" w:hAnsi="Garamond"/>
          <w:sz w:val="24"/>
          <w:szCs w:val="24"/>
        </w:rPr>
        <w:t xml:space="preserve"> që i përkasin bazës së të dhënave të programit të palëve të interesuara. Komentet janë shqyrtuar tërësisht dhe shumica e tyre janë përfshirë në draftdokumentin e programit.</w:t>
      </w:r>
    </w:p>
    <w:p w14:paraId="014E420E"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Gjatë procesit të programimit, konsultimet me anëtarët e TFP-së nga të dyja vendet pjesëmarrëse u bënë përmes shumë takimeve të mëdha dhe të vogla. Këta anëtarë dhanë të dhëna për analizimin e situatës, duke dhënë edhe komente mbi informacionet në seksione të veçanta. Meqenëse shumica e tyre përfaqësojnë organe të së drejtës publike në nivel qendror, rajonal dhe komunal, konsultimet programore brenda TFP-së duhet të shihen si kontributi më i rëndësishëm i ofruar nga autoritetet publike në të gjitha nivelet administrative. Për më tepër, këto organe luajtën një rol të rëndësishëm në renditjen e prioriteteve të programit kur iu përgjigjën pyetësorëve që shërbyen si material bazë për analizën SWOT të zonës së programit. Siç u theksua, Komuna e Kolashinit u vendos unanimisht të përfshihet në Zonën e Programit nga TFP-ja më 20 prill 2021, pas procesit të konsultimit të dhjetorit 2020.</w:t>
      </w:r>
    </w:p>
    <w:p w14:paraId="014E420F" w14:textId="03EB0B18"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përputhje me komentet e Komisionit për draftin e parë të dokumentit të programit, OS-të e mbështetura nga projekti CBIB+3 dhe ekspertët punuan për draftin e dytë gjatë prillit 2021. U mbajt një tjetër aktivitet trajnimi me përfaqësuesit e projektit PROMEL mbi logjikën e ndërhyrjes në program. Komentet e Komisionit për draftin e dytë u morën më pas në fillim të qershorit 2021 me një afat kohor për dorëzimin e një draftdokumenti të tretë programor deri më 16 korrik 2021.</w:t>
      </w:r>
      <w:r w:rsidR="00695949" w:rsidRPr="00A90756">
        <w:rPr>
          <w:rStyle w:val="Bodytext1"/>
          <w:rFonts w:ascii="Garamond" w:hAnsi="Garamond"/>
          <w:sz w:val="24"/>
          <w:szCs w:val="24"/>
        </w:rPr>
        <w:t xml:space="preserve"> </w:t>
      </w:r>
      <w:r w:rsidRPr="00A90756">
        <w:rPr>
          <w:rStyle w:val="Bodytext1"/>
          <w:rFonts w:ascii="Garamond" w:hAnsi="Garamond"/>
          <w:sz w:val="24"/>
          <w:szCs w:val="24"/>
        </w:rPr>
        <w:t>Pikat e rëndësishme, takimet dhe ngjarjet e tjera që ndodhën gjatë procesit të programimit janë paraqitur në tabelën 1.1.</w:t>
      </w:r>
    </w:p>
    <w:p w14:paraId="014E4210" w14:textId="77777777" w:rsidR="000D306C" w:rsidRPr="00A90756" w:rsidRDefault="000D306C" w:rsidP="000D306C">
      <w:pPr>
        <w:pStyle w:val="Tablecaption10"/>
        <w:ind w:firstLine="284"/>
        <w:rPr>
          <w:rStyle w:val="Tablecaption1"/>
          <w:rFonts w:ascii="Garamond" w:hAnsi="Garamond"/>
          <w:b/>
          <w:bCs/>
          <w:i/>
          <w:iCs/>
          <w:sz w:val="20"/>
          <w:szCs w:val="20"/>
        </w:rPr>
      </w:pPr>
    </w:p>
    <w:p w14:paraId="014E4211" w14:textId="47AC1498" w:rsidR="000D306C" w:rsidRPr="00A90756" w:rsidRDefault="000D306C" w:rsidP="000D306C">
      <w:pPr>
        <w:pStyle w:val="Tablecaption10"/>
        <w:ind w:firstLine="284"/>
        <w:rPr>
          <w:rFonts w:ascii="Garamond" w:hAnsi="Garamond"/>
          <w:sz w:val="20"/>
          <w:szCs w:val="20"/>
        </w:rPr>
      </w:pPr>
      <w:r w:rsidRPr="00A90756">
        <w:rPr>
          <w:rStyle w:val="Tablecaption1"/>
          <w:rFonts w:ascii="Garamond" w:hAnsi="Garamond"/>
          <w:bCs/>
          <w:i/>
          <w:iCs/>
          <w:sz w:val="20"/>
          <w:szCs w:val="20"/>
        </w:rPr>
        <w:t>Tabela 1.1</w:t>
      </w:r>
      <w:r w:rsidR="002132A6" w:rsidRPr="00A90756">
        <w:rPr>
          <w:rStyle w:val="Tablecaption1"/>
          <w:rFonts w:ascii="Garamond" w:hAnsi="Garamond"/>
          <w:bCs/>
          <w:i/>
          <w:iCs/>
          <w:sz w:val="20"/>
          <w:szCs w:val="20"/>
        </w:rPr>
        <w:t>:</w:t>
      </w:r>
      <w:r w:rsidRPr="00A90756">
        <w:rPr>
          <w:rStyle w:val="Tablecaption1"/>
          <w:rFonts w:ascii="Garamond" w:hAnsi="Garamond"/>
          <w:bCs/>
          <w:i/>
          <w:iCs/>
          <w:sz w:val="20"/>
          <w:szCs w:val="20"/>
        </w:rPr>
        <w:t xml:space="preserve"> Ngjarjet dhe momentet kryesore në procesin e programimit të BNK të IPA III ME-AL</w:t>
      </w:r>
    </w:p>
    <w:tbl>
      <w:tblPr>
        <w:tblOverlap w:val="never"/>
        <w:tblW w:w="5000" w:type="pct"/>
        <w:jc w:val="center"/>
        <w:tblCellMar>
          <w:left w:w="10" w:type="dxa"/>
          <w:right w:w="10" w:type="dxa"/>
        </w:tblCellMar>
        <w:tblLook w:val="04A0" w:firstRow="1" w:lastRow="0" w:firstColumn="1" w:lastColumn="0" w:noHBand="0" w:noVBand="1"/>
      </w:tblPr>
      <w:tblGrid>
        <w:gridCol w:w="1784"/>
        <w:gridCol w:w="7233"/>
      </w:tblGrid>
      <w:tr w:rsidR="000D306C" w:rsidRPr="00A90756" w14:paraId="014E4214" w14:textId="77777777" w:rsidTr="000D306C">
        <w:trPr>
          <w:trHeight w:val="20"/>
          <w:jc w:val="center"/>
        </w:trPr>
        <w:tc>
          <w:tcPr>
            <w:tcW w:w="989" w:type="pct"/>
            <w:tcBorders>
              <w:top w:val="single" w:sz="4" w:space="0" w:color="auto"/>
              <w:left w:val="single" w:sz="4" w:space="0" w:color="auto"/>
            </w:tcBorders>
            <w:shd w:val="clear" w:color="auto" w:fill="BDD0E8"/>
          </w:tcPr>
          <w:p w14:paraId="014E4212"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Koha dhe vendi</w:t>
            </w:r>
          </w:p>
        </w:tc>
        <w:tc>
          <w:tcPr>
            <w:tcW w:w="4011" w:type="pct"/>
            <w:tcBorders>
              <w:top w:val="single" w:sz="4" w:space="0" w:color="auto"/>
              <w:left w:val="single" w:sz="4" w:space="0" w:color="auto"/>
              <w:right w:val="single" w:sz="4" w:space="0" w:color="auto"/>
            </w:tcBorders>
            <w:shd w:val="clear" w:color="auto" w:fill="BDD0E8"/>
            <w:vAlign w:val="center"/>
          </w:tcPr>
          <w:p w14:paraId="014E4213"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Aktivitetet dhe fusha e veprimit</w:t>
            </w:r>
          </w:p>
        </w:tc>
      </w:tr>
      <w:tr w:rsidR="000D306C" w:rsidRPr="00A90756" w14:paraId="014E4217" w14:textId="77777777" w:rsidTr="000D306C">
        <w:trPr>
          <w:trHeight w:val="20"/>
          <w:jc w:val="center"/>
        </w:trPr>
        <w:tc>
          <w:tcPr>
            <w:tcW w:w="989" w:type="pct"/>
            <w:tcBorders>
              <w:top w:val="single" w:sz="4" w:space="0" w:color="auto"/>
              <w:left w:val="single" w:sz="4" w:space="0" w:color="auto"/>
            </w:tcBorders>
            <w:shd w:val="clear" w:color="auto" w:fill="D9D9D9"/>
          </w:tcPr>
          <w:p w14:paraId="014E4215"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22 prill 2020</w:t>
            </w:r>
          </w:p>
        </w:tc>
        <w:tc>
          <w:tcPr>
            <w:tcW w:w="4011" w:type="pct"/>
            <w:tcBorders>
              <w:top w:val="single" w:sz="4" w:space="0" w:color="auto"/>
              <w:left w:val="single" w:sz="4" w:space="0" w:color="auto"/>
              <w:right w:val="single" w:sz="4" w:space="0" w:color="auto"/>
            </w:tcBorders>
            <w:shd w:val="clear" w:color="auto" w:fill="auto"/>
            <w:vAlign w:val="bottom"/>
          </w:tcPr>
          <w:p w14:paraId="014E4216" w14:textId="632FDB5A"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Një letër nga Komisioni Evropian</w:t>
            </w:r>
            <w:r w:rsidR="00695949" w:rsidRPr="00A90756">
              <w:rPr>
                <w:rStyle w:val="Other1"/>
                <w:rFonts w:ascii="Garamond" w:hAnsi="Garamond"/>
                <w:sz w:val="16"/>
                <w:szCs w:val="16"/>
              </w:rPr>
              <w:t>,</w:t>
            </w:r>
            <w:r w:rsidRPr="00A90756">
              <w:rPr>
                <w:rStyle w:val="Other1"/>
                <w:rFonts w:ascii="Garamond" w:hAnsi="Garamond"/>
                <w:sz w:val="16"/>
                <w:szCs w:val="16"/>
              </w:rPr>
              <w:t xml:space="preserve"> në lidhje me IPA III dhe fillimin e procesit të programimit është marrë nga Zyra e NIPAC</w:t>
            </w:r>
          </w:p>
        </w:tc>
      </w:tr>
      <w:tr w:rsidR="000D306C" w:rsidRPr="00A90756" w14:paraId="014E421A" w14:textId="77777777" w:rsidTr="000D306C">
        <w:trPr>
          <w:trHeight w:val="20"/>
          <w:jc w:val="center"/>
        </w:trPr>
        <w:tc>
          <w:tcPr>
            <w:tcW w:w="989" w:type="pct"/>
            <w:tcBorders>
              <w:top w:val="single" w:sz="4" w:space="0" w:color="auto"/>
              <w:left w:val="single" w:sz="4" w:space="0" w:color="auto"/>
            </w:tcBorders>
            <w:shd w:val="clear" w:color="auto" w:fill="D9D9D9"/>
          </w:tcPr>
          <w:p w14:paraId="014E4218"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5 maj 2020</w:t>
            </w:r>
          </w:p>
        </w:tc>
        <w:tc>
          <w:tcPr>
            <w:tcW w:w="4011" w:type="pct"/>
            <w:tcBorders>
              <w:top w:val="single" w:sz="4" w:space="0" w:color="auto"/>
              <w:left w:val="single" w:sz="4" w:space="0" w:color="auto"/>
              <w:right w:val="single" w:sz="4" w:space="0" w:color="auto"/>
            </w:tcBorders>
            <w:shd w:val="clear" w:color="auto" w:fill="auto"/>
            <w:vAlign w:val="bottom"/>
          </w:tcPr>
          <w:p w14:paraId="014E4219" w14:textId="3DFF09CD"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Takimi fillestar midis OS-ve të Shqipërisë dhe CBIB+3 mbi procesin e programimit të BNK-së IPA III (hapat e kërkuar dhe draftplani i punës)</w:t>
            </w:r>
          </w:p>
        </w:tc>
      </w:tr>
      <w:tr w:rsidR="000D306C" w:rsidRPr="00A90756" w14:paraId="014E421D" w14:textId="77777777" w:rsidTr="000D306C">
        <w:trPr>
          <w:trHeight w:val="20"/>
          <w:jc w:val="center"/>
        </w:trPr>
        <w:tc>
          <w:tcPr>
            <w:tcW w:w="989" w:type="pct"/>
            <w:tcBorders>
              <w:top w:val="single" w:sz="4" w:space="0" w:color="auto"/>
              <w:left w:val="single" w:sz="4" w:space="0" w:color="auto"/>
            </w:tcBorders>
            <w:shd w:val="clear" w:color="auto" w:fill="D9D9D9"/>
          </w:tcPr>
          <w:p w14:paraId="014E421B"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6 maj 2020</w:t>
            </w:r>
          </w:p>
        </w:tc>
        <w:tc>
          <w:tcPr>
            <w:tcW w:w="4011" w:type="pct"/>
            <w:tcBorders>
              <w:top w:val="single" w:sz="4" w:space="0" w:color="auto"/>
              <w:left w:val="single" w:sz="4" w:space="0" w:color="auto"/>
              <w:right w:val="single" w:sz="4" w:space="0" w:color="auto"/>
            </w:tcBorders>
            <w:shd w:val="clear" w:color="auto" w:fill="auto"/>
            <w:vAlign w:val="bottom"/>
          </w:tcPr>
          <w:p w14:paraId="014E421C" w14:textId="7C27E2D9"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Takimi fillestar midis AL OS dhe CBIB+3 mbi procesin e programimit IPA III BNK (hapat e kërkuar dhe draftplani i punës)</w:t>
            </w:r>
          </w:p>
        </w:tc>
      </w:tr>
      <w:tr w:rsidR="000D306C" w:rsidRPr="00A90756" w14:paraId="014E4220"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1E"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Fundi i korrikut 2020</w:t>
            </w:r>
          </w:p>
        </w:tc>
        <w:tc>
          <w:tcPr>
            <w:tcW w:w="4011" w:type="pct"/>
            <w:tcBorders>
              <w:top w:val="single" w:sz="4" w:space="0" w:color="auto"/>
              <w:left w:val="single" w:sz="4" w:space="0" w:color="auto"/>
              <w:right w:val="single" w:sz="4" w:space="0" w:color="auto"/>
            </w:tcBorders>
            <w:shd w:val="clear" w:color="auto" w:fill="auto"/>
          </w:tcPr>
          <w:p w14:paraId="014E421F"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Fillimi i procesit të emërimit të anëtarëve të TFP-së</w:t>
            </w:r>
          </w:p>
        </w:tc>
      </w:tr>
      <w:tr w:rsidR="000D306C" w:rsidRPr="00A90756" w14:paraId="014E4223"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21" w14:textId="2D5F2A05"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4</w:t>
            </w:r>
            <w:r w:rsidR="004051B3" w:rsidRPr="00A90756">
              <w:rPr>
                <w:rStyle w:val="Other1"/>
                <w:rFonts w:ascii="Garamond" w:hAnsi="Garamond"/>
                <w:b/>
                <w:sz w:val="16"/>
                <w:szCs w:val="16"/>
              </w:rPr>
              <w:t>–</w:t>
            </w:r>
            <w:r w:rsidRPr="00A90756">
              <w:rPr>
                <w:rStyle w:val="Other1"/>
                <w:rFonts w:ascii="Garamond" w:hAnsi="Garamond"/>
                <w:b/>
                <w:sz w:val="16"/>
                <w:szCs w:val="16"/>
              </w:rPr>
              <w:t>7 gusht 2020</w:t>
            </w:r>
          </w:p>
        </w:tc>
        <w:tc>
          <w:tcPr>
            <w:tcW w:w="4011" w:type="pct"/>
            <w:tcBorders>
              <w:top w:val="single" w:sz="4" w:space="0" w:color="auto"/>
              <w:left w:val="single" w:sz="4" w:space="0" w:color="auto"/>
              <w:right w:val="single" w:sz="4" w:space="0" w:color="auto"/>
            </w:tcBorders>
            <w:shd w:val="clear" w:color="auto" w:fill="auto"/>
            <w:vAlign w:val="center"/>
          </w:tcPr>
          <w:p w14:paraId="014E4222"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SPT-ja u dërgon pyetësorët palëve përkatëse të interesit për BNK-në</w:t>
            </w:r>
          </w:p>
        </w:tc>
      </w:tr>
      <w:tr w:rsidR="000D306C" w:rsidRPr="00A90756" w14:paraId="014E4227" w14:textId="77777777" w:rsidTr="000D306C">
        <w:trPr>
          <w:trHeight w:val="20"/>
          <w:jc w:val="center"/>
        </w:trPr>
        <w:tc>
          <w:tcPr>
            <w:tcW w:w="989" w:type="pct"/>
            <w:tcBorders>
              <w:top w:val="single" w:sz="4" w:space="0" w:color="auto"/>
              <w:left w:val="single" w:sz="4" w:space="0" w:color="auto"/>
            </w:tcBorders>
            <w:shd w:val="clear" w:color="auto" w:fill="D9D9D9"/>
            <w:vAlign w:val="bottom"/>
          </w:tcPr>
          <w:p w14:paraId="014E4224" w14:textId="0318A2F2" w:rsidR="000D306C" w:rsidRPr="00A90756" w:rsidRDefault="000D306C" w:rsidP="00695949">
            <w:pPr>
              <w:pStyle w:val="Other10"/>
              <w:tabs>
                <w:tab w:val="left" w:pos="562"/>
              </w:tabs>
              <w:spacing w:after="0"/>
              <w:jc w:val="center"/>
              <w:rPr>
                <w:rFonts w:ascii="Garamond" w:hAnsi="Garamond"/>
                <w:b/>
                <w:sz w:val="16"/>
                <w:szCs w:val="16"/>
              </w:rPr>
            </w:pPr>
            <w:r w:rsidRPr="00A90756">
              <w:rPr>
                <w:rStyle w:val="Other1"/>
                <w:rFonts w:ascii="Garamond" w:hAnsi="Garamond"/>
                <w:b/>
                <w:sz w:val="16"/>
                <w:szCs w:val="16"/>
              </w:rPr>
              <w:t xml:space="preserve">Fundi </w:t>
            </w:r>
            <w:r w:rsidR="00695949" w:rsidRPr="00A90756">
              <w:rPr>
                <w:rStyle w:val="Other1"/>
                <w:rFonts w:ascii="Garamond" w:hAnsi="Garamond"/>
                <w:b/>
                <w:sz w:val="16"/>
                <w:szCs w:val="16"/>
              </w:rPr>
              <w:t xml:space="preserve">i </w:t>
            </w:r>
            <w:r w:rsidRPr="00A90756">
              <w:rPr>
                <w:rStyle w:val="Other1"/>
                <w:rFonts w:ascii="Garamond" w:hAnsi="Garamond"/>
                <w:b/>
                <w:sz w:val="16"/>
                <w:szCs w:val="16"/>
              </w:rPr>
              <w:t>gushtit</w:t>
            </w:r>
          </w:p>
          <w:p w14:paraId="014E4225"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2020</w:t>
            </w:r>
          </w:p>
        </w:tc>
        <w:tc>
          <w:tcPr>
            <w:tcW w:w="4011" w:type="pct"/>
            <w:tcBorders>
              <w:top w:val="single" w:sz="4" w:space="0" w:color="auto"/>
              <w:left w:val="single" w:sz="4" w:space="0" w:color="auto"/>
              <w:right w:val="single" w:sz="4" w:space="0" w:color="auto"/>
            </w:tcBorders>
            <w:shd w:val="clear" w:color="auto" w:fill="auto"/>
            <w:vAlign w:val="center"/>
          </w:tcPr>
          <w:p w14:paraId="014E422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Mobilizimi i ekspertit të programimit për këtë program</w:t>
            </w:r>
          </w:p>
        </w:tc>
      </w:tr>
      <w:tr w:rsidR="000D306C" w:rsidRPr="00A90756" w14:paraId="014E422A"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28" w14:textId="77777777" w:rsidR="000D306C" w:rsidRPr="00A90756" w:rsidRDefault="000D306C" w:rsidP="00695949">
            <w:pPr>
              <w:pStyle w:val="Other10"/>
              <w:tabs>
                <w:tab w:val="left" w:pos="557"/>
              </w:tabs>
              <w:spacing w:after="0"/>
              <w:jc w:val="center"/>
              <w:rPr>
                <w:rFonts w:ascii="Garamond" w:hAnsi="Garamond"/>
                <w:b/>
                <w:sz w:val="16"/>
                <w:szCs w:val="16"/>
              </w:rPr>
            </w:pPr>
            <w:r w:rsidRPr="00A90756">
              <w:rPr>
                <w:rStyle w:val="Other1"/>
                <w:rFonts w:ascii="Garamond" w:hAnsi="Garamond"/>
                <w:b/>
                <w:sz w:val="16"/>
                <w:szCs w:val="16"/>
              </w:rPr>
              <w:t>3 shtator 2020</w:t>
            </w:r>
          </w:p>
        </w:tc>
        <w:tc>
          <w:tcPr>
            <w:tcW w:w="4011" w:type="pct"/>
            <w:tcBorders>
              <w:top w:val="single" w:sz="4" w:space="0" w:color="auto"/>
              <w:left w:val="single" w:sz="4" w:space="0" w:color="auto"/>
              <w:right w:val="single" w:sz="4" w:space="0" w:color="auto"/>
            </w:tcBorders>
            <w:shd w:val="clear" w:color="auto" w:fill="auto"/>
            <w:vAlign w:val="center"/>
          </w:tcPr>
          <w:p w14:paraId="014E4229" w14:textId="461E5DD9"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AL OS takohet me përfaqësues të </w:t>
            </w:r>
            <w:r w:rsidR="00695949" w:rsidRPr="00A90756">
              <w:rPr>
                <w:rStyle w:val="Other1"/>
                <w:rFonts w:ascii="Garamond" w:hAnsi="Garamond"/>
                <w:sz w:val="16"/>
                <w:szCs w:val="16"/>
              </w:rPr>
              <w:t xml:space="preserve">Bashkisë </w:t>
            </w:r>
            <w:r w:rsidRPr="00A90756">
              <w:rPr>
                <w:rStyle w:val="Other1"/>
                <w:rFonts w:ascii="Garamond" w:hAnsi="Garamond"/>
                <w:sz w:val="16"/>
                <w:szCs w:val="16"/>
              </w:rPr>
              <w:t>Lezhë dhe të Këshillit të Qarkut Lezhë</w:t>
            </w:r>
          </w:p>
        </w:tc>
      </w:tr>
      <w:tr w:rsidR="000D306C" w:rsidRPr="00A90756" w14:paraId="014E422D"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2B" w14:textId="77777777" w:rsidR="000D306C" w:rsidRPr="00A90756" w:rsidRDefault="000D306C" w:rsidP="00695949">
            <w:pPr>
              <w:pStyle w:val="Other10"/>
              <w:tabs>
                <w:tab w:val="left" w:pos="566"/>
              </w:tabs>
              <w:spacing w:after="0"/>
              <w:jc w:val="center"/>
              <w:rPr>
                <w:rFonts w:ascii="Garamond" w:hAnsi="Garamond"/>
                <w:b/>
                <w:sz w:val="16"/>
                <w:szCs w:val="16"/>
              </w:rPr>
            </w:pPr>
            <w:r w:rsidRPr="00A90756">
              <w:rPr>
                <w:rStyle w:val="Other1"/>
                <w:rFonts w:ascii="Garamond" w:hAnsi="Garamond"/>
                <w:b/>
                <w:sz w:val="16"/>
                <w:szCs w:val="16"/>
              </w:rPr>
              <w:t>4 shtator 2020</w:t>
            </w:r>
          </w:p>
        </w:tc>
        <w:tc>
          <w:tcPr>
            <w:tcW w:w="4011" w:type="pct"/>
            <w:tcBorders>
              <w:top w:val="single" w:sz="4" w:space="0" w:color="auto"/>
              <w:left w:val="single" w:sz="4" w:space="0" w:color="auto"/>
              <w:right w:val="single" w:sz="4" w:space="0" w:color="auto"/>
            </w:tcBorders>
            <w:shd w:val="clear" w:color="auto" w:fill="auto"/>
            <w:vAlign w:val="center"/>
          </w:tcPr>
          <w:p w14:paraId="014E422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AL OS takohet me përfaqësues të bashkive Kurbin dhe Mirditë</w:t>
            </w:r>
          </w:p>
        </w:tc>
      </w:tr>
      <w:tr w:rsidR="000D306C" w:rsidRPr="00A90756" w14:paraId="014E4230"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2E" w14:textId="77777777" w:rsidR="000D306C" w:rsidRPr="00A90756" w:rsidRDefault="000D306C" w:rsidP="00695949">
            <w:pPr>
              <w:pStyle w:val="Other10"/>
              <w:tabs>
                <w:tab w:val="left" w:pos="562"/>
              </w:tabs>
              <w:spacing w:after="0"/>
              <w:jc w:val="center"/>
              <w:rPr>
                <w:rFonts w:ascii="Garamond" w:hAnsi="Garamond"/>
                <w:b/>
                <w:sz w:val="16"/>
                <w:szCs w:val="16"/>
              </w:rPr>
            </w:pPr>
            <w:r w:rsidRPr="00A90756">
              <w:rPr>
                <w:rStyle w:val="Other1"/>
                <w:rFonts w:ascii="Garamond" w:hAnsi="Garamond"/>
                <w:b/>
                <w:sz w:val="16"/>
                <w:szCs w:val="16"/>
              </w:rPr>
              <w:t>8 shtator 2020</w:t>
            </w:r>
          </w:p>
        </w:tc>
        <w:tc>
          <w:tcPr>
            <w:tcW w:w="4011" w:type="pct"/>
            <w:tcBorders>
              <w:top w:val="single" w:sz="4" w:space="0" w:color="auto"/>
              <w:left w:val="single" w:sz="4" w:space="0" w:color="auto"/>
              <w:right w:val="single" w:sz="4" w:space="0" w:color="auto"/>
            </w:tcBorders>
            <w:shd w:val="clear" w:color="auto" w:fill="auto"/>
            <w:vAlign w:val="center"/>
          </w:tcPr>
          <w:p w14:paraId="014E422F"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AL OS takohet me përfaqësues të bashkive V. Dejës, Pukë dhe F. Arrëz</w:t>
            </w:r>
          </w:p>
        </w:tc>
      </w:tr>
      <w:tr w:rsidR="000D306C" w:rsidRPr="00A90756" w14:paraId="014E4233"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31" w14:textId="77777777" w:rsidR="000D306C" w:rsidRPr="00A90756" w:rsidRDefault="000D306C" w:rsidP="00695949">
            <w:pPr>
              <w:pStyle w:val="Other10"/>
              <w:tabs>
                <w:tab w:val="left" w:pos="547"/>
              </w:tabs>
              <w:spacing w:after="0"/>
              <w:jc w:val="center"/>
              <w:rPr>
                <w:rFonts w:ascii="Garamond" w:hAnsi="Garamond"/>
                <w:b/>
                <w:sz w:val="16"/>
                <w:szCs w:val="16"/>
              </w:rPr>
            </w:pPr>
            <w:r w:rsidRPr="00A90756">
              <w:rPr>
                <w:rStyle w:val="Other1"/>
                <w:rFonts w:ascii="Garamond" w:hAnsi="Garamond"/>
                <w:b/>
                <w:sz w:val="16"/>
                <w:szCs w:val="16"/>
              </w:rPr>
              <w:t>11 shtator 2020</w:t>
            </w:r>
          </w:p>
        </w:tc>
        <w:tc>
          <w:tcPr>
            <w:tcW w:w="4011" w:type="pct"/>
            <w:tcBorders>
              <w:top w:val="single" w:sz="4" w:space="0" w:color="auto"/>
              <w:left w:val="single" w:sz="4" w:space="0" w:color="auto"/>
              <w:right w:val="single" w:sz="4" w:space="0" w:color="auto"/>
            </w:tcBorders>
            <w:shd w:val="clear" w:color="auto" w:fill="auto"/>
            <w:vAlign w:val="center"/>
          </w:tcPr>
          <w:p w14:paraId="014E4232" w14:textId="5376EA9A"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xml:space="preserve">AL OS takohet me përfaqësues të </w:t>
            </w:r>
            <w:r w:rsidR="004051B3" w:rsidRPr="00A90756">
              <w:rPr>
                <w:rStyle w:val="Other1"/>
                <w:rFonts w:ascii="Garamond" w:hAnsi="Garamond"/>
                <w:sz w:val="16"/>
                <w:szCs w:val="16"/>
              </w:rPr>
              <w:t xml:space="preserve">Bashkisë </w:t>
            </w:r>
            <w:r w:rsidRPr="00A90756">
              <w:rPr>
                <w:rStyle w:val="Other1"/>
                <w:rFonts w:ascii="Garamond" w:hAnsi="Garamond"/>
                <w:sz w:val="16"/>
                <w:szCs w:val="16"/>
              </w:rPr>
              <w:t>Tropojë</w:t>
            </w:r>
          </w:p>
        </w:tc>
      </w:tr>
      <w:tr w:rsidR="000D306C" w:rsidRPr="00A90756" w14:paraId="014E4236"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34" w14:textId="77777777" w:rsidR="000D306C" w:rsidRPr="00A90756" w:rsidRDefault="000D306C" w:rsidP="00695949">
            <w:pPr>
              <w:pStyle w:val="Other10"/>
              <w:tabs>
                <w:tab w:val="left" w:pos="547"/>
              </w:tabs>
              <w:spacing w:after="0"/>
              <w:jc w:val="center"/>
              <w:rPr>
                <w:rFonts w:ascii="Garamond" w:hAnsi="Garamond"/>
                <w:b/>
                <w:sz w:val="16"/>
                <w:szCs w:val="16"/>
              </w:rPr>
            </w:pPr>
            <w:r w:rsidRPr="00A90756">
              <w:rPr>
                <w:rStyle w:val="Other1"/>
                <w:rFonts w:ascii="Garamond" w:hAnsi="Garamond"/>
                <w:b/>
                <w:sz w:val="16"/>
                <w:szCs w:val="16"/>
              </w:rPr>
              <w:t>14 shtator 2020</w:t>
            </w:r>
          </w:p>
        </w:tc>
        <w:tc>
          <w:tcPr>
            <w:tcW w:w="4011" w:type="pct"/>
            <w:tcBorders>
              <w:top w:val="single" w:sz="4" w:space="0" w:color="auto"/>
              <w:left w:val="single" w:sz="4" w:space="0" w:color="auto"/>
              <w:right w:val="single" w:sz="4" w:space="0" w:color="auto"/>
            </w:tcBorders>
            <w:shd w:val="clear" w:color="auto" w:fill="auto"/>
            <w:vAlign w:val="center"/>
          </w:tcPr>
          <w:p w14:paraId="014E4235" w14:textId="36C1F5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AL OS takohet me përfaqësues të </w:t>
            </w:r>
            <w:r w:rsidR="004051B3" w:rsidRPr="00A90756">
              <w:rPr>
                <w:rStyle w:val="Other1"/>
                <w:rFonts w:ascii="Garamond" w:hAnsi="Garamond"/>
                <w:sz w:val="16"/>
                <w:szCs w:val="16"/>
              </w:rPr>
              <w:t xml:space="preserve">Bashkisë </w:t>
            </w:r>
            <w:r w:rsidRPr="00A90756">
              <w:rPr>
                <w:rStyle w:val="Other1"/>
                <w:rFonts w:ascii="Garamond" w:hAnsi="Garamond"/>
                <w:sz w:val="16"/>
                <w:szCs w:val="16"/>
              </w:rPr>
              <w:t>M. Madhe dhe të Këshillit të Qarkut Shkodër</w:t>
            </w:r>
          </w:p>
        </w:tc>
      </w:tr>
      <w:tr w:rsidR="000D306C" w:rsidRPr="00A90756" w14:paraId="014E4239"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37" w14:textId="77777777" w:rsidR="000D306C" w:rsidRPr="00A90756" w:rsidRDefault="000D306C" w:rsidP="00695949">
            <w:pPr>
              <w:pStyle w:val="Other10"/>
              <w:tabs>
                <w:tab w:val="left" w:pos="557"/>
              </w:tabs>
              <w:spacing w:after="0"/>
              <w:jc w:val="center"/>
              <w:rPr>
                <w:rFonts w:ascii="Garamond" w:hAnsi="Garamond"/>
                <w:b/>
                <w:sz w:val="16"/>
                <w:szCs w:val="16"/>
              </w:rPr>
            </w:pPr>
            <w:r w:rsidRPr="00A90756">
              <w:rPr>
                <w:rStyle w:val="Other1"/>
                <w:rFonts w:ascii="Garamond" w:hAnsi="Garamond"/>
                <w:b/>
                <w:sz w:val="16"/>
                <w:szCs w:val="16"/>
              </w:rPr>
              <w:t>23 shtator 2020</w:t>
            </w:r>
          </w:p>
        </w:tc>
        <w:tc>
          <w:tcPr>
            <w:tcW w:w="4011" w:type="pct"/>
            <w:tcBorders>
              <w:top w:val="single" w:sz="4" w:space="0" w:color="auto"/>
              <w:left w:val="single" w:sz="4" w:space="0" w:color="auto"/>
              <w:right w:val="single" w:sz="4" w:space="0" w:color="auto"/>
            </w:tcBorders>
            <w:shd w:val="clear" w:color="auto" w:fill="auto"/>
            <w:vAlign w:val="center"/>
          </w:tcPr>
          <w:p w14:paraId="014E4238"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Takimi </w:t>
            </w:r>
            <w:r w:rsidRPr="00A90756">
              <w:rPr>
                <w:rStyle w:val="Other1"/>
                <w:rFonts w:ascii="Garamond" w:hAnsi="Garamond"/>
                <w:i/>
                <w:sz w:val="16"/>
                <w:szCs w:val="16"/>
              </w:rPr>
              <w:t>online</w:t>
            </w:r>
            <w:r w:rsidRPr="00A90756">
              <w:rPr>
                <w:rStyle w:val="Other1"/>
                <w:rFonts w:ascii="Garamond" w:hAnsi="Garamond"/>
                <w:sz w:val="16"/>
                <w:szCs w:val="16"/>
              </w:rPr>
              <w:t xml:space="preserve"> me ekipin e CBIB+3 dhe ekspertët e programimit (ME</w:t>
            </w:r>
            <w:r w:rsidRPr="00A90756">
              <w:rPr>
                <w:rStyle w:val="Other1"/>
                <w:rFonts w:ascii="Garamond" w:hAnsi="Garamond"/>
                <w:sz w:val="16"/>
                <w:szCs w:val="16"/>
              </w:rPr>
              <w:softHyphen/>
              <w:t xml:space="preserve"> AL &amp; AL-KS)</w:t>
            </w:r>
          </w:p>
        </w:tc>
      </w:tr>
      <w:tr w:rsidR="000D306C" w:rsidRPr="00A90756" w14:paraId="014E423C"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3A" w14:textId="77777777" w:rsidR="000D306C" w:rsidRPr="00A90756" w:rsidRDefault="000D306C" w:rsidP="00695949">
            <w:pPr>
              <w:pStyle w:val="Other10"/>
              <w:tabs>
                <w:tab w:val="left" w:pos="557"/>
              </w:tabs>
              <w:spacing w:after="0"/>
              <w:jc w:val="center"/>
              <w:rPr>
                <w:rFonts w:ascii="Garamond" w:hAnsi="Garamond"/>
                <w:b/>
                <w:sz w:val="16"/>
                <w:szCs w:val="16"/>
              </w:rPr>
            </w:pPr>
            <w:r w:rsidRPr="00A90756">
              <w:rPr>
                <w:rStyle w:val="Other1"/>
                <w:rFonts w:ascii="Garamond" w:hAnsi="Garamond"/>
                <w:b/>
                <w:sz w:val="16"/>
                <w:szCs w:val="16"/>
              </w:rPr>
              <w:t>28 shtator 2020</w:t>
            </w:r>
          </w:p>
        </w:tc>
        <w:tc>
          <w:tcPr>
            <w:tcW w:w="4011" w:type="pct"/>
            <w:tcBorders>
              <w:top w:val="single" w:sz="4" w:space="0" w:color="auto"/>
              <w:left w:val="single" w:sz="4" w:space="0" w:color="auto"/>
              <w:right w:val="single" w:sz="4" w:space="0" w:color="auto"/>
            </w:tcBorders>
            <w:shd w:val="clear" w:color="auto" w:fill="auto"/>
            <w:vAlign w:val="bottom"/>
          </w:tcPr>
          <w:p w14:paraId="014E423B"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11 përgjigje nga pyetësorët e mbledhur iu dorëzuan ekspertit të programimit për elaborim dhe analizë të mëtejshme</w:t>
            </w:r>
          </w:p>
        </w:tc>
      </w:tr>
      <w:tr w:rsidR="000D306C" w:rsidRPr="00A90756" w14:paraId="014E423F" w14:textId="77777777" w:rsidTr="000D306C">
        <w:trPr>
          <w:trHeight w:val="20"/>
          <w:jc w:val="center"/>
        </w:trPr>
        <w:tc>
          <w:tcPr>
            <w:tcW w:w="989" w:type="pct"/>
            <w:tcBorders>
              <w:top w:val="single" w:sz="4" w:space="0" w:color="auto"/>
              <w:left w:val="single" w:sz="4" w:space="0" w:color="auto"/>
            </w:tcBorders>
            <w:shd w:val="clear" w:color="auto" w:fill="D9D9D9"/>
          </w:tcPr>
          <w:p w14:paraId="014E423D"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lastRenderedPageBreak/>
              <w:t>9 tetor 2020</w:t>
            </w:r>
          </w:p>
        </w:tc>
        <w:tc>
          <w:tcPr>
            <w:tcW w:w="4011" w:type="pct"/>
            <w:tcBorders>
              <w:top w:val="single" w:sz="4" w:space="0" w:color="auto"/>
              <w:left w:val="single" w:sz="4" w:space="0" w:color="auto"/>
              <w:right w:val="single" w:sz="4" w:space="0" w:color="auto"/>
            </w:tcBorders>
            <w:shd w:val="clear" w:color="auto" w:fill="auto"/>
            <w:vAlign w:val="bottom"/>
          </w:tcPr>
          <w:p w14:paraId="014E423E"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Uebinar </w:t>
            </w:r>
            <w:r w:rsidRPr="00A90756">
              <w:rPr>
                <w:rStyle w:val="Other1"/>
                <w:rFonts w:ascii="Garamond" w:hAnsi="Garamond"/>
                <w:i/>
                <w:sz w:val="16"/>
                <w:szCs w:val="16"/>
              </w:rPr>
              <w:t>online</w:t>
            </w:r>
            <w:r w:rsidRPr="00A90756">
              <w:rPr>
                <w:rStyle w:val="Other1"/>
                <w:rFonts w:ascii="Garamond" w:hAnsi="Garamond"/>
                <w:sz w:val="16"/>
                <w:szCs w:val="16"/>
              </w:rPr>
              <w:t xml:space="preserve"> i organizuar nga CBIB+ për formulimin dhe zhvillimin e strategjisë BNK IPA III për anëtarët shqiptarë të TFP-së.</w:t>
            </w:r>
          </w:p>
        </w:tc>
      </w:tr>
      <w:tr w:rsidR="000D306C" w:rsidRPr="00A90756" w14:paraId="014E4242"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40"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13 tetor 2020</w:t>
            </w:r>
          </w:p>
        </w:tc>
        <w:tc>
          <w:tcPr>
            <w:tcW w:w="4011" w:type="pct"/>
            <w:tcBorders>
              <w:top w:val="single" w:sz="4" w:space="0" w:color="auto"/>
              <w:left w:val="single" w:sz="4" w:space="0" w:color="auto"/>
              <w:right w:val="single" w:sz="4" w:space="0" w:color="auto"/>
            </w:tcBorders>
            <w:shd w:val="clear" w:color="auto" w:fill="auto"/>
            <w:vAlign w:val="bottom"/>
          </w:tcPr>
          <w:p w14:paraId="014E4241"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Uebinar </w:t>
            </w:r>
            <w:r w:rsidRPr="00A90756">
              <w:rPr>
                <w:rStyle w:val="Other1"/>
                <w:rFonts w:ascii="Garamond" w:hAnsi="Garamond"/>
                <w:i/>
                <w:sz w:val="16"/>
                <w:szCs w:val="16"/>
              </w:rPr>
              <w:t>online</w:t>
            </w:r>
            <w:r w:rsidRPr="00A90756">
              <w:rPr>
                <w:rStyle w:val="Other1"/>
                <w:rFonts w:ascii="Garamond" w:hAnsi="Garamond"/>
                <w:sz w:val="16"/>
                <w:szCs w:val="16"/>
              </w:rPr>
              <w:t xml:space="preserve"> i organizuar nga CBIB+ për formulimin dhe zhvillimin e strategjisë IPA III BNK për anëtarët malazezë të TFP, OS dhe stafin e SPT. Takimi vijues i OS-ve, ekipit të CBIB+3 dhe SPT-së mbi aspektet teknike të procesit të programimit.</w:t>
            </w:r>
          </w:p>
        </w:tc>
      </w:tr>
      <w:tr w:rsidR="000D306C" w:rsidRPr="00A90756" w14:paraId="014E4245" w14:textId="77777777" w:rsidTr="000D306C">
        <w:trPr>
          <w:trHeight w:val="20"/>
          <w:jc w:val="center"/>
        </w:trPr>
        <w:tc>
          <w:tcPr>
            <w:tcW w:w="989" w:type="pct"/>
            <w:tcBorders>
              <w:top w:val="single" w:sz="4" w:space="0" w:color="auto"/>
              <w:left w:val="single" w:sz="4" w:space="0" w:color="auto"/>
            </w:tcBorders>
            <w:shd w:val="clear" w:color="auto" w:fill="D9D9D9"/>
            <w:vAlign w:val="bottom"/>
          </w:tcPr>
          <w:p w14:paraId="014E4243"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29 tetor 2020</w:t>
            </w:r>
          </w:p>
        </w:tc>
        <w:tc>
          <w:tcPr>
            <w:tcW w:w="4011" w:type="pct"/>
            <w:tcBorders>
              <w:top w:val="single" w:sz="4" w:space="0" w:color="auto"/>
              <w:left w:val="single" w:sz="4" w:space="0" w:color="auto"/>
              <w:right w:val="single" w:sz="4" w:space="0" w:color="auto"/>
            </w:tcBorders>
            <w:shd w:val="clear" w:color="auto" w:fill="auto"/>
            <w:vAlign w:val="bottom"/>
          </w:tcPr>
          <w:p w14:paraId="014E4244"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Takimi i parë </w:t>
            </w:r>
            <w:r w:rsidRPr="00A90756">
              <w:rPr>
                <w:rStyle w:val="Other1"/>
                <w:rFonts w:ascii="Garamond" w:hAnsi="Garamond"/>
                <w:i/>
                <w:sz w:val="16"/>
                <w:szCs w:val="16"/>
              </w:rPr>
              <w:t>online</w:t>
            </w:r>
            <w:r w:rsidRPr="00A90756">
              <w:rPr>
                <w:rStyle w:val="Other1"/>
                <w:rFonts w:ascii="Garamond" w:hAnsi="Garamond"/>
                <w:sz w:val="16"/>
                <w:szCs w:val="16"/>
              </w:rPr>
              <w:t xml:space="preserve"> i TFP: rezultatet e pyetësorëve dhe prioritetet paraprake</w:t>
            </w:r>
          </w:p>
        </w:tc>
      </w:tr>
      <w:tr w:rsidR="000D306C" w:rsidRPr="00A90756" w14:paraId="014E4248" w14:textId="77777777" w:rsidTr="000D306C">
        <w:trPr>
          <w:trHeight w:val="20"/>
          <w:jc w:val="center"/>
        </w:trPr>
        <w:tc>
          <w:tcPr>
            <w:tcW w:w="989" w:type="pct"/>
            <w:tcBorders>
              <w:top w:val="single" w:sz="4" w:space="0" w:color="auto"/>
              <w:left w:val="single" w:sz="4" w:space="0" w:color="auto"/>
            </w:tcBorders>
            <w:shd w:val="clear" w:color="auto" w:fill="D9D9D9"/>
            <w:vAlign w:val="bottom"/>
          </w:tcPr>
          <w:p w14:paraId="014E4246" w14:textId="77777777" w:rsidR="000D306C" w:rsidRPr="00A90756" w:rsidRDefault="000D306C" w:rsidP="00695949">
            <w:pPr>
              <w:pStyle w:val="Other10"/>
              <w:tabs>
                <w:tab w:val="left" w:pos="624"/>
              </w:tabs>
              <w:spacing w:after="0"/>
              <w:jc w:val="center"/>
              <w:rPr>
                <w:rFonts w:ascii="Garamond" w:hAnsi="Garamond"/>
                <w:b/>
                <w:sz w:val="16"/>
                <w:szCs w:val="16"/>
              </w:rPr>
            </w:pPr>
            <w:r w:rsidRPr="00A90756">
              <w:rPr>
                <w:rStyle w:val="Other1"/>
                <w:rFonts w:ascii="Garamond" w:hAnsi="Garamond"/>
                <w:b/>
                <w:sz w:val="16"/>
                <w:szCs w:val="16"/>
              </w:rPr>
              <w:t>11 nëntor 2020</w:t>
            </w:r>
          </w:p>
        </w:tc>
        <w:tc>
          <w:tcPr>
            <w:tcW w:w="4011" w:type="pct"/>
            <w:tcBorders>
              <w:top w:val="single" w:sz="4" w:space="0" w:color="auto"/>
              <w:left w:val="single" w:sz="4" w:space="0" w:color="auto"/>
              <w:right w:val="single" w:sz="4" w:space="0" w:color="auto"/>
            </w:tcBorders>
            <w:shd w:val="clear" w:color="auto" w:fill="auto"/>
            <w:vAlign w:val="bottom"/>
          </w:tcPr>
          <w:p w14:paraId="014E4247" w14:textId="7A8A4DDE"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Takimi i 2-të i TFP-së </w:t>
            </w:r>
            <w:r w:rsidRPr="00A90756">
              <w:rPr>
                <w:rStyle w:val="Other1"/>
                <w:rFonts w:ascii="Garamond" w:hAnsi="Garamond"/>
                <w:i/>
                <w:sz w:val="16"/>
                <w:szCs w:val="16"/>
              </w:rPr>
              <w:t>online</w:t>
            </w:r>
            <w:r w:rsidRPr="00A90756">
              <w:rPr>
                <w:rStyle w:val="Other1"/>
                <w:rFonts w:ascii="Garamond" w:hAnsi="Garamond"/>
                <w:sz w:val="16"/>
                <w:szCs w:val="16"/>
              </w:rPr>
              <w:t>: analiza S</w:t>
            </w:r>
            <w:r w:rsidR="004051B3" w:rsidRPr="00A90756">
              <w:rPr>
                <w:rStyle w:val="Other1"/>
                <w:rFonts w:ascii="Garamond" w:hAnsi="Garamond"/>
                <w:sz w:val="16"/>
                <w:szCs w:val="16"/>
              </w:rPr>
              <w:t>W</w:t>
            </w:r>
            <w:r w:rsidRPr="00A90756">
              <w:rPr>
                <w:rStyle w:val="Other1"/>
                <w:rFonts w:ascii="Garamond" w:hAnsi="Garamond"/>
                <w:sz w:val="16"/>
                <w:szCs w:val="16"/>
              </w:rPr>
              <w:t>OT dhe prioritetet paraprake</w:t>
            </w:r>
          </w:p>
        </w:tc>
      </w:tr>
      <w:tr w:rsidR="000D306C" w:rsidRPr="00A90756" w14:paraId="014E424B"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49" w14:textId="77777777" w:rsidR="000D306C" w:rsidRPr="00A90756" w:rsidRDefault="000D306C" w:rsidP="00695949">
            <w:pPr>
              <w:pStyle w:val="Other10"/>
              <w:tabs>
                <w:tab w:val="left" w:pos="624"/>
              </w:tabs>
              <w:spacing w:after="0"/>
              <w:jc w:val="center"/>
              <w:rPr>
                <w:rFonts w:ascii="Garamond" w:hAnsi="Garamond"/>
                <w:b/>
                <w:sz w:val="16"/>
                <w:szCs w:val="16"/>
              </w:rPr>
            </w:pPr>
            <w:r w:rsidRPr="00A90756">
              <w:rPr>
                <w:rStyle w:val="Other1"/>
                <w:rFonts w:ascii="Garamond" w:hAnsi="Garamond"/>
                <w:b/>
                <w:sz w:val="16"/>
                <w:szCs w:val="16"/>
              </w:rPr>
              <w:t>19 nëntor 2020</w:t>
            </w:r>
          </w:p>
        </w:tc>
        <w:tc>
          <w:tcPr>
            <w:tcW w:w="4011" w:type="pct"/>
            <w:tcBorders>
              <w:top w:val="single" w:sz="4" w:space="0" w:color="auto"/>
              <w:left w:val="single" w:sz="4" w:space="0" w:color="auto"/>
              <w:right w:val="single" w:sz="4" w:space="0" w:color="auto"/>
            </w:tcBorders>
            <w:shd w:val="clear" w:color="auto" w:fill="auto"/>
            <w:vAlign w:val="bottom"/>
          </w:tcPr>
          <w:p w14:paraId="014E424A"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Takimi i 3-të i TFP-së në internet: diskutimi dhe miratimi i përzgjedhjes së prioriteteve bazuar në skenarët që rezultojnë nga analizat</w:t>
            </w:r>
          </w:p>
        </w:tc>
      </w:tr>
      <w:tr w:rsidR="000D306C" w:rsidRPr="00A90756" w14:paraId="014E424E"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4C" w14:textId="77777777" w:rsidR="000D306C" w:rsidRPr="00A90756" w:rsidRDefault="000D306C" w:rsidP="00695949">
            <w:pPr>
              <w:pStyle w:val="Other10"/>
              <w:tabs>
                <w:tab w:val="left" w:pos="638"/>
              </w:tabs>
              <w:spacing w:after="0"/>
              <w:jc w:val="center"/>
              <w:rPr>
                <w:rFonts w:ascii="Garamond" w:hAnsi="Garamond"/>
                <w:b/>
                <w:sz w:val="16"/>
                <w:szCs w:val="16"/>
              </w:rPr>
            </w:pPr>
            <w:r w:rsidRPr="00A90756">
              <w:rPr>
                <w:rStyle w:val="Other1"/>
                <w:rFonts w:ascii="Garamond" w:hAnsi="Garamond"/>
                <w:b/>
                <w:sz w:val="16"/>
                <w:szCs w:val="16"/>
              </w:rPr>
              <w:t>1 dhjetor 2020</w:t>
            </w:r>
          </w:p>
        </w:tc>
        <w:tc>
          <w:tcPr>
            <w:tcW w:w="4011" w:type="pct"/>
            <w:tcBorders>
              <w:top w:val="single" w:sz="4" w:space="0" w:color="auto"/>
              <w:left w:val="single" w:sz="4" w:space="0" w:color="auto"/>
              <w:right w:val="single" w:sz="4" w:space="0" w:color="auto"/>
            </w:tcBorders>
            <w:shd w:val="clear" w:color="auto" w:fill="auto"/>
            <w:vAlign w:val="center"/>
          </w:tcPr>
          <w:p w14:paraId="014E424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xml:space="preserve">Takimi i 4-të i TFP-së </w:t>
            </w:r>
            <w:r w:rsidRPr="00A90756">
              <w:rPr>
                <w:rStyle w:val="Other1"/>
                <w:rFonts w:ascii="Garamond" w:hAnsi="Garamond"/>
                <w:i/>
                <w:sz w:val="16"/>
                <w:szCs w:val="16"/>
              </w:rPr>
              <w:t>online</w:t>
            </w:r>
            <w:r w:rsidRPr="00A90756">
              <w:rPr>
                <w:rStyle w:val="Other1"/>
                <w:rFonts w:ascii="Garamond" w:hAnsi="Garamond"/>
                <w:sz w:val="16"/>
                <w:szCs w:val="16"/>
              </w:rPr>
              <w:t>: diskutimi dhe miratimi i strategjisë së programit</w:t>
            </w:r>
          </w:p>
        </w:tc>
      </w:tr>
      <w:tr w:rsidR="000D306C" w:rsidRPr="00A90756" w14:paraId="014E4251" w14:textId="77777777" w:rsidTr="000D306C">
        <w:trPr>
          <w:trHeight w:val="20"/>
          <w:jc w:val="center"/>
        </w:trPr>
        <w:tc>
          <w:tcPr>
            <w:tcW w:w="989" w:type="pct"/>
            <w:tcBorders>
              <w:top w:val="single" w:sz="4" w:space="0" w:color="auto"/>
              <w:left w:val="single" w:sz="4" w:space="0" w:color="auto"/>
            </w:tcBorders>
            <w:shd w:val="clear" w:color="auto" w:fill="D9D9D9"/>
            <w:vAlign w:val="bottom"/>
          </w:tcPr>
          <w:p w14:paraId="014E424F" w14:textId="77777777" w:rsidR="000D306C" w:rsidRPr="00A90756" w:rsidRDefault="000D306C" w:rsidP="00695949">
            <w:pPr>
              <w:pStyle w:val="Other10"/>
              <w:tabs>
                <w:tab w:val="left" w:pos="658"/>
              </w:tabs>
              <w:spacing w:after="0"/>
              <w:jc w:val="center"/>
              <w:rPr>
                <w:rFonts w:ascii="Garamond" w:hAnsi="Garamond"/>
                <w:b/>
                <w:sz w:val="16"/>
                <w:szCs w:val="16"/>
              </w:rPr>
            </w:pPr>
            <w:r w:rsidRPr="00A90756">
              <w:rPr>
                <w:rStyle w:val="Other1"/>
                <w:rFonts w:ascii="Garamond" w:hAnsi="Garamond"/>
                <w:b/>
                <w:sz w:val="16"/>
                <w:szCs w:val="16"/>
              </w:rPr>
              <w:t>4 dhjetor 2020</w:t>
            </w:r>
          </w:p>
        </w:tc>
        <w:tc>
          <w:tcPr>
            <w:tcW w:w="4011" w:type="pct"/>
            <w:tcBorders>
              <w:top w:val="single" w:sz="4" w:space="0" w:color="auto"/>
              <w:left w:val="single" w:sz="4" w:space="0" w:color="auto"/>
              <w:right w:val="single" w:sz="4" w:space="0" w:color="auto"/>
            </w:tcBorders>
            <w:shd w:val="clear" w:color="auto" w:fill="auto"/>
            <w:vAlign w:val="bottom"/>
          </w:tcPr>
          <w:p w14:paraId="014E4250"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Dorëzimi i draftit të parë të Dokumentit të Programit në Komisionin Evropian</w:t>
            </w:r>
          </w:p>
        </w:tc>
      </w:tr>
      <w:tr w:rsidR="000D306C" w:rsidRPr="00A90756" w14:paraId="014E4254" w14:textId="77777777" w:rsidTr="000D306C">
        <w:trPr>
          <w:trHeight w:val="20"/>
          <w:jc w:val="center"/>
        </w:trPr>
        <w:tc>
          <w:tcPr>
            <w:tcW w:w="989" w:type="pct"/>
            <w:tcBorders>
              <w:top w:val="single" w:sz="4" w:space="0" w:color="auto"/>
              <w:left w:val="single" w:sz="4" w:space="0" w:color="auto"/>
            </w:tcBorders>
            <w:shd w:val="clear" w:color="auto" w:fill="D9D9D9"/>
            <w:vAlign w:val="bottom"/>
          </w:tcPr>
          <w:p w14:paraId="014E4252" w14:textId="229DB30A" w:rsidR="000D306C" w:rsidRPr="00A90756" w:rsidRDefault="000D306C" w:rsidP="00695949">
            <w:pPr>
              <w:pStyle w:val="Other10"/>
              <w:tabs>
                <w:tab w:val="left" w:pos="710"/>
                <w:tab w:val="left" w:pos="1397"/>
              </w:tabs>
              <w:spacing w:after="0"/>
              <w:jc w:val="center"/>
              <w:rPr>
                <w:rFonts w:ascii="Garamond" w:hAnsi="Garamond"/>
                <w:b/>
                <w:sz w:val="16"/>
                <w:szCs w:val="16"/>
              </w:rPr>
            </w:pPr>
            <w:r w:rsidRPr="00A90756">
              <w:rPr>
                <w:rStyle w:val="Other1"/>
                <w:rFonts w:ascii="Garamond" w:hAnsi="Garamond"/>
                <w:b/>
                <w:sz w:val="16"/>
                <w:szCs w:val="16"/>
              </w:rPr>
              <w:t xml:space="preserve">11 deri </w:t>
            </w:r>
            <w:r w:rsidR="004051B3" w:rsidRPr="00A90756">
              <w:rPr>
                <w:rStyle w:val="Other1"/>
                <w:rFonts w:ascii="Garamond" w:hAnsi="Garamond"/>
                <w:b/>
                <w:sz w:val="16"/>
                <w:szCs w:val="16"/>
              </w:rPr>
              <w:t xml:space="preserve">Në </w:t>
            </w:r>
            <w:r w:rsidRPr="00A90756">
              <w:rPr>
                <w:rStyle w:val="Other1"/>
                <w:rFonts w:ascii="Garamond" w:hAnsi="Garamond"/>
                <w:b/>
                <w:sz w:val="16"/>
                <w:szCs w:val="16"/>
              </w:rPr>
              <w:t>30 dhjetor 2020</w:t>
            </w:r>
          </w:p>
        </w:tc>
        <w:tc>
          <w:tcPr>
            <w:tcW w:w="4011" w:type="pct"/>
            <w:tcBorders>
              <w:top w:val="single" w:sz="4" w:space="0" w:color="auto"/>
              <w:left w:val="single" w:sz="4" w:space="0" w:color="auto"/>
              <w:right w:val="single" w:sz="4" w:space="0" w:color="auto"/>
            </w:tcBorders>
            <w:shd w:val="clear" w:color="auto" w:fill="auto"/>
          </w:tcPr>
          <w:p w14:paraId="014E4253"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Konsultimi publik, nëpërmjet faqeve përkatëse të internetit (OS, JTS)</w:t>
            </w:r>
          </w:p>
        </w:tc>
      </w:tr>
      <w:tr w:rsidR="000D306C" w:rsidRPr="00A90756" w14:paraId="014E4257" w14:textId="77777777" w:rsidTr="000D306C">
        <w:trPr>
          <w:trHeight w:val="20"/>
          <w:jc w:val="center"/>
        </w:trPr>
        <w:tc>
          <w:tcPr>
            <w:tcW w:w="989" w:type="pct"/>
            <w:tcBorders>
              <w:top w:val="single" w:sz="4" w:space="0" w:color="auto"/>
              <w:left w:val="single" w:sz="4" w:space="0" w:color="auto"/>
            </w:tcBorders>
            <w:shd w:val="clear" w:color="auto" w:fill="D9D9D9"/>
            <w:vAlign w:val="center"/>
          </w:tcPr>
          <w:p w14:paraId="014E4255" w14:textId="77777777" w:rsidR="000D306C" w:rsidRPr="00A90756" w:rsidRDefault="000D306C" w:rsidP="00695949">
            <w:pPr>
              <w:pStyle w:val="Other10"/>
              <w:tabs>
                <w:tab w:val="left" w:pos="773"/>
              </w:tabs>
              <w:spacing w:after="0"/>
              <w:jc w:val="center"/>
              <w:rPr>
                <w:rFonts w:ascii="Garamond" w:hAnsi="Garamond"/>
                <w:b/>
                <w:sz w:val="16"/>
                <w:szCs w:val="16"/>
              </w:rPr>
            </w:pPr>
            <w:r w:rsidRPr="00A90756">
              <w:rPr>
                <w:rStyle w:val="Other1"/>
                <w:rFonts w:ascii="Garamond" w:hAnsi="Garamond"/>
                <w:b/>
                <w:sz w:val="16"/>
                <w:szCs w:val="16"/>
              </w:rPr>
              <w:t>23 shkurt 2021</w:t>
            </w:r>
          </w:p>
        </w:tc>
        <w:tc>
          <w:tcPr>
            <w:tcW w:w="4011" w:type="pct"/>
            <w:tcBorders>
              <w:top w:val="single" w:sz="4" w:space="0" w:color="auto"/>
              <w:left w:val="single" w:sz="4" w:space="0" w:color="auto"/>
              <w:right w:val="single" w:sz="4" w:space="0" w:color="auto"/>
            </w:tcBorders>
            <w:shd w:val="clear" w:color="auto" w:fill="auto"/>
            <w:vAlign w:val="bottom"/>
          </w:tcPr>
          <w:p w14:paraId="014E4256" w14:textId="77777777" w:rsidR="000D306C" w:rsidRPr="00A90756" w:rsidRDefault="000D306C" w:rsidP="000D306C">
            <w:pPr>
              <w:pStyle w:val="NoSpacing"/>
              <w:rPr>
                <w:rFonts w:ascii="Garamond" w:hAnsi="Garamond"/>
                <w:sz w:val="16"/>
                <w:szCs w:val="16"/>
                <w:lang w:val="sq-AL"/>
              </w:rPr>
            </w:pPr>
            <w:r w:rsidRPr="00A90756">
              <w:rPr>
                <w:rStyle w:val="Other1"/>
                <w:rFonts w:ascii="Garamond" w:hAnsi="Garamond"/>
                <w:sz w:val="16"/>
                <w:szCs w:val="16"/>
                <w:lang w:val="sq-AL"/>
              </w:rPr>
              <w:t>NIPAC në Mal të Zi merr zyrtarisht komentet e KE-së për draftin e parë të dorëzuar të dokumentit të programit</w:t>
            </w:r>
          </w:p>
        </w:tc>
      </w:tr>
      <w:tr w:rsidR="000D306C" w:rsidRPr="00A90756" w14:paraId="014E425A" w14:textId="77777777" w:rsidTr="000D306C">
        <w:trPr>
          <w:trHeight w:val="20"/>
          <w:jc w:val="center"/>
        </w:trPr>
        <w:tc>
          <w:tcPr>
            <w:tcW w:w="989" w:type="pct"/>
            <w:tcBorders>
              <w:top w:val="single" w:sz="4" w:space="0" w:color="auto"/>
              <w:left w:val="single" w:sz="4" w:space="0" w:color="auto"/>
              <w:bottom w:val="single" w:sz="4" w:space="0" w:color="auto"/>
            </w:tcBorders>
            <w:shd w:val="clear" w:color="auto" w:fill="D9D9D9"/>
            <w:vAlign w:val="bottom"/>
          </w:tcPr>
          <w:p w14:paraId="014E4258" w14:textId="77777777" w:rsidR="000D306C" w:rsidRPr="00A90756" w:rsidRDefault="000D306C" w:rsidP="00695949">
            <w:pPr>
              <w:pStyle w:val="Other10"/>
              <w:spacing w:after="0"/>
              <w:jc w:val="center"/>
              <w:rPr>
                <w:rFonts w:ascii="Garamond" w:hAnsi="Garamond"/>
                <w:b/>
                <w:sz w:val="16"/>
                <w:szCs w:val="16"/>
              </w:rPr>
            </w:pPr>
            <w:r w:rsidRPr="00A90756">
              <w:rPr>
                <w:rStyle w:val="Other1"/>
                <w:rFonts w:ascii="Garamond" w:hAnsi="Garamond"/>
                <w:b/>
                <w:sz w:val="16"/>
                <w:szCs w:val="16"/>
              </w:rPr>
              <w:t>10 mars 2021</w:t>
            </w:r>
          </w:p>
        </w:tc>
        <w:tc>
          <w:tcPr>
            <w:tcW w:w="4011" w:type="pct"/>
            <w:tcBorders>
              <w:top w:val="single" w:sz="4" w:space="0" w:color="auto"/>
              <w:left w:val="single" w:sz="4" w:space="0" w:color="auto"/>
              <w:bottom w:val="single" w:sz="4" w:space="0" w:color="auto"/>
              <w:right w:val="single" w:sz="4" w:space="0" w:color="auto"/>
            </w:tcBorders>
            <w:shd w:val="clear" w:color="auto" w:fill="auto"/>
            <w:vAlign w:val="bottom"/>
          </w:tcPr>
          <w:p w14:paraId="014E4259"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Takimi koordinues pas komenteve të pranuara të Komisionit</w:t>
            </w:r>
          </w:p>
        </w:tc>
      </w:tr>
    </w:tbl>
    <w:p w14:paraId="014E425C" w14:textId="77777777" w:rsidR="000D306C" w:rsidRPr="00A90756" w:rsidRDefault="000D306C" w:rsidP="002132A6">
      <w:pPr>
        <w:rPr>
          <w:rFonts w:ascii="Garamond" w:hAnsi="Garamond"/>
          <w:sz w:val="2"/>
          <w:szCs w:val="2"/>
        </w:rPr>
      </w:pPr>
    </w:p>
    <w:tbl>
      <w:tblPr>
        <w:tblOverlap w:val="never"/>
        <w:tblW w:w="5000" w:type="pct"/>
        <w:jc w:val="center"/>
        <w:tblCellMar>
          <w:left w:w="10" w:type="dxa"/>
          <w:right w:w="10" w:type="dxa"/>
        </w:tblCellMar>
        <w:tblLook w:val="04A0" w:firstRow="1" w:lastRow="0" w:firstColumn="1" w:lastColumn="0" w:noHBand="0" w:noVBand="1"/>
      </w:tblPr>
      <w:tblGrid>
        <w:gridCol w:w="1789"/>
        <w:gridCol w:w="7228"/>
      </w:tblGrid>
      <w:tr w:rsidR="000D306C" w:rsidRPr="00A90756" w14:paraId="014E425F" w14:textId="77777777" w:rsidTr="000D306C">
        <w:trPr>
          <w:trHeight w:val="20"/>
          <w:jc w:val="center"/>
        </w:trPr>
        <w:tc>
          <w:tcPr>
            <w:tcW w:w="992" w:type="pct"/>
            <w:tcBorders>
              <w:top w:val="single" w:sz="4" w:space="0" w:color="auto"/>
              <w:left w:val="single" w:sz="4" w:space="0" w:color="auto"/>
            </w:tcBorders>
            <w:shd w:val="clear" w:color="auto" w:fill="BDD0E8"/>
            <w:vAlign w:val="center"/>
          </w:tcPr>
          <w:p w14:paraId="014E425D" w14:textId="77777777" w:rsidR="000D306C" w:rsidRPr="00A90756" w:rsidRDefault="000D306C" w:rsidP="00601BD3">
            <w:pPr>
              <w:pStyle w:val="Other10"/>
              <w:spacing w:after="0"/>
              <w:rPr>
                <w:rFonts w:ascii="Garamond" w:hAnsi="Garamond"/>
                <w:sz w:val="16"/>
                <w:szCs w:val="16"/>
              </w:rPr>
            </w:pPr>
            <w:r w:rsidRPr="00A90756">
              <w:rPr>
                <w:rStyle w:val="Other1"/>
                <w:rFonts w:ascii="Garamond" w:hAnsi="Garamond"/>
                <w:b/>
                <w:bCs/>
                <w:sz w:val="16"/>
                <w:szCs w:val="16"/>
              </w:rPr>
              <w:t>Koha dhe vendi</w:t>
            </w:r>
          </w:p>
        </w:tc>
        <w:tc>
          <w:tcPr>
            <w:tcW w:w="4008" w:type="pct"/>
            <w:tcBorders>
              <w:top w:val="single" w:sz="4" w:space="0" w:color="auto"/>
              <w:left w:val="single" w:sz="4" w:space="0" w:color="auto"/>
              <w:right w:val="single" w:sz="4" w:space="0" w:color="auto"/>
            </w:tcBorders>
            <w:shd w:val="clear" w:color="auto" w:fill="BDD0E8"/>
            <w:vAlign w:val="center"/>
          </w:tcPr>
          <w:p w14:paraId="014E425E" w14:textId="77777777" w:rsidR="000D306C" w:rsidRPr="00A90756" w:rsidRDefault="000D306C" w:rsidP="00601BD3">
            <w:pPr>
              <w:pStyle w:val="Other10"/>
              <w:spacing w:after="0"/>
              <w:rPr>
                <w:rFonts w:ascii="Garamond" w:hAnsi="Garamond"/>
                <w:sz w:val="16"/>
                <w:szCs w:val="16"/>
              </w:rPr>
            </w:pPr>
            <w:r w:rsidRPr="00A90756">
              <w:rPr>
                <w:rStyle w:val="Other1"/>
                <w:rFonts w:ascii="Garamond" w:hAnsi="Garamond"/>
                <w:b/>
                <w:bCs/>
                <w:sz w:val="16"/>
                <w:szCs w:val="16"/>
              </w:rPr>
              <w:t>Aktivitetet dhe objekti</w:t>
            </w:r>
          </w:p>
        </w:tc>
      </w:tr>
      <w:tr w:rsidR="000D306C" w:rsidRPr="00A90756" w14:paraId="014E4262" w14:textId="77777777" w:rsidTr="000D306C">
        <w:trPr>
          <w:trHeight w:val="20"/>
          <w:jc w:val="center"/>
        </w:trPr>
        <w:tc>
          <w:tcPr>
            <w:tcW w:w="992" w:type="pct"/>
            <w:tcBorders>
              <w:top w:val="single" w:sz="4" w:space="0" w:color="auto"/>
              <w:left w:val="single" w:sz="4" w:space="0" w:color="auto"/>
            </w:tcBorders>
            <w:shd w:val="clear" w:color="auto" w:fill="D9D9D9"/>
          </w:tcPr>
          <w:p w14:paraId="014E4260"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12 mars 2021</w:t>
            </w:r>
          </w:p>
        </w:tc>
        <w:tc>
          <w:tcPr>
            <w:tcW w:w="4008" w:type="pct"/>
            <w:tcBorders>
              <w:top w:val="single" w:sz="4" w:space="0" w:color="auto"/>
              <w:left w:val="single" w:sz="4" w:space="0" w:color="auto"/>
              <w:right w:val="single" w:sz="4" w:space="0" w:color="auto"/>
            </w:tcBorders>
            <w:shd w:val="clear" w:color="auto" w:fill="auto"/>
            <w:vAlign w:val="bottom"/>
          </w:tcPr>
          <w:p w14:paraId="014E4261"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Aktivitet trajnimi mbi logjikën e ndërhyrjes së programit ME-AL, nga Promel</w:t>
            </w:r>
          </w:p>
        </w:tc>
      </w:tr>
      <w:tr w:rsidR="000D306C" w:rsidRPr="00A90756" w14:paraId="014E4265" w14:textId="77777777" w:rsidTr="000D306C">
        <w:trPr>
          <w:trHeight w:val="20"/>
          <w:jc w:val="center"/>
        </w:trPr>
        <w:tc>
          <w:tcPr>
            <w:tcW w:w="992" w:type="pct"/>
            <w:tcBorders>
              <w:top w:val="single" w:sz="4" w:space="0" w:color="auto"/>
              <w:left w:val="single" w:sz="4" w:space="0" w:color="auto"/>
            </w:tcBorders>
            <w:shd w:val="clear" w:color="auto" w:fill="D9D9D9"/>
            <w:vAlign w:val="bottom"/>
          </w:tcPr>
          <w:p w14:paraId="014E4263"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16 prill 2021</w:t>
            </w:r>
          </w:p>
        </w:tc>
        <w:tc>
          <w:tcPr>
            <w:tcW w:w="4008" w:type="pct"/>
            <w:tcBorders>
              <w:top w:val="single" w:sz="4" w:space="0" w:color="auto"/>
              <w:left w:val="single" w:sz="4" w:space="0" w:color="auto"/>
              <w:right w:val="single" w:sz="4" w:space="0" w:color="auto"/>
            </w:tcBorders>
            <w:shd w:val="clear" w:color="auto" w:fill="auto"/>
            <w:vAlign w:val="bottom"/>
          </w:tcPr>
          <w:p w14:paraId="014E4264" w14:textId="77777777" w:rsidR="000D306C" w:rsidRPr="00A90756" w:rsidRDefault="000D306C" w:rsidP="000D306C">
            <w:pPr>
              <w:pStyle w:val="NoSpacing"/>
              <w:rPr>
                <w:rFonts w:ascii="Garamond" w:hAnsi="Garamond"/>
                <w:sz w:val="16"/>
                <w:szCs w:val="16"/>
                <w:lang w:val="sq-AL"/>
              </w:rPr>
            </w:pPr>
            <w:r w:rsidRPr="00A90756">
              <w:rPr>
                <w:rStyle w:val="Other1"/>
                <w:rFonts w:ascii="Garamond" w:hAnsi="Garamond"/>
                <w:sz w:val="16"/>
                <w:szCs w:val="16"/>
                <w:lang w:val="sq-AL"/>
              </w:rPr>
              <w:t xml:space="preserve">Takimi koordinues për draftin e </w:t>
            </w:r>
            <w:r w:rsidRPr="00A90756">
              <w:rPr>
                <w:rFonts w:ascii="Garamond" w:eastAsia="Verdana" w:hAnsi="Garamond"/>
                <w:sz w:val="16"/>
                <w:szCs w:val="16"/>
                <w:lang w:val="sq-AL"/>
              </w:rPr>
              <w:t xml:space="preserve">dytë </w:t>
            </w:r>
            <w:r w:rsidRPr="00A90756">
              <w:rPr>
                <w:rStyle w:val="Other1"/>
                <w:rFonts w:ascii="Garamond" w:hAnsi="Garamond"/>
                <w:sz w:val="16"/>
                <w:szCs w:val="16"/>
                <w:lang w:val="sq-AL"/>
              </w:rPr>
              <w:t>të dokumentit të programit</w:t>
            </w:r>
          </w:p>
        </w:tc>
      </w:tr>
      <w:tr w:rsidR="000D306C" w:rsidRPr="00A90756" w14:paraId="014E4268" w14:textId="77777777" w:rsidTr="000D306C">
        <w:trPr>
          <w:trHeight w:val="20"/>
          <w:jc w:val="center"/>
        </w:trPr>
        <w:tc>
          <w:tcPr>
            <w:tcW w:w="992" w:type="pct"/>
            <w:tcBorders>
              <w:top w:val="single" w:sz="4" w:space="0" w:color="auto"/>
              <w:left w:val="single" w:sz="4" w:space="0" w:color="auto"/>
            </w:tcBorders>
            <w:shd w:val="clear" w:color="auto" w:fill="D9D9D9"/>
            <w:vAlign w:val="bottom"/>
          </w:tcPr>
          <w:p w14:paraId="014E4266"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20 prill 2021</w:t>
            </w:r>
          </w:p>
        </w:tc>
        <w:tc>
          <w:tcPr>
            <w:tcW w:w="4008" w:type="pct"/>
            <w:tcBorders>
              <w:top w:val="single" w:sz="4" w:space="0" w:color="auto"/>
              <w:left w:val="single" w:sz="4" w:space="0" w:color="auto"/>
              <w:right w:val="single" w:sz="4" w:space="0" w:color="auto"/>
            </w:tcBorders>
            <w:shd w:val="clear" w:color="auto" w:fill="auto"/>
            <w:vAlign w:val="bottom"/>
          </w:tcPr>
          <w:p w14:paraId="014E4267" w14:textId="77777777" w:rsidR="000D306C" w:rsidRPr="00A90756" w:rsidRDefault="000D306C" w:rsidP="000D306C">
            <w:pPr>
              <w:pStyle w:val="NoSpacing"/>
              <w:rPr>
                <w:rFonts w:ascii="Garamond" w:hAnsi="Garamond"/>
                <w:sz w:val="16"/>
                <w:szCs w:val="16"/>
                <w:lang w:val="sq-AL"/>
              </w:rPr>
            </w:pPr>
            <w:r w:rsidRPr="00A90756">
              <w:rPr>
                <w:rStyle w:val="Other1"/>
                <w:rFonts w:ascii="Garamond" w:hAnsi="Garamond"/>
                <w:sz w:val="16"/>
                <w:szCs w:val="16"/>
                <w:lang w:val="sq-AL"/>
              </w:rPr>
              <w:t xml:space="preserve">Takimi i 5-të i </w:t>
            </w:r>
            <w:r w:rsidRPr="00A90756">
              <w:rPr>
                <w:rFonts w:ascii="Garamond" w:eastAsia="Verdana" w:hAnsi="Garamond"/>
                <w:sz w:val="16"/>
                <w:szCs w:val="16"/>
                <w:lang w:val="sq-AL"/>
              </w:rPr>
              <w:t xml:space="preserve">TFP-së </w:t>
            </w:r>
            <w:r w:rsidRPr="00A90756">
              <w:rPr>
                <w:rStyle w:val="Other1"/>
                <w:rFonts w:ascii="Garamond" w:hAnsi="Garamond"/>
                <w:sz w:val="16"/>
                <w:szCs w:val="16"/>
                <w:lang w:val="sq-AL"/>
              </w:rPr>
              <w:t xml:space="preserve">për draftin e </w:t>
            </w:r>
            <w:r w:rsidRPr="00A90756">
              <w:rPr>
                <w:rFonts w:ascii="Garamond" w:eastAsia="Verdana" w:hAnsi="Garamond"/>
                <w:sz w:val="16"/>
                <w:szCs w:val="16"/>
                <w:lang w:val="sq-AL"/>
              </w:rPr>
              <w:t>dytë</w:t>
            </w:r>
            <w:r w:rsidRPr="00A90756">
              <w:rPr>
                <w:rStyle w:val="Other1"/>
                <w:rFonts w:ascii="Garamond" w:hAnsi="Garamond"/>
                <w:sz w:val="16"/>
                <w:szCs w:val="16"/>
                <w:lang w:val="sq-AL"/>
              </w:rPr>
              <w:t xml:space="preserve"> të dokumentit të programit</w:t>
            </w:r>
          </w:p>
        </w:tc>
      </w:tr>
      <w:tr w:rsidR="000D306C" w:rsidRPr="00A90756" w14:paraId="014E426B" w14:textId="77777777" w:rsidTr="000D306C">
        <w:trPr>
          <w:trHeight w:val="20"/>
          <w:jc w:val="center"/>
        </w:trPr>
        <w:tc>
          <w:tcPr>
            <w:tcW w:w="992" w:type="pct"/>
            <w:tcBorders>
              <w:top w:val="single" w:sz="4" w:space="0" w:color="auto"/>
              <w:left w:val="single" w:sz="4" w:space="0" w:color="auto"/>
            </w:tcBorders>
            <w:shd w:val="clear" w:color="auto" w:fill="D9D9D9"/>
            <w:vAlign w:val="center"/>
          </w:tcPr>
          <w:p w14:paraId="014E4269"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29 prill 2021</w:t>
            </w:r>
          </w:p>
        </w:tc>
        <w:tc>
          <w:tcPr>
            <w:tcW w:w="4008" w:type="pct"/>
            <w:tcBorders>
              <w:top w:val="single" w:sz="4" w:space="0" w:color="auto"/>
              <w:left w:val="single" w:sz="4" w:space="0" w:color="auto"/>
              <w:right w:val="single" w:sz="4" w:space="0" w:color="auto"/>
            </w:tcBorders>
            <w:shd w:val="clear" w:color="auto" w:fill="auto"/>
            <w:vAlign w:val="bottom"/>
          </w:tcPr>
          <w:p w14:paraId="014E426A" w14:textId="77777777" w:rsidR="000D306C" w:rsidRPr="00A90756" w:rsidRDefault="000D306C" w:rsidP="000D306C">
            <w:pPr>
              <w:pStyle w:val="NoSpacing"/>
              <w:rPr>
                <w:rFonts w:ascii="Garamond" w:hAnsi="Garamond"/>
                <w:sz w:val="16"/>
                <w:szCs w:val="16"/>
                <w:lang w:val="sq-AL"/>
              </w:rPr>
            </w:pPr>
            <w:r w:rsidRPr="00A90756">
              <w:rPr>
                <w:rStyle w:val="Other1"/>
                <w:rFonts w:ascii="Garamond" w:hAnsi="Garamond"/>
                <w:sz w:val="16"/>
                <w:szCs w:val="16"/>
                <w:lang w:val="sq-AL"/>
              </w:rPr>
              <w:t xml:space="preserve">Dorëzimi i draftit të </w:t>
            </w:r>
            <w:r w:rsidRPr="00A90756">
              <w:rPr>
                <w:rFonts w:ascii="Garamond" w:eastAsia="Verdana" w:hAnsi="Garamond"/>
                <w:sz w:val="16"/>
                <w:szCs w:val="16"/>
                <w:lang w:val="sq-AL"/>
              </w:rPr>
              <w:t>dytë</w:t>
            </w:r>
            <w:r w:rsidRPr="00A90756">
              <w:rPr>
                <w:rStyle w:val="Other1"/>
                <w:rFonts w:ascii="Garamond" w:hAnsi="Garamond"/>
                <w:sz w:val="16"/>
                <w:szCs w:val="16"/>
                <w:lang w:val="sq-AL"/>
              </w:rPr>
              <w:t xml:space="preserve"> të dokumentit të programit në Komisionin Evropian</w:t>
            </w:r>
          </w:p>
        </w:tc>
      </w:tr>
      <w:tr w:rsidR="000D306C" w:rsidRPr="00A90756" w14:paraId="014E426E" w14:textId="77777777" w:rsidTr="000D306C">
        <w:trPr>
          <w:trHeight w:val="20"/>
          <w:jc w:val="center"/>
        </w:trPr>
        <w:tc>
          <w:tcPr>
            <w:tcW w:w="992" w:type="pct"/>
            <w:tcBorders>
              <w:top w:val="single" w:sz="4" w:space="0" w:color="auto"/>
              <w:left w:val="single" w:sz="4" w:space="0" w:color="auto"/>
            </w:tcBorders>
            <w:shd w:val="clear" w:color="auto" w:fill="D9D9D9"/>
          </w:tcPr>
          <w:p w14:paraId="014E426C"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8 qershor 2021</w:t>
            </w:r>
          </w:p>
        </w:tc>
        <w:tc>
          <w:tcPr>
            <w:tcW w:w="4008" w:type="pct"/>
            <w:tcBorders>
              <w:top w:val="single" w:sz="4" w:space="0" w:color="auto"/>
              <w:left w:val="single" w:sz="4" w:space="0" w:color="auto"/>
              <w:right w:val="single" w:sz="4" w:space="0" w:color="auto"/>
            </w:tcBorders>
            <w:shd w:val="clear" w:color="auto" w:fill="auto"/>
            <w:vAlign w:val="bottom"/>
          </w:tcPr>
          <w:p w14:paraId="014E426D" w14:textId="77777777" w:rsidR="000D306C" w:rsidRPr="00A90756" w:rsidRDefault="000D306C" w:rsidP="000D306C">
            <w:pPr>
              <w:pStyle w:val="NoSpacing"/>
              <w:rPr>
                <w:rFonts w:ascii="Garamond" w:hAnsi="Garamond"/>
                <w:sz w:val="16"/>
                <w:szCs w:val="16"/>
                <w:lang w:val="sq-AL"/>
              </w:rPr>
            </w:pPr>
            <w:r w:rsidRPr="00A90756">
              <w:rPr>
                <w:rStyle w:val="Other1"/>
                <w:rFonts w:ascii="Garamond" w:hAnsi="Garamond"/>
                <w:sz w:val="16"/>
                <w:szCs w:val="16"/>
                <w:lang w:val="sq-AL"/>
              </w:rPr>
              <w:t xml:space="preserve">NIPAC në Mal të Zi merr jozyrtarisht komentet e Komisionit për draftin e </w:t>
            </w:r>
            <w:r w:rsidRPr="00A90756">
              <w:rPr>
                <w:rFonts w:ascii="Garamond" w:eastAsia="Verdana" w:hAnsi="Garamond"/>
                <w:sz w:val="16"/>
                <w:szCs w:val="16"/>
                <w:lang w:val="sq-AL"/>
              </w:rPr>
              <w:t>dytë</w:t>
            </w:r>
            <w:r w:rsidRPr="00A90756">
              <w:rPr>
                <w:rStyle w:val="Other1"/>
                <w:rFonts w:ascii="Garamond" w:hAnsi="Garamond"/>
                <w:sz w:val="16"/>
                <w:szCs w:val="16"/>
                <w:lang w:val="sq-AL"/>
              </w:rPr>
              <w:t xml:space="preserve"> të dorëzuar të dokumentit të programit</w:t>
            </w:r>
          </w:p>
        </w:tc>
      </w:tr>
      <w:tr w:rsidR="000D306C" w:rsidRPr="00A90756" w14:paraId="014E4271" w14:textId="77777777" w:rsidTr="000D306C">
        <w:trPr>
          <w:trHeight w:val="20"/>
          <w:jc w:val="center"/>
        </w:trPr>
        <w:tc>
          <w:tcPr>
            <w:tcW w:w="992" w:type="pct"/>
            <w:tcBorders>
              <w:top w:val="single" w:sz="4" w:space="0" w:color="auto"/>
              <w:left w:val="single" w:sz="4" w:space="0" w:color="auto"/>
            </w:tcBorders>
            <w:shd w:val="clear" w:color="auto" w:fill="D9D9D9"/>
            <w:vAlign w:val="bottom"/>
          </w:tcPr>
          <w:p w14:paraId="014E426F"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16 qershor 2021</w:t>
            </w:r>
          </w:p>
        </w:tc>
        <w:tc>
          <w:tcPr>
            <w:tcW w:w="4008" w:type="pct"/>
            <w:tcBorders>
              <w:top w:val="single" w:sz="4" w:space="0" w:color="auto"/>
              <w:left w:val="single" w:sz="4" w:space="0" w:color="auto"/>
              <w:right w:val="single" w:sz="4" w:space="0" w:color="auto"/>
            </w:tcBorders>
            <w:shd w:val="clear" w:color="auto" w:fill="auto"/>
            <w:vAlign w:val="bottom"/>
          </w:tcPr>
          <w:p w14:paraId="014E4270"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Takimi koordinues pas komenteve të pranuara të Komisionit</w:t>
            </w:r>
          </w:p>
        </w:tc>
      </w:tr>
      <w:tr w:rsidR="000D306C" w:rsidRPr="00A90756" w14:paraId="014E4275" w14:textId="77777777" w:rsidTr="000D306C">
        <w:trPr>
          <w:trHeight w:val="20"/>
          <w:jc w:val="center"/>
        </w:trPr>
        <w:tc>
          <w:tcPr>
            <w:tcW w:w="992" w:type="pct"/>
            <w:tcBorders>
              <w:top w:val="single" w:sz="4" w:space="0" w:color="auto"/>
              <w:left w:val="single" w:sz="4" w:space="0" w:color="auto"/>
            </w:tcBorders>
            <w:shd w:val="clear" w:color="auto" w:fill="D9D9D9"/>
            <w:vAlign w:val="bottom"/>
          </w:tcPr>
          <w:p w14:paraId="014E4272" w14:textId="58BDEBB0" w:rsidR="000D306C" w:rsidRPr="00A90756" w:rsidRDefault="000D306C" w:rsidP="004051B3">
            <w:pPr>
              <w:pStyle w:val="Other10"/>
              <w:tabs>
                <w:tab w:val="left" w:pos="1186"/>
              </w:tabs>
              <w:spacing w:after="0"/>
              <w:jc w:val="center"/>
              <w:rPr>
                <w:rFonts w:ascii="Garamond" w:hAnsi="Garamond"/>
                <w:b/>
                <w:sz w:val="16"/>
                <w:szCs w:val="16"/>
              </w:rPr>
            </w:pPr>
            <w:r w:rsidRPr="00A90756">
              <w:rPr>
                <w:rStyle w:val="Other1"/>
                <w:rFonts w:ascii="Garamond" w:hAnsi="Garamond"/>
                <w:b/>
                <w:sz w:val="16"/>
                <w:szCs w:val="16"/>
              </w:rPr>
              <w:t>21</w:t>
            </w:r>
            <w:r w:rsidR="004051B3" w:rsidRPr="00A90756">
              <w:rPr>
                <w:rStyle w:val="Other1"/>
                <w:rFonts w:ascii="Garamond" w:hAnsi="Garamond"/>
                <w:b/>
                <w:sz w:val="16"/>
                <w:szCs w:val="16"/>
              </w:rPr>
              <w:t>–</w:t>
            </w:r>
            <w:r w:rsidRPr="00A90756">
              <w:rPr>
                <w:rStyle w:val="Other1"/>
                <w:rFonts w:ascii="Garamond" w:hAnsi="Garamond"/>
                <w:b/>
                <w:sz w:val="16"/>
                <w:szCs w:val="16"/>
              </w:rPr>
              <w:t>29 qershor</w:t>
            </w:r>
          </w:p>
          <w:p w14:paraId="014E4273"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2021</w:t>
            </w:r>
          </w:p>
        </w:tc>
        <w:tc>
          <w:tcPr>
            <w:tcW w:w="4008" w:type="pct"/>
            <w:tcBorders>
              <w:top w:val="single" w:sz="4" w:space="0" w:color="auto"/>
              <w:left w:val="single" w:sz="4" w:space="0" w:color="auto"/>
              <w:right w:val="single" w:sz="4" w:space="0" w:color="auto"/>
            </w:tcBorders>
            <w:shd w:val="clear" w:color="auto" w:fill="auto"/>
            <w:vAlign w:val="bottom"/>
          </w:tcPr>
          <w:p w14:paraId="014E4274" w14:textId="77777777" w:rsidR="000D306C" w:rsidRPr="00A90756" w:rsidRDefault="000D306C" w:rsidP="000D306C">
            <w:pPr>
              <w:pStyle w:val="NoSpacing"/>
              <w:rPr>
                <w:rFonts w:ascii="Garamond" w:hAnsi="Garamond"/>
                <w:sz w:val="16"/>
                <w:szCs w:val="16"/>
                <w:lang w:val="sq-AL"/>
              </w:rPr>
            </w:pPr>
            <w:r w:rsidRPr="00A90756">
              <w:rPr>
                <w:rStyle w:val="Other1"/>
                <w:rFonts w:ascii="Garamond" w:hAnsi="Garamond"/>
                <w:sz w:val="16"/>
                <w:szCs w:val="16"/>
                <w:lang w:val="sq-AL"/>
              </w:rPr>
              <w:t xml:space="preserve">Procedura me shkrim për miratimin e draftit të </w:t>
            </w:r>
            <w:r w:rsidRPr="00A90756">
              <w:rPr>
                <w:rFonts w:ascii="Garamond" w:eastAsia="Verdana" w:hAnsi="Garamond"/>
                <w:sz w:val="16"/>
                <w:szCs w:val="16"/>
                <w:lang w:val="sq-AL"/>
              </w:rPr>
              <w:t xml:space="preserve">tretë </w:t>
            </w:r>
            <w:r w:rsidRPr="00A90756">
              <w:rPr>
                <w:rStyle w:val="Other1"/>
                <w:rFonts w:ascii="Garamond" w:hAnsi="Garamond"/>
                <w:sz w:val="16"/>
                <w:szCs w:val="16"/>
                <w:lang w:val="sq-AL"/>
              </w:rPr>
              <w:t>të dokumentit të programit nga TFP</w:t>
            </w:r>
          </w:p>
        </w:tc>
      </w:tr>
      <w:tr w:rsidR="000D306C" w:rsidRPr="00A90756" w14:paraId="014E4278" w14:textId="77777777" w:rsidTr="000D306C">
        <w:trPr>
          <w:trHeight w:val="20"/>
          <w:jc w:val="center"/>
        </w:trPr>
        <w:tc>
          <w:tcPr>
            <w:tcW w:w="992" w:type="pct"/>
            <w:tcBorders>
              <w:top w:val="single" w:sz="4" w:space="0" w:color="auto"/>
              <w:left w:val="single" w:sz="4" w:space="0" w:color="auto"/>
              <w:bottom w:val="single" w:sz="4" w:space="0" w:color="auto"/>
            </w:tcBorders>
            <w:shd w:val="clear" w:color="auto" w:fill="D9D9D9"/>
            <w:vAlign w:val="center"/>
          </w:tcPr>
          <w:p w14:paraId="014E4276" w14:textId="77777777" w:rsidR="000D306C" w:rsidRPr="00A90756" w:rsidRDefault="000D306C" w:rsidP="004051B3">
            <w:pPr>
              <w:pStyle w:val="Other10"/>
              <w:spacing w:after="0"/>
              <w:jc w:val="center"/>
              <w:rPr>
                <w:rFonts w:ascii="Garamond" w:hAnsi="Garamond"/>
                <w:b/>
                <w:sz w:val="16"/>
                <w:szCs w:val="16"/>
              </w:rPr>
            </w:pPr>
            <w:r w:rsidRPr="00A90756">
              <w:rPr>
                <w:rStyle w:val="Other1"/>
                <w:rFonts w:ascii="Garamond" w:hAnsi="Garamond"/>
                <w:b/>
                <w:sz w:val="16"/>
                <w:szCs w:val="16"/>
              </w:rPr>
              <w:t>16 korrik 2021</w:t>
            </w:r>
          </w:p>
        </w:tc>
        <w:tc>
          <w:tcPr>
            <w:tcW w:w="4008" w:type="pct"/>
            <w:tcBorders>
              <w:top w:val="single" w:sz="4" w:space="0" w:color="auto"/>
              <w:left w:val="single" w:sz="4" w:space="0" w:color="auto"/>
              <w:bottom w:val="single" w:sz="4" w:space="0" w:color="auto"/>
              <w:right w:val="single" w:sz="4" w:space="0" w:color="auto"/>
            </w:tcBorders>
            <w:shd w:val="clear" w:color="auto" w:fill="auto"/>
            <w:vAlign w:val="center"/>
          </w:tcPr>
          <w:p w14:paraId="014E4277"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Dorëzimi i draftit përfundimtar të dokumentit të programit në Komisionin</w:t>
            </w:r>
          </w:p>
        </w:tc>
      </w:tr>
    </w:tbl>
    <w:p w14:paraId="014E4279" w14:textId="77777777" w:rsidR="000D306C" w:rsidRPr="00A90756" w:rsidRDefault="000D306C" w:rsidP="000D306C">
      <w:pPr>
        <w:ind w:firstLine="284"/>
        <w:rPr>
          <w:rFonts w:ascii="Garamond" w:hAnsi="Garamond"/>
        </w:rPr>
      </w:pPr>
    </w:p>
    <w:p w14:paraId="014E427A" w14:textId="77777777" w:rsidR="000D306C" w:rsidRPr="00601BD3" w:rsidRDefault="000D306C" w:rsidP="000D306C">
      <w:pPr>
        <w:pStyle w:val="AAAATEXXX"/>
        <w:rPr>
          <w:rStyle w:val="Heading11"/>
          <w:rFonts w:ascii="Garamond" w:hAnsi="Garamond"/>
          <w:bCs w:val="0"/>
          <w:smallCaps w:val="0"/>
          <w:sz w:val="24"/>
          <w:szCs w:val="24"/>
        </w:rPr>
      </w:pPr>
      <w:bookmarkStart w:id="13" w:name="bookmark22"/>
      <w:bookmarkStart w:id="14" w:name="_Toc118696842"/>
      <w:r w:rsidRPr="00601BD3">
        <w:rPr>
          <w:rStyle w:val="Heading11"/>
          <w:rFonts w:ascii="Garamond" w:hAnsi="Garamond"/>
          <w:bCs w:val="0"/>
          <w:smallCaps w:val="0"/>
          <w:sz w:val="24"/>
          <w:szCs w:val="24"/>
        </w:rPr>
        <w:t>2. Zona e programit</w:t>
      </w:r>
      <w:bookmarkEnd w:id="13"/>
      <w:bookmarkEnd w:id="14"/>
    </w:p>
    <w:p w14:paraId="014E427B" w14:textId="0E3F0659" w:rsidR="000D306C" w:rsidRPr="00601BD3" w:rsidRDefault="000D306C" w:rsidP="000D306C">
      <w:pPr>
        <w:pStyle w:val="AAAATEXXX"/>
        <w:rPr>
          <w:rStyle w:val="Heading11"/>
          <w:rFonts w:ascii="Garamond" w:hAnsi="Garamond"/>
          <w:bCs w:val="0"/>
          <w:smallCaps w:val="0"/>
          <w:sz w:val="24"/>
          <w:szCs w:val="24"/>
        </w:rPr>
      </w:pPr>
      <w:r w:rsidRPr="00601BD3">
        <w:rPr>
          <w:rStyle w:val="Heading11"/>
          <w:rFonts w:ascii="Garamond" w:hAnsi="Garamond"/>
          <w:smallCaps w:val="0"/>
          <w:sz w:val="24"/>
          <w:szCs w:val="24"/>
        </w:rPr>
        <w:t xml:space="preserve">2.1 Analiza e </w:t>
      </w:r>
      <w:r w:rsidR="004051B3" w:rsidRPr="00601BD3">
        <w:rPr>
          <w:rStyle w:val="Heading11"/>
          <w:rFonts w:ascii="Garamond" w:hAnsi="Garamond"/>
          <w:smallCaps w:val="0"/>
          <w:sz w:val="24"/>
          <w:szCs w:val="24"/>
        </w:rPr>
        <w:t>s</w:t>
      </w:r>
      <w:r w:rsidRPr="00601BD3">
        <w:rPr>
          <w:rStyle w:val="Heading11"/>
          <w:rFonts w:ascii="Garamond" w:hAnsi="Garamond"/>
          <w:smallCaps w:val="0"/>
          <w:sz w:val="24"/>
          <w:szCs w:val="24"/>
        </w:rPr>
        <w:t>ituatës</w:t>
      </w:r>
      <w:r w:rsidR="008731D7" w:rsidRPr="00601BD3">
        <w:rPr>
          <w:rStyle w:val="Heading11"/>
          <w:rFonts w:ascii="Garamond" w:hAnsi="Garamond"/>
          <w:bCs w:val="0"/>
          <w:smallCaps w:val="0"/>
          <w:sz w:val="24"/>
          <w:szCs w:val="24"/>
        </w:rPr>
        <w:t xml:space="preserve"> </w:t>
      </w:r>
    </w:p>
    <w:p w14:paraId="014E427C" w14:textId="77777777" w:rsidR="000D306C" w:rsidRPr="00A90756" w:rsidRDefault="000D306C" w:rsidP="000D306C">
      <w:pPr>
        <w:pStyle w:val="AAAATEXXX"/>
      </w:pPr>
    </w:p>
    <w:p w14:paraId="014E427D" w14:textId="77777777" w:rsidR="000D306C" w:rsidRPr="00A90756" w:rsidRDefault="000D306C" w:rsidP="000D306C">
      <w:pPr>
        <w:pStyle w:val="NoSpacing"/>
        <w:ind w:firstLine="284"/>
        <w:jc w:val="both"/>
        <w:rPr>
          <w:rStyle w:val="Bodytext1"/>
          <w:rFonts w:ascii="Garamond" w:hAnsi="Garamond"/>
          <w:sz w:val="24"/>
          <w:szCs w:val="24"/>
          <w:lang w:val="sq-AL"/>
        </w:rPr>
      </w:pPr>
      <w:r w:rsidRPr="00A90756">
        <w:rPr>
          <w:rStyle w:val="Bodytext1"/>
          <w:rFonts w:ascii="Garamond" w:hAnsi="Garamond"/>
          <w:noProof/>
          <w:sz w:val="24"/>
          <w:szCs w:val="24"/>
          <w:lang w:val="sq-AL"/>
        </w:rPr>
        <w:drawing>
          <wp:inline distT="0" distB="0" distL="0" distR="0" wp14:anchorId="014E4A0D" wp14:editId="014E4A0E">
            <wp:extent cx="2483124" cy="279779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1731" cy="2841291"/>
                    </a:xfrm>
                    <a:prstGeom prst="rect">
                      <a:avLst/>
                    </a:prstGeom>
                    <a:noFill/>
                  </pic:spPr>
                </pic:pic>
              </a:graphicData>
            </a:graphic>
          </wp:inline>
        </w:drawing>
      </w:r>
    </w:p>
    <w:p w14:paraId="014E427E" w14:textId="77777777" w:rsidR="000D306C" w:rsidRPr="00A90756" w:rsidRDefault="000D306C" w:rsidP="000D306C">
      <w:pPr>
        <w:pStyle w:val="NoSpacing"/>
        <w:ind w:firstLine="284"/>
        <w:jc w:val="both"/>
        <w:rPr>
          <w:rStyle w:val="Bodytext1"/>
          <w:rFonts w:ascii="Garamond" w:hAnsi="Garamond"/>
          <w:sz w:val="24"/>
          <w:szCs w:val="24"/>
          <w:lang w:val="sq-AL"/>
        </w:rPr>
      </w:pPr>
    </w:p>
    <w:p w14:paraId="014E427F" w14:textId="1F687100" w:rsidR="000D306C" w:rsidRPr="00A90756" w:rsidRDefault="000D306C" w:rsidP="000D306C">
      <w:pPr>
        <w:pStyle w:val="NoSpacing"/>
        <w:ind w:firstLine="284"/>
        <w:jc w:val="both"/>
        <w:rPr>
          <w:rStyle w:val="Bodytext1"/>
          <w:rFonts w:ascii="Garamond" w:hAnsi="Garamond"/>
          <w:sz w:val="24"/>
          <w:szCs w:val="24"/>
          <w:lang w:val="sq-AL"/>
        </w:rPr>
      </w:pPr>
      <w:r w:rsidRPr="00A90756">
        <w:rPr>
          <w:rStyle w:val="Bodytext1"/>
          <w:rFonts w:ascii="Garamond" w:hAnsi="Garamond"/>
          <w:sz w:val="24"/>
          <w:szCs w:val="24"/>
          <w:lang w:val="sq-AL"/>
        </w:rPr>
        <w:t>Zona e programit të bashkëpunimit ndërkufitar në kuadrin e programit IPA III</w:t>
      </w:r>
      <w:r w:rsidRPr="00A90756">
        <w:rPr>
          <w:rStyle w:val="Bodytext1"/>
          <w:rFonts w:ascii="Garamond" w:hAnsi="Garamond"/>
          <w:sz w:val="24"/>
          <w:szCs w:val="24"/>
          <w:lang w:val="sq-AL"/>
        </w:rPr>
        <w:softHyphen/>
        <w:t xml:space="preserve"> midis Malit të Zi dhe Shqipërisë zë një territor prej 12.781 km². Zona e programit ka ndryshuar me përfshirjen e komunës së Kolashinit në program. Territori i zonës së programit është pak më i madh në Mal të Zi</w:t>
      </w:r>
      <w:r w:rsidR="00CF5E62" w:rsidRPr="00A90756">
        <w:rPr>
          <w:rStyle w:val="Bodytext1"/>
          <w:rFonts w:ascii="Garamond" w:hAnsi="Garamond"/>
          <w:sz w:val="24"/>
          <w:szCs w:val="24"/>
          <w:lang w:val="sq-AL"/>
        </w:rPr>
        <w:t>,</w:t>
      </w:r>
      <w:r w:rsidRPr="00A90756">
        <w:rPr>
          <w:rStyle w:val="Bodytext1"/>
          <w:rFonts w:ascii="Garamond" w:hAnsi="Garamond"/>
          <w:sz w:val="24"/>
          <w:szCs w:val="24"/>
          <w:lang w:val="sq-AL"/>
        </w:rPr>
        <w:t xml:space="preserve"> duke zënë rreth 52% kundrejt 48% në Shqipëri. Gjatësia e vijës kufitare është 244 km nga të cilat 38 km janë kufij ujorë të përbërë nga liqeni i Shkodrës, deti Adriatik dhe disa lumenj. Janë tre pika operative të kalimit kufitar tokësor dhe një </w:t>
      </w:r>
      <w:r w:rsidRPr="00A90756">
        <w:rPr>
          <w:rFonts w:ascii="Garamond" w:eastAsia="Verdana" w:hAnsi="Garamond"/>
          <w:lang w:val="sq-AL"/>
        </w:rPr>
        <w:t>e katërta</w:t>
      </w:r>
      <w:r w:rsidRPr="00A90756">
        <w:rPr>
          <w:rStyle w:val="Bodytext1"/>
          <w:rFonts w:ascii="Garamond" w:hAnsi="Garamond"/>
          <w:sz w:val="24"/>
          <w:szCs w:val="24"/>
          <w:lang w:val="sq-AL"/>
        </w:rPr>
        <w:t xml:space="preserve"> në ndërtim e sipër. Zona e programit e Malit të Zi mbulon 14 komuna: Kolashin, Andrijevica, Berane, Plavë, Gusinje, Petnjica, Rozhaje, Podgoricë, kryeqytetin e Malit të Zi, Tuzi, Cetinja, Danilovgradi, Budva, Ulqin dhe Tivar. Zona e programit të Shqipërisë mbulon qarqet e Shkodrës (që përfshin bashkitë Shkodër, Malësi e Madhe, Vau i Dejës, Pukë dhe Fushë-Arrës), dhe Lezhë (bashkitë Lezhë, Mirditë dhe Kurbin) dhe </w:t>
      </w:r>
      <w:r w:rsidR="00CF5E62" w:rsidRPr="00A90756">
        <w:rPr>
          <w:rStyle w:val="Bodytext1"/>
          <w:rFonts w:ascii="Garamond" w:hAnsi="Garamond"/>
          <w:sz w:val="24"/>
          <w:szCs w:val="24"/>
          <w:lang w:val="sq-AL"/>
        </w:rPr>
        <w:t xml:space="preserve">Bashkinë </w:t>
      </w:r>
      <w:r w:rsidRPr="00A90756">
        <w:rPr>
          <w:rStyle w:val="Bodytext1"/>
          <w:rFonts w:ascii="Garamond" w:hAnsi="Garamond"/>
          <w:sz w:val="24"/>
          <w:szCs w:val="24"/>
          <w:lang w:val="sq-AL"/>
        </w:rPr>
        <w:t xml:space="preserve">e Tropojës. Zona e programit ka 23 komuna me gjithsej 1305 vendbanime, duke </w:t>
      </w:r>
      <w:r w:rsidRPr="00A90756">
        <w:rPr>
          <w:rStyle w:val="Bodytext1"/>
          <w:rFonts w:ascii="Garamond" w:hAnsi="Garamond"/>
          <w:sz w:val="24"/>
          <w:szCs w:val="24"/>
          <w:lang w:val="sq-AL"/>
        </w:rPr>
        <w:lastRenderedPageBreak/>
        <w:t xml:space="preserve">përfshirë qytetet dhe fshatrat. </w:t>
      </w:r>
    </w:p>
    <w:p w14:paraId="014E4280" w14:textId="04C3CDF7" w:rsidR="000D306C" w:rsidRPr="00A90756" w:rsidRDefault="000D306C" w:rsidP="000D306C">
      <w:pPr>
        <w:pStyle w:val="NoSpacing"/>
        <w:ind w:firstLine="284"/>
        <w:jc w:val="both"/>
        <w:rPr>
          <w:rFonts w:ascii="Garamond" w:hAnsi="Garamond"/>
          <w:lang w:val="sq-AL"/>
        </w:rPr>
      </w:pPr>
      <w:r w:rsidRPr="00A90756">
        <w:rPr>
          <w:rStyle w:val="Bodytext1"/>
          <w:rFonts w:ascii="Garamond" w:hAnsi="Garamond"/>
          <w:sz w:val="24"/>
          <w:szCs w:val="24"/>
          <w:lang w:val="sq-AL"/>
        </w:rPr>
        <w:t>Procesi i hartimit të prioriteteve dhe nevojave për programin BNK të IPA III për periudhën 2021–2027 përfshin një analizë të plotë të situatës lokale dhe një analizë SWOT. Kjo analizë tregon se nevojat dhe prioritetet e rajonit lokal nuk kanë ndryshuar në mënyrë thelbësore nga Programi BNK i IPA II. Raportet e Komisionit Evropian për vendet e Politikës së Zgjerimit të BE-së vënë në dukje përparime në zhvillimin në Mal të Zi dhe në Shqipëri. Konkurrenca e biznesit dhe prodhimi bujqësor mbeten ende të ulëta, papunësia mbetet relativisht e lartë, niveli arsimor i pabarabartë dhe potenciali i lartë turistik dhe mbrojtja e mjedisit në rajonin ndërkufitar ende kërkon zhvillim të konsiderueshëm, ku mund të kontribuojnë prioritetet tematike dhe specifike të përcaktuara në programi</w:t>
      </w:r>
      <w:r w:rsidR="00CF5E62" w:rsidRPr="00A90756">
        <w:rPr>
          <w:rStyle w:val="Bodytext1"/>
          <w:rFonts w:ascii="Garamond" w:hAnsi="Garamond"/>
          <w:sz w:val="24"/>
          <w:szCs w:val="24"/>
          <w:lang w:val="sq-AL"/>
        </w:rPr>
        <w:t>n</w:t>
      </w:r>
      <w:r w:rsidRPr="00A90756">
        <w:rPr>
          <w:rStyle w:val="Bodytext1"/>
          <w:rFonts w:ascii="Garamond" w:hAnsi="Garamond"/>
          <w:sz w:val="24"/>
          <w:szCs w:val="24"/>
          <w:lang w:val="sq-AL"/>
        </w:rPr>
        <w:t xml:space="preserve"> operacional.</w:t>
      </w:r>
    </w:p>
    <w:p w14:paraId="014E4281" w14:textId="19BA90E7"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Rritja e turizmit, si një nga prioritetet tematike të përzgjedhura, do</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shërbejë forcimit të ekonomive vendase. Më tej, raportet e vendit vënë në dukje nevojën për masa më cilësore punësimi që synojnë të rinjtë, gratë, minoritetet dhe punëkërkuesit e tjerë, si dhe intensifikimin e përpjekjeve në zbatimin e mbrojtjes sociale, veçanërisht për grupet vulnerabël dhe për forcimin e kapaciteteve dhe burimeve të qeverisjes vendore. Për më tepër, nevojiten ende përpjekje të konsiderueshme për zbatimin e masave mjedisore, kryesisht në menaxhimin e mbetjeve, cilësinë e ujit, mbrojtjen e natyrës dhe ndryshimet klimatike.</w:t>
      </w:r>
    </w:p>
    <w:p w14:paraId="014E4282" w14:textId="6F7759E3"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Dokumentet e Strategjisë Indikative të Rishikuara 2014</w:t>
      </w:r>
      <w:r w:rsidR="002132A6" w:rsidRPr="00A90756">
        <w:rPr>
          <w:rStyle w:val="SubtleEmphasis"/>
          <w:rFonts w:ascii="Garamond" w:hAnsi="Garamond"/>
          <w:i w:val="0"/>
          <w:iCs w:val="0"/>
        </w:rPr>
        <w:t>–</w:t>
      </w:r>
      <w:r w:rsidRPr="00A90756">
        <w:rPr>
          <w:rStyle w:val="Bodytext1"/>
          <w:rFonts w:ascii="Garamond" w:hAnsi="Garamond"/>
          <w:sz w:val="24"/>
          <w:szCs w:val="24"/>
        </w:rPr>
        <w:t>2020 për Malin e Zi</w:t>
      </w:r>
      <w:r w:rsidRPr="00A90756">
        <w:rPr>
          <w:rStyle w:val="FootnoteReference"/>
          <w:rFonts w:ascii="Garamond" w:hAnsi="Garamond"/>
          <w:sz w:val="24"/>
          <w:szCs w:val="24"/>
        </w:rPr>
        <w:footnoteReference w:id="7"/>
      </w:r>
      <w:r w:rsidRPr="00A90756">
        <w:rPr>
          <w:rStyle w:val="Bodytext1"/>
          <w:rFonts w:ascii="Garamond" w:hAnsi="Garamond"/>
          <w:sz w:val="24"/>
          <w:szCs w:val="24"/>
        </w:rPr>
        <w:t xml:space="preserve"> dhe Shqipërinë</w:t>
      </w:r>
      <w:r w:rsidRPr="00A90756">
        <w:rPr>
          <w:rStyle w:val="FootnoteReference"/>
          <w:rFonts w:ascii="Garamond" w:hAnsi="Garamond"/>
          <w:sz w:val="24"/>
          <w:szCs w:val="24"/>
        </w:rPr>
        <w:footnoteReference w:id="8"/>
      </w:r>
      <w:r w:rsidRPr="00A90756">
        <w:rPr>
          <w:rStyle w:val="Bodytext1"/>
          <w:rFonts w:ascii="Garamond" w:hAnsi="Garamond"/>
          <w:sz w:val="24"/>
          <w:szCs w:val="24"/>
        </w:rPr>
        <w:t>, të publikuara në vitin 2018 tregojnë se nevojat e synuara nga Programi BNK i IPA-s janë ende të rëndësishme për zonën kufitare. Gjithashtu në këtë dokument, analiza e nevojave për Malin e Zi tregon se papunësia e lartë paraqet një problem të rëndësishëm për vendin, ndërsa për Shqipërinë kjo konfirmon se turizmi ende përballet me sfida që lidhen me mungesën e aftësive të profesionistëve të turizmit dhe me aksesin e ulët të shërbimeve turistike, me mungesën e një oferte të qëndrueshme natyrore dhe kulturore, si dhe me koordinimin dhe planifikimin e dobët në këtë sektor. Për më tepër, një përafrim më i mirë i rezultateve arsimore me nevojat e tregut të punës mbetet një sfidë kryesore për vendin.</w:t>
      </w:r>
    </w:p>
    <w:p w14:paraId="014E4283"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Një mësim i nxjerrë nga programi i mëparshëm (IPA II) identifikoi se jo të gjitha aspektet e një prioriteti specifik tematik ishin trajtuar dhe rezultatet ishin më të ulëta se sa pritej. Kjo diktoi nevojën për të vlerësuar progresin drejt treguesve të përcaktuar të programit përpara fillimit të thirrjes për propozime.</w:t>
      </w:r>
    </w:p>
    <w:p w14:paraId="014E4284" w14:textId="44765BD6"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Të gjitha këto gjetje dhe rekomandime merren parasysh gjatë përgatitjes së këtij draftdokumenti përmes përzgjedhjes së prioriteteve tematike përkatëse.</w:t>
      </w:r>
      <w:bookmarkStart w:id="15" w:name="bookmark25"/>
      <w:bookmarkStart w:id="16" w:name="_Toc118696843"/>
    </w:p>
    <w:p w14:paraId="014E4285"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Gjeografia</w:t>
      </w:r>
      <w:bookmarkEnd w:id="15"/>
      <w:bookmarkEnd w:id="16"/>
    </w:p>
    <w:p w14:paraId="014E4286" w14:textId="77777777"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Zona e programit është zona ku ndodhen disa parqe kombëtare, zona të mbrojtura dhe peizazhe që ilustrojnë një biodiversitet të pasur, por shumë të ndjeshëm ndaj ndryshimeve mjedisore. Zona e programit në Mal të Zi karakterizohet nga dallime të rëndësishme rajonale. Ka një profil të larmishëm gjeografik dhe klimatik, të ngarkuar me vargmale, fusha, lugina, lumenj, laguna dhe liqene. Zona e programit në Shqipëri paraqet kontraste të mprehta pasi alternon malet, kodrat, lumenjtë, liqenet dhe bregdetin e detit shumë afër njëri-tjetrit. Siç u sugjerua gjatë konsultimit publik, komuna e Kolashinit është strehëz e një shumëllojshmërie të pasur peizazhesh dhe relievesh (lumenj, male të larta dhe liqene akullnajore).</w:t>
      </w:r>
      <w:bookmarkStart w:id="17" w:name="bookmark28"/>
      <w:bookmarkStart w:id="18" w:name="_Toc118696844"/>
    </w:p>
    <w:p w14:paraId="014E4287"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Demografia</w:t>
      </w:r>
      <w:bookmarkEnd w:id="17"/>
      <w:bookmarkEnd w:id="18"/>
    </w:p>
    <w:p w14:paraId="014E4288" w14:textId="19AF60C0"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Popullsia që jeton në zonën e programit është 754.190 banorë dhe përbën rreth 64,91% të popullsisë së përgjithshme të Malit të Zi dhe 12,31% të popullsisë së Shqipërisë. Nga ana tjetër, popullsia në zonën e programit të Malit të Zi përbën 403.730 banorë ose 53,6%, kurse shqiptarët janë 350.460 banorë ose 46,4% e totalit të zonës së programit. Podgorica ka popullsinë më të madhe si në vend, ashtu edhe në zonën e programit brenda ME</w:t>
      </w:r>
      <w:r w:rsidR="00D102AF" w:rsidRPr="00A90756">
        <w:rPr>
          <w:rStyle w:val="Bodytext1"/>
          <w:rFonts w:ascii="Garamond" w:hAnsi="Garamond"/>
          <w:sz w:val="24"/>
          <w:szCs w:val="24"/>
        </w:rPr>
        <w:t>-së</w:t>
      </w:r>
      <w:r w:rsidRPr="00A90756">
        <w:rPr>
          <w:rStyle w:val="Bodytext1"/>
          <w:rFonts w:ascii="Garamond" w:hAnsi="Garamond"/>
          <w:sz w:val="24"/>
          <w:szCs w:val="24"/>
        </w:rPr>
        <w:t>.</w:t>
      </w:r>
      <w:bookmarkStart w:id="19" w:name="bookmark31"/>
      <w:bookmarkStart w:id="20" w:name="_Toc118696845"/>
    </w:p>
    <w:p w14:paraId="014E4289"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lastRenderedPageBreak/>
        <w:t>Migrimi dhe dendësia</w:t>
      </w:r>
      <w:bookmarkEnd w:id="19"/>
      <w:bookmarkEnd w:id="20"/>
    </w:p>
    <w:p w14:paraId="014E428A" w14:textId="77777777"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Zona e programit e të dyja vendeve ka përjetuar flukse të brendshme migrimi. Një lëvizje e popullsisë drejt rajoneve qendrore dhe bregdetare, të cilat janë gjerësisht më të zhvilluara dhe ofrojnë më shumë mundësi socio-ekonomike, si dhe nga qendrat rurale në ato urbane, është e pranishme në zonën e programit. Emigrantët e brendshëm vendosen në qytete në kërkim të punësimit, veçanërisht në sektorët e turizmit dhe ndërtimit. Dendësia më e ulët e popullsisë, distancat e gjata për lëvizje dhe disponueshmëria e dobët e objekteve sociale rrisin vështirësitë e njerëzve që banojnë në zonat rurale.</w:t>
      </w:r>
      <w:bookmarkStart w:id="21" w:name="bookmark34"/>
      <w:bookmarkStart w:id="22" w:name="_Toc118696846"/>
    </w:p>
    <w:p w14:paraId="014E428B"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Varfëria</w:t>
      </w:r>
      <w:bookmarkEnd w:id="21"/>
      <w:bookmarkEnd w:id="22"/>
    </w:p>
    <w:p w14:paraId="014E428C"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Mal të Zi pabarazitë rajonale janë të dukshme – varfëria është më e dukshme në rajonet veriore dhe zvogëlohet ndjeshëm drejt jugut në rajonet qendrore dhe bregdetare. Rritja e shkallës së varfërisë është shumë më e theksuar në zonat rurale, 35,6% krahasuar me zonat urbane ku ishte 17,3% në vitin 2018. Rajonet në zonën e programit të Shqipërisë janë më të varfra krahasuar me mesataren kombëtare të shkallës së varfërisë (14,3%). Qarku i Lezhës regjistron një normë varfërie prej 17.5%, ndërsa qarku i Shkodrës është pak më i mirë me një normë varfërie 15.7%. Varfëria është kthyer në një shqetësim urban, duke treguar një ecuri të ngadaltë të ekonomisë gjatë viteve të fundit, ndërkohë që është bërë imperativ rigjallërimi i potencialit urban tashmë të shteruar për të udhëhequr rritjen ekonomike.</w:t>
      </w:r>
    </w:p>
    <w:p w14:paraId="014E428D" w14:textId="7790F823" w:rsidR="000D306C" w:rsidRPr="00A90756" w:rsidRDefault="000D306C" w:rsidP="000D306C">
      <w:pPr>
        <w:pStyle w:val="Bodytext10"/>
        <w:spacing w:after="0"/>
        <w:ind w:firstLine="284"/>
        <w:jc w:val="both"/>
        <w:rPr>
          <w:rStyle w:val="Bodytext1"/>
          <w:rFonts w:ascii="Garamond" w:hAnsi="Garamond" w:cs="Arial"/>
          <w:sz w:val="24"/>
          <w:szCs w:val="24"/>
        </w:rPr>
      </w:pPr>
      <w:r w:rsidRPr="00A90756">
        <w:rPr>
          <w:rStyle w:val="Bodytext1"/>
          <w:rFonts w:ascii="Garamond" w:hAnsi="Garamond" w:cs="Arial"/>
          <w:sz w:val="24"/>
          <w:szCs w:val="24"/>
        </w:rPr>
        <w:t>Gjatë kohës së hartimit të programit, ashtu si dhe pjesa tjetër e botës, Mali i Zi dhe Shqipëria u prekën në shumë fusha ekonomike dhe sociale nga pandemia e COVID-19. Kriza vijuese ka ekspozuar kufijtë e tolerancës fiskale të Malit të Zi dhe shkallën e lartë të c</w:t>
      </w:r>
      <w:r w:rsidR="002132A6" w:rsidRPr="00A90756">
        <w:rPr>
          <w:rStyle w:val="Bodytext1"/>
          <w:rFonts w:ascii="Garamond" w:hAnsi="Garamond" w:cs="Arial"/>
          <w:sz w:val="24"/>
          <w:szCs w:val="24"/>
        </w:rPr>
        <w:t>e</w:t>
      </w:r>
      <w:r w:rsidRPr="00A90756">
        <w:rPr>
          <w:rStyle w:val="Bodytext1"/>
          <w:rFonts w:ascii="Garamond" w:hAnsi="Garamond" w:cs="Arial"/>
          <w:sz w:val="24"/>
          <w:szCs w:val="24"/>
        </w:rPr>
        <w:t xml:space="preserve">nueshmërisë së tij të përgjithshme ndaj goditjeve të jashtme. Mali i Zi tani duhet të përballet me recesionin e tij më të thellë në dy dekada. Aktiviteti ekonomik pritej të zbutej nga rritja prej 4.1% </w:t>
      </w:r>
      <w:r w:rsidR="00451AB3" w:rsidRPr="00A90756">
        <w:rPr>
          <w:rStyle w:val="Bodytext1"/>
          <w:rFonts w:ascii="Garamond" w:hAnsi="Garamond" w:cs="Arial"/>
          <w:sz w:val="24"/>
          <w:szCs w:val="24"/>
        </w:rPr>
        <w:t>m</w:t>
      </w:r>
      <w:r w:rsidRPr="00A90756">
        <w:rPr>
          <w:rStyle w:val="Bodytext1"/>
          <w:rFonts w:ascii="Garamond" w:hAnsi="Garamond" w:cs="Arial"/>
          <w:sz w:val="24"/>
          <w:szCs w:val="24"/>
        </w:rPr>
        <w:t>ë 2019</w:t>
      </w:r>
      <w:r w:rsidR="00451AB3" w:rsidRPr="00A90756">
        <w:rPr>
          <w:rStyle w:val="Bodytext1"/>
          <w:rFonts w:ascii="Garamond" w:hAnsi="Garamond" w:cs="Arial"/>
          <w:sz w:val="24"/>
          <w:szCs w:val="24"/>
        </w:rPr>
        <w:t>-n</w:t>
      </w:r>
      <w:r w:rsidRPr="00A90756">
        <w:rPr>
          <w:rStyle w:val="Bodytext1"/>
          <w:rFonts w:ascii="Garamond" w:hAnsi="Garamond" w:cs="Arial"/>
          <w:sz w:val="24"/>
          <w:szCs w:val="24"/>
        </w:rPr>
        <w:t>, por në vitin 2020 kriza e COVID-19 e tërhoqi ekonominë në një recesion të vlerësuar në -12.4%.</w:t>
      </w:r>
    </w:p>
    <w:p w14:paraId="014E428E"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Shqipëria është ndikuar nga vështirësitë e Eurozonës, e cila është destinacioni i pothuajse 80% të eksporteve të saj dhe investitori më i madh në vend. Për më tepër, kriza ekonomike e shkaktuar nga pandemia COVID-19 ka ulur ndjeshëm rritjen në 7,5% të PBB-së në vitin 2020, duke reflektuar varësinë e saj nga turizmi dhe remitancat.</w:t>
      </w:r>
    </w:p>
    <w:p w14:paraId="014E428F" w14:textId="2326BA80"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Sigurisht që ka të dhëna globale se COVID-19 po përkeqëson varfërinë, pabarazinë dhe c</w:t>
      </w:r>
      <w:r w:rsidR="002132A6" w:rsidRPr="00A90756">
        <w:rPr>
          <w:rStyle w:val="Bodytext1"/>
          <w:rFonts w:ascii="Garamond" w:hAnsi="Garamond"/>
          <w:sz w:val="24"/>
          <w:szCs w:val="24"/>
        </w:rPr>
        <w:t>e</w:t>
      </w:r>
      <w:r w:rsidRPr="00A90756">
        <w:rPr>
          <w:rStyle w:val="Bodytext1"/>
          <w:rFonts w:ascii="Garamond" w:hAnsi="Garamond"/>
          <w:sz w:val="24"/>
          <w:szCs w:val="24"/>
        </w:rPr>
        <w:t>nueshmërinë e përjetuar nga familjet dhe fëmijët e tyre. Skemat e mbrojtjes sociale janë ndër ndërhyrjet më efektive në luftën kundër varfërisë dhe c</w:t>
      </w:r>
      <w:r w:rsidR="002132A6" w:rsidRPr="00A90756">
        <w:rPr>
          <w:rStyle w:val="Bodytext1"/>
          <w:rFonts w:ascii="Garamond" w:hAnsi="Garamond"/>
          <w:sz w:val="24"/>
          <w:szCs w:val="24"/>
        </w:rPr>
        <w:t>e</w:t>
      </w:r>
      <w:r w:rsidRPr="00A90756">
        <w:rPr>
          <w:rStyle w:val="Bodytext1"/>
          <w:rFonts w:ascii="Garamond" w:hAnsi="Garamond"/>
          <w:sz w:val="24"/>
          <w:szCs w:val="24"/>
        </w:rPr>
        <w:t>nueshmërisë së fëmijëve dhe janë kyçe në krijimin e një mjedisi më mbrojtës për fëmijët. Megjithëse programi i ndihmës sociale ka rezultuar efektiv në shënjestrimin e më të varfërve, ai ende mund të mos përfshijë dhe përjashtojë disa grupe vulnerabël si</w:t>
      </w:r>
      <w:r w:rsidR="00890CAB" w:rsidRPr="00A90756">
        <w:rPr>
          <w:rStyle w:val="Bodytext1"/>
          <w:rFonts w:ascii="Garamond" w:hAnsi="Garamond"/>
          <w:sz w:val="24"/>
          <w:szCs w:val="24"/>
        </w:rPr>
        <w:t>:</w:t>
      </w:r>
      <w:r w:rsidRPr="00A90756">
        <w:rPr>
          <w:rStyle w:val="Bodytext1"/>
          <w:rFonts w:ascii="Garamond" w:hAnsi="Garamond"/>
          <w:sz w:val="24"/>
          <w:szCs w:val="24"/>
        </w:rPr>
        <w:t xml:space="preserve"> të varfrit që punojnë (veçanërisht si punëtorët informalë), gratë, pakicat, refugjatët dhe ata me pasuri dhe të ardhura pak mbi pragun e caktuar për të qenë përfitues. </w:t>
      </w:r>
      <w:bookmarkStart w:id="23" w:name="bookmark37"/>
      <w:bookmarkStart w:id="24" w:name="_Toc118696847"/>
    </w:p>
    <w:p w14:paraId="014E4290" w14:textId="2750C641"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 xml:space="preserve">Sektori </w:t>
      </w:r>
      <w:r w:rsidR="00C03162" w:rsidRPr="00A90756">
        <w:rPr>
          <w:rStyle w:val="Heading31"/>
          <w:rFonts w:ascii="Garamond" w:hAnsi="Garamond"/>
          <w:bCs w:val="0"/>
          <w:sz w:val="24"/>
          <w:szCs w:val="24"/>
        </w:rPr>
        <w:t>privat</w:t>
      </w:r>
      <w:bookmarkEnd w:id="23"/>
      <w:bookmarkEnd w:id="24"/>
    </w:p>
    <w:p w14:paraId="014E4291"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fushën e programit ka një numër në rritje të NVM-ve me aktivitete të larmishme.</w:t>
      </w:r>
    </w:p>
    <w:p w14:paraId="014E4292"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Mal të Zi, numri i bizneseve në zonën e programit përbën rreth 71% të numrit të përgjithshëm të bizneseve të vendit. Numri më i madh i subjekteve afariste në Mal të Zi dhe në zonën e programit është në Podgoricë, e cila përbën rreth 50% të numrit të përgjithshëm të bizneseve në zonën e programit.</w:t>
      </w:r>
    </w:p>
    <w:p w14:paraId="014E4293"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Mal të Zi numri më i madh i njësive të biznesit bie nën subjektet e biznesit mikro dhe të vogël (98,7%). Situata pandemike ka ndryshuar shumë tregues në këtë sektor. Ndikimi i krizës në Mal të Zi reflektohet më tej në rënien e shitjeve dhe rritjen e humbjeve. NMVM-të dhe sipërmarrësit individualë janë më të rrezikuarit, duke pasur parasysh se ato zakonisht kanë më pak likuiditet dhe marzhe më të ulëta të kthimit, jo vetëm në Mal të Zi, por edhe globalisht.</w:t>
      </w:r>
    </w:p>
    <w:p w14:paraId="014E4294" w14:textId="06E0AA1E"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 xml:space="preserve">Struktura e operatorëve ekonomikë në zonën e programit shqiptar dominohet gjithashtu nga MSME-të. Numri i përgjithshëm i sipërmarrjeve aktive në Shqipëri në tërësi është 162 343, ndërsa Shkodra zë 10 999 (7 në Shqipëri) dhe Lezha me 5 167 (9) dhe Tropoja (brenda qarkut të Kukësit, e cila është në fund </w:t>
      </w:r>
      <w:r w:rsidR="00C03162" w:rsidRPr="00A90756">
        <w:rPr>
          <w:rStyle w:val="Bodytext1"/>
          <w:rFonts w:ascii="Garamond" w:hAnsi="Garamond"/>
          <w:sz w:val="24"/>
          <w:szCs w:val="24"/>
        </w:rPr>
        <w:t>n</w:t>
      </w:r>
      <w:r w:rsidRPr="00A90756">
        <w:rPr>
          <w:rStyle w:val="Bodytext1"/>
          <w:rFonts w:ascii="Garamond" w:hAnsi="Garamond"/>
          <w:sz w:val="24"/>
          <w:szCs w:val="24"/>
        </w:rPr>
        <w:t xml:space="preserve">ë listën e renditjes). Vrojtimet treguan pothuajse të njëjtën situatë në këtë sektor për Shqipërinë dhe Malin e Zi. Ka disa mënyra se si pandemia e koronavirusit ka prekur </w:t>
      </w:r>
      <w:r w:rsidRPr="00A90756">
        <w:rPr>
          <w:rStyle w:val="Bodytext1"/>
          <w:rFonts w:ascii="Garamond" w:hAnsi="Garamond"/>
          <w:sz w:val="24"/>
          <w:szCs w:val="24"/>
        </w:rPr>
        <w:lastRenderedPageBreak/>
        <w:t>bizneset, veçanërisht MSME-të, si nga ana e ofertës ashtu edhe nga ana e kërkesës në Shqipëri.</w:t>
      </w:r>
      <w:bookmarkStart w:id="25" w:name="bookmark40"/>
      <w:bookmarkStart w:id="26" w:name="_Toc118696848"/>
    </w:p>
    <w:p w14:paraId="014E4295" w14:textId="2A07F422"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 xml:space="preserve">Bujqësia dhe </w:t>
      </w:r>
      <w:r w:rsidR="00C03162" w:rsidRPr="00A90756">
        <w:rPr>
          <w:rStyle w:val="Heading31"/>
          <w:rFonts w:ascii="Garamond" w:hAnsi="Garamond"/>
          <w:bCs w:val="0"/>
          <w:sz w:val="24"/>
          <w:szCs w:val="24"/>
        </w:rPr>
        <w:t>zhvillimi rural</w:t>
      </w:r>
      <w:bookmarkEnd w:id="25"/>
      <w:bookmarkEnd w:id="26"/>
    </w:p>
    <w:p w14:paraId="014E4296" w14:textId="656FDAB0"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është e pasur me burime bujqësore me potencial për investime dhe zhvillim. Karakteristika e përbashkët është se ajo bazohet në prona të vogla që janë operatorë idealë për investime në agro-produkte të mirëfillta të qëndrueshme, që mund të bëhen bioprodukte.</w:t>
      </w:r>
    </w:p>
    <w:p w14:paraId="014E4297" w14:textId="47A4390A"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Sektori i bujqësisë luan një rol të rëndësishëm në ekonominë e Malit të Zi dhe është përgjegjës për një pjesë të konsiderueshme të PBB-së (6,4% </w:t>
      </w:r>
      <w:r w:rsidR="00A53702" w:rsidRPr="00A90756">
        <w:rPr>
          <w:rStyle w:val="Bodytext1"/>
          <w:rFonts w:ascii="Garamond" w:hAnsi="Garamond"/>
          <w:sz w:val="24"/>
          <w:szCs w:val="24"/>
        </w:rPr>
        <w:t>m</w:t>
      </w:r>
      <w:r w:rsidRPr="00A90756">
        <w:rPr>
          <w:rStyle w:val="Bodytext1"/>
          <w:rFonts w:ascii="Garamond" w:hAnsi="Garamond"/>
          <w:sz w:val="24"/>
          <w:szCs w:val="24"/>
        </w:rPr>
        <w:t>ë 2019). Statistikat tregojnë se punësueshmëria në sektorin e bujqësisë (përfshirë pylltarinë dhe peshkimin) është 8,3%. Ky sektor është një nga sektorët me potencial të lartë ekonomik për zhvillim në Kolashin, duke furnizuar tregun vendas me produkte të caktuara të një sektori bujqësor modern.</w:t>
      </w:r>
      <w:r w:rsidRPr="00A90756">
        <w:rPr>
          <w:rStyle w:val="Bodytext1"/>
          <w:rFonts w:ascii="Garamond" w:hAnsi="Garamond"/>
          <w:sz w:val="24"/>
          <w:szCs w:val="24"/>
          <w:vertAlign w:val="superscript"/>
        </w:rPr>
        <w:footnoteReference w:id="9"/>
      </w:r>
      <w:r w:rsidRPr="00A90756">
        <w:rPr>
          <w:rStyle w:val="Bodytext1"/>
          <w:rFonts w:ascii="Garamond" w:hAnsi="Garamond"/>
          <w:sz w:val="24"/>
          <w:szCs w:val="24"/>
        </w:rPr>
        <w:t xml:space="preserve">Megjithatë, bujqësia malazeze karakterizohet nga një produktivitet </w:t>
      </w:r>
      <w:r w:rsidR="00C03162" w:rsidRPr="00A90756">
        <w:rPr>
          <w:rStyle w:val="Bodytext1"/>
          <w:rFonts w:ascii="Garamond" w:hAnsi="Garamond"/>
          <w:sz w:val="24"/>
          <w:szCs w:val="24"/>
        </w:rPr>
        <w:t>më i</w:t>
      </w:r>
      <w:r w:rsidRPr="00A90756">
        <w:rPr>
          <w:rStyle w:val="Bodytext1"/>
          <w:rFonts w:ascii="Garamond" w:hAnsi="Garamond"/>
          <w:sz w:val="24"/>
          <w:szCs w:val="24"/>
        </w:rPr>
        <w:t xml:space="preserve"> ulët ku efikasiteti i punës është më i ulëti në rajonin e Ballkanit Perëndimor dhe lindshmëria u ul në dekadën e mëparshme për shkak të përdorimit joadekuat.</w:t>
      </w:r>
    </w:p>
    <w:p w14:paraId="014E4298" w14:textId="63312CFD"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Sektori i bujqësisë është një nga më të rëndësishmit në ekonominë shqiptare. Produktet bujqësore janë pjesë e identitetit rajonal në një gamë të gjerë kushtesh mjedisore, natyrore dhe klimatike. Politika e zhvillimit bujqësor dhe rural është veçanërisht e rëndësishme në Shqipëri, pasi bujqësia kontribuon rreth 20% të PBB-së së vendit dhe punëson gati gjysmën e fuqisë punëtore të vendit. Rreth 37% e fuqisë punëtore të vendit janë të punësuar në sektorin e bujqësisë. Shumica e fermave në Shqipëri janë në pronësi të familjes dhe operohen në nivel familjar, që do të thotë se prodhimi i fermave është kryesisht për konsum vetjak dhe kanë teprica të kufizuara për treg.</w:t>
      </w:r>
      <w:bookmarkStart w:id="27" w:name="bookmark43"/>
      <w:bookmarkStart w:id="28" w:name="_Toc118696849"/>
    </w:p>
    <w:p w14:paraId="014E4299"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Turizmi</w:t>
      </w:r>
      <w:bookmarkEnd w:id="27"/>
      <w:bookmarkEnd w:id="28"/>
    </w:p>
    <w:p w14:paraId="014E429A"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Ekonomia e Malit të Zi është fuqimisht e varur nga turizmi, një burim kyç i rritjes së PBB-së, këmbimit valutor, punësimit dhe të ardhurave fiskale, me një pjesë prej gati 22% të PBB-së totale dhe me një tendencë të fortë drejt rritjes. Të ardhurat nga turizmi ndikojnë ndjeshëm si në bilancin e të ardhurave, ashtu edhe në punësim. Zona e programit, në kufi me Shqipërinë, ofron një shumëllojshmëri destinacionesh turistike që ofrojnë aktivitete turistike bregdetare dhe malore, pasuri të shumta të trashëgimisë kulturore, traditës rurale, artizanatit dhe një traditë të zhvilluar të ditëve të shënuara, festimeve dhe pelegrinazheve lokale. Komovi, si masiv malor që shtrihet midis Malit të Zi dhe Shqipërisë, është një nga zonat tërheqëse me aktivitete kulturore dhe sportive kryesisht të vendosura në Kolashin dhe më e frekuentuara gjatë viteve të fundit nga shumë turistë shqiptarë.</w:t>
      </w:r>
    </w:p>
    <w:p w14:paraId="014E429B"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Bregdeti i zonës së programit tërheq shumë turistë që hyjnë në Mal të Zi veçanërisht gjatë verës. Por me situatën pandemike të shkaktuar nga COVID-19, gjithçka ndryshoi. Siç u përmend më lart, Mali i Zi është veçanërisht i prekur nga rënia e turizmit, sektor që në kushte normale është shtytësi kritik i rritjes: të ardhurat nga turizmi përbëjnë më shumë se 20% të PBB-së. Sipas të dhënave të MONSTAT, pas rritjes ekonomike prej 2,7 për qind në tremujorin e parë, në tremujorin e dytë Mali i Zi shënoi një rënie prej 20,2 për qind, që është ndër normat më të larta të rënies në Evropë.</w:t>
      </w:r>
    </w:p>
    <w:p w14:paraId="014E429C" w14:textId="7097D148"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Në Shqipëri, turizmi ka vazhduar të rritet në mënyrë të qëndrueshme gjatë 3 viteve të fundit dhe është bërë shumë i rëndësishëm për ekonominë. Gjatë vitit 2017, sektori i turizmit regjistroi një kontribut të drejtpërdrejtë prej 1,12 miliardë dollarësh, duke zënë rreth 8,5% të PBB-së. Zona e programit të Shqipërisë është shumë e rëndësishme për zhvillimin e qëndrueshëm të turizmit, bazuar në parqet kombëtare dhe zonat e mbrojtura në breg të detit dhe në brendësi, në traditat rurale dhe zejet</w:t>
      </w:r>
      <w:r w:rsidR="009A6A22" w:rsidRPr="00A90756">
        <w:rPr>
          <w:rStyle w:val="Bodytext1"/>
          <w:rFonts w:ascii="Garamond" w:hAnsi="Garamond"/>
          <w:sz w:val="24"/>
          <w:szCs w:val="24"/>
        </w:rPr>
        <w:t>,</w:t>
      </w:r>
      <w:r w:rsidRPr="00A90756">
        <w:rPr>
          <w:rStyle w:val="Bodytext1"/>
          <w:rFonts w:ascii="Garamond" w:hAnsi="Garamond"/>
          <w:sz w:val="24"/>
          <w:szCs w:val="24"/>
        </w:rPr>
        <w:t xml:space="preserve"> dhe në një traditë shumë të zhvilluar pelegrinazhi. Ka një natyrë të gjerë, potencial turistik kulturor dhe historik, i cili është kryesisht i pashfrytëzuar. Pandemia në Shqipëri ka pasur të njëjtin efekt si në Mal të Zi. Turizmi, që përfaqëson më shumë se 20% të PBB-së së Shqipërisë, ishte një nga sektorët më të prekur. Ndër të gjithë sektorët ekonomikë, turizmi është më i prekuri me një mbyllje aktivitetesh prej 75%.</w:t>
      </w:r>
      <w:bookmarkStart w:id="29" w:name="bookmark46"/>
      <w:bookmarkStart w:id="30" w:name="_Toc118696850"/>
    </w:p>
    <w:p w14:paraId="014E429D" w14:textId="4E1A1FF5"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 xml:space="preserve">Mjedisi dhe </w:t>
      </w:r>
      <w:r w:rsidR="00C953C5" w:rsidRPr="00A90756">
        <w:rPr>
          <w:rStyle w:val="Heading31"/>
          <w:rFonts w:ascii="Garamond" w:hAnsi="Garamond"/>
          <w:bCs w:val="0"/>
          <w:sz w:val="24"/>
          <w:szCs w:val="24"/>
        </w:rPr>
        <w:t>n</w:t>
      </w:r>
      <w:r w:rsidRPr="00A90756">
        <w:rPr>
          <w:rStyle w:val="Heading31"/>
          <w:rFonts w:ascii="Garamond" w:hAnsi="Garamond"/>
          <w:bCs w:val="0"/>
          <w:sz w:val="24"/>
          <w:szCs w:val="24"/>
        </w:rPr>
        <w:t>atyra</w:t>
      </w:r>
      <w:bookmarkEnd w:id="29"/>
      <w:bookmarkEnd w:id="30"/>
    </w:p>
    <w:p w14:paraId="014E429E"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Zona e programit është e pasur me burime mjedisore. </w:t>
      </w:r>
      <w:r w:rsidRPr="00A90756">
        <w:rPr>
          <w:rStyle w:val="Bodytext1"/>
          <w:rFonts w:ascii="Garamond" w:hAnsi="Garamond"/>
          <w:bCs/>
          <w:sz w:val="24"/>
          <w:szCs w:val="24"/>
        </w:rPr>
        <w:t>Mali</w:t>
      </w:r>
      <w:r w:rsidRPr="00A90756">
        <w:rPr>
          <w:rStyle w:val="Bodytext1"/>
          <w:rFonts w:ascii="Garamond" w:hAnsi="Garamond"/>
          <w:sz w:val="24"/>
          <w:szCs w:val="24"/>
        </w:rPr>
        <w:t xml:space="preserve"> </w:t>
      </w:r>
      <w:r w:rsidRPr="00A90756">
        <w:rPr>
          <w:rStyle w:val="Bodytext1"/>
          <w:rFonts w:ascii="Garamond" w:hAnsi="Garamond"/>
          <w:bCs/>
          <w:sz w:val="24"/>
          <w:szCs w:val="24"/>
        </w:rPr>
        <w:t>i Zi</w:t>
      </w:r>
      <w:r w:rsidRPr="00A90756">
        <w:rPr>
          <w:rStyle w:val="Bodytext1"/>
          <w:rFonts w:ascii="Garamond" w:hAnsi="Garamond"/>
          <w:sz w:val="24"/>
          <w:szCs w:val="24"/>
        </w:rPr>
        <w:t xml:space="preserve"> ka një diversitet të lartë biologjik </w:t>
      </w:r>
      <w:r w:rsidRPr="00A90756">
        <w:rPr>
          <w:rStyle w:val="Bodytext1"/>
          <w:rFonts w:ascii="Garamond" w:hAnsi="Garamond"/>
          <w:sz w:val="24"/>
          <w:szCs w:val="24"/>
        </w:rPr>
        <w:lastRenderedPageBreak/>
        <w:t>për shkak të sfondit gjeologjik, klimës dhe afërsisë së detit dhe vargmaleve malore. Ruajtja dhe mbrojtja e mjedisit janë shtyllat e të gjitha strategjive të zhvillimit të vendit. Së bashku me malet dhe ujin, pyjet përbëjnë një pjesë të konsiderueshme të markës së Malit të Zi në fushën e turizmit të qëndrueshëm dhe të gjelbër.</w:t>
      </w:r>
    </w:p>
    <w:p w14:paraId="014E429F"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Në </w:t>
      </w:r>
      <w:r w:rsidRPr="00A90756">
        <w:rPr>
          <w:rStyle w:val="Bodytext1"/>
          <w:rFonts w:ascii="Garamond" w:hAnsi="Garamond"/>
          <w:bCs/>
          <w:sz w:val="24"/>
          <w:szCs w:val="24"/>
        </w:rPr>
        <w:t>Shqipëri</w:t>
      </w:r>
      <w:r w:rsidRPr="00A90756">
        <w:rPr>
          <w:rStyle w:val="Bodytext1"/>
          <w:rFonts w:ascii="Garamond" w:hAnsi="Garamond"/>
          <w:sz w:val="24"/>
          <w:szCs w:val="24"/>
        </w:rPr>
        <w:t>, zona e programit ka një pasuri biodiversiteti dhe klime pasi përfshin male, kodra, fusha, liqene, lumenj dhe vijë bregdetare. Ka parqe natyrore, rezerva natyrore të menaxhuara dhe peizazhe të mbrojtura me vlerën natyrore dhe biodiversitetin më të madh në vend.</w:t>
      </w:r>
    </w:p>
    <w:p w14:paraId="014E42A0" w14:textId="2FB38698"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Ndryshimet sociale dhe ekonomike të viteve të fundit, ndryshimet demografike si në Shqipëri ashtu edhe në Mal të Zi kanë bërë presion mbi mjedisin dhe biodiversitetin në zonën e programit. Masat e efi</w:t>
      </w:r>
      <w:r w:rsidR="00AE64AA" w:rsidRPr="00A90756">
        <w:rPr>
          <w:rStyle w:val="Bodytext1"/>
          <w:rFonts w:ascii="Garamond" w:hAnsi="Garamond"/>
          <w:sz w:val="24"/>
          <w:szCs w:val="24"/>
        </w:rPr>
        <w:t>ci</w:t>
      </w:r>
      <w:r w:rsidRPr="00A90756">
        <w:rPr>
          <w:rStyle w:val="Bodytext1"/>
          <w:rFonts w:ascii="Garamond" w:hAnsi="Garamond"/>
          <w:sz w:val="24"/>
          <w:szCs w:val="24"/>
        </w:rPr>
        <w:t>encës së energjisë do të jenë një nxitje shtesë për të siguruar efikasitet të burimeve dhe prodhim më të pastër. Sfidat kryesore mjedisore që duhen përballuar në fushën e programit janë zbatimi i planifikimit strategjik urban, reduktimi i ndotjes, mbrojtja e tokës nga fatkeqësitë natyrore dhe të shkaktuara nga njeriu, menaxhimi i rrezikut dhe kapaciteti për të mbrojtur jetën, pronën dhe trashëgiminë natyrore të njerëzve.</w:t>
      </w:r>
    </w:p>
    <w:p w14:paraId="014E42A1" w14:textId="1B0742EE"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 xml:space="preserve">Zona e programit është gjithashtu e ndjeshme ndaj ndryshimeve klimatike. Rajoni i Ballkanit Perëndimor tashmë po përjeton ndryshime në kushtet klimatike të demonstruara nga një kohëzgjatje dhe frekuencë e shtuar e valëve të të nxehtit dhe </w:t>
      </w:r>
      <w:r w:rsidR="00B5407B" w:rsidRPr="00A90756">
        <w:rPr>
          <w:rStyle w:val="Bodytext1"/>
          <w:rFonts w:ascii="Garamond" w:hAnsi="Garamond"/>
          <w:sz w:val="24"/>
          <w:szCs w:val="24"/>
        </w:rPr>
        <w:t xml:space="preserve">të </w:t>
      </w:r>
      <w:r w:rsidRPr="00A90756">
        <w:rPr>
          <w:rStyle w:val="Bodytext1"/>
          <w:rFonts w:ascii="Garamond" w:hAnsi="Garamond"/>
          <w:sz w:val="24"/>
          <w:szCs w:val="24"/>
        </w:rPr>
        <w:t>thatësirave; rritje e rrezikut të përmbytjeve, degradimit të pyjeve për shkak të rritjes së shpeshtësisë së zjarreve dhe ndryshimeve në mbulesën e lirë; fillimi i hershëm i sezonit të rritjes dhe rreziku i lartë i ngricës së vonë të pranverës; ulje e cilësisë së rendimentit gjatë viteve me periudhë rritjeje më të ngrohtë dhe/ose më të thatë; dhe ulje mesatare të shkarkimit të lumit dhe problem me cilësinë dhe furnizimin me ujë të pijshëm veçanërisht gjatë sezonit të verës.</w:t>
      </w:r>
      <w:bookmarkStart w:id="31" w:name="bookmark49"/>
      <w:bookmarkStart w:id="32" w:name="_Toc118696851"/>
    </w:p>
    <w:p w14:paraId="014E42A2"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Infrastruktura</w:t>
      </w:r>
      <w:bookmarkEnd w:id="31"/>
      <w:bookmarkEnd w:id="32"/>
    </w:p>
    <w:p w14:paraId="014E42A3"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Pozicioni i zonës së programit nënvizon rëndësinë e një infrastrukture të mirë transporti në zhvillimin e ardhshëm të turizmit, tregtisë, bujqësisë, shkëmbimeve kulturore, konkurrencës dhe sektorëve të tjerë të lidhur me to që ndikojnë në rritjen e PBB-së.</w:t>
      </w:r>
    </w:p>
    <w:p w14:paraId="014E42A4" w14:textId="77777777"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Mali i Zi vazhdon të marrë pjesë aktive në strategjinë e BE-së për zhvillimin e Rajonit të Danubit (EUSDR) dhe të dyja vendet marrin pjesë në strategjinë e BE-së për Rajonin e Adriatikut dhe Jonit (EUSAIR). Shqipëria merr pjesë aktive në rreth 35 organizata dhe iniciativa rajonale, si Marrëveshja e Tregtisë së Lirë të Evropës Qendrore (CEFTA), Komuniteti i Energjisë, Komuniteti i Transportit, Procesi i Bashkëpunimit të Evropës Juglindore (SEECP) dhe Këshilli i Bashkëpunimit Rajonal.</w:t>
      </w:r>
      <w:bookmarkStart w:id="33" w:name="bookmark52"/>
      <w:bookmarkStart w:id="34" w:name="_Toc118696852"/>
    </w:p>
    <w:p w14:paraId="014E42A5"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Rrugët</w:t>
      </w:r>
      <w:bookmarkEnd w:id="33"/>
      <w:bookmarkEnd w:id="34"/>
    </w:p>
    <w:p w14:paraId="014E42A6" w14:textId="362262A5" w:rsidR="000D306C" w:rsidRPr="00A90756" w:rsidRDefault="000D306C" w:rsidP="000D306C">
      <w:pPr>
        <w:pStyle w:val="Bodytext10"/>
        <w:spacing w:after="0"/>
        <w:ind w:firstLine="284"/>
        <w:jc w:val="both"/>
        <w:rPr>
          <w:rStyle w:val="Bodytext1"/>
          <w:rFonts w:ascii="Garamond" w:hAnsi="Garamond"/>
          <w:sz w:val="24"/>
          <w:szCs w:val="24"/>
        </w:rPr>
      </w:pPr>
      <w:bookmarkStart w:id="35" w:name="bookmark55"/>
      <w:r w:rsidRPr="00A90756">
        <w:rPr>
          <w:rStyle w:val="Bodytext1"/>
          <w:rFonts w:ascii="Garamond" w:hAnsi="Garamond"/>
          <w:sz w:val="24"/>
          <w:szCs w:val="24"/>
        </w:rPr>
        <w:t>Gjatësia totale e rrugëve të Malit të Zi është afërsisht 7 000 km, nga të cilat rreth 1 850 km përbëhet nga rrugë kryesore dhe rajonale, ndërsa gjatësia e mbetur përbëhet nga rrugë lokale. Lidhjet midis Podgoricës dhe qyteteve bregdetare janë përmirësuar ndjeshëm, koha e udhëtimit është bërë më e shkurtër dhe rrugët më të sigurta me përfundimin e tunelit të Sozinës në vitin 2005 dhe përmirësimet e shumta të rrugëve drejt Cetinjes, Budvës dhe Barit. Aktualisht, seksioni 1 (Smokovac–Mateshevë) të autostradës së re, ka filluar në vitin 2015 dhe duhet të përfundojë deri në vitin 2021 (vetëm seksioni 1). Në zonën e programit shqiptar, infrastruktura rrugore është përmirësuar ndjeshëm në 5 vitet e fundit. Transporti i mallrave dhe njerëzve është më i lehtë dhe më i shpejtë tani. Udhëtimi për në Lezhë dhe Shkodër nga Tirana zgjat jo më shumë se 120 minuta.</w:t>
      </w:r>
      <w:bookmarkStart w:id="36" w:name="_Toc118696853"/>
      <w:bookmarkEnd w:id="35"/>
    </w:p>
    <w:p w14:paraId="014E42A7" w14:textId="77777777" w:rsidR="000D306C" w:rsidRPr="00A90756" w:rsidRDefault="000D306C" w:rsidP="000D306C">
      <w:pPr>
        <w:pStyle w:val="Bodytext10"/>
        <w:spacing w:after="0"/>
        <w:ind w:firstLine="284"/>
        <w:jc w:val="both"/>
        <w:rPr>
          <w:rStyle w:val="Heading31"/>
          <w:rFonts w:ascii="Garamond" w:hAnsi="Garamond"/>
          <w:bCs w:val="0"/>
          <w:sz w:val="24"/>
          <w:szCs w:val="24"/>
        </w:rPr>
      </w:pPr>
      <w:r w:rsidRPr="00A90756">
        <w:rPr>
          <w:rStyle w:val="Heading31"/>
          <w:rFonts w:ascii="Garamond" w:hAnsi="Garamond"/>
          <w:bCs w:val="0"/>
          <w:sz w:val="24"/>
          <w:szCs w:val="24"/>
        </w:rPr>
        <w:t>Transporti hekurudhor</w:t>
      </w:r>
      <w:bookmarkEnd w:id="36"/>
    </w:p>
    <w:p w14:paraId="014E42A8" w14:textId="009F582A"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Rrjeti hekurudhor i Malit të Zi përbëhet nga tre korridore hekurudhore (kryesisht) të elektrizuara, me matës standard, me një gjatësi totale prej 150 km. Këto hekurudha lidhin Portin e Tivarit me Podgoricën dhe Podgoricën me Shqipërinë (Hekurudha Podgoricë</w:t>
      </w:r>
      <w:r w:rsidR="00D3143D" w:rsidRPr="00A90756">
        <w:rPr>
          <w:rStyle w:val="Bodytext1"/>
          <w:rFonts w:ascii="Garamond" w:hAnsi="Garamond"/>
          <w:sz w:val="24"/>
          <w:szCs w:val="24"/>
        </w:rPr>
        <w:t>–</w:t>
      </w:r>
      <w:r w:rsidRPr="00A90756">
        <w:rPr>
          <w:rStyle w:val="Bodytext1"/>
          <w:rFonts w:ascii="Garamond" w:hAnsi="Garamond"/>
          <w:sz w:val="24"/>
          <w:szCs w:val="24"/>
        </w:rPr>
        <w:t>Shkodër). Vlen të përmendet</w:t>
      </w:r>
      <w:r w:rsidR="00C61854" w:rsidRPr="00A90756">
        <w:rPr>
          <w:rStyle w:val="Bodytext1"/>
          <w:rFonts w:ascii="Garamond" w:hAnsi="Garamond"/>
          <w:sz w:val="24"/>
          <w:szCs w:val="24"/>
        </w:rPr>
        <w:t xml:space="preserve"> </w:t>
      </w:r>
      <w:r w:rsidRPr="00A90756">
        <w:rPr>
          <w:rStyle w:val="Bodytext1"/>
          <w:rFonts w:ascii="Garamond" w:hAnsi="Garamond"/>
          <w:sz w:val="24"/>
          <w:szCs w:val="24"/>
        </w:rPr>
        <w:t>se Mali i Zi dhe Shqipëria kanë rënë dakord të integrojnë procedurat e organizimit të transportit hekurudhor ndërmjet vendeve.</w:t>
      </w:r>
      <w:bookmarkStart w:id="37" w:name="bookmark58"/>
      <w:bookmarkStart w:id="38" w:name="_Toc118696854"/>
    </w:p>
    <w:p w14:paraId="014E42A9" w14:textId="41FF3D73"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 xml:space="preserve">Transporti </w:t>
      </w:r>
      <w:r w:rsidR="00B5407B" w:rsidRPr="00A90756">
        <w:rPr>
          <w:rStyle w:val="Heading31"/>
          <w:rFonts w:ascii="Garamond" w:hAnsi="Garamond"/>
          <w:bCs w:val="0"/>
          <w:sz w:val="24"/>
          <w:szCs w:val="24"/>
        </w:rPr>
        <w:t>ajror dhe detar</w:t>
      </w:r>
      <w:bookmarkEnd w:id="37"/>
      <w:bookmarkEnd w:id="38"/>
    </w:p>
    <w:p w14:paraId="014E42AA" w14:textId="77E549DA"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 xml:space="preserve">Aeroporti i Podgoricës në Mal të Zi është aeroporti kryesor në zonën e programit. Ekziston edhe aeroporti i Beranës që nuk funksionon (fluturimet e fundit kanë ndodhur gjatë viteve 1980) </w:t>
      </w:r>
      <w:r w:rsidRPr="00A90756">
        <w:rPr>
          <w:rStyle w:val="Bodytext1"/>
          <w:rFonts w:ascii="Garamond" w:hAnsi="Garamond"/>
          <w:sz w:val="24"/>
          <w:szCs w:val="24"/>
        </w:rPr>
        <w:lastRenderedPageBreak/>
        <w:t>dhe aeroporti Špiro Mugoša në Podgoricë, një aeroport jokomercial që përdoret shpesh për hedhje me parashutë, rrëshqitje dhe sporte të tjera ajrore. Zona e programit në Mal të Zi është shtëpia e portit të Barit, më i madhi në Mal të Zi, dhe marinës në Budva. Një marinë tjetër në Tivar, afër portit të Tivarit, dhe një port i vogël në Ulqin. Në zonën e programit shqiptar ndodhet porti i Shëngjinit (rajoni i Lezhës), i cili shërben për nevojat e</w:t>
      </w:r>
      <w:r w:rsidR="00C61854" w:rsidRPr="00A90756">
        <w:rPr>
          <w:rStyle w:val="Bodytext1"/>
          <w:rFonts w:ascii="Garamond" w:hAnsi="Garamond"/>
          <w:sz w:val="24"/>
          <w:szCs w:val="24"/>
        </w:rPr>
        <w:t xml:space="preserve"> </w:t>
      </w:r>
      <w:r w:rsidRPr="00A90756">
        <w:rPr>
          <w:rStyle w:val="Bodytext1"/>
          <w:rFonts w:ascii="Garamond" w:hAnsi="Garamond"/>
          <w:sz w:val="24"/>
          <w:szCs w:val="24"/>
        </w:rPr>
        <w:t>pjesës veriore të Shqipërisë për transport detar.</w:t>
      </w:r>
      <w:bookmarkStart w:id="39" w:name="bookmark61"/>
      <w:bookmarkStart w:id="40" w:name="_Toc118696855"/>
    </w:p>
    <w:p w14:paraId="014E42AB" w14:textId="6AFBC649"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 xml:space="preserve">Telekomunikacioni, </w:t>
      </w:r>
      <w:r w:rsidR="00420834" w:rsidRPr="00A90756">
        <w:rPr>
          <w:rStyle w:val="Heading31"/>
          <w:rFonts w:ascii="Garamond" w:hAnsi="Garamond"/>
          <w:bCs w:val="0"/>
          <w:sz w:val="24"/>
          <w:szCs w:val="24"/>
        </w:rPr>
        <w:t>teknologjitë e informacionit</w:t>
      </w:r>
      <w:bookmarkEnd w:id="39"/>
      <w:bookmarkEnd w:id="40"/>
    </w:p>
    <w:p w14:paraId="014E42AC" w14:textId="457D317E"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 xml:space="preserve">Telekomunikacioni në zonën e programit përfiton si nga telefonia tokësore (fikse), ashtu edhe nga ajo celulare. Në Mal të Zi, 72% e familjeve kanë akses në internet në shtëpi. Zhvillimet e rrjeteve të telekomunikacionit mbështeten kryesisht në sektorin privat. Në Shqipëri, numri i familjeve që gëzojnë akses në internet në shtëpi është rritur (nga 80,7% </w:t>
      </w:r>
      <w:r w:rsidR="00420834" w:rsidRPr="00A90756">
        <w:rPr>
          <w:rStyle w:val="Bodytext1"/>
          <w:rFonts w:ascii="Garamond" w:hAnsi="Garamond"/>
          <w:sz w:val="24"/>
          <w:szCs w:val="24"/>
        </w:rPr>
        <w:t>m</w:t>
      </w:r>
      <w:r w:rsidRPr="00A90756">
        <w:rPr>
          <w:rStyle w:val="Bodytext1"/>
          <w:rFonts w:ascii="Garamond" w:hAnsi="Garamond"/>
          <w:sz w:val="24"/>
          <w:szCs w:val="24"/>
        </w:rPr>
        <w:t xml:space="preserve">ë 2017-n në 82,2% </w:t>
      </w:r>
      <w:r w:rsidR="00420834" w:rsidRPr="00A90756">
        <w:rPr>
          <w:rStyle w:val="Bodytext1"/>
          <w:rFonts w:ascii="Garamond" w:hAnsi="Garamond"/>
          <w:sz w:val="24"/>
          <w:szCs w:val="24"/>
        </w:rPr>
        <w:t>m</w:t>
      </w:r>
      <w:r w:rsidRPr="00A90756">
        <w:rPr>
          <w:rStyle w:val="Bodytext1"/>
          <w:rFonts w:ascii="Garamond" w:hAnsi="Garamond"/>
          <w:sz w:val="24"/>
          <w:szCs w:val="24"/>
        </w:rPr>
        <w:t xml:space="preserve">ë 2018-n). </w:t>
      </w:r>
      <w:bookmarkStart w:id="41" w:name="bookmark64"/>
      <w:bookmarkStart w:id="42" w:name="_Toc118696856"/>
    </w:p>
    <w:p w14:paraId="014E42AD"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Energji</w:t>
      </w:r>
      <w:bookmarkEnd w:id="41"/>
      <w:r w:rsidRPr="00A90756">
        <w:rPr>
          <w:rStyle w:val="Heading31"/>
          <w:rFonts w:ascii="Garamond" w:hAnsi="Garamond"/>
          <w:bCs w:val="0"/>
          <w:sz w:val="24"/>
          <w:szCs w:val="24"/>
        </w:rPr>
        <w:t>a</w:t>
      </w:r>
      <w:bookmarkEnd w:id="42"/>
    </w:p>
    <w:p w14:paraId="014E42AE" w14:textId="44426D13"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Programi i Reformës Ekonomike 2019</w:t>
      </w:r>
      <w:r w:rsidR="00420834" w:rsidRPr="00A90756">
        <w:rPr>
          <w:rStyle w:val="Bodytext1"/>
          <w:rFonts w:ascii="Garamond" w:hAnsi="Garamond"/>
          <w:sz w:val="24"/>
          <w:szCs w:val="24"/>
        </w:rPr>
        <w:t>–</w:t>
      </w:r>
      <w:r w:rsidRPr="00A90756">
        <w:rPr>
          <w:rStyle w:val="Bodytext1"/>
          <w:rFonts w:ascii="Garamond" w:hAnsi="Garamond"/>
          <w:sz w:val="24"/>
          <w:szCs w:val="24"/>
        </w:rPr>
        <w:t xml:space="preserve">2021 për Malin e Zi përcaktoi një masë reformuese prioritare të titulluar </w:t>
      </w:r>
      <w:r w:rsidR="00AE64AA" w:rsidRPr="00A90756">
        <w:rPr>
          <w:rStyle w:val="Bodytext1"/>
          <w:rFonts w:ascii="Garamond" w:hAnsi="Garamond"/>
          <w:sz w:val="24"/>
          <w:szCs w:val="24"/>
        </w:rPr>
        <w:t>“</w:t>
      </w:r>
      <w:r w:rsidRPr="00A90756">
        <w:rPr>
          <w:rStyle w:val="Bodytext1"/>
          <w:rFonts w:ascii="Garamond" w:hAnsi="Garamond"/>
          <w:sz w:val="24"/>
          <w:szCs w:val="24"/>
        </w:rPr>
        <w:t>përmirësimi i kuadrit legjislativ-rregullator dhe institucional për integrimin në tregun rajonal të energjisë elektrike</w:t>
      </w:r>
      <w:r w:rsidR="00AE64AA" w:rsidRPr="00A90756">
        <w:rPr>
          <w:rStyle w:val="Bodytext1"/>
          <w:rFonts w:ascii="Garamond" w:hAnsi="Garamond"/>
          <w:sz w:val="24"/>
          <w:szCs w:val="24"/>
        </w:rPr>
        <w:t>”</w:t>
      </w:r>
      <w:r w:rsidRPr="00A90756">
        <w:rPr>
          <w:rStyle w:val="Bodytext1"/>
          <w:rFonts w:ascii="Garamond" w:hAnsi="Garamond"/>
          <w:sz w:val="24"/>
          <w:szCs w:val="24"/>
        </w:rPr>
        <w:t xml:space="preserve"> për një periudhë trevjeçare. Përfundimi i linjës së interkonjeksionit 400 kV ndërmjet Shqipërisë dhe Malit të Zi (Elbasan</w:t>
      </w:r>
      <w:r w:rsidR="00B5407B" w:rsidRPr="00A90756">
        <w:rPr>
          <w:rStyle w:val="Bodytext1"/>
          <w:rFonts w:ascii="Garamond" w:hAnsi="Garamond"/>
          <w:sz w:val="24"/>
          <w:szCs w:val="24"/>
        </w:rPr>
        <w:t>–</w:t>
      </w:r>
      <w:r w:rsidRPr="00A90756">
        <w:rPr>
          <w:rStyle w:val="Bodytext1"/>
          <w:rFonts w:ascii="Garamond" w:hAnsi="Garamond"/>
          <w:sz w:val="24"/>
          <w:szCs w:val="24"/>
        </w:rPr>
        <w:t xml:space="preserve">Podgoricë) rrit kapacitetet e shkëmbimeve energjetike mes </w:t>
      </w:r>
      <w:r w:rsidR="00D75C5A" w:rsidRPr="00A90756">
        <w:rPr>
          <w:rStyle w:val="Bodytext1"/>
          <w:rFonts w:ascii="Garamond" w:hAnsi="Garamond"/>
          <w:sz w:val="24"/>
          <w:szCs w:val="24"/>
        </w:rPr>
        <w:t xml:space="preserve">të </w:t>
      </w:r>
      <w:r w:rsidRPr="00A90756">
        <w:rPr>
          <w:rStyle w:val="Bodytext1"/>
          <w:rFonts w:ascii="Garamond" w:hAnsi="Garamond"/>
          <w:sz w:val="24"/>
          <w:szCs w:val="24"/>
        </w:rPr>
        <w:t>dy</w:t>
      </w:r>
      <w:r w:rsidR="00D75C5A" w:rsidRPr="00A90756">
        <w:rPr>
          <w:rStyle w:val="Bodytext1"/>
          <w:rFonts w:ascii="Garamond" w:hAnsi="Garamond"/>
          <w:sz w:val="24"/>
          <w:szCs w:val="24"/>
        </w:rPr>
        <w:t>ja</w:t>
      </w:r>
      <w:r w:rsidRPr="00A90756">
        <w:rPr>
          <w:rStyle w:val="Bodytext1"/>
          <w:rFonts w:ascii="Garamond" w:hAnsi="Garamond"/>
          <w:sz w:val="24"/>
          <w:szCs w:val="24"/>
        </w:rPr>
        <w:t xml:space="preserve"> vendeve dhe lidh Shqipërinë me rrjetet rajonale dhe evropiane, duke rritur kështu sigurinë e furnizimit me energji elektrike në vend.</w:t>
      </w:r>
      <w:bookmarkStart w:id="43" w:name="bookmark67"/>
      <w:bookmarkStart w:id="44" w:name="_Toc118696857"/>
    </w:p>
    <w:p w14:paraId="014E42AF" w14:textId="6B07DFC6" w:rsidR="000D306C" w:rsidRPr="00A90756" w:rsidRDefault="000D306C" w:rsidP="000D306C">
      <w:pPr>
        <w:pStyle w:val="Bodytext10"/>
        <w:spacing w:after="0"/>
        <w:ind w:firstLine="284"/>
        <w:jc w:val="both"/>
        <w:rPr>
          <w:rStyle w:val="Heading31"/>
          <w:rFonts w:ascii="Garamond" w:hAnsi="Garamond"/>
          <w:bCs w:val="0"/>
          <w:sz w:val="24"/>
          <w:szCs w:val="24"/>
        </w:rPr>
      </w:pPr>
      <w:r w:rsidRPr="00A90756">
        <w:rPr>
          <w:rStyle w:val="Heading31"/>
          <w:rFonts w:ascii="Garamond" w:hAnsi="Garamond"/>
          <w:bCs w:val="0"/>
          <w:sz w:val="24"/>
          <w:szCs w:val="24"/>
        </w:rPr>
        <w:t>Aspekti social</w:t>
      </w:r>
      <w:bookmarkStart w:id="45" w:name="bookmark70"/>
      <w:bookmarkStart w:id="46" w:name="_Toc118696858"/>
      <w:bookmarkEnd w:id="43"/>
      <w:bookmarkEnd w:id="44"/>
    </w:p>
    <w:p w14:paraId="014E42B0" w14:textId="77777777" w:rsidR="000D306C" w:rsidRPr="00A90756" w:rsidRDefault="000D306C" w:rsidP="000D306C">
      <w:pPr>
        <w:pStyle w:val="Bodytext10"/>
        <w:spacing w:after="0"/>
        <w:ind w:firstLine="284"/>
        <w:jc w:val="both"/>
        <w:rPr>
          <w:rFonts w:ascii="Garamond" w:hAnsi="Garamond"/>
          <w:b/>
          <w:i/>
          <w:sz w:val="24"/>
          <w:szCs w:val="24"/>
        </w:rPr>
      </w:pPr>
      <w:r w:rsidRPr="00A90756">
        <w:rPr>
          <w:rStyle w:val="Heading41"/>
          <w:rFonts w:ascii="Garamond" w:hAnsi="Garamond"/>
          <w:b/>
          <w:i w:val="0"/>
          <w:iCs w:val="0"/>
          <w:sz w:val="24"/>
          <w:szCs w:val="24"/>
        </w:rPr>
        <w:t>Tregu i punës</w:t>
      </w:r>
      <w:bookmarkEnd w:id="45"/>
      <w:bookmarkEnd w:id="46"/>
    </w:p>
    <w:p w14:paraId="014E42B1" w14:textId="2820AA7D"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Papunësia si në Mal të Zi, ashtu edhe në Shqipëri është relativisht e lartë sipas standardeve ndërkombëtare. Është ende një problem i madh ekonomik në të dyja vendet dhe karakterizohet nga dallime të rëndësishme rajonale. Në Mal të Zi, struktura e personave të punësuar sipas sektorëve të veprimtarisë tregon se pjesa më e madhe e tyre punon në sektorin e shërbimeve, 74%; pastaj në industri dhe ndërtim, 17,7% dhe 8,3% në bujqësi, pylltari dhe peshkim. Papunësia afatgjatë mbetet një sfidë e madhe strukturore. Grupet më të cenueshme në tregun e punës mbeten gratë, të rinjtë, romët dhe punëtorët me kualifikim të ulët. Në vitin 2019 shkalla e papunësisë së popullsisë në moshë pune ishte 15,4% (15% për burrat dhe 15,9% për gratë).</w:t>
      </w:r>
    </w:p>
    <w:p w14:paraId="014E42B2" w14:textId="0839451F"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Faktorë që ndikojnë në pozitën ekonomike të grave janë edhe mungesa e përfaqësimit politik të tyre, si dhe mungesa e vullnetit politik të vendimmarrësve për të adresuar sistematikisht çështjet që lidhen me fuqizimin ekonomik të grave. Është konstatuar se një kulturë politike dhe biznesi e fokusuar tek meshkujt shpesh nuk ofron një mjedis ideal për diskutime publike</w:t>
      </w:r>
      <w:r w:rsidR="00B5407B" w:rsidRPr="00A90756">
        <w:rPr>
          <w:rStyle w:val="Bodytext1"/>
          <w:rFonts w:ascii="Garamond" w:hAnsi="Garamond"/>
          <w:sz w:val="24"/>
          <w:szCs w:val="24"/>
        </w:rPr>
        <w:t>,</w:t>
      </w:r>
      <w:r w:rsidRPr="00A90756">
        <w:rPr>
          <w:rStyle w:val="Bodytext1"/>
          <w:rFonts w:ascii="Garamond" w:hAnsi="Garamond"/>
          <w:sz w:val="24"/>
          <w:szCs w:val="24"/>
        </w:rPr>
        <w:t xml:space="preserve"> në lidhje me fuqinë e pabarabartë ekonomike midis grave dhe burrave. Për më tepër, politikat që lidhen me fuqizimin ekonomik janë më tepër </w:t>
      </w:r>
      <w:r w:rsidRPr="00A90756">
        <w:rPr>
          <w:rStyle w:val="Bodytext1"/>
          <w:rFonts w:ascii="Garamond" w:hAnsi="Garamond"/>
          <w:i/>
          <w:sz w:val="24"/>
          <w:szCs w:val="24"/>
        </w:rPr>
        <w:t>ad-hoc</w:t>
      </w:r>
      <w:r w:rsidRPr="00A90756">
        <w:rPr>
          <w:rStyle w:val="Bodytext1"/>
          <w:rFonts w:ascii="Garamond" w:hAnsi="Garamond"/>
          <w:sz w:val="24"/>
          <w:szCs w:val="24"/>
        </w:rPr>
        <w:t xml:space="preserve"> sesa sistematike dhe zbatimi i tyre nuk monitorohet nga autoritetet shtetërore.</w:t>
      </w:r>
      <w:r w:rsidRPr="00A90756">
        <w:rPr>
          <w:rStyle w:val="Bodytext1"/>
          <w:rFonts w:ascii="Garamond" w:hAnsi="Garamond"/>
          <w:sz w:val="24"/>
          <w:szCs w:val="24"/>
          <w:vertAlign w:val="superscript"/>
        </w:rPr>
        <w:footnoteReference w:id="10"/>
      </w:r>
    </w:p>
    <w:p w14:paraId="014E42B3"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Me situatën pandemike, të dhënat administrative tregojnë se deri në korrik 2020, punësimi kishte rënë me 9%. Mbi 80% e vendeve të punës në Mal të Zi janë në shërbime, të cilat janë prekur rëndë nga kriza. Megjithëse që të gjithë sektorët regjistruan rënie të punësimit, sektorët e turizmit intensiv të punës, tregtisë me pakicë dhe ndërtimit u goditën më rëndë.</w:t>
      </w:r>
    </w:p>
    <w:p w14:paraId="014E42B4"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Shqipëria është një ekonomi në tranzicion, jo shumë e integruar në flukset globale të kapitalit, por që shfaq performanca të forta ekonomike. Norma vjetore e rritjes së punësimit për popullsinë 15 vjeç e lart, nga tremujori i dytë 2019 deri në tremujorin e dytë 2020, ishte 3,6%. Në terma vjetorë, shkalla e punësimit u ul me 3,7% në sektorin e bujqësisë, 3,7% në sektorin e industrisë dhe 3,4% në sektorin e shërbimeve. Rinia në Shqipëri ka shkallën më të ulët të pjesëmarrjes dhe punësimit në fuqinë punëtore dhe normat më të larta të papunësisë në krahasim me pjesën tjetër të popullsisë. Tregu i punës vazhdon të tregojë pabarazi mes grave dhe burrave në Shqipëri. Të dhënat tregojnë punësim më të lartë të femrave sesa meshkujve vetëm në sektorët socialë si arsimi, shëndeti dhe mirëqenia.</w:t>
      </w:r>
    </w:p>
    <w:p w14:paraId="014E42B5" w14:textId="3A743496"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lastRenderedPageBreak/>
        <w:t>Në Shqipëri, boshllëqet gjinore në mundësitë ekonomike përfshijnë pjesëmarrjen e ulët në fuqinë punëtore, nivele të larta informaliteti, ndarje gjinore dhe akses të ulët në inputet produktive. Ndikimet e COVID-19 dhe fatkeqësive të tjera natyrore e përkeqësojnë edhe më shumë situatën</w:t>
      </w:r>
      <w:r w:rsidR="00B5407B" w:rsidRPr="00A90756">
        <w:rPr>
          <w:rStyle w:val="Bodytext1"/>
          <w:rFonts w:ascii="Garamond" w:hAnsi="Garamond"/>
          <w:sz w:val="24"/>
          <w:szCs w:val="24"/>
        </w:rPr>
        <w:t>,</w:t>
      </w:r>
      <w:r w:rsidRPr="00A90756">
        <w:rPr>
          <w:rStyle w:val="Bodytext1"/>
          <w:rFonts w:ascii="Garamond" w:hAnsi="Garamond"/>
          <w:sz w:val="24"/>
          <w:szCs w:val="24"/>
        </w:rPr>
        <w:t xml:space="preserve"> veçanërisht për gratë dhe vajzat që në përgjithësi fitojnë më pak, kursejnë më pak dhe kanë punë të pasigurta ose jetojnë pothuajse në varfëri.</w:t>
      </w:r>
      <w:bookmarkStart w:id="47" w:name="bookmark72"/>
      <w:bookmarkStart w:id="48" w:name="_Toc118696859"/>
    </w:p>
    <w:p w14:paraId="014E42B6" w14:textId="2D33B2A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 xml:space="preserve">Arsimi dhe </w:t>
      </w:r>
      <w:r w:rsidR="00B5407B" w:rsidRPr="00A90756">
        <w:rPr>
          <w:rStyle w:val="Heading31"/>
          <w:rFonts w:ascii="Garamond" w:hAnsi="Garamond"/>
          <w:bCs w:val="0"/>
          <w:sz w:val="24"/>
          <w:szCs w:val="24"/>
        </w:rPr>
        <w:t>r</w:t>
      </w:r>
      <w:r w:rsidRPr="00A90756">
        <w:rPr>
          <w:rStyle w:val="Heading31"/>
          <w:rFonts w:ascii="Garamond" w:hAnsi="Garamond"/>
          <w:bCs w:val="0"/>
          <w:sz w:val="24"/>
          <w:szCs w:val="24"/>
        </w:rPr>
        <w:t>inia</w:t>
      </w:r>
      <w:bookmarkEnd w:id="47"/>
      <w:bookmarkEnd w:id="48"/>
    </w:p>
    <w:p w14:paraId="014E42B7" w14:textId="33597BE6"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Sistemi arsimor në Mal të Zi menaxhohet në mënyrë të centralizuar, ndërsa në Shqipëri është i decentralizuar me përgjegjësi të ndara ndërmjet pushtetit qendror dhe atij vendor. Nivelet e pabarabarta arsimore janë të pranishme në zonën e programit, me rritjen e analfabetizmit në zonat e thella. Shkollat private dhe trajnimi profesional janë të pranishme, por ende nevojiten përpjekje të tjera për të plotësuar kërkesat e tregut të punës për punëtorë të kualifikuar. Edhe komunitetet rome duhet të integrohen më mirë në sistemin arsimor.</w:t>
      </w:r>
      <w:bookmarkStart w:id="49" w:name="bookmark75"/>
      <w:bookmarkStart w:id="50" w:name="_Toc118696860"/>
    </w:p>
    <w:p w14:paraId="014E42B8" w14:textId="270274B0"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 xml:space="preserve">Kërkimi shkencor, TIK dhe </w:t>
      </w:r>
      <w:r w:rsidR="00453BBB" w:rsidRPr="00A90756">
        <w:rPr>
          <w:rStyle w:val="Heading31"/>
          <w:rFonts w:ascii="Garamond" w:hAnsi="Garamond"/>
          <w:bCs w:val="0"/>
          <w:sz w:val="24"/>
          <w:szCs w:val="24"/>
        </w:rPr>
        <w:t>inovacion</w:t>
      </w:r>
      <w:bookmarkEnd w:id="49"/>
      <w:r w:rsidR="00453BBB" w:rsidRPr="00A90756">
        <w:rPr>
          <w:rStyle w:val="Heading31"/>
          <w:rFonts w:ascii="Garamond" w:hAnsi="Garamond"/>
          <w:bCs w:val="0"/>
          <w:sz w:val="24"/>
          <w:szCs w:val="24"/>
        </w:rPr>
        <w:t>i</w:t>
      </w:r>
      <w:bookmarkEnd w:id="50"/>
    </w:p>
    <w:p w14:paraId="014E42B9" w14:textId="102E59E3"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Mali i Zi ka një kërkim shkencor në rritje dhe niveli i financimit është gjithashtu në rritje që nga viti 2017. Aksesi në financime për Kërkim Shkencor dhe Inovacion është përmirësuar përmes mbështetjes së trajnimit për të aksesuar financimet ndërkombëtare. Shqipëria është në një fazë të hershme në fushën e shkencës dhe kërkimit shkencor. Është bërë njëfarë progresi veçanërisht me përfundimin e fazës së hartëzimit të Strategjisë së Specializimit Inteligjent.</w:t>
      </w:r>
      <w:bookmarkStart w:id="51" w:name="bookmark78"/>
      <w:bookmarkStart w:id="52" w:name="_Toc118696861"/>
    </w:p>
    <w:p w14:paraId="014E42BA"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Shëndeti</w:t>
      </w:r>
      <w:bookmarkEnd w:id="51"/>
      <w:bookmarkEnd w:id="52"/>
    </w:p>
    <w:p w14:paraId="014E42BB" w14:textId="40632915" w:rsidR="000D306C" w:rsidRPr="00A90756" w:rsidRDefault="000D306C" w:rsidP="000D306C">
      <w:pPr>
        <w:pStyle w:val="Bodytext10"/>
        <w:spacing w:after="0"/>
        <w:ind w:firstLine="284"/>
        <w:jc w:val="both"/>
        <w:rPr>
          <w:rStyle w:val="Bodytext1"/>
          <w:rFonts w:ascii="Garamond" w:hAnsi="Garamond"/>
          <w:color w:val="244061"/>
          <w:sz w:val="24"/>
          <w:szCs w:val="24"/>
        </w:rPr>
      </w:pPr>
      <w:r w:rsidRPr="00A90756">
        <w:rPr>
          <w:rStyle w:val="Bodytext1"/>
          <w:rFonts w:ascii="Garamond" w:hAnsi="Garamond"/>
          <w:sz w:val="24"/>
          <w:szCs w:val="24"/>
        </w:rPr>
        <w:t>Organizimi i sistemit shëndetësor në Mal të Zi dhe Shqipëri është i ngjashëm: kryesisht publik me një prani modeste (por në rritje) të privatit dhe me mbulim të plotë territorial</w:t>
      </w:r>
      <w:r w:rsidR="00935B5F" w:rsidRPr="00A90756">
        <w:rPr>
          <w:rStyle w:val="Bodytext1"/>
          <w:rFonts w:ascii="Garamond" w:hAnsi="Garamond"/>
          <w:sz w:val="24"/>
          <w:szCs w:val="24"/>
        </w:rPr>
        <w:t>,</w:t>
      </w:r>
      <w:r w:rsidRPr="00A90756">
        <w:rPr>
          <w:rStyle w:val="Bodytext1"/>
          <w:rFonts w:ascii="Garamond" w:hAnsi="Garamond"/>
          <w:sz w:val="24"/>
          <w:szCs w:val="24"/>
        </w:rPr>
        <w:t xml:space="preserve"> duke përfshirë kujdesin shëndetësor parësor, sekondar dhe terciar. Shërbimi i kujdesit shëndetësor parësor është pika e parë e kontaktit të popullatës për të adresuar problemet e tyre shëndetësore. Institucionet bazë që ofrojnë këto shërbime janë poliklinikat, qendrat shëndetësore, ambulancat dhe shërbimet speciale për fëmijë dhe këshillim për gratë</w:t>
      </w:r>
      <w:r w:rsidRPr="00A90756">
        <w:rPr>
          <w:rStyle w:val="Bodytext1"/>
          <w:rFonts w:ascii="Garamond" w:hAnsi="Garamond"/>
          <w:color w:val="244061"/>
          <w:sz w:val="24"/>
          <w:szCs w:val="24"/>
        </w:rPr>
        <w:t>.</w:t>
      </w:r>
      <w:bookmarkStart w:id="53" w:name="bookmark81"/>
      <w:bookmarkStart w:id="54" w:name="_Toc118696862"/>
    </w:p>
    <w:p w14:paraId="014E42BC"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Kultura</w:t>
      </w:r>
      <w:bookmarkEnd w:id="53"/>
      <w:bookmarkEnd w:id="54"/>
    </w:p>
    <w:p w14:paraId="014E42BD" w14:textId="61A48B48"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Kultura në fushën e programit në përgjithësi karakterizohet nga element</w:t>
      </w:r>
      <w:r w:rsidR="00935B5F" w:rsidRPr="00A90756">
        <w:rPr>
          <w:rStyle w:val="Bodytext1"/>
          <w:rFonts w:ascii="Garamond" w:hAnsi="Garamond"/>
          <w:sz w:val="24"/>
          <w:szCs w:val="24"/>
        </w:rPr>
        <w:t>e</w:t>
      </w:r>
      <w:r w:rsidRPr="00A90756">
        <w:rPr>
          <w:rStyle w:val="Bodytext1"/>
          <w:rFonts w:ascii="Garamond" w:hAnsi="Garamond"/>
          <w:sz w:val="24"/>
          <w:szCs w:val="24"/>
        </w:rPr>
        <w:t xml:space="preserve"> të traditave të ndryshme individuale dhe të përbashkëta. Qendrat turistike dhe qytetet e mëdha janë të pasura me trashëgimi kulturore që përfshijnë monumente dhe kulte fetare (kisha, manastire dhe xhami), qytete të vjetra, lokalitete arkeologjike të hapura për turistët, rrënoja dhe muzeume të ndryshme. Zona e programit është gjithashtu e pasur me tradita të larmishme të kuzhinës dhe zejeve që mund të luajnë një rol të rëndësishëm në promovimin dhe zhvillimin e turizmit. Investimet dhe subvencionet e kufizuara publike kanë mbajtur një nivel të ulët të aktiviteteve kulturore në zonën e programit, pavarësisht trashëgimisë së saj të pasur. Kjo kërkon nisma të reja të përbashkëta që synojnë</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shtojnë vlerë trashëgimisë së përbashkët në të dyja anët e territorit që përfitojnë nga ky program.</w:t>
      </w:r>
    </w:p>
    <w:p w14:paraId="014E42BE"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në Mal të Zi është shtëpia e një sërë besimesh, traditash dhe kulturash fetare. Zona e komunës së Kolashinit është e pasur me objekte kulturore.</w:t>
      </w:r>
    </w:p>
    <w:p w14:paraId="014E42BF"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përmban një popullsi me përbërje të përzier etnike dhe fetare (malazezë, serbë, shqiptarë, boshnjakë dhe komunitet rom), me një histori të gjatë të lidhur ngushtë me njëri-tjetrin. Një histori dhe traditë e tillë përfaqëson një terren të mirë për nisma ndërkufitare pasi marrëdhëniet ndërkufitare dhe lidhjet kulturore janë të rrënjosura thellë në mendësinë e popullsisë së zonës së programit dhe përfaqësojnë një shtyllë të strukturës sociale në zonë.</w:t>
      </w:r>
    </w:p>
    <w:p w14:paraId="014E42C0" w14:textId="77777777"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Në Shqipëri, territori i programit është i pasur me trashëgimi kulturore. Krahas kalasë së famshme të Rozafës, në Shkodër gjenden disa muze dhe një numër i konsiderueshëm objektesh arkeologjike dhe atraksionesh turistike në rajon dhe në qytet. Lezha, një park arkeologjik që nga viti 2005, ka gjithashtu rrënojat e kështjellës së saj që dominojnë qytetin, së bashku me atraksione të tjera që mund të gjenden në rajon si muzetë dhe kishat.</w:t>
      </w:r>
      <w:bookmarkStart w:id="55" w:name="bookmark84"/>
      <w:bookmarkStart w:id="56" w:name="_Toc118696863"/>
    </w:p>
    <w:p w14:paraId="014E42C1" w14:textId="77777777" w:rsidR="000D306C" w:rsidRPr="00A90756" w:rsidRDefault="000D306C" w:rsidP="000D306C">
      <w:pPr>
        <w:pStyle w:val="Bodytext10"/>
        <w:spacing w:after="0"/>
        <w:ind w:firstLine="284"/>
        <w:jc w:val="both"/>
        <w:rPr>
          <w:rFonts w:ascii="Garamond" w:hAnsi="Garamond"/>
          <w:sz w:val="24"/>
          <w:szCs w:val="24"/>
        </w:rPr>
      </w:pPr>
      <w:r w:rsidRPr="00A90756">
        <w:rPr>
          <w:rStyle w:val="Heading31"/>
          <w:rFonts w:ascii="Garamond" w:hAnsi="Garamond"/>
          <w:bCs w:val="0"/>
          <w:sz w:val="24"/>
          <w:szCs w:val="24"/>
        </w:rPr>
        <w:t>Shoqëria civile</w:t>
      </w:r>
      <w:bookmarkEnd w:id="55"/>
      <w:bookmarkEnd w:id="56"/>
    </w:p>
    <w:p w14:paraId="014E42C2" w14:textId="0A30264F"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Janë 5932 OSHC të regjistruara në Mal të Zi (417 të regjistruara gjatë vitit 2019), 4062 janë të regjistruara në zonën e programit. OS</w:t>
      </w:r>
      <w:r w:rsidR="00935B5F" w:rsidRPr="00A90756">
        <w:rPr>
          <w:rStyle w:val="Bodytext1"/>
          <w:rFonts w:ascii="Garamond" w:hAnsi="Garamond"/>
          <w:sz w:val="24"/>
          <w:szCs w:val="24"/>
        </w:rPr>
        <w:t>H</w:t>
      </w:r>
      <w:r w:rsidRPr="00A90756">
        <w:rPr>
          <w:rStyle w:val="Bodytext1"/>
          <w:rFonts w:ascii="Garamond" w:hAnsi="Garamond"/>
          <w:sz w:val="24"/>
          <w:szCs w:val="24"/>
        </w:rPr>
        <w:t xml:space="preserve">C-të më me ndikim dhe me përvojë i kanë selitë në </w:t>
      </w:r>
      <w:r w:rsidRPr="00A90756">
        <w:rPr>
          <w:rStyle w:val="Bodytext1"/>
          <w:rFonts w:ascii="Garamond" w:hAnsi="Garamond"/>
          <w:sz w:val="24"/>
          <w:szCs w:val="24"/>
        </w:rPr>
        <w:lastRenderedPageBreak/>
        <w:t xml:space="preserve">Podgoricë (2392 që përbëjnë më shumë se 50%) dhe janë aktive në sektorë të ndryshëm (të drejtat e njeriut, politikat publike, mjedisi dhe zhvillimi rural, ngritja e kapaciteteve, personat me aftësi të kufizuara etj.). Shumica prej tyre kanë përvojë në hartimin e projekteve BNK. Në rajonet e tjera dhe veçanërisht në rajonin verior, situata e OSHC-ve është më e pasigurt. Zyrtarisht janë 11739 OSHC të regjistruara në Shqipëri (313 të reja të regjistruara </w:t>
      </w:r>
      <w:r w:rsidR="00451AB3" w:rsidRPr="00A90756">
        <w:rPr>
          <w:rStyle w:val="Bodytext1"/>
          <w:rFonts w:ascii="Garamond" w:hAnsi="Garamond"/>
          <w:sz w:val="24"/>
          <w:szCs w:val="24"/>
        </w:rPr>
        <w:t>m</w:t>
      </w:r>
      <w:r w:rsidRPr="00A90756">
        <w:rPr>
          <w:rStyle w:val="Bodytext1"/>
          <w:rFonts w:ascii="Garamond" w:hAnsi="Garamond"/>
          <w:sz w:val="24"/>
          <w:szCs w:val="24"/>
        </w:rPr>
        <w:t>ë 2019). Shumica e OSHC-ve janë të përqendruara në kryeqytet (Tiranë), ose në rajonin qendror (i cili përfshin Tiranën dhe qytetet kryesore si Shkodrën, Durrësin, Elbasanin dhe Korçën). Shoqëria civile është e përfaqësuar dobët në të gjitha zonat rurale. O</w:t>
      </w:r>
      <w:r w:rsidR="00C61854" w:rsidRPr="00A90756">
        <w:rPr>
          <w:rStyle w:val="Bodytext1"/>
          <w:rFonts w:ascii="Garamond" w:hAnsi="Garamond"/>
          <w:sz w:val="24"/>
          <w:szCs w:val="24"/>
        </w:rPr>
        <w:t>SHC</w:t>
      </w:r>
      <w:r w:rsidRPr="00A90756">
        <w:rPr>
          <w:rStyle w:val="Bodytext1"/>
          <w:rFonts w:ascii="Garamond" w:hAnsi="Garamond"/>
          <w:sz w:val="24"/>
          <w:szCs w:val="24"/>
        </w:rPr>
        <w:t>-të i përkushtohen kryesisht a</w:t>
      </w:r>
      <w:r w:rsidR="00935B5F" w:rsidRPr="00A90756">
        <w:rPr>
          <w:rStyle w:val="Bodytext1"/>
          <w:rFonts w:ascii="Garamond" w:hAnsi="Garamond"/>
          <w:sz w:val="24"/>
          <w:szCs w:val="24"/>
        </w:rPr>
        <w:t>d</w:t>
      </w:r>
      <w:r w:rsidRPr="00A90756">
        <w:rPr>
          <w:rStyle w:val="Bodytext1"/>
          <w:rFonts w:ascii="Garamond" w:hAnsi="Garamond"/>
          <w:sz w:val="24"/>
          <w:szCs w:val="24"/>
        </w:rPr>
        <w:t>vokimit dhe kërkimit shkencor në fushat e promovimit të të drejtave të njeriut, mbrojtjes dhe të drejtave të fëmijëve, demokracisë dhe mirëqeverisjes, si dhe grupeve të ekspertëve të politikave dhe zhvillimit ekonomik. Qasja në financimin shtetëror dhe privat është e kufizuar.</w:t>
      </w:r>
    </w:p>
    <w:p w14:paraId="014E42C3" w14:textId="39B555D5"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 xml:space="preserve">Kuadri </w:t>
      </w:r>
      <w:r w:rsidR="00451AB3" w:rsidRPr="00A90756">
        <w:rPr>
          <w:rStyle w:val="Bodytext1"/>
          <w:rFonts w:ascii="Garamond" w:hAnsi="Garamond"/>
          <w:b/>
          <w:bCs/>
          <w:sz w:val="24"/>
          <w:szCs w:val="24"/>
        </w:rPr>
        <w:t>ligjor i autoriteteve ligjore rajonale</w:t>
      </w:r>
    </w:p>
    <w:p w14:paraId="014E42C4" w14:textId="7B2EA425" w:rsidR="000D306C" w:rsidRPr="00A90756" w:rsidRDefault="000D306C" w:rsidP="000D306C">
      <w:pPr>
        <w:pStyle w:val="AAAATEXXX"/>
      </w:pPr>
      <w:r w:rsidRPr="00A90756">
        <w:rPr>
          <w:rStyle w:val="Bodytext1"/>
          <w:rFonts w:ascii="Garamond" w:hAnsi="Garamond"/>
          <w:sz w:val="24"/>
          <w:szCs w:val="24"/>
        </w:rPr>
        <w:t xml:space="preserve">Mali i Zi është shtet unitar. I vetmi nivel nënkombëtar formohet nga 24 bashki dhe nuk ka rajone apo nivele të tjera ndërmjetëse të qeverisjes. Gjatë procesit të reformës së Malit të Zi, </w:t>
      </w:r>
      <w:r w:rsidR="00AE64AA" w:rsidRPr="00A90756">
        <w:rPr>
          <w:rStyle w:val="Bodytext1"/>
          <w:rFonts w:ascii="Garamond" w:hAnsi="Garamond"/>
          <w:sz w:val="24"/>
          <w:szCs w:val="24"/>
        </w:rPr>
        <w:t>“</w:t>
      </w:r>
      <w:r w:rsidRPr="00A90756">
        <w:rPr>
          <w:rStyle w:val="Bodytext1"/>
          <w:rFonts w:ascii="Garamond" w:hAnsi="Garamond"/>
          <w:sz w:val="24"/>
          <w:szCs w:val="24"/>
        </w:rPr>
        <w:t xml:space="preserve">Ligji për </w:t>
      </w:r>
      <w:r w:rsidR="00935B5F" w:rsidRPr="00A90756">
        <w:rPr>
          <w:rStyle w:val="Bodytext1"/>
          <w:rFonts w:ascii="Garamond" w:hAnsi="Garamond"/>
          <w:sz w:val="24"/>
          <w:szCs w:val="24"/>
        </w:rPr>
        <w:t>zhvillimin rajonal</w:t>
      </w:r>
      <w:r w:rsidR="00AE64AA" w:rsidRPr="00A90756">
        <w:rPr>
          <w:rStyle w:val="Bodytext1"/>
          <w:rFonts w:ascii="Garamond" w:hAnsi="Garamond"/>
          <w:sz w:val="24"/>
          <w:szCs w:val="24"/>
        </w:rPr>
        <w:t>”</w:t>
      </w:r>
      <w:r w:rsidRPr="00A90756">
        <w:rPr>
          <w:rStyle w:val="Bodytext1"/>
          <w:rFonts w:ascii="Garamond" w:hAnsi="Garamond"/>
          <w:sz w:val="24"/>
          <w:szCs w:val="24"/>
        </w:rPr>
        <w:t xml:space="preserve"> i vitit 2011 e ndau vendin në tre rajone për qëllime statistikore, pa kompetenca legjislative apo zbatuese që u jepeshin atyre rajoneve. Në </w:t>
      </w:r>
      <w:r w:rsidRPr="00A90756">
        <w:rPr>
          <w:rStyle w:val="Bodytext1"/>
          <w:rFonts w:ascii="Garamond" w:hAnsi="Garamond"/>
          <w:bCs/>
          <w:sz w:val="24"/>
          <w:szCs w:val="24"/>
        </w:rPr>
        <w:t>Shqipëri</w:t>
      </w:r>
      <w:r w:rsidRPr="00A90756">
        <w:rPr>
          <w:rStyle w:val="Bodytext1"/>
          <w:rFonts w:ascii="Garamond" w:hAnsi="Garamond"/>
          <w:sz w:val="24"/>
          <w:szCs w:val="24"/>
        </w:rPr>
        <w:t xml:space="preserve">, qeverisja vendore ka pësuar një sërë reformash strukturore dhe institucionale, duke filluar nga Reforma Administrative dhe Territoriale, e cila synonte transformimin e cilësisë së qeverisjes vendore duke forcuar autonominë vendore, rritjen e kapaciteteve institucionale të administratave vendore dhe efikasitetin e shërbimeve publike. Ligji </w:t>
      </w:r>
      <w:r w:rsidR="00AE64AA" w:rsidRPr="00A90756">
        <w:rPr>
          <w:rStyle w:val="Bodytext1"/>
          <w:rFonts w:ascii="Garamond" w:hAnsi="Garamond"/>
          <w:sz w:val="24"/>
          <w:szCs w:val="24"/>
        </w:rPr>
        <w:t>“</w:t>
      </w:r>
      <w:r w:rsidRPr="00A90756">
        <w:rPr>
          <w:rStyle w:val="Bodytext1"/>
          <w:rFonts w:ascii="Garamond" w:hAnsi="Garamond"/>
          <w:sz w:val="24"/>
          <w:szCs w:val="24"/>
        </w:rPr>
        <w:t>Për ndarjen territoriale dhe administrative të njësive të qeverisjes vendore në Republikën e Shqipërisë</w:t>
      </w:r>
      <w:r w:rsidR="00AE64AA" w:rsidRPr="00A90756">
        <w:rPr>
          <w:rStyle w:val="Bodytext1"/>
          <w:rFonts w:ascii="Garamond" w:hAnsi="Garamond"/>
          <w:sz w:val="24"/>
          <w:szCs w:val="24"/>
        </w:rPr>
        <w:t>”</w:t>
      </w:r>
      <w:r w:rsidRPr="00A90756">
        <w:rPr>
          <w:rStyle w:val="Bodytext1"/>
          <w:rFonts w:ascii="Garamond" w:hAnsi="Garamond"/>
          <w:sz w:val="24"/>
          <w:szCs w:val="24"/>
        </w:rPr>
        <w:t>, miratuar nga Kuvendi i Shqipërisë në korrik 2014 dhe në fuqi që prej dhjetorit 2014, e ndan vendin në 12 prefektura dhe 61 bashki.</w:t>
      </w:r>
    </w:p>
    <w:p w14:paraId="014E42C5" w14:textId="24434D98" w:rsidR="000D306C" w:rsidRPr="00A90756" w:rsidRDefault="000D306C" w:rsidP="000D306C">
      <w:pPr>
        <w:pStyle w:val="AAAATEXXX"/>
      </w:pPr>
      <w:bookmarkStart w:id="57" w:name="bookmark87"/>
      <w:bookmarkStart w:id="58" w:name="_Toc118696864"/>
      <w:r w:rsidRPr="00A90756">
        <w:rPr>
          <w:rStyle w:val="Heading21"/>
          <w:rFonts w:ascii="Garamond" w:hAnsi="Garamond"/>
          <w:bCs w:val="0"/>
        </w:rPr>
        <w:t>2.2 Gjetjet kryesore</w:t>
      </w:r>
      <w:bookmarkEnd w:id="57"/>
      <w:bookmarkEnd w:id="58"/>
    </w:p>
    <w:p w14:paraId="014E42C6" w14:textId="5432041A" w:rsidR="000D306C" w:rsidRPr="00A90756" w:rsidRDefault="000D306C" w:rsidP="000D306C">
      <w:pPr>
        <w:pStyle w:val="AAAATEXXX"/>
      </w:pPr>
      <w:r w:rsidRPr="00A90756">
        <w:rPr>
          <w:rStyle w:val="Bodytext1"/>
          <w:rFonts w:ascii="Garamond" w:hAnsi="Garamond"/>
          <w:sz w:val="24"/>
          <w:szCs w:val="24"/>
        </w:rPr>
        <w:t>Zona e programit ndan vlera dhe veçori të përbashkëta, por në të njëjtën kohë është e larmishme, gjë që përfshin një potencial të madh për</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angazhuar në iniciativa ndërkufitare dhe për të transferuar njohuritë, për të punuar së bashku, për të krijuar sinergji për të rritur cilësinë e shërbimeve dhe për të rritur zhvillimin ekonomik. Disa veçori specifike që vlen të përmenden janë natyra, pozicioni gjeografik, tendencat demografike, ekonomia dhe burimet njerëzore.</w:t>
      </w:r>
    </w:p>
    <w:p w14:paraId="014E42C7" w14:textId="2F83519F" w:rsidR="000D306C" w:rsidRPr="00A90756" w:rsidRDefault="000D306C" w:rsidP="000D306C">
      <w:pPr>
        <w:pStyle w:val="AAAATEXXX"/>
      </w:pPr>
      <w:r w:rsidRPr="00A90756">
        <w:rPr>
          <w:rStyle w:val="Bodytext1"/>
          <w:rFonts w:ascii="Garamond" w:hAnsi="Garamond"/>
          <w:sz w:val="24"/>
          <w:szCs w:val="24"/>
        </w:rPr>
        <w:t>Programi duhet të ndërtohet mbi praktikat më të mira dhe pasurinë e iniciativave të ndërmarra përmes IPA I dhe II BNK midis të dyja vendeve dhe programeve të tjera ETC si Itali</w:t>
      </w:r>
      <w:r w:rsidR="00C61854" w:rsidRPr="00A90756">
        <w:rPr>
          <w:rStyle w:val="SubtleEmphasis"/>
          <w:i w:val="0"/>
          <w:iCs w:val="0"/>
        </w:rPr>
        <w:t>–</w:t>
      </w:r>
      <w:r w:rsidRPr="00A90756">
        <w:rPr>
          <w:rStyle w:val="Bodytext1"/>
          <w:rFonts w:ascii="Garamond" w:hAnsi="Garamond"/>
          <w:sz w:val="24"/>
          <w:szCs w:val="24"/>
        </w:rPr>
        <w:t>Shqipëri</w:t>
      </w:r>
      <w:r w:rsidR="00C61854" w:rsidRPr="00A90756">
        <w:rPr>
          <w:rStyle w:val="SubtleEmphasis"/>
          <w:i w:val="0"/>
          <w:iCs w:val="0"/>
        </w:rPr>
        <w:t>–</w:t>
      </w:r>
      <w:r w:rsidRPr="00A90756">
        <w:rPr>
          <w:rStyle w:val="Bodytext1"/>
          <w:rFonts w:ascii="Garamond" w:hAnsi="Garamond"/>
          <w:sz w:val="24"/>
          <w:szCs w:val="24"/>
        </w:rPr>
        <w:t>Mali i Zi, Strategjia e BE-së për Rajonin Adriatik dhe Jon</w:t>
      </w:r>
      <w:r w:rsidR="00935B5F" w:rsidRPr="00A90756">
        <w:rPr>
          <w:rStyle w:val="Bodytext1"/>
          <w:rFonts w:ascii="Garamond" w:hAnsi="Garamond"/>
          <w:sz w:val="24"/>
          <w:szCs w:val="24"/>
        </w:rPr>
        <w:t>,</w:t>
      </w:r>
      <w:r w:rsidRPr="00A90756">
        <w:rPr>
          <w:rStyle w:val="Bodytext1"/>
          <w:rFonts w:ascii="Garamond" w:hAnsi="Garamond"/>
          <w:sz w:val="24"/>
          <w:szCs w:val="24"/>
        </w:rPr>
        <w:t xml:space="preserve"> dhe programet e Bashkimit si Erasmus. Plus, Creative Europe, EaSI, Europe for Citizens, Horizon Europe, COSME etj. të cilat janë në programim edhe për </w:t>
      </w:r>
      <w:r w:rsidR="00935B5F" w:rsidRPr="00A90756">
        <w:rPr>
          <w:rStyle w:val="Bodytext1"/>
          <w:rFonts w:ascii="Garamond" w:hAnsi="Garamond"/>
          <w:sz w:val="24"/>
          <w:szCs w:val="24"/>
        </w:rPr>
        <w:t xml:space="preserve">vitet </w:t>
      </w:r>
      <w:r w:rsidRPr="00A90756">
        <w:rPr>
          <w:rStyle w:val="Bodytext1"/>
          <w:rFonts w:ascii="Garamond" w:hAnsi="Garamond"/>
          <w:sz w:val="24"/>
          <w:szCs w:val="24"/>
        </w:rPr>
        <w:t>2021</w:t>
      </w:r>
      <w:r w:rsidR="00935B5F" w:rsidRPr="00A90756">
        <w:rPr>
          <w:rStyle w:val="Bodytext1"/>
          <w:rFonts w:ascii="Garamond" w:hAnsi="Garamond"/>
          <w:sz w:val="24"/>
          <w:szCs w:val="24"/>
        </w:rPr>
        <w:t>–</w:t>
      </w:r>
      <w:r w:rsidRPr="00A90756">
        <w:rPr>
          <w:rStyle w:val="Bodytext1"/>
          <w:rFonts w:ascii="Garamond" w:hAnsi="Garamond"/>
          <w:sz w:val="24"/>
          <w:szCs w:val="24"/>
        </w:rPr>
        <w:t>2027 dhe ku marrin pjesë të dyja vendet. Këtu përfshihen IPARD II dhe IPARD III.</w:t>
      </w:r>
    </w:p>
    <w:p w14:paraId="014E42C8" w14:textId="77777777" w:rsidR="000D306C" w:rsidRPr="00A90756" w:rsidRDefault="000D306C" w:rsidP="000D306C">
      <w:pPr>
        <w:pStyle w:val="AAAATEXXX"/>
      </w:pPr>
      <w:r w:rsidRPr="00A90756">
        <w:rPr>
          <w:rStyle w:val="Bodytext1"/>
          <w:rFonts w:ascii="Garamond" w:hAnsi="Garamond"/>
          <w:sz w:val="24"/>
          <w:szCs w:val="24"/>
        </w:rPr>
        <w:t>Gjetjet bazë të zonës së programit për BNK janë paraqitur më poshtë:</w:t>
      </w:r>
    </w:p>
    <w:p w14:paraId="014E42C9" w14:textId="5BDF1AF9" w:rsidR="000D306C" w:rsidRPr="00A90756" w:rsidRDefault="000D306C" w:rsidP="000D306C">
      <w:pPr>
        <w:pStyle w:val="AAAATEXXX"/>
      </w:pPr>
      <w:r w:rsidRPr="00A90756">
        <w:rPr>
          <w:rStyle w:val="Bodytext1"/>
          <w:rFonts w:ascii="Garamond" w:hAnsi="Garamond"/>
          <w:bCs/>
          <w:sz w:val="24"/>
          <w:szCs w:val="24"/>
        </w:rPr>
        <w:t xml:space="preserve">- </w:t>
      </w:r>
      <w:r w:rsidRPr="00A90756">
        <w:rPr>
          <w:rStyle w:val="Bodytext1"/>
          <w:rFonts w:ascii="Garamond" w:hAnsi="Garamond"/>
          <w:b/>
          <w:bCs/>
          <w:sz w:val="24"/>
          <w:szCs w:val="24"/>
        </w:rPr>
        <w:t>Karakteristikat ekonomike</w:t>
      </w:r>
      <w:r w:rsidRPr="00A90756">
        <w:rPr>
          <w:rStyle w:val="Bodytext1"/>
          <w:rFonts w:ascii="Garamond" w:hAnsi="Garamond"/>
          <w:sz w:val="24"/>
          <w:szCs w:val="24"/>
        </w:rPr>
        <w:t xml:space="preserve"> të të dyja vendeve tregojnë tendenca të ngjashme. Megjithatë, struktura e ekonomive të tyre është paksa e ndryshme. Mali i Zi është një ekonomi e vogël dhe e hapur, kurse </w:t>
      </w:r>
      <w:r w:rsidRPr="00A90756">
        <w:rPr>
          <w:rStyle w:val="Bodytext1"/>
          <w:rFonts w:ascii="Garamond" w:hAnsi="Garamond"/>
          <w:color w:val="111111"/>
          <w:sz w:val="24"/>
          <w:szCs w:val="24"/>
        </w:rPr>
        <w:t xml:space="preserve">Shqipëria është një ekonomi në tranzicion. </w:t>
      </w:r>
      <w:r w:rsidRPr="00A90756">
        <w:rPr>
          <w:rStyle w:val="Bodytext1"/>
          <w:rFonts w:ascii="Garamond" w:hAnsi="Garamond"/>
          <w:sz w:val="24"/>
          <w:szCs w:val="24"/>
        </w:rPr>
        <w:t>Megjithatë, të dyja anët e zonës së programit po bëhen gjithnjë e më tërheqëse për investitorët e huaj, por ka nevojë nga të dyja palët për të përmirësuar kushtet dhe veçanërisht infrastrukturën për të bërë biznes. Investimet në turizëm, energji të rinovueshme dhe bujqësi mund të jenë sektorë potencialë për tërheqjen e më shumë IHD-ve. Industria e lehtë dhe industria e përpunimit të ushqimit konsiderohen gjithashtu si një potencial për rritje të përshpejtuar ekonomike në zonën e programit. Ndërkohë, rajonet shqiptare mbështeten te bujqësia, shërbimet, tregjet me shumicë dhe me pakicë; rajonet malazeze kanë industri më të zhvilluar (industrinë e drurit, lëkurës etj.) dhe niveli i turizmit është shumë i zhvilluar. Bujqësia është zakonisht e rëndësishme për të dyja palët.</w:t>
      </w:r>
    </w:p>
    <w:p w14:paraId="014E42CA" w14:textId="30EA333E" w:rsidR="000D306C" w:rsidRPr="00A90756" w:rsidRDefault="000D306C" w:rsidP="000D306C">
      <w:pPr>
        <w:pStyle w:val="AAAATEXXX"/>
      </w:pPr>
      <w:r w:rsidRPr="00A90756">
        <w:rPr>
          <w:rStyle w:val="Bodytext1"/>
          <w:rFonts w:ascii="Garamond" w:hAnsi="Garamond"/>
          <w:bCs/>
          <w:sz w:val="24"/>
          <w:szCs w:val="24"/>
        </w:rPr>
        <w:t>-</w:t>
      </w:r>
      <w:r w:rsidRPr="00A90756">
        <w:rPr>
          <w:rStyle w:val="Bodytext1"/>
          <w:rFonts w:ascii="Garamond" w:hAnsi="Garamond"/>
          <w:b/>
          <w:bCs/>
          <w:sz w:val="24"/>
          <w:szCs w:val="24"/>
        </w:rPr>
        <w:t xml:space="preserve"> Bujqësia</w:t>
      </w:r>
      <w:r w:rsidRPr="00A90756">
        <w:rPr>
          <w:rStyle w:val="Bodytext1"/>
          <w:rFonts w:ascii="Garamond" w:hAnsi="Garamond"/>
          <w:sz w:val="24"/>
          <w:szCs w:val="24"/>
        </w:rPr>
        <w:t xml:space="preserve"> është një potencial i madh ekonomik në fushën e programit. Në përgjithësi, ekonomia rurale është e fragmentuar, shumë më shumë në anën shqiptare, dhe ekonomitë e vogla bujqësore e kanë të vështirë të hyjnë në tregje. Prodhimi është mesatarisht i larmishëm dhe gama e prodhimeve kryesore bujqësore në të dyja anët e kufirit është më shumë komplementare sesa konkurruese. Përmirësimi i efikasitetit në bujqësi për zhvillimin e burimeve shtesë të të ardhurave, </w:t>
      </w:r>
      <w:r w:rsidRPr="00A90756">
        <w:rPr>
          <w:rStyle w:val="Bodytext1"/>
          <w:rFonts w:ascii="Garamond" w:hAnsi="Garamond"/>
          <w:sz w:val="24"/>
          <w:szCs w:val="24"/>
        </w:rPr>
        <w:lastRenderedPageBreak/>
        <w:t>duke ruajtur pasuritë natyrore dhe gjetjen e sinergjive me turizmin, do të ishte një potencial. Përmirësimi i mëtejshëm i aksesit në tregje, veçanërisht për produktet vendore, investimet në infrastrukturën rurale dhe menaxhimi më i mirë i burimeve ujore mund të jenë gjithashtu prioritete në zonën e programit. Modernizimi i bujqësisë, përmirësimi i proceseve të prodhimit dhe vendosja e standardeve të BE-së për sigurinë ushqimore janë sfida që duhen trajtuar në fushën e programit. Iniciativat ndërkufitare mund të mbështesin dhe promovojnë: i</w:t>
      </w:r>
      <w:r w:rsidR="00C61854" w:rsidRPr="00A90756">
        <w:rPr>
          <w:rStyle w:val="Bodytext1"/>
          <w:rFonts w:ascii="Garamond" w:hAnsi="Garamond"/>
          <w:sz w:val="24"/>
          <w:szCs w:val="24"/>
        </w:rPr>
        <w:t>.</w:t>
      </w:r>
      <w:r w:rsidRPr="00A90756">
        <w:rPr>
          <w:rStyle w:val="Bodytext1"/>
          <w:rFonts w:ascii="Garamond" w:hAnsi="Garamond"/>
          <w:sz w:val="24"/>
          <w:szCs w:val="24"/>
        </w:rPr>
        <w:t xml:space="preserve"> diversifikimin e aktiviteteve rurale (p.sh. akomodimin turistik në ferma); ii</w:t>
      </w:r>
      <w:r w:rsidR="00C61854" w:rsidRPr="00A90756">
        <w:rPr>
          <w:rStyle w:val="Bodytext1"/>
          <w:rFonts w:ascii="Garamond" w:hAnsi="Garamond"/>
          <w:sz w:val="24"/>
          <w:szCs w:val="24"/>
        </w:rPr>
        <w:t>.</w:t>
      </w:r>
      <w:r w:rsidRPr="00A90756">
        <w:rPr>
          <w:rStyle w:val="Bodytext1"/>
          <w:rFonts w:ascii="Garamond" w:hAnsi="Garamond"/>
          <w:sz w:val="24"/>
          <w:szCs w:val="24"/>
        </w:rPr>
        <w:t xml:space="preserve"> aksesin në tregje dhe zhvillimin e prodhimit dhe tregtimit të produkteve ushqimore organike dhe artizanatit; iii</w:t>
      </w:r>
      <w:r w:rsidR="00C61854" w:rsidRPr="00A90756">
        <w:rPr>
          <w:rStyle w:val="Bodytext1"/>
          <w:rFonts w:ascii="Garamond" w:hAnsi="Garamond"/>
          <w:sz w:val="24"/>
          <w:szCs w:val="24"/>
        </w:rPr>
        <w:t xml:space="preserve">. </w:t>
      </w:r>
      <w:r w:rsidRPr="00A90756">
        <w:rPr>
          <w:rStyle w:val="Bodytext1"/>
          <w:rFonts w:ascii="Garamond" w:hAnsi="Garamond"/>
          <w:sz w:val="24"/>
          <w:szCs w:val="24"/>
        </w:rPr>
        <w:t>mbrojtjen (p.sh. emërtimin e mbrojtur të origjinës) dhe tregtimin e produkteve tradicionale bujqësore dhe agroushqimore; dhe iv</w:t>
      </w:r>
      <w:r w:rsidR="00C61854" w:rsidRPr="00A90756">
        <w:rPr>
          <w:rStyle w:val="Bodytext1"/>
          <w:rFonts w:ascii="Garamond" w:hAnsi="Garamond"/>
          <w:sz w:val="24"/>
          <w:szCs w:val="24"/>
        </w:rPr>
        <w:t>.</w:t>
      </w:r>
      <w:r w:rsidRPr="00A90756">
        <w:rPr>
          <w:rStyle w:val="Bodytext1"/>
          <w:rFonts w:ascii="Garamond" w:hAnsi="Garamond"/>
          <w:sz w:val="24"/>
          <w:szCs w:val="24"/>
        </w:rPr>
        <w:t xml:space="preserve"> bashkëpunimin ndërmjet fermerëve dhe prodhuesve të tjerë. Në kontekstin e turizmit rural, duhet të gjenden komplementaritete ndërmjet këtij programi dhe IPARD II</w:t>
      </w:r>
      <w:r w:rsidR="00935B5F" w:rsidRPr="00A90756">
        <w:rPr>
          <w:rStyle w:val="Bodytext1"/>
          <w:rFonts w:ascii="Garamond" w:hAnsi="Garamond"/>
          <w:sz w:val="24"/>
          <w:szCs w:val="24"/>
        </w:rPr>
        <w:t>,</w:t>
      </w:r>
      <w:r w:rsidRPr="00A90756">
        <w:rPr>
          <w:rStyle w:val="Bodytext1"/>
          <w:rFonts w:ascii="Garamond" w:hAnsi="Garamond"/>
          <w:sz w:val="24"/>
          <w:szCs w:val="24"/>
        </w:rPr>
        <w:t xml:space="preserve"> dhe IPARD III</w:t>
      </w:r>
      <w:r w:rsidR="00935B5F" w:rsidRPr="00A90756">
        <w:rPr>
          <w:rStyle w:val="Bodytext1"/>
          <w:rFonts w:ascii="Garamond" w:hAnsi="Garamond"/>
          <w:sz w:val="24"/>
          <w:szCs w:val="24"/>
        </w:rPr>
        <w:t>,</w:t>
      </w:r>
      <w:r w:rsidRPr="00A90756">
        <w:rPr>
          <w:rStyle w:val="Bodytext1"/>
          <w:rFonts w:ascii="Garamond" w:hAnsi="Garamond"/>
          <w:sz w:val="24"/>
          <w:szCs w:val="24"/>
        </w:rPr>
        <w:t xml:space="preserve"> në lidhje me operacionet që mbështesin turizmin rural dhe produktet bujqësore për të ndihmuar në diversifikimin e produkteve dhe të shërbimeve turistike.</w:t>
      </w:r>
    </w:p>
    <w:p w14:paraId="014E42CB" w14:textId="77777777" w:rsidR="000D306C" w:rsidRPr="00A90756" w:rsidRDefault="000D306C" w:rsidP="000D306C">
      <w:pPr>
        <w:pStyle w:val="AAAATEXXX"/>
      </w:pPr>
      <w:r w:rsidRPr="00A90756">
        <w:rPr>
          <w:rStyle w:val="Bodytext1"/>
          <w:rFonts w:ascii="Garamond" w:hAnsi="Garamond"/>
          <w:bCs/>
          <w:sz w:val="24"/>
          <w:szCs w:val="24"/>
        </w:rPr>
        <w:t xml:space="preserve">- </w:t>
      </w:r>
      <w:r w:rsidRPr="00A90756">
        <w:rPr>
          <w:rStyle w:val="Bodytext1"/>
          <w:rFonts w:ascii="Garamond" w:hAnsi="Garamond"/>
          <w:b/>
          <w:bCs/>
          <w:sz w:val="24"/>
          <w:szCs w:val="24"/>
        </w:rPr>
        <w:t>Papunësia</w:t>
      </w:r>
      <w:r w:rsidRPr="00A90756">
        <w:rPr>
          <w:rStyle w:val="Bodytext1"/>
          <w:rFonts w:ascii="Garamond" w:hAnsi="Garamond"/>
          <w:sz w:val="24"/>
          <w:szCs w:val="24"/>
        </w:rPr>
        <w:t xml:space="preserve"> mbetet një problem për popullsinë e zonës së programit, veçanërisht për grupet e ndjeshme shoqërore si të rinjtë dhe popullsia rurale, gratë, romët. Pasiguria e </w:t>
      </w:r>
      <w:r w:rsidRPr="00A90756">
        <w:rPr>
          <w:rStyle w:val="Bodytext1"/>
          <w:rFonts w:ascii="Garamond" w:hAnsi="Garamond"/>
          <w:bCs/>
          <w:sz w:val="24"/>
          <w:szCs w:val="24"/>
        </w:rPr>
        <w:t>punësimit</w:t>
      </w:r>
      <w:r w:rsidRPr="00A90756">
        <w:rPr>
          <w:rStyle w:val="Bodytext1"/>
          <w:rFonts w:ascii="Garamond" w:hAnsi="Garamond"/>
          <w:sz w:val="24"/>
          <w:szCs w:val="24"/>
        </w:rPr>
        <w:t xml:space="preserve"> konsiderohet si arsyeja kryesore për një shkallë të lartë migrimi, veçanërisht në zonat rurale ose më pak të zhvilluara ku shkalla e papunësisë është e lartë si rezultat i prodhimit bujqësor të vogël dhe sa për mbijetesë. Çështje të tilla mund të trajtohen shumë mirë në turizëm së bashku me praktikat bujqësore të qëndrueshme dhe inovative, duke qenë shtylla kurrizore e ekonomisë së Malit të Zi dhe strategjike për nxitjen e punësimit për Shqipërinë.</w:t>
      </w:r>
    </w:p>
    <w:p w14:paraId="014E42CC" w14:textId="77777777" w:rsidR="000D306C" w:rsidRPr="00A90756" w:rsidRDefault="000D306C" w:rsidP="000D306C">
      <w:pPr>
        <w:pStyle w:val="AAAATEXXX"/>
      </w:pPr>
      <w:r w:rsidRPr="00A90756">
        <w:rPr>
          <w:rStyle w:val="Bodytext1"/>
          <w:rFonts w:ascii="Garamond" w:hAnsi="Garamond"/>
          <w:bCs/>
          <w:sz w:val="24"/>
          <w:szCs w:val="24"/>
        </w:rPr>
        <w:t>-</w:t>
      </w:r>
      <w:r w:rsidRPr="00A90756">
        <w:rPr>
          <w:rStyle w:val="Bodytext1"/>
          <w:rFonts w:ascii="Garamond" w:hAnsi="Garamond"/>
          <w:b/>
          <w:bCs/>
          <w:sz w:val="24"/>
          <w:szCs w:val="24"/>
        </w:rPr>
        <w:t xml:space="preserve"> Mbrojtja e mjedisit</w:t>
      </w:r>
      <w:r w:rsidRPr="00A90756">
        <w:rPr>
          <w:rStyle w:val="Bodytext1"/>
          <w:rFonts w:ascii="Garamond" w:hAnsi="Garamond"/>
          <w:sz w:val="24"/>
          <w:szCs w:val="24"/>
        </w:rPr>
        <w:t xml:space="preserve"> duhet të merret seriozisht në konsideratë në planet e ardhshme të zhvillimit të zonës së programit. Me zhvillimin e përgjithshëm të zonës së programit që mbështetet kryesisht në burimet natyrore, mbrojtja e mjedisit dhe ruajtja e këtyre burimeve është thelbësore për zhvillimin e qëndrueshëm të zonës. Përmirësimi i menaxhimit të mbetjeve, kontrolli i ndotjes, masat e ripyllëzimit, blegtoria e qëndrueshme, përdorimi efikas i burimeve të energjisë, administrimi i fatkeqësive natyrore dhe fatkeqësive të shkaktuara nga njeriu, si dhe përmirësimi i menaxhimit të tokës janë ndër prioritetet kryesore që duhen adresuar nga planet e zhvillimit qeveritar dhe lokal. Valorizimi i mëtejshëm i burimeve natyrore për zhvillim ekonomik është një çështje kyçe në këtë zonë, veçanërisht nga pala shqiptare.</w:t>
      </w:r>
    </w:p>
    <w:p w14:paraId="014E42CD" w14:textId="7294DF93" w:rsidR="000D306C" w:rsidRPr="00A90756" w:rsidRDefault="000D306C" w:rsidP="000D306C">
      <w:pPr>
        <w:pStyle w:val="AAAATEXXX"/>
      </w:pPr>
      <w:r w:rsidRPr="00A90756">
        <w:rPr>
          <w:rStyle w:val="Bodytext1"/>
          <w:rFonts w:ascii="Garamond" w:hAnsi="Garamond"/>
          <w:sz w:val="24"/>
          <w:szCs w:val="24"/>
        </w:rPr>
        <w:t xml:space="preserve">- Zona e programit ka një </w:t>
      </w:r>
      <w:r w:rsidRPr="00A90756">
        <w:rPr>
          <w:rStyle w:val="Bodytext1"/>
          <w:rFonts w:ascii="Garamond" w:hAnsi="Garamond"/>
          <w:bCs/>
          <w:sz w:val="24"/>
          <w:szCs w:val="24"/>
        </w:rPr>
        <w:t>potencial të lartë turistik,</w:t>
      </w:r>
      <w:r w:rsidRPr="00A90756">
        <w:rPr>
          <w:rStyle w:val="Bodytext1"/>
          <w:rFonts w:ascii="Garamond" w:hAnsi="Garamond"/>
          <w:sz w:val="24"/>
          <w:szCs w:val="24"/>
        </w:rPr>
        <w:t xml:space="preserve"> por mundësi të tilla shfrytëzohen kryesisht nga ana e Malit të Zi, ndërkohë që turizmi në anën shqiptare është ende në zhvillim me vëmendje dhe fokus në rritje si nga politikëbërësit kombëtarë ashtu edhe ata vendorë. Duhet të merren parasysh iniciativat BNK që synojnë të prodhojnë një ofertë të përbashkët turistike. Sinergji të dukshme, potencialisht për</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 xml:space="preserve">mbështetur nga programi BNK, mund të ndërtohen midis rajoneve në Shqipëri dhe zonave bregdetare në Mal të Zi (duke u zhvilluar brenda zonës së programit dhe turizmit bregdetar që mund të shërbejë si urë lidhëse), por edhe me </w:t>
      </w:r>
      <w:r w:rsidR="00AE64AA" w:rsidRPr="00A90756">
        <w:rPr>
          <w:rStyle w:val="Bodytext1"/>
          <w:rFonts w:ascii="Garamond" w:hAnsi="Garamond"/>
          <w:sz w:val="24"/>
          <w:szCs w:val="24"/>
        </w:rPr>
        <w:t>“</w:t>
      </w:r>
      <w:r w:rsidRPr="00A90756">
        <w:rPr>
          <w:rStyle w:val="Bodytext1"/>
          <w:rFonts w:ascii="Garamond" w:hAnsi="Garamond"/>
          <w:sz w:val="24"/>
          <w:szCs w:val="24"/>
        </w:rPr>
        <w:t>zona më pak turistike</w:t>
      </w:r>
      <w:r w:rsidR="00AE64AA" w:rsidRPr="00A90756">
        <w:rPr>
          <w:rStyle w:val="Bodytext1"/>
          <w:rFonts w:ascii="Garamond" w:hAnsi="Garamond"/>
          <w:sz w:val="24"/>
          <w:szCs w:val="24"/>
        </w:rPr>
        <w:t>”</w:t>
      </w:r>
      <w:r w:rsidRPr="00A90756">
        <w:rPr>
          <w:rStyle w:val="Bodytext1"/>
          <w:rFonts w:ascii="Garamond" w:hAnsi="Garamond"/>
          <w:sz w:val="24"/>
          <w:szCs w:val="24"/>
        </w:rPr>
        <w:t xml:space="preserve"> në Malin e Zi Verilindor, i cili ka karakteristika të ngjashme sa i përket mjedisit, natyrës së egër dhe maleve me veriun e Shqipërisë. Ekziston nevoja për të zhvilluar një ofertë të larmishme turistike, duke përfshirë kuzhinën malore dhe agroturizmin, në të gjithë zonën e programit. Si e tillë, infrastruktura e përmirësuar në Alpe, Tamarë dhe në Bjeshkët e N</w:t>
      </w:r>
      <w:r w:rsidR="004D3979" w:rsidRPr="00A90756">
        <w:rPr>
          <w:rStyle w:val="Bodytext1"/>
          <w:rFonts w:ascii="Garamond" w:hAnsi="Garamond"/>
          <w:sz w:val="24"/>
          <w:szCs w:val="24"/>
        </w:rPr>
        <w:t>e</w:t>
      </w:r>
      <w:r w:rsidRPr="00A90756">
        <w:rPr>
          <w:rStyle w:val="Bodytext1"/>
          <w:rFonts w:ascii="Garamond" w:hAnsi="Garamond"/>
          <w:sz w:val="24"/>
          <w:szCs w:val="24"/>
        </w:rPr>
        <w:t>muna, mund të mbështetet me zhvillimin e produkteve të reja të integruara dhe rajonale. Një potencial i fortë është turizmi kulinar i bazuar në traditën shqiptare dhe malazeze, në prodhimin e verërave vendase dhe produkteve të tjera që mund të promovohen dhe zhvillohen së bashku.</w:t>
      </w:r>
    </w:p>
    <w:p w14:paraId="014E42CE" w14:textId="23BCA1A0" w:rsidR="000D306C" w:rsidRPr="00A90756" w:rsidRDefault="000D306C" w:rsidP="000D306C">
      <w:pPr>
        <w:pStyle w:val="AAAATEXXX"/>
      </w:pPr>
      <w:r w:rsidRPr="00A90756">
        <w:rPr>
          <w:rStyle w:val="Bodytext1"/>
          <w:rFonts w:ascii="Garamond" w:hAnsi="Garamond"/>
          <w:sz w:val="24"/>
          <w:szCs w:val="24"/>
        </w:rPr>
        <w:t xml:space="preserve">- Në territorin e programit ka një trashëgimi të pasur </w:t>
      </w:r>
      <w:r w:rsidRPr="00A90756">
        <w:rPr>
          <w:rStyle w:val="Bodytext1"/>
          <w:rFonts w:ascii="Garamond" w:hAnsi="Garamond"/>
          <w:bCs/>
          <w:sz w:val="24"/>
          <w:szCs w:val="24"/>
        </w:rPr>
        <w:t>historiko-kulturore-artistiko-fetare</w:t>
      </w:r>
      <w:r w:rsidRPr="00A90756">
        <w:rPr>
          <w:rStyle w:val="Bodytext1"/>
          <w:rFonts w:ascii="Garamond" w:hAnsi="Garamond"/>
          <w:sz w:val="24"/>
          <w:szCs w:val="24"/>
        </w:rPr>
        <w:t xml:space="preserve"> që duhet ruajtur. Valorizimi i mëtejshëm i trashëgimisë së saj historike dhe kulturore</w:t>
      </w:r>
      <w:r w:rsidR="00935B5F" w:rsidRPr="00A90756">
        <w:rPr>
          <w:rStyle w:val="Bodytext1"/>
          <w:rFonts w:ascii="Garamond" w:hAnsi="Garamond"/>
          <w:sz w:val="24"/>
          <w:szCs w:val="24"/>
        </w:rPr>
        <w:t>,</w:t>
      </w:r>
      <w:r w:rsidRPr="00A90756">
        <w:rPr>
          <w:rStyle w:val="Bodytext1"/>
          <w:rFonts w:ascii="Garamond" w:hAnsi="Garamond"/>
          <w:sz w:val="24"/>
          <w:szCs w:val="24"/>
        </w:rPr>
        <w:t xml:space="preserve"> dhe sinergjitë me turizmin fetar mund të kontribuojnë në forcimin e identitetit të zonës. Trashëgimia kulturore është një aset për zhvillimin ekonomik të zonës ndërkufitare të programit. Bashkëpunimi kufitar ndërmjet institucioneve kulturore tashmë ekziston, por mund të intensifikohet më tej.</w:t>
      </w:r>
    </w:p>
    <w:p w14:paraId="014E42CF" w14:textId="77777777" w:rsidR="000D306C" w:rsidRPr="00A90756" w:rsidRDefault="000D306C" w:rsidP="000D306C">
      <w:pPr>
        <w:pStyle w:val="AAAATEXXX"/>
      </w:pPr>
      <w:r w:rsidRPr="00A90756">
        <w:rPr>
          <w:rStyle w:val="Bodytext1"/>
          <w:rFonts w:ascii="Garamond" w:hAnsi="Garamond"/>
          <w:sz w:val="24"/>
          <w:szCs w:val="24"/>
        </w:rPr>
        <w:t xml:space="preserve">- Përmirësimi i kurrikulës </w:t>
      </w:r>
      <w:r w:rsidRPr="00A90756">
        <w:rPr>
          <w:rStyle w:val="Bodytext1"/>
          <w:rFonts w:ascii="Garamond" w:hAnsi="Garamond"/>
          <w:bCs/>
          <w:sz w:val="24"/>
          <w:szCs w:val="24"/>
        </w:rPr>
        <w:t>arsimore</w:t>
      </w:r>
      <w:r w:rsidRPr="00A90756">
        <w:rPr>
          <w:rStyle w:val="Bodytext1"/>
          <w:rFonts w:ascii="Garamond" w:hAnsi="Garamond"/>
          <w:sz w:val="24"/>
          <w:szCs w:val="24"/>
        </w:rPr>
        <w:t xml:space="preserve"> është një prioritet kryesor për fushën e programit, duke u fokusuar tek të rinjtë dhe grupet e marxhinalizuara. Programi BNK do të ketë një rol të kufizuar në adresimin e këtyre çështjeve, por mund të mbështesë shkëmbimet ndërmjet shkollave dhe </w:t>
      </w:r>
      <w:r w:rsidRPr="00A90756">
        <w:rPr>
          <w:rStyle w:val="Bodytext1"/>
          <w:rFonts w:ascii="Garamond" w:hAnsi="Garamond"/>
          <w:sz w:val="24"/>
          <w:szCs w:val="24"/>
        </w:rPr>
        <w:lastRenderedPageBreak/>
        <w:t>qendrave të formimit profesional në zonat kufitare. Prania e universiteteve dhe qendrave kërkimore në të dyja anët e zonës së programit është një pasuri për programin BNK dhe një mundësi jo vetëm për rritjen e mëtejshme të bashkëpunimit akademik, por edhe për inicimin e programeve të kërkimeve shkencore në zonën kufitare dhe në disa sektorë si bujqësia apo turizmi.</w:t>
      </w:r>
    </w:p>
    <w:p w14:paraId="014E42D0" w14:textId="16913146" w:rsidR="000D306C" w:rsidRPr="00A90756" w:rsidRDefault="000D306C" w:rsidP="000D306C">
      <w:pPr>
        <w:pStyle w:val="AAAATEXXX"/>
      </w:pPr>
      <w:r w:rsidRPr="00A90756">
        <w:rPr>
          <w:rStyle w:val="Bodytext1"/>
          <w:rFonts w:ascii="Garamond" w:hAnsi="Garamond"/>
          <w:sz w:val="24"/>
          <w:szCs w:val="24"/>
        </w:rPr>
        <w:t xml:space="preserve">- Duke qenë se </w:t>
      </w:r>
      <w:r w:rsidRPr="00A90756">
        <w:rPr>
          <w:rStyle w:val="Bodytext1"/>
          <w:rFonts w:ascii="Garamond" w:hAnsi="Garamond"/>
          <w:bCs/>
          <w:sz w:val="24"/>
          <w:szCs w:val="24"/>
        </w:rPr>
        <w:t>sektori i shëndetësisë</w:t>
      </w:r>
      <w:r w:rsidRPr="00A90756">
        <w:rPr>
          <w:rStyle w:val="Bodytext1"/>
          <w:rFonts w:ascii="Garamond" w:hAnsi="Garamond"/>
          <w:sz w:val="24"/>
          <w:szCs w:val="24"/>
        </w:rPr>
        <w:t xml:space="preserve"> menaxhohet në mënyrë të centralizuar, gjykohet se ka një numër të kufizuar masash që mund të ndërmerren në kuadër të programeve BNK. Megjithatë, konsiderohet se mund të ketë vend për aktivitete të përbashkëta potenciale</w:t>
      </w:r>
      <w:r w:rsidR="00935B5F" w:rsidRPr="00A90756">
        <w:rPr>
          <w:rStyle w:val="Bodytext1"/>
          <w:rFonts w:ascii="Garamond" w:hAnsi="Garamond"/>
          <w:sz w:val="24"/>
          <w:szCs w:val="24"/>
        </w:rPr>
        <w:t>,</w:t>
      </w:r>
      <w:r w:rsidRPr="00A90756">
        <w:rPr>
          <w:rStyle w:val="Bodytext1"/>
          <w:rFonts w:ascii="Garamond" w:hAnsi="Garamond"/>
          <w:sz w:val="24"/>
          <w:szCs w:val="24"/>
        </w:rPr>
        <w:t xml:space="preserve"> në lidhje me fushatat parandaluese shëndetësore dhe me edukimin shëndetësor.</w:t>
      </w:r>
    </w:p>
    <w:p w14:paraId="014E42D1" w14:textId="77777777" w:rsidR="000D306C" w:rsidRPr="00A90756" w:rsidRDefault="000D306C" w:rsidP="000D306C">
      <w:pPr>
        <w:pStyle w:val="AAAATEXXX"/>
        <w:rPr>
          <w:rStyle w:val="Bodytext1"/>
          <w:rFonts w:ascii="Garamond" w:hAnsi="Garamond"/>
          <w:sz w:val="24"/>
          <w:szCs w:val="24"/>
        </w:rPr>
      </w:pPr>
      <w:r w:rsidRPr="00A90756">
        <w:rPr>
          <w:rStyle w:val="Bodytext1"/>
          <w:rFonts w:ascii="Garamond" w:hAnsi="Garamond"/>
          <w:bCs/>
          <w:sz w:val="24"/>
          <w:szCs w:val="24"/>
        </w:rPr>
        <w:t>Qeveritë lokale dhe rajonale</w:t>
      </w:r>
      <w:r w:rsidRPr="00A90756">
        <w:rPr>
          <w:rStyle w:val="Bodytext1"/>
          <w:rFonts w:ascii="Garamond" w:hAnsi="Garamond"/>
          <w:sz w:val="24"/>
          <w:szCs w:val="24"/>
        </w:rPr>
        <w:t xml:space="preserve"> shihen të dobëta financiarisht, pa mjetet e nevojshme për të nxitur zhvillimin lokal. Ato duhet të bëjnë përpjekje shtesë për menaxhimin, kontrollin financiar dhe buxhetimin, si dhe për përqafimin e qasjeve demokratike në proceset e vendimmarrjes. Bashkëpunimi ndërmjet pushteteve lokale dhe rajonale mes të dyja vendeve mund të avancojë më tej.</w:t>
      </w:r>
    </w:p>
    <w:p w14:paraId="014E42D2" w14:textId="77777777" w:rsidR="000D306C" w:rsidRPr="00A90756" w:rsidRDefault="000D306C" w:rsidP="000D306C">
      <w:pPr>
        <w:pStyle w:val="AAAATEXXX"/>
        <w:rPr>
          <w:smallCaps/>
        </w:rPr>
      </w:pPr>
      <w:bookmarkStart w:id="59" w:name="bookmark90"/>
      <w:bookmarkStart w:id="60" w:name="_Toc118696865"/>
      <w:r w:rsidRPr="00A90756">
        <w:rPr>
          <w:rStyle w:val="Heading11"/>
          <w:rFonts w:ascii="Garamond" w:hAnsi="Garamond"/>
          <w:bCs w:val="0"/>
          <w:smallCaps w:val="0"/>
          <w:sz w:val="24"/>
          <w:szCs w:val="24"/>
        </w:rPr>
        <w:t>3. Strategjia e Programit</w:t>
      </w:r>
      <w:bookmarkEnd w:id="59"/>
      <w:bookmarkEnd w:id="60"/>
    </w:p>
    <w:p w14:paraId="014E42D3" w14:textId="77777777" w:rsidR="000D306C" w:rsidRPr="00A90756" w:rsidRDefault="000D306C" w:rsidP="00C61854">
      <w:pPr>
        <w:pStyle w:val="AAAATEXXX"/>
      </w:pPr>
      <w:bookmarkStart w:id="61" w:name="bookmark93"/>
      <w:bookmarkStart w:id="62" w:name="_Toc118696866"/>
      <w:r w:rsidRPr="00A90756">
        <w:rPr>
          <w:rStyle w:val="Heading21"/>
          <w:rFonts w:ascii="Garamond" w:hAnsi="Garamond"/>
          <w:bCs w:val="0"/>
        </w:rPr>
        <w:t>- Arsyetimi - Arsyetimi për strategjinë e përzgjedhur të ndërhyrjes</w:t>
      </w:r>
      <w:bookmarkEnd w:id="61"/>
      <w:bookmarkEnd w:id="62"/>
    </w:p>
    <w:p w14:paraId="014E42D4"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seksionin e mëparshëm, u shqyrtuan të dhënat statistikore që i përkasin zonës së programit, u studiua një vëllim i madh dokumentesh strategjike dhe u prezantuan rezultatet e konsultimeve me një sërë palësh të interesuara, për shembull nëpërmjet pyetësorëve të plotësuar dhe takimeve tematike të kryera nga OS-të dhe SPT-ja gjatë fazës së programimit, si dhe gjatë takimeve të mbajtura të TFP-së. Gjetjet u prezantuan më pas dhe u diskutuan me OS-të dhe TFP-në përgjegjëse për përpjekjet e programimit në përputhje me parimin e koordinimit.</w:t>
      </w:r>
    </w:p>
    <w:p w14:paraId="014E42D5"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 seksionin e katërt të këtij dokumenti do të prezantohet paketa financiare që do të vihet në dispozicion për financimin e zbatimit të këtij programi shtatëvjeçar BNK.</w:t>
      </w:r>
    </w:p>
    <w:p w14:paraId="014E42D6" w14:textId="5B1BFC1B"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Por në seksionin aktual dhe më të rëndësishmin, do të përshkruajmë grupet/prioritetet tematike, siç janë përzgjedhur pas analizave socio-ekonomike dhe analizës SWOT</w:t>
      </w:r>
      <w:r w:rsidR="00935B5F" w:rsidRPr="00A90756">
        <w:rPr>
          <w:rStyle w:val="Bodytext1"/>
          <w:rFonts w:ascii="Garamond" w:hAnsi="Garamond"/>
          <w:sz w:val="24"/>
          <w:szCs w:val="24"/>
        </w:rPr>
        <w:t>,</w:t>
      </w:r>
      <w:r w:rsidRPr="00A90756">
        <w:rPr>
          <w:rStyle w:val="Bodytext1"/>
          <w:rFonts w:ascii="Garamond" w:hAnsi="Garamond"/>
          <w:sz w:val="24"/>
          <w:szCs w:val="24"/>
        </w:rPr>
        <w:t xml:space="preserve"> dhe një konsultimi të gjerë me palët e interesuara të BNK-së. Për përzgjedhjen e prioriteteve janë marrë në konsideratë strategjitë kombëtare të IPA-s dhe dokumentet e shumë vendeve për të parë më në detaje mënyrat për të krijuar një vlerë të shtuar në programe, duke theksuar sinergjitë dhe mungesën e mbivendosjeve.</w:t>
      </w:r>
    </w:p>
    <w:p w14:paraId="014E42D7"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Janë marrë në konsideratë edhe dokumente të tjera strategjike, si Axhenda e Gjelbër dhe Deklarata e Tiranës për protokollet e përbashkëta rajonale për të mbështetur rimëkëmbjen dhe rritjen e turizmit në 6 vendet e Ballkanit Perëndimor, të miratuara nga Ministritë e Turizmit të të gjashta vendeve.</w:t>
      </w:r>
    </w:p>
    <w:p w14:paraId="014E42D8"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Prioritetet e përzgjedhura kontribuojnë në hapjen e rrugës për zhvillimin ekonomik të zonës së programit përmes mbrojtjes së mjedisit, përshtatjes dhe zbutjes së ndryshimeve klimatike, parandalimit dhe menaxhimit të rrezikut, si dhe përmes përmirësimit të mjedisit të biznesit dhe konkurrencës.</w:t>
      </w:r>
    </w:p>
    <w:p w14:paraId="014E42D9" w14:textId="0075302D"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Strategjia është zhvilluar duke marrë parasysh lidhjet ndërmjet prioriteteve të ndryshme dhe ndikimeve të operacioneve tashmë të zbatuara. Për shembull, </w:t>
      </w:r>
      <w:r w:rsidR="00292D5B" w:rsidRPr="00A90756">
        <w:rPr>
          <w:rStyle w:val="Bodytext1"/>
          <w:rFonts w:ascii="Garamond" w:hAnsi="Garamond"/>
          <w:sz w:val="24"/>
          <w:szCs w:val="24"/>
        </w:rPr>
        <w:t>‘</w:t>
      </w:r>
      <w:r w:rsidRPr="00A90756">
        <w:rPr>
          <w:rStyle w:val="Bodytext1"/>
          <w:rFonts w:ascii="Garamond" w:hAnsi="Garamond"/>
          <w:sz w:val="24"/>
          <w:szCs w:val="24"/>
        </w:rPr>
        <w:t>përmirësimi i kapaciteteve për t</w:t>
      </w:r>
      <w:r w:rsidR="00292D5B" w:rsidRPr="00A90756">
        <w:rPr>
          <w:rStyle w:val="Bodytext1"/>
          <w:rFonts w:ascii="Garamond" w:hAnsi="Garamond"/>
          <w:sz w:val="24"/>
          <w:szCs w:val="24"/>
        </w:rPr>
        <w:t>’</w:t>
      </w:r>
      <w:r w:rsidRPr="00A90756">
        <w:rPr>
          <w:rStyle w:val="Bodytext1"/>
          <w:rFonts w:ascii="Garamond" w:hAnsi="Garamond"/>
          <w:sz w:val="24"/>
          <w:szCs w:val="24"/>
        </w:rPr>
        <w:t>iu përshtatur ndryshimeve klimatike dhe për t</w:t>
      </w:r>
      <w:r w:rsidR="00292D5B" w:rsidRPr="00A90756">
        <w:rPr>
          <w:rStyle w:val="Bodytext1"/>
          <w:rFonts w:ascii="Garamond" w:hAnsi="Garamond"/>
          <w:sz w:val="24"/>
          <w:szCs w:val="24"/>
        </w:rPr>
        <w:t>’</w:t>
      </w:r>
      <w:r w:rsidRPr="00A90756">
        <w:rPr>
          <w:rStyle w:val="Bodytext1"/>
          <w:rFonts w:ascii="Garamond" w:hAnsi="Garamond"/>
          <w:sz w:val="24"/>
          <w:szCs w:val="24"/>
        </w:rPr>
        <w:t>iu përgjigjur fatkeqësive natyrore dhe menaxhimit</w:t>
      </w:r>
      <w:r w:rsidR="00292D5B" w:rsidRPr="00A90756">
        <w:rPr>
          <w:rStyle w:val="Bodytext1"/>
          <w:rFonts w:ascii="Garamond" w:hAnsi="Garamond"/>
          <w:sz w:val="24"/>
          <w:szCs w:val="24"/>
        </w:rPr>
        <w:t>’</w:t>
      </w:r>
      <w:r w:rsidRPr="00A90756">
        <w:rPr>
          <w:rStyle w:val="Bodytext1"/>
          <w:rFonts w:ascii="Garamond" w:hAnsi="Garamond"/>
          <w:sz w:val="24"/>
          <w:szCs w:val="24"/>
        </w:rPr>
        <w:t xml:space="preserve"> ka një ndikim të drejtpërdrejtë në mbrojtjen e mjedisit dhe në konkurrencë, ndërkohë që ka ndikime indirekte në zhvillimin e turizmit.</w:t>
      </w:r>
    </w:p>
    <w:p w14:paraId="014E42DA"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iCs/>
          <w:sz w:val="24"/>
          <w:szCs w:val="24"/>
        </w:rPr>
        <w:t>Objektivi i Programit</w:t>
      </w:r>
    </w:p>
    <w:p w14:paraId="014E42DB" w14:textId="77777777" w:rsidR="000D306C" w:rsidRPr="00A90756" w:rsidRDefault="000D306C" w:rsidP="000D306C">
      <w:pPr>
        <w:pStyle w:val="AAAATEXXX"/>
      </w:pPr>
      <w:r w:rsidRPr="00A90756">
        <w:rPr>
          <w:rStyle w:val="Bodytext1"/>
          <w:rFonts w:ascii="Garamond" w:hAnsi="Garamond"/>
          <w:sz w:val="24"/>
          <w:szCs w:val="24"/>
        </w:rPr>
        <w:t>Promovimi i marrëdhënieve të fqinjësisë së mirë, nxitja e integrimit në Bashkimin Evropian dhe ofrimi i kontributit në zhvillimin social, ekonomik dhe territorial duke përmirësuar cilësinë e jetës së popullsisë në zonën ndërkufitare nëpërmjet zhvillimit të turizmit bazuar në trashëgiminë kulturore/natyrore dhe duke mbrojtur mjedisin.</w:t>
      </w:r>
    </w:p>
    <w:p w14:paraId="014E42DC"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Prioritetet tematike të cilat janë zhvilluar në bazë të një analize të plotë të situatës në të dyja vendet me fokus të veçantë në fushën e programit dhe janë si më poshtë:</w:t>
      </w:r>
    </w:p>
    <w:p w14:paraId="014E42DD" w14:textId="49049411"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1</w:t>
      </w:r>
      <w:r w:rsidR="00C61854" w:rsidRPr="00A90756">
        <w:rPr>
          <w:rStyle w:val="Bodytext1"/>
          <w:rFonts w:ascii="Garamond" w:hAnsi="Garamond"/>
          <w:b/>
          <w:bCs/>
          <w:sz w:val="24"/>
          <w:szCs w:val="24"/>
        </w:rPr>
        <w:t>.</w:t>
      </w:r>
      <w:r w:rsidRPr="00A90756">
        <w:rPr>
          <w:rStyle w:val="Bodytext1"/>
          <w:rFonts w:ascii="Garamond" w:hAnsi="Garamond"/>
          <w:b/>
          <w:bCs/>
          <w:sz w:val="24"/>
          <w:szCs w:val="24"/>
        </w:rPr>
        <w:t xml:space="preserve"> Grupimi </w:t>
      </w:r>
      <w:r w:rsidR="004D3979" w:rsidRPr="00A90756">
        <w:rPr>
          <w:rStyle w:val="Bodytext1"/>
          <w:rFonts w:ascii="Garamond" w:hAnsi="Garamond"/>
          <w:b/>
          <w:bCs/>
          <w:sz w:val="24"/>
          <w:szCs w:val="24"/>
        </w:rPr>
        <w:t>t</w:t>
      </w:r>
      <w:r w:rsidRPr="00A90756">
        <w:rPr>
          <w:rStyle w:val="Bodytext1"/>
          <w:rFonts w:ascii="Garamond" w:hAnsi="Garamond"/>
          <w:b/>
          <w:bCs/>
          <w:sz w:val="24"/>
          <w:szCs w:val="24"/>
        </w:rPr>
        <w:t>ematik 2:</w:t>
      </w:r>
      <w:r w:rsidRPr="00A90756">
        <w:rPr>
          <w:rStyle w:val="Bodytext1"/>
          <w:rFonts w:ascii="Garamond" w:hAnsi="Garamond"/>
          <w:sz w:val="24"/>
          <w:szCs w:val="24"/>
          <w:u w:val="single"/>
        </w:rPr>
        <w:t xml:space="preserve"> Efikasiteti më i gjelbër dhe i përmirësuar i burimeve</w:t>
      </w:r>
    </w:p>
    <w:p w14:paraId="014E42DE"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TP2</w:t>
      </w:r>
      <w:r w:rsidRPr="00A90756">
        <w:rPr>
          <w:rStyle w:val="Bodytext1"/>
          <w:rFonts w:ascii="Garamond" w:hAnsi="Garamond"/>
          <w:sz w:val="24"/>
          <w:szCs w:val="24"/>
        </w:rPr>
        <w:t xml:space="preserve">: Mbrojtja e mjedisit, përshtatja dhe zbutja e ndryshimeve klimatike, parandalimi dhe </w:t>
      </w:r>
      <w:r w:rsidRPr="00A90756">
        <w:rPr>
          <w:rStyle w:val="Bodytext1"/>
          <w:rFonts w:ascii="Garamond" w:hAnsi="Garamond"/>
          <w:sz w:val="24"/>
          <w:szCs w:val="24"/>
        </w:rPr>
        <w:lastRenderedPageBreak/>
        <w:t>menaxhimi i rrezikut</w:t>
      </w:r>
    </w:p>
    <w:p w14:paraId="014E42DF"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është e pasur me burime mjedisore dhe ka një diversitet të lartë biologjik që përfshin male, kodra, fusha, bregdet, parqe natyrore, liqene dhe lumenj. Ruajtja e mjedisit dhe mbrojtja e këtyre burimeve janë shtylla të të gjitha strategjive zhvillimore në të dyja vendet dhe konsiderohen si prioritet i lartë nga të dyja qeveritë. Menaxhimi i përmirësuar i mbetjeve, kontrolli i ndotjes, përdorimi efikas i burimeve të energjisë, administrimi i fatkeqësive natyrore dhe të shkaktuara nga njeriu, si dhe përmirësimi i menaxhimit të tokës janë ndër prioritetet kryesore që duhen adresuar nga planet e zhvillimit qeveritar dhe lokal. Duke marrë parasysh rëndësinë e tij në zhvillimin ekonomik të zonës, anëtarët e TFP-së ranë dakord njëzëri për zgjedhjen e këtij prioriteti tematik për të adresuar më mirë nevojat e zonës së programit.</w:t>
      </w:r>
    </w:p>
    <w:p w14:paraId="014E42E0"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Për më tepër, përmbajtja e këtij prioriteti tematik është zhvilluar sipas dispozitave të përcaktuara në dokumentet strategjike kombëtare:</w:t>
      </w:r>
    </w:p>
    <w:p w14:paraId="014E42E1" w14:textId="77C82686" w:rsidR="000D306C" w:rsidRPr="00A90756" w:rsidRDefault="000D306C" w:rsidP="000D306C">
      <w:pPr>
        <w:pStyle w:val="AAAATEXXX"/>
        <w:rPr>
          <w:rStyle w:val="Bodytext1"/>
          <w:rFonts w:ascii="Garamond" w:hAnsi="Garamond"/>
          <w:sz w:val="24"/>
          <w:szCs w:val="24"/>
        </w:rPr>
      </w:pPr>
      <w:r w:rsidRPr="00A90756">
        <w:rPr>
          <w:rStyle w:val="Bodytext1"/>
          <w:rFonts w:ascii="Garamond" w:hAnsi="Garamond"/>
          <w:sz w:val="24"/>
          <w:szCs w:val="24"/>
        </w:rPr>
        <w:t>- Strategjia Kombëtare e Shqipërisë për Zhvillimin dhe Integrimin 2014</w:t>
      </w:r>
      <w:r w:rsidR="00292D5B" w:rsidRPr="00A90756">
        <w:rPr>
          <w:rStyle w:val="Bodytext1"/>
          <w:rFonts w:ascii="Garamond" w:hAnsi="Garamond"/>
          <w:sz w:val="24"/>
          <w:szCs w:val="24"/>
        </w:rPr>
        <w:t>–</w:t>
      </w:r>
      <w:r w:rsidRPr="00A90756">
        <w:rPr>
          <w:rStyle w:val="Bodytext1"/>
          <w:rFonts w:ascii="Garamond" w:hAnsi="Garamond"/>
          <w:sz w:val="24"/>
          <w:szCs w:val="24"/>
        </w:rPr>
        <w:t>2020 parashikon se nevojat për investime në nënsektorin e ujit janë thelbësore, ndërkohë që ka kapacitete të kufizuara menaxhimi. Ndihma e dhënë duhet të parashikohet që të mbështesë element</w:t>
      </w:r>
      <w:r w:rsidR="00292D5B" w:rsidRPr="00A90756">
        <w:rPr>
          <w:rStyle w:val="Bodytext1"/>
          <w:rFonts w:ascii="Garamond" w:hAnsi="Garamond"/>
          <w:sz w:val="24"/>
          <w:szCs w:val="24"/>
        </w:rPr>
        <w:t>e</w:t>
      </w:r>
      <w:r w:rsidRPr="00A90756">
        <w:rPr>
          <w:rStyle w:val="Bodytext1"/>
          <w:rFonts w:ascii="Garamond" w:hAnsi="Garamond"/>
          <w:sz w:val="24"/>
          <w:szCs w:val="24"/>
        </w:rPr>
        <w:t xml:space="preserve"> të ndryshm</w:t>
      </w:r>
      <w:r w:rsidR="00292D5B" w:rsidRPr="00A90756">
        <w:rPr>
          <w:rStyle w:val="Bodytext1"/>
          <w:rFonts w:ascii="Garamond" w:hAnsi="Garamond"/>
          <w:sz w:val="24"/>
          <w:szCs w:val="24"/>
        </w:rPr>
        <w:t>e</w:t>
      </w:r>
      <w:r w:rsidRPr="00A90756">
        <w:rPr>
          <w:rStyle w:val="Bodytext1"/>
          <w:rFonts w:ascii="Garamond" w:hAnsi="Garamond"/>
          <w:sz w:val="24"/>
          <w:szCs w:val="24"/>
        </w:rPr>
        <w:t xml:space="preserve"> bazë të një qasjeje sektoriale si zhvillimin e një strategjie, planifikimin e buxhetit, zhvillimin institucional dhe organizativ</w:t>
      </w:r>
      <w:r w:rsidR="00292D5B" w:rsidRPr="00A90756">
        <w:rPr>
          <w:rStyle w:val="Bodytext1"/>
          <w:rFonts w:ascii="Garamond" w:hAnsi="Garamond"/>
          <w:sz w:val="24"/>
          <w:szCs w:val="24"/>
        </w:rPr>
        <w:t>,</w:t>
      </w:r>
      <w:r w:rsidRPr="00A90756">
        <w:rPr>
          <w:rStyle w:val="Bodytext1"/>
          <w:rFonts w:ascii="Garamond" w:hAnsi="Garamond"/>
          <w:sz w:val="24"/>
          <w:szCs w:val="24"/>
        </w:rPr>
        <w:t xml:space="preserve"> dhe koordinimin.</w:t>
      </w:r>
    </w:p>
    <w:p w14:paraId="3D003428" w14:textId="77777777" w:rsidR="00C61854" w:rsidRPr="00A90756" w:rsidRDefault="000D306C" w:rsidP="00C61854">
      <w:pPr>
        <w:pStyle w:val="AAAATEXXX"/>
        <w:rPr>
          <w:rStyle w:val="Bodytext1"/>
          <w:rFonts w:ascii="Garamond" w:hAnsi="Garamond"/>
          <w:sz w:val="24"/>
          <w:szCs w:val="24"/>
        </w:rPr>
      </w:pPr>
      <w:r w:rsidRPr="00A90756">
        <w:rPr>
          <w:rStyle w:val="Bodytext1"/>
          <w:rFonts w:ascii="Garamond" w:hAnsi="Garamond"/>
          <w:sz w:val="24"/>
          <w:szCs w:val="24"/>
        </w:rPr>
        <w:t xml:space="preserve">- Dokumenti indikativ i strategjisë për Malin e Zi thekson se ndërhyrja e ndihmës duhet të fokusohet në transpozimin dhe zbatimin e </w:t>
      </w:r>
      <w:r w:rsidRPr="00A90756">
        <w:rPr>
          <w:rStyle w:val="Bodytext1"/>
          <w:rFonts w:ascii="Garamond" w:hAnsi="Garamond"/>
          <w:i/>
          <w:iCs/>
          <w:sz w:val="24"/>
          <w:szCs w:val="24"/>
        </w:rPr>
        <w:t>acquis</w:t>
      </w:r>
      <w:r w:rsidRPr="00A90756">
        <w:rPr>
          <w:rStyle w:val="Bodytext1"/>
          <w:rFonts w:ascii="Garamond" w:hAnsi="Garamond"/>
          <w:sz w:val="24"/>
          <w:szCs w:val="24"/>
        </w:rPr>
        <w:t>-së së ujit, në përgatitjen e planeve të menaxhimit të baseneve lumore dhe në krijimin e kushteve për krijimin e një sistemi efikas dhe efektiv të menaxhimit të ujit.</w:t>
      </w:r>
    </w:p>
    <w:p w14:paraId="014E42E3" w14:textId="324809A5" w:rsidR="000D306C" w:rsidRPr="00A90756" w:rsidRDefault="000D306C" w:rsidP="00C61854">
      <w:pPr>
        <w:pStyle w:val="AAAATEXXX"/>
      </w:pPr>
      <w:r w:rsidRPr="00A90756">
        <w:rPr>
          <w:rStyle w:val="Bodytext1"/>
          <w:rFonts w:ascii="Garamond" w:hAnsi="Garamond"/>
          <w:sz w:val="24"/>
          <w:szCs w:val="24"/>
        </w:rPr>
        <w:t>- Ky prioritet bazohet edhe në rishikimin e dokumenteve të tjera ndërkombëtare siç është Korniza Sendai e OKB-së për Reduktimin e Rrezikut nga Fatkeqësitë 2015</w:t>
      </w:r>
      <w:r w:rsidR="004D3979" w:rsidRPr="00A90756">
        <w:rPr>
          <w:rStyle w:val="Bodytext1"/>
          <w:rFonts w:ascii="Garamond" w:hAnsi="Garamond"/>
          <w:sz w:val="24"/>
          <w:szCs w:val="24"/>
        </w:rPr>
        <w:t>–</w:t>
      </w:r>
      <w:r w:rsidRPr="00A90756">
        <w:rPr>
          <w:rStyle w:val="Bodytext1"/>
          <w:rFonts w:ascii="Garamond" w:hAnsi="Garamond"/>
          <w:sz w:val="24"/>
          <w:szCs w:val="24"/>
        </w:rPr>
        <w:t>2030</w:t>
      </w:r>
      <w:r w:rsidR="004D3979" w:rsidRPr="00A90756">
        <w:rPr>
          <w:rStyle w:val="Bodytext1"/>
          <w:rFonts w:ascii="Garamond" w:hAnsi="Garamond"/>
          <w:sz w:val="24"/>
          <w:szCs w:val="24"/>
        </w:rPr>
        <w:t>.</w:t>
      </w:r>
    </w:p>
    <w:p w14:paraId="014E42E4" w14:textId="591EBEB6" w:rsidR="000D306C" w:rsidRPr="00A90756" w:rsidRDefault="000D306C" w:rsidP="000D306C">
      <w:pPr>
        <w:pStyle w:val="AAAATEXXX"/>
      </w:pPr>
      <w:r w:rsidRPr="00A90756">
        <w:rPr>
          <w:rStyle w:val="Bodytext1"/>
          <w:rFonts w:ascii="Garamond" w:hAnsi="Garamond"/>
          <w:b/>
          <w:bCs/>
          <w:sz w:val="24"/>
          <w:szCs w:val="24"/>
        </w:rPr>
        <w:t xml:space="preserve">2. Grupimi </w:t>
      </w:r>
      <w:r w:rsidR="004D3979" w:rsidRPr="00A90756">
        <w:rPr>
          <w:rStyle w:val="Bodytext1"/>
          <w:rFonts w:ascii="Garamond" w:hAnsi="Garamond"/>
          <w:b/>
          <w:bCs/>
          <w:sz w:val="24"/>
          <w:szCs w:val="24"/>
        </w:rPr>
        <w:t>t</w:t>
      </w:r>
      <w:r w:rsidRPr="00A90756">
        <w:rPr>
          <w:rStyle w:val="Bodytext1"/>
          <w:rFonts w:ascii="Garamond" w:hAnsi="Garamond"/>
          <w:b/>
          <w:bCs/>
          <w:sz w:val="24"/>
          <w:szCs w:val="24"/>
        </w:rPr>
        <w:t>ematik 4:</w:t>
      </w:r>
      <w:r w:rsidRPr="00A90756">
        <w:rPr>
          <w:rStyle w:val="Bodytext1"/>
          <w:rFonts w:ascii="Garamond" w:hAnsi="Garamond"/>
          <w:sz w:val="24"/>
          <w:szCs w:val="24"/>
          <w:u w:val="single"/>
        </w:rPr>
        <w:t xml:space="preserve"> Përmirësimi i mjedisit të biznesit dhe konkurrueshmërisë</w:t>
      </w:r>
    </w:p>
    <w:p w14:paraId="014E42E5" w14:textId="3BD78AF1"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Zona e programit ka shumë subjekte biznesi të dominuara nga NMVM-të, të cilat luajnë një rol vendimtar në zhvillimin e saj ekonomik. Megjithatë, konkurrenca kërkon vëmendje pasi është ende e dobët në të dyja anët e kufirit. Produktiviteti më i lartë dhe investimi i mëtejshëm në njohuritë dhe përdorimin e teknologjive inovative janë parakushte për</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bërë më konkurrues si në nivel kombëtar ashtu edhe ndërkombëtar. Në zonat kufitare, bizneset zakonisht shfrytëzojnë mundësitë e tregtisë përtej kufirit dhe ato ndërkombëtare. Përvoja e mëparshme gjatë zbatimit të programeve IPA ka treguar se duhet</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ofrohet më shumë mbështetje NMVM-ve që operojnë në fushën e programit përmes ngritjes së kapaciteteve dhe nismave të përbashkëta për promovimin e produkteve dhe zanateve vendore. Gjithashtu, papunësia mbetet një çështje për</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trajtuar më tej në mesin e popullatës së zonës së programit, veçanërisht për grupet e ndjeshme shoqërore si të rinjtë dhe popullsia rurale, gratë, romët dhe është arsyeja kryesore për një shkallë të lartë migrimi.</w:t>
      </w:r>
    </w:p>
    <w:p w14:paraId="014E42E6"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Përzgjedhja e këtij prioriteti tematik është në përputhje me nevojat dhe sfidat e paraqitura në dokumentet e mëposhtme:</w:t>
      </w:r>
    </w:p>
    <w:p w14:paraId="014E42E7" w14:textId="77777777" w:rsidR="000D306C" w:rsidRPr="00A90756" w:rsidRDefault="000D306C" w:rsidP="000D306C">
      <w:pPr>
        <w:pStyle w:val="AAAATEXXX"/>
      </w:pPr>
      <w:r w:rsidRPr="00A90756">
        <w:rPr>
          <w:rStyle w:val="Bodytext1"/>
          <w:rFonts w:ascii="Garamond" w:hAnsi="Garamond"/>
          <w:sz w:val="24"/>
          <w:szCs w:val="24"/>
        </w:rPr>
        <w:t>- Dokumenti strategjik i vendit për Shqipërinë parashikon, midis rezultateve që lidhen me këtë fushë ndërhyrjeje, nxitjen e konkurrencës dhe inovacionit, veçanërisht nëpërmjet zhvillimit të ndërmarrjeve të vogla dhe të mesme, duke rritur kështu integrimin e Shqipërisë në tregjet rajonale dhe të BE-së; përmirësimin e konkurrencës së përgjithshme të sektorit bujqësor dhe zonave të qëndrueshme rurale.</w:t>
      </w:r>
    </w:p>
    <w:p w14:paraId="014E42E8" w14:textId="1D3446E6" w:rsidR="000D306C" w:rsidRPr="00A90756" w:rsidRDefault="000D306C" w:rsidP="000D306C">
      <w:pPr>
        <w:pStyle w:val="AAAATEXXX"/>
      </w:pPr>
      <w:r w:rsidRPr="00A90756">
        <w:rPr>
          <w:rStyle w:val="Bodytext1"/>
          <w:rFonts w:ascii="Garamond" w:hAnsi="Garamond"/>
          <w:sz w:val="24"/>
          <w:szCs w:val="24"/>
        </w:rPr>
        <w:t>- Dokumenti indikativ i strategjisë për Malin e Zi thekson se si Mali i Zi gjithashtu duhet të përmirësojë mjedisin e biznesit</w:t>
      </w:r>
      <w:r w:rsidR="00665CCE" w:rsidRPr="00A90756">
        <w:rPr>
          <w:rStyle w:val="Bodytext1"/>
          <w:rFonts w:ascii="Garamond" w:hAnsi="Garamond"/>
          <w:sz w:val="24"/>
          <w:szCs w:val="24"/>
        </w:rPr>
        <w:t>,</w:t>
      </w:r>
      <w:r w:rsidRPr="00A90756">
        <w:rPr>
          <w:rStyle w:val="Bodytext1"/>
          <w:rFonts w:ascii="Garamond" w:hAnsi="Garamond"/>
          <w:sz w:val="24"/>
          <w:szCs w:val="24"/>
        </w:rPr>
        <w:t xml:space="preserve"> duke zhvilluar aksesin në infrastrukturën e informacionit për të reduktuar si ndarjen di</w:t>
      </w:r>
      <w:r w:rsidR="00C61854" w:rsidRPr="00A90756">
        <w:rPr>
          <w:rStyle w:val="Bodytext1"/>
          <w:rFonts w:ascii="Garamond" w:hAnsi="Garamond"/>
          <w:sz w:val="24"/>
          <w:szCs w:val="24"/>
        </w:rPr>
        <w:t>gj</w:t>
      </w:r>
      <w:r w:rsidRPr="00A90756">
        <w:rPr>
          <w:rStyle w:val="Bodytext1"/>
          <w:rFonts w:ascii="Garamond" w:hAnsi="Garamond"/>
          <w:sz w:val="24"/>
          <w:szCs w:val="24"/>
        </w:rPr>
        <w:t>itale brenda vendit ashtu edhe hendekun me BE-në. Ai gjithashtu duhet të mbështesë aftësinë e industrive tradicionale për të konkurruar dhe për të inovuar përmes përmirësimeve të TIK-ut, trajnimit dhe zhvillimit të aftësive di</w:t>
      </w:r>
      <w:r w:rsidR="00C61854" w:rsidRPr="00A90756">
        <w:rPr>
          <w:rStyle w:val="Bodytext1"/>
          <w:rFonts w:ascii="Garamond" w:hAnsi="Garamond"/>
          <w:sz w:val="24"/>
          <w:szCs w:val="24"/>
        </w:rPr>
        <w:t>gj</w:t>
      </w:r>
      <w:r w:rsidRPr="00A90756">
        <w:rPr>
          <w:rStyle w:val="Bodytext1"/>
          <w:rFonts w:ascii="Garamond" w:hAnsi="Garamond"/>
          <w:sz w:val="24"/>
          <w:szCs w:val="24"/>
        </w:rPr>
        <w:t>itale. Një mekanizëm tjetër i rëndësishëm për rritjen e konkurrencës së ekonomisë së vendit përfshin përmirësimin e cilësisë dhe efikasitetit të politikës së kërkimit dhe inovacionit, si dhe forcimin e lidhjeve të saj me bizneset.</w:t>
      </w:r>
    </w:p>
    <w:p w14:paraId="014E42E9" w14:textId="3ED7F0B6" w:rsidR="000D306C" w:rsidRPr="00A90756" w:rsidRDefault="000D306C" w:rsidP="000D306C">
      <w:pPr>
        <w:pStyle w:val="Bodytext10"/>
        <w:spacing w:after="0"/>
        <w:ind w:firstLine="284"/>
        <w:rPr>
          <w:rFonts w:ascii="Garamond" w:hAnsi="Garamond"/>
          <w:sz w:val="24"/>
          <w:szCs w:val="24"/>
        </w:rPr>
      </w:pPr>
      <w:r w:rsidRPr="00A90756">
        <w:rPr>
          <w:rStyle w:val="Bodytext1"/>
          <w:rFonts w:ascii="Garamond" w:hAnsi="Garamond"/>
          <w:b/>
          <w:bCs/>
          <w:sz w:val="24"/>
          <w:szCs w:val="24"/>
        </w:rPr>
        <w:t>PT5:</w:t>
      </w:r>
      <w:r w:rsidRPr="00A90756">
        <w:rPr>
          <w:rStyle w:val="Bodytext1"/>
          <w:rFonts w:ascii="Garamond" w:hAnsi="Garamond"/>
          <w:sz w:val="24"/>
          <w:szCs w:val="24"/>
        </w:rPr>
        <w:t xml:space="preserve"> Turizmi dhe trashëgimia kulturore e natyrore</w:t>
      </w:r>
      <w:r w:rsidR="00665CCE" w:rsidRPr="00A90756">
        <w:rPr>
          <w:rStyle w:val="Bodytext1"/>
          <w:rFonts w:ascii="Garamond" w:hAnsi="Garamond"/>
          <w:sz w:val="24"/>
          <w:szCs w:val="24"/>
        </w:rPr>
        <w:t>.</w:t>
      </w:r>
    </w:p>
    <w:p w14:paraId="014E42EA" w14:textId="08089CF1"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Zona e programit karakterizohet nga një potencial i lartë turistik, por mundësi të tilla ekonomike </w:t>
      </w:r>
      <w:r w:rsidRPr="00A90756">
        <w:rPr>
          <w:rStyle w:val="Bodytext1"/>
          <w:rFonts w:ascii="Garamond" w:hAnsi="Garamond"/>
          <w:sz w:val="24"/>
          <w:szCs w:val="24"/>
        </w:rPr>
        <w:lastRenderedPageBreak/>
        <w:t xml:space="preserve">duhet ende të zhvillohen duke rritur vëmendjen dhe fokusin si nga politikëbërësit kombëtarë ashtu edhe ata vendorë. Gjithashtu, duke marrë parasysh ngjashmëritë </w:t>
      </w:r>
      <w:r w:rsidR="00D75C5A" w:rsidRPr="00A90756">
        <w:rPr>
          <w:rStyle w:val="Bodytext1"/>
          <w:rFonts w:ascii="Garamond" w:hAnsi="Garamond"/>
          <w:sz w:val="24"/>
          <w:szCs w:val="24"/>
        </w:rPr>
        <w:t xml:space="preserve">mes të </w:t>
      </w:r>
      <w:r w:rsidRPr="00A90756">
        <w:rPr>
          <w:rStyle w:val="Bodytext1"/>
          <w:rFonts w:ascii="Garamond" w:hAnsi="Garamond"/>
          <w:sz w:val="24"/>
          <w:szCs w:val="24"/>
        </w:rPr>
        <w:t>dy</w:t>
      </w:r>
      <w:r w:rsidR="00D75C5A" w:rsidRPr="00A90756">
        <w:rPr>
          <w:rStyle w:val="Bodytext1"/>
          <w:rFonts w:ascii="Garamond" w:hAnsi="Garamond"/>
          <w:sz w:val="24"/>
          <w:szCs w:val="24"/>
        </w:rPr>
        <w:t>ja</w:t>
      </w:r>
      <w:r w:rsidRPr="00A90756">
        <w:rPr>
          <w:rStyle w:val="Bodytext1"/>
          <w:rFonts w:ascii="Garamond" w:hAnsi="Garamond"/>
          <w:sz w:val="24"/>
          <w:szCs w:val="24"/>
        </w:rPr>
        <w:t xml:space="preserve"> vendeve për sa i përket mjedisit, natyrës së egër, zonave malore dhe bregdetare, programi ofron një mundësi të mirë për zhvillimin e ofertave të përbashkëta turistike dhe për prodhimin e produkteve vendase që duhet të promovohen dhe të zhvillohen më tej.</w:t>
      </w:r>
    </w:p>
    <w:p w14:paraId="014E42EB" w14:textId="516B1CFE"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Për sa i përket kulturës dhe trashëgimisë natyrore, zona e programit është e pasur me asete kulturore që përfshijnë monumente dhe objekte fetare (kisha, manastire dhe xhami), qytete të vjetra, rrënoja arkeologjike, kështjella dhe muze të ndryshëm. Zona e programit është gjithashtu e pasur me tradita të larmishme të kuzhinës dhe zejeve që luajnë një rol të rëndësishëm në promovimin dhe në zhvillimin e turizmit. Investimet dhe subvencionet e kufizuara në sektorin publik kanë çuar në një nivel të ulët të aktiviteteve kulturore në zonën e programit, pavarësisht trashëgimisë së saj të pasur. Kjo kërkon nisma të reja të përbashkëta që synojnë</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shtojnë vlerë trashëgimisë ndërkufitare. Valorizimi i mëtejshëm i trashëgimisë historike dhe kulturore mund të kontribuojë në forcimin e identitetit të zonës dhe në nxitjen e zhvillimit ekonomik. Bashkëpunimi ndërkufitar ndërmjet institucioneve kulturore është tashmë i pranishëm, por kjo mund të intensifikohet më tej.</w:t>
      </w:r>
    </w:p>
    <w:p w14:paraId="014E42EC" w14:textId="77777777" w:rsidR="000D306C" w:rsidRPr="00A90756" w:rsidRDefault="000D306C" w:rsidP="000D306C">
      <w:pPr>
        <w:pStyle w:val="AAAATEXXX"/>
      </w:pPr>
      <w:r w:rsidRPr="00A90756">
        <w:rPr>
          <w:rStyle w:val="Bodytext1"/>
          <w:rFonts w:ascii="Garamond" w:hAnsi="Garamond"/>
          <w:sz w:val="24"/>
          <w:szCs w:val="24"/>
        </w:rPr>
        <w:t>Ky prioritet kontribuon në mbulimin e nevojave dhe në arritjen e rezultateve kryesore të pritshme siç tregohet në dokumentet e mëposhtme:</w:t>
      </w:r>
    </w:p>
    <w:p w14:paraId="014E42ED" w14:textId="77777777" w:rsidR="000D306C" w:rsidRPr="00A90756" w:rsidRDefault="000D306C" w:rsidP="000D306C">
      <w:pPr>
        <w:pStyle w:val="AAAATEXXX"/>
      </w:pPr>
      <w:r w:rsidRPr="00A90756">
        <w:rPr>
          <w:rStyle w:val="Bodytext1"/>
          <w:rFonts w:ascii="Garamond" w:hAnsi="Garamond"/>
          <w:sz w:val="24"/>
          <w:szCs w:val="24"/>
        </w:rPr>
        <w:t>- Dokumenti i strategjisë së vendit për Shqipërinë thotë qartë se fondet IPA mund të parashikojnë edhe asistencë për ruajtjen e trashëgimisë kulturore. Potenciali i NMVM-ve veçanërisht në industrinë e turizmit është i pashfrytëzuar. Lidhja e turizmit me ruajtjen e natyrës dhe trashëgimisë kulturore mund të luajë një rol më të fortë për të nxitur rritjen dhe zhvillimin ekonomik.</w:t>
      </w:r>
    </w:p>
    <w:p w14:paraId="014E42EE" w14:textId="7366E1CB" w:rsidR="000D306C" w:rsidRPr="00A90756" w:rsidRDefault="000D306C" w:rsidP="000D306C">
      <w:pPr>
        <w:pStyle w:val="AAAATEXXX"/>
      </w:pPr>
      <w:r w:rsidRPr="00A90756">
        <w:rPr>
          <w:rStyle w:val="Bodytext1"/>
          <w:rFonts w:ascii="Garamond" w:hAnsi="Garamond"/>
          <w:sz w:val="24"/>
          <w:szCs w:val="24"/>
        </w:rPr>
        <w:t>- Dokumenti strategjik indikativ për Malin e Zi konsideron turizmin, energjinë, bujqësinë dhe zhvillimin rural si fushat kryesore me potencial të madh për rritje ekonomike. Prandaj, reformat për përmirësimin e konkurrencës ekonomike dhe inovacionit duhet</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kushtojnë vëmendje të veçantë këtyre sektorëve ekonomikë. Kjo përfshin, ndër të tjera, përmirësimin e mjedisit të biznesit, performancën rregullatore dhe aksesin në kapital për NMVM-të.</w:t>
      </w:r>
    </w:p>
    <w:p w14:paraId="014E42EF" w14:textId="7D3A51C0" w:rsidR="000D306C" w:rsidRPr="00A90756" w:rsidRDefault="000D306C" w:rsidP="000D306C">
      <w:pPr>
        <w:pStyle w:val="AAAATEXXX"/>
      </w:pPr>
      <w:r w:rsidRPr="00A90756">
        <w:rPr>
          <w:rStyle w:val="Bodytext1"/>
          <w:rFonts w:ascii="Garamond" w:hAnsi="Garamond"/>
          <w:sz w:val="24"/>
          <w:szCs w:val="24"/>
        </w:rPr>
        <w:t>- Deklarata e Tiranës për protokollet e përbashkëta rajonale për të mbështetur rimëkëmbjen dhe rritjen e turizmit në 6 vendet e Ballkanit Perëndimor, miratuar nga Ministritë e Turizmit të të gjashta vendeve të Ballkanit Perëndimor, është e një rëndësie të madhe pasi e konsideron turizmin si një motor për rritjen e një ekonomie të qëndrueshme dhe gjithëpërfshirëse</w:t>
      </w:r>
      <w:r w:rsidR="00665CCE" w:rsidRPr="00A90756">
        <w:rPr>
          <w:rStyle w:val="Bodytext1"/>
          <w:rFonts w:ascii="Garamond" w:hAnsi="Garamond"/>
          <w:sz w:val="24"/>
          <w:szCs w:val="24"/>
        </w:rPr>
        <w:t>,</w:t>
      </w:r>
      <w:r w:rsidRPr="00A90756">
        <w:rPr>
          <w:rStyle w:val="Bodytext1"/>
          <w:rFonts w:ascii="Garamond" w:hAnsi="Garamond"/>
          <w:sz w:val="24"/>
          <w:szCs w:val="24"/>
        </w:rPr>
        <w:t xml:space="preserve"> dhe një sektor strategjik kyç për rimëkëmbjen rajonale në të ardhmen. Bashkëpunimi me sektorin privat konsiderohet po aq i rëndësishëm edhe në këtë strategji programore.</w:t>
      </w:r>
    </w:p>
    <w:p w14:paraId="014E42F0" w14:textId="77777777" w:rsidR="000D306C" w:rsidRPr="00A90756" w:rsidRDefault="000D306C" w:rsidP="000D306C">
      <w:pPr>
        <w:pStyle w:val="AAAATEXXX"/>
        <w:rPr>
          <w:rStyle w:val="Bodytext1"/>
          <w:rFonts w:ascii="Garamond" w:hAnsi="Garamond"/>
          <w:b/>
          <w:bCs/>
          <w:sz w:val="24"/>
          <w:szCs w:val="24"/>
        </w:rPr>
      </w:pPr>
    </w:p>
    <w:p w14:paraId="014E42F1" w14:textId="7D0A22C2" w:rsidR="000D306C" w:rsidRPr="00A90756" w:rsidRDefault="000D306C" w:rsidP="000D306C">
      <w:pPr>
        <w:pStyle w:val="AAAATEXXX"/>
      </w:pPr>
      <w:r w:rsidRPr="00A90756">
        <w:rPr>
          <w:rStyle w:val="Bodytext1"/>
          <w:rFonts w:ascii="Garamond" w:hAnsi="Garamond"/>
          <w:b/>
          <w:bCs/>
          <w:sz w:val="24"/>
          <w:szCs w:val="24"/>
        </w:rPr>
        <w:t xml:space="preserve">3. PT 0: Asistenca </w:t>
      </w:r>
      <w:r w:rsidR="00665CCE" w:rsidRPr="00A90756">
        <w:rPr>
          <w:rStyle w:val="Bodytext1"/>
          <w:rFonts w:ascii="Garamond" w:hAnsi="Garamond"/>
          <w:b/>
          <w:bCs/>
          <w:sz w:val="24"/>
          <w:szCs w:val="24"/>
        </w:rPr>
        <w:t>t</w:t>
      </w:r>
      <w:r w:rsidRPr="00A90756">
        <w:rPr>
          <w:rStyle w:val="Bodytext1"/>
          <w:rFonts w:ascii="Garamond" w:hAnsi="Garamond"/>
          <w:b/>
          <w:bCs/>
          <w:sz w:val="24"/>
          <w:szCs w:val="24"/>
        </w:rPr>
        <w:t>eknike</w:t>
      </w:r>
    </w:p>
    <w:p w14:paraId="014E42F2"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Një tabelë me shpjegimin e përmbledhur të prioriteteve tematike që janë përzgjedhur:</w:t>
      </w:r>
    </w:p>
    <w:p w14:paraId="014E42F4" w14:textId="08E477FF" w:rsidR="000D306C" w:rsidRPr="00A90756" w:rsidRDefault="000D306C" w:rsidP="00665CCE">
      <w:pPr>
        <w:pStyle w:val="Tablecaption10"/>
        <w:ind w:firstLine="284"/>
        <w:rPr>
          <w:rStyle w:val="Tablecaption1"/>
          <w:rFonts w:ascii="Garamond" w:hAnsi="Garamond"/>
          <w:bCs/>
          <w:i/>
          <w:iCs/>
          <w:sz w:val="24"/>
          <w:szCs w:val="24"/>
        </w:rPr>
      </w:pPr>
      <w:r w:rsidRPr="00A90756">
        <w:rPr>
          <w:rStyle w:val="Tablecaption1"/>
          <w:rFonts w:ascii="Garamond" w:hAnsi="Garamond"/>
          <w:bCs/>
          <w:i/>
          <w:iCs/>
          <w:sz w:val="24"/>
          <w:szCs w:val="24"/>
        </w:rPr>
        <w:t>Tabela 3.1: Arsyetimi sintetik i prioriteteve tematike</w:t>
      </w:r>
    </w:p>
    <w:tbl>
      <w:tblPr>
        <w:tblOverlap w:val="never"/>
        <w:tblW w:w="5000" w:type="pct"/>
        <w:jc w:val="center"/>
        <w:tblCellMar>
          <w:left w:w="10" w:type="dxa"/>
          <w:right w:w="10" w:type="dxa"/>
        </w:tblCellMar>
        <w:tblLook w:val="04A0" w:firstRow="1" w:lastRow="0" w:firstColumn="1" w:lastColumn="0" w:noHBand="0" w:noVBand="1"/>
      </w:tblPr>
      <w:tblGrid>
        <w:gridCol w:w="2802"/>
        <w:gridCol w:w="6215"/>
      </w:tblGrid>
      <w:tr w:rsidR="000D306C" w:rsidRPr="00A90756" w14:paraId="014E42F7" w14:textId="77777777" w:rsidTr="000D306C">
        <w:trPr>
          <w:trHeight w:val="20"/>
          <w:jc w:val="center"/>
        </w:trPr>
        <w:tc>
          <w:tcPr>
            <w:tcW w:w="1554" w:type="pct"/>
            <w:tcBorders>
              <w:top w:val="single" w:sz="4" w:space="0" w:color="auto"/>
              <w:left w:val="single" w:sz="4" w:space="0" w:color="auto"/>
            </w:tcBorders>
            <w:shd w:val="clear" w:color="auto" w:fill="F9EBDB"/>
          </w:tcPr>
          <w:p w14:paraId="014E42F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Përparësitë tematike të zgjedhura</w:t>
            </w:r>
          </w:p>
        </w:tc>
        <w:tc>
          <w:tcPr>
            <w:tcW w:w="3446" w:type="pct"/>
            <w:tcBorders>
              <w:top w:val="single" w:sz="4" w:space="0" w:color="auto"/>
              <w:left w:val="single" w:sz="4" w:space="0" w:color="auto"/>
              <w:right w:val="single" w:sz="4" w:space="0" w:color="auto"/>
            </w:tcBorders>
            <w:shd w:val="clear" w:color="auto" w:fill="F9EBDB"/>
          </w:tcPr>
          <w:p w14:paraId="014E42F6"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b/>
                <w:bCs/>
                <w:sz w:val="16"/>
                <w:szCs w:val="16"/>
              </w:rPr>
              <w:t>Arsyetimi për përzgjedhjen</w:t>
            </w:r>
          </w:p>
        </w:tc>
      </w:tr>
      <w:tr w:rsidR="000D306C" w:rsidRPr="00A90756" w14:paraId="014E42FE" w14:textId="77777777" w:rsidTr="000D306C">
        <w:trPr>
          <w:trHeight w:val="20"/>
          <w:jc w:val="center"/>
        </w:trPr>
        <w:tc>
          <w:tcPr>
            <w:tcW w:w="1554" w:type="pct"/>
            <w:tcBorders>
              <w:top w:val="single" w:sz="4" w:space="0" w:color="auto"/>
              <w:left w:val="single" w:sz="4" w:space="0" w:color="auto"/>
              <w:bottom w:val="single" w:sz="4" w:space="0" w:color="auto"/>
            </w:tcBorders>
            <w:shd w:val="clear" w:color="auto" w:fill="auto"/>
          </w:tcPr>
          <w:p w14:paraId="014E42F8" w14:textId="08A645AB"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 xml:space="preserve">1 - Grupimi </w:t>
            </w:r>
            <w:r w:rsidR="00665CCE" w:rsidRPr="00A90756">
              <w:rPr>
                <w:rStyle w:val="Other1"/>
                <w:rFonts w:ascii="Garamond" w:hAnsi="Garamond"/>
                <w:b/>
                <w:bCs/>
                <w:sz w:val="16"/>
                <w:szCs w:val="16"/>
              </w:rPr>
              <w:t>t</w:t>
            </w:r>
            <w:r w:rsidRPr="00A90756">
              <w:rPr>
                <w:rStyle w:val="Other1"/>
                <w:rFonts w:ascii="Garamond" w:hAnsi="Garamond"/>
                <w:b/>
                <w:bCs/>
                <w:sz w:val="16"/>
                <w:szCs w:val="16"/>
              </w:rPr>
              <w:t>ematik 2:</w:t>
            </w:r>
          </w:p>
          <w:p w14:paraId="014E42F9"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u w:val="single"/>
              </w:rPr>
              <w:t>Efikasiteti më i gjelbër dhe i përmirësuar i burimeve</w:t>
            </w:r>
          </w:p>
          <w:p w14:paraId="014E42FA" w14:textId="77777777" w:rsidR="000D306C" w:rsidRPr="00A90756" w:rsidRDefault="000D306C" w:rsidP="000D306C">
            <w:pPr>
              <w:pStyle w:val="Other10"/>
              <w:tabs>
                <w:tab w:val="left" w:pos="686"/>
                <w:tab w:val="left" w:pos="2050"/>
              </w:tabs>
              <w:spacing w:after="0"/>
              <w:rPr>
                <w:rFonts w:ascii="Garamond" w:hAnsi="Garamond"/>
                <w:sz w:val="16"/>
                <w:szCs w:val="16"/>
              </w:rPr>
            </w:pPr>
            <w:r w:rsidRPr="00A90756">
              <w:rPr>
                <w:rStyle w:val="Other1"/>
                <w:rFonts w:ascii="Garamond" w:hAnsi="Garamond"/>
                <w:b/>
                <w:bCs/>
                <w:sz w:val="16"/>
                <w:szCs w:val="16"/>
              </w:rPr>
              <w:t xml:space="preserve">PT2: </w:t>
            </w:r>
            <w:r w:rsidRPr="00A90756">
              <w:rPr>
                <w:rStyle w:val="Other1"/>
                <w:rFonts w:ascii="Garamond" w:hAnsi="Garamond"/>
                <w:sz w:val="16"/>
                <w:szCs w:val="16"/>
              </w:rPr>
              <w:t>Mbrojtja e mjedisit, përshtatja dhe zbutja e ndryshimeve klimatike, parandalimi dhe menaxhimi i rrezikut</w:t>
            </w:r>
          </w:p>
        </w:tc>
        <w:tc>
          <w:tcPr>
            <w:tcW w:w="3446" w:type="pct"/>
            <w:tcBorders>
              <w:top w:val="single" w:sz="4" w:space="0" w:color="auto"/>
              <w:left w:val="single" w:sz="4" w:space="0" w:color="auto"/>
              <w:bottom w:val="single" w:sz="4" w:space="0" w:color="auto"/>
              <w:right w:val="single" w:sz="4" w:space="0" w:color="auto"/>
            </w:tcBorders>
            <w:shd w:val="clear" w:color="auto" w:fill="auto"/>
            <w:vAlign w:val="bottom"/>
          </w:tcPr>
          <w:p w14:paraId="014E42FB" w14:textId="5B385E89"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Zona e programit ka potenciale të mëdha për</w:t>
            </w:r>
            <w:r w:rsidR="00C61854" w:rsidRPr="00A90756">
              <w:rPr>
                <w:rStyle w:val="Other1"/>
                <w:rFonts w:ascii="Garamond" w:hAnsi="Garamond"/>
                <w:sz w:val="16"/>
                <w:szCs w:val="16"/>
              </w:rPr>
              <w:t xml:space="preserve"> t</w:t>
            </w:r>
            <w:r w:rsidR="00292D5B" w:rsidRPr="00A90756">
              <w:rPr>
                <w:rStyle w:val="Other1"/>
                <w:rFonts w:ascii="Garamond" w:hAnsi="Garamond"/>
                <w:sz w:val="16"/>
                <w:szCs w:val="16"/>
              </w:rPr>
              <w:t>’</w:t>
            </w:r>
            <w:r w:rsidR="00C61854" w:rsidRPr="00A90756">
              <w:rPr>
                <w:rStyle w:val="Other1"/>
                <w:rFonts w:ascii="Garamond" w:hAnsi="Garamond"/>
                <w:sz w:val="16"/>
                <w:szCs w:val="16"/>
              </w:rPr>
              <w:t xml:space="preserve">u </w:t>
            </w:r>
            <w:r w:rsidRPr="00A90756">
              <w:rPr>
                <w:rStyle w:val="Other1"/>
                <w:rFonts w:ascii="Garamond" w:hAnsi="Garamond"/>
                <w:sz w:val="16"/>
                <w:szCs w:val="16"/>
              </w:rPr>
              <w:t>eksploruar brenda sferës mjedisore. Ky prioritet mund të kontribuojë shumë në artikulimin e një reagimi të komuniteteve lokale ndaj ndryshimeve klimatike, zhvillimin e masave për parandalimin e rrezikut dhe menaxhimin. Mund të konsiderohet se tregon vazhdimësi me rezultatet e arritura përmes projekteve IPA II. Ka një efekt të lartë ndërkufitar duke pasur parasysh faktin se institucionet dhe organizatat që kanë përvojë në këtë fushë mund të adresojnë nevojat e përbashkëta në zonë përmes organizimit të masave të ndryshme të përbashkëta që mund të çojnë në zgjidhje të përbashkëta kundër ndikimit specifik të ndryshimeve klimatike në pyje dhe në toka bujqësore (p.sh. brumbulli i lëvores, ujitja, stuhitë me breshër etj.), parandalimi i përmbytjeve, zjarreve, thatësirave etj. Ai gjithashtu do të përmirësojë kapacitetet e shërbimeve të parandalimit të fatkeqësive, do të rrisë bashkëpunimin ndërmjet autoriteteve përkatëse dhe bashkëpunimin me OSHC-të.</w:t>
            </w:r>
          </w:p>
          <w:p w14:paraId="014E42FC"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i/>
                <w:iCs/>
                <w:sz w:val="16"/>
                <w:szCs w:val="16"/>
              </w:rPr>
              <w:t>Për ta përmbledhur:</w:t>
            </w:r>
          </w:p>
          <w:p w14:paraId="014E42FD"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color w:val="244061"/>
                <w:sz w:val="16"/>
                <w:szCs w:val="16"/>
              </w:rPr>
              <w:t>-</w:t>
            </w:r>
            <w:r w:rsidRPr="00A90756">
              <w:rPr>
                <w:rStyle w:val="Other1"/>
                <w:rFonts w:ascii="Garamond" w:hAnsi="Garamond"/>
                <w:sz w:val="16"/>
                <w:szCs w:val="16"/>
              </w:rPr>
              <w:t xml:space="preserve"> Zona e programit është shtëpia e disa parqeve kombëtare, zonave të mbrojtura dhe peizazheve që pasqyrojnë biodiversitet të pasur dhe shumëllojshmëri të madhe mjedisore.</w:t>
            </w:r>
          </w:p>
        </w:tc>
      </w:tr>
    </w:tbl>
    <w:p w14:paraId="014E42FF" w14:textId="77777777" w:rsidR="000D306C" w:rsidRPr="00A90756" w:rsidRDefault="000D306C" w:rsidP="000D306C">
      <w:pPr>
        <w:ind w:firstLine="284"/>
        <w:rPr>
          <w:rFonts w:ascii="Garamond" w:hAnsi="Garamond"/>
          <w:sz w:val="2"/>
          <w:szCs w:val="2"/>
        </w:rPr>
      </w:pPr>
    </w:p>
    <w:tbl>
      <w:tblPr>
        <w:tblOverlap w:val="never"/>
        <w:tblW w:w="5000" w:type="pct"/>
        <w:jc w:val="center"/>
        <w:tblCellMar>
          <w:left w:w="10" w:type="dxa"/>
          <w:right w:w="10" w:type="dxa"/>
        </w:tblCellMar>
        <w:tblLook w:val="04A0" w:firstRow="1" w:lastRow="0" w:firstColumn="1" w:lastColumn="0" w:noHBand="0" w:noVBand="1"/>
      </w:tblPr>
      <w:tblGrid>
        <w:gridCol w:w="2802"/>
        <w:gridCol w:w="6215"/>
      </w:tblGrid>
      <w:tr w:rsidR="000D306C" w:rsidRPr="00A90756" w14:paraId="014E4305" w14:textId="77777777" w:rsidTr="000D306C">
        <w:trPr>
          <w:trHeight w:val="20"/>
          <w:jc w:val="center"/>
        </w:trPr>
        <w:tc>
          <w:tcPr>
            <w:tcW w:w="1554" w:type="pct"/>
            <w:tcBorders>
              <w:top w:val="single" w:sz="4" w:space="0" w:color="auto"/>
              <w:left w:val="single" w:sz="4" w:space="0" w:color="auto"/>
            </w:tcBorders>
            <w:shd w:val="clear" w:color="auto" w:fill="auto"/>
          </w:tcPr>
          <w:p w14:paraId="014E4300" w14:textId="77777777" w:rsidR="000D306C" w:rsidRPr="00A90756" w:rsidRDefault="000D306C" w:rsidP="000D306C">
            <w:pPr>
              <w:rPr>
                <w:rFonts w:ascii="Garamond" w:hAnsi="Garamond"/>
                <w:sz w:val="10"/>
                <w:szCs w:val="10"/>
              </w:rPr>
            </w:pPr>
          </w:p>
        </w:tc>
        <w:tc>
          <w:tcPr>
            <w:tcW w:w="3446" w:type="pct"/>
            <w:tcBorders>
              <w:top w:val="single" w:sz="4" w:space="0" w:color="auto"/>
              <w:left w:val="single" w:sz="4" w:space="0" w:color="auto"/>
              <w:right w:val="single" w:sz="4" w:space="0" w:color="auto"/>
            </w:tcBorders>
            <w:shd w:val="clear" w:color="auto" w:fill="auto"/>
          </w:tcPr>
          <w:p w14:paraId="014E4301" w14:textId="27B5CBB7" w:rsidR="000D306C" w:rsidRPr="00A90756" w:rsidRDefault="000D306C" w:rsidP="000D306C">
            <w:pPr>
              <w:pStyle w:val="Other10"/>
              <w:numPr>
                <w:ilvl w:val="0"/>
                <w:numId w:val="12"/>
              </w:numPr>
              <w:tabs>
                <w:tab w:val="left" w:pos="158"/>
              </w:tabs>
              <w:spacing w:after="0"/>
              <w:jc w:val="both"/>
              <w:rPr>
                <w:rFonts w:ascii="Garamond" w:hAnsi="Garamond"/>
                <w:sz w:val="18"/>
                <w:szCs w:val="18"/>
              </w:rPr>
            </w:pPr>
            <w:r w:rsidRPr="00A90756">
              <w:rPr>
                <w:rStyle w:val="Other1"/>
                <w:rFonts w:ascii="Garamond" w:hAnsi="Garamond"/>
                <w:sz w:val="18"/>
                <w:szCs w:val="18"/>
              </w:rPr>
              <w:t>Ka një biodiversitet të pasur, mjedis të paprekur dhe tërheqës, shumëllojshmëri peizazhesh natyrore</w:t>
            </w:r>
            <w:r w:rsidR="00391B5E" w:rsidRPr="00A90756">
              <w:rPr>
                <w:rStyle w:val="Other1"/>
                <w:rFonts w:ascii="Garamond" w:hAnsi="Garamond"/>
                <w:sz w:val="18"/>
                <w:szCs w:val="18"/>
              </w:rPr>
              <w:t>;</w:t>
            </w:r>
          </w:p>
          <w:p w14:paraId="014E4302" w14:textId="045505D9" w:rsidR="000D306C" w:rsidRPr="00A90756" w:rsidRDefault="000D306C" w:rsidP="000D306C">
            <w:pPr>
              <w:pStyle w:val="Other10"/>
              <w:numPr>
                <w:ilvl w:val="0"/>
                <w:numId w:val="12"/>
              </w:numPr>
              <w:tabs>
                <w:tab w:val="left" w:pos="158"/>
              </w:tabs>
              <w:spacing w:after="0"/>
              <w:jc w:val="both"/>
              <w:rPr>
                <w:rFonts w:ascii="Garamond" w:hAnsi="Garamond"/>
                <w:sz w:val="18"/>
                <w:szCs w:val="18"/>
              </w:rPr>
            </w:pPr>
            <w:r w:rsidRPr="00A90756">
              <w:rPr>
                <w:rStyle w:val="Other1"/>
                <w:rFonts w:ascii="Garamond" w:hAnsi="Garamond"/>
                <w:sz w:val="18"/>
                <w:szCs w:val="18"/>
              </w:rPr>
              <w:t xml:space="preserve">Duhet të rritet ndërgjegjësimi i publikut për masat dhe për menaxhimin e mbrojtjes së </w:t>
            </w:r>
            <w:r w:rsidRPr="00A90756">
              <w:rPr>
                <w:rStyle w:val="Other1"/>
                <w:rFonts w:ascii="Garamond" w:hAnsi="Garamond"/>
                <w:sz w:val="18"/>
                <w:szCs w:val="18"/>
              </w:rPr>
              <w:lastRenderedPageBreak/>
              <w:t>mjedisit</w:t>
            </w:r>
            <w:r w:rsidR="00391B5E" w:rsidRPr="00A90756">
              <w:rPr>
                <w:rStyle w:val="Other1"/>
                <w:rFonts w:ascii="Garamond" w:hAnsi="Garamond"/>
                <w:sz w:val="18"/>
                <w:szCs w:val="18"/>
              </w:rPr>
              <w:t>;</w:t>
            </w:r>
          </w:p>
          <w:p w14:paraId="014E4303" w14:textId="0A596458" w:rsidR="000D306C" w:rsidRPr="00A90756" w:rsidRDefault="000D306C" w:rsidP="000D306C">
            <w:pPr>
              <w:pStyle w:val="Other10"/>
              <w:numPr>
                <w:ilvl w:val="0"/>
                <w:numId w:val="12"/>
              </w:numPr>
              <w:tabs>
                <w:tab w:val="left" w:pos="158"/>
              </w:tabs>
              <w:spacing w:after="0"/>
              <w:jc w:val="both"/>
              <w:rPr>
                <w:rFonts w:ascii="Garamond" w:hAnsi="Garamond"/>
                <w:sz w:val="18"/>
                <w:szCs w:val="18"/>
              </w:rPr>
            </w:pPr>
            <w:r w:rsidRPr="00A90756">
              <w:rPr>
                <w:rStyle w:val="Other1"/>
                <w:rFonts w:ascii="Garamond" w:hAnsi="Garamond"/>
                <w:sz w:val="18"/>
                <w:szCs w:val="18"/>
              </w:rPr>
              <w:t>Duhet të promovohen mekanizma të përbashkët të përmirësuar për të menaxhuar fatkeqësitë natyrore si</w:t>
            </w:r>
            <w:r w:rsidR="00B965D6" w:rsidRPr="00A90756">
              <w:rPr>
                <w:rStyle w:val="Other1"/>
                <w:rFonts w:ascii="Garamond" w:hAnsi="Garamond"/>
                <w:sz w:val="18"/>
                <w:szCs w:val="18"/>
              </w:rPr>
              <w:t>:</w:t>
            </w:r>
            <w:r w:rsidRPr="00A90756">
              <w:rPr>
                <w:rStyle w:val="Other1"/>
                <w:rFonts w:ascii="Garamond" w:hAnsi="Garamond"/>
                <w:sz w:val="18"/>
                <w:szCs w:val="18"/>
              </w:rPr>
              <w:t xml:space="preserve"> përmbytjet, zjarret, tërmetet dhe fatkeqësitë e tjera - në përputhje me Kornizën Sendai të OKB-së për Reduktimin e Rrezikut nga Fatkeqësitë 2015</w:t>
            </w:r>
            <w:r w:rsidR="00391B5E" w:rsidRPr="00A90756">
              <w:rPr>
                <w:rStyle w:val="Other1"/>
                <w:rFonts w:ascii="Garamond" w:hAnsi="Garamond"/>
                <w:sz w:val="18"/>
                <w:szCs w:val="18"/>
              </w:rPr>
              <w:t>–</w:t>
            </w:r>
            <w:r w:rsidRPr="00A90756">
              <w:rPr>
                <w:rStyle w:val="Other1"/>
                <w:rFonts w:ascii="Garamond" w:hAnsi="Garamond"/>
                <w:sz w:val="18"/>
                <w:szCs w:val="18"/>
              </w:rPr>
              <w:t>2030</w:t>
            </w:r>
          </w:p>
          <w:p w14:paraId="014E4304"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45% e fondeve IPA do të shkojë për këtë TP</w:t>
            </w:r>
          </w:p>
        </w:tc>
      </w:tr>
      <w:tr w:rsidR="000D306C" w:rsidRPr="00A90756" w14:paraId="014E4308" w14:textId="77777777" w:rsidTr="000D306C">
        <w:trPr>
          <w:trHeight w:val="20"/>
          <w:jc w:val="center"/>
        </w:trPr>
        <w:tc>
          <w:tcPr>
            <w:tcW w:w="1554" w:type="pct"/>
            <w:tcBorders>
              <w:top w:val="single" w:sz="4" w:space="0" w:color="auto"/>
              <w:left w:val="single" w:sz="4" w:space="0" w:color="auto"/>
            </w:tcBorders>
            <w:shd w:val="clear" w:color="auto" w:fill="auto"/>
            <w:vAlign w:val="bottom"/>
          </w:tcPr>
          <w:p w14:paraId="014E4306" w14:textId="2DD69F27" w:rsidR="000D306C" w:rsidRPr="00A90756" w:rsidRDefault="000D306C" w:rsidP="000D306C">
            <w:pPr>
              <w:pStyle w:val="Other10"/>
              <w:spacing w:after="0"/>
              <w:rPr>
                <w:rFonts w:ascii="Garamond" w:hAnsi="Garamond"/>
                <w:sz w:val="18"/>
                <w:szCs w:val="18"/>
              </w:rPr>
            </w:pPr>
            <w:r w:rsidRPr="00A90756">
              <w:rPr>
                <w:rStyle w:val="Other1"/>
                <w:rFonts w:ascii="Garamond" w:hAnsi="Garamond"/>
                <w:b/>
                <w:bCs/>
                <w:sz w:val="18"/>
                <w:szCs w:val="18"/>
              </w:rPr>
              <w:lastRenderedPageBreak/>
              <w:t xml:space="preserve">2 - Grupimi </w:t>
            </w:r>
            <w:r w:rsidR="00665CCE" w:rsidRPr="00A90756">
              <w:rPr>
                <w:rStyle w:val="Other1"/>
                <w:rFonts w:ascii="Garamond" w:hAnsi="Garamond"/>
                <w:b/>
                <w:bCs/>
                <w:sz w:val="18"/>
                <w:szCs w:val="18"/>
              </w:rPr>
              <w:t>t</w:t>
            </w:r>
            <w:r w:rsidRPr="00A90756">
              <w:rPr>
                <w:rStyle w:val="Other1"/>
                <w:rFonts w:ascii="Garamond" w:hAnsi="Garamond"/>
                <w:b/>
                <w:bCs/>
                <w:sz w:val="18"/>
                <w:szCs w:val="18"/>
              </w:rPr>
              <w:t>ematik 4:</w:t>
            </w:r>
          </w:p>
        </w:tc>
        <w:tc>
          <w:tcPr>
            <w:tcW w:w="3446" w:type="pct"/>
            <w:tcBorders>
              <w:top w:val="single" w:sz="4" w:space="0" w:color="auto"/>
              <w:left w:val="single" w:sz="4" w:space="0" w:color="auto"/>
              <w:right w:val="single" w:sz="4" w:space="0" w:color="auto"/>
            </w:tcBorders>
            <w:shd w:val="clear" w:color="auto" w:fill="auto"/>
            <w:vAlign w:val="bottom"/>
          </w:tcPr>
          <w:p w14:paraId="014E4307" w14:textId="77777777"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Turizmi i bazuar në trashëgiminë kulturore dhe natyrore është i një rëndësie të madhe për</w:t>
            </w:r>
          </w:p>
        </w:tc>
      </w:tr>
      <w:tr w:rsidR="000D306C" w:rsidRPr="00A90756" w14:paraId="014E430B" w14:textId="77777777" w:rsidTr="000D306C">
        <w:trPr>
          <w:trHeight w:val="20"/>
          <w:jc w:val="center"/>
        </w:trPr>
        <w:tc>
          <w:tcPr>
            <w:tcW w:w="1554" w:type="pct"/>
            <w:tcBorders>
              <w:left w:val="single" w:sz="4" w:space="0" w:color="auto"/>
            </w:tcBorders>
            <w:shd w:val="clear" w:color="auto" w:fill="auto"/>
          </w:tcPr>
          <w:p w14:paraId="014E4309"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sz w:val="18"/>
                <w:szCs w:val="18"/>
                <w:u w:val="single"/>
              </w:rPr>
              <w:t>Përmirësimi i mjedisit të biznesit dhe konkurrueshmërisë</w:t>
            </w:r>
          </w:p>
        </w:tc>
        <w:tc>
          <w:tcPr>
            <w:tcW w:w="3446" w:type="pct"/>
            <w:tcBorders>
              <w:left w:val="single" w:sz="4" w:space="0" w:color="auto"/>
              <w:right w:val="single" w:sz="4" w:space="0" w:color="auto"/>
            </w:tcBorders>
            <w:shd w:val="clear" w:color="auto" w:fill="auto"/>
            <w:vAlign w:val="bottom"/>
          </w:tcPr>
          <w:p w14:paraId="014E430A" w14:textId="063AA6EF" w:rsidR="000D306C" w:rsidRPr="00A90756" w:rsidRDefault="00B965D6" w:rsidP="000D306C">
            <w:pPr>
              <w:pStyle w:val="Other10"/>
              <w:spacing w:after="0"/>
              <w:jc w:val="both"/>
              <w:rPr>
                <w:rFonts w:ascii="Garamond" w:hAnsi="Garamond"/>
                <w:sz w:val="18"/>
                <w:szCs w:val="18"/>
              </w:rPr>
            </w:pPr>
            <w:r w:rsidRPr="00A90756">
              <w:rPr>
                <w:rStyle w:val="Other1"/>
                <w:rFonts w:ascii="Garamond" w:hAnsi="Garamond"/>
                <w:sz w:val="18"/>
                <w:szCs w:val="18"/>
              </w:rPr>
              <w:t>z</w:t>
            </w:r>
            <w:r w:rsidR="000D306C" w:rsidRPr="00A90756">
              <w:rPr>
                <w:rStyle w:val="Other1"/>
                <w:rFonts w:ascii="Garamond" w:hAnsi="Garamond"/>
                <w:sz w:val="18"/>
                <w:szCs w:val="18"/>
              </w:rPr>
              <w:t>ona</w:t>
            </w:r>
            <w:r w:rsidRPr="00A90756">
              <w:rPr>
                <w:rStyle w:val="Other1"/>
                <w:rFonts w:ascii="Garamond" w:hAnsi="Garamond"/>
                <w:sz w:val="18"/>
                <w:szCs w:val="18"/>
              </w:rPr>
              <w:t>t</w:t>
            </w:r>
            <w:r w:rsidR="000D306C" w:rsidRPr="00A90756">
              <w:rPr>
                <w:rStyle w:val="Other1"/>
                <w:rFonts w:ascii="Garamond" w:hAnsi="Garamond"/>
                <w:sz w:val="18"/>
                <w:szCs w:val="18"/>
              </w:rPr>
              <w:t xml:space="preserve"> e programit BNK. Ofron mundësinë për</w:t>
            </w:r>
            <w:r w:rsidR="00C61854" w:rsidRPr="00A90756">
              <w:rPr>
                <w:rStyle w:val="Other1"/>
                <w:rFonts w:ascii="Garamond" w:hAnsi="Garamond"/>
                <w:sz w:val="18"/>
                <w:szCs w:val="18"/>
              </w:rPr>
              <w:t xml:space="preserve"> t</w:t>
            </w:r>
            <w:r w:rsidR="00292D5B" w:rsidRPr="00A90756">
              <w:rPr>
                <w:rStyle w:val="Other1"/>
                <w:rFonts w:ascii="Garamond" w:hAnsi="Garamond"/>
                <w:sz w:val="18"/>
                <w:szCs w:val="18"/>
              </w:rPr>
              <w:t>’</w:t>
            </w:r>
            <w:r w:rsidR="00C61854" w:rsidRPr="00A90756">
              <w:rPr>
                <w:rStyle w:val="Other1"/>
                <w:rFonts w:ascii="Garamond" w:hAnsi="Garamond"/>
                <w:sz w:val="18"/>
                <w:szCs w:val="18"/>
              </w:rPr>
              <w:t xml:space="preserve">u </w:t>
            </w:r>
            <w:r w:rsidR="000D306C" w:rsidRPr="00A90756">
              <w:rPr>
                <w:rStyle w:val="Other1"/>
                <w:rFonts w:ascii="Garamond" w:hAnsi="Garamond"/>
                <w:sz w:val="18"/>
                <w:szCs w:val="18"/>
              </w:rPr>
              <w:t>mbështetur te projektet e zbatuara më parë, për të kontribuar më tej në diversifikimin e ofertës turistike në zonë dhe nëpërmjet iniciativave BNK, për të shfrytëzuar burimet ende</w:t>
            </w:r>
          </w:p>
        </w:tc>
      </w:tr>
      <w:tr w:rsidR="000D306C" w:rsidRPr="00A90756" w14:paraId="014E4317" w14:textId="77777777" w:rsidTr="000D306C">
        <w:trPr>
          <w:trHeight w:val="20"/>
          <w:jc w:val="center"/>
        </w:trPr>
        <w:tc>
          <w:tcPr>
            <w:tcW w:w="1554" w:type="pct"/>
            <w:tcBorders>
              <w:left w:val="single" w:sz="4" w:space="0" w:color="auto"/>
            </w:tcBorders>
            <w:shd w:val="clear" w:color="auto" w:fill="auto"/>
          </w:tcPr>
          <w:p w14:paraId="014E430C"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b/>
                <w:bCs/>
                <w:sz w:val="18"/>
                <w:szCs w:val="18"/>
              </w:rPr>
              <w:t>TP5:</w:t>
            </w:r>
            <w:r w:rsidRPr="00A90756">
              <w:rPr>
                <w:rStyle w:val="Other1"/>
                <w:rFonts w:ascii="Garamond" w:hAnsi="Garamond"/>
                <w:sz w:val="18"/>
                <w:szCs w:val="18"/>
              </w:rPr>
              <w:t xml:space="preserve"> Turizmi dhe trashëgimia kulturore e natyrore;</w:t>
            </w:r>
          </w:p>
        </w:tc>
        <w:tc>
          <w:tcPr>
            <w:tcW w:w="3446" w:type="pct"/>
            <w:tcBorders>
              <w:left w:val="single" w:sz="4" w:space="0" w:color="auto"/>
              <w:right w:val="single" w:sz="4" w:space="0" w:color="auto"/>
            </w:tcBorders>
            <w:shd w:val="clear" w:color="auto" w:fill="auto"/>
            <w:vAlign w:val="bottom"/>
          </w:tcPr>
          <w:p w14:paraId="014E430D" w14:textId="77777777" w:rsidR="000D306C" w:rsidRPr="00A90756" w:rsidRDefault="000D306C" w:rsidP="000D306C">
            <w:pPr>
              <w:pStyle w:val="Other10"/>
              <w:tabs>
                <w:tab w:val="left" w:pos="307"/>
                <w:tab w:val="left" w:pos="2078"/>
                <w:tab w:val="left" w:pos="3062"/>
                <w:tab w:val="left" w:pos="3408"/>
                <w:tab w:val="left" w:pos="3907"/>
                <w:tab w:val="left" w:pos="5146"/>
                <w:tab w:val="left" w:pos="5808"/>
                <w:tab w:val="left" w:pos="6187"/>
              </w:tabs>
              <w:spacing w:after="0"/>
              <w:jc w:val="both"/>
              <w:rPr>
                <w:rFonts w:ascii="Garamond" w:hAnsi="Garamond"/>
                <w:sz w:val="18"/>
                <w:szCs w:val="18"/>
              </w:rPr>
            </w:pPr>
            <w:r w:rsidRPr="00A90756">
              <w:rPr>
                <w:rStyle w:val="Other1"/>
                <w:rFonts w:ascii="Garamond" w:hAnsi="Garamond"/>
                <w:sz w:val="18"/>
                <w:szCs w:val="18"/>
              </w:rPr>
              <w:t xml:space="preserve">të pashfrytëzuara, kapacitetet e zonave rurale dhe potencialet e pashfrytëzuara. Kjo mundëson kombinimin e turizmit me bujqësinë, pasi ky perceptohet si një potencial kryesor ekonomik në zonë. Në kuadrin e këtij prioriteti mund të trajtohet edhe papunësia, që përbën një problem të madh për këtë zonë. </w:t>
            </w:r>
            <w:r w:rsidRPr="00A90756">
              <w:rPr>
                <w:rStyle w:val="Other1"/>
                <w:rFonts w:ascii="Garamond" w:hAnsi="Garamond"/>
                <w:i/>
                <w:iCs/>
                <w:sz w:val="18"/>
                <w:szCs w:val="18"/>
              </w:rPr>
              <w:t>Për ta përmbledhur:</w:t>
            </w:r>
          </w:p>
          <w:p w14:paraId="014E430E" w14:textId="77777777"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Zona e programit është e pasur me burime natyrore që janë shumë të favorshme për zhvillimin e turizmit dhe shtysa kryesore ekonomike për të rritur mundësitë për mirëqenien dhe prosperitetin e banorëve në zonën e programit.</w:t>
            </w:r>
          </w:p>
          <w:p w14:paraId="014E430F" w14:textId="77777777"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Një shumëllojshmëri destinacionesh turistike që ofrojnë aktivitete turistike bregdetare dhe malore, si dhe një pasuri e trashëgimisë arkitekturore, natyrore, kulturore dhe vendeve fetare mund të promovohen lehtësisht.</w:t>
            </w:r>
          </w:p>
          <w:p w14:paraId="014E4310" w14:textId="16917672"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Në zonat rurale dhe të thella, të gjitha llojet e turizmit që lidhen me sportet malore (ski, ecje, biçikletë, rafting etj.) kanë një potencial të qartë.</w:t>
            </w:r>
          </w:p>
          <w:p w14:paraId="014E4311" w14:textId="24F4BD61"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 xml:space="preserve">Zona e programit është e pasur me tradita të larmishme të kuzhinës dhe </w:t>
            </w:r>
            <w:r w:rsidR="00C61854" w:rsidRPr="00A90756">
              <w:rPr>
                <w:rStyle w:val="Other1"/>
                <w:rFonts w:ascii="Garamond" w:hAnsi="Garamond"/>
                <w:sz w:val="18"/>
                <w:szCs w:val="18"/>
              </w:rPr>
              <w:t>zejeve</w:t>
            </w:r>
            <w:r w:rsidRPr="00A90756">
              <w:rPr>
                <w:rStyle w:val="Other1"/>
                <w:rFonts w:ascii="Garamond" w:hAnsi="Garamond"/>
                <w:sz w:val="18"/>
                <w:szCs w:val="18"/>
              </w:rPr>
              <w:t xml:space="preserve"> që mund të luajnë një rol të rëndësishëm në promovimin e mëtejshëm dhe në zhvillimin e turizmit.</w:t>
            </w:r>
          </w:p>
          <w:p w14:paraId="014E4312" w14:textId="77777777"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Zhvillimi i mëtejshëm i produkteve bujqësore dhe industrisë agropërpunuese dhe industrisë së drurit, zejtarisë mund të lidhet me turizmin.</w:t>
            </w:r>
          </w:p>
          <w:p w14:paraId="014E4313" w14:textId="0BA9F24A"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Sistemi arsimor mund</w:t>
            </w:r>
            <w:r w:rsidR="00C61854" w:rsidRPr="00A90756">
              <w:rPr>
                <w:rStyle w:val="Other1"/>
                <w:rFonts w:ascii="Garamond" w:hAnsi="Garamond"/>
                <w:sz w:val="18"/>
                <w:szCs w:val="18"/>
              </w:rPr>
              <w:t xml:space="preserve"> t</w:t>
            </w:r>
            <w:r w:rsidR="00292D5B" w:rsidRPr="00A90756">
              <w:rPr>
                <w:rStyle w:val="Other1"/>
                <w:rFonts w:ascii="Garamond" w:hAnsi="Garamond"/>
                <w:sz w:val="18"/>
                <w:szCs w:val="18"/>
              </w:rPr>
              <w:t>’</w:t>
            </w:r>
            <w:r w:rsidR="00C61854" w:rsidRPr="00A90756">
              <w:rPr>
                <w:rStyle w:val="Other1"/>
                <w:rFonts w:ascii="Garamond" w:hAnsi="Garamond"/>
                <w:sz w:val="18"/>
                <w:szCs w:val="18"/>
              </w:rPr>
              <w:t xml:space="preserve">u </w:t>
            </w:r>
            <w:r w:rsidRPr="00A90756">
              <w:rPr>
                <w:rStyle w:val="Other1"/>
                <w:rFonts w:ascii="Garamond" w:hAnsi="Garamond"/>
                <w:sz w:val="18"/>
                <w:szCs w:val="18"/>
              </w:rPr>
              <w:t>ofrojë të rinjve mundësi për</w:t>
            </w:r>
            <w:r w:rsidR="00C61854" w:rsidRPr="00A90756">
              <w:rPr>
                <w:rStyle w:val="Other1"/>
                <w:rFonts w:ascii="Garamond" w:hAnsi="Garamond"/>
                <w:sz w:val="18"/>
                <w:szCs w:val="18"/>
              </w:rPr>
              <w:t xml:space="preserve"> t</w:t>
            </w:r>
            <w:r w:rsidR="00292D5B" w:rsidRPr="00A90756">
              <w:rPr>
                <w:rStyle w:val="Other1"/>
                <w:rFonts w:ascii="Garamond" w:hAnsi="Garamond"/>
                <w:sz w:val="18"/>
                <w:szCs w:val="18"/>
              </w:rPr>
              <w:t>’</w:t>
            </w:r>
            <w:r w:rsidR="00C61854" w:rsidRPr="00A90756">
              <w:rPr>
                <w:rStyle w:val="Other1"/>
                <w:rFonts w:ascii="Garamond" w:hAnsi="Garamond"/>
                <w:sz w:val="18"/>
                <w:szCs w:val="18"/>
              </w:rPr>
              <w:t xml:space="preserve">u </w:t>
            </w:r>
            <w:r w:rsidRPr="00A90756">
              <w:rPr>
                <w:rStyle w:val="Other1"/>
                <w:rFonts w:ascii="Garamond" w:hAnsi="Garamond"/>
                <w:sz w:val="18"/>
                <w:szCs w:val="18"/>
              </w:rPr>
              <w:t>angazhuar në sipërmarrje në turizëm dhe për të avancuar shërbime dhe produkte cilësore dhe konkurruese.</w:t>
            </w:r>
          </w:p>
          <w:p w14:paraId="014E4314" w14:textId="5CAF97E5"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Inovacioni dhe TIK</w:t>
            </w:r>
            <w:r w:rsidR="00B965D6" w:rsidRPr="00A90756">
              <w:rPr>
                <w:rStyle w:val="Other1"/>
                <w:rFonts w:ascii="Garamond" w:hAnsi="Garamond"/>
                <w:sz w:val="18"/>
                <w:szCs w:val="18"/>
              </w:rPr>
              <w:t>-u</w:t>
            </w:r>
            <w:r w:rsidRPr="00A90756">
              <w:rPr>
                <w:rStyle w:val="Other1"/>
                <w:rFonts w:ascii="Garamond" w:hAnsi="Garamond"/>
                <w:sz w:val="18"/>
                <w:szCs w:val="18"/>
              </w:rPr>
              <w:t xml:space="preserve"> duhet të aplikohen në një turizëm të bazuar te kultura dhe trashëgimia natyrore.</w:t>
            </w:r>
          </w:p>
          <w:p w14:paraId="014E4315" w14:textId="77777777" w:rsidR="000D306C" w:rsidRPr="00A90756" w:rsidRDefault="000D306C" w:rsidP="000D306C">
            <w:pPr>
              <w:pStyle w:val="Other10"/>
              <w:numPr>
                <w:ilvl w:val="0"/>
                <w:numId w:val="13"/>
              </w:numPr>
              <w:tabs>
                <w:tab w:val="left" w:pos="144"/>
              </w:tabs>
              <w:spacing w:after="0"/>
              <w:jc w:val="both"/>
              <w:rPr>
                <w:rFonts w:ascii="Garamond" w:hAnsi="Garamond"/>
                <w:sz w:val="18"/>
                <w:szCs w:val="18"/>
              </w:rPr>
            </w:pPr>
            <w:r w:rsidRPr="00A90756">
              <w:rPr>
                <w:rStyle w:val="Other1"/>
                <w:rFonts w:ascii="Garamond" w:hAnsi="Garamond"/>
                <w:sz w:val="18"/>
                <w:szCs w:val="18"/>
              </w:rPr>
              <w:t>Mundësitë për të krijuar një produkt turistik të integruar përfshijnë zonat liqenore, bregdetare dhe malore.</w:t>
            </w:r>
          </w:p>
          <w:p w14:paraId="014E4316" w14:textId="57631FCE"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45% e fondeve IPA do të shkonte për këtë TP</w:t>
            </w:r>
            <w:r w:rsidR="00B965D6" w:rsidRPr="00A90756">
              <w:rPr>
                <w:rStyle w:val="Other1"/>
                <w:rFonts w:ascii="Garamond" w:hAnsi="Garamond"/>
                <w:sz w:val="18"/>
                <w:szCs w:val="18"/>
              </w:rPr>
              <w:t>.</w:t>
            </w:r>
          </w:p>
        </w:tc>
      </w:tr>
      <w:tr w:rsidR="000D306C" w:rsidRPr="00A90756" w14:paraId="014E431A" w14:textId="77777777" w:rsidTr="000D306C">
        <w:trPr>
          <w:trHeight w:val="20"/>
          <w:jc w:val="center"/>
        </w:trPr>
        <w:tc>
          <w:tcPr>
            <w:tcW w:w="1554" w:type="pct"/>
            <w:tcBorders>
              <w:top w:val="single" w:sz="4" w:space="0" w:color="auto"/>
              <w:left w:val="single" w:sz="4" w:space="0" w:color="auto"/>
              <w:bottom w:val="single" w:sz="4" w:space="0" w:color="auto"/>
            </w:tcBorders>
            <w:shd w:val="clear" w:color="auto" w:fill="auto"/>
            <w:vAlign w:val="center"/>
          </w:tcPr>
          <w:p w14:paraId="014E4318" w14:textId="77777777" w:rsidR="000D306C" w:rsidRPr="00A90756" w:rsidRDefault="000D306C" w:rsidP="000D306C">
            <w:pPr>
              <w:pStyle w:val="Other10"/>
              <w:spacing w:after="0"/>
              <w:rPr>
                <w:rFonts w:ascii="Garamond" w:hAnsi="Garamond"/>
                <w:sz w:val="18"/>
                <w:szCs w:val="18"/>
              </w:rPr>
            </w:pPr>
            <w:r w:rsidRPr="00A90756">
              <w:rPr>
                <w:rStyle w:val="Other1"/>
                <w:rFonts w:ascii="Garamond" w:hAnsi="Garamond"/>
                <w:b/>
                <w:bCs/>
                <w:sz w:val="18"/>
                <w:szCs w:val="18"/>
              </w:rPr>
              <w:t>PT0 – TA</w:t>
            </w:r>
          </w:p>
        </w:tc>
        <w:tc>
          <w:tcPr>
            <w:tcW w:w="3446" w:type="pct"/>
            <w:tcBorders>
              <w:top w:val="single" w:sz="4" w:space="0" w:color="auto"/>
              <w:left w:val="single" w:sz="4" w:space="0" w:color="auto"/>
              <w:bottom w:val="single" w:sz="4" w:space="0" w:color="auto"/>
              <w:right w:val="single" w:sz="4" w:space="0" w:color="auto"/>
            </w:tcBorders>
            <w:shd w:val="clear" w:color="auto" w:fill="auto"/>
            <w:vAlign w:val="center"/>
          </w:tcPr>
          <w:p w14:paraId="014E4319" w14:textId="10C80618" w:rsidR="000D306C" w:rsidRPr="00A90756" w:rsidRDefault="000D306C" w:rsidP="000D306C">
            <w:pPr>
              <w:pStyle w:val="Other10"/>
              <w:spacing w:after="0"/>
              <w:jc w:val="both"/>
              <w:rPr>
                <w:rFonts w:ascii="Garamond" w:hAnsi="Garamond"/>
                <w:sz w:val="18"/>
                <w:szCs w:val="18"/>
              </w:rPr>
            </w:pPr>
            <w:r w:rsidRPr="00A90756">
              <w:rPr>
                <w:rStyle w:val="Other1"/>
                <w:rFonts w:ascii="Garamond" w:hAnsi="Garamond"/>
                <w:sz w:val="18"/>
                <w:szCs w:val="18"/>
              </w:rPr>
              <w:t>10% e fondeve IPA do</w:t>
            </w:r>
            <w:r w:rsidR="00C61854" w:rsidRPr="00A90756">
              <w:rPr>
                <w:rStyle w:val="Other1"/>
                <w:rFonts w:ascii="Garamond" w:hAnsi="Garamond"/>
                <w:sz w:val="18"/>
                <w:szCs w:val="18"/>
              </w:rPr>
              <w:t xml:space="preserve"> t</w:t>
            </w:r>
            <w:r w:rsidR="00292D5B" w:rsidRPr="00A90756">
              <w:rPr>
                <w:rStyle w:val="Other1"/>
                <w:rFonts w:ascii="Garamond" w:hAnsi="Garamond"/>
                <w:sz w:val="18"/>
                <w:szCs w:val="18"/>
              </w:rPr>
              <w:t>’</w:t>
            </w:r>
            <w:r w:rsidR="00C61854" w:rsidRPr="00A90756">
              <w:rPr>
                <w:rStyle w:val="Other1"/>
                <w:rFonts w:ascii="Garamond" w:hAnsi="Garamond"/>
                <w:sz w:val="18"/>
                <w:szCs w:val="18"/>
              </w:rPr>
              <w:t xml:space="preserve">i </w:t>
            </w:r>
            <w:r w:rsidRPr="00A90756">
              <w:rPr>
                <w:rStyle w:val="Other1"/>
                <w:rFonts w:ascii="Garamond" w:hAnsi="Garamond"/>
                <w:sz w:val="18"/>
                <w:szCs w:val="18"/>
              </w:rPr>
              <w:t>dedikoheshin Asistencës Teknike TP0</w:t>
            </w:r>
            <w:r w:rsidR="00B965D6" w:rsidRPr="00A90756">
              <w:rPr>
                <w:rStyle w:val="Other1"/>
                <w:rFonts w:ascii="Garamond" w:hAnsi="Garamond"/>
                <w:sz w:val="18"/>
                <w:szCs w:val="18"/>
              </w:rPr>
              <w:t>.</w:t>
            </w:r>
          </w:p>
        </w:tc>
      </w:tr>
    </w:tbl>
    <w:p w14:paraId="014E431B" w14:textId="77777777" w:rsidR="000D306C" w:rsidRPr="00A90756" w:rsidRDefault="000D306C" w:rsidP="000D306C">
      <w:pPr>
        <w:ind w:firstLine="284"/>
        <w:rPr>
          <w:rFonts w:ascii="Garamond" w:hAnsi="Garamond"/>
        </w:rPr>
      </w:pPr>
    </w:p>
    <w:p w14:paraId="014E431C" w14:textId="77777777" w:rsidR="000D306C" w:rsidRPr="00A90756" w:rsidRDefault="000D306C" w:rsidP="000D306C">
      <w:pPr>
        <w:pStyle w:val="AAAATEXXX"/>
      </w:pPr>
      <w:bookmarkStart w:id="63" w:name="bookmark96"/>
      <w:bookmarkStart w:id="64" w:name="_Toc118696867"/>
      <w:r w:rsidRPr="00A90756">
        <w:rPr>
          <w:rStyle w:val="Heading21"/>
          <w:rFonts w:ascii="Garamond" w:hAnsi="Garamond"/>
          <w:bCs w:val="0"/>
        </w:rPr>
        <w:t>3.2 Përshkrimi i prioriteteve të programit</w:t>
      </w:r>
      <w:bookmarkEnd w:id="63"/>
      <w:bookmarkEnd w:id="64"/>
    </w:p>
    <w:p w14:paraId="014E431D" w14:textId="77777777" w:rsidR="000D306C" w:rsidRPr="00A90756" w:rsidRDefault="000D306C" w:rsidP="000D306C">
      <w:pPr>
        <w:pStyle w:val="Bodytext10"/>
        <w:spacing w:after="0"/>
        <w:ind w:firstLine="284"/>
        <w:rPr>
          <w:rStyle w:val="Bodytext1"/>
          <w:rFonts w:ascii="Garamond" w:hAnsi="Garamond"/>
          <w:sz w:val="24"/>
          <w:szCs w:val="24"/>
        </w:rPr>
      </w:pPr>
      <w:r w:rsidRPr="00A90756">
        <w:rPr>
          <w:rStyle w:val="Bodytext1"/>
          <w:rFonts w:ascii="Garamond" w:hAnsi="Garamond"/>
          <w:sz w:val="24"/>
          <w:szCs w:val="24"/>
        </w:rPr>
        <w:t>Kuadri i Programimit IPA III përmban treguesit e mëposhtëm mbi objektivat strategjikë të IPA III BNK, të përbashkëta për të gjitha programet IPA III BNK:</w:t>
      </w:r>
    </w:p>
    <w:p w14:paraId="014E431E" w14:textId="77777777" w:rsidR="000D306C" w:rsidRPr="00A90756" w:rsidRDefault="000D306C" w:rsidP="000D306C">
      <w:pPr>
        <w:pStyle w:val="Bodytext10"/>
        <w:spacing w:after="0"/>
        <w:ind w:firstLine="284"/>
        <w:rPr>
          <w:rFonts w:ascii="Garamond" w:hAnsi="Garamond"/>
          <w:sz w:val="24"/>
          <w:szCs w:val="24"/>
        </w:rPr>
      </w:pPr>
    </w:p>
    <w:p w14:paraId="014E431F" w14:textId="571F29DB" w:rsidR="000D306C" w:rsidRPr="00A90756" w:rsidRDefault="000D306C" w:rsidP="000D306C">
      <w:pPr>
        <w:pStyle w:val="Tablecaption10"/>
        <w:ind w:firstLine="284"/>
        <w:rPr>
          <w:rFonts w:ascii="Garamond" w:hAnsi="Garamond"/>
          <w:i w:val="0"/>
          <w:sz w:val="16"/>
          <w:szCs w:val="16"/>
        </w:rPr>
      </w:pPr>
      <w:r w:rsidRPr="00A90756">
        <w:rPr>
          <w:rStyle w:val="Tablecaption1"/>
          <w:rFonts w:ascii="Garamond" w:hAnsi="Garamond"/>
          <w:bCs/>
          <w:i/>
          <w:sz w:val="16"/>
          <w:szCs w:val="16"/>
        </w:rPr>
        <w:t>Tabela 3.2</w:t>
      </w:r>
      <w:r w:rsidR="00C61854" w:rsidRPr="00A90756">
        <w:rPr>
          <w:rStyle w:val="Tablecaption1"/>
          <w:rFonts w:ascii="Garamond" w:hAnsi="Garamond"/>
          <w:bCs/>
          <w:i/>
          <w:sz w:val="16"/>
          <w:szCs w:val="16"/>
        </w:rPr>
        <w:t>:</w:t>
      </w:r>
      <w:r w:rsidRPr="00A90756">
        <w:rPr>
          <w:rStyle w:val="Tablecaption1"/>
          <w:rFonts w:ascii="Garamond" w:hAnsi="Garamond"/>
          <w:bCs/>
          <w:i/>
          <w:sz w:val="16"/>
          <w:szCs w:val="16"/>
        </w:rPr>
        <w:t xml:space="preserve"> Treguesit strategjikë të programimit IPA III</w:t>
      </w:r>
    </w:p>
    <w:tbl>
      <w:tblPr>
        <w:tblOverlap w:val="never"/>
        <w:tblW w:w="5000" w:type="pct"/>
        <w:tblCellMar>
          <w:left w:w="10" w:type="dxa"/>
          <w:right w:w="10" w:type="dxa"/>
        </w:tblCellMar>
        <w:tblLook w:val="04A0" w:firstRow="1" w:lastRow="0" w:firstColumn="1" w:lastColumn="0" w:noHBand="0" w:noVBand="1"/>
      </w:tblPr>
      <w:tblGrid>
        <w:gridCol w:w="1901"/>
        <w:gridCol w:w="4275"/>
        <w:gridCol w:w="950"/>
        <w:gridCol w:w="1901"/>
      </w:tblGrid>
      <w:tr w:rsidR="000D306C" w:rsidRPr="00A90756" w14:paraId="014E4327" w14:textId="77777777" w:rsidTr="000D306C">
        <w:trPr>
          <w:trHeight w:val="20"/>
        </w:trPr>
        <w:tc>
          <w:tcPr>
            <w:tcW w:w="1053" w:type="pct"/>
            <w:shd w:val="clear" w:color="auto" w:fill="0071C1"/>
          </w:tcPr>
          <w:p w14:paraId="014E4321" w14:textId="2EF65F82" w:rsidR="000D306C" w:rsidRPr="00A90756" w:rsidRDefault="000D306C" w:rsidP="00B965D6">
            <w:pPr>
              <w:pStyle w:val="Other10"/>
              <w:pBdr>
                <w:top w:val="single" w:sz="0" w:space="0" w:color="0071C1"/>
                <w:left w:val="single" w:sz="0" w:space="0" w:color="0071C1"/>
                <w:bottom w:val="single" w:sz="0" w:space="0" w:color="0071C1"/>
                <w:right w:val="single" w:sz="0" w:space="0" w:color="0071C1"/>
              </w:pBdr>
              <w:shd w:val="clear" w:color="auto" w:fill="0071C1"/>
              <w:tabs>
                <w:tab w:val="left" w:pos="1464"/>
              </w:tabs>
              <w:spacing w:after="0"/>
              <w:jc w:val="both"/>
              <w:rPr>
                <w:rFonts w:ascii="Garamond" w:hAnsi="Garamond"/>
                <w:sz w:val="16"/>
                <w:szCs w:val="16"/>
              </w:rPr>
            </w:pPr>
            <w:r w:rsidRPr="00A90756">
              <w:rPr>
                <w:rStyle w:val="Other1"/>
                <w:rFonts w:ascii="Garamond" w:hAnsi="Garamond"/>
                <w:b/>
                <w:bCs/>
                <w:color w:val="FFFFFF"/>
                <w:sz w:val="16"/>
                <w:szCs w:val="16"/>
              </w:rPr>
              <w:t>Objektivat strategjike IPA III për</w:t>
            </w:r>
            <w:r w:rsidR="00B965D6" w:rsidRPr="00A90756">
              <w:rPr>
                <w:rStyle w:val="Other1"/>
                <w:rFonts w:ascii="Garamond" w:hAnsi="Garamond"/>
                <w:b/>
                <w:bCs/>
                <w:color w:val="FFFFFF"/>
                <w:sz w:val="16"/>
                <w:szCs w:val="16"/>
              </w:rPr>
              <w:t xml:space="preserve"> </w:t>
            </w:r>
            <w:r w:rsidRPr="00A90756">
              <w:rPr>
                <w:rStyle w:val="Other1"/>
                <w:rFonts w:ascii="Garamond" w:hAnsi="Garamond"/>
                <w:b/>
                <w:bCs/>
                <w:color w:val="FFFFFF"/>
                <w:sz w:val="16"/>
                <w:szCs w:val="16"/>
              </w:rPr>
              <w:t>BNK</w:t>
            </w:r>
          </w:p>
        </w:tc>
        <w:tc>
          <w:tcPr>
            <w:tcW w:w="2368" w:type="pct"/>
            <w:shd w:val="clear" w:color="auto" w:fill="0071C1"/>
            <w:vAlign w:val="center"/>
          </w:tcPr>
          <w:p w14:paraId="014E4322"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TREGUESI</w:t>
            </w:r>
          </w:p>
        </w:tc>
        <w:tc>
          <w:tcPr>
            <w:tcW w:w="526" w:type="pct"/>
            <w:shd w:val="clear" w:color="auto" w:fill="0071C1"/>
          </w:tcPr>
          <w:p w14:paraId="014E4323"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BAZA*</w:t>
            </w:r>
          </w:p>
          <w:p w14:paraId="014E4324"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(2021)</w:t>
            </w:r>
          </w:p>
        </w:tc>
        <w:tc>
          <w:tcPr>
            <w:tcW w:w="1053" w:type="pct"/>
            <w:shd w:val="clear" w:color="auto" w:fill="0071C1"/>
          </w:tcPr>
          <w:p w14:paraId="014E4325"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TARGETI</w:t>
            </w:r>
          </w:p>
          <w:p w14:paraId="014E4326"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(2029)</w:t>
            </w:r>
          </w:p>
        </w:tc>
      </w:tr>
      <w:tr w:rsidR="000D306C" w:rsidRPr="00A90756" w14:paraId="014E432C" w14:textId="77777777" w:rsidTr="000D306C">
        <w:trPr>
          <w:trHeight w:val="20"/>
        </w:trPr>
        <w:tc>
          <w:tcPr>
            <w:tcW w:w="1053" w:type="pct"/>
            <w:tcBorders>
              <w:left w:val="single" w:sz="4" w:space="0" w:color="auto"/>
              <w:bottom w:val="single" w:sz="4" w:space="0" w:color="auto"/>
            </w:tcBorders>
            <w:shd w:val="clear" w:color="auto" w:fill="auto"/>
            <w:vAlign w:val="center"/>
          </w:tcPr>
          <w:p w14:paraId="014E4328" w14:textId="77777777" w:rsidR="000D306C" w:rsidRPr="00A90756" w:rsidRDefault="000D306C" w:rsidP="000D306C">
            <w:pPr>
              <w:pStyle w:val="Other10"/>
              <w:tabs>
                <w:tab w:val="left" w:pos="1310"/>
              </w:tabs>
              <w:spacing w:after="0"/>
              <w:rPr>
                <w:rFonts w:ascii="Garamond" w:hAnsi="Garamond"/>
                <w:sz w:val="16"/>
                <w:szCs w:val="16"/>
              </w:rPr>
            </w:pPr>
            <w:r w:rsidRPr="00A90756">
              <w:rPr>
                <w:rStyle w:val="Other1"/>
                <w:rFonts w:ascii="Garamond" w:hAnsi="Garamond"/>
                <w:i/>
                <w:iCs/>
                <w:sz w:val="16"/>
                <w:szCs w:val="16"/>
              </w:rPr>
              <w:t xml:space="preserve">Pajtimi, ndërtimi i besimit dhe i marrëdhënieve të fqinjësisë së mirë </w:t>
            </w:r>
          </w:p>
        </w:tc>
        <w:tc>
          <w:tcPr>
            <w:tcW w:w="2368" w:type="pct"/>
            <w:tcBorders>
              <w:left w:val="single" w:sz="4" w:space="0" w:color="auto"/>
              <w:bottom w:val="single" w:sz="4" w:space="0" w:color="auto"/>
            </w:tcBorders>
            <w:shd w:val="clear" w:color="auto" w:fill="auto"/>
            <w:vAlign w:val="center"/>
          </w:tcPr>
          <w:p w14:paraId="014E4329" w14:textId="67505239" w:rsidR="000D306C" w:rsidRPr="00A90756" w:rsidRDefault="000D306C" w:rsidP="000D306C">
            <w:pPr>
              <w:pStyle w:val="Other10"/>
              <w:tabs>
                <w:tab w:val="left" w:pos="1867"/>
              </w:tabs>
              <w:spacing w:after="0"/>
              <w:rPr>
                <w:rFonts w:ascii="Garamond" w:hAnsi="Garamond"/>
                <w:sz w:val="16"/>
                <w:szCs w:val="16"/>
              </w:rPr>
            </w:pPr>
            <w:r w:rsidRPr="00A90756">
              <w:rPr>
                <w:rStyle w:val="Other1"/>
                <w:rFonts w:ascii="Garamond" w:hAnsi="Garamond"/>
                <w:sz w:val="16"/>
                <w:szCs w:val="16"/>
              </w:rPr>
              <w:t>Numri i organizatave që marrin pjesë në rrjetet/partneritetet e formuara ndërkufitare,</w:t>
            </w:r>
            <w:r w:rsidR="00B965D6" w:rsidRPr="00A90756">
              <w:rPr>
                <w:rStyle w:val="Other1"/>
                <w:rFonts w:ascii="Garamond" w:hAnsi="Garamond"/>
                <w:sz w:val="16"/>
                <w:szCs w:val="16"/>
              </w:rPr>
              <w:t xml:space="preserve"> </w:t>
            </w:r>
            <w:r w:rsidRPr="00A90756">
              <w:rPr>
                <w:rStyle w:val="Other1"/>
                <w:rFonts w:ascii="Garamond" w:hAnsi="Garamond"/>
                <w:sz w:val="16"/>
                <w:szCs w:val="16"/>
              </w:rPr>
              <w:t>të zbërthyera sipas llojit të organizimit (veçanërisht shoqatat e grave)</w:t>
            </w:r>
          </w:p>
        </w:tc>
        <w:tc>
          <w:tcPr>
            <w:tcW w:w="526" w:type="pct"/>
            <w:tcBorders>
              <w:left w:val="single" w:sz="4" w:space="0" w:color="auto"/>
              <w:bottom w:val="single" w:sz="4" w:space="0" w:color="auto"/>
            </w:tcBorders>
            <w:shd w:val="clear" w:color="auto" w:fill="auto"/>
            <w:vAlign w:val="center"/>
          </w:tcPr>
          <w:p w14:paraId="014E432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201</w:t>
            </w:r>
          </w:p>
        </w:tc>
        <w:tc>
          <w:tcPr>
            <w:tcW w:w="1053" w:type="pct"/>
            <w:tcBorders>
              <w:left w:val="single" w:sz="4" w:space="0" w:color="auto"/>
              <w:bottom w:val="single" w:sz="4" w:space="0" w:color="auto"/>
              <w:right w:val="single" w:sz="4" w:space="0" w:color="auto"/>
            </w:tcBorders>
            <w:shd w:val="clear" w:color="auto" w:fill="auto"/>
            <w:vAlign w:val="center"/>
          </w:tcPr>
          <w:p w14:paraId="014E432B"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307</w:t>
            </w:r>
          </w:p>
        </w:tc>
      </w:tr>
      <w:tr w:rsidR="000D306C" w:rsidRPr="00A90756" w14:paraId="014E4333" w14:textId="77777777" w:rsidTr="000D306C">
        <w:tblPrEx>
          <w:jc w:val="center"/>
        </w:tblPrEx>
        <w:trPr>
          <w:trHeight w:val="20"/>
          <w:jc w:val="center"/>
        </w:trPr>
        <w:tc>
          <w:tcPr>
            <w:tcW w:w="1053" w:type="pct"/>
            <w:shd w:val="clear" w:color="auto" w:fill="0071C1"/>
          </w:tcPr>
          <w:p w14:paraId="014E432D"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tabs>
                <w:tab w:val="left" w:pos="1464"/>
              </w:tabs>
              <w:spacing w:after="0"/>
              <w:jc w:val="both"/>
              <w:rPr>
                <w:rFonts w:ascii="Garamond" w:hAnsi="Garamond"/>
                <w:sz w:val="16"/>
                <w:szCs w:val="16"/>
              </w:rPr>
            </w:pPr>
            <w:r w:rsidRPr="00A90756">
              <w:rPr>
                <w:rStyle w:val="Other1"/>
                <w:rFonts w:ascii="Garamond" w:hAnsi="Garamond"/>
                <w:b/>
                <w:bCs/>
                <w:color w:val="FFFFFF"/>
                <w:sz w:val="16"/>
                <w:szCs w:val="16"/>
              </w:rPr>
              <w:t>Objektivat strategjike IPA III për BNK</w:t>
            </w:r>
          </w:p>
        </w:tc>
        <w:tc>
          <w:tcPr>
            <w:tcW w:w="2368" w:type="pct"/>
            <w:shd w:val="clear" w:color="auto" w:fill="0071C1"/>
            <w:vAlign w:val="center"/>
          </w:tcPr>
          <w:p w14:paraId="014E432E"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TREGUESI</w:t>
            </w:r>
          </w:p>
        </w:tc>
        <w:tc>
          <w:tcPr>
            <w:tcW w:w="526" w:type="pct"/>
            <w:shd w:val="clear" w:color="auto" w:fill="0071C1"/>
          </w:tcPr>
          <w:p w14:paraId="014E432F"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BAZA*</w:t>
            </w:r>
          </w:p>
          <w:p w14:paraId="014E4330"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(2021)</w:t>
            </w:r>
          </w:p>
        </w:tc>
        <w:tc>
          <w:tcPr>
            <w:tcW w:w="1053" w:type="pct"/>
            <w:shd w:val="clear" w:color="auto" w:fill="0071C1"/>
          </w:tcPr>
          <w:p w14:paraId="014E4331"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TARGETI</w:t>
            </w:r>
          </w:p>
          <w:p w14:paraId="014E4332" w14:textId="77777777" w:rsidR="000D306C" w:rsidRPr="00A90756" w:rsidRDefault="000D306C" w:rsidP="000D306C">
            <w:pPr>
              <w:pStyle w:val="Other10"/>
              <w:pBdr>
                <w:top w:val="single" w:sz="0" w:space="0" w:color="0071C1"/>
                <w:left w:val="single" w:sz="0" w:space="0" w:color="0071C1"/>
                <w:bottom w:val="single" w:sz="0" w:space="0" w:color="0071C1"/>
                <w:right w:val="single" w:sz="0" w:space="0" w:color="0071C1"/>
              </w:pBdr>
              <w:shd w:val="clear" w:color="auto" w:fill="0071C1"/>
              <w:spacing w:after="0"/>
              <w:jc w:val="center"/>
              <w:rPr>
                <w:rFonts w:ascii="Garamond" w:hAnsi="Garamond"/>
                <w:sz w:val="16"/>
                <w:szCs w:val="16"/>
              </w:rPr>
            </w:pPr>
            <w:r w:rsidRPr="00A90756">
              <w:rPr>
                <w:rStyle w:val="Other1"/>
                <w:rFonts w:ascii="Garamond" w:hAnsi="Garamond"/>
                <w:b/>
                <w:bCs/>
                <w:color w:val="FFFFFF"/>
                <w:sz w:val="16"/>
                <w:szCs w:val="16"/>
              </w:rPr>
              <w:t>(2029)</w:t>
            </w:r>
          </w:p>
        </w:tc>
      </w:tr>
      <w:tr w:rsidR="000D306C" w:rsidRPr="00A90756" w14:paraId="014E4338" w14:textId="77777777" w:rsidTr="000D306C">
        <w:tblPrEx>
          <w:jc w:val="center"/>
        </w:tblPrEx>
        <w:trPr>
          <w:trHeight w:val="20"/>
          <w:jc w:val="center"/>
        </w:trPr>
        <w:tc>
          <w:tcPr>
            <w:tcW w:w="1053" w:type="pct"/>
            <w:tcBorders>
              <w:left w:val="single" w:sz="4" w:space="0" w:color="auto"/>
            </w:tcBorders>
            <w:shd w:val="clear" w:color="auto" w:fill="auto"/>
          </w:tcPr>
          <w:p w14:paraId="014E4334" w14:textId="77777777" w:rsidR="000D306C" w:rsidRPr="00A90756" w:rsidRDefault="000D306C" w:rsidP="000D306C">
            <w:pPr>
              <w:pStyle w:val="Other10"/>
              <w:spacing w:after="0"/>
              <w:jc w:val="both"/>
              <w:rPr>
                <w:rFonts w:ascii="Garamond" w:hAnsi="Garamond"/>
                <w:sz w:val="16"/>
                <w:szCs w:val="16"/>
              </w:rPr>
            </w:pPr>
          </w:p>
        </w:tc>
        <w:tc>
          <w:tcPr>
            <w:tcW w:w="2368" w:type="pct"/>
            <w:tcBorders>
              <w:left w:val="single" w:sz="4" w:space="0" w:color="auto"/>
            </w:tcBorders>
            <w:shd w:val="clear" w:color="auto" w:fill="auto"/>
            <w:vAlign w:val="bottom"/>
          </w:tcPr>
          <w:p w14:paraId="014E4335" w14:textId="77777777" w:rsidR="000D306C" w:rsidRPr="00A90756" w:rsidRDefault="000D306C" w:rsidP="000D306C">
            <w:pPr>
              <w:pStyle w:val="Other10"/>
              <w:tabs>
                <w:tab w:val="left" w:pos="1459"/>
              </w:tabs>
              <w:spacing w:after="0"/>
              <w:jc w:val="both"/>
              <w:rPr>
                <w:rFonts w:ascii="Garamond" w:hAnsi="Garamond"/>
                <w:sz w:val="16"/>
                <w:szCs w:val="16"/>
              </w:rPr>
            </w:pPr>
            <w:r w:rsidRPr="00A90756">
              <w:rPr>
                <w:rStyle w:val="Other1"/>
                <w:rFonts w:ascii="Garamond" w:hAnsi="Garamond"/>
                <w:sz w:val="16"/>
                <w:szCs w:val="16"/>
              </w:rPr>
              <w:t>Numri i organizatave të përfshira drejtpërdrejt në zbatimin e projekteve, i ndarë</w:t>
            </w:r>
            <w:r w:rsidRPr="00A90756">
              <w:rPr>
                <w:rStyle w:val="Other1"/>
                <w:rFonts w:ascii="Garamond" w:hAnsi="Garamond"/>
                <w:sz w:val="16"/>
                <w:szCs w:val="16"/>
              </w:rPr>
              <w:tab/>
              <w:t>sipas llojit të organizatës (veçanërisht shoqatat e grave)</w:t>
            </w:r>
          </w:p>
        </w:tc>
        <w:tc>
          <w:tcPr>
            <w:tcW w:w="526" w:type="pct"/>
            <w:tcBorders>
              <w:left w:val="single" w:sz="4" w:space="0" w:color="auto"/>
            </w:tcBorders>
            <w:shd w:val="clear" w:color="auto" w:fill="auto"/>
            <w:vAlign w:val="center"/>
          </w:tcPr>
          <w:p w14:paraId="014E4336"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214</w:t>
            </w:r>
          </w:p>
        </w:tc>
        <w:tc>
          <w:tcPr>
            <w:tcW w:w="1053" w:type="pct"/>
            <w:tcBorders>
              <w:left w:val="single" w:sz="4" w:space="0" w:color="auto"/>
              <w:right w:val="single" w:sz="4" w:space="0" w:color="auto"/>
            </w:tcBorders>
            <w:shd w:val="clear" w:color="auto" w:fill="auto"/>
            <w:vAlign w:val="center"/>
          </w:tcPr>
          <w:p w14:paraId="014E433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474</w:t>
            </w:r>
          </w:p>
        </w:tc>
      </w:tr>
      <w:tr w:rsidR="000D306C" w:rsidRPr="00A90756" w14:paraId="014E433F" w14:textId="77777777" w:rsidTr="000D306C">
        <w:tblPrEx>
          <w:jc w:val="center"/>
        </w:tblPrEx>
        <w:trPr>
          <w:trHeight w:val="20"/>
          <w:jc w:val="center"/>
        </w:trPr>
        <w:tc>
          <w:tcPr>
            <w:tcW w:w="1053" w:type="pct"/>
            <w:vMerge w:val="restart"/>
            <w:tcBorders>
              <w:top w:val="single" w:sz="4" w:space="0" w:color="auto"/>
              <w:left w:val="single" w:sz="4" w:space="0" w:color="auto"/>
            </w:tcBorders>
            <w:shd w:val="clear" w:color="auto" w:fill="auto"/>
          </w:tcPr>
          <w:p w14:paraId="014E4339" w14:textId="77777777" w:rsidR="000D306C" w:rsidRPr="00A90756" w:rsidRDefault="000D306C" w:rsidP="000D306C">
            <w:pPr>
              <w:pStyle w:val="Other10"/>
              <w:tabs>
                <w:tab w:val="right" w:pos="1762"/>
              </w:tabs>
              <w:spacing w:after="0"/>
              <w:jc w:val="both"/>
              <w:rPr>
                <w:rFonts w:ascii="Garamond" w:hAnsi="Garamond"/>
                <w:sz w:val="16"/>
                <w:szCs w:val="16"/>
              </w:rPr>
            </w:pPr>
            <w:r w:rsidRPr="00A90756">
              <w:rPr>
                <w:rStyle w:val="Other1"/>
                <w:rFonts w:ascii="Garamond" w:hAnsi="Garamond"/>
                <w:i/>
                <w:iCs/>
                <w:sz w:val="16"/>
                <w:szCs w:val="16"/>
              </w:rPr>
              <w:t>Zhvillimi ekonomik, social</w:t>
            </w:r>
          </w:p>
          <w:p w14:paraId="014E433A" w14:textId="77777777" w:rsidR="000D306C" w:rsidRPr="00A90756" w:rsidRDefault="000D306C" w:rsidP="000D306C">
            <w:pPr>
              <w:pStyle w:val="Other10"/>
              <w:tabs>
                <w:tab w:val="right" w:pos="1762"/>
              </w:tabs>
              <w:spacing w:after="0"/>
              <w:jc w:val="both"/>
              <w:rPr>
                <w:rFonts w:ascii="Garamond" w:hAnsi="Garamond"/>
                <w:sz w:val="16"/>
                <w:szCs w:val="16"/>
              </w:rPr>
            </w:pPr>
            <w:r w:rsidRPr="00A90756">
              <w:rPr>
                <w:rStyle w:val="Other1"/>
                <w:rFonts w:ascii="Garamond" w:hAnsi="Garamond"/>
                <w:i/>
                <w:iCs/>
                <w:sz w:val="16"/>
                <w:szCs w:val="16"/>
              </w:rPr>
              <w:t>dhe territorial i zonave kufitare</w:t>
            </w:r>
          </w:p>
        </w:tc>
        <w:tc>
          <w:tcPr>
            <w:tcW w:w="2368" w:type="pct"/>
            <w:tcBorders>
              <w:top w:val="single" w:sz="4" w:space="0" w:color="auto"/>
              <w:left w:val="single" w:sz="4" w:space="0" w:color="auto"/>
            </w:tcBorders>
            <w:shd w:val="clear" w:color="auto" w:fill="auto"/>
            <w:vAlign w:val="bottom"/>
          </w:tcPr>
          <w:p w14:paraId="014E433B" w14:textId="77777777" w:rsidR="000D306C" w:rsidRPr="00A90756" w:rsidRDefault="000D306C" w:rsidP="000D306C">
            <w:pPr>
              <w:pStyle w:val="Other10"/>
              <w:tabs>
                <w:tab w:val="left" w:pos="917"/>
                <w:tab w:val="left" w:pos="1306"/>
                <w:tab w:val="left" w:pos="1862"/>
                <w:tab w:val="left" w:pos="2472"/>
                <w:tab w:val="left" w:pos="3461"/>
              </w:tabs>
              <w:spacing w:after="0"/>
              <w:jc w:val="both"/>
              <w:rPr>
                <w:rFonts w:ascii="Garamond" w:hAnsi="Garamond"/>
                <w:sz w:val="16"/>
                <w:szCs w:val="16"/>
              </w:rPr>
            </w:pPr>
            <w:r w:rsidRPr="00A90756">
              <w:rPr>
                <w:rStyle w:val="Other1"/>
                <w:rFonts w:ascii="Garamond" w:hAnsi="Garamond"/>
                <w:sz w:val="16"/>
                <w:szCs w:val="16"/>
              </w:rPr>
              <w:t>Numri i vendeve të reja të punës që rezulton nga</w:t>
            </w:r>
          </w:p>
          <w:p w14:paraId="014E433C"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aktivitetet e programit, të ndara sipas gjinisë dhe moshës së punonjësve të rinj</w:t>
            </w:r>
          </w:p>
        </w:tc>
        <w:tc>
          <w:tcPr>
            <w:tcW w:w="526" w:type="pct"/>
            <w:tcBorders>
              <w:top w:val="single" w:sz="4" w:space="0" w:color="auto"/>
              <w:left w:val="single" w:sz="4" w:space="0" w:color="auto"/>
            </w:tcBorders>
            <w:shd w:val="clear" w:color="auto" w:fill="auto"/>
          </w:tcPr>
          <w:p w14:paraId="014E433D"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0</w:t>
            </w:r>
          </w:p>
        </w:tc>
        <w:tc>
          <w:tcPr>
            <w:tcW w:w="1053" w:type="pct"/>
            <w:tcBorders>
              <w:top w:val="single" w:sz="4" w:space="0" w:color="auto"/>
              <w:left w:val="single" w:sz="4" w:space="0" w:color="auto"/>
              <w:right w:val="single" w:sz="4" w:space="0" w:color="auto"/>
            </w:tcBorders>
            <w:shd w:val="clear" w:color="auto" w:fill="auto"/>
          </w:tcPr>
          <w:p w14:paraId="014E433E"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24</w:t>
            </w:r>
          </w:p>
        </w:tc>
      </w:tr>
      <w:tr w:rsidR="000D306C" w:rsidRPr="00A90756" w14:paraId="014E4344" w14:textId="77777777" w:rsidTr="000D306C">
        <w:tblPrEx>
          <w:jc w:val="center"/>
        </w:tblPrEx>
        <w:trPr>
          <w:trHeight w:val="20"/>
          <w:jc w:val="center"/>
        </w:trPr>
        <w:tc>
          <w:tcPr>
            <w:tcW w:w="1053" w:type="pct"/>
            <w:vMerge/>
            <w:tcBorders>
              <w:left w:val="single" w:sz="4" w:space="0" w:color="auto"/>
            </w:tcBorders>
            <w:shd w:val="clear" w:color="auto" w:fill="auto"/>
          </w:tcPr>
          <w:p w14:paraId="014E4340" w14:textId="77777777" w:rsidR="000D306C" w:rsidRPr="00A90756" w:rsidRDefault="000D306C" w:rsidP="000D306C">
            <w:pPr>
              <w:rPr>
                <w:rFonts w:ascii="Garamond" w:hAnsi="Garamond"/>
                <w:sz w:val="16"/>
                <w:szCs w:val="16"/>
              </w:rPr>
            </w:pPr>
          </w:p>
        </w:tc>
        <w:tc>
          <w:tcPr>
            <w:tcW w:w="2368" w:type="pct"/>
            <w:tcBorders>
              <w:top w:val="single" w:sz="4" w:space="0" w:color="auto"/>
              <w:left w:val="single" w:sz="4" w:space="0" w:color="auto"/>
            </w:tcBorders>
            <w:shd w:val="clear" w:color="auto" w:fill="auto"/>
            <w:vAlign w:val="bottom"/>
          </w:tcPr>
          <w:p w14:paraId="014E4341"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Numri i bizneseve të reja të krijuara, i ndarë sipas gjinisë dhe moshës së pronarëve</w:t>
            </w:r>
          </w:p>
        </w:tc>
        <w:tc>
          <w:tcPr>
            <w:tcW w:w="526" w:type="pct"/>
            <w:tcBorders>
              <w:top w:val="single" w:sz="4" w:space="0" w:color="auto"/>
              <w:left w:val="single" w:sz="4" w:space="0" w:color="auto"/>
            </w:tcBorders>
            <w:shd w:val="clear" w:color="auto" w:fill="auto"/>
          </w:tcPr>
          <w:p w14:paraId="014E4342"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0</w:t>
            </w:r>
          </w:p>
        </w:tc>
        <w:tc>
          <w:tcPr>
            <w:tcW w:w="1053" w:type="pct"/>
            <w:tcBorders>
              <w:top w:val="single" w:sz="4" w:space="0" w:color="auto"/>
              <w:left w:val="single" w:sz="4" w:space="0" w:color="auto"/>
              <w:right w:val="single" w:sz="4" w:space="0" w:color="auto"/>
            </w:tcBorders>
            <w:shd w:val="clear" w:color="auto" w:fill="auto"/>
          </w:tcPr>
          <w:p w14:paraId="014E4343"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61</w:t>
            </w:r>
          </w:p>
        </w:tc>
      </w:tr>
      <w:tr w:rsidR="000D306C" w:rsidRPr="00A90756" w14:paraId="014E4349" w14:textId="77777777" w:rsidTr="000D306C">
        <w:tblPrEx>
          <w:jc w:val="center"/>
        </w:tblPrEx>
        <w:trPr>
          <w:trHeight w:val="20"/>
          <w:jc w:val="center"/>
        </w:trPr>
        <w:tc>
          <w:tcPr>
            <w:tcW w:w="1053" w:type="pct"/>
            <w:tcBorders>
              <w:top w:val="single" w:sz="4" w:space="0" w:color="auto"/>
              <w:left w:val="single" w:sz="4" w:space="0" w:color="auto"/>
              <w:bottom w:val="single" w:sz="4" w:space="0" w:color="auto"/>
            </w:tcBorders>
            <w:shd w:val="clear" w:color="auto" w:fill="auto"/>
          </w:tcPr>
          <w:p w14:paraId="014E4345"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i/>
                <w:iCs/>
                <w:sz w:val="16"/>
                <w:szCs w:val="16"/>
              </w:rPr>
              <w:t>Ngritja e kapaciteteve të institucioneve në të gjitha nivelet</w:t>
            </w:r>
          </w:p>
        </w:tc>
        <w:tc>
          <w:tcPr>
            <w:tcW w:w="2368" w:type="pct"/>
            <w:tcBorders>
              <w:top w:val="single" w:sz="4" w:space="0" w:color="auto"/>
              <w:left w:val="single" w:sz="4" w:space="0" w:color="auto"/>
              <w:bottom w:val="single" w:sz="4" w:space="0" w:color="auto"/>
            </w:tcBorders>
            <w:shd w:val="clear" w:color="auto" w:fill="auto"/>
            <w:vAlign w:val="center"/>
          </w:tcPr>
          <w:p w14:paraId="014E434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Numri i organizatave/institucioneve me kapacitete të shtuara, të ndara sipas llojit të organizatave (veçanërisht shoqatat e grave)</w:t>
            </w:r>
          </w:p>
        </w:tc>
        <w:tc>
          <w:tcPr>
            <w:tcW w:w="526" w:type="pct"/>
            <w:tcBorders>
              <w:top w:val="single" w:sz="4" w:space="0" w:color="auto"/>
              <w:left w:val="single" w:sz="4" w:space="0" w:color="auto"/>
              <w:bottom w:val="single" w:sz="4" w:space="0" w:color="auto"/>
            </w:tcBorders>
            <w:shd w:val="clear" w:color="auto" w:fill="auto"/>
            <w:vAlign w:val="center"/>
          </w:tcPr>
          <w:p w14:paraId="014E434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0</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14:paraId="014E4348"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62</w:t>
            </w:r>
          </w:p>
        </w:tc>
      </w:tr>
    </w:tbl>
    <w:p w14:paraId="014E434B" w14:textId="0F6F542A" w:rsidR="000D306C" w:rsidRPr="00A90756" w:rsidRDefault="000D306C" w:rsidP="00C61854">
      <w:pPr>
        <w:pStyle w:val="Tablecaption10"/>
        <w:ind w:firstLine="284"/>
        <w:rPr>
          <w:rStyle w:val="Tablecaption1"/>
          <w:rFonts w:ascii="Garamond" w:hAnsi="Garamond"/>
          <w:i/>
          <w:iCs/>
        </w:rPr>
      </w:pPr>
      <w:r w:rsidRPr="00A90756">
        <w:rPr>
          <w:rStyle w:val="Tablecaption1"/>
          <w:rFonts w:ascii="Garamond" w:hAnsi="Garamond"/>
          <w:sz w:val="20"/>
          <w:szCs w:val="20"/>
        </w:rPr>
        <w:t>*</w:t>
      </w:r>
      <w:r w:rsidRPr="00A90756">
        <w:rPr>
          <w:rStyle w:val="Tablecaption1"/>
          <w:rFonts w:ascii="Garamond" w:hAnsi="Garamond"/>
          <w:i/>
          <w:iCs/>
        </w:rPr>
        <w:t xml:space="preserve"> Situata bazë është përcaktuar në bazë të vlerave të arritura të projekteve të kontraktuara në kuadër të programit IPA II ME-AL</w:t>
      </w:r>
      <w:r w:rsidR="00B965D6" w:rsidRPr="00A90756">
        <w:rPr>
          <w:rStyle w:val="Tablecaption1"/>
          <w:rFonts w:ascii="Garamond" w:hAnsi="Garamond"/>
          <w:i/>
          <w:iCs/>
        </w:rPr>
        <w:t>,</w:t>
      </w:r>
      <w:r w:rsidRPr="00A90756">
        <w:rPr>
          <w:rStyle w:val="Tablecaption1"/>
          <w:rFonts w:ascii="Garamond" w:hAnsi="Garamond"/>
          <w:i/>
          <w:iCs/>
        </w:rPr>
        <w:t xml:space="preserve"> siç raportohet më 31 mars 2021. Burimi i të gjithë këtyre treguesve do të jetë sistemi rajonal i monitorimit. Megjithatë, të dhënat janë marrë siç raportohen nga përfituesit e grantit dhe jo të gjithë janë verifikuar domosdoshmërish në momentin e nxjerrjes nga sistemi.</w:t>
      </w:r>
    </w:p>
    <w:p w14:paraId="0BC93421" w14:textId="77777777" w:rsidR="00C61854" w:rsidRPr="00A90756" w:rsidRDefault="00C61854" w:rsidP="00C61854">
      <w:pPr>
        <w:pStyle w:val="Tablecaption10"/>
        <w:ind w:firstLine="284"/>
        <w:rPr>
          <w:rFonts w:ascii="Garamond" w:hAnsi="Garamond"/>
        </w:rPr>
      </w:pPr>
    </w:p>
    <w:p w14:paraId="014E434C"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Përfituesit e programit do të raportojnë gjithashtu për këta tregues në çdo raport vjetor të zbatimit të programit. Të dhënat për llogaritjen e vlerave të treguesve do të mblidhen nga projektet e zbatuara sipas prioriteteve tematike të përzgjedhura. Sistemi rajonal i monitorimit do të ndihmojë në këtë detyrë me të dhënat e nevojshme.</w:t>
      </w:r>
    </w:p>
    <w:p w14:paraId="014E434D" w14:textId="77777777" w:rsidR="000D306C" w:rsidRPr="00A90756" w:rsidRDefault="000D306C" w:rsidP="000D306C">
      <w:pPr>
        <w:pStyle w:val="Bodytext10"/>
        <w:spacing w:after="0"/>
        <w:ind w:firstLine="284"/>
        <w:rPr>
          <w:rFonts w:ascii="Garamond" w:hAnsi="Garamond"/>
          <w:sz w:val="24"/>
          <w:szCs w:val="24"/>
        </w:rPr>
      </w:pPr>
      <w:r w:rsidRPr="00A90756">
        <w:rPr>
          <w:rStyle w:val="Bodytext1"/>
          <w:rFonts w:ascii="Garamond" w:hAnsi="Garamond"/>
          <w:b/>
          <w:bCs/>
          <w:sz w:val="24"/>
          <w:szCs w:val="24"/>
        </w:rPr>
        <w:lastRenderedPageBreak/>
        <w:t>Pasqyra e strategjisë së programit</w:t>
      </w:r>
    </w:p>
    <w:p w14:paraId="014E434E" w14:textId="5372D1DC" w:rsidR="000D306C" w:rsidRPr="00A90756" w:rsidRDefault="000D306C" w:rsidP="000D306C">
      <w:pPr>
        <w:pStyle w:val="Bodytext10"/>
        <w:spacing w:after="0"/>
        <w:ind w:firstLine="284"/>
        <w:jc w:val="center"/>
        <w:rPr>
          <w:rStyle w:val="Bodytext1"/>
          <w:rFonts w:ascii="Garamond" w:hAnsi="Garamond"/>
          <w:b/>
          <w:bCs/>
          <w:sz w:val="24"/>
          <w:szCs w:val="24"/>
        </w:rPr>
      </w:pPr>
      <w:r w:rsidRPr="00A90756">
        <w:rPr>
          <w:rStyle w:val="Bodytext1"/>
          <w:rFonts w:ascii="Garamond" w:hAnsi="Garamond"/>
          <w:b/>
          <w:bCs/>
          <w:sz w:val="24"/>
          <w:szCs w:val="24"/>
        </w:rPr>
        <w:t xml:space="preserve">1 - Grupimi </w:t>
      </w:r>
      <w:r w:rsidR="00B965D6" w:rsidRPr="00A90756">
        <w:rPr>
          <w:rStyle w:val="Bodytext1"/>
          <w:rFonts w:ascii="Garamond" w:hAnsi="Garamond"/>
          <w:b/>
          <w:bCs/>
          <w:sz w:val="24"/>
          <w:szCs w:val="24"/>
        </w:rPr>
        <w:t>t</w:t>
      </w:r>
      <w:r w:rsidRPr="00A90756">
        <w:rPr>
          <w:rStyle w:val="Bodytext1"/>
          <w:rFonts w:ascii="Garamond" w:hAnsi="Garamond"/>
          <w:b/>
          <w:bCs/>
          <w:sz w:val="24"/>
          <w:szCs w:val="24"/>
        </w:rPr>
        <w:t xml:space="preserve">ematik 2 </w:t>
      </w:r>
      <w:r w:rsidR="00601BD3">
        <w:rPr>
          <w:rStyle w:val="Bodytext1"/>
          <w:rFonts w:ascii="Garamond" w:hAnsi="Garamond"/>
          <w:b/>
          <w:bCs/>
          <w:sz w:val="24"/>
          <w:szCs w:val="24"/>
        </w:rPr>
        <w:t>-</w:t>
      </w:r>
      <w:r w:rsidRPr="00A90756">
        <w:rPr>
          <w:rStyle w:val="Bodytext1"/>
          <w:rFonts w:ascii="Garamond" w:hAnsi="Garamond"/>
          <w:b/>
          <w:bCs/>
          <w:sz w:val="24"/>
          <w:szCs w:val="24"/>
        </w:rPr>
        <w:t xml:space="preserve"> Efikasiteti më i gjelbër dhe i përmirësuar i burimeve</w:t>
      </w:r>
    </w:p>
    <w:p w14:paraId="014E434F" w14:textId="0D2ED4BD" w:rsidR="000D306C" w:rsidRPr="00A90756" w:rsidRDefault="000D306C" w:rsidP="000D306C">
      <w:pPr>
        <w:pStyle w:val="Bodytext10"/>
        <w:spacing w:after="0"/>
        <w:ind w:firstLine="284"/>
        <w:jc w:val="center"/>
        <w:rPr>
          <w:rFonts w:ascii="Garamond" w:hAnsi="Garamond"/>
          <w:b/>
          <w:sz w:val="24"/>
          <w:szCs w:val="24"/>
        </w:rPr>
      </w:pPr>
      <w:r w:rsidRPr="00A90756">
        <w:rPr>
          <w:rFonts w:ascii="Garamond" w:hAnsi="Garamond"/>
          <w:b/>
          <w:sz w:val="24"/>
          <w:szCs w:val="24"/>
        </w:rPr>
        <w:t>TP2: Mbrojtja e mjedisit dhe promovimi i përshtatjes ndaj ndryshimeve klimatike dhe</w:t>
      </w:r>
      <w:r w:rsidR="00C61854" w:rsidRPr="00A90756">
        <w:rPr>
          <w:rFonts w:ascii="Garamond" w:hAnsi="Garamond"/>
          <w:b/>
          <w:sz w:val="24"/>
          <w:szCs w:val="24"/>
        </w:rPr>
        <w:t xml:space="preserve"> </w:t>
      </w:r>
      <w:r w:rsidRPr="00A90756">
        <w:rPr>
          <w:rFonts w:ascii="Garamond" w:hAnsi="Garamond"/>
          <w:b/>
          <w:sz w:val="24"/>
          <w:szCs w:val="24"/>
        </w:rPr>
        <w:t xml:space="preserve">zbutja, parandalimi dhe menaxhimi i rrezikut </w:t>
      </w:r>
    </w:p>
    <w:p w14:paraId="014E4350" w14:textId="0995B0B5"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Zgjedhja e këtij </w:t>
      </w:r>
      <w:r w:rsidR="006202B9" w:rsidRPr="00A90756">
        <w:rPr>
          <w:rStyle w:val="Bodytext1"/>
          <w:rFonts w:ascii="Garamond" w:hAnsi="Garamond"/>
          <w:sz w:val="24"/>
          <w:szCs w:val="24"/>
        </w:rPr>
        <w:t xml:space="preserve">grupimi </w:t>
      </w:r>
      <w:r w:rsidRPr="00A90756">
        <w:rPr>
          <w:rStyle w:val="Bodytext1"/>
          <w:rFonts w:ascii="Garamond" w:hAnsi="Garamond"/>
          <w:sz w:val="24"/>
          <w:szCs w:val="24"/>
        </w:rPr>
        <w:t>përfshin investimet për të siguruar qëndrueshmëri ndaj fatkeqësive nga rreziqe specifike, nëpërmjet edukimit në shkolla dhe forcimit të shërbimeve publike</w:t>
      </w:r>
      <w:r w:rsidR="00BC0C8F" w:rsidRPr="00A90756">
        <w:rPr>
          <w:rStyle w:val="Bodytext1"/>
          <w:rFonts w:ascii="Garamond" w:hAnsi="Garamond"/>
          <w:sz w:val="24"/>
          <w:szCs w:val="24"/>
        </w:rPr>
        <w:t>,</w:t>
      </w:r>
      <w:r w:rsidRPr="00A90756">
        <w:rPr>
          <w:rStyle w:val="Bodytext1"/>
          <w:rFonts w:ascii="Garamond" w:hAnsi="Garamond"/>
          <w:sz w:val="24"/>
          <w:szCs w:val="24"/>
        </w:rPr>
        <w:t xml:space="preserve"> në lidhje me mbrojtjen e mjedisit. Prandaj, do të përpiqet të </w:t>
      </w:r>
      <w:r w:rsidRPr="00A90756">
        <w:rPr>
          <w:rStyle w:val="Bodytext1"/>
          <w:rFonts w:ascii="Garamond" w:hAnsi="Garamond"/>
          <w:bCs/>
          <w:sz w:val="24"/>
          <w:szCs w:val="24"/>
        </w:rPr>
        <w:t xml:space="preserve">përmirësojë mbrojtjen e mjedisit, elasticitetin e komuniteteve për përshtatjen ndaj ndryshimeve klimatike, gatishmërinë ndaj rrezikut dhe menaxhimin e fatkeqësive. </w:t>
      </w:r>
      <w:r w:rsidRPr="00A90756">
        <w:rPr>
          <w:rStyle w:val="Bodytext1"/>
          <w:rFonts w:ascii="Garamond" w:hAnsi="Garamond"/>
          <w:sz w:val="24"/>
          <w:szCs w:val="24"/>
        </w:rPr>
        <w:t xml:space="preserve">Veprimet sipas këtij </w:t>
      </w:r>
      <w:r w:rsidR="00BC0C8F" w:rsidRPr="00A90756">
        <w:rPr>
          <w:rStyle w:val="Bodytext1"/>
          <w:rFonts w:ascii="Garamond" w:hAnsi="Garamond"/>
          <w:sz w:val="24"/>
          <w:szCs w:val="24"/>
        </w:rPr>
        <w:t>g</w:t>
      </w:r>
      <w:r w:rsidRPr="00A90756">
        <w:rPr>
          <w:rStyle w:val="Bodytext1"/>
          <w:rFonts w:ascii="Garamond" w:hAnsi="Garamond"/>
          <w:sz w:val="24"/>
          <w:szCs w:val="24"/>
        </w:rPr>
        <w:t>rupimi do të rezultonin në:</w:t>
      </w:r>
    </w:p>
    <w:p w14:paraId="014E4351" w14:textId="0FFC8C1B" w:rsidR="000D306C" w:rsidRPr="00A90756" w:rsidRDefault="000D306C" w:rsidP="000D306C">
      <w:pPr>
        <w:pStyle w:val="AAAATEXXX"/>
      </w:pPr>
      <w:r w:rsidRPr="00A90756">
        <w:rPr>
          <w:rStyle w:val="Bodytext1"/>
          <w:rFonts w:ascii="Garamond" w:hAnsi="Garamond"/>
          <w:bCs/>
          <w:iCs/>
          <w:sz w:val="24"/>
          <w:szCs w:val="24"/>
        </w:rPr>
        <w:t xml:space="preserve">- </w:t>
      </w:r>
      <w:r w:rsidRPr="00A90756">
        <w:rPr>
          <w:rStyle w:val="Bodytext1"/>
          <w:rFonts w:ascii="Garamond" w:hAnsi="Garamond"/>
          <w:b/>
          <w:bCs/>
          <w:iCs/>
          <w:sz w:val="24"/>
          <w:szCs w:val="24"/>
        </w:rPr>
        <w:t>Përmirësimin e kapaciteteve për t</w:t>
      </w:r>
      <w:r w:rsidR="00292D5B" w:rsidRPr="00A90756">
        <w:rPr>
          <w:rStyle w:val="Bodytext1"/>
          <w:rFonts w:ascii="Garamond" w:hAnsi="Garamond"/>
          <w:b/>
          <w:bCs/>
          <w:iCs/>
          <w:sz w:val="24"/>
          <w:szCs w:val="24"/>
        </w:rPr>
        <w:t>’</w:t>
      </w:r>
      <w:r w:rsidRPr="00A90756">
        <w:rPr>
          <w:rStyle w:val="Bodytext1"/>
          <w:rFonts w:ascii="Garamond" w:hAnsi="Garamond"/>
          <w:b/>
          <w:bCs/>
          <w:iCs/>
          <w:sz w:val="24"/>
          <w:szCs w:val="24"/>
        </w:rPr>
        <w:t>iu përshtatur ndryshimeve klimatike dhe për t</w:t>
      </w:r>
      <w:r w:rsidR="00292D5B" w:rsidRPr="00A90756">
        <w:rPr>
          <w:rStyle w:val="Bodytext1"/>
          <w:rFonts w:ascii="Garamond" w:hAnsi="Garamond"/>
          <w:b/>
          <w:bCs/>
          <w:iCs/>
          <w:sz w:val="24"/>
          <w:szCs w:val="24"/>
        </w:rPr>
        <w:t>’</w:t>
      </w:r>
      <w:r w:rsidRPr="00A90756">
        <w:rPr>
          <w:rStyle w:val="Bodytext1"/>
          <w:rFonts w:ascii="Garamond" w:hAnsi="Garamond"/>
          <w:b/>
          <w:bCs/>
          <w:iCs/>
          <w:sz w:val="24"/>
          <w:szCs w:val="24"/>
        </w:rPr>
        <w:t>iu përgjigjur fatkeqësive natyrore dhe menaxhimit</w:t>
      </w:r>
      <w:r w:rsidRPr="00A90756">
        <w:rPr>
          <w:rStyle w:val="Bodytext1"/>
          <w:rFonts w:ascii="Garamond" w:hAnsi="Garamond"/>
          <w:bCs/>
          <w:iCs/>
          <w:sz w:val="24"/>
          <w:szCs w:val="24"/>
        </w:rPr>
        <w:t>.</w:t>
      </w:r>
      <w:r w:rsidRPr="00A90756">
        <w:rPr>
          <w:rStyle w:val="Bodytext1"/>
          <w:rFonts w:ascii="Garamond" w:hAnsi="Garamond"/>
          <w:sz w:val="24"/>
          <w:szCs w:val="24"/>
        </w:rPr>
        <w:t xml:space="preserve"> Për ta arritur këtë, programi mund të ndërmarrë investime për adresimin e rreziqeve specifike, sigurimin e qëndrueshmërisë ndaj fatkeqësive, luftën kundër dëmtuesve të pyjeve dhe tokave bujqësore, parandalimin e përmbytjeve, zjarreve, thatësirave, stuhive etj., investime për infrastrukturën e vogël (p.sh. sistemet e synuara të ujitjes), reagimin e koordinuar ndaj fatkeqësive natyrore dhe të shkaktuara nga njeriu (përfshirë protokollet e përbashkëta të shpëtimit dhe procedurat operacionale, pajisjet për organet publike përgjegjëse), ngritjen e kapaciteteve të shoqatave të qytetarëve dhe autoriteteve lokale për të nxitur qasje inovative të menaxhimit mjedisor, nisma për të promovuar përdorimin e qëndrueshëm të burimeve natyrore në rrezik, promovimin e iniciativave të gjelbra në zonat urbane (p.sh. masat për efi</w:t>
      </w:r>
      <w:r w:rsidR="006202B9" w:rsidRPr="00A90756">
        <w:rPr>
          <w:rStyle w:val="Bodytext1"/>
          <w:rFonts w:ascii="Garamond" w:hAnsi="Garamond"/>
          <w:sz w:val="24"/>
          <w:szCs w:val="24"/>
        </w:rPr>
        <w:t>ci</w:t>
      </w:r>
      <w:r w:rsidRPr="00A90756">
        <w:rPr>
          <w:rStyle w:val="Bodytext1"/>
          <w:rFonts w:ascii="Garamond" w:hAnsi="Garamond"/>
          <w:sz w:val="24"/>
          <w:szCs w:val="24"/>
        </w:rPr>
        <w:t>encën e energjisë si emetimet e gazeve serrë dhe ndotës të tjerë).</w:t>
      </w:r>
    </w:p>
    <w:p w14:paraId="014E4352" w14:textId="4EA8BA76" w:rsidR="000D306C" w:rsidRPr="00A90756" w:rsidRDefault="000D306C" w:rsidP="000D306C">
      <w:pPr>
        <w:pStyle w:val="AAATEXBUKUR"/>
      </w:pPr>
      <w:r w:rsidRPr="00A90756">
        <w:rPr>
          <w:rStyle w:val="Bodytext1"/>
          <w:rFonts w:ascii="Garamond" w:hAnsi="Garamond"/>
          <w:b/>
          <w:bCs/>
          <w:sz w:val="24"/>
          <w:szCs w:val="24"/>
        </w:rPr>
        <w:t xml:space="preserve">- Forcimin e mbrojtjes së mjedisit përmes kontrollit të ndotjes dhe forcimit të shërbimeve publike. </w:t>
      </w:r>
      <w:r w:rsidRPr="00A90756">
        <w:rPr>
          <w:rStyle w:val="Bodytext1"/>
          <w:rFonts w:ascii="Garamond" w:hAnsi="Garamond"/>
          <w:sz w:val="24"/>
          <w:szCs w:val="24"/>
        </w:rPr>
        <w:t>Aktivitetet sipas këtij rezultati përfshijnë veprime për luftimin e ndotjes, mbështetje specifike për mobilizimin e investimeve të gjelbra duke u fokusuar në burimet kyçe të ndotjes ose potencialet kyçe të rritjes së gjelbër në rajon – të tilla si: ndarja e mësimeve të nxjerra dhe testimi pilot i zgjidhjeve praktike për marrjen e energjisë së rinovueshme dhe efi</w:t>
      </w:r>
      <w:r w:rsidR="00C61854" w:rsidRPr="00A90756">
        <w:rPr>
          <w:rStyle w:val="Bodytext1"/>
          <w:rFonts w:ascii="Garamond" w:hAnsi="Garamond"/>
          <w:sz w:val="24"/>
          <w:szCs w:val="24"/>
        </w:rPr>
        <w:t>ci</w:t>
      </w:r>
      <w:r w:rsidRPr="00A90756">
        <w:rPr>
          <w:rStyle w:val="Bodytext1"/>
          <w:rFonts w:ascii="Garamond" w:hAnsi="Garamond"/>
          <w:sz w:val="24"/>
          <w:szCs w:val="24"/>
        </w:rPr>
        <w:t>encës së energjisë në ndërtesat industriale, ndërtesat publike dhe familjare, mbështetje për bujqësinë e qëndrueshme (përmes kombinimit të potencialeve të prodhimit vendor me kërkesën e jashtme, certifikimit të produkteve bujqësore vendase ose integrimit të prodhuesve vendas në zinxhirët kryesorë të furnizimit me produkte bujqësore të qëndrueshme). Përveç kësaj, ajo do të ndërmarrë iniciativa në drejtim të çështjeve mjedisore: ruajtjen, mbrojtjen e burimeve natyrore dhe shfrytëzimin, fushatat e ndërgjegjësimit të publikut për masat e mbrojtjes së mjedisit në përputhje me politikat e BE-së dhe kërkesat e turistëve ekologjikë, veprimet për forcimin e shërbimeve publike përkatëse</w:t>
      </w:r>
      <w:r w:rsidR="00BC0C8F" w:rsidRPr="00A90756">
        <w:rPr>
          <w:rStyle w:val="Bodytext1"/>
          <w:rFonts w:ascii="Garamond" w:hAnsi="Garamond"/>
          <w:sz w:val="24"/>
          <w:szCs w:val="24"/>
        </w:rPr>
        <w:t>,</w:t>
      </w:r>
      <w:r w:rsidRPr="00A90756">
        <w:rPr>
          <w:rStyle w:val="Bodytext1"/>
          <w:rFonts w:ascii="Garamond" w:hAnsi="Garamond"/>
          <w:sz w:val="24"/>
          <w:szCs w:val="24"/>
        </w:rPr>
        <w:t xml:space="preserve"> në lidhje me mbrojtjen e mjedisit, si dhe rrjetet ndërkufitare, për shembull midis universiteteve, qendrave kërkimore dhe OSHC-ve në fushën e kërkimit dhe edukimit, shkëmbimit të përvojës në tema mjedisore, aktivitetet mësimore mes bashkëmoshatarëve dhe kolegëve homologë, aktivitetet e edukimit joformal, aksioneve vullnetare me fokus të rinjtë etj., iniciativave të sipërmarrjes sociale që mbështesin mbrojtjen e mjedisit (produkte të ricikluara etj.). Më poshtë është dhënë një tabelë përmbledhëse mbi logjikën e ndërhyrjes.</w:t>
      </w:r>
    </w:p>
    <w:p w14:paraId="014E4353" w14:textId="77777777" w:rsidR="000D306C" w:rsidRPr="00A90756" w:rsidRDefault="000D306C" w:rsidP="000D306C">
      <w:pPr>
        <w:pStyle w:val="Tablecaption10"/>
        <w:ind w:firstLine="284"/>
        <w:rPr>
          <w:rFonts w:ascii="Garamond" w:hAnsi="Garamond"/>
          <w:sz w:val="16"/>
          <w:szCs w:val="16"/>
        </w:rPr>
      </w:pPr>
    </w:p>
    <w:tbl>
      <w:tblPr>
        <w:tblOverlap w:val="never"/>
        <w:tblW w:w="5000" w:type="pct"/>
        <w:jc w:val="center"/>
        <w:tblCellMar>
          <w:left w:w="10" w:type="dxa"/>
          <w:right w:w="10" w:type="dxa"/>
        </w:tblCellMar>
        <w:tblLook w:val="04A0" w:firstRow="1" w:lastRow="0" w:firstColumn="1" w:lastColumn="0" w:noHBand="0" w:noVBand="1"/>
      </w:tblPr>
      <w:tblGrid>
        <w:gridCol w:w="1457"/>
        <w:gridCol w:w="986"/>
        <w:gridCol w:w="2094"/>
        <w:gridCol w:w="2352"/>
        <w:gridCol w:w="550"/>
        <w:gridCol w:w="680"/>
        <w:gridCol w:w="898"/>
      </w:tblGrid>
      <w:tr w:rsidR="000D306C" w:rsidRPr="00A90756" w14:paraId="014E4358" w14:textId="77777777" w:rsidTr="00C61854">
        <w:trPr>
          <w:trHeight w:val="20"/>
          <w:jc w:val="center"/>
        </w:trPr>
        <w:tc>
          <w:tcPr>
            <w:tcW w:w="5000" w:type="pct"/>
            <w:gridSpan w:val="7"/>
            <w:tcBorders>
              <w:top w:val="single" w:sz="4" w:space="0" w:color="auto"/>
              <w:left w:val="single" w:sz="4" w:space="0" w:color="auto"/>
              <w:right w:val="single" w:sz="4" w:space="0" w:color="auto"/>
            </w:tcBorders>
            <w:shd w:val="clear" w:color="auto" w:fill="95B3D7"/>
          </w:tcPr>
          <w:p w14:paraId="014E4354" w14:textId="77777777" w:rsidR="000D306C" w:rsidRPr="00A90756" w:rsidRDefault="000D306C" w:rsidP="000D306C">
            <w:pPr>
              <w:pStyle w:val="Tablecaption10"/>
              <w:rPr>
                <w:rStyle w:val="Tablecaption1"/>
                <w:rFonts w:ascii="Garamond" w:hAnsi="Garamond"/>
                <w:b/>
                <w:bCs/>
                <w:sz w:val="16"/>
                <w:szCs w:val="16"/>
              </w:rPr>
            </w:pPr>
          </w:p>
          <w:p w14:paraId="014E4355" w14:textId="501549C1" w:rsidR="000D306C" w:rsidRPr="00A90756" w:rsidRDefault="000D306C" w:rsidP="004231A2">
            <w:pPr>
              <w:pStyle w:val="Tablecaption10"/>
              <w:jc w:val="center"/>
              <w:rPr>
                <w:rFonts w:ascii="Garamond" w:hAnsi="Garamond"/>
                <w:sz w:val="16"/>
                <w:szCs w:val="16"/>
              </w:rPr>
            </w:pPr>
            <w:r w:rsidRPr="00A90756">
              <w:rPr>
                <w:rStyle w:val="Tablecaption1"/>
                <w:rFonts w:ascii="Garamond" w:hAnsi="Garamond"/>
                <w:b/>
                <w:bCs/>
                <w:sz w:val="16"/>
                <w:szCs w:val="16"/>
              </w:rPr>
              <w:t xml:space="preserve">1 - Grupimi </w:t>
            </w:r>
            <w:r w:rsidR="00BC0C8F" w:rsidRPr="00A90756">
              <w:rPr>
                <w:rStyle w:val="Tablecaption1"/>
                <w:rFonts w:ascii="Garamond" w:hAnsi="Garamond"/>
                <w:b/>
                <w:bCs/>
                <w:sz w:val="16"/>
                <w:szCs w:val="16"/>
              </w:rPr>
              <w:t xml:space="preserve">tematik </w:t>
            </w:r>
            <w:r w:rsidRPr="00A90756">
              <w:rPr>
                <w:rStyle w:val="Tablecaption1"/>
                <w:rFonts w:ascii="Garamond" w:hAnsi="Garamond"/>
                <w:b/>
                <w:bCs/>
                <w:sz w:val="16"/>
                <w:szCs w:val="16"/>
              </w:rPr>
              <w:t>2:</w:t>
            </w:r>
          </w:p>
          <w:p w14:paraId="014E4356" w14:textId="77777777" w:rsidR="000D306C" w:rsidRPr="00A90756" w:rsidRDefault="000D306C" w:rsidP="004231A2">
            <w:pPr>
              <w:pStyle w:val="Tablecaption10"/>
              <w:jc w:val="center"/>
              <w:rPr>
                <w:rStyle w:val="Tablecaption1"/>
                <w:rFonts w:ascii="Garamond" w:hAnsi="Garamond"/>
                <w:i/>
                <w:iCs/>
                <w:sz w:val="16"/>
                <w:szCs w:val="16"/>
              </w:rPr>
            </w:pPr>
            <w:r w:rsidRPr="00A90756">
              <w:rPr>
                <w:rStyle w:val="Tablecaption1"/>
                <w:rFonts w:ascii="Garamond" w:hAnsi="Garamond"/>
                <w:b/>
                <w:bCs/>
                <w:sz w:val="16"/>
                <w:szCs w:val="16"/>
              </w:rPr>
              <w:t>Efikasiteti më i gjelbër dhe i përmirësuar i burimeve</w:t>
            </w:r>
          </w:p>
          <w:p w14:paraId="014E4357" w14:textId="77777777" w:rsidR="000D306C" w:rsidRPr="00A90756" w:rsidRDefault="000D306C" w:rsidP="000D306C">
            <w:pPr>
              <w:pStyle w:val="Other10"/>
              <w:spacing w:after="0"/>
              <w:rPr>
                <w:rStyle w:val="Other1"/>
                <w:rFonts w:ascii="Garamond" w:hAnsi="Garamond"/>
                <w:b/>
                <w:bCs/>
                <w:sz w:val="16"/>
                <w:szCs w:val="16"/>
              </w:rPr>
            </w:pPr>
          </w:p>
        </w:tc>
      </w:tr>
      <w:tr w:rsidR="000D306C" w:rsidRPr="00A90756" w14:paraId="014E435E" w14:textId="77777777" w:rsidTr="00BC0C8F">
        <w:trPr>
          <w:trHeight w:val="20"/>
          <w:jc w:val="center"/>
        </w:trPr>
        <w:tc>
          <w:tcPr>
            <w:tcW w:w="2515" w:type="pct"/>
            <w:gridSpan w:val="3"/>
            <w:tcBorders>
              <w:top w:val="single" w:sz="4" w:space="0" w:color="auto"/>
              <w:left w:val="single" w:sz="4" w:space="0" w:color="auto"/>
            </w:tcBorders>
            <w:shd w:val="clear" w:color="auto" w:fill="95B3D7"/>
          </w:tcPr>
          <w:p w14:paraId="014E4359" w14:textId="1A4EFFFE" w:rsidR="000D306C" w:rsidRPr="00A90756" w:rsidRDefault="000D306C" w:rsidP="00BC0C8F">
            <w:pPr>
              <w:pStyle w:val="Other10"/>
              <w:spacing w:after="0"/>
              <w:jc w:val="center"/>
              <w:rPr>
                <w:rFonts w:ascii="Garamond" w:hAnsi="Garamond"/>
                <w:sz w:val="16"/>
                <w:szCs w:val="16"/>
              </w:rPr>
            </w:pPr>
            <w:r w:rsidRPr="00A90756">
              <w:rPr>
                <w:rStyle w:val="Other1"/>
                <w:rFonts w:ascii="Garamond" w:hAnsi="Garamond"/>
                <w:b/>
                <w:bCs/>
                <w:sz w:val="16"/>
                <w:szCs w:val="16"/>
              </w:rPr>
              <w:t xml:space="preserve">Prioriteti </w:t>
            </w:r>
            <w:r w:rsidR="00BC0C8F" w:rsidRPr="00A90756">
              <w:rPr>
                <w:rStyle w:val="Other1"/>
                <w:rFonts w:ascii="Garamond" w:hAnsi="Garamond"/>
                <w:b/>
                <w:bCs/>
                <w:sz w:val="16"/>
                <w:szCs w:val="16"/>
              </w:rPr>
              <w:t xml:space="preserve">tematik </w:t>
            </w:r>
            <w:r w:rsidRPr="00A90756">
              <w:rPr>
                <w:rStyle w:val="Other1"/>
                <w:rFonts w:ascii="Garamond" w:hAnsi="Garamond"/>
                <w:b/>
                <w:bCs/>
                <w:sz w:val="16"/>
                <w:szCs w:val="16"/>
              </w:rPr>
              <w:t>2: Mbrojtja e mjedisit dhe promovimi i përshtatjes dhe zbutjes ndaj ndryshimeve klimatike, parandalimi dhe menaxhimi i rrezikut</w:t>
            </w:r>
          </w:p>
        </w:tc>
        <w:tc>
          <w:tcPr>
            <w:tcW w:w="1304" w:type="pct"/>
            <w:tcBorders>
              <w:top w:val="single" w:sz="4" w:space="0" w:color="auto"/>
              <w:left w:val="single" w:sz="4" w:space="0" w:color="auto"/>
            </w:tcBorders>
            <w:shd w:val="clear" w:color="auto" w:fill="95B3D7"/>
            <w:vAlign w:val="center"/>
          </w:tcPr>
          <w:p w14:paraId="014E435A" w14:textId="77777777" w:rsidR="000D306C" w:rsidRPr="00A90756" w:rsidRDefault="000D306C" w:rsidP="00BC0C8F">
            <w:pPr>
              <w:pStyle w:val="Other10"/>
              <w:spacing w:after="0"/>
              <w:jc w:val="center"/>
              <w:rPr>
                <w:rFonts w:ascii="Garamond" w:hAnsi="Garamond"/>
                <w:sz w:val="16"/>
                <w:szCs w:val="16"/>
              </w:rPr>
            </w:pPr>
            <w:r w:rsidRPr="00A90756">
              <w:rPr>
                <w:rStyle w:val="Other1"/>
                <w:rFonts w:ascii="Garamond" w:hAnsi="Garamond"/>
                <w:b/>
                <w:bCs/>
                <w:sz w:val="16"/>
                <w:szCs w:val="16"/>
              </w:rPr>
              <w:t>Treguesit</w:t>
            </w:r>
          </w:p>
        </w:tc>
        <w:tc>
          <w:tcPr>
            <w:tcW w:w="305" w:type="pct"/>
            <w:tcBorders>
              <w:top w:val="single" w:sz="4" w:space="0" w:color="auto"/>
              <w:left w:val="single" w:sz="4" w:space="0" w:color="auto"/>
            </w:tcBorders>
            <w:shd w:val="clear" w:color="auto" w:fill="95B3D7"/>
          </w:tcPr>
          <w:p w14:paraId="014E435B" w14:textId="77777777" w:rsidR="000D306C" w:rsidRPr="00A90756" w:rsidRDefault="000D306C" w:rsidP="00BC0C8F">
            <w:pPr>
              <w:pStyle w:val="Other10"/>
              <w:spacing w:after="0"/>
              <w:jc w:val="center"/>
              <w:rPr>
                <w:rFonts w:ascii="Garamond" w:hAnsi="Garamond"/>
                <w:sz w:val="16"/>
                <w:szCs w:val="16"/>
              </w:rPr>
            </w:pPr>
            <w:r w:rsidRPr="00A90756">
              <w:rPr>
                <w:rStyle w:val="Other1"/>
                <w:rFonts w:ascii="Garamond" w:hAnsi="Garamond"/>
                <w:b/>
                <w:bCs/>
                <w:sz w:val="16"/>
                <w:szCs w:val="16"/>
              </w:rPr>
              <w:t>Baza (viti) 2021</w:t>
            </w:r>
          </w:p>
        </w:tc>
        <w:tc>
          <w:tcPr>
            <w:tcW w:w="377" w:type="pct"/>
            <w:tcBorders>
              <w:top w:val="single" w:sz="4" w:space="0" w:color="auto"/>
              <w:left w:val="single" w:sz="4" w:space="0" w:color="auto"/>
            </w:tcBorders>
            <w:shd w:val="clear" w:color="auto" w:fill="95B3D7"/>
            <w:vAlign w:val="center"/>
          </w:tcPr>
          <w:p w14:paraId="014E435C" w14:textId="77777777" w:rsidR="000D306C" w:rsidRPr="00A90756" w:rsidRDefault="000D306C" w:rsidP="00BC0C8F">
            <w:pPr>
              <w:pStyle w:val="Other10"/>
              <w:spacing w:after="0"/>
              <w:jc w:val="center"/>
              <w:rPr>
                <w:rFonts w:ascii="Garamond" w:hAnsi="Garamond"/>
                <w:sz w:val="16"/>
                <w:szCs w:val="16"/>
              </w:rPr>
            </w:pPr>
            <w:r w:rsidRPr="00A90756">
              <w:rPr>
                <w:rStyle w:val="Other1"/>
                <w:rFonts w:ascii="Garamond" w:hAnsi="Garamond"/>
                <w:b/>
                <w:bCs/>
                <w:sz w:val="16"/>
                <w:szCs w:val="16"/>
              </w:rPr>
              <w:t>Synimi (viti) 2021</w:t>
            </w:r>
          </w:p>
        </w:tc>
        <w:tc>
          <w:tcPr>
            <w:tcW w:w="499" w:type="pct"/>
            <w:tcBorders>
              <w:top w:val="single" w:sz="4" w:space="0" w:color="auto"/>
              <w:left w:val="single" w:sz="4" w:space="0" w:color="auto"/>
              <w:right w:val="single" w:sz="4" w:space="0" w:color="auto"/>
            </w:tcBorders>
            <w:shd w:val="clear" w:color="auto" w:fill="95B3D7"/>
            <w:vAlign w:val="center"/>
          </w:tcPr>
          <w:p w14:paraId="014E435D" w14:textId="77777777" w:rsidR="000D306C" w:rsidRPr="00A90756" w:rsidRDefault="000D306C" w:rsidP="00BC0C8F">
            <w:pPr>
              <w:pStyle w:val="Other10"/>
              <w:spacing w:after="0"/>
              <w:jc w:val="center"/>
              <w:rPr>
                <w:rFonts w:ascii="Garamond" w:hAnsi="Garamond"/>
                <w:sz w:val="16"/>
                <w:szCs w:val="16"/>
              </w:rPr>
            </w:pPr>
            <w:r w:rsidRPr="00A90756">
              <w:rPr>
                <w:rStyle w:val="Other1"/>
                <w:rFonts w:ascii="Garamond" w:hAnsi="Garamond"/>
                <w:b/>
                <w:bCs/>
                <w:sz w:val="16"/>
                <w:szCs w:val="16"/>
              </w:rPr>
              <w:t>Burimet e të dhënave</w:t>
            </w:r>
          </w:p>
        </w:tc>
      </w:tr>
      <w:tr w:rsidR="000D306C" w:rsidRPr="00A90756" w14:paraId="014E4369" w14:textId="77777777" w:rsidTr="00C61854">
        <w:trPr>
          <w:trHeight w:val="20"/>
          <w:jc w:val="center"/>
        </w:trPr>
        <w:tc>
          <w:tcPr>
            <w:tcW w:w="808" w:type="pct"/>
            <w:tcBorders>
              <w:top w:val="single" w:sz="4" w:space="0" w:color="auto"/>
              <w:left w:val="single" w:sz="4" w:space="0" w:color="auto"/>
            </w:tcBorders>
            <w:shd w:val="clear" w:color="auto" w:fill="F9EBDB"/>
            <w:vAlign w:val="center"/>
          </w:tcPr>
          <w:p w14:paraId="014E435F"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Objektivat/rezultatet specifike</w:t>
            </w:r>
          </w:p>
          <w:p w14:paraId="014E4360"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S</w:t>
            </w:r>
          </w:p>
        </w:tc>
        <w:tc>
          <w:tcPr>
            <w:tcW w:w="547" w:type="pct"/>
            <w:tcBorders>
              <w:top w:val="single" w:sz="4" w:space="0" w:color="auto"/>
              <w:left w:val="single" w:sz="4" w:space="0" w:color="auto"/>
            </w:tcBorders>
            <w:shd w:val="clear" w:color="auto" w:fill="F9EBDB"/>
            <w:vAlign w:val="center"/>
          </w:tcPr>
          <w:p w14:paraId="014E4361"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 xml:space="preserve">Rezultatet </w:t>
            </w:r>
          </w:p>
        </w:tc>
        <w:tc>
          <w:tcPr>
            <w:tcW w:w="1161" w:type="pct"/>
            <w:tcBorders>
              <w:top w:val="single" w:sz="4" w:space="0" w:color="auto"/>
              <w:left w:val="single" w:sz="4" w:space="0" w:color="auto"/>
            </w:tcBorders>
            <w:shd w:val="clear" w:color="auto" w:fill="F9EBDB"/>
            <w:vAlign w:val="center"/>
          </w:tcPr>
          <w:p w14:paraId="014E436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Llojet e aktiviteteve (shembuj)</w:t>
            </w:r>
          </w:p>
        </w:tc>
        <w:tc>
          <w:tcPr>
            <w:tcW w:w="1304" w:type="pct"/>
            <w:tcBorders>
              <w:top w:val="single" w:sz="4" w:space="0" w:color="auto"/>
              <w:left w:val="single" w:sz="4" w:space="0" w:color="auto"/>
            </w:tcBorders>
            <w:shd w:val="clear" w:color="auto" w:fill="auto"/>
            <w:vAlign w:val="bottom"/>
          </w:tcPr>
          <w:p w14:paraId="014E436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t>Ndikimi</w:t>
            </w:r>
          </w:p>
          <w:p w14:paraId="014E4364" w14:textId="77777777" w:rsidR="000D306C" w:rsidRPr="00A90756" w:rsidRDefault="000D306C" w:rsidP="000D306C">
            <w:pPr>
              <w:pStyle w:val="Other10"/>
              <w:tabs>
                <w:tab w:val="left" w:pos="1118"/>
                <w:tab w:val="left" w:pos="1517"/>
              </w:tabs>
              <w:spacing w:after="0"/>
              <w:rPr>
                <w:rFonts w:ascii="Garamond" w:hAnsi="Garamond"/>
                <w:sz w:val="16"/>
                <w:szCs w:val="16"/>
              </w:rPr>
            </w:pPr>
            <w:r w:rsidRPr="00A90756">
              <w:rPr>
                <w:rStyle w:val="Other1"/>
                <w:rFonts w:ascii="Garamond" w:hAnsi="Garamond"/>
                <w:sz w:val="16"/>
                <w:szCs w:val="16"/>
              </w:rPr>
              <w:t>Përqindja e popullatës</w:t>
            </w:r>
          </w:p>
          <w:p w14:paraId="014E4365" w14:textId="1DC344AA" w:rsidR="000D306C" w:rsidRPr="00A90756" w:rsidRDefault="000D306C" w:rsidP="000D306C">
            <w:pPr>
              <w:pStyle w:val="Other10"/>
              <w:tabs>
                <w:tab w:val="left" w:pos="1987"/>
              </w:tabs>
              <w:spacing w:after="0"/>
              <w:rPr>
                <w:rFonts w:ascii="Garamond" w:hAnsi="Garamond"/>
                <w:sz w:val="16"/>
                <w:szCs w:val="16"/>
              </w:rPr>
            </w:pPr>
            <w:r w:rsidRPr="00A90756">
              <w:rPr>
                <w:rStyle w:val="Other1"/>
                <w:rFonts w:ascii="Garamond" w:hAnsi="Garamond"/>
                <w:sz w:val="16"/>
                <w:szCs w:val="16"/>
              </w:rPr>
              <w:t>nga zona e programit që përfiton nga ndërhyrjet për mbrojtjen</w:t>
            </w:r>
            <w:r w:rsidR="00C61854" w:rsidRPr="00A90756">
              <w:rPr>
                <w:rStyle w:val="Other1"/>
                <w:rFonts w:ascii="Garamond" w:hAnsi="Garamond"/>
                <w:sz w:val="16"/>
                <w:szCs w:val="16"/>
              </w:rPr>
              <w:t xml:space="preserve"> </w:t>
            </w:r>
            <w:r w:rsidRPr="00A90756">
              <w:rPr>
                <w:rStyle w:val="Other1"/>
                <w:rFonts w:ascii="Garamond" w:hAnsi="Garamond"/>
                <w:sz w:val="16"/>
                <w:szCs w:val="16"/>
              </w:rPr>
              <w:t>dhe menaxhimin e çështjeve mjedisore dhe që kontribuojnë në mbrojtjen e tij</w:t>
            </w:r>
          </w:p>
        </w:tc>
        <w:tc>
          <w:tcPr>
            <w:tcW w:w="305" w:type="pct"/>
            <w:tcBorders>
              <w:top w:val="single" w:sz="4" w:space="0" w:color="auto"/>
              <w:left w:val="single" w:sz="4" w:space="0" w:color="auto"/>
            </w:tcBorders>
            <w:shd w:val="clear" w:color="auto" w:fill="auto"/>
          </w:tcPr>
          <w:p w14:paraId="014E436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77" w:type="pct"/>
            <w:tcBorders>
              <w:top w:val="single" w:sz="4" w:space="0" w:color="auto"/>
              <w:left w:val="single" w:sz="4" w:space="0" w:color="auto"/>
            </w:tcBorders>
            <w:shd w:val="clear" w:color="auto" w:fill="auto"/>
          </w:tcPr>
          <w:p w14:paraId="014E4367"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20%</w:t>
            </w:r>
          </w:p>
        </w:tc>
        <w:tc>
          <w:tcPr>
            <w:tcW w:w="499" w:type="pct"/>
            <w:tcBorders>
              <w:top w:val="single" w:sz="4" w:space="0" w:color="auto"/>
              <w:left w:val="single" w:sz="4" w:space="0" w:color="auto"/>
              <w:right w:val="single" w:sz="4" w:space="0" w:color="auto"/>
            </w:tcBorders>
            <w:shd w:val="clear" w:color="auto" w:fill="auto"/>
          </w:tcPr>
          <w:p w14:paraId="014E4368"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Zyrat shtetërore të statistikave</w:t>
            </w:r>
          </w:p>
        </w:tc>
      </w:tr>
      <w:tr w:rsidR="000D306C" w:rsidRPr="00A90756" w14:paraId="014E437F" w14:textId="77777777" w:rsidTr="00C61854">
        <w:trPr>
          <w:trHeight w:val="20"/>
          <w:jc w:val="center"/>
        </w:trPr>
        <w:tc>
          <w:tcPr>
            <w:tcW w:w="808" w:type="pct"/>
            <w:vMerge w:val="restart"/>
            <w:tcBorders>
              <w:top w:val="single" w:sz="4" w:space="0" w:color="auto"/>
              <w:left w:val="single" w:sz="4" w:space="0" w:color="auto"/>
            </w:tcBorders>
            <w:shd w:val="clear" w:color="auto" w:fill="auto"/>
          </w:tcPr>
          <w:p w14:paraId="014E436B" w14:textId="33A64D34" w:rsidR="000D306C" w:rsidRPr="00A90756" w:rsidRDefault="000D306C" w:rsidP="00BC0C8F">
            <w:pPr>
              <w:pStyle w:val="Other10"/>
              <w:tabs>
                <w:tab w:val="left" w:pos="552"/>
              </w:tabs>
              <w:spacing w:after="0"/>
              <w:rPr>
                <w:rFonts w:ascii="Garamond" w:hAnsi="Garamond"/>
                <w:sz w:val="16"/>
                <w:szCs w:val="16"/>
              </w:rPr>
            </w:pPr>
            <w:r w:rsidRPr="00A90756">
              <w:rPr>
                <w:rStyle w:val="Other1"/>
                <w:rFonts w:ascii="Garamond" w:hAnsi="Garamond"/>
                <w:sz w:val="16"/>
                <w:szCs w:val="16"/>
              </w:rPr>
              <w:t>2.1</w:t>
            </w:r>
            <w:r w:rsidRPr="00A90756">
              <w:rPr>
                <w:rStyle w:val="Other1"/>
                <w:rFonts w:ascii="Garamond" w:hAnsi="Garamond"/>
                <w:sz w:val="16"/>
                <w:szCs w:val="16"/>
              </w:rPr>
              <w:tab/>
              <w:t>Bërja e territorit ndërkufitar më të qëndrueshëm në aspektin mjedisor</w:t>
            </w:r>
            <w:r w:rsidR="00BC0C8F" w:rsidRPr="00A90756">
              <w:rPr>
                <w:rStyle w:val="Other1"/>
                <w:rFonts w:ascii="Garamond" w:hAnsi="Garamond"/>
                <w:sz w:val="16"/>
                <w:szCs w:val="16"/>
              </w:rPr>
              <w:t xml:space="preserve"> </w:t>
            </w:r>
            <w:r w:rsidRPr="00A90756">
              <w:rPr>
                <w:rStyle w:val="Other1"/>
                <w:rFonts w:ascii="Garamond" w:hAnsi="Garamond"/>
                <w:sz w:val="16"/>
                <w:szCs w:val="16"/>
              </w:rPr>
              <w:t xml:space="preserve">dhe </w:t>
            </w:r>
            <w:r w:rsidRPr="00A90756">
              <w:rPr>
                <w:rStyle w:val="Other1"/>
                <w:rFonts w:ascii="Garamond" w:hAnsi="Garamond"/>
                <w:sz w:val="16"/>
                <w:szCs w:val="16"/>
              </w:rPr>
              <w:lastRenderedPageBreak/>
              <w:t>më</w:t>
            </w:r>
            <w:r w:rsidR="00BC0C8F" w:rsidRPr="00A90756">
              <w:rPr>
                <w:rStyle w:val="Other1"/>
                <w:rFonts w:ascii="Garamond" w:hAnsi="Garamond"/>
                <w:sz w:val="16"/>
                <w:szCs w:val="16"/>
              </w:rPr>
              <w:t xml:space="preserve"> e</w:t>
            </w:r>
            <w:r w:rsidRPr="00A90756">
              <w:rPr>
                <w:rStyle w:val="Other1"/>
                <w:rFonts w:ascii="Garamond" w:hAnsi="Garamond"/>
                <w:sz w:val="16"/>
                <w:szCs w:val="16"/>
              </w:rPr>
              <w:t>lastik</w:t>
            </w:r>
          </w:p>
        </w:tc>
        <w:tc>
          <w:tcPr>
            <w:tcW w:w="547" w:type="pct"/>
            <w:vMerge w:val="restart"/>
            <w:tcBorders>
              <w:top w:val="single" w:sz="4" w:space="0" w:color="auto"/>
              <w:left w:val="single" w:sz="4" w:space="0" w:color="auto"/>
            </w:tcBorders>
            <w:shd w:val="clear" w:color="auto" w:fill="auto"/>
          </w:tcPr>
          <w:p w14:paraId="014E436C" w14:textId="0DEC8D19"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lastRenderedPageBreak/>
              <w:t>2.1.1</w:t>
            </w:r>
          </w:p>
          <w:p w14:paraId="014E436D" w14:textId="155C22AF"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Përmirësimi i kapaciteteve për t</w:t>
            </w:r>
            <w:r w:rsidR="00292D5B" w:rsidRPr="00A90756">
              <w:rPr>
                <w:rStyle w:val="Other1"/>
                <w:rFonts w:ascii="Garamond" w:hAnsi="Garamond"/>
                <w:sz w:val="16"/>
                <w:szCs w:val="16"/>
              </w:rPr>
              <w:t>’</w:t>
            </w:r>
            <w:r w:rsidRPr="00A90756">
              <w:rPr>
                <w:rStyle w:val="Other1"/>
                <w:rFonts w:ascii="Garamond" w:hAnsi="Garamond"/>
                <w:sz w:val="16"/>
                <w:szCs w:val="16"/>
              </w:rPr>
              <w:t xml:space="preserve">iu </w:t>
            </w:r>
            <w:r w:rsidRPr="00A90756">
              <w:rPr>
                <w:rStyle w:val="Other1"/>
                <w:rFonts w:ascii="Garamond" w:hAnsi="Garamond"/>
                <w:sz w:val="16"/>
                <w:szCs w:val="16"/>
              </w:rPr>
              <w:lastRenderedPageBreak/>
              <w:t>përshtatur ndryshimeve klimatike dhe për t</w:t>
            </w:r>
            <w:r w:rsidR="00292D5B" w:rsidRPr="00A90756">
              <w:rPr>
                <w:rStyle w:val="Other1"/>
                <w:rFonts w:ascii="Garamond" w:hAnsi="Garamond"/>
                <w:sz w:val="16"/>
                <w:szCs w:val="16"/>
              </w:rPr>
              <w:t>’</w:t>
            </w:r>
            <w:r w:rsidRPr="00A90756">
              <w:rPr>
                <w:rStyle w:val="Other1"/>
                <w:rFonts w:ascii="Garamond" w:hAnsi="Garamond"/>
                <w:sz w:val="16"/>
                <w:szCs w:val="16"/>
              </w:rPr>
              <w:t>iu përgjigjur fatkeqësive natyrore dhe menaxhimit</w:t>
            </w:r>
          </w:p>
        </w:tc>
        <w:tc>
          <w:tcPr>
            <w:tcW w:w="1161" w:type="pct"/>
            <w:vMerge w:val="restart"/>
            <w:tcBorders>
              <w:top w:val="single" w:sz="4" w:space="0" w:color="auto"/>
              <w:left w:val="single" w:sz="4" w:space="0" w:color="auto"/>
            </w:tcBorders>
            <w:shd w:val="clear" w:color="auto" w:fill="auto"/>
            <w:vAlign w:val="center"/>
          </w:tcPr>
          <w:p w14:paraId="014E436E" w14:textId="337A9FC0" w:rsidR="000D306C" w:rsidRPr="00A90756" w:rsidRDefault="000D306C" w:rsidP="000D306C">
            <w:pPr>
              <w:pStyle w:val="Other10"/>
              <w:numPr>
                <w:ilvl w:val="0"/>
                <w:numId w:val="16"/>
              </w:numPr>
              <w:tabs>
                <w:tab w:val="left" w:pos="202"/>
                <w:tab w:val="left" w:pos="850"/>
                <w:tab w:val="left" w:pos="1541"/>
              </w:tabs>
              <w:spacing w:after="0"/>
              <w:rPr>
                <w:rFonts w:ascii="Garamond" w:hAnsi="Garamond"/>
                <w:sz w:val="16"/>
                <w:szCs w:val="16"/>
              </w:rPr>
            </w:pPr>
            <w:r w:rsidRPr="00A90756">
              <w:rPr>
                <w:rStyle w:val="Other1"/>
                <w:rFonts w:ascii="Garamond" w:hAnsi="Garamond"/>
                <w:sz w:val="16"/>
                <w:szCs w:val="16"/>
              </w:rPr>
              <w:lastRenderedPageBreak/>
              <w:t>Investime për të adresuar risqe specifike, duke siguruar qëndrueshmëri ndaj fatkeqësive</w:t>
            </w:r>
            <w:r w:rsidR="00F90F5C" w:rsidRPr="00A90756">
              <w:rPr>
                <w:rStyle w:val="Other1"/>
                <w:rFonts w:ascii="Garamond" w:hAnsi="Garamond"/>
                <w:sz w:val="16"/>
                <w:szCs w:val="16"/>
              </w:rPr>
              <w:t>;</w:t>
            </w:r>
          </w:p>
          <w:p w14:paraId="014E436F" w14:textId="024F455F" w:rsidR="000D306C" w:rsidRPr="00A90756" w:rsidRDefault="000D306C" w:rsidP="000D306C">
            <w:pPr>
              <w:pStyle w:val="Other10"/>
              <w:numPr>
                <w:ilvl w:val="0"/>
                <w:numId w:val="16"/>
              </w:numPr>
              <w:tabs>
                <w:tab w:val="left" w:pos="202"/>
              </w:tabs>
              <w:spacing w:after="0"/>
              <w:rPr>
                <w:rFonts w:ascii="Garamond" w:hAnsi="Garamond"/>
                <w:sz w:val="16"/>
                <w:szCs w:val="16"/>
              </w:rPr>
            </w:pPr>
            <w:r w:rsidRPr="00A90756">
              <w:rPr>
                <w:rStyle w:val="Other1"/>
                <w:rFonts w:ascii="Garamond" w:hAnsi="Garamond"/>
                <w:sz w:val="16"/>
                <w:szCs w:val="16"/>
              </w:rPr>
              <w:lastRenderedPageBreak/>
              <w:t>Luftë kundër dëmtuesve të pyjeve dhe tokës bujqësore</w:t>
            </w:r>
            <w:r w:rsidR="00F90F5C" w:rsidRPr="00A90756">
              <w:rPr>
                <w:rStyle w:val="Other1"/>
                <w:rFonts w:ascii="Garamond" w:hAnsi="Garamond"/>
                <w:sz w:val="16"/>
                <w:szCs w:val="16"/>
              </w:rPr>
              <w:t>;</w:t>
            </w:r>
          </w:p>
          <w:p w14:paraId="014E4370" w14:textId="3624FEF7" w:rsidR="000D306C" w:rsidRPr="00A90756" w:rsidRDefault="000D306C" w:rsidP="000D306C">
            <w:pPr>
              <w:pStyle w:val="Other10"/>
              <w:numPr>
                <w:ilvl w:val="0"/>
                <w:numId w:val="16"/>
              </w:numPr>
              <w:tabs>
                <w:tab w:val="left" w:pos="202"/>
              </w:tabs>
              <w:spacing w:after="0"/>
              <w:rPr>
                <w:rFonts w:ascii="Garamond" w:hAnsi="Garamond"/>
                <w:sz w:val="16"/>
                <w:szCs w:val="16"/>
              </w:rPr>
            </w:pPr>
            <w:r w:rsidRPr="00A90756">
              <w:rPr>
                <w:rStyle w:val="Other1"/>
                <w:rFonts w:ascii="Garamond" w:hAnsi="Garamond"/>
                <w:sz w:val="16"/>
                <w:szCs w:val="16"/>
              </w:rPr>
              <w:t>Parandalimi i përmbytjeve, zjarreve, thatësirave, stuhive etj.</w:t>
            </w:r>
            <w:r w:rsidR="00F90F5C" w:rsidRPr="00A90756">
              <w:rPr>
                <w:rStyle w:val="Other1"/>
                <w:rFonts w:ascii="Garamond" w:hAnsi="Garamond"/>
                <w:sz w:val="16"/>
                <w:szCs w:val="16"/>
              </w:rPr>
              <w:t>;</w:t>
            </w:r>
          </w:p>
          <w:p w14:paraId="014E4371" w14:textId="21C25484" w:rsidR="000D306C" w:rsidRPr="00A90756" w:rsidRDefault="000D306C" w:rsidP="000D306C">
            <w:pPr>
              <w:pStyle w:val="Other10"/>
              <w:numPr>
                <w:ilvl w:val="0"/>
                <w:numId w:val="16"/>
              </w:numPr>
              <w:tabs>
                <w:tab w:val="left" w:pos="202"/>
                <w:tab w:val="left" w:pos="686"/>
              </w:tabs>
              <w:spacing w:after="0"/>
              <w:rPr>
                <w:rFonts w:ascii="Garamond" w:hAnsi="Garamond"/>
                <w:sz w:val="16"/>
                <w:szCs w:val="16"/>
              </w:rPr>
            </w:pPr>
            <w:r w:rsidRPr="00A90756">
              <w:rPr>
                <w:rStyle w:val="Other1"/>
                <w:rFonts w:ascii="Garamond" w:hAnsi="Garamond"/>
                <w:sz w:val="16"/>
                <w:szCs w:val="16"/>
              </w:rPr>
              <w:t>Investime në infrastrukturën dhe sistemet e vogla dhe kritike</w:t>
            </w:r>
            <w:r w:rsidR="00F90F5C" w:rsidRPr="00A90756">
              <w:rPr>
                <w:rStyle w:val="Other1"/>
                <w:rFonts w:ascii="Garamond" w:hAnsi="Garamond"/>
                <w:sz w:val="16"/>
                <w:szCs w:val="16"/>
              </w:rPr>
              <w:t xml:space="preserve"> </w:t>
            </w:r>
            <w:r w:rsidRPr="00A90756">
              <w:rPr>
                <w:rStyle w:val="Other1"/>
                <w:rFonts w:ascii="Garamond" w:hAnsi="Garamond"/>
                <w:sz w:val="16"/>
                <w:szCs w:val="16"/>
              </w:rPr>
              <w:t>(p.sh në sistemet e shënjestruara të ujitjes) dhe zgjidhje të tjera praktike</w:t>
            </w:r>
            <w:r w:rsidR="00F90F5C" w:rsidRPr="00A90756">
              <w:rPr>
                <w:rStyle w:val="Other1"/>
                <w:rFonts w:ascii="Garamond" w:hAnsi="Garamond"/>
                <w:sz w:val="16"/>
                <w:szCs w:val="16"/>
              </w:rPr>
              <w:t>;</w:t>
            </w:r>
          </w:p>
          <w:p w14:paraId="014E4372" w14:textId="6842F427" w:rsidR="000D306C" w:rsidRPr="00A90756" w:rsidRDefault="000D306C" w:rsidP="000D306C">
            <w:pPr>
              <w:pStyle w:val="Other10"/>
              <w:numPr>
                <w:ilvl w:val="0"/>
                <w:numId w:val="16"/>
              </w:numPr>
              <w:tabs>
                <w:tab w:val="left" w:pos="202"/>
                <w:tab w:val="left" w:pos="821"/>
                <w:tab w:val="left" w:pos="1435"/>
              </w:tabs>
              <w:spacing w:after="0"/>
              <w:rPr>
                <w:rFonts w:ascii="Garamond" w:hAnsi="Garamond"/>
                <w:sz w:val="16"/>
                <w:szCs w:val="16"/>
              </w:rPr>
            </w:pPr>
            <w:r w:rsidRPr="00A90756">
              <w:rPr>
                <w:rStyle w:val="Other1"/>
                <w:rFonts w:ascii="Garamond" w:hAnsi="Garamond"/>
                <w:sz w:val="16"/>
                <w:szCs w:val="16"/>
              </w:rPr>
              <w:t>Koordinimi i reagimit ndaj</w:t>
            </w:r>
            <w:r w:rsidR="00C61854" w:rsidRPr="00A90756">
              <w:rPr>
                <w:rStyle w:val="Other1"/>
                <w:rFonts w:ascii="Garamond" w:hAnsi="Garamond"/>
                <w:sz w:val="16"/>
                <w:szCs w:val="16"/>
              </w:rPr>
              <w:t xml:space="preserve"> </w:t>
            </w:r>
            <w:r w:rsidRPr="00A90756">
              <w:rPr>
                <w:rStyle w:val="Other1"/>
                <w:rFonts w:ascii="Garamond" w:hAnsi="Garamond"/>
                <w:sz w:val="16"/>
                <w:szCs w:val="16"/>
              </w:rPr>
              <w:t xml:space="preserve">fatkeqësive natyrore dhe atyre të shkaktuara nga njeriu (duke përfshirë dhe protokollet e përbashkëta të </w:t>
            </w:r>
          </w:p>
          <w:p w14:paraId="014E4373" w14:textId="77777777" w:rsidR="000D306C" w:rsidRPr="00A90756" w:rsidRDefault="000D306C" w:rsidP="000D306C">
            <w:pPr>
              <w:pStyle w:val="Other10"/>
              <w:tabs>
                <w:tab w:val="left" w:pos="821"/>
                <w:tab w:val="left" w:pos="1934"/>
              </w:tabs>
              <w:spacing w:after="0"/>
              <w:rPr>
                <w:rFonts w:ascii="Garamond" w:hAnsi="Garamond"/>
                <w:sz w:val="16"/>
                <w:szCs w:val="16"/>
              </w:rPr>
            </w:pPr>
            <w:r w:rsidRPr="00A90756">
              <w:rPr>
                <w:rStyle w:val="Other1"/>
                <w:rFonts w:ascii="Garamond" w:hAnsi="Garamond"/>
                <w:sz w:val="16"/>
                <w:szCs w:val="16"/>
              </w:rPr>
              <w:t>shpëtimit</w:t>
            </w:r>
            <w:r w:rsidRPr="00A90756">
              <w:rPr>
                <w:rStyle w:val="Other1"/>
                <w:rFonts w:ascii="Garamond" w:hAnsi="Garamond"/>
                <w:sz w:val="16"/>
                <w:szCs w:val="16"/>
              </w:rPr>
              <w:tab/>
              <w:t>dhe procedurat</w:t>
            </w:r>
          </w:p>
          <w:p w14:paraId="284891F3" w14:textId="2CD6F770" w:rsidR="00F90F5C" w:rsidRPr="00A90756" w:rsidRDefault="000D306C" w:rsidP="000D306C">
            <w:pPr>
              <w:pStyle w:val="Other10"/>
              <w:tabs>
                <w:tab w:val="left" w:pos="1286"/>
              </w:tabs>
              <w:spacing w:after="0"/>
              <w:rPr>
                <w:rStyle w:val="Other1"/>
                <w:rFonts w:ascii="Garamond" w:hAnsi="Garamond"/>
                <w:sz w:val="16"/>
                <w:szCs w:val="16"/>
              </w:rPr>
            </w:pPr>
            <w:r w:rsidRPr="00A90756">
              <w:rPr>
                <w:rStyle w:val="Other1"/>
                <w:rFonts w:ascii="Garamond" w:hAnsi="Garamond"/>
                <w:sz w:val="16"/>
                <w:szCs w:val="16"/>
              </w:rPr>
              <w:t>operacionale, pajisjet për organet publike përgjegjëse)</w:t>
            </w:r>
            <w:r w:rsidR="00F90F5C" w:rsidRPr="00A90756">
              <w:rPr>
                <w:rStyle w:val="Other1"/>
                <w:rFonts w:ascii="Garamond" w:hAnsi="Garamond"/>
                <w:sz w:val="16"/>
                <w:szCs w:val="16"/>
              </w:rPr>
              <w:t>;</w:t>
            </w:r>
          </w:p>
          <w:p w14:paraId="014E4374" w14:textId="4DDF494C" w:rsidR="000D306C" w:rsidRPr="00A90756" w:rsidRDefault="000D306C" w:rsidP="000D306C">
            <w:pPr>
              <w:pStyle w:val="Other10"/>
              <w:tabs>
                <w:tab w:val="left" w:pos="1286"/>
              </w:tabs>
              <w:spacing w:after="0"/>
              <w:rPr>
                <w:rFonts w:ascii="Garamond" w:hAnsi="Garamond"/>
                <w:sz w:val="16"/>
                <w:szCs w:val="16"/>
              </w:rPr>
            </w:pPr>
            <w:r w:rsidRPr="00A90756">
              <w:rPr>
                <w:rStyle w:val="Other1"/>
                <w:rFonts w:ascii="Garamond" w:hAnsi="Garamond"/>
                <w:sz w:val="16"/>
                <w:szCs w:val="16"/>
              </w:rPr>
              <w:t>– Rritja e kapaciteteve të shoqatave të qytetarëve, politikëbërësve dhe autoriteteve lokale për nxitjen e qasjeve novatore në menaxhimin mjedisor</w:t>
            </w:r>
            <w:r w:rsidR="00F90F5C" w:rsidRPr="00A90756">
              <w:rPr>
                <w:rStyle w:val="Other1"/>
                <w:rFonts w:ascii="Garamond" w:hAnsi="Garamond"/>
                <w:sz w:val="16"/>
                <w:szCs w:val="16"/>
              </w:rPr>
              <w:t>;</w:t>
            </w:r>
          </w:p>
          <w:p w14:paraId="014E4375" w14:textId="0A0BCFA4" w:rsidR="000D306C" w:rsidRPr="00A90756" w:rsidRDefault="000D306C" w:rsidP="000D306C">
            <w:pPr>
              <w:pStyle w:val="Other10"/>
              <w:numPr>
                <w:ilvl w:val="0"/>
                <w:numId w:val="16"/>
              </w:numPr>
              <w:tabs>
                <w:tab w:val="left" w:pos="202"/>
              </w:tabs>
              <w:spacing w:after="0"/>
              <w:rPr>
                <w:rFonts w:ascii="Garamond" w:hAnsi="Garamond"/>
                <w:sz w:val="16"/>
                <w:szCs w:val="16"/>
              </w:rPr>
            </w:pPr>
            <w:r w:rsidRPr="00A90756">
              <w:rPr>
                <w:rStyle w:val="Other1"/>
                <w:rFonts w:ascii="Garamond" w:hAnsi="Garamond"/>
                <w:sz w:val="16"/>
                <w:szCs w:val="16"/>
              </w:rPr>
              <w:t>Iniciativa për të promovuar përdorimin e qëndrueshëm të burimeve natyrore në rrezik</w:t>
            </w:r>
            <w:r w:rsidR="00F90F5C" w:rsidRPr="00A90756">
              <w:rPr>
                <w:rStyle w:val="Other1"/>
                <w:rFonts w:ascii="Garamond" w:hAnsi="Garamond"/>
                <w:sz w:val="16"/>
                <w:szCs w:val="16"/>
              </w:rPr>
              <w:t>;</w:t>
            </w:r>
          </w:p>
          <w:p w14:paraId="014E4376" w14:textId="022970B1" w:rsidR="000D306C" w:rsidRPr="00A90756" w:rsidRDefault="000D306C" w:rsidP="000D306C">
            <w:pPr>
              <w:pStyle w:val="Other10"/>
              <w:numPr>
                <w:ilvl w:val="0"/>
                <w:numId w:val="16"/>
              </w:numPr>
              <w:tabs>
                <w:tab w:val="left" w:pos="202"/>
                <w:tab w:val="left" w:pos="370"/>
                <w:tab w:val="left" w:pos="1445"/>
                <w:tab w:val="left" w:pos="1766"/>
              </w:tabs>
              <w:spacing w:after="0"/>
              <w:rPr>
                <w:rFonts w:ascii="Garamond" w:hAnsi="Garamond"/>
                <w:sz w:val="16"/>
                <w:szCs w:val="16"/>
              </w:rPr>
            </w:pPr>
            <w:r w:rsidRPr="00A90756">
              <w:rPr>
                <w:rStyle w:val="Other1"/>
                <w:rFonts w:ascii="Garamond" w:hAnsi="Garamond"/>
                <w:sz w:val="16"/>
                <w:szCs w:val="16"/>
              </w:rPr>
              <w:t>Mbështetja e qasjeve të bazuara në ekosisteme dhe zgjidhjeve me bazë natyrën në menaxhimin e riskut nga fatkeqësitë</w:t>
            </w:r>
            <w:r w:rsidR="00F90F5C" w:rsidRPr="00A90756">
              <w:rPr>
                <w:rStyle w:val="Other1"/>
                <w:rFonts w:ascii="Garamond" w:hAnsi="Garamond"/>
                <w:sz w:val="16"/>
                <w:szCs w:val="16"/>
              </w:rPr>
              <w:t>.</w:t>
            </w:r>
          </w:p>
        </w:tc>
        <w:tc>
          <w:tcPr>
            <w:tcW w:w="1304" w:type="pct"/>
            <w:tcBorders>
              <w:top w:val="single" w:sz="4" w:space="0" w:color="auto"/>
              <w:left w:val="single" w:sz="4" w:space="0" w:color="auto"/>
            </w:tcBorders>
            <w:shd w:val="clear" w:color="auto" w:fill="auto"/>
            <w:vAlign w:val="bottom"/>
          </w:tcPr>
          <w:p w14:paraId="014E4377"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lastRenderedPageBreak/>
              <w:t>Rezultatet</w:t>
            </w:r>
          </w:p>
          <w:p w14:paraId="014E4378" w14:textId="08853B2D" w:rsidR="000D306C" w:rsidRPr="00A90756" w:rsidRDefault="00F90F5C" w:rsidP="00F90F5C">
            <w:pPr>
              <w:pStyle w:val="Other10"/>
              <w:tabs>
                <w:tab w:val="left" w:pos="1008"/>
                <w:tab w:val="left" w:pos="1474"/>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shërbimeve</w:t>
            </w:r>
            <w:r w:rsidRPr="00A90756">
              <w:rPr>
                <w:rStyle w:val="Other1"/>
                <w:rFonts w:ascii="Garamond" w:hAnsi="Garamond"/>
                <w:sz w:val="16"/>
                <w:szCs w:val="16"/>
              </w:rPr>
              <w:t xml:space="preserve"> </w:t>
            </w:r>
            <w:r w:rsidR="000D306C" w:rsidRPr="00A90756">
              <w:rPr>
                <w:rStyle w:val="Other1"/>
                <w:rFonts w:ascii="Garamond" w:hAnsi="Garamond"/>
                <w:sz w:val="16"/>
                <w:szCs w:val="16"/>
              </w:rPr>
              <w:t>emergjente</w:t>
            </w:r>
          </w:p>
          <w:p w14:paraId="014E4379" w14:textId="00D41F85" w:rsidR="000D306C" w:rsidRPr="00A90756" w:rsidRDefault="000D306C" w:rsidP="000D306C">
            <w:pPr>
              <w:pStyle w:val="Other10"/>
              <w:tabs>
                <w:tab w:val="left" w:pos="1613"/>
              </w:tabs>
              <w:spacing w:after="0"/>
              <w:rPr>
                <w:rFonts w:ascii="Garamond" w:hAnsi="Garamond"/>
                <w:sz w:val="16"/>
                <w:szCs w:val="16"/>
              </w:rPr>
            </w:pPr>
            <w:r w:rsidRPr="00A90756">
              <w:rPr>
                <w:rStyle w:val="Other1"/>
                <w:rFonts w:ascii="Garamond" w:hAnsi="Garamond"/>
                <w:sz w:val="16"/>
                <w:szCs w:val="16"/>
              </w:rPr>
              <w:t>nga të dyja anët e kufirit dhe rritja e kapaciteteve të tyre</w:t>
            </w:r>
            <w:r w:rsidR="00C61854" w:rsidRPr="00A90756">
              <w:rPr>
                <w:rStyle w:val="Other1"/>
                <w:rFonts w:ascii="Garamond" w:hAnsi="Garamond"/>
                <w:sz w:val="16"/>
                <w:szCs w:val="16"/>
              </w:rPr>
              <w:t xml:space="preserve"> </w:t>
            </w:r>
            <w:r w:rsidRPr="00A90756">
              <w:rPr>
                <w:rStyle w:val="Other1"/>
                <w:rFonts w:ascii="Garamond" w:hAnsi="Garamond"/>
                <w:sz w:val="16"/>
                <w:szCs w:val="16"/>
              </w:rPr>
              <w:t xml:space="preserve">përmes </w:t>
            </w:r>
            <w:r w:rsidRPr="00A90756">
              <w:rPr>
                <w:rStyle w:val="Other1"/>
                <w:rFonts w:ascii="Garamond" w:hAnsi="Garamond"/>
                <w:sz w:val="16"/>
                <w:szCs w:val="16"/>
              </w:rPr>
              <w:lastRenderedPageBreak/>
              <w:t>iniciativave</w:t>
            </w:r>
            <w:r w:rsidRPr="00A90756">
              <w:rPr>
                <w:rStyle w:val="Other1"/>
                <w:rFonts w:ascii="Garamond" w:hAnsi="Garamond"/>
                <w:sz w:val="16"/>
                <w:szCs w:val="16"/>
                <w:vertAlign w:val="superscript"/>
              </w:rPr>
              <w:footnoteReference w:id="11"/>
            </w:r>
            <w:r w:rsidRPr="00A90756">
              <w:rPr>
                <w:rStyle w:val="Other1"/>
                <w:rFonts w:ascii="Garamond" w:hAnsi="Garamond"/>
                <w:sz w:val="16"/>
                <w:szCs w:val="16"/>
              </w:rPr>
              <w:t xml:space="preserve"> të përbashkëta</w:t>
            </w:r>
            <w:r w:rsidR="00F90F5C" w:rsidRPr="00A90756">
              <w:rPr>
                <w:rStyle w:val="Other1"/>
                <w:rFonts w:ascii="Garamond" w:hAnsi="Garamond"/>
                <w:sz w:val="16"/>
                <w:szCs w:val="16"/>
              </w:rPr>
              <w:t>;</w:t>
            </w:r>
          </w:p>
        </w:tc>
        <w:tc>
          <w:tcPr>
            <w:tcW w:w="305" w:type="pct"/>
            <w:tcBorders>
              <w:top w:val="single" w:sz="4" w:space="0" w:color="auto"/>
              <w:left w:val="single" w:sz="4" w:space="0" w:color="auto"/>
            </w:tcBorders>
            <w:shd w:val="clear" w:color="auto" w:fill="auto"/>
          </w:tcPr>
          <w:p w14:paraId="014E437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lastRenderedPageBreak/>
              <w:t>2</w:t>
            </w:r>
          </w:p>
        </w:tc>
        <w:tc>
          <w:tcPr>
            <w:tcW w:w="377" w:type="pct"/>
            <w:tcBorders>
              <w:top w:val="single" w:sz="4" w:space="0" w:color="auto"/>
              <w:left w:val="single" w:sz="4" w:space="0" w:color="auto"/>
            </w:tcBorders>
            <w:shd w:val="clear" w:color="auto" w:fill="auto"/>
          </w:tcPr>
          <w:p w14:paraId="014E437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8</w:t>
            </w:r>
          </w:p>
        </w:tc>
        <w:tc>
          <w:tcPr>
            <w:tcW w:w="499" w:type="pct"/>
            <w:vMerge w:val="restart"/>
            <w:tcBorders>
              <w:top w:val="single" w:sz="4" w:space="0" w:color="auto"/>
              <w:left w:val="single" w:sz="4" w:space="0" w:color="auto"/>
              <w:right w:val="single" w:sz="4" w:space="0" w:color="auto"/>
            </w:tcBorders>
            <w:shd w:val="clear" w:color="auto" w:fill="auto"/>
          </w:tcPr>
          <w:p w14:paraId="014E437C" w14:textId="729F0F88" w:rsidR="000D306C" w:rsidRPr="00A90756" w:rsidRDefault="000D306C" w:rsidP="000D306C">
            <w:pPr>
              <w:pStyle w:val="Other10"/>
              <w:tabs>
                <w:tab w:val="left" w:pos="254"/>
              </w:tabs>
              <w:spacing w:after="0"/>
              <w:rPr>
                <w:rStyle w:val="Other1"/>
                <w:rFonts w:ascii="Garamond" w:hAnsi="Garamond"/>
                <w:sz w:val="16"/>
                <w:szCs w:val="16"/>
              </w:rPr>
            </w:pPr>
            <w:r w:rsidRPr="00A90756">
              <w:rPr>
                <w:rStyle w:val="Other1"/>
                <w:rFonts w:ascii="Garamond" w:hAnsi="Garamond"/>
                <w:sz w:val="16"/>
                <w:szCs w:val="16"/>
              </w:rPr>
              <w:t>-</w:t>
            </w:r>
            <w:r w:rsidR="004231A2" w:rsidRPr="00A90756">
              <w:rPr>
                <w:rStyle w:val="Other1"/>
                <w:rFonts w:ascii="Garamond" w:hAnsi="Garamond"/>
                <w:sz w:val="16"/>
                <w:szCs w:val="16"/>
              </w:rPr>
              <w:t xml:space="preserve"> </w:t>
            </w:r>
            <w:r w:rsidRPr="00A90756">
              <w:rPr>
                <w:rStyle w:val="Other1"/>
                <w:rFonts w:ascii="Garamond" w:hAnsi="Garamond"/>
                <w:sz w:val="16"/>
                <w:szCs w:val="16"/>
              </w:rPr>
              <w:t>Raportet nga përfituesit</w:t>
            </w:r>
            <w:r w:rsidR="004231A2" w:rsidRPr="00A90756">
              <w:rPr>
                <w:rStyle w:val="Other1"/>
                <w:rFonts w:ascii="Garamond" w:hAnsi="Garamond"/>
                <w:sz w:val="16"/>
                <w:szCs w:val="16"/>
              </w:rPr>
              <w:t>;</w:t>
            </w:r>
          </w:p>
          <w:p w14:paraId="014E437D" w14:textId="5B23D25C" w:rsidR="000D306C" w:rsidRPr="00A90756" w:rsidRDefault="000D306C" w:rsidP="000D306C">
            <w:pPr>
              <w:pStyle w:val="Other10"/>
              <w:tabs>
                <w:tab w:val="left" w:pos="254"/>
              </w:tabs>
              <w:spacing w:after="0"/>
              <w:rPr>
                <w:rStyle w:val="Other1"/>
                <w:rFonts w:ascii="Garamond" w:hAnsi="Garamond"/>
                <w:sz w:val="16"/>
                <w:szCs w:val="16"/>
              </w:rPr>
            </w:pPr>
            <w:r w:rsidRPr="00A90756">
              <w:rPr>
                <w:rStyle w:val="Other1"/>
                <w:rFonts w:ascii="Garamond" w:hAnsi="Garamond"/>
                <w:sz w:val="16"/>
                <w:szCs w:val="16"/>
              </w:rPr>
              <w:t>-</w:t>
            </w:r>
            <w:r w:rsidR="004231A2" w:rsidRPr="00A90756">
              <w:rPr>
                <w:rStyle w:val="Other1"/>
                <w:rFonts w:ascii="Garamond" w:hAnsi="Garamond"/>
                <w:sz w:val="16"/>
                <w:szCs w:val="16"/>
              </w:rPr>
              <w:t xml:space="preserve"> </w:t>
            </w:r>
            <w:r w:rsidRPr="00A90756">
              <w:rPr>
                <w:rStyle w:val="Other1"/>
                <w:rFonts w:ascii="Garamond" w:hAnsi="Garamond"/>
                <w:sz w:val="16"/>
                <w:szCs w:val="16"/>
              </w:rPr>
              <w:t xml:space="preserve">Raporti </w:t>
            </w:r>
            <w:r w:rsidRPr="00A90756">
              <w:rPr>
                <w:rStyle w:val="Other1"/>
                <w:rFonts w:ascii="Garamond" w:hAnsi="Garamond"/>
                <w:sz w:val="16"/>
                <w:szCs w:val="16"/>
              </w:rPr>
              <w:lastRenderedPageBreak/>
              <w:t>Vjetor i Zbatimit (AIR)</w:t>
            </w:r>
            <w:r w:rsidR="004231A2" w:rsidRPr="00A90756">
              <w:rPr>
                <w:rStyle w:val="Other1"/>
                <w:rFonts w:ascii="Garamond" w:hAnsi="Garamond"/>
                <w:sz w:val="16"/>
                <w:szCs w:val="16"/>
              </w:rPr>
              <w:t>;</w:t>
            </w:r>
          </w:p>
          <w:p w14:paraId="014E437E" w14:textId="0849FA4D" w:rsidR="000D306C" w:rsidRPr="00A90756" w:rsidRDefault="000D306C" w:rsidP="000D306C">
            <w:pPr>
              <w:pStyle w:val="Other10"/>
              <w:tabs>
                <w:tab w:val="left" w:pos="254"/>
              </w:tabs>
              <w:spacing w:after="0"/>
              <w:rPr>
                <w:rFonts w:ascii="Garamond" w:hAnsi="Garamond"/>
                <w:sz w:val="16"/>
                <w:szCs w:val="16"/>
              </w:rPr>
            </w:pPr>
            <w:r w:rsidRPr="00A90756">
              <w:rPr>
                <w:rFonts w:ascii="Garamond" w:hAnsi="Garamond"/>
                <w:sz w:val="16"/>
                <w:szCs w:val="16"/>
              </w:rPr>
              <w:t>-</w:t>
            </w:r>
            <w:r w:rsidR="004231A2" w:rsidRPr="00A90756">
              <w:rPr>
                <w:rFonts w:ascii="Garamond" w:hAnsi="Garamond"/>
                <w:sz w:val="16"/>
                <w:szCs w:val="16"/>
              </w:rPr>
              <w:t xml:space="preserve"> </w:t>
            </w:r>
            <w:r w:rsidRPr="00A90756">
              <w:rPr>
                <w:rStyle w:val="Other1"/>
                <w:rFonts w:ascii="Garamond" w:hAnsi="Garamond"/>
                <w:sz w:val="16"/>
                <w:szCs w:val="16"/>
              </w:rPr>
              <w:t>Sistemi i monitorimit</w:t>
            </w:r>
            <w:r w:rsidR="004231A2" w:rsidRPr="00A90756">
              <w:rPr>
                <w:rStyle w:val="Other1"/>
                <w:rFonts w:ascii="Garamond" w:hAnsi="Garamond"/>
                <w:sz w:val="16"/>
                <w:szCs w:val="16"/>
              </w:rPr>
              <w:t>.</w:t>
            </w:r>
          </w:p>
        </w:tc>
      </w:tr>
      <w:tr w:rsidR="000D306C" w:rsidRPr="00A90756" w14:paraId="014E4387" w14:textId="77777777" w:rsidTr="00C61854">
        <w:trPr>
          <w:trHeight w:val="20"/>
          <w:jc w:val="center"/>
        </w:trPr>
        <w:tc>
          <w:tcPr>
            <w:tcW w:w="808" w:type="pct"/>
            <w:vMerge/>
            <w:tcBorders>
              <w:left w:val="single" w:sz="4" w:space="0" w:color="auto"/>
            </w:tcBorders>
            <w:shd w:val="clear" w:color="auto" w:fill="auto"/>
          </w:tcPr>
          <w:p w14:paraId="014E4380" w14:textId="77777777" w:rsidR="000D306C" w:rsidRPr="00A90756" w:rsidRDefault="000D306C" w:rsidP="000D306C">
            <w:pPr>
              <w:spacing w:after="0" w:line="240" w:lineRule="auto"/>
              <w:rPr>
                <w:rFonts w:ascii="Garamond" w:hAnsi="Garamond"/>
                <w:sz w:val="16"/>
                <w:szCs w:val="16"/>
              </w:rPr>
            </w:pPr>
          </w:p>
        </w:tc>
        <w:tc>
          <w:tcPr>
            <w:tcW w:w="547" w:type="pct"/>
            <w:vMerge/>
            <w:tcBorders>
              <w:left w:val="single" w:sz="4" w:space="0" w:color="auto"/>
            </w:tcBorders>
            <w:shd w:val="clear" w:color="auto" w:fill="auto"/>
          </w:tcPr>
          <w:p w14:paraId="014E4381" w14:textId="77777777" w:rsidR="000D306C" w:rsidRPr="00A90756" w:rsidRDefault="000D306C" w:rsidP="000D306C">
            <w:pPr>
              <w:spacing w:after="0" w:line="240" w:lineRule="auto"/>
              <w:rPr>
                <w:rFonts w:ascii="Garamond" w:hAnsi="Garamond"/>
                <w:sz w:val="16"/>
                <w:szCs w:val="16"/>
              </w:rPr>
            </w:pPr>
          </w:p>
        </w:tc>
        <w:tc>
          <w:tcPr>
            <w:tcW w:w="1161" w:type="pct"/>
            <w:vMerge/>
            <w:tcBorders>
              <w:left w:val="single" w:sz="4" w:space="0" w:color="auto"/>
            </w:tcBorders>
            <w:shd w:val="clear" w:color="auto" w:fill="auto"/>
            <w:vAlign w:val="center"/>
          </w:tcPr>
          <w:p w14:paraId="014E4382" w14:textId="77777777" w:rsidR="000D306C" w:rsidRPr="00A90756" w:rsidRDefault="000D306C" w:rsidP="000D306C">
            <w:pPr>
              <w:spacing w:after="0" w:line="240" w:lineRule="auto"/>
              <w:rPr>
                <w:rFonts w:ascii="Garamond" w:hAnsi="Garamond"/>
                <w:sz w:val="16"/>
                <w:szCs w:val="16"/>
              </w:rPr>
            </w:pPr>
          </w:p>
        </w:tc>
        <w:tc>
          <w:tcPr>
            <w:tcW w:w="1304" w:type="pct"/>
            <w:tcBorders>
              <w:top w:val="single" w:sz="4" w:space="0" w:color="auto"/>
              <w:left w:val="single" w:sz="4" w:space="0" w:color="auto"/>
            </w:tcBorders>
            <w:shd w:val="clear" w:color="auto" w:fill="auto"/>
            <w:vAlign w:val="bottom"/>
          </w:tcPr>
          <w:p w14:paraId="014E4383" w14:textId="64C9F50D" w:rsidR="000D306C" w:rsidRPr="00A90756" w:rsidRDefault="00F90F5C" w:rsidP="00F90F5C">
            <w:pPr>
              <w:pStyle w:val="Other10"/>
              <w:tabs>
                <w:tab w:val="left" w:pos="989"/>
                <w:tab w:val="left" w:pos="1416"/>
                <w:tab w:val="left" w:pos="2078"/>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masave të përbashkëta për menaxhimin e riskut në organet e zakonshme të zonës ndërkufitare</w:t>
            </w:r>
            <w:r w:rsidRPr="00A90756">
              <w:rPr>
                <w:rStyle w:val="Other1"/>
                <w:rFonts w:ascii="Garamond" w:hAnsi="Garamond"/>
                <w:sz w:val="16"/>
                <w:szCs w:val="16"/>
              </w:rPr>
              <w:t>;</w:t>
            </w:r>
          </w:p>
        </w:tc>
        <w:tc>
          <w:tcPr>
            <w:tcW w:w="305" w:type="pct"/>
            <w:tcBorders>
              <w:top w:val="single" w:sz="4" w:space="0" w:color="auto"/>
              <w:left w:val="single" w:sz="4" w:space="0" w:color="auto"/>
            </w:tcBorders>
            <w:shd w:val="clear" w:color="auto" w:fill="auto"/>
          </w:tcPr>
          <w:p w14:paraId="014E438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77" w:type="pct"/>
            <w:tcBorders>
              <w:top w:val="single" w:sz="4" w:space="0" w:color="auto"/>
              <w:left w:val="single" w:sz="4" w:space="0" w:color="auto"/>
            </w:tcBorders>
            <w:shd w:val="clear" w:color="auto" w:fill="auto"/>
          </w:tcPr>
          <w:p w14:paraId="014E438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5</w:t>
            </w:r>
          </w:p>
        </w:tc>
        <w:tc>
          <w:tcPr>
            <w:tcW w:w="499" w:type="pct"/>
            <w:vMerge/>
            <w:tcBorders>
              <w:left w:val="single" w:sz="4" w:space="0" w:color="auto"/>
              <w:right w:val="single" w:sz="4" w:space="0" w:color="auto"/>
            </w:tcBorders>
            <w:shd w:val="clear" w:color="auto" w:fill="auto"/>
          </w:tcPr>
          <w:p w14:paraId="014E4386" w14:textId="77777777" w:rsidR="000D306C" w:rsidRPr="00A90756" w:rsidRDefault="000D306C" w:rsidP="000D306C">
            <w:pPr>
              <w:spacing w:after="0" w:line="240" w:lineRule="auto"/>
              <w:rPr>
                <w:rFonts w:ascii="Garamond" w:hAnsi="Garamond"/>
                <w:sz w:val="16"/>
                <w:szCs w:val="16"/>
              </w:rPr>
            </w:pPr>
          </w:p>
        </w:tc>
      </w:tr>
      <w:tr w:rsidR="000D306C" w:rsidRPr="00A90756" w14:paraId="014E438F" w14:textId="77777777" w:rsidTr="00C61854">
        <w:trPr>
          <w:trHeight w:val="20"/>
          <w:jc w:val="center"/>
        </w:trPr>
        <w:tc>
          <w:tcPr>
            <w:tcW w:w="808" w:type="pct"/>
            <w:vMerge/>
            <w:tcBorders>
              <w:left w:val="single" w:sz="4" w:space="0" w:color="auto"/>
            </w:tcBorders>
            <w:shd w:val="clear" w:color="auto" w:fill="auto"/>
          </w:tcPr>
          <w:p w14:paraId="014E4388" w14:textId="77777777" w:rsidR="000D306C" w:rsidRPr="00A90756" w:rsidRDefault="000D306C" w:rsidP="000D306C">
            <w:pPr>
              <w:spacing w:after="0" w:line="240" w:lineRule="auto"/>
              <w:rPr>
                <w:rFonts w:ascii="Garamond" w:hAnsi="Garamond"/>
                <w:sz w:val="16"/>
                <w:szCs w:val="16"/>
              </w:rPr>
            </w:pPr>
          </w:p>
        </w:tc>
        <w:tc>
          <w:tcPr>
            <w:tcW w:w="547" w:type="pct"/>
            <w:vMerge/>
            <w:tcBorders>
              <w:left w:val="single" w:sz="4" w:space="0" w:color="auto"/>
            </w:tcBorders>
            <w:shd w:val="clear" w:color="auto" w:fill="auto"/>
          </w:tcPr>
          <w:p w14:paraId="014E4389" w14:textId="77777777" w:rsidR="000D306C" w:rsidRPr="00A90756" w:rsidRDefault="000D306C" w:rsidP="000D306C">
            <w:pPr>
              <w:spacing w:after="0" w:line="240" w:lineRule="auto"/>
              <w:rPr>
                <w:rFonts w:ascii="Garamond" w:hAnsi="Garamond"/>
                <w:sz w:val="16"/>
                <w:szCs w:val="16"/>
              </w:rPr>
            </w:pPr>
          </w:p>
        </w:tc>
        <w:tc>
          <w:tcPr>
            <w:tcW w:w="1161" w:type="pct"/>
            <w:vMerge/>
            <w:tcBorders>
              <w:left w:val="single" w:sz="4" w:space="0" w:color="auto"/>
            </w:tcBorders>
            <w:shd w:val="clear" w:color="auto" w:fill="auto"/>
            <w:vAlign w:val="center"/>
          </w:tcPr>
          <w:p w14:paraId="014E438A" w14:textId="77777777" w:rsidR="000D306C" w:rsidRPr="00A90756" w:rsidRDefault="000D306C" w:rsidP="000D306C">
            <w:pPr>
              <w:spacing w:after="0" w:line="240" w:lineRule="auto"/>
              <w:rPr>
                <w:rFonts w:ascii="Garamond" w:hAnsi="Garamond"/>
                <w:sz w:val="16"/>
                <w:szCs w:val="16"/>
              </w:rPr>
            </w:pPr>
          </w:p>
        </w:tc>
        <w:tc>
          <w:tcPr>
            <w:tcW w:w="1304" w:type="pct"/>
            <w:tcBorders>
              <w:top w:val="single" w:sz="4" w:space="0" w:color="auto"/>
              <w:left w:val="single" w:sz="4" w:space="0" w:color="auto"/>
            </w:tcBorders>
            <w:shd w:val="clear" w:color="auto" w:fill="auto"/>
            <w:vAlign w:val="bottom"/>
          </w:tcPr>
          <w:p w14:paraId="014E438B" w14:textId="32CAD55B"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strategjive dhe planeve të veprimit të miratuara në bazë të hulumtimit të zonave me rrezik</w:t>
            </w:r>
            <w:r w:rsidR="00F90F5C" w:rsidRPr="00A90756">
              <w:rPr>
                <w:rStyle w:val="Other1"/>
                <w:rFonts w:ascii="Garamond" w:hAnsi="Garamond"/>
                <w:sz w:val="16"/>
                <w:szCs w:val="16"/>
              </w:rPr>
              <w:t>.</w:t>
            </w:r>
          </w:p>
        </w:tc>
        <w:tc>
          <w:tcPr>
            <w:tcW w:w="305" w:type="pct"/>
            <w:tcBorders>
              <w:top w:val="single" w:sz="4" w:space="0" w:color="auto"/>
              <w:left w:val="single" w:sz="4" w:space="0" w:color="auto"/>
            </w:tcBorders>
            <w:shd w:val="clear" w:color="auto" w:fill="auto"/>
          </w:tcPr>
          <w:p w14:paraId="014E438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w:t>
            </w:r>
          </w:p>
        </w:tc>
        <w:tc>
          <w:tcPr>
            <w:tcW w:w="377" w:type="pct"/>
            <w:tcBorders>
              <w:top w:val="single" w:sz="4" w:space="0" w:color="auto"/>
              <w:left w:val="single" w:sz="4" w:space="0" w:color="auto"/>
            </w:tcBorders>
            <w:shd w:val="clear" w:color="auto" w:fill="auto"/>
          </w:tcPr>
          <w:p w14:paraId="014E438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3</w:t>
            </w:r>
          </w:p>
        </w:tc>
        <w:tc>
          <w:tcPr>
            <w:tcW w:w="499" w:type="pct"/>
            <w:vMerge/>
            <w:tcBorders>
              <w:left w:val="single" w:sz="4" w:space="0" w:color="auto"/>
              <w:right w:val="single" w:sz="4" w:space="0" w:color="auto"/>
            </w:tcBorders>
            <w:shd w:val="clear" w:color="auto" w:fill="auto"/>
          </w:tcPr>
          <w:p w14:paraId="014E438E" w14:textId="77777777" w:rsidR="000D306C" w:rsidRPr="00A90756" w:rsidRDefault="000D306C" w:rsidP="000D306C">
            <w:pPr>
              <w:spacing w:after="0" w:line="240" w:lineRule="auto"/>
              <w:rPr>
                <w:rFonts w:ascii="Garamond" w:hAnsi="Garamond"/>
                <w:sz w:val="16"/>
                <w:szCs w:val="16"/>
              </w:rPr>
            </w:pPr>
          </w:p>
        </w:tc>
      </w:tr>
      <w:tr w:rsidR="000D306C" w:rsidRPr="00A90756" w14:paraId="014E4398" w14:textId="77777777" w:rsidTr="00C61854">
        <w:trPr>
          <w:trHeight w:val="20"/>
          <w:jc w:val="center"/>
        </w:trPr>
        <w:tc>
          <w:tcPr>
            <w:tcW w:w="808" w:type="pct"/>
            <w:vMerge/>
            <w:tcBorders>
              <w:left w:val="single" w:sz="4" w:space="0" w:color="auto"/>
            </w:tcBorders>
            <w:shd w:val="clear" w:color="auto" w:fill="auto"/>
          </w:tcPr>
          <w:p w14:paraId="014E4390" w14:textId="77777777" w:rsidR="000D306C" w:rsidRPr="00A90756" w:rsidRDefault="000D306C" w:rsidP="000D306C">
            <w:pPr>
              <w:spacing w:after="0" w:line="240" w:lineRule="auto"/>
              <w:rPr>
                <w:rFonts w:ascii="Garamond" w:hAnsi="Garamond"/>
                <w:sz w:val="16"/>
                <w:szCs w:val="16"/>
              </w:rPr>
            </w:pPr>
          </w:p>
        </w:tc>
        <w:tc>
          <w:tcPr>
            <w:tcW w:w="547" w:type="pct"/>
            <w:vMerge/>
            <w:tcBorders>
              <w:left w:val="single" w:sz="4" w:space="0" w:color="auto"/>
            </w:tcBorders>
            <w:shd w:val="clear" w:color="auto" w:fill="auto"/>
          </w:tcPr>
          <w:p w14:paraId="014E4391" w14:textId="77777777" w:rsidR="000D306C" w:rsidRPr="00A90756" w:rsidRDefault="000D306C" w:rsidP="000D306C">
            <w:pPr>
              <w:spacing w:after="0" w:line="240" w:lineRule="auto"/>
              <w:rPr>
                <w:rFonts w:ascii="Garamond" w:hAnsi="Garamond"/>
                <w:sz w:val="16"/>
                <w:szCs w:val="16"/>
              </w:rPr>
            </w:pPr>
          </w:p>
        </w:tc>
        <w:tc>
          <w:tcPr>
            <w:tcW w:w="1161" w:type="pct"/>
            <w:vMerge/>
            <w:tcBorders>
              <w:left w:val="single" w:sz="4" w:space="0" w:color="auto"/>
            </w:tcBorders>
            <w:shd w:val="clear" w:color="auto" w:fill="auto"/>
            <w:vAlign w:val="center"/>
          </w:tcPr>
          <w:p w14:paraId="014E4392" w14:textId="77777777" w:rsidR="000D306C" w:rsidRPr="00A90756" w:rsidRDefault="000D306C" w:rsidP="000D306C">
            <w:pPr>
              <w:spacing w:after="0" w:line="240" w:lineRule="auto"/>
              <w:rPr>
                <w:rFonts w:ascii="Garamond" w:hAnsi="Garamond"/>
                <w:sz w:val="16"/>
                <w:szCs w:val="16"/>
              </w:rPr>
            </w:pPr>
          </w:p>
        </w:tc>
        <w:tc>
          <w:tcPr>
            <w:tcW w:w="1304" w:type="pct"/>
            <w:tcBorders>
              <w:top w:val="single" w:sz="4" w:space="0" w:color="auto"/>
              <w:left w:val="single" w:sz="4" w:space="0" w:color="auto"/>
            </w:tcBorders>
            <w:shd w:val="clear" w:color="auto" w:fill="auto"/>
            <w:vAlign w:val="bottom"/>
          </w:tcPr>
          <w:p w14:paraId="014E439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t>Produktet</w:t>
            </w:r>
          </w:p>
          <w:p w14:paraId="014E4394" w14:textId="1E47B08F" w:rsidR="000D306C" w:rsidRPr="00A90756" w:rsidRDefault="000D306C" w:rsidP="000D306C">
            <w:pPr>
              <w:pStyle w:val="Other10"/>
              <w:tabs>
                <w:tab w:val="left" w:pos="230"/>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Numri i personave me kapacitete të rritura në protokollet e shpëtimit (të ndara sipas gjinisë dhe moshës)</w:t>
            </w:r>
            <w:r w:rsidR="00F90F5C" w:rsidRPr="00A90756">
              <w:rPr>
                <w:rStyle w:val="Other1"/>
                <w:rFonts w:ascii="Garamond" w:hAnsi="Garamond"/>
                <w:sz w:val="16"/>
                <w:szCs w:val="16"/>
              </w:rPr>
              <w:t>;</w:t>
            </w:r>
          </w:p>
        </w:tc>
        <w:tc>
          <w:tcPr>
            <w:tcW w:w="305" w:type="pct"/>
            <w:tcBorders>
              <w:top w:val="single" w:sz="4" w:space="0" w:color="auto"/>
              <w:left w:val="single" w:sz="4" w:space="0" w:color="auto"/>
            </w:tcBorders>
            <w:shd w:val="clear" w:color="auto" w:fill="auto"/>
          </w:tcPr>
          <w:p w14:paraId="014E439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77" w:type="pct"/>
            <w:tcBorders>
              <w:top w:val="single" w:sz="4" w:space="0" w:color="auto"/>
              <w:left w:val="single" w:sz="4" w:space="0" w:color="auto"/>
            </w:tcBorders>
            <w:shd w:val="clear" w:color="auto" w:fill="auto"/>
          </w:tcPr>
          <w:p w14:paraId="014E439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100</w:t>
            </w:r>
          </w:p>
        </w:tc>
        <w:tc>
          <w:tcPr>
            <w:tcW w:w="499" w:type="pct"/>
            <w:vMerge/>
            <w:tcBorders>
              <w:left w:val="single" w:sz="4" w:space="0" w:color="auto"/>
              <w:right w:val="single" w:sz="4" w:space="0" w:color="auto"/>
            </w:tcBorders>
            <w:shd w:val="clear" w:color="auto" w:fill="auto"/>
          </w:tcPr>
          <w:p w14:paraId="014E4397" w14:textId="77777777" w:rsidR="000D306C" w:rsidRPr="00A90756" w:rsidRDefault="000D306C" w:rsidP="000D306C">
            <w:pPr>
              <w:spacing w:after="0" w:line="240" w:lineRule="auto"/>
              <w:rPr>
                <w:rFonts w:ascii="Garamond" w:hAnsi="Garamond"/>
                <w:sz w:val="16"/>
                <w:szCs w:val="16"/>
              </w:rPr>
            </w:pPr>
          </w:p>
        </w:tc>
      </w:tr>
      <w:tr w:rsidR="000D306C" w:rsidRPr="00A90756" w14:paraId="014E43A0" w14:textId="77777777" w:rsidTr="00C61854">
        <w:trPr>
          <w:trHeight w:val="20"/>
          <w:jc w:val="center"/>
        </w:trPr>
        <w:tc>
          <w:tcPr>
            <w:tcW w:w="808" w:type="pct"/>
            <w:vMerge/>
            <w:tcBorders>
              <w:left w:val="single" w:sz="4" w:space="0" w:color="auto"/>
            </w:tcBorders>
            <w:shd w:val="clear" w:color="auto" w:fill="auto"/>
          </w:tcPr>
          <w:p w14:paraId="014E4399" w14:textId="77777777" w:rsidR="000D306C" w:rsidRPr="00A90756" w:rsidRDefault="000D306C" w:rsidP="000D306C">
            <w:pPr>
              <w:spacing w:after="0" w:line="240" w:lineRule="auto"/>
              <w:rPr>
                <w:rFonts w:ascii="Garamond" w:hAnsi="Garamond"/>
                <w:sz w:val="16"/>
                <w:szCs w:val="16"/>
              </w:rPr>
            </w:pPr>
          </w:p>
        </w:tc>
        <w:tc>
          <w:tcPr>
            <w:tcW w:w="547" w:type="pct"/>
            <w:vMerge/>
            <w:tcBorders>
              <w:left w:val="single" w:sz="4" w:space="0" w:color="auto"/>
            </w:tcBorders>
            <w:shd w:val="clear" w:color="auto" w:fill="auto"/>
          </w:tcPr>
          <w:p w14:paraId="014E439A" w14:textId="77777777" w:rsidR="000D306C" w:rsidRPr="00A90756" w:rsidRDefault="000D306C" w:rsidP="000D306C">
            <w:pPr>
              <w:spacing w:after="0" w:line="240" w:lineRule="auto"/>
              <w:rPr>
                <w:rFonts w:ascii="Garamond" w:hAnsi="Garamond"/>
                <w:sz w:val="16"/>
                <w:szCs w:val="16"/>
              </w:rPr>
            </w:pPr>
          </w:p>
        </w:tc>
        <w:tc>
          <w:tcPr>
            <w:tcW w:w="1161" w:type="pct"/>
            <w:vMerge/>
            <w:tcBorders>
              <w:left w:val="single" w:sz="4" w:space="0" w:color="auto"/>
            </w:tcBorders>
            <w:shd w:val="clear" w:color="auto" w:fill="auto"/>
            <w:vAlign w:val="center"/>
          </w:tcPr>
          <w:p w14:paraId="014E439B" w14:textId="77777777" w:rsidR="000D306C" w:rsidRPr="00A90756" w:rsidRDefault="000D306C" w:rsidP="000D306C">
            <w:pPr>
              <w:spacing w:after="0" w:line="240" w:lineRule="auto"/>
              <w:rPr>
                <w:rFonts w:ascii="Garamond" w:hAnsi="Garamond"/>
                <w:sz w:val="16"/>
                <w:szCs w:val="16"/>
              </w:rPr>
            </w:pPr>
          </w:p>
        </w:tc>
        <w:tc>
          <w:tcPr>
            <w:tcW w:w="1304" w:type="pct"/>
            <w:tcBorders>
              <w:top w:val="single" w:sz="4" w:space="0" w:color="auto"/>
              <w:left w:val="single" w:sz="4" w:space="0" w:color="auto"/>
            </w:tcBorders>
            <w:shd w:val="clear" w:color="auto" w:fill="auto"/>
          </w:tcPr>
          <w:p w14:paraId="014E439C" w14:textId="2A67DD00" w:rsidR="000D306C" w:rsidRPr="00A90756" w:rsidRDefault="000D306C" w:rsidP="000D306C">
            <w:pPr>
              <w:pStyle w:val="Other10"/>
              <w:numPr>
                <w:ilvl w:val="0"/>
                <w:numId w:val="17"/>
              </w:numPr>
              <w:tabs>
                <w:tab w:val="left" w:pos="346"/>
                <w:tab w:val="left" w:pos="1253"/>
                <w:tab w:val="left" w:pos="1680"/>
              </w:tabs>
              <w:spacing w:after="0"/>
              <w:rPr>
                <w:rFonts w:ascii="Garamond" w:hAnsi="Garamond"/>
                <w:sz w:val="16"/>
                <w:szCs w:val="16"/>
              </w:rPr>
            </w:pPr>
            <w:r w:rsidRPr="00A90756">
              <w:rPr>
                <w:rStyle w:val="Other1"/>
                <w:rFonts w:ascii="Garamond" w:hAnsi="Garamond"/>
                <w:sz w:val="16"/>
                <w:szCs w:val="16"/>
              </w:rPr>
              <w:t>Numri i trajnimeve të zhvilluara</w:t>
            </w:r>
            <w:r w:rsidR="00F90F5C" w:rsidRPr="00A90756">
              <w:rPr>
                <w:rStyle w:val="Other1"/>
                <w:rFonts w:ascii="Garamond" w:hAnsi="Garamond"/>
                <w:sz w:val="16"/>
                <w:szCs w:val="16"/>
              </w:rPr>
              <w:t>;</w:t>
            </w:r>
          </w:p>
        </w:tc>
        <w:tc>
          <w:tcPr>
            <w:tcW w:w="305" w:type="pct"/>
            <w:tcBorders>
              <w:top w:val="single" w:sz="4" w:space="0" w:color="auto"/>
              <w:left w:val="single" w:sz="4" w:space="0" w:color="auto"/>
            </w:tcBorders>
            <w:shd w:val="clear" w:color="auto" w:fill="auto"/>
            <w:vAlign w:val="center"/>
          </w:tcPr>
          <w:p w14:paraId="014E439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w:t>
            </w:r>
          </w:p>
        </w:tc>
        <w:tc>
          <w:tcPr>
            <w:tcW w:w="377" w:type="pct"/>
            <w:tcBorders>
              <w:top w:val="single" w:sz="4" w:space="0" w:color="auto"/>
              <w:left w:val="single" w:sz="4" w:space="0" w:color="auto"/>
            </w:tcBorders>
            <w:shd w:val="clear" w:color="auto" w:fill="auto"/>
            <w:vAlign w:val="center"/>
          </w:tcPr>
          <w:p w14:paraId="014E439E"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11</w:t>
            </w:r>
          </w:p>
        </w:tc>
        <w:tc>
          <w:tcPr>
            <w:tcW w:w="499" w:type="pct"/>
            <w:vMerge/>
            <w:tcBorders>
              <w:left w:val="single" w:sz="4" w:space="0" w:color="auto"/>
              <w:right w:val="single" w:sz="4" w:space="0" w:color="auto"/>
            </w:tcBorders>
            <w:shd w:val="clear" w:color="auto" w:fill="auto"/>
          </w:tcPr>
          <w:p w14:paraId="014E439F" w14:textId="77777777" w:rsidR="000D306C" w:rsidRPr="00A90756" w:rsidRDefault="000D306C" w:rsidP="000D306C">
            <w:pPr>
              <w:spacing w:after="0" w:line="240" w:lineRule="auto"/>
              <w:rPr>
                <w:rFonts w:ascii="Garamond" w:hAnsi="Garamond"/>
                <w:sz w:val="16"/>
                <w:szCs w:val="16"/>
              </w:rPr>
            </w:pPr>
          </w:p>
        </w:tc>
      </w:tr>
      <w:tr w:rsidR="000D306C" w:rsidRPr="00A90756" w14:paraId="014E43A8" w14:textId="77777777" w:rsidTr="00C61854">
        <w:trPr>
          <w:trHeight w:val="20"/>
          <w:jc w:val="center"/>
        </w:trPr>
        <w:tc>
          <w:tcPr>
            <w:tcW w:w="808" w:type="pct"/>
            <w:vMerge/>
            <w:tcBorders>
              <w:left w:val="single" w:sz="4" w:space="0" w:color="auto"/>
            </w:tcBorders>
            <w:shd w:val="clear" w:color="auto" w:fill="auto"/>
          </w:tcPr>
          <w:p w14:paraId="014E43A1" w14:textId="77777777" w:rsidR="000D306C" w:rsidRPr="00A90756" w:rsidRDefault="000D306C" w:rsidP="000D306C">
            <w:pPr>
              <w:spacing w:after="0" w:line="240" w:lineRule="auto"/>
              <w:rPr>
                <w:rFonts w:ascii="Garamond" w:hAnsi="Garamond"/>
                <w:sz w:val="16"/>
                <w:szCs w:val="16"/>
              </w:rPr>
            </w:pPr>
          </w:p>
        </w:tc>
        <w:tc>
          <w:tcPr>
            <w:tcW w:w="547" w:type="pct"/>
            <w:vMerge/>
            <w:tcBorders>
              <w:left w:val="single" w:sz="4" w:space="0" w:color="auto"/>
            </w:tcBorders>
            <w:shd w:val="clear" w:color="auto" w:fill="auto"/>
          </w:tcPr>
          <w:p w14:paraId="014E43A2" w14:textId="77777777" w:rsidR="000D306C" w:rsidRPr="00A90756" w:rsidRDefault="000D306C" w:rsidP="000D306C">
            <w:pPr>
              <w:spacing w:after="0" w:line="240" w:lineRule="auto"/>
              <w:rPr>
                <w:rFonts w:ascii="Garamond" w:hAnsi="Garamond"/>
                <w:sz w:val="16"/>
                <w:szCs w:val="16"/>
              </w:rPr>
            </w:pPr>
          </w:p>
        </w:tc>
        <w:tc>
          <w:tcPr>
            <w:tcW w:w="1161" w:type="pct"/>
            <w:vMerge/>
            <w:tcBorders>
              <w:left w:val="single" w:sz="4" w:space="0" w:color="auto"/>
            </w:tcBorders>
            <w:shd w:val="clear" w:color="auto" w:fill="auto"/>
            <w:vAlign w:val="center"/>
          </w:tcPr>
          <w:p w14:paraId="014E43A3" w14:textId="77777777" w:rsidR="000D306C" w:rsidRPr="00A90756" w:rsidRDefault="000D306C" w:rsidP="000D306C">
            <w:pPr>
              <w:spacing w:after="0" w:line="240" w:lineRule="auto"/>
              <w:rPr>
                <w:rFonts w:ascii="Garamond" w:hAnsi="Garamond"/>
                <w:sz w:val="16"/>
                <w:szCs w:val="16"/>
              </w:rPr>
            </w:pPr>
          </w:p>
        </w:tc>
        <w:tc>
          <w:tcPr>
            <w:tcW w:w="1304" w:type="pct"/>
            <w:tcBorders>
              <w:top w:val="single" w:sz="4" w:space="0" w:color="auto"/>
              <w:left w:val="single" w:sz="4" w:space="0" w:color="auto"/>
            </w:tcBorders>
            <w:shd w:val="clear" w:color="auto" w:fill="auto"/>
            <w:vAlign w:val="bottom"/>
          </w:tcPr>
          <w:p w14:paraId="014E43A4" w14:textId="6D9613C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protokolleve të hartuara për ndërhyrje të përbashkëta në zonat kufitare</w:t>
            </w:r>
            <w:r w:rsidR="00F90F5C" w:rsidRPr="00A90756">
              <w:rPr>
                <w:rStyle w:val="Other1"/>
                <w:rFonts w:ascii="Garamond" w:hAnsi="Garamond"/>
                <w:sz w:val="16"/>
                <w:szCs w:val="16"/>
              </w:rPr>
              <w:t>;</w:t>
            </w:r>
          </w:p>
        </w:tc>
        <w:tc>
          <w:tcPr>
            <w:tcW w:w="305" w:type="pct"/>
            <w:tcBorders>
              <w:top w:val="single" w:sz="4" w:space="0" w:color="auto"/>
              <w:left w:val="single" w:sz="4" w:space="0" w:color="auto"/>
            </w:tcBorders>
            <w:shd w:val="clear" w:color="auto" w:fill="auto"/>
          </w:tcPr>
          <w:p w14:paraId="014E43A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77" w:type="pct"/>
            <w:tcBorders>
              <w:top w:val="single" w:sz="4" w:space="0" w:color="auto"/>
              <w:left w:val="single" w:sz="4" w:space="0" w:color="auto"/>
            </w:tcBorders>
            <w:shd w:val="clear" w:color="auto" w:fill="auto"/>
          </w:tcPr>
          <w:p w14:paraId="014E43A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499" w:type="pct"/>
            <w:vMerge/>
            <w:tcBorders>
              <w:left w:val="single" w:sz="4" w:space="0" w:color="auto"/>
              <w:right w:val="single" w:sz="4" w:space="0" w:color="auto"/>
            </w:tcBorders>
            <w:shd w:val="clear" w:color="auto" w:fill="auto"/>
          </w:tcPr>
          <w:p w14:paraId="014E43A7" w14:textId="77777777" w:rsidR="000D306C" w:rsidRPr="00A90756" w:rsidRDefault="000D306C" w:rsidP="000D306C">
            <w:pPr>
              <w:spacing w:after="0" w:line="240" w:lineRule="auto"/>
              <w:rPr>
                <w:rFonts w:ascii="Garamond" w:hAnsi="Garamond"/>
                <w:sz w:val="16"/>
                <w:szCs w:val="16"/>
              </w:rPr>
            </w:pPr>
          </w:p>
        </w:tc>
      </w:tr>
      <w:tr w:rsidR="000D306C" w:rsidRPr="00A90756" w14:paraId="014E43B0" w14:textId="77777777" w:rsidTr="00C61854">
        <w:trPr>
          <w:trHeight w:val="20"/>
          <w:jc w:val="center"/>
        </w:trPr>
        <w:tc>
          <w:tcPr>
            <w:tcW w:w="808" w:type="pct"/>
            <w:vMerge/>
            <w:tcBorders>
              <w:left w:val="single" w:sz="4" w:space="0" w:color="auto"/>
            </w:tcBorders>
            <w:shd w:val="clear" w:color="auto" w:fill="auto"/>
          </w:tcPr>
          <w:p w14:paraId="014E43A9" w14:textId="77777777" w:rsidR="000D306C" w:rsidRPr="00A90756" w:rsidRDefault="000D306C" w:rsidP="000D306C">
            <w:pPr>
              <w:spacing w:after="0" w:line="240" w:lineRule="auto"/>
              <w:rPr>
                <w:rFonts w:ascii="Garamond" w:hAnsi="Garamond"/>
                <w:sz w:val="16"/>
                <w:szCs w:val="16"/>
              </w:rPr>
            </w:pPr>
          </w:p>
        </w:tc>
        <w:tc>
          <w:tcPr>
            <w:tcW w:w="547" w:type="pct"/>
            <w:vMerge/>
            <w:tcBorders>
              <w:left w:val="single" w:sz="4" w:space="0" w:color="auto"/>
            </w:tcBorders>
            <w:shd w:val="clear" w:color="auto" w:fill="auto"/>
          </w:tcPr>
          <w:p w14:paraId="014E43AA" w14:textId="77777777" w:rsidR="000D306C" w:rsidRPr="00A90756" w:rsidRDefault="000D306C" w:rsidP="000D306C">
            <w:pPr>
              <w:spacing w:after="0" w:line="240" w:lineRule="auto"/>
              <w:rPr>
                <w:rFonts w:ascii="Garamond" w:hAnsi="Garamond"/>
                <w:sz w:val="16"/>
                <w:szCs w:val="16"/>
              </w:rPr>
            </w:pPr>
          </w:p>
        </w:tc>
        <w:tc>
          <w:tcPr>
            <w:tcW w:w="1161" w:type="pct"/>
            <w:vMerge/>
            <w:tcBorders>
              <w:left w:val="single" w:sz="4" w:space="0" w:color="auto"/>
            </w:tcBorders>
            <w:shd w:val="clear" w:color="auto" w:fill="auto"/>
            <w:vAlign w:val="center"/>
          </w:tcPr>
          <w:p w14:paraId="014E43AB" w14:textId="77777777" w:rsidR="000D306C" w:rsidRPr="00A90756" w:rsidRDefault="000D306C" w:rsidP="000D306C">
            <w:pPr>
              <w:spacing w:after="0" w:line="240" w:lineRule="auto"/>
              <w:rPr>
                <w:rFonts w:ascii="Garamond" w:hAnsi="Garamond"/>
                <w:sz w:val="16"/>
                <w:szCs w:val="16"/>
              </w:rPr>
            </w:pPr>
          </w:p>
        </w:tc>
        <w:tc>
          <w:tcPr>
            <w:tcW w:w="1304" w:type="pct"/>
            <w:tcBorders>
              <w:top w:val="single" w:sz="4" w:space="0" w:color="auto"/>
              <w:left w:val="single" w:sz="4" w:space="0" w:color="auto"/>
            </w:tcBorders>
            <w:shd w:val="clear" w:color="auto" w:fill="auto"/>
            <w:vAlign w:val="bottom"/>
          </w:tcPr>
          <w:p w14:paraId="014E43AC" w14:textId="31819DC6"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iniciativave të përbashkëta të zbatuara në lidhje me parandalimin dhe menaxhimin e rrezikut</w:t>
            </w:r>
            <w:r w:rsidR="00F90F5C" w:rsidRPr="00A90756">
              <w:rPr>
                <w:rStyle w:val="Other1"/>
                <w:rFonts w:ascii="Garamond" w:hAnsi="Garamond"/>
                <w:sz w:val="16"/>
                <w:szCs w:val="16"/>
              </w:rPr>
              <w:t>;</w:t>
            </w:r>
          </w:p>
        </w:tc>
        <w:tc>
          <w:tcPr>
            <w:tcW w:w="305" w:type="pct"/>
            <w:tcBorders>
              <w:top w:val="single" w:sz="4" w:space="0" w:color="auto"/>
              <w:left w:val="single" w:sz="4" w:space="0" w:color="auto"/>
            </w:tcBorders>
            <w:shd w:val="clear" w:color="auto" w:fill="auto"/>
            <w:vAlign w:val="center"/>
          </w:tcPr>
          <w:p w14:paraId="014E43A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77" w:type="pct"/>
            <w:tcBorders>
              <w:top w:val="single" w:sz="4" w:space="0" w:color="auto"/>
              <w:left w:val="single" w:sz="4" w:space="0" w:color="auto"/>
            </w:tcBorders>
            <w:shd w:val="clear" w:color="auto" w:fill="auto"/>
            <w:vAlign w:val="center"/>
          </w:tcPr>
          <w:p w14:paraId="014E43AE"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499" w:type="pct"/>
            <w:vMerge/>
            <w:tcBorders>
              <w:left w:val="single" w:sz="4" w:space="0" w:color="auto"/>
              <w:right w:val="single" w:sz="4" w:space="0" w:color="auto"/>
            </w:tcBorders>
            <w:shd w:val="clear" w:color="auto" w:fill="auto"/>
          </w:tcPr>
          <w:p w14:paraId="014E43AF" w14:textId="77777777" w:rsidR="000D306C" w:rsidRPr="00A90756" w:rsidRDefault="000D306C" w:rsidP="000D306C">
            <w:pPr>
              <w:spacing w:after="0" w:line="240" w:lineRule="auto"/>
              <w:rPr>
                <w:rFonts w:ascii="Garamond" w:hAnsi="Garamond"/>
                <w:sz w:val="16"/>
                <w:szCs w:val="16"/>
              </w:rPr>
            </w:pPr>
          </w:p>
        </w:tc>
      </w:tr>
      <w:tr w:rsidR="000D306C" w:rsidRPr="00A90756" w14:paraId="014E43B8" w14:textId="77777777" w:rsidTr="00C61854">
        <w:trPr>
          <w:trHeight w:val="20"/>
          <w:jc w:val="center"/>
        </w:trPr>
        <w:tc>
          <w:tcPr>
            <w:tcW w:w="808" w:type="pct"/>
            <w:vMerge/>
            <w:tcBorders>
              <w:left w:val="single" w:sz="4" w:space="0" w:color="auto"/>
              <w:bottom w:val="single" w:sz="4" w:space="0" w:color="auto"/>
            </w:tcBorders>
            <w:shd w:val="clear" w:color="auto" w:fill="auto"/>
          </w:tcPr>
          <w:p w14:paraId="014E43B1" w14:textId="77777777" w:rsidR="000D306C" w:rsidRPr="00A90756" w:rsidRDefault="000D306C" w:rsidP="000D306C">
            <w:pPr>
              <w:spacing w:after="0" w:line="240" w:lineRule="auto"/>
              <w:rPr>
                <w:rFonts w:ascii="Garamond" w:hAnsi="Garamond"/>
                <w:sz w:val="16"/>
                <w:szCs w:val="16"/>
              </w:rPr>
            </w:pPr>
          </w:p>
        </w:tc>
        <w:tc>
          <w:tcPr>
            <w:tcW w:w="547" w:type="pct"/>
            <w:vMerge/>
            <w:tcBorders>
              <w:left w:val="single" w:sz="4" w:space="0" w:color="auto"/>
              <w:bottom w:val="single" w:sz="4" w:space="0" w:color="auto"/>
            </w:tcBorders>
            <w:shd w:val="clear" w:color="auto" w:fill="auto"/>
          </w:tcPr>
          <w:p w14:paraId="014E43B2" w14:textId="77777777" w:rsidR="000D306C" w:rsidRPr="00A90756" w:rsidRDefault="000D306C" w:rsidP="000D306C">
            <w:pPr>
              <w:spacing w:after="0" w:line="240" w:lineRule="auto"/>
              <w:rPr>
                <w:rFonts w:ascii="Garamond" w:hAnsi="Garamond"/>
                <w:sz w:val="16"/>
                <w:szCs w:val="16"/>
              </w:rPr>
            </w:pPr>
          </w:p>
        </w:tc>
        <w:tc>
          <w:tcPr>
            <w:tcW w:w="1161" w:type="pct"/>
            <w:vMerge/>
            <w:tcBorders>
              <w:left w:val="single" w:sz="4" w:space="0" w:color="auto"/>
              <w:bottom w:val="single" w:sz="4" w:space="0" w:color="auto"/>
            </w:tcBorders>
            <w:shd w:val="clear" w:color="auto" w:fill="auto"/>
            <w:vAlign w:val="center"/>
          </w:tcPr>
          <w:p w14:paraId="014E43B3" w14:textId="77777777" w:rsidR="000D306C" w:rsidRPr="00A90756" w:rsidRDefault="000D306C" w:rsidP="000D306C">
            <w:pPr>
              <w:spacing w:after="0" w:line="240" w:lineRule="auto"/>
              <w:rPr>
                <w:rFonts w:ascii="Garamond" w:hAnsi="Garamond"/>
                <w:sz w:val="16"/>
                <w:szCs w:val="16"/>
              </w:rPr>
            </w:pPr>
          </w:p>
        </w:tc>
        <w:tc>
          <w:tcPr>
            <w:tcW w:w="1304" w:type="pct"/>
            <w:tcBorders>
              <w:top w:val="single" w:sz="4" w:space="0" w:color="auto"/>
              <w:left w:val="single" w:sz="4" w:space="0" w:color="auto"/>
              <w:bottom w:val="single" w:sz="4" w:space="0" w:color="auto"/>
            </w:tcBorders>
            <w:shd w:val="clear" w:color="auto" w:fill="auto"/>
            <w:vAlign w:val="center"/>
          </w:tcPr>
          <w:p w14:paraId="014E43B4" w14:textId="548E7EBC" w:rsidR="000D306C" w:rsidRPr="00A90756" w:rsidRDefault="000D306C" w:rsidP="000D306C">
            <w:pPr>
              <w:pStyle w:val="Other10"/>
              <w:tabs>
                <w:tab w:val="left" w:pos="1056"/>
                <w:tab w:val="left" w:pos="1728"/>
              </w:tabs>
              <w:spacing w:after="0"/>
              <w:rPr>
                <w:rFonts w:ascii="Garamond" w:hAnsi="Garamond"/>
                <w:sz w:val="16"/>
                <w:szCs w:val="16"/>
              </w:rPr>
            </w:pPr>
            <w:r w:rsidRPr="00A90756">
              <w:rPr>
                <w:rStyle w:val="Other1"/>
                <w:rFonts w:ascii="Garamond" w:hAnsi="Garamond"/>
                <w:sz w:val="16"/>
                <w:szCs w:val="16"/>
              </w:rPr>
              <w:t>- Numri i shërbimeve të shpëtimit të mbështetura në lidhje me menaxhimin e fatkeqësive</w:t>
            </w:r>
            <w:r w:rsidR="00F90F5C" w:rsidRPr="00A90756">
              <w:rPr>
                <w:rStyle w:val="Other1"/>
                <w:rFonts w:ascii="Garamond" w:hAnsi="Garamond"/>
                <w:sz w:val="16"/>
                <w:szCs w:val="16"/>
              </w:rPr>
              <w:t>.</w:t>
            </w:r>
          </w:p>
        </w:tc>
        <w:tc>
          <w:tcPr>
            <w:tcW w:w="305" w:type="pct"/>
            <w:tcBorders>
              <w:top w:val="single" w:sz="4" w:space="0" w:color="auto"/>
              <w:left w:val="single" w:sz="4" w:space="0" w:color="auto"/>
              <w:bottom w:val="single" w:sz="4" w:space="0" w:color="auto"/>
            </w:tcBorders>
            <w:shd w:val="clear" w:color="auto" w:fill="auto"/>
            <w:vAlign w:val="center"/>
          </w:tcPr>
          <w:p w14:paraId="014E43B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377" w:type="pct"/>
            <w:tcBorders>
              <w:top w:val="single" w:sz="4" w:space="0" w:color="auto"/>
              <w:left w:val="single" w:sz="4" w:space="0" w:color="auto"/>
              <w:bottom w:val="single" w:sz="4" w:space="0" w:color="auto"/>
            </w:tcBorders>
            <w:shd w:val="clear" w:color="auto" w:fill="auto"/>
            <w:vAlign w:val="center"/>
          </w:tcPr>
          <w:p w14:paraId="014E43B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499" w:type="pct"/>
            <w:vMerge/>
            <w:tcBorders>
              <w:left w:val="single" w:sz="4" w:space="0" w:color="auto"/>
              <w:bottom w:val="single" w:sz="4" w:space="0" w:color="auto"/>
              <w:right w:val="single" w:sz="4" w:space="0" w:color="auto"/>
            </w:tcBorders>
            <w:shd w:val="clear" w:color="auto" w:fill="auto"/>
          </w:tcPr>
          <w:p w14:paraId="014E43B7" w14:textId="77777777" w:rsidR="000D306C" w:rsidRPr="00A90756" w:rsidRDefault="000D306C" w:rsidP="000D306C">
            <w:pPr>
              <w:spacing w:after="0" w:line="240" w:lineRule="auto"/>
              <w:rPr>
                <w:rFonts w:ascii="Garamond" w:hAnsi="Garamond"/>
                <w:sz w:val="16"/>
                <w:szCs w:val="16"/>
              </w:rPr>
            </w:pPr>
          </w:p>
        </w:tc>
      </w:tr>
    </w:tbl>
    <w:p w14:paraId="014E43B9" w14:textId="77777777" w:rsidR="000D306C" w:rsidRPr="00A90756" w:rsidRDefault="000D306C" w:rsidP="000D306C">
      <w:pPr>
        <w:pStyle w:val="AAAATEXXX"/>
      </w:pPr>
    </w:p>
    <w:tbl>
      <w:tblPr>
        <w:tblOverlap w:val="never"/>
        <w:tblW w:w="5000" w:type="pct"/>
        <w:jc w:val="center"/>
        <w:tblCellMar>
          <w:left w:w="10" w:type="dxa"/>
          <w:right w:w="10" w:type="dxa"/>
        </w:tblCellMar>
        <w:tblLook w:val="04A0" w:firstRow="1" w:lastRow="0" w:firstColumn="1" w:lastColumn="0" w:noHBand="0" w:noVBand="1"/>
      </w:tblPr>
      <w:tblGrid>
        <w:gridCol w:w="983"/>
        <w:gridCol w:w="1055"/>
        <w:gridCol w:w="2824"/>
        <w:gridCol w:w="1784"/>
        <w:gridCol w:w="759"/>
        <w:gridCol w:w="633"/>
        <w:gridCol w:w="979"/>
      </w:tblGrid>
      <w:tr w:rsidR="000D306C" w:rsidRPr="00A90756" w14:paraId="014E43BC" w14:textId="77777777" w:rsidTr="000D306C">
        <w:trPr>
          <w:trHeight w:val="20"/>
          <w:jc w:val="center"/>
        </w:trPr>
        <w:tc>
          <w:tcPr>
            <w:tcW w:w="5000" w:type="pct"/>
            <w:gridSpan w:val="7"/>
            <w:tcBorders>
              <w:top w:val="single" w:sz="4" w:space="0" w:color="auto"/>
              <w:left w:val="single" w:sz="4" w:space="0" w:color="auto"/>
              <w:right w:val="single" w:sz="4" w:space="0" w:color="auto"/>
            </w:tcBorders>
            <w:shd w:val="clear" w:color="auto" w:fill="95B3D7"/>
            <w:vAlign w:val="bottom"/>
          </w:tcPr>
          <w:p w14:paraId="014E43BA" w14:textId="33E34675" w:rsidR="000D306C" w:rsidRPr="00A90756" w:rsidRDefault="000D306C" w:rsidP="004231A2">
            <w:pPr>
              <w:pStyle w:val="Other10"/>
              <w:spacing w:after="0"/>
              <w:jc w:val="center"/>
              <w:rPr>
                <w:rFonts w:ascii="Garamond" w:hAnsi="Garamond"/>
                <w:sz w:val="16"/>
                <w:szCs w:val="16"/>
              </w:rPr>
            </w:pPr>
            <w:r w:rsidRPr="00A90756">
              <w:rPr>
                <w:rStyle w:val="Other1"/>
                <w:rFonts w:ascii="Garamond" w:hAnsi="Garamond"/>
                <w:b/>
                <w:bCs/>
                <w:sz w:val="16"/>
                <w:szCs w:val="16"/>
              </w:rPr>
              <w:t xml:space="preserve">1 - Grupimi </w:t>
            </w:r>
            <w:r w:rsidR="004231A2" w:rsidRPr="00A90756">
              <w:rPr>
                <w:rStyle w:val="Other1"/>
                <w:rFonts w:ascii="Garamond" w:hAnsi="Garamond"/>
                <w:b/>
                <w:bCs/>
                <w:sz w:val="16"/>
                <w:szCs w:val="16"/>
              </w:rPr>
              <w:t>t</w:t>
            </w:r>
            <w:r w:rsidRPr="00A90756">
              <w:rPr>
                <w:rStyle w:val="Other1"/>
                <w:rFonts w:ascii="Garamond" w:hAnsi="Garamond"/>
                <w:b/>
                <w:bCs/>
                <w:sz w:val="16"/>
                <w:szCs w:val="16"/>
              </w:rPr>
              <w:t>ematik 2:</w:t>
            </w:r>
          </w:p>
          <w:p w14:paraId="014E43BB" w14:textId="77777777" w:rsidR="000D306C" w:rsidRPr="00A90756" w:rsidRDefault="000D306C" w:rsidP="004231A2">
            <w:pPr>
              <w:pStyle w:val="Other10"/>
              <w:spacing w:after="0"/>
              <w:jc w:val="center"/>
              <w:rPr>
                <w:rFonts w:ascii="Garamond" w:hAnsi="Garamond"/>
                <w:sz w:val="16"/>
                <w:szCs w:val="16"/>
              </w:rPr>
            </w:pPr>
            <w:r w:rsidRPr="00A90756">
              <w:rPr>
                <w:rStyle w:val="Other1"/>
                <w:rFonts w:ascii="Garamond" w:hAnsi="Garamond"/>
                <w:b/>
                <w:bCs/>
                <w:sz w:val="16"/>
                <w:szCs w:val="16"/>
              </w:rPr>
              <w:t>Efikasiteti më i gjelbër dhe i përmirësuar i burimeve</w:t>
            </w:r>
          </w:p>
        </w:tc>
      </w:tr>
      <w:tr w:rsidR="000D306C" w:rsidRPr="00A90756" w14:paraId="014E43C2" w14:textId="77777777" w:rsidTr="004231A2">
        <w:trPr>
          <w:trHeight w:val="20"/>
          <w:jc w:val="center"/>
        </w:trPr>
        <w:tc>
          <w:tcPr>
            <w:tcW w:w="2695" w:type="pct"/>
            <w:gridSpan w:val="3"/>
            <w:tcBorders>
              <w:top w:val="single" w:sz="4" w:space="0" w:color="auto"/>
              <w:left w:val="single" w:sz="4" w:space="0" w:color="auto"/>
            </w:tcBorders>
            <w:shd w:val="clear" w:color="auto" w:fill="95B3D7"/>
          </w:tcPr>
          <w:p w14:paraId="014E43BD" w14:textId="3657599A"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 xml:space="preserve">Prioriteti </w:t>
            </w:r>
            <w:r w:rsidR="004231A2" w:rsidRPr="00A90756">
              <w:rPr>
                <w:rStyle w:val="Other1"/>
                <w:rFonts w:ascii="Garamond" w:hAnsi="Garamond"/>
                <w:b/>
                <w:bCs/>
                <w:sz w:val="16"/>
                <w:szCs w:val="16"/>
              </w:rPr>
              <w:t>t</w:t>
            </w:r>
            <w:r w:rsidRPr="00A90756">
              <w:rPr>
                <w:rStyle w:val="Other1"/>
                <w:rFonts w:ascii="Garamond" w:hAnsi="Garamond"/>
                <w:b/>
                <w:bCs/>
                <w:sz w:val="16"/>
                <w:szCs w:val="16"/>
              </w:rPr>
              <w:t>ematik 2: Mbrojtja e mjedisit dhe promovimi i përshtatjes dhe zbutjes ndaj ndryshimeve klimatike, parandalimi dhe menaxhimi i rrezikut</w:t>
            </w:r>
          </w:p>
        </w:tc>
        <w:tc>
          <w:tcPr>
            <w:tcW w:w="989" w:type="pct"/>
            <w:tcBorders>
              <w:top w:val="single" w:sz="4" w:space="0" w:color="auto"/>
              <w:left w:val="single" w:sz="4" w:space="0" w:color="auto"/>
            </w:tcBorders>
            <w:shd w:val="clear" w:color="auto" w:fill="95B3D7"/>
            <w:vAlign w:val="center"/>
          </w:tcPr>
          <w:p w14:paraId="014E43BE" w14:textId="77777777" w:rsidR="000D306C" w:rsidRPr="00A90756" w:rsidRDefault="000D306C" w:rsidP="004231A2">
            <w:pPr>
              <w:pStyle w:val="Other10"/>
              <w:spacing w:after="0"/>
              <w:jc w:val="center"/>
              <w:rPr>
                <w:rFonts w:ascii="Garamond" w:hAnsi="Garamond"/>
                <w:sz w:val="16"/>
                <w:szCs w:val="16"/>
              </w:rPr>
            </w:pPr>
            <w:r w:rsidRPr="00A90756">
              <w:rPr>
                <w:rStyle w:val="Other1"/>
                <w:rFonts w:ascii="Garamond" w:hAnsi="Garamond"/>
                <w:b/>
                <w:bCs/>
                <w:sz w:val="16"/>
                <w:szCs w:val="16"/>
              </w:rPr>
              <w:t>Treguesit</w:t>
            </w:r>
          </w:p>
        </w:tc>
        <w:tc>
          <w:tcPr>
            <w:tcW w:w="421" w:type="pct"/>
            <w:tcBorders>
              <w:top w:val="single" w:sz="4" w:space="0" w:color="auto"/>
              <w:left w:val="single" w:sz="4" w:space="0" w:color="auto"/>
            </w:tcBorders>
            <w:shd w:val="clear" w:color="auto" w:fill="95B3D7"/>
            <w:vAlign w:val="center"/>
          </w:tcPr>
          <w:p w14:paraId="014E43BF" w14:textId="77777777" w:rsidR="000D306C" w:rsidRPr="00A90756" w:rsidRDefault="000D306C" w:rsidP="004231A2">
            <w:pPr>
              <w:pStyle w:val="Other10"/>
              <w:spacing w:after="0"/>
              <w:jc w:val="center"/>
              <w:rPr>
                <w:rFonts w:ascii="Garamond" w:hAnsi="Garamond"/>
                <w:sz w:val="16"/>
                <w:szCs w:val="16"/>
              </w:rPr>
            </w:pPr>
            <w:r w:rsidRPr="00A90756">
              <w:rPr>
                <w:rStyle w:val="Other1"/>
                <w:rFonts w:ascii="Garamond" w:hAnsi="Garamond"/>
                <w:b/>
                <w:bCs/>
                <w:sz w:val="16"/>
                <w:szCs w:val="16"/>
              </w:rPr>
              <w:t>Baza (viti) 2021</w:t>
            </w:r>
          </w:p>
        </w:tc>
        <w:tc>
          <w:tcPr>
            <w:tcW w:w="351" w:type="pct"/>
            <w:tcBorders>
              <w:top w:val="single" w:sz="4" w:space="0" w:color="auto"/>
              <w:left w:val="single" w:sz="4" w:space="0" w:color="auto"/>
            </w:tcBorders>
            <w:shd w:val="clear" w:color="auto" w:fill="95B3D7"/>
            <w:vAlign w:val="center"/>
          </w:tcPr>
          <w:p w14:paraId="014E43C0" w14:textId="121EABF7" w:rsidR="000D306C" w:rsidRPr="00A90756" w:rsidRDefault="000D306C" w:rsidP="004231A2">
            <w:pPr>
              <w:pStyle w:val="Other10"/>
              <w:spacing w:after="0"/>
              <w:jc w:val="center"/>
              <w:rPr>
                <w:rFonts w:ascii="Garamond" w:hAnsi="Garamond"/>
                <w:sz w:val="16"/>
                <w:szCs w:val="16"/>
              </w:rPr>
            </w:pPr>
            <w:r w:rsidRPr="00A90756">
              <w:rPr>
                <w:rStyle w:val="Other1"/>
                <w:rFonts w:ascii="Garamond" w:hAnsi="Garamond"/>
                <w:b/>
                <w:bCs/>
                <w:sz w:val="16"/>
                <w:szCs w:val="16"/>
              </w:rPr>
              <w:t>Synimi</w:t>
            </w:r>
            <w:r w:rsidR="00C61854" w:rsidRPr="00A90756">
              <w:rPr>
                <w:rStyle w:val="Other1"/>
                <w:rFonts w:ascii="Garamond" w:hAnsi="Garamond"/>
                <w:b/>
                <w:bCs/>
                <w:sz w:val="16"/>
                <w:szCs w:val="16"/>
              </w:rPr>
              <w:t xml:space="preserve"> </w:t>
            </w:r>
            <w:r w:rsidRPr="00A90756">
              <w:rPr>
                <w:rStyle w:val="Other1"/>
                <w:rFonts w:ascii="Garamond" w:hAnsi="Garamond"/>
                <w:b/>
                <w:bCs/>
                <w:sz w:val="16"/>
                <w:szCs w:val="16"/>
              </w:rPr>
              <w:t>(viti) 2029</w:t>
            </w:r>
          </w:p>
        </w:tc>
        <w:tc>
          <w:tcPr>
            <w:tcW w:w="545" w:type="pct"/>
            <w:tcBorders>
              <w:top w:val="single" w:sz="4" w:space="0" w:color="auto"/>
              <w:left w:val="single" w:sz="4" w:space="0" w:color="auto"/>
              <w:right w:val="single" w:sz="4" w:space="0" w:color="auto"/>
            </w:tcBorders>
            <w:shd w:val="clear" w:color="auto" w:fill="95B3D7"/>
            <w:vAlign w:val="center"/>
          </w:tcPr>
          <w:p w14:paraId="014E43C1" w14:textId="77777777" w:rsidR="000D306C" w:rsidRPr="00A90756" w:rsidRDefault="000D306C" w:rsidP="004231A2">
            <w:pPr>
              <w:pStyle w:val="Other10"/>
              <w:spacing w:after="0"/>
              <w:jc w:val="center"/>
              <w:rPr>
                <w:rFonts w:ascii="Garamond" w:hAnsi="Garamond"/>
                <w:sz w:val="16"/>
                <w:szCs w:val="16"/>
              </w:rPr>
            </w:pPr>
            <w:r w:rsidRPr="00A90756">
              <w:rPr>
                <w:rStyle w:val="Other1"/>
                <w:rFonts w:ascii="Garamond" w:hAnsi="Garamond"/>
                <w:b/>
                <w:bCs/>
                <w:sz w:val="16"/>
                <w:szCs w:val="16"/>
              </w:rPr>
              <w:t>Burimet e të dhënave</w:t>
            </w:r>
          </w:p>
        </w:tc>
      </w:tr>
      <w:tr w:rsidR="000D306C" w:rsidRPr="00A90756" w14:paraId="014E43CB" w14:textId="77777777" w:rsidTr="000D306C">
        <w:trPr>
          <w:trHeight w:val="20"/>
          <w:jc w:val="center"/>
        </w:trPr>
        <w:tc>
          <w:tcPr>
            <w:tcW w:w="545" w:type="pct"/>
            <w:vMerge w:val="restart"/>
            <w:tcBorders>
              <w:top w:val="single" w:sz="4" w:space="0" w:color="auto"/>
              <w:left w:val="single" w:sz="4" w:space="0" w:color="auto"/>
            </w:tcBorders>
            <w:shd w:val="clear" w:color="auto" w:fill="auto"/>
          </w:tcPr>
          <w:p w14:paraId="014E43C3" w14:textId="77777777" w:rsidR="000D306C" w:rsidRPr="00A90756" w:rsidRDefault="000D306C" w:rsidP="000D306C">
            <w:pPr>
              <w:rPr>
                <w:rFonts w:ascii="Garamond" w:hAnsi="Garamond"/>
                <w:sz w:val="16"/>
                <w:szCs w:val="16"/>
              </w:rPr>
            </w:pPr>
          </w:p>
        </w:tc>
        <w:tc>
          <w:tcPr>
            <w:tcW w:w="585" w:type="pct"/>
            <w:vMerge w:val="restart"/>
            <w:tcBorders>
              <w:top w:val="single" w:sz="4" w:space="0" w:color="auto"/>
              <w:left w:val="single" w:sz="4" w:space="0" w:color="auto"/>
            </w:tcBorders>
            <w:shd w:val="clear" w:color="auto" w:fill="auto"/>
          </w:tcPr>
          <w:p w14:paraId="014E43C4" w14:textId="77777777" w:rsidR="000D306C" w:rsidRPr="00A90756" w:rsidRDefault="000D306C" w:rsidP="000D306C">
            <w:pPr>
              <w:rPr>
                <w:rFonts w:ascii="Garamond" w:hAnsi="Garamond"/>
                <w:sz w:val="16"/>
                <w:szCs w:val="16"/>
              </w:rPr>
            </w:pPr>
          </w:p>
        </w:tc>
        <w:tc>
          <w:tcPr>
            <w:tcW w:w="1566" w:type="pct"/>
            <w:vMerge w:val="restart"/>
            <w:tcBorders>
              <w:top w:val="single" w:sz="4" w:space="0" w:color="auto"/>
              <w:left w:val="single" w:sz="4" w:space="0" w:color="auto"/>
            </w:tcBorders>
            <w:shd w:val="clear" w:color="auto" w:fill="auto"/>
            <w:vAlign w:val="bottom"/>
          </w:tcPr>
          <w:p w14:paraId="014E43C5" w14:textId="5BBB3EAA" w:rsidR="000D306C" w:rsidRPr="00A90756" w:rsidRDefault="000D306C" w:rsidP="000D306C">
            <w:pPr>
              <w:pStyle w:val="Other10"/>
              <w:numPr>
                <w:ilvl w:val="0"/>
                <w:numId w:val="18"/>
              </w:numPr>
              <w:tabs>
                <w:tab w:val="left" w:pos="235"/>
                <w:tab w:val="left" w:pos="240"/>
                <w:tab w:val="left" w:pos="1003"/>
                <w:tab w:val="right" w:pos="2218"/>
              </w:tabs>
              <w:spacing w:after="0"/>
              <w:rPr>
                <w:rFonts w:ascii="Garamond" w:hAnsi="Garamond"/>
                <w:sz w:val="16"/>
                <w:szCs w:val="16"/>
              </w:rPr>
            </w:pPr>
            <w:r w:rsidRPr="00A90756">
              <w:rPr>
                <w:rStyle w:val="Other1"/>
                <w:rFonts w:ascii="Garamond" w:hAnsi="Garamond"/>
                <w:sz w:val="16"/>
                <w:szCs w:val="16"/>
              </w:rPr>
              <w:t>Masa për rritjen e elasticitetit në zonat urbane duke promovuar iniciativa të gjelbra (d.m.th. të bazuara tek zgjidhjet natyrale, infrastruktura e gjelbër etj.)</w:t>
            </w:r>
            <w:r w:rsidR="004231A2" w:rsidRPr="00A90756">
              <w:rPr>
                <w:rStyle w:val="Other1"/>
                <w:rFonts w:ascii="Garamond" w:hAnsi="Garamond"/>
                <w:sz w:val="16"/>
                <w:szCs w:val="16"/>
              </w:rPr>
              <w:t>;</w:t>
            </w:r>
          </w:p>
          <w:p w14:paraId="014E43C6" w14:textId="395FD986" w:rsidR="000D306C" w:rsidRPr="00A90756" w:rsidRDefault="000D306C" w:rsidP="000D306C">
            <w:pPr>
              <w:pStyle w:val="Other10"/>
              <w:numPr>
                <w:ilvl w:val="0"/>
                <w:numId w:val="18"/>
              </w:numPr>
              <w:tabs>
                <w:tab w:val="left" w:pos="230"/>
                <w:tab w:val="left" w:pos="240"/>
              </w:tabs>
              <w:spacing w:after="0"/>
              <w:rPr>
                <w:rFonts w:ascii="Garamond" w:hAnsi="Garamond"/>
                <w:sz w:val="16"/>
                <w:szCs w:val="16"/>
              </w:rPr>
            </w:pPr>
            <w:r w:rsidRPr="00A90756">
              <w:rPr>
                <w:rStyle w:val="Other1"/>
                <w:rFonts w:ascii="Garamond" w:hAnsi="Garamond"/>
                <w:sz w:val="16"/>
                <w:szCs w:val="16"/>
              </w:rPr>
              <w:t>Zhvillimi i kornizave për bashkëpunimin ndërkufitar dhe për përdorimin bashkërisht të burimeve ekzistuese për mbrojtjen civile dhe për reagimin ndaj fatkeqësive, duke përfshirë edhe risqet e pritshme në të ardhmen (duke përfshirë edhe ato që lidhen me ndryshimet klimatike) që mbështesin parashikimin e rreziqeve të shumëfishtë dhe që mbështeten tek studimet dhe udhëzimit e niveleve më të larta</w:t>
            </w:r>
            <w:r w:rsidR="004231A2" w:rsidRPr="00A90756">
              <w:rPr>
                <w:rStyle w:val="Other1"/>
                <w:rFonts w:ascii="Garamond" w:hAnsi="Garamond"/>
                <w:sz w:val="16"/>
                <w:szCs w:val="16"/>
              </w:rPr>
              <w:t>.</w:t>
            </w:r>
          </w:p>
        </w:tc>
        <w:tc>
          <w:tcPr>
            <w:tcW w:w="989" w:type="pct"/>
            <w:tcBorders>
              <w:top w:val="single" w:sz="4" w:space="0" w:color="auto"/>
              <w:left w:val="single" w:sz="4" w:space="0" w:color="auto"/>
            </w:tcBorders>
            <w:shd w:val="clear" w:color="auto" w:fill="auto"/>
          </w:tcPr>
          <w:p w14:paraId="014E43C7" w14:textId="5920AC3D" w:rsidR="000D306C" w:rsidRPr="00A90756" w:rsidRDefault="004231A2" w:rsidP="004231A2">
            <w:pPr>
              <w:pStyle w:val="Other10"/>
              <w:tabs>
                <w:tab w:val="left" w:pos="946"/>
                <w:tab w:val="left" w:pos="1339"/>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departamenteve në administratën publike që janë pajisur për një menaxhim më të mirë ndërkufitar të fatkeqësive dhe ndryshimeve klimatike</w:t>
            </w:r>
            <w:r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tcPr>
          <w:p w14:paraId="014E43C8"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351" w:type="pct"/>
            <w:tcBorders>
              <w:top w:val="single" w:sz="4" w:space="0" w:color="auto"/>
              <w:left w:val="single" w:sz="4" w:space="0" w:color="auto"/>
            </w:tcBorders>
            <w:shd w:val="clear" w:color="auto" w:fill="auto"/>
          </w:tcPr>
          <w:p w14:paraId="014E43C9"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8</w:t>
            </w:r>
          </w:p>
        </w:tc>
        <w:tc>
          <w:tcPr>
            <w:tcW w:w="545" w:type="pct"/>
            <w:vMerge w:val="restart"/>
            <w:tcBorders>
              <w:top w:val="single" w:sz="4" w:space="0" w:color="auto"/>
              <w:left w:val="single" w:sz="4" w:space="0" w:color="auto"/>
              <w:right w:val="single" w:sz="4" w:space="0" w:color="auto"/>
            </w:tcBorders>
            <w:shd w:val="clear" w:color="auto" w:fill="auto"/>
          </w:tcPr>
          <w:p w14:paraId="014E43CA" w14:textId="77777777" w:rsidR="000D306C" w:rsidRPr="00A90756" w:rsidRDefault="000D306C" w:rsidP="000D306C">
            <w:pPr>
              <w:rPr>
                <w:rFonts w:ascii="Garamond" w:hAnsi="Garamond"/>
                <w:sz w:val="16"/>
                <w:szCs w:val="16"/>
              </w:rPr>
            </w:pPr>
          </w:p>
        </w:tc>
      </w:tr>
      <w:tr w:rsidR="000D306C" w:rsidRPr="00A90756" w14:paraId="014E43D3" w14:textId="77777777" w:rsidTr="000D306C">
        <w:trPr>
          <w:trHeight w:val="20"/>
          <w:jc w:val="center"/>
        </w:trPr>
        <w:tc>
          <w:tcPr>
            <w:tcW w:w="545" w:type="pct"/>
            <w:vMerge/>
            <w:tcBorders>
              <w:left w:val="single" w:sz="4" w:space="0" w:color="auto"/>
            </w:tcBorders>
            <w:shd w:val="clear" w:color="auto" w:fill="auto"/>
          </w:tcPr>
          <w:p w14:paraId="014E43CC"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3CD"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3CE" w14:textId="77777777" w:rsidR="000D306C" w:rsidRPr="00A90756" w:rsidRDefault="000D306C" w:rsidP="000D306C">
            <w:pPr>
              <w:rPr>
                <w:rFonts w:ascii="Garamond" w:hAnsi="Garamond"/>
                <w:sz w:val="16"/>
                <w:szCs w:val="16"/>
              </w:rPr>
            </w:pPr>
          </w:p>
        </w:tc>
        <w:tc>
          <w:tcPr>
            <w:tcW w:w="989" w:type="pct"/>
            <w:tcBorders>
              <w:top w:val="single" w:sz="4" w:space="0" w:color="auto"/>
              <w:left w:val="single" w:sz="4" w:space="0" w:color="auto"/>
            </w:tcBorders>
            <w:shd w:val="clear" w:color="auto" w:fill="auto"/>
          </w:tcPr>
          <w:p w14:paraId="014E43CF" w14:textId="77BFCFD9" w:rsidR="000D306C" w:rsidRPr="00A90756" w:rsidRDefault="004231A2" w:rsidP="004231A2">
            <w:pPr>
              <w:pStyle w:val="Other10"/>
              <w:tabs>
                <w:tab w:val="left" w:pos="1008"/>
                <w:tab w:val="left" w:pos="1478"/>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institucioneve të përfshira në iniciativat e përbashkëta të menaxhimit në lidhje me parandalimin dhe menaxhimin e rrezikut</w:t>
            </w:r>
            <w:r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tcPr>
          <w:p w14:paraId="014E43D0"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351" w:type="pct"/>
            <w:tcBorders>
              <w:top w:val="single" w:sz="4" w:space="0" w:color="auto"/>
              <w:left w:val="single" w:sz="4" w:space="0" w:color="auto"/>
            </w:tcBorders>
            <w:shd w:val="clear" w:color="auto" w:fill="auto"/>
          </w:tcPr>
          <w:p w14:paraId="014E43D1"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8</w:t>
            </w:r>
          </w:p>
        </w:tc>
        <w:tc>
          <w:tcPr>
            <w:tcW w:w="545" w:type="pct"/>
            <w:vMerge/>
            <w:tcBorders>
              <w:left w:val="single" w:sz="4" w:space="0" w:color="auto"/>
              <w:right w:val="single" w:sz="4" w:space="0" w:color="auto"/>
            </w:tcBorders>
            <w:shd w:val="clear" w:color="auto" w:fill="auto"/>
          </w:tcPr>
          <w:p w14:paraId="014E43D2" w14:textId="77777777" w:rsidR="000D306C" w:rsidRPr="00A90756" w:rsidRDefault="000D306C" w:rsidP="000D306C">
            <w:pPr>
              <w:rPr>
                <w:rFonts w:ascii="Garamond" w:hAnsi="Garamond"/>
                <w:sz w:val="16"/>
                <w:szCs w:val="16"/>
              </w:rPr>
            </w:pPr>
          </w:p>
        </w:tc>
      </w:tr>
      <w:tr w:rsidR="000D306C" w:rsidRPr="00A90756" w14:paraId="014E43E7" w14:textId="77777777" w:rsidTr="000D306C">
        <w:trPr>
          <w:trHeight w:val="20"/>
          <w:jc w:val="center"/>
        </w:trPr>
        <w:tc>
          <w:tcPr>
            <w:tcW w:w="545" w:type="pct"/>
            <w:vMerge/>
            <w:tcBorders>
              <w:left w:val="single" w:sz="4" w:space="0" w:color="auto"/>
            </w:tcBorders>
            <w:shd w:val="clear" w:color="auto" w:fill="auto"/>
          </w:tcPr>
          <w:p w14:paraId="014E43D4" w14:textId="77777777" w:rsidR="000D306C" w:rsidRPr="00A90756" w:rsidRDefault="000D306C" w:rsidP="000D306C">
            <w:pPr>
              <w:rPr>
                <w:rFonts w:ascii="Garamond" w:hAnsi="Garamond"/>
                <w:sz w:val="16"/>
                <w:szCs w:val="16"/>
              </w:rPr>
            </w:pPr>
          </w:p>
        </w:tc>
        <w:tc>
          <w:tcPr>
            <w:tcW w:w="585" w:type="pct"/>
            <w:vMerge w:val="restart"/>
            <w:tcBorders>
              <w:top w:val="single" w:sz="4" w:space="0" w:color="auto"/>
              <w:left w:val="single" w:sz="4" w:space="0" w:color="auto"/>
            </w:tcBorders>
            <w:shd w:val="clear" w:color="auto" w:fill="auto"/>
          </w:tcPr>
          <w:p w14:paraId="014E43D5" w14:textId="14959FE9"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2.1.2</w:t>
            </w:r>
          </w:p>
          <w:p w14:paraId="014E43D6" w14:textId="77777777" w:rsidR="000D306C" w:rsidRPr="00A90756" w:rsidRDefault="000D306C" w:rsidP="000D306C">
            <w:pPr>
              <w:pStyle w:val="Other10"/>
              <w:tabs>
                <w:tab w:val="left" w:pos="686"/>
              </w:tabs>
              <w:spacing w:after="0"/>
              <w:rPr>
                <w:rFonts w:ascii="Garamond" w:hAnsi="Garamond"/>
                <w:sz w:val="16"/>
                <w:szCs w:val="16"/>
              </w:rPr>
            </w:pPr>
            <w:r w:rsidRPr="00A90756">
              <w:rPr>
                <w:rStyle w:val="Other1"/>
                <w:rFonts w:ascii="Garamond" w:hAnsi="Garamond"/>
                <w:sz w:val="16"/>
                <w:szCs w:val="16"/>
              </w:rPr>
              <w:t>Forcimi i mbrojtjes së mjedisit përmes</w:t>
            </w:r>
          </w:p>
          <w:p w14:paraId="014E43D7" w14:textId="14F2E24C" w:rsidR="000D306C" w:rsidRPr="00A90756" w:rsidRDefault="00953638" w:rsidP="000D306C">
            <w:pPr>
              <w:pStyle w:val="Other10"/>
              <w:tabs>
                <w:tab w:val="left" w:pos="485"/>
              </w:tabs>
              <w:spacing w:after="0"/>
              <w:rPr>
                <w:rFonts w:ascii="Garamond" w:hAnsi="Garamond"/>
                <w:sz w:val="16"/>
                <w:szCs w:val="16"/>
              </w:rPr>
            </w:pPr>
            <w:r w:rsidRPr="00A90756">
              <w:rPr>
                <w:rStyle w:val="Other1"/>
                <w:rFonts w:ascii="Garamond" w:hAnsi="Garamond"/>
                <w:sz w:val="16"/>
                <w:szCs w:val="16"/>
              </w:rPr>
              <w:t>k</w:t>
            </w:r>
            <w:r w:rsidR="000D306C" w:rsidRPr="00A90756">
              <w:rPr>
                <w:rStyle w:val="Other1"/>
                <w:rFonts w:ascii="Garamond" w:hAnsi="Garamond"/>
                <w:sz w:val="16"/>
                <w:szCs w:val="16"/>
              </w:rPr>
              <w:t>ontrollit të ndotjes dhe forcimit të shërbimeve publike</w:t>
            </w:r>
          </w:p>
        </w:tc>
        <w:tc>
          <w:tcPr>
            <w:tcW w:w="1566" w:type="pct"/>
            <w:vMerge w:val="restart"/>
            <w:tcBorders>
              <w:top w:val="single" w:sz="4" w:space="0" w:color="auto"/>
              <w:left w:val="single" w:sz="4" w:space="0" w:color="auto"/>
            </w:tcBorders>
            <w:shd w:val="clear" w:color="auto" w:fill="auto"/>
            <w:vAlign w:val="bottom"/>
          </w:tcPr>
          <w:p w14:paraId="014E43D8" w14:textId="45D6EF65" w:rsidR="000D306C" w:rsidRPr="00A90756" w:rsidRDefault="000D306C" w:rsidP="000D306C">
            <w:pPr>
              <w:pStyle w:val="Other10"/>
              <w:numPr>
                <w:ilvl w:val="0"/>
                <w:numId w:val="19"/>
              </w:numPr>
              <w:tabs>
                <w:tab w:val="left" w:pos="158"/>
                <w:tab w:val="left" w:pos="926"/>
                <w:tab w:val="left" w:pos="1685"/>
              </w:tabs>
              <w:spacing w:after="0"/>
              <w:rPr>
                <w:rFonts w:ascii="Garamond" w:hAnsi="Garamond"/>
                <w:sz w:val="16"/>
                <w:szCs w:val="16"/>
              </w:rPr>
            </w:pPr>
            <w:r w:rsidRPr="00A90756">
              <w:rPr>
                <w:rStyle w:val="Other1"/>
                <w:rFonts w:ascii="Garamond" w:hAnsi="Garamond"/>
                <w:sz w:val="16"/>
                <w:szCs w:val="16"/>
              </w:rPr>
              <w:t xml:space="preserve">Ndarja e mësimeve dhe testimi pilot i zgjidhjeve praktike për marrjen e energjisë së rinovueshme dhe </w:t>
            </w:r>
            <w:r w:rsidR="00953638" w:rsidRPr="00A90756">
              <w:rPr>
                <w:rStyle w:val="Other1"/>
                <w:rFonts w:ascii="Garamond" w:hAnsi="Garamond"/>
                <w:sz w:val="16"/>
                <w:szCs w:val="16"/>
              </w:rPr>
              <w:t>e</w:t>
            </w:r>
            <w:r w:rsidRPr="00A90756">
              <w:rPr>
                <w:rStyle w:val="Other1"/>
                <w:rFonts w:ascii="Garamond" w:hAnsi="Garamond"/>
                <w:sz w:val="16"/>
                <w:szCs w:val="16"/>
              </w:rPr>
              <w:t>nergjisë efikasiteti në ndërmarrje, publike ndërtesat dhe familjet</w:t>
            </w:r>
            <w:r w:rsidR="00953638" w:rsidRPr="00A90756">
              <w:rPr>
                <w:rStyle w:val="Other1"/>
                <w:rFonts w:ascii="Garamond" w:hAnsi="Garamond"/>
                <w:sz w:val="16"/>
                <w:szCs w:val="16"/>
              </w:rPr>
              <w:t>;</w:t>
            </w:r>
          </w:p>
          <w:p w14:paraId="5DFAE780" w14:textId="77777777" w:rsidR="00953638" w:rsidRPr="00A90756" w:rsidRDefault="000D306C" w:rsidP="000D306C">
            <w:pPr>
              <w:pStyle w:val="Other10"/>
              <w:numPr>
                <w:ilvl w:val="0"/>
                <w:numId w:val="19"/>
              </w:numPr>
              <w:tabs>
                <w:tab w:val="left" w:pos="158"/>
                <w:tab w:val="left" w:pos="1128"/>
                <w:tab w:val="left" w:pos="2069"/>
              </w:tabs>
              <w:spacing w:after="0"/>
              <w:rPr>
                <w:rStyle w:val="Other1"/>
                <w:rFonts w:ascii="Garamond" w:hAnsi="Garamond"/>
                <w:sz w:val="16"/>
                <w:szCs w:val="16"/>
              </w:rPr>
            </w:pPr>
            <w:r w:rsidRPr="00A90756">
              <w:rPr>
                <w:rStyle w:val="Other1"/>
                <w:rFonts w:ascii="Garamond" w:hAnsi="Garamond"/>
                <w:sz w:val="16"/>
                <w:szCs w:val="16"/>
              </w:rPr>
              <w:t>Mbështetje për bujqësinë e qëndrueshme</w:t>
            </w:r>
          </w:p>
          <w:p w14:paraId="014E43D9" w14:textId="6E9840B7" w:rsidR="000D306C" w:rsidRPr="00A90756" w:rsidRDefault="000D306C" w:rsidP="000D306C">
            <w:pPr>
              <w:pStyle w:val="Other10"/>
              <w:numPr>
                <w:ilvl w:val="0"/>
                <w:numId w:val="19"/>
              </w:numPr>
              <w:tabs>
                <w:tab w:val="left" w:pos="158"/>
                <w:tab w:val="left" w:pos="1128"/>
                <w:tab w:val="left" w:pos="2069"/>
              </w:tabs>
              <w:spacing w:after="0"/>
              <w:rPr>
                <w:rFonts w:ascii="Garamond" w:hAnsi="Garamond"/>
                <w:sz w:val="16"/>
                <w:szCs w:val="16"/>
              </w:rPr>
            </w:pPr>
            <w:r w:rsidRPr="00601BD3">
              <w:rPr>
                <w:rStyle w:val="Other1"/>
                <w:rFonts w:ascii="Garamond" w:hAnsi="Garamond"/>
                <w:sz w:val="16"/>
                <w:szCs w:val="16"/>
              </w:rPr>
              <w:t xml:space="preserve">(duke u zhvendosur </w:t>
            </w:r>
            <w:r w:rsidR="00953638" w:rsidRPr="00601BD3">
              <w:rPr>
                <w:rStyle w:val="Other1"/>
                <w:rFonts w:ascii="Garamond" w:hAnsi="Garamond"/>
                <w:sz w:val="16"/>
                <w:szCs w:val="16"/>
              </w:rPr>
              <w:t>drejtuar t</w:t>
            </w:r>
            <w:r w:rsidRPr="00601BD3">
              <w:rPr>
                <w:rStyle w:val="Other1"/>
                <w:rFonts w:ascii="Garamond" w:hAnsi="Garamond"/>
                <w:sz w:val="16"/>
                <w:szCs w:val="16"/>
              </w:rPr>
              <w:t xml:space="preserve">ë qëndrueshme praktikat në Bujqësia në urdhëroj </w:t>
            </w:r>
            <w:r w:rsidR="00953638" w:rsidRPr="00601BD3">
              <w:rPr>
                <w:rStyle w:val="Other1"/>
                <w:rFonts w:ascii="Garamond" w:hAnsi="Garamond"/>
                <w:sz w:val="16"/>
                <w:szCs w:val="16"/>
              </w:rPr>
              <w:t xml:space="preserve">drejtuar </w:t>
            </w:r>
            <w:r w:rsidRPr="00601BD3">
              <w:rPr>
                <w:rStyle w:val="Other1"/>
                <w:rFonts w:ascii="Garamond" w:hAnsi="Garamond"/>
                <w:sz w:val="16"/>
                <w:szCs w:val="16"/>
              </w:rPr>
              <w:t>zvogëlojnë ndotjen, edhe nëpërmjet përshtatjes së potencialeve të prodhimit vendor me e jashtme</w:t>
            </w:r>
            <w:r w:rsidRPr="00A90756">
              <w:rPr>
                <w:rStyle w:val="Other1"/>
                <w:rFonts w:ascii="Garamond" w:hAnsi="Garamond"/>
                <w:sz w:val="16"/>
                <w:szCs w:val="16"/>
              </w:rPr>
              <w:t xml:space="preserve"> kërkesa, certifikimit të lokal bujqësore produkte, integrimin të</w:t>
            </w:r>
            <w:r w:rsidRPr="00A90756">
              <w:rPr>
                <w:rStyle w:val="Other1"/>
                <w:rFonts w:ascii="Garamond" w:hAnsi="Garamond"/>
                <w:sz w:val="16"/>
                <w:szCs w:val="16"/>
              </w:rPr>
              <w:tab/>
              <w:t>lokal</w:t>
            </w:r>
          </w:p>
          <w:p w14:paraId="014E43DA" w14:textId="77777777" w:rsidR="000D306C" w:rsidRPr="00A90756" w:rsidRDefault="000D306C" w:rsidP="000D306C">
            <w:pPr>
              <w:pStyle w:val="Other10"/>
              <w:tabs>
                <w:tab w:val="left" w:pos="701"/>
                <w:tab w:val="right" w:pos="2218"/>
              </w:tabs>
              <w:spacing w:after="0"/>
              <w:rPr>
                <w:rFonts w:ascii="Garamond" w:hAnsi="Garamond"/>
                <w:sz w:val="16"/>
                <w:szCs w:val="16"/>
              </w:rPr>
            </w:pPr>
            <w:r w:rsidRPr="00A90756">
              <w:rPr>
                <w:rStyle w:val="Other1"/>
                <w:rFonts w:ascii="Garamond" w:hAnsi="Garamond"/>
                <w:sz w:val="16"/>
                <w:szCs w:val="16"/>
              </w:rPr>
              <w:t>prodhuesit në zinxhirin kryesor të furnizimit me</w:t>
            </w:r>
            <w:r w:rsidRPr="00A90756">
              <w:rPr>
                <w:rStyle w:val="Other1"/>
                <w:rFonts w:ascii="Garamond" w:hAnsi="Garamond"/>
                <w:sz w:val="16"/>
                <w:szCs w:val="16"/>
              </w:rPr>
              <w:tab/>
              <w:t>të qëndrueshme</w:t>
            </w:r>
          </w:p>
          <w:p w14:paraId="014E43DB" w14:textId="35DD0696"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produkte bujqësore)</w:t>
            </w:r>
            <w:r w:rsidR="00953638" w:rsidRPr="00A90756">
              <w:rPr>
                <w:rStyle w:val="Other1"/>
                <w:rFonts w:ascii="Garamond" w:hAnsi="Garamond"/>
                <w:sz w:val="16"/>
                <w:szCs w:val="16"/>
              </w:rPr>
              <w:t>;</w:t>
            </w:r>
          </w:p>
          <w:p w14:paraId="014E43DC" w14:textId="7B528939" w:rsidR="000D306C" w:rsidRPr="00A90756" w:rsidRDefault="000D306C" w:rsidP="000D306C">
            <w:pPr>
              <w:pStyle w:val="Other10"/>
              <w:numPr>
                <w:ilvl w:val="0"/>
                <w:numId w:val="19"/>
              </w:numPr>
              <w:tabs>
                <w:tab w:val="left" w:pos="158"/>
              </w:tabs>
              <w:spacing w:after="0"/>
              <w:rPr>
                <w:rFonts w:ascii="Garamond" w:hAnsi="Garamond"/>
                <w:sz w:val="16"/>
                <w:szCs w:val="16"/>
              </w:rPr>
            </w:pPr>
            <w:r w:rsidRPr="00A90756">
              <w:rPr>
                <w:rStyle w:val="Other1"/>
                <w:rFonts w:ascii="Garamond" w:hAnsi="Garamond"/>
                <w:sz w:val="16"/>
                <w:szCs w:val="16"/>
              </w:rPr>
              <w:t>Veprimet për forcimin e shërbimeve publike përkatëse lidhur me mbrojtjen e mjedisit</w:t>
            </w:r>
            <w:r w:rsidR="00953638" w:rsidRPr="00A90756">
              <w:rPr>
                <w:rStyle w:val="Other1"/>
                <w:rFonts w:ascii="Garamond" w:hAnsi="Garamond"/>
                <w:sz w:val="16"/>
                <w:szCs w:val="16"/>
              </w:rPr>
              <w:t>;</w:t>
            </w:r>
          </w:p>
          <w:p w14:paraId="014E43DD" w14:textId="7BA68F7E" w:rsidR="000D306C" w:rsidRPr="00A90756" w:rsidRDefault="000D306C" w:rsidP="000D306C">
            <w:pPr>
              <w:pStyle w:val="Other10"/>
              <w:numPr>
                <w:ilvl w:val="0"/>
                <w:numId w:val="19"/>
              </w:numPr>
              <w:tabs>
                <w:tab w:val="left" w:pos="158"/>
                <w:tab w:val="left" w:pos="1061"/>
                <w:tab w:val="left" w:pos="1565"/>
              </w:tabs>
              <w:spacing w:after="0"/>
              <w:rPr>
                <w:rFonts w:ascii="Garamond" w:hAnsi="Garamond"/>
                <w:sz w:val="16"/>
                <w:szCs w:val="16"/>
              </w:rPr>
            </w:pPr>
            <w:r w:rsidRPr="00A90756">
              <w:rPr>
                <w:rStyle w:val="Other1"/>
                <w:rFonts w:ascii="Garamond" w:hAnsi="Garamond"/>
                <w:sz w:val="16"/>
                <w:szCs w:val="16"/>
              </w:rPr>
              <w:lastRenderedPageBreak/>
              <w:t>rrjetet arsimore ndërkufitare,</w:t>
            </w:r>
            <w:r w:rsidRPr="00A90756">
              <w:rPr>
                <w:rStyle w:val="Other1"/>
                <w:rFonts w:ascii="Garamond" w:hAnsi="Garamond"/>
                <w:sz w:val="16"/>
                <w:szCs w:val="16"/>
              </w:rPr>
              <w:tab/>
            </w:r>
            <w:r w:rsidR="00953638" w:rsidRPr="00A90756">
              <w:rPr>
                <w:rStyle w:val="Other1"/>
                <w:rFonts w:ascii="Garamond" w:hAnsi="Garamond"/>
                <w:sz w:val="16"/>
                <w:szCs w:val="16"/>
              </w:rPr>
              <w:t>p</w:t>
            </w:r>
            <w:r w:rsidRPr="00A90756">
              <w:rPr>
                <w:rStyle w:val="Other1"/>
                <w:rFonts w:ascii="Garamond" w:hAnsi="Garamond"/>
                <w:sz w:val="16"/>
                <w:szCs w:val="16"/>
              </w:rPr>
              <w:t>ër shembull ndër</w:t>
            </w:r>
            <w:r w:rsidRPr="00A90756">
              <w:rPr>
                <w:rStyle w:val="Other1"/>
                <w:rFonts w:ascii="Garamond" w:hAnsi="Garamond"/>
                <w:sz w:val="16"/>
                <w:szCs w:val="16"/>
              </w:rPr>
              <w:tab/>
              <w:t xml:space="preserve">universitetet, qendrat kërkimore dhe OJQ-të në fushën e kërkimit dhe edukimit </w:t>
            </w:r>
            <w:r w:rsidR="00953638" w:rsidRPr="00A90756">
              <w:rPr>
                <w:rStyle w:val="Other1"/>
                <w:rFonts w:ascii="Garamond" w:hAnsi="Garamond"/>
                <w:sz w:val="16"/>
                <w:szCs w:val="16"/>
              </w:rPr>
              <w:t>s</w:t>
            </w:r>
            <w:r w:rsidRPr="00A90756">
              <w:rPr>
                <w:rStyle w:val="Other1"/>
                <w:rFonts w:ascii="Garamond" w:hAnsi="Garamond"/>
                <w:sz w:val="16"/>
                <w:szCs w:val="16"/>
              </w:rPr>
              <w:t>hkëmbimi i përvojës në mjedisore</w:t>
            </w:r>
            <w:r w:rsidR="00953638" w:rsidRPr="00A90756">
              <w:rPr>
                <w:rStyle w:val="Other1"/>
                <w:rFonts w:ascii="Garamond" w:hAnsi="Garamond"/>
                <w:sz w:val="16"/>
                <w:szCs w:val="16"/>
              </w:rPr>
              <w:t xml:space="preserve"> </w:t>
            </w:r>
            <w:r w:rsidRPr="00A90756">
              <w:rPr>
                <w:rStyle w:val="Other1"/>
                <w:rFonts w:ascii="Garamond" w:hAnsi="Garamond"/>
                <w:sz w:val="16"/>
                <w:szCs w:val="16"/>
              </w:rPr>
              <w:t>tema, mësimi nga bashkëmoshatarët, arsimi joformal</w:t>
            </w:r>
            <w:r w:rsidRPr="00A90756">
              <w:rPr>
                <w:rStyle w:val="Other1"/>
                <w:rFonts w:ascii="Garamond" w:hAnsi="Garamond"/>
                <w:sz w:val="16"/>
                <w:szCs w:val="16"/>
              </w:rPr>
              <w:tab/>
              <w:t>aktivitetet, aksione vullnetare me fokus të rinjtë etj.</w:t>
            </w:r>
          </w:p>
          <w:p w14:paraId="014E43DE" w14:textId="0C640ACC" w:rsidR="000D306C" w:rsidRPr="00A90756" w:rsidRDefault="000D306C" w:rsidP="000D306C">
            <w:pPr>
              <w:pStyle w:val="Other10"/>
              <w:numPr>
                <w:ilvl w:val="0"/>
                <w:numId w:val="19"/>
              </w:numPr>
              <w:tabs>
                <w:tab w:val="left" w:pos="158"/>
                <w:tab w:val="right" w:pos="2218"/>
              </w:tabs>
              <w:spacing w:after="0"/>
              <w:rPr>
                <w:rFonts w:ascii="Garamond" w:hAnsi="Garamond"/>
                <w:sz w:val="16"/>
                <w:szCs w:val="16"/>
              </w:rPr>
            </w:pPr>
            <w:r w:rsidRPr="00A90756">
              <w:rPr>
                <w:rStyle w:val="Other1"/>
                <w:rFonts w:ascii="Garamond" w:hAnsi="Garamond"/>
                <w:sz w:val="16"/>
                <w:szCs w:val="16"/>
              </w:rPr>
              <w:t>Iniciativat e sipërmarrjes sociale</w:t>
            </w:r>
            <w:r w:rsidR="00953638" w:rsidRPr="00A90756">
              <w:rPr>
                <w:rStyle w:val="Other1"/>
                <w:rFonts w:ascii="Garamond" w:hAnsi="Garamond"/>
                <w:sz w:val="16"/>
                <w:szCs w:val="16"/>
              </w:rPr>
              <w:t xml:space="preserve"> </w:t>
            </w:r>
            <w:r w:rsidRPr="00A90756">
              <w:rPr>
                <w:rStyle w:val="Other1"/>
                <w:rFonts w:ascii="Garamond" w:hAnsi="Garamond"/>
                <w:sz w:val="16"/>
                <w:szCs w:val="16"/>
              </w:rPr>
              <w:t>mbështetëse mjedisore</w:t>
            </w:r>
            <w:r w:rsidRPr="00A90756">
              <w:rPr>
                <w:rStyle w:val="Other1"/>
                <w:rFonts w:ascii="Garamond" w:hAnsi="Garamond"/>
                <w:sz w:val="16"/>
                <w:szCs w:val="16"/>
              </w:rPr>
              <w:tab/>
              <w:t>mbrojtjes</w:t>
            </w:r>
          </w:p>
          <w:p w14:paraId="014E43DF" w14:textId="54EF647D"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(produkte të ricikluara etj.)</w:t>
            </w:r>
          </w:p>
        </w:tc>
        <w:tc>
          <w:tcPr>
            <w:tcW w:w="989" w:type="pct"/>
            <w:tcBorders>
              <w:top w:val="single" w:sz="4" w:space="0" w:color="auto"/>
              <w:left w:val="single" w:sz="4" w:space="0" w:color="auto"/>
            </w:tcBorders>
            <w:shd w:val="clear" w:color="auto" w:fill="auto"/>
          </w:tcPr>
          <w:p w14:paraId="014E43E0"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lastRenderedPageBreak/>
              <w:t>Rezultatet</w:t>
            </w:r>
          </w:p>
          <w:p w14:paraId="014E43E1" w14:textId="1F0DF85F"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shërbimeve publike me kapacitete të rritura</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vAlign w:val="center"/>
          </w:tcPr>
          <w:p w14:paraId="014E43E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351" w:type="pct"/>
            <w:tcBorders>
              <w:top w:val="single" w:sz="4" w:space="0" w:color="auto"/>
              <w:left w:val="single" w:sz="4" w:space="0" w:color="auto"/>
            </w:tcBorders>
            <w:shd w:val="clear" w:color="auto" w:fill="auto"/>
            <w:vAlign w:val="center"/>
          </w:tcPr>
          <w:p w14:paraId="014E43E3"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4</w:t>
            </w:r>
          </w:p>
        </w:tc>
        <w:tc>
          <w:tcPr>
            <w:tcW w:w="545" w:type="pct"/>
            <w:vMerge w:val="restart"/>
            <w:tcBorders>
              <w:top w:val="single" w:sz="4" w:space="0" w:color="auto"/>
              <w:left w:val="single" w:sz="4" w:space="0" w:color="auto"/>
              <w:right w:val="single" w:sz="4" w:space="0" w:color="auto"/>
            </w:tcBorders>
            <w:shd w:val="clear" w:color="auto" w:fill="auto"/>
          </w:tcPr>
          <w:p w14:paraId="014E43E4" w14:textId="03E67B81"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Raporte nga përfituesit</w:t>
            </w:r>
            <w:r w:rsidR="00953638" w:rsidRPr="00A90756">
              <w:rPr>
                <w:rStyle w:val="Other1"/>
                <w:rFonts w:ascii="Garamond" w:hAnsi="Garamond"/>
                <w:sz w:val="16"/>
                <w:szCs w:val="16"/>
              </w:rPr>
              <w:t>;</w:t>
            </w:r>
          </w:p>
          <w:p w14:paraId="014E43E5" w14:textId="36F41C49"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w:t>
            </w:r>
            <w:r w:rsidR="00953638" w:rsidRPr="00A90756">
              <w:rPr>
                <w:rFonts w:ascii="Garamond" w:hAnsi="Garamond"/>
                <w:sz w:val="16"/>
                <w:szCs w:val="16"/>
              </w:rPr>
              <w:t xml:space="preserve"> </w:t>
            </w:r>
            <w:r w:rsidRPr="00A90756">
              <w:rPr>
                <w:rFonts w:ascii="Garamond" w:hAnsi="Garamond"/>
                <w:sz w:val="16"/>
                <w:szCs w:val="16"/>
              </w:rPr>
              <w:t>Raporti Vjetor i Zbatimit (AIR)</w:t>
            </w:r>
            <w:r w:rsidR="00953638" w:rsidRPr="00A90756">
              <w:rPr>
                <w:rFonts w:ascii="Garamond" w:hAnsi="Garamond"/>
                <w:sz w:val="16"/>
                <w:szCs w:val="16"/>
              </w:rPr>
              <w:t>;</w:t>
            </w:r>
          </w:p>
          <w:p w14:paraId="014E43E6" w14:textId="3998C10E"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w:t>
            </w:r>
            <w:r w:rsidR="00953638" w:rsidRPr="00A90756">
              <w:rPr>
                <w:rStyle w:val="Other1"/>
                <w:rFonts w:ascii="Garamond" w:hAnsi="Garamond"/>
                <w:sz w:val="16"/>
                <w:szCs w:val="16"/>
              </w:rPr>
              <w:t xml:space="preserve"> </w:t>
            </w:r>
            <w:r w:rsidRPr="00A90756">
              <w:rPr>
                <w:rStyle w:val="Other1"/>
                <w:rFonts w:ascii="Garamond" w:hAnsi="Garamond"/>
                <w:sz w:val="16"/>
                <w:szCs w:val="16"/>
              </w:rPr>
              <w:t>Sistemi i monitorimit</w:t>
            </w:r>
            <w:r w:rsidR="00953638" w:rsidRPr="00A90756">
              <w:rPr>
                <w:rStyle w:val="Other1"/>
                <w:rFonts w:ascii="Garamond" w:hAnsi="Garamond"/>
                <w:sz w:val="16"/>
                <w:szCs w:val="16"/>
              </w:rPr>
              <w:t>.</w:t>
            </w:r>
          </w:p>
        </w:tc>
      </w:tr>
      <w:tr w:rsidR="000D306C" w:rsidRPr="00A90756" w14:paraId="014E43EF" w14:textId="77777777" w:rsidTr="000D306C">
        <w:trPr>
          <w:trHeight w:val="20"/>
          <w:jc w:val="center"/>
        </w:trPr>
        <w:tc>
          <w:tcPr>
            <w:tcW w:w="545" w:type="pct"/>
            <w:vMerge/>
            <w:tcBorders>
              <w:left w:val="single" w:sz="4" w:space="0" w:color="auto"/>
            </w:tcBorders>
            <w:shd w:val="clear" w:color="auto" w:fill="auto"/>
          </w:tcPr>
          <w:p w14:paraId="014E43E8"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3E9"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3EA" w14:textId="77777777" w:rsidR="000D306C" w:rsidRPr="00A90756" w:rsidRDefault="000D306C" w:rsidP="000D306C">
            <w:pPr>
              <w:rPr>
                <w:rFonts w:ascii="Garamond" w:hAnsi="Garamond"/>
                <w:sz w:val="16"/>
                <w:szCs w:val="16"/>
              </w:rPr>
            </w:pPr>
          </w:p>
        </w:tc>
        <w:tc>
          <w:tcPr>
            <w:tcW w:w="989" w:type="pct"/>
            <w:tcBorders>
              <w:top w:val="single" w:sz="4" w:space="0" w:color="auto"/>
              <w:left w:val="single" w:sz="4" w:space="0" w:color="auto"/>
            </w:tcBorders>
            <w:shd w:val="clear" w:color="auto" w:fill="auto"/>
            <w:vAlign w:val="center"/>
          </w:tcPr>
          <w:p w14:paraId="014E43EB" w14:textId="5526020C"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xml:space="preserve">- Përqindja e popullsisë së zonës së </w:t>
            </w:r>
            <w:r w:rsidR="00953638" w:rsidRPr="00A90756">
              <w:rPr>
                <w:rStyle w:val="Other1"/>
                <w:rFonts w:ascii="Garamond" w:hAnsi="Garamond"/>
                <w:sz w:val="16"/>
                <w:szCs w:val="16"/>
              </w:rPr>
              <w:t>p</w:t>
            </w:r>
            <w:r w:rsidRPr="00A90756">
              <w:rPr>
                <w:rStyle w:val="Other1"/>
                <w:rFonts w:ascii="Garamond" w:hAnsi="Garamond"/>
                <w:sz w:val="16"/>
                <w:szCs w:val="16"/>
              </w:rPr>
              <w:t>rogramit e arritur nga fushatat ndërgjegjësuese</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tcPr>
          <w:p w14:paraId="014E43E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Nuk ka të dhëna</w:t>
            </w:r>
          </w:p>
        </w:tc>
        <w:tc>
          <w:tcPr>
            <w:tcW w:w="351" w:type="pct"/>
            <w:tcBorders>
              <w:top w:val="single" w:sz="4" w:space="0" w:color="auto"/>
              <w:left w:val="single" w:sz="4" w:space="0" w:color="auto"/>
            </w:tcBorders>
            <w:shd w:val="clear" w:color="auto" w:fill="auto"/>
          </w:tcPr>
          <w:p w14:paraId="014E43ED"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30%</w:t>
            </w:r>
          </w:p>
        </w:tc>
        <w:tc>
          <w:tcPr>
            <w:tcW w:w="545" w:type="pct"/>
            <w:vMerge/>
            <w:tcBorders>
              <w:left w:val="single" w:sz="4" w:space="0" w:color="auto"/>
              <w:right w:val="single" w:sz="4" w:space="0" w:color="auto"/>
            </w:tcBorders>
            <w:shd w:val="clear" w:color="auto" w:fill="auto"/>
          </w:tcPr>
          <w:p w14:paraId="014E43EE" w14:textId="77777777" w:rsidR="000D306C" w:rsidRPr="00A90756" w:rsidRDefault="000D306C" w:rsidP="000D306C">
            <w:pPr>
              <w:rPr>
                <w:rFonts w:ascii="Garamond" w:hAnsi="Garamond"/>
                <w:sz w:val="16"/>
                <w:szCs w:val="16"/>
              </w:rPr>
            </w:pPr>
          </w:p>
        </w:tc>
      </w:tr>
      <w:tr w:rsidR="000D306C" w:rsidRPr="00A90756" w14:paraId="014E43F8" w14:textId="77777777" w:rsidTr="000D306C">
        <w:trPr>
          <w:trHeight w:val="20"/>
          <w:jc w:val="center"/>
        </w:trPr>
        <w:tc>
          <w:tcPr>
            <w:tcW w:w="545" w:type="pct"/>
            <w:vMerge/>
            <w:tcBorders>
              <w:left w:val="single" w:sz="4" w:space="0" w:color="auto"/>
            </w:tcBorders>
            <w:shd w:val="clear" w:color="auto" w:fill="auto"/>
          </w:tcPr>
          <w:p w14:paraId="014E43F0"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3F1"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3F2" w14:textId="77777777" w:rsidR="000D306C" w:rsidRPr="00A90756" w:rsidRDefault="000D306C" w:rsidP="000D306C">
            <w:pPr>
              <w:rPr>
                <w:rFonts w:ascii="Garamond" w:hAnsi="Garamond"/>
                <w:sz w:val="16"/>
                <w:szCs w:val="16"/>
              </w:rPr>
            </w:pPr>
          </w:p>
        </w:tc>
        <w:tc>
          <w:tcPr>
            <w:tcW w:w="989" w:type="pct"/>
            <w:tcBorders>
              <w:top w:val="single" w:sz="4" w:space="0" w:color="auto"/>
              <w:left w:val="single" w:sz="4" w:space="0" w:color="auto"/>
            </w:tcBorders>
            <w:shd w:val="clear" w:color="auto" w:fill="auto"/>
            <w:vAlign w:val="bottom"/>
          </w:tcPr>
          <w:p w14:paraId="014E43F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t>Rezultatet</w:t>
            </w:r>
          </w:p>
          <w:p w14:paraId="014E43F4" w14:textId="74FEDAEB"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testeve pilot për marrjen e energjisë së rinovueshme dhe EE</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vAlign w:val="center"/>
          </w:tcPr>
          <w:p w14:paraId="014E43F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1" w:type="pct"/>
            <w:tcBorders>
              <w:top w:val="single" w:sz="4" w:space="0" w:color="auto"/>
              <w:left w:val="single" w:sz="4" w:space="0" w:color="auto"/>
            </w:tcBorders>
            <w:shd w:val="clear" w:color="auto" w:fill="auto"/>
            <w:vAlign w:val="center"/>
          </w:tcPr>
          <w:p w14:paraId="014E43F6"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2</w:t>
            </w:r>
          </w:p>
        </w:tc>
        <w:tc>
          <w:tcPr>
            <w:tcW w:w="545" w:type="pct"/>
            <w:vMerge/>
            <w:tcBorders>
              <w:left w:val="single" w:sz="4" w:space="0" w:color="auto"/>
              <w:right w:val="single" w:sz="4" w:space="0" w:color="auto"/>
            </w:tcBorders>
            <w:shd w:val="clear" w:color="auto" w:fill="auto"/>
          </w:tcPr>
          <w:p w14:paraId="014E43F7" w14:textId="77777777" w:rsidR="000D306C" w:rsidRPr="00A90756" w:rsidRDefault="000D306C" w:rsidP="000D306C">
            <w:pPr>
              <w:rPr>
                <w:rFonts w:ascii="Garamond" w:hAnsi="Garamond"/>
                <w:sz w:val="16"/>
                <w:szCs w:val="16"/>
              </w:rPr>
            </w:pPr>
          </w:p>
        </w:tc>
      </w:tr>
      <w:tr w:rsidR="000D306C" w:rsidRPr="00A90756" w14:paraId="014E4400" w14:textId="77777777" w:rsidTr="000D306C">
        <w:trPr>
          <w:trHeight w:val="20"/>
          <w:jc w:val="center"/>
        </w:trPr>
        <w:tc>
          <w:tcPr>
            <w:tcW w:w="545" w:type="pct"/>
            <w:vMerge/>
            <w:tcBorders>
              <w:left w:val="single" w:sz="4" w:space="0" w:color="auto"/>
            </w:tcBorders>
            <w:shd w:val="clear" w:color="auto" w:fill="auto"/>
          </w:tcPr>
          <w:p w14:paraId="014E43F9"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3FA"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3FB" w14:textId="77777777" w:rsidR="000D306C" w:rsidRPr="00A90756" w:rsidRDefault="000D306C" w:rsidP="000D306C">
            <w:pPr>
              <w:rPr>
                <w:rFonts w:ascii="Garamond" w:hAnsi="Garamond"/>
                <w:sz w:val="16"/>
                <w:szCs w:val="16"/>
              </w:rPr>
            </w:pPr>
          </w:p>
        </w:tc>
        <w:tc>
          <w:tcPr>
            <w:tcW w:w="989" w:type="pct"/>
            <w:tcBorders>
              <w:top w:val="single" w:sz="4" w:space="0" w:color="auto"/>
              <w:left w:val="single" w:sz="4" w:space="0" w:color="auto"/>
            </w:tcBorders>
            <w:shd w:val="clear" w:color="auto" w:fill="auto"/>
            <w:vAlign w:val="bottom"/>
          </w:tcPr>
          <w:p w14:paraId="014E43FC" w14:textId="70216D04"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produkteve bujqësore të prodhuara në përputhje me bujqësinë e qëndrueshme</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vAlign w:val="center"/>
          </w:tcPr>
          <w:p w14:paraId="014E43F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1" w:type="pct"/>
            <w:tcBorders>
              <w:top w:val="single" w:sz="4" w:space="0" w:color="auto"/>
              <w:left w:val="single" w:sz="4" w:space="0" w:color="auto"/>
            </w:tcBorders>
            <w:shd w:val="clear" w:color="auto" w:fill="auto"/>
            <w:vAlign w:val="center"/>
          </w:tcPr>
          <w:p w14:paraId="014E43FE"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2</w:t>
            </w:r>
          </w:p>
        </w:tc>
        <w:tc>
          <w:tcPr>
            <w:tcW w:w="545" w:type="pct"/>
            <w:vMerge/>
            <w:tcBorders>
              <w:left w:val="single" w:sz="4" w:space="0" w:color="auto"/>
              <w:right w:val="single" w:sz="4" w:space="0" w:color="auto"/>
            </w:tcBorders>
            <w:shd w:val="clear" w:color="auto" w:fill="auto"/>
          </w:tcPr>
          <w:p w14:paraId="014E43FF" w14:textId="77777777" w:rsidR="000D306C" w:rsidRPr="00A90756" w:rsidRDefault="000D306C" w:rsidP="000D306C">
            <w:pPr>
              <w:rPr>
                <w:rFonts w:ascii="Garamond" w:hAnsi="Garamond"/>
                <w:sz w:val="16"/>
                <w:szCs w:val="16"/>
              </w:rPr>
            </w:pPr>
          </w:p>
        </w:tc>
      </w:tr>
      <w:tr w:rsidR="000D306C" w:rsidRPr="00A90756" w14:paraId="014E4408" w14:textId="77777777" w:rsidTr="000D306C">
        <w:trPr>
          <w:trHeight w:val="20"/>
          <w:jc w:val="center"/>
        </w:trPr>
        <w:tc>
          <w:tcPr>
            <w:tcW w:w="545" w:type="pct"/>
            <w:vMerge/>
            <w:tcBorders>
              <w:left w:val="single" w:sz="4" w:space="0" w:color="auto"/>
            </w:tcBorders>
            <w:shd w:val="clear" w:color="auto" w:fill="auto"/>
          </w:tcPr>
          <w:p w14:paraId="014E4401"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402"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403" w14:textId="77777777" w:rsidR="000D306C" w:rsidRPr="00A90756" w:rsidRDefault="000D306C" w:rsidP="000D306C">
            <w:pPr>
              <w:rPr>
                <w:rFonts w:ascii="Garamond" w:hAnsi="Garamond"/>
                <w:sz w:val="16"/>
                <w:szCs w:val="16"/>
              </w:rPr>
            </w:pPr>
          </w:p>
        </w:tc>
        <w:tc>
          <w:tcPr>
            <w:tcW w:w="989" w:type="pct"/>
            <w:tcBorders>
              <w:top w:val="single" w:sz="4" w:space="0" w:color="auto"/>
              <w:left w:val="single" w:sz="4" w:space="0" w:color="auto"/>
            </w:tcBorders>
            <w:shd w:val="clear" w:color="auto" w:fill="auto"/>
            <w:vAlign w:val="bottom"/>
          </w:tcPr>
          <w:p w14:paraId="014E4404" w14:textId="4D603833" w:rsidR="000D306C" w:rsidRPr="00A90756" w:rsidRDefault="000D306C" w:rsidP="000D306C">
            <w:pPr>
              <w:pStyle w:val="Other10"/>
              <w:tabs>
                <w:tab w:val="left" w:pos="1094"/>
                <w:tab w:val="right" w:pos="2357"/>
              </w:tabs>
              <w:spacing w:after="0"/>
              <w:rPr>
                <w:rFonts w:ascii="Garamond" w:hAnsi="Garamond"/>
                <w:sz w:val="16"/>
                <w:szCs w:val="16"/>
              </w:rPr>
            </w:pPr>
            <w:r w:rsidRPr="00A90756">
              <w:rPr>
                <w:rStyle w:val="Other1"/>
                <w:rFonts w:ascii="Garamond" w:hAnsi="Garamond"/>
                <w:sz w:val="16"/>
                <w:szCs w:val="16"/>
              </w:rPr>
              <w:t xml:space="preserve">- Numri i të rinjve me kapacitete të rritura në çështjet mjedisore (të ndara </w:t>
            </w:r>
            <w:r w:rsidRPr="00A90756">
              <w:rPr>
                <w:rStyle w:val="Other1"/>
                <w:rFonts w:ascii="Garamond" w:hAnsi="Garamond"/>
                <w:sz w:val="16"/>
                <w:szCs w:val="16"/>
              </w:rPr>
              <w:lastRenderedPageBreak/>
              <w:t>sipas gjinisë)</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vAlign w:val="center"/>
          </w:tcPr>
          <w:p w14:paraId="014E440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lastRenderedPageBreak/>
              <w:t>0</w:t>
            </w:r>
          </w:p>
        </w:tc>
        <w:tc>
          <w:tcPr>
            <w:tcW w:w="351" w:type="pct"/>
            <w:tcBorders>
              <w:top w:val="single" w:sz="4" w:space="0" w:color="auto"/>
              <w:left w:val="single" w:sz="4" w:space="0" w:color="auto"/>
            </w:tcBorders>
            <w:shd w:val="clear" w:color="auto" w:fill="auto"/>
            <w:vAlign w:val="center"/>
          </w:tcPr>
          <w:p w14:paraId="014E440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600</w:t>
            </w:r>
          </w:p>
        </w:tc>
        <w:tc>
          <w:tcPr>
            <w:tcW w:w="545" w:type="pct"/>
            <w:vMerge/>
            <w:tcBorders>
              <w:left w:val="single" w:sz="4" w:space="0" w:color="auto"/>
              <w:right w:val="single" w:sz="4" w:space="0" w:color="auto"/>
            </w:tcBorders>
            <w:shd w:val="clear" w:color="auto" w:fill="auto"/>
          </w:tcPr>
          <w:p w14:paraId="014E4407" w14:textId="77777777" w:rsidR="000D306C" w:rsidRPr="00A90756" w:rsidRDefault="000D306C" w:rsidP="000D306C">
            <w:pPr>
              <w:rPr>
                <w:rFonts w:ascii="Garamond" w:hAnsi="Garamond"/>
                <w:sz w:val="16"/>
                <w:szCs w:val="16"/>
              </w:rPr>
            </w:pPr>
          </w:p>
        </w:tc>
      </w:tr>
      <w:tr w:rsidR="000D306C" w:rsidRPr="00A90756" w14:paraId="014E4410" w14:textId="77777777" w:rsidTr="000D306C">
        <w:trPr>
          <w:trHeight w:val="20"/>
          <w:jc w:val="center"/>
        </w:trPr>
        <w:tc>
          <w:tcPr>
            <w:tcW w:w="545" w:type="pct"/>
            <w:vMerge/>
            <w:tcBorders>
              <w:left w:val="single" w:sz="4" w:space="0" w:color="auto"/>
            </w:tcBorders>
            <w:shd w:val="clear" w:color="auto" w:fill="auto"/>
          </w:tcPr>
          <w:p w14:paraId="014E4409"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40A"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40B" w14:textId="77777777" w:rsidR="000D306C" w:rsidRPr="00A90756" w:rsidRDefault="000D306C" w:rsidP="000D306C">
            <w:pPr>
              <w:rPr>
                <w:rFonts w:ascii="Garamond" w:hAnsi="Garamond"/>
                <w:sz w:val="16"/>
                <w:szCs w:val="16"/>
              </w:rPr>
            </w:pPr>
          </w:p>
        </w:tc>
        <w:tc>
          <w:tcPr>
            <w:tcW w:w="989" w:type="pct"/>
            <w:tcBorders>
              <w:top w:val="single" w:sz="4" w:space="0" w:color="auto"/>
              <w:left w:val="single" w:sz="4" w:space="0" w:color="auto"/>
            </w:tcBorders>
            <w:shd w:val="clear" w:color="auto" w:fill="auto"/>
            <w:vAlign w:val="bottom"/>
          </w:tcPr>
          <w:p w14:paraId="014E440C" w14:textId="7F58DF34"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fushatave ndërgjegjësuese të realizuara</w:t>
            </w:r>
            <w:r w:rsidR="00953638" w:rsidRPr="00A90756">
              <w:rPr>
                <w:rStyle w:val="Other1"/>
                <w:rFonts w:ascii="Garamond" w:hAnsi="Garamond"/>
                <w:sz w:val="16"/>
                <w:szCs w:val="16"/>
              </w:rPr>
              <w:t>;</w:t>
            </w:r>
            <w:r w:rsidRPr="00A90756">
              <w:rPr>
                <w:rStyle w:val="Other1"/>
                <w:rFonts w:ascii="Garamond" w:hAnsi="Garamond"/>
                <w:sz w:val="16"/>
                <w:szCs w:val="16"/>
              </w:rPr>
              <w:t xml:space="preserve"> </w:t>
            </w:r>
          </w:p>
        </w:tc>
        <w:tc>
          <w:tcPr>
            <w:tcW w:w="421" w:type="pct"/>
            <w:tcBorders>
              <w:top w:val="single" w:sz="4" w:space="0" w:color="auto"/>
              <w:left w:val="single" w:sz="4" w:space="0" w:color="auto"/>
            </w:tcBorders>
            <w:shd w:val="clear" w:color="auto" w:fill="auto"/>
          </w:tcPr>
          <w:p w14:paraId="014E440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351" w:type="pct"/>
            <w:tcBorders>
              <w:top w:val="single" w:sz="4" w:space="0" w:color="auto"/>
              <w:left w:val="single" w:sz="4" w:space="0" w:color="auto"/>
            </w:tcBorders>
            <w:shd w:val="clear" w:color="auto" w:fill="auto"/>
          </w:tcPr>
          <w:p w14:paraId="014E440E"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545" w:type="pct"/>
            <w:vMerge/>
            <w:tcBorders>
              <w:left w:val="single" w:sz="4" w:space="0" w:color="auto"/>
              <w:right w:val="single" w:sz="4" w:space="0" w:color="auto"/>
            </w:tcBorders>
            <w:shd w:val="clear" w:color="auto" w:fill="auto"/>
          </w:tcPr>
          <w:p w14:paraId="014E440F" w14:textId="77777777" w:rsidR="000D306C" w:rsidRPr="00A90756" w:rsidRDefault="000D306C" w:rsidP="000D306C">
            <w:pPr>
              <w:rPr>
                <w:rFonts w:ascii="Garamond" w:hAnsi="Garamond"/>
                <w:sz w:val="16"/>
                <w:szCs w:val="16"/>
              </w:rPr>
            </w:pPr>
          </w:p>
        </w:tc>
      </w:tr>
      <w:tr w:rsidR="000D306C" w:rsidRPr="00A90756" w14:paraId="014E4418" w14:textId="77777777" w:rsidTr="000D306C">
        <w:trPr>
          <w:trHeight w:val="20"/>
          <w:jc w:val="center"/>
        </w:trPr>
        <w:tc>
          <w:tcPr>
            <w:tcW w:w="545" w:type="pct"/>
            <w:vMerge/>
            <w:tcBorders>
              <w:left w:val="single" w:sz="4" w:space="0" w:color="auto"/>
            </w:tcBorders>
            <w:shd w:val="clear" w:color="auto" w:fill="auto"/>
          </w:tcPr>
          <w:p w14:paraId="014E4411"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412"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413" w14:textId="77777777" w:rsidR="000D306C" w:rsidRPr="00A90756" w:rsidRDefault="000D306C" w:rsidP="000D306C">
            <w:pPr>
              <w:rPr>
                <w:rFonts w:ascii="Garamond" w:hAnsi="Garamond"/>
                <w:sz w:val="16"/>
                <w:szCs w:val="16"/>
              </w:rPr>
            </w:pPr>
          </w:p>
        </w:tc>
        <w:tc>
          <w:tcPr>
            <w:tcW w:w="989" w:type="pct"/>
            <w:tcBorders>
              <w:top w:val="single" w:sz="4" w:space="0" w:color="auto"/>
              <w:left w:val="single" w:sz="4" w:space="0" w:color="auto"/>
            </w:tcBorders>
            <w:shd w:val="clear" w:color="auto" w:fill="auto"/>
            <w:vAlign w:val="bottom"/>
          </w:tcPr>
          <w:p w14:paraId="014E4414" w14:textId="036F11C8" w:rsidR="000D306C" w:rsidRPr="00A90756" w:rsidRDefault="000D306C" w:rsidP="000D306C">
            <w:pPr>
              <w:pStyle w:val="Other10"/>
              <w:tabs>
                <w:tab w:val="left" w:pos="307"/>
                <w:tab w:val="left" w:pos="754"/>
                <w:tab w:val="left" w:pos="1133"/>
                <w:tab w:val="left" w:pos="1738"/>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Nr</w:t>
            </w:r>
            <w:r w:rsidR="00953638" w:rsidRPr="00A90756">
              <w:rPr>
                <w:rStyle w:val="Other1"/>
                <w:rFonts w:ascii="Garamond" w:hAnsi="Garamond"/>
                <w:sz w:val="16"/>
                <w:szCs w:val="16"/>
              </w:rPr>
              <w:t>.</w:t>
            </w:r>
            <w:r w:rsidRPr="00A90756">
              <w:rPr>
                <w:rStyle w:val="Other1"/>
                <w:rFonts w:ascii="Garamond" w:hAnsi="Garamond"/>
                <w:sz w:val="16"/>
                <w:szCs w:val="16"/>
              </w:rPr>
              <w:t xml:space="preserve"> i programeve/kurrikulave të përbashkëta të trajnimeve që janë zhvilluar</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tcPr>
          <w:p w14:paraId="014E441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1" w:type="pct"/>
            <w:tcBorders>
              <w:top w:val="single" w:sz="4" w:space="0" w:color="auto"/>
              <w:left w:val="single" w:sz="4" w:space="0" w:color="auto"/>
            </w:tcBorders>
            <w:shd w:val="clear" w:color="auto" w:fill="auto"/>
          </w:tcPr>
          <w:p w14:paraId="014E441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w:t>
            </w:r>
          </w:p>
        </w:tc>
        <w:tc>
          <w:tcPr>
            <w:tcW w:w="545" w:type="pct"/>
            <w:vMerge/>
            <w:tcBorders>
              <w:left w:val="single" w:sz="4" w:space="0" w:color="auto"/>
              <w:right w:val="single" w:sz="4" w:space="0" w:color="auto"/>
            </w:tcBorders>
            <w:shd w:val="clear" w:color="auto" w:fill="auto"/>
          </w:tcPr>
          <w:p w14:paraId="014E4417" w14:textId="77777777" w:rsidR="000D306C" w:rsidRPr="00A90756" w:rsidRDefault="000D306C" w:rsidP="000D306C">
            <w:pPr>
              <w:rPr>
                <w:rFonts w:ascii="Garamond" w:hAnsi="Garamond"/>
                <w:sz w:val="16"/>
                <w:szCs w:val="16"/>
              </w:rPr>
            </w:pPr>
          </w:p>
        </w:tc>
      </w:tr>
      <w:tr w:rsidR="000D306C" w:rsidRPr="00A90756" w14:paraId="014E4420" w14:textId="77777777" w:rsidTr="000D306C">
        <w:trPr>
          <w:trHeight w:val="20"/>
          <w:jc w:val="center"/>
        </w:trPr>
        <w:tc>
          <w:tcPr>
            <w:tcW w:w="545" w:type="pct"/>
            <w:vMerge/>
            <w:tcBorders>
              <w:left w:val="single" w:sz="4" w:space="0" w:color="auto"/>
            </w:tcBorders>
            <w:shd w:val="clear" w:color="auto" w:fill="auto"/>
          </w:tcPr>
          <w:p w14:paraId="014E4419"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41A"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41B" w14:textId="77777777" w:rsidR="000D306C" w:rsidRPr="00A90756" w:rsidRDefault="000D306C" w:rsidP="000D306C">
            <w:pPr>
              <w:rPr>
                <w:rFonts w:ascii="Garamond" w:hAnsi="Garamond"/>
                <w:sz w:val="16"/>
                <w:szCs w:val="16"/>
                <w:highlight w:val="red"/>
              </w:rPr>
            </w:pPr>
          </w:p>
        </w:tc>
        <w:tc>
          <w:tcPr>
            <w:tcW w:w="989" w:type="pct"/>
            <w:tcBorders>
              <w:top w:val="single" w:sz="4" w:space="0" w:color="auto"/>
              <w:left w:val="single" w:sz="4" w:space="0" w:color="auto"/>
            </w:tcBorders>
            <w:shd w:val="clear" w:color="auto" w:fill="auto"/>
            <w:vAlign w:val="bottom"/>
          </w:tcPr>
          <w:p w14:paraId="014E441C" w14:textId="210C2443" w:rsidR="000D306C" w:rsidRPr="00A90756" w:rsidRDefault="0018539D" w:rsidP="0018539D">
            <w:pPr>
              <w:pStyle w:val="Other10"/>
              <w:tabs>
                <w:tab w:val="left" w:pos="451"/>
                <w:tab w:val="left" w:pos="1464"/>
                <w:tab w:val="left" w:pos="1987"/>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masave të përbashkëta mjedisore të zbatuara në shkolla</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tcPr>
          <w:p w14:paraId="014E441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351" w:type="pct"/>
            <w:tcBorders>
              <w:top w:val="single" w:sz="4" w:space="0" w:color="auto"/>
              <w:left w:val="single" w:sz="4" w:space="0" w:color="auto"/>
            </w:tcBorders>
            <w:shd w:val="clear" w:color="auto" w:fill="auto"/>
          </w:tcPr>
          <w:p w14:paraId="014E441E"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545" w:type="pct"/>
            <w:vMerge/>
            <w:tcBorders>
              <w:left w:val="single" w:sz="4" w:space="0" w:color="auto"/>
              <w:right w:val="single" w:sz="4" w:space="0" w:color="auto"/>
            </w:tcBorders>
            <w:shd w:val="clear" w:color="auto" w:fill="auto"/>
          </w:tcPr>
          <w:p w14:paraId="014E441F" w14:textId="77777777" w:rsidR="000D306C" w:rsidRPr="00A90756" w:rsidRDefault="000D306C" w:rsidP="000D306C">
            <w:pPr>
              <w:rPr>
                <w:rFonts w:ascii="Garamond" w:hAnsi="Garamond"/>
                <w:sz w:val="16"/>
                <w:szCs w:val="16"/>
              </w:rPr>
            </w:pPr>
          </w:p>
        </w:tc>
      </w:tr>
      <w:tr w:rsidR="000D306C" w:rsidRPr="00A90756" w14:paraId="014E4428" w14:textId="77777777" w:rsidTr="000D306C">
        <w:trPr>
          <w:trHeight w:val="20"/>
          <w:jc w:val="center"/>
        </w:trPr>
        <w:tc>
          <w:tcPr>
            <w:tcW w:w="545" w:type="pct"/>
            <w:vMerge/>
            <w:tcBorders>
              <w:left w:val="single" w:sz="4" w:space="0" w:color="auto"/>
            </w:tcBorders>
            <w:shd w:val="clear" w:color="auto" w:fill="auto"/>
          </w:tcPr>
          <w:p w14:paraId="014E4421" w14:textId="77777777" w:rsidR="000D306C" w:rsidRPr="00A90756" w:rsidRDefault="000D306C" w:rsidP="000D306C">
            <w:pPr>
              <w:rPr>
                <w:rFonts w:ascii="Garamond" w:hAnsi="Garamond"/>
                <w:sz w:val="16"/>
                <w:szCs w:val="16"/>
              </w:rPr>
            </w:pPr>
          </w:p>
        </w:tc>
        <w:tc>
          <w:tcPr>
            <w:tcW w:w="585" w:type="pct"/>
            <w:vMerge/>
            <w:tcBorders>
              <w:left w:val="single" w:sz="4" w:space="0" w:color="auto"/>
            </w:tcBorders>
            <w:shd w:val="clear" w:color="auto" w:fill="auto"/>
          </w:tcPr>
          <w:p w14:paraId="014E4422" w14:textId="77777777" w:rsidR="000D306C" w:rsidRPr="00A90756" w:rsidRDefault="000D306C" w:rsidP="000D306C">
            <w:pPr>
              <w:rPr>
                <w:rFonts w:ascii="Garamond" w:hAnsi="Garamond"/>
                <w:sz w:val="16"/>
                <w:szCs w:val="16"/>
              </w:rPr>
            </w:pPr>
          </w:p>
        </w:tc>
        <w:tc>
          <w:tcPr>
            <w:tcW w:w="1566" w:type="pct"/>
            <w:vMerge/>
            <w:tcBorders>
              <w:left w:val="single" w:sz="4" w:space="0" w:color="auto"/>
            </w:tcBorders>
            <w:shd w:val="clear" w:color="auto" w:fill="auto"/>
            <w:vAlign w:val="bottom"/>
          </w:tcPr>
          <w:p w14:paraId="014E4423" w14:textId="77777777" w:rsidR="000D306C" w:rsidRPr="00A90756" w:rsidRDefault="000D306C" w:rsidP="000D306C">
            <w:pPr>
              <w:rPr>
                <w:rFonts w:ascii="Garamond" w:hAnsi="Garamond"/>
                <w:sz w:val="16"/>
                <w:szCs w:val="16"/>
                <w:highlight w:val="red"/>
              </w:rPr>
            </w:pPr>
          </w:p>
        </w:tc>
        <w:tc>
          <w:tcPr>
            <w:tcW w:w="989" w:type="pct"/>
            <w:tcBorders>
              <w:top w:val="single" w:sz="4" w:space="0" w:color="auto"/>
              <w:left w:val="single" w:sz="4" w:space="0" w:color="auto"/>
            </w:tcBorders>
            <w:shd w:val="clear" w:color="auto" w:fill="auto"/>
          </w:tcPr>
          <w:p w14:paraId="014E4424" w14:textId="2EFE68FC" w:rsidR="000D306C" w:rsidRPr="00A90756" w:rsidRDefault="000D306C" w:rsidP="000D306C">
            <w:pPr>
              <w:pStyle w:val="Other10"/>
              <w:tabs>
                <w:tab w:val="left" w:pos="240"/>
                <w:tab w:val="left" w:pos="1790"/>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Numri i kërkimeve shkencore të zhvilluara</w:t>
            </w:r>
            <w:r w:rsidR="00953638" w:rsidRPr="00A90756">
              <w:rPr>
                <w:rStyle w:val="Other1"/>
                <w:rFonts w:ascii="Garamond" w:hAnsi="Garamond"/>
                <w:sz w:val="16"/>
                <w:szCs w:val="16"/>
              </w:rPr>
              <w:t>;</w:t>
            </w:r>
          </w:p>
        </w:tc>
        <w:tc>
          <w:tcPr>
            <w:tcW w:w="421" w:type="pct"/>
            <w:tcBorders>
              <w:top w:val="single" w:sz="4" w:space="0" w:color="auto"/>
              <w:left w:val="single" w:sz="4" w:space="0" w:color="auto"/>
            </w:tcBorders>
            <w:shd w:val="clear" w:color="auto" w:fill="auto"/>
          </w:tcPr>
          <w:p w14:paraId="014E442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1" w:type="pct"/>
            <w:tcBorders>
              <w:top w:val="single" w:sz="4" w:space="0" w:color="auto"/>
              <w:left w:val="single" w:sz="4" w:space="0" w:color="auto"/>
            </w:tcBorders>
            <w:shd w:val="clear" w:color="auto" w:fill="auto"/>
            <w:vAlign w:val="center"/>
          </w:tcPr>
          <w:p w14:paraId="014E442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6</w:t>
            </w:r>
          </w:p>
        </w:tc>
        <w:tc>
          <w:tcPr>
            <w:tcW w:w="545" w:type="pct"/>
            <w:vMerge/>
            <w:tcBorders>
              <w:left w:val="single" w:sz="4" w:space="0" w:color="auto"/>
              <w:right w:val="single" w:sz="4" w:space="0" w:color="auto"/>
            </w:tcBorders>
            <w:shd w:val="clear" w:color="auto" w:fill="auto"/>
          </w:tcPr>
          <w:p w14:paraId="014E4427" w14:textId="77777777" w:rsidR="000D306C" w:rsidRPr="00A90756" w:rsidRDefault="000D306C" w:rsidP="000D306C">
            <w:pPr>
              <w:rPr>
                <w:rFonts w:ascii="Garamond" w:hAnsi="Garamond"/>
                <w:sz w:val="16"/>
                <w:szCs w:val="16"/>
              </w:rPr>
            </w:pPr>
          </w:p>
        </w:tc>
      </w:tr>
      <w:tr w:rsidR="000D306C" w:rsidRPr="00A90756" w14:paraId="014E4430" w14:textId="77777777" w:rsidTr="000D306C">
        <w:trPr>
          <w:trHeight w:val="20"/>
          <w:jc w:val="center"/>
        </w:trPr>
        <w:tc>
          <w:tcPr>
            <w:tcW w:w="545" w:type="pct"/>
            <w:vMerge/>
            <w:tcBorders>
              <w:left w:val="single" w:sz="4" w:space="0" w:color="auto"/>
              <w:bottom w:val="single" w:sz="4" w:space="0" w:color="auto"/>
            </w:tcBorders>
            <w:shd w:val="clear" w:color="auto" w:fill="auto"/>
          </w:tcPr>
          <w:p w14:paraId="014E4429" w14:textId="77777777" w:rsidR="000D306C" w:rsidRPr="00A90756" w:rsidRDefault="000D306C" w:rsidP="000D306C">
            <w:pPr>
              <w:rPr>
                <w:rFonts w:ascii="Garamond" w:hAnsi="Garamond"/>
                <w:sz w:val="16"/>
                <w:szCs w:val="16"/>
              </w:rPr>
            </w:pPr>
          </w:p>
        </w:tc>
        <w:tc>
          <w:tcPr>
            <w:tcW w:w="585" w:type="pct"/>
            <w:vMerge/>
            <w:tcBorders>
              <w:left w:val="single" w:sz="4" w:space="0" w:color="auto"/>
              <w:bottom w:val="single" w:sz="4" w:space="0" w:color="auto"/>
            </w:tcBorders>
            <w:shd w:val="clear" w:color="auto" w:fill="auto"/>
          </w:tcPr>
          <w:p w14:paraId="014E442A" w14:textId="77777777" w:rsidR="000D306C" w:rsidRPr="00A90756" w:rsidRDefault="000D306C" w:rsidP="000D306C">
            <w:pPr>
              <w:rPr>
                <w:rFonts w:ascii="Garamond" w:hAnsi="Garamond"/>
                <w:sz w:val="16"/>
                <w:szCs w:val="16"/>
              </w:rPr>
            </w:pPr>
          </w:p>
        </w:tc>
        <w:tc>
          <w:tcPr>
            <w:tcW w:w="1566" w:type="pct"/>
            <w:vMerge/>
            <w:tcBorders>
              <w:left w:val="single" w:sz="4" w:space="0" w:color="auto"/>
              <w:bottom w:val="single" w:sz="4" w:space="0" w:color="auto"/>
            </w:tcBorders>
            <w:shd w:val="clear" w:color="auto" w:fill="auto"/>
            <w:vAlign w:val="bottom"/>
          </w:tcPr>
          <w:p w14:paraId="014E442B" w14:textId="77777777" w:rsidR="000D306C" w:rsidRPr="00A90756" w:rsidRDefault="000D306C" w:rsidP="000D306C">
            <w:pPr>
              <w:rPr>
                <w:rFonts w:ascii="Garamond" w:hAnsi="Garamond"/>
                <w:sz w:val="16"/>
                <w:szCs w:val="16"/>
                <w:highlight w:val="red"/>
              </w:rPr>
            </w:pPr>
          </w:p>
        </w:tc>
        <w:tc>
          <w:tcPr>
            <w:tcW w:w="989" w:type="pct"/>
            <w:tcBorders>
              <w:top w:val="single" w:sz="4" w:space="0" w:color="auto"/>
              <w:left w:val="single" w:sz="4" w:space="0" w:color="auto"/>
              <w:bottom w:val="single" w:sz="4" w:space="0" w:color="auto"/>
            </w:tcBorders>
            <w:shd w:val="clear" w:color="auto" w:fill="auto"/>
          </w:tcPr>
          <w:p w14:paraId="014E442C" w14:textId="0C9A7A1F"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organizatave të përfshira në rrjete</w:t>
            </w:r>
            <w:r w:rsidR="00953638" w:rsidRPr="00A90756">
              <w:rPr>
                <w:rStyle w:val="Other1"/>
                <w:rFonts w:ascii="Garamond" w:hAnsi="Garamond"/>
                <w:sz w:val="16"/>
                <w:szCs w:val="16"/>
              </w:rPr>
              <w:t>.</w:t>
            </w:r>
          </w:p>
        </w:tc>
        <w:tc>
          <w:tcPr>
            <w:tcW w:w="421" w:type="pct"/>
            <w:tcBorders>
              <w:top w:val="single" w:sz="4" w:space="0" w:color="auto"/>
              <w:left w:val="single" w:sz="4" w:space="0" w:color="auto"/>
              <w:bottom w:val="single" w:sz="4" w:space="0" w:color="auto"/>
            </w:tcBorders>
            <w:shd w:val="clear" w:color="auto" w:fill="auto"/>
          </w:tcPr>
          <w:p w14:paraId="014E442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1" w:type="pct"/>
            <w:tcBorders>
              <w:top w:val="single" w:sz="4" w:space="0" w:color="auto"/>
              <w:left w:val="single" w:sz="4" w:space="0" w:color="auto"/>
              <w:bottom w:val="single" w:sz="4" w:space="0" w:color="auto"/>
            </w:tcBorders>
            <w:shd w:val="clear" w:color="auto" w:fill="auto"/>
          </w:tcPr>
          <w:p w14:paraId="014E442E"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20</w:t>
            </w:r>
          </w:p>
        </w:tc>
        <w:tc>
          <w:tcPr>
            <w:tcW w:w="545" w:type="pct"/>
            <w:vMerge/>
            <w:tcBorders>
              <w:left w:val="single" w:sz="4" w:space="0" w:color="auto"/>
              <w:bottom w:val="single" w:sz="4" w:space="0" w:color="auto"/>
              <w:right w:val="single" w:sz="4" w:space="0" w:color="auto"/>
            </w:tcBorders>
            <w:shd w:val="clear" w:color="auto" w:fill="auto"/>
          </w:tcPr>
          <w:p w14:paraId="014E442F" w14:textId="77777777" w:rsidR="000D306C" w:rsidRPr="00A90756" w:rsidRDefault="000D306C" w:rsidP="000D306C">
            <w:pPr>
              <w:rPr>
                <w:rFonts w:ascii="Garamond" w:hAnsi="Garamond"/>
                <w:sz w:val="16"/>
                <w:szCs w:val="16"/>
              </w:rPr>
            </w:pPr>
          </w:p>
        </w:tc>
      </w:tr>
    </w:tbl>
    <w:p w14:paraId="014E4431" w14:textId="77777777" w:rsidR="000D306C" w:rsidRPr="00A90756" w:rsidRDefault="000D306C" w:rsidP="000D306C">
      <w:pPr>
        <w:pStyle w:val="Bodytext10"/>
        <w:spacing w:after="0"/>
        <w:ind w:firstLine="284"/>
        <w:jc w:val="both"/>
        <w:rPr>
          <w:rStyle w:val="Bodytext1"/>
          <w:rFonts w:ascii="Garamond" w:hAnsi="Garamond"/>
          <w:u w:val="single"/>
        </w:rPr>
      </w:pPr>
    </w:p>
    <w:p w14:paraId="014E4432"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u w:val="single"/>
        </w:rPr>
        <w:t>Përfituesit kryesorë</w:t>
      </w:r>
      <w:r w:rsidRPr="00A90756">
        <w:rPr>
          <w:rStyle w:val="Bodytext1"/>
          <w:rFonts w:ascii="Garamond" w:hAnsi="Garamond"/>
          <w:sz w:val="24"/>
          <w:szCs w:val="24"/>
          <w:u w:val="single"/>
          <w:vertAlign w:val="superscript"/>
        </w:rPr>
        <w:footnoteReference w:id="12"/>
      </w:r>
      <w:r w:rsidRPr="00A90756">
        <w:rPr>
          <w:rStyle w:val="Bodytext1"/>
          <w:rFonts w:ascii="Garamond" w:hAnsi="Garamond"/>
          <w:sz w:val="24"/>
          <w:szCs w:val="24"/>
        </w:rPr>
        <w:t>: Autoritetet e të gjitha niveleve dhe institucionet me kompetenca në fushën e politikave, pushtetet vendore dhe institucionet e tyre; agjencitë e zhvillimit; organizatat (përfshirë OSHC-të) për mbrojtjen e natyrës dhe ndryshimet klimatike; organet publike përgjegjëse për shërbimet e zjarreve/përmbytjeve/emergjencave, institucionet arsimore të të gjitha niveleve; byrove të arsimit dhe qendrave të arsimit profesional.</w:t>
      </w:r>
    </w:p>
    <w:p w14:paraId="014E4433" w14:textId="77777777"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u w:val="single"/>
        </w:rPr>
        <w:t>Grupet e synuara</w:t>
      </w:r>
      <w:r w:rsidRPr="00A90756">
        <w:rPr>
          <w:rStyle w:val="Bodytext1"/>
          <w:rFonts w:ascii="Garamond" w:hAnsi="Garamond"/>
          <w:sz w:val="24"/>
          <w:szCs w:val="24"/>
        </w:rPr>
        <w:t>: personeli i të gjitha niveleve të administratës në të dyja vendet dhe në veçanti i atyre sektorëve dhe departamenteve që mbajnë përgjegjësi për menaxhimin e rrezikut, dhe organizata/organet vullnetare të ndryshimeve klimatike, partnerët socialë dhe shoqëria civile, komunitetet lokale dhe publiku i gjerë, personeli kërkimor, mësuesit dhe popullatës së re.</w:t>
      </w:r>
    </w:p>
    <w:p w14:paraId="014E4434" w14:textId="77777777" w:rsidR="000D306C" w:rsidRPr="00A90756" w:rsidRDefault="000D306C" w:rsidP="000D306C">
      <w:pPr>
        <w:pStyle w:val="Bodytext10"/>
        <w:spacing w:after="0"/>
        <w:ind w:firstLine="284"/>
        <w:jc w:val="both"/>
        <w:rPr>
          <w:rFonts w:ascii="Garamond" w:hAnsi="Garamond"/>
          <w:sz w:val="24"/>
          <w:szCs w:val="24"/>
        </w:rPr>
      </w:pPr>
    </w:p>
    <w:p w14:paraId="014E4435" w14:textId="77777777" w:rsidR="000D306C" w:rsidRPr="00A90756" w:rsidRDefault="000D306C" w:rsidP="000D306C">
      <w:pPr>
        <w:pStyle w:val="AAAATEXXX"/>
        <w:jc w:val="center"/>
      </w:pPr>
      <w:r w:rsidRPr="00A90756">
        <w:rPr>
          <w:rStyle w:val="Bodytext1"/>
          <w:rFonts w:ascii="Garamond" w:hAnsi="Garamond"/>
          <w:b/>
          <w:bCs/>
          <w:sz w:val="24"/>
          <w:szCs w:val="24"/>
        </w:rPr>
        <w:t>2. TC 4: Mjedisi i përmirësuar i biznesit dhe konkurrueshmëria</w:t>
      </w:r>
    </w:p>
    <w:p w14:paraId="014E4436" w14:textId="377D4000" w:rsidR="000D306C" w:rsidRPr="00A90756" w:rsidRDefault="000D306C" w:rsidP="000D306C">
      <w:pPr>
        <w:pStyle w:val="Bodytext10"/>
        <w:spacing w:after="0"/>
        <w:ind w:firstLine="284"/>
        <w:jc w:val="center"/>
        <w:rPr>
          <w:rStyle w:val="Bodytext1"/>
          <w:rFonts w:ascii="Garamond" w:hAnsi="Garamond"/>
          <w:b/>
          <w:sz w:val="24"/>
          <w:szCs w:val="24"/>
        </w:rPr>
      </w:pPr>
      <w:r w:rsidRPr="00A90756">
        <w:rPr>
          <w:rStyle w:val="Bodytext1"/>
          <w:rFonts w:ascii="Garamond" w:hAnsi="Garamond"/>
          <w:b/>
          <w:sz w:val="24"/>
          <w:szCs w:val="24"/>
        </w:rPr>
        <w:t>TP5: Turizmi dhe trashëgimia kulturore dhe natyrore</w:t>
      </w:r>
    </w:p>
    <w:p w14:paraId="5B0D1408" w14:textId="77777777" w:rsidR="009012CF" w:rsidRPr="00A90756" w:rsidRDefault="009012CF" w:rsidP="000D306C">
      <w:pPr>
        <w:pStyle w:val="Bodytext10"/>
        <w:spacing w:after="0"/>
        <w:ind w:firstLine="284"/>
        <w:jc w:val="center"/>
        <w:rPr>
          <w:rStyle w:val="Bodytext1"/>
          <w:rFonts w:ascii="Garamond" w:hAnsi="Garamond"/>
          <w:b/>
          <w:sz w:val="24"/>
          <w:szCs w:val="24"/>
        </w:rPr>
      </w:pPr>
    </w:p>
    <w:p w14:paraId="014E4437" w14:textId="00B36B6E"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Synimi </w:t>
      </w:r>
      <w:r w:rsidRPr="00A90756">
        <w:rPr>
          <w:rStyle w:val="Bodytext1"/>
          <w:rFonts w:ascii="Garamond" w:hAnsi="Garamond"/>
          <w:bCs/>
          <w:sz w:val="24"/>
          <w:szCs w:val="24"/>
        </w:rPr>
        <w:t>i turizmit, trashëgimisë kulturore dhe natyrore</w:t>
      </w:r>
      <w:r w:rsidRPr="00A90756">
        <w:rPr>
          <w:rStyle w:val="Bodytext1"/>
          <w:rFonts w:ascii="Garamond" w:hAnsi="Garamond"/>
          <w:sz w:val="24"/>
          <w:szCs w:val="24"/>
        </w:rPr>
        <w:t xml:space="preserve"> do të përmirësojë dhe diversifikojë ofertën turistike në zonat rurale, do të rrisë kapacitetet e ofruesve të shërbimeve në turizëm dhe do të zhvillojë oferta të përbashkëta novatore për vendet e trashëgimisë kulturore dhe natyrore. Nga njëra anë, kjo do të zhvillojë oferta të reja të përbashkëta turistike dhe do të përmirësojë infrastrukturën në shkallë të vogël, do të ruajë/rinovojë/di</w:t>
      </w:r>
      <w:r w:rsidR="00C61854" w:rsidRPr="00A90756">
        <w:rPr>
          <w:rStyle w:val="Bodytext1"/>
          <w:rFonts w:ascii="Garamond" w:hAnsi="Garamond"/>
          <w:sz w:val="24"/>
          <w:szCs w:val="24"/>
        </w:rPr>
        <w:t>gj</w:t>
      </w:r>
      <w:r w:rsidRPr="00A90756">
        <w:rPr>
          <w:rStyle w:val="Bodytext1"/>
          <w:rFonts w:ascii="Garamond" w:hAnsi="Garamond"/>
          <w:sz w:val="24"/>
          <w:szCs w:val="24"/>
        </w:rPr>
        <w:t>italizojë/bëjë të dukshme vendet e shumta historike, fetare dhe kulturore të programit, do të krijojë zgjidhje inovative etj. dhe, nga ana tjetër, do</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ofrojë një mundësi popullatës së zonës kufitare për</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u </w:t>
      </w:r>
      <w:r w:rsidRPr="00A90756">
        <w:rPr>
          <w:rStyle w:val="Bodytext1"/>
          <w:rFonts w:ascii="Garamond" w:hAnsi="Garamond"/>
          <w:sz w:val="24"/>
          <w:szCs w:val="24"/>
        </w:rPr>
        <w:t>përfshirë më aktivisht në shërbimet turistike/iniciativat bujqësore. Aktivitetet që mund të ndërmerren janë oferta të reja inovative, konkurruese të përbashkëta turistike, duke aplikuar teknologji moderne për promovimin e trashëgimisë kulturore dhe natyrore, krijimin e paketave të përbashkëta turistike dhe marketingun e tyre nëpërmjet operatorëve të udhëtimit kombëtar/ndërkombëtar, ngritjen ose mbështetjen e shtëpive të pritjes tashmë të krijuara me ngritj</w:t>
      </w:r>
      <w:r w:rsidR="009012CF" w:rsidRPr="00A90756">
        <w:rPr>
          <w:rStyle w:val="Bodytext1"/>
          <w:rFonts w:ascii="Garamond" w:hAnsi="Garamond"/>
          <w:sz w:val="24"/>
          <w:szCs w:val="24"/>
        </w:rPr>
        <w:t>en</w:t>
      </w:r>
      <w:r w:rsidRPr="00A90756">
        <w:rPr>
          <w:rStyle w:val="Bodytext1"/>
          <w:rFonts w:ascii="Garamond" w:hAnsi="Garamond"/>
          <w:sz w:val="24"/>
          <w:szCs w:val="24"/>
        </w:rPr>
        <w:t xml:space="preserve"> e kapaciteteve dhe shkëmbimi</w:t>
      </w:r>
      <w:r w:rsidR="009012CF" w:rsidRPr="00A90756">
        <w:rPr>
          <w:rStyle w:val="Bodytext1"/>
          <w:rFonts w:ascii="Garamond" w:hAnsi="Garamond"/>
          <w:sz w:val="24"/>
          <w:szCs w:val="24"/>
        </w:rPr>
        <w:t>n</w:t>
      </w:r>
      <w:r w:rsidRPr="00A90756">
        <w:rPr>
          <w:rStyle w:val="Bodytext1"/>
          <w:rFonts w:ascii="Garamond" w:hAnsi="Garamond"/>
          <w:sz w:val="24"/>
          <w:szCs w:val="24"/>
        </w:rPr>
        <w:t xml:space="preserve"> </w:t>
      </w:r>
      <w:r w:rsidR="009012CF" w:rsidRPr="00A90756">
        <w:rPr>
          <w:rStyle w:val="Bodytext1"/>
          <w:rFonts w:ascii="Garamond" w:hAnsi="Garamond"/>
          <w:sz w:val="24"/>
          <w:szCs w:val="24"/>
        </w:rPr>
        <w:t>e</w:t>
      </w:r>
      <w:r w:rsidRPr="00A90756">
        <w:rPr>
          <w:rStyle w:val="Bodytext1"/>
          <w:rFonts w:ascii="Garamond" w:hAnsi="Garamond"/>
          <w:sz w:val="24"/>
          <w:szCs w:val="24"/>
        </w:rPr>
        <w:t xml:space="preserve"> përvojës me fokus në ruajtjen e traditave lokale, kurse trajnimi, përmirësimi i shërbimeve për vizitorët e vendeve historike, fetare dhe kulturore, përdorimi i metodave inovative, ngritja e kapaciteteve të ofruesve të shërbimeve, promovimi i vendeve të paeksploruara natyrore dhe kulturore, infrastrukturës në shkallë të vogël etj.</w:t>
      </w:r>
    </w:p>
    <w:p w14:paraId="014E4438" w14:textId="73DC0CC2"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 xml:space="preserve">Përveç kësaj, një sërë veprimesh për ngritjen e kapaciteteve dhe edukimin, përdorimin e TIK-ut dhe AFP-së do të përfshijë </w:t>
      </w:r>
      <w:r w:rsidRPr="00A90756">
        <w:rPr>
          <w:rStyle w:val="Bodytext1"/>
          <w:rFonts w:ascii="Garamond" w:hAnsi="Garamond"/>
          <w:bCs/>
          <w:sz w:val="24"/>
          <w:szCs w:val="24"/>
        </w:rPr>
        <w:t>SME-të/ofruesit e shërbimeve që punojnë në sektorin e turizmit, të cilët do të kenë mundësinë të forcojnë standardet në drejtim të shërbimeve dhe cilësisë së produkteve dhe të rrisin konkurrencën</w:t>
      </w:r>
      <w:r w:rsidRPr="00A90756">
        <w:rPr>
          <w:rStyle w:val="Bodytext1"/>
          <w:rFonts w:ascii="Garamond" w:hAnsi="Garamond"/>
          <w:sz w:val="24"/>
          <w:szCs w:val="24"/>
        </w:rPr>
        <w:t>. Kjo do të rrisë kapacitetet e sipërmarrësve turistikë për të ofruar shërbime konkurruese dhe inovative. Aktivitetet për të arritur këtë do të ishin zhvillimi i modeleve të reja inovative për aktorët e turizmit/NVM-të, veçanërisht në lidhje me konkurrencën duke promovuar produktet vendore në zonën ndërkufitare, mbështetjen e zhvillimit të produkteve lokale bio/organike, SME-të agro-ushqimore eko.</w:t>
      </w:r>
      <w:r w:rsidRPr="00A90756">
        <w:rPr>
          <w:rStyle w:val="Bodytext1"/>
          <w:rFonts w:ascii="Garamond" w:hAnsi="Garamond"/>
          <w:sz w:val="24"/>
          <w:szCs w:val="24"/>
        </w:rPr>
        <w:softHyphen/>
        <w:t xml:space="preserve"> produkte miqësore, marka dhe ndërkombëtarizimi brenda turizmit, mbështetje për institucionet arsimore të përfshira në ofrimin </w:t>
      </w:r>
      <w:r w:rsidRPr="00A90756">
        <w:rPr>
          <w:rStyle w:val="Bodytext1"/>
          <w:rFonts w:ascii="Garamond" w:hAnsi="Garamond"/>
          <w:sz w:val="24"/>
          <w:szCs w:val="24"/>
        </w:rPr>
        <w:lastRenderedPageBreak/>
        <w:t>e shërbimeve turistike me cilësi të lartë, oferta konkurruese dhe standarde profesionale në industrinë e turizmit</w:t>
      </w:r>
      <w:r w:rsidR="009012CF" w:rsidRPr="00A90756">
        <w:rPr>
          <w:rStyle w:val="Bodytext1"/>
          <w:rFonts w:ascii="Garamond" w:hAnsi="Garamond"/>
          <w:sz w:val="24"/>
          <w:szCs w:val="24"/>
        </w:rPr>
        <w:t>,</w:t>
      </w:r>
      <w:r w:rsidRPr="00A90756">
        <w:rPr>
          <w:rStyle w:val="Bodytext1"/>
          <w:rFonts w:ascii="Garamond" w:hAnsi="Garamond"/>
          <w:sz w:val="24"/>
          <w:szCs w:val="24"/>
        </w:rPr>
        <w:t xml:space="preserve"> në përputhje me kërkesën e tregut të punës (përfshirë të rinjtë e marxhinalizuar, romë, gra), zhvillimi i sistemeve inovative të të mësuarit, rritja e aftësive dhe nxitja e të mësuarit sipërmarrës në turizëm në partneritetet e shumë aktorëve (p.sh. politikëbërësit, subjektet e biznesit dhe institucionet e trajnimit dhe arsimit), trajnimi i të rinjve, duke përfshirë grupet e marxhinalizuara, për iniciativat sipërmarrëse turistike në distancë</w:t>
      </w:r>
      <w:r w:rsidR="009012CF" w:rsidRPr="00A90756">
        <w:rPr>
          <w:rStyle w:val="Bodytext1"/>
          <w:rFonts w:ascii="Garamond" w:hAnsi="Garamond"/>
          <w:sz w:val="24"/>
          <w:szCs w:val="24"/>
        </w:rPr>
        <w:t>,</w:t>
      </w:r>
      <w:r w:rsidRPr="00A90756">
        <w:rPr>
          <w:rStyle w:val="Bodytext1"/>
          <w:rFonts w:ascii="Garamond" w:hAnsi="Garamond"/>
          <w:sz w:val="24"/>
          <w:szCs w:val="24"/>
        </w:rPr>
        <w:t xml:space="preserve"> fushat, </w:t>
      </w:r>
      <w:r w:rsidR="009012CF" w:rsidRPr="00A90756">
        <w:rPr>
          <w:rStyle w:val="Bodytext1"/>
          <w:rFonts w:ascii="Garamond" w:hAnsi="Garamond"/>
          <w:sz w:val="24"/>
          <w:szCs w:val="24"/>
        </w:rPr>
        <w:t>m</w:t>
      </w:r>
      <w:r w:rsidRPr="00A90756">
        <w:rPr>
          <w:rStyle w:val="Bodytext1"/>
          <w:rFonts w:ascii="Garamond" w:hAnsi="Garamond"/>
          <w:sz w:val="24"/>
          <w:szCs w:val="24"/>
        </w:rPr>
        <w:t>bështetja e përdorimit të inovacionit dhe TIK-ut për të rritur cilësinë e ofrimit të shërbimeve dhe për të rritur konkurrencën, mbështetjen e fermerëve vendas në fushën e prodhimit bujqësor dhe industrisë agropërpunuese, industrisë së drurit dhe artizanatit në lidhje me turizmin, veprime për përmirësimin e mjedisit të biznesit dhe mundësi të zgjeruara për bizneset</w:t>
      </w:r>
      <w:r w:rsidR="009012CF" w:rsidRPr="00A90756">
        <w:rPr>
          <w:rStyle w:val="Bodytext1"/>
          <w:rFonts w:ascii="Garamond" w:hAnsi="Garamond"/>
          <w:sz w:val="24"/>
          <w:szCs w:val="24"/>
        </w:rPr>
        <w:t>,</w:t>
      </w:r>
      <w:r w:rsidRPr="00A90756">
        <w:rPr>
          <w:rStyle w:val="Bodytext1"/>
          <w:rFonts w:ascii="Garamond" w:hAnsi="Garamond"/>
          <w:sz w:val="24"/>
          <w:szCs w:val="24"/>
        </w:rPr>
        <w:t xml:space="preserve"> krijimi dhe punësimi në turizëm duke u fokusuar te të rinjtë, grupet e marxhinalizuara dhe të cenueshme, duke përfshirë zonat rurale dhe të largëta, pjesëmarrjen e sipërmarrjeve turistike në arsimin specifik të AFP-së përmes p.sh. projekteve të përbashkëta, skemave të përbashkëta të shkëmbimit etj., ndër të tjera. Më poshtë është dhënë një tabelë përmbledhëse mbi logjikën e ndërhyrjes.</w:t>
      </w:r>
    </w:p>
    <w:p w14:paraId="014E4439" w14:textId="77777777" w:rsidR="000D306C" w:rsidRPr="00A90756" w:rsidRDefault="000D306C" w:rsidP="000D306C">
      <w:pPr>
        <w:pStyle w:val="Bodytext10"/>
        <w:spacing w:after="0"/>
        <w:ind w:firstLine="284"/>
        <w:jc w:val="both"/>
        <w:rPr>
          <w:rStyle w:val="Bodytext1"/>
          <w:rFonts w:ascii="Garamond" w:hAnsi="Garamond"/>
        </w:rPr>
      </w:pPr>
    </w:p>
    <w:tbl>
      <w:tblPr>
        <w:tblOverlap w:val="never"/>
        <w:tblW w:w="5000" w:type="pct"/>
        <w:jc w:val="center"/>
        <w:tblCellMar>
          <w:left w:w="10" w:type="dxa"/>
          <w:right w:w="10" w:type="dxa"/>
        </w:tblCellMar>
        <w:tblLook w:val="04A0" w:firstRow="1" w:lastRow="0" w:firstColumn="1" w:lastColumn="0" w:noHBand="0" w:noVBand="1"/>
      </w:tblPr>
      <w:tblGrid>
        <w:gridCol w:w="1786"/>
        <w:gridCol w:w="989"/>
        <w:gridCol w:w="2159"/>
        <w:gridCol w:w="1879"/>
        <w:gridCol w:w="634"/>
        <w:gridCol w:w="766"/>
        <w:gridCol w:w="804"/>
      </w:tblGrid>
      <w:tr w:rsidR="000D306C" w:rsidRPr="00A90756" w14:paraId="014E443C" w14:textId="77777777" w:rsidTr="000D306C">
        <w:trPr>
          <w:trHeight w:val="20"/>
          <w:jc w:val="center"/>
        </w:trPr>
        <w:tc>
          <w:tcPr>
            <w:tcW w:w="5000" w:type="pct"/>
            <w:gridSpan w:val="7"/>
            <w:tcBorders>
              <w:top w:val="single" w:sz="4" w:space="0" w:color="auto"/>
              <w:left w:val="single" w:sz="4" w:space="0" w:color="auto"/>
              <w:right w:val="single" w:sz="4" w:space="0" w:color="auto"/>
            </w:tcBorders>
            <w:shd w:val="clear" w:color="auto" w:fill="95B3D7"/>
            <w:vAlign w:val="bottom"/>
          </w:tcPr>
          <w:p w14:paraId="014E443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2 - TC 4:</w:t>
            </w:r>
          </w:p>
          <w:p w14:paraId="014E443B"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Përmirësimi i mjedisit të biznesit dhe konkurrueshmërisë</w:t>
            </w:r>
          </w:p>
        </w:tc>
      </w:tr>
      <w:tr w:rsidR="000D306C" w:rsidRPr="00A90756" w14:paraId="014E4442" w14:textId="77777777" w:rsidTr="009012CF">
        <w:trPr>
          <w:trHeight w:val="20"/>
          <w:jc w:val="center"/>
        </w:trPr>
        <w:tc>
          <w:tcPr>
            <w:tcW w:w="2744" w:type="pct"/>
            <w:gridSpan w:val="3"/>
            <w:tcBorders>
              <w:top w:val="single" w:sz="4" w:space="0" w:color="auto"/>
              <w:left w:val="single" w:sz="4" w:space="0" w:color="auto"/>
            </w:tcBorders>
            <w:shd w:val="clear" w:color="auto" w:fill="95B3D7"/>
            <w:vAlign w:val="center"/>
          </w:tcPr>
          <w:p w14:paraId="014E443D" w14:textId="77777777" w:rsidR="000D306C" w:rsidRPr="00A90756" w:rsidRDefault="000D306C" w:rsidP="009012CF">
            <w:pPr>
              <w:pStyle w:val="Other10"/>
              <w:spacing w:after="0"/>
              <w:jc w:val="center"/>
              <w:rPr>
                <w:rFonts w:ascii="Garamond" w:hAnsi="Garamond"/>
                <w:sz w:val="16"/>
                <w:szCs w:val="16"/>
              </w:rPr>
            </w:pPr>
            <w:r w:rsidRPr="00A90756">
              <w:rPr>
                <w:rStyle w:val="Other1"/>
                <w:rFonts w:ascii="Garamond" w:hAnsi="Garamond"/>
                <w:b/>
                <w:bCs/>
                <w:sz w:val="16"/>
                <w:szCs w:val="16"/>
              </w:rPr>
              <w:t>TP5: Turizmi dhe trashëgimia kulturore e natyrore</w:t>
            </w:r>
          </w:p>
        </w:tc>
        <w:tc>
          <w:tcPr>
            <w:tcW w:w="1044" w:type="pct"/>
            <w:tcBorders>
              <w:top w:val="single" w:sz="4" w:space="0" w:color="auto"/>
              <w:left w:val="single" w:sz="4" w:space="0" w:color="auto"/>
            </w:tcBorders>
            <w:shd w:val="clear" w:color="auto" w:fill="95B3D7"/>
            <w:vAlign w:val="center"/>
          </w:tcPr>
          <w:p w14:paraId="014E443E" w14:textId="77777777" w:rsidR="000D306C" w:rsidRPr="00A90756" w:rsidRDefault="000D306C" w:rsidP="009012CF">
            <w:pPr>
              <w:pStyle w:val="Other10"/>
              <w:spacing w:after="0"/>
              <w:jc w:val="center"/>
              <w:rPr>
                <w:rFonts w:ascii="Garamond" w:hAnsi="Garamond"/>
                <w:sz w:val="16"/>
                <w:szCs w:val="16"/>
              </w:rPr>
            </w:pPr>
            <w:r w:rsidRPr="00A90756">
              <w:rPr>
                <w:rStyle w:val="Other1"/>
                <w:rFonts w:ascii="Garamond" w:hAnsi="Garamond"/>
                <w:b/>
                <w:bCs/>
                <w:sz w:val="16"/>
                <w:szCs w:val="16"/>
              </w:rPr>
              <w:t>Treguesit</w:t>
            </w:r>
          </w:p>
        </w:tc>
        <w:tc>
          <w:tcPr>
            <w:tcW w:w="354" w:type="pct"/>
            <w:tcBorders>
              <w:top w:val="single" w:sz="4" w:space="0" w:color="auto"/>
              <w:left w:val="single" w:sz="4" w:space="0" w:color="auto"/>
            </w:tcBorders>
            <w:shd w:val="clear" w:color="auto" w:fill="95B3D7"/>
            <w:vAlign w:val="center"/>
          </w:tcPr>
          <w:p w14:paraId="014E443F" w14:textId="77777777" w:rsidR="000D306C" w:rsidRPr="00A90756" w:rsidRDefault="000D306C" w:rsidP="009012CF">
            <w:pPr>
              <w:pStyle w:val="Other10"/>
              <w:spacing w:after="0"/>
              <w:jc w:val="center"/>
              <w:rPr>
                <w:rFonts w:ascii="Garamond" w:hAnsi="Garamond"/>
                <w:sz w:val="16"/>
                <w:szCs w:val="16"/>
              </w:rPr>
            </w:pPr>
            <w:r w:rsidRPr="00A90756">
              <w:rPr>
                <w:rStyle w:val="Other1"/>
                <w:rFonts w:ascii="Garamond" w:hAnsi="Garamond"/>
                <w:b/>
                <w:bCs/>
                <w:sz w:val="16"/>
                <w:szCs w:val="16"/>
              </w:rPr>
              <w:t>Baza (viti) 2021</w:t>
            </w:r>
          </w:p>
        </w:tc>
        <w:tc>
          <w:tcPr>
            <w:tcW w:w="427" w:type="pct"/>
            <w:tcBorders>
              <w:top w:val="single" w:sz="4" w:space="0" w:color="auto"/>
              <w:left w:val="single" w:sz="4" w:space="0" w:color="auto"/>
            </w:tcBorders>
            <w:shd w:val="clear" w:color="auto" w:fill="95B3D7"/>
            <w:vAlign w:val="center"/>
          </w:tcPr>
          <w:p w14:paraId="014E4440" w14:textId="77777777" w:rsidR="000D306C" w:rsidRPr="00A90756" w:rsidRDefault="000D306C" w:rsidP="009012CF">
            <w:pPr>
              <w:pStyle w:val="Other10"/>
              <w:spacing w:after="0"/>
              <w:jc w:val="center"/>
              <w:rPr>
                <w:rFonts w:ascii="Garamond" w:hAnsi="Garamond"/>
                <w:sz w:val="16"/>
                <w:szCs w:val="16"/>
              </w:rPr>
            </w:pPr>
            <w:r w:rsidRPr="00A90756">
              <w:rPr>
                <w:rStyle w:val="Other1"/>
                <w:rFonts w:ascii="Garamond" w:hAnsi="Garamond"/>
                <w:b/>
                <w:bCs/>
                <w:sz w:val="16"/>
                <w:szCs w:val="16"/>
              </w:rPr>
              <w:t>Synimi (viti) 2029</w:t>
            </w:r>
          </w:p>
        </w:tc>
        <w:tc>
          <w:tcPr>
            <w:tcW w:w="431" w:type="pct"/>
            <w:tcBorders>
              <w:top w:val="single" w:sz="4" w:space="0" w:color="auto"/>
              <w:left w:val="single" w:sz="4" w:space="0" w:color="auto"/>
              <w:right w:val="single" w:sz="4" w:space="0" w:color="auto"/>
            </w:tcBorders>
            <w:shd w:val="clear" w:color="auto" w:fill="95B3D7"/>
            <w:vAlign w:val="center"/>
          </w:tcPr>
          <w:p w14:paraId="014E4441" w14:textId="77777777" w:rsidR="000D306C" w:rsidRPr="00A90756" w:rsidRDefault="000D306C" w:rsidP="009012CF">
            <w:pPr>
              <w:pStyle w:val="Other10"/>
              <w:spacing w:after="0"/>
              <w:jc w:val="center"/>
              <w:rPr>
                <w:rFonts w:ascii="Garamond" w:hAnsi="Garamond"/>
                <w:sz w:val="16"/>
                <w:szCs w:val="16"/>
              </w:rPr>
            </w:pPr>
            <w:r w:rsidRPr="00A90756">
              <w:rPr>
                <w:rStyle w:val="Other1"/>
                <w:rFonts w:ascii="Garamond" w:hAnsi="Garamond"/>
                <w:b/>
                <w:bCs/>
                <w:sz w:val="16"/>
                <w:szCs w:val="16"/>
              </w:rPr>
              <w:t>Burimi i të dhënave</w:t>
            </w:r>
          </w:p>
        </w:tc>
      </w:tr>
      <w:tr w:rsidR="000D306C" w:rsidRPr="00A90756" w14:paraId="014E444B" w14:textId="77777777" w:rsidTr="000D306C">
        <w:trPr>
          <w:trHeight w:val="20"/>
          <w:jc w:val="center"/>
        </w:trPr>
        <w:tc>
          <w:tcPr>
            <w:tcW w:w="993" w:type="pct"/>
            <w:tcBorders>
              <w:top w:val="single" w:sz="4" w:space="0" w:color="auto"/>
              <w:left w:val="single" w:sz="4" w:space="0" w:color="auto"/>
            </w:tcBorders>
            <w:shd w:val="clear" w:color="auto" w:fill="F9EBDB"/>
            <w:vAlign w:val="center"/>
          </w:tcPr>
          <w:p w14:paraId="014E4443" w14:textId="15AEFE23"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Objektivat/</w:t>
            </w:r>
            <w:r w:rsidR="009012CF" w:rsidRPr="00A90756">
              <w:rPr>
                <w:rStyle w:val="Other1"/>
                <w:rFonts w:ascii="Garamond" w:hAnsi="Garamond"/>
                <w:b/>
                <w:bCs/>
                <w:sz w:val="16"/>
                <w:szCs w:val="16"/>
              </w:rPr>
              <w:t>r</w:t>
            </w:r>
            <w:r w:rsidRPr="00A90756">
              <w:rPr>
                <w:rStyle w:val="Other1"/>
                <w:rFonts w:ascii="Garamond" w:hAnsi="Garamond"/>
                <w:b/>
                <w:bCs/>
                <w:sz w:val="16"/>
                <w:szCs w:val="16"/>
              </w:rPr>
              <w:t>ezultatet specifike</w:t>
            </w:r>
          </w:p>
        </w:tc>
        <w:tc>
          <w:tcPr>
            <w:tcW w:w="551" w:type="pct"/>
            <w:tcBorders>
              <w:top w:val="single" w:sz="4" w:space="0" w:color="auto"/>
              <w:left w:val="single" w:sz="4" w:space="0" w:color="auto"/>
            </w:tcBorders>
            <w:shd w:val="clear" w:color="auto" w:fill="F9EBDB"/>
            <w:vAlign w:val="center"/>
          </w:tcPr>
          <w:p w14:paraId="014E4444"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Rezultatet</w:t>
            </w:r>
          </w:p>
        </w:tc>
        <w:tc>
          <w:tcPr>
            <w:tcW w:w="1199" w:type="pct"/>
            <w:tcBorders>
              <w:top w:val="single" w:sz="4" w:space="0" w:color="auto"/>
              <w:left w:val="single" w:sz="4" w:space="0" w:color="auto"/>
            </w:tcBorders>
            <w:shd w:val="clear" w:color="auto" w:fill="F9EBDB"/>
            <w:vAlign w:val="center"/>
          </w:tcPr>
          <w:p w14:paraId="014E4445"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Llojet e aktiviteteve (shembuj)</w:t>
            </w:r>
          </w:p>
        </w:tc>
        <w:tc>
          <w:tcPr>
            <w:tcW w:w="1044" w:type="pct"/>
            <w:tcBorders>
              <w:top w:val="single" w:sz="4" w:space="0" w:color="auto"/>
              <w:left w:val="single" w:sz="4" w:space="0" w:color="auto"/>
            </w:tcBorders>
            <w:shd w:val="clear" w:color="auto" w:fill="auto"/>
            <w:vAlign w:val="bottom"/>
          </w:tcPr>
          <w:p w14:paraId="014E444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u w:val="single"/>
              </w:rPr>
              <w:t>Ndikimi</w:t>
            </w:r>
          </w:p>
          <w:p w14:paraId="014E4447"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Rritja e numrit të vizitorëve në zonën ndërkufitare</w:t>
            </w:r>
          </w:p>
        </w:tc>
        <w:tc>
          <w:tcPr>
            <w:tcW w:w="354" w:type="pct"/>
            <w:tcBorders>
              <w:top w:val="single" w:sz="4" w:space="0" w:color="auto"/>
              <w:left w:val="single" w:sz="4" w:space="0" w:color="auto"/>
            </w:tcBorders>
            <w:shd w:val="clear" w:color="auto" w:fill="auto"/>
            <w:vAlign w:val="center"/>
          </w:tcPr>
          <w:p w14:paraId="014E4448"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Nuk ka të dhëna</w:t>
            </w:r>
            <w:r w:rsidRPr="00A90756">
              <w:rPr>
                <w:rStyle w:val="Other1"/>
                <w:rFonts w:ascii="Garamond" w:hAnsi="Garamond"/>
                <w:sz w:val="16"/>
                <w:szCs w:val="16"/>
                <w:vertAlign w:val="superscript"/>
              </w:rPr>
              <w:footnoteReference w:id="13"/>
            </w:r>
          </w:p>
        </w:tc>
        <w:tc>
          <w:tcPr>
            <w:tcW w:w="427" w:type="pct"/>
            <w:tcBorders>
              <w:top w:val="single" w:sz="4" w:space="0" w:color="auto"/>
              <w:left w:val="single" w:sz="4" w:space="0" w:color="auto"/>
            </w:tcBorders>
            <w:shd w:val="clear" w:color="auto" w:fill="auto"/>
            <w:vAlign w:val="center"/>
          </w:tcPr>
          <w:p w14:paraId="014E4449"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20%</w:t>
            </w:r>
          </w:p>
        </w:tc>
        <w:tc>
          <w:tcPr>
            <w:tcW w:w="431" w:type="pct"/>
            <w:tcBorders>
              <w:top w:val="single" w:sz="4" w:space="0" w:color="auto"/>
              <w:left w:val="single" w:sz="4" w:space="0" w:color="auto"/>
              <w:right w:val="single" w:sz="4" w:space="0" w:color="auto"/>
            </w:tcBorders>
            <w:shd w:val="clear" w:color="auto" w:fill="auto"/>
          </w:tcPr>
          <w:p w14:paraId="014E444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Zyrat Shtetërore të Statistikave</w:t>
            </w:r>
          </w:p>
        </w:tc>
      </w:tr>
      <w:tr w:rsidR="000D306C" w:rsidRPr="00A90756" w14:paraId="014E445D" w14:textId="77777777" w:rsidTr="000D306C">
        <w:trPr>
          <w:trHeight w:val="20"/>
          <w:jc w:val="center"/>
        </w:trPr>
        <w:tc>
          <w:tcPr>
            <w:tcW w:w="993" w:type="pct"/>
            <w:vMerge w:val="restart"/>
            <w:tcBorders>
              <w:top w:val="single" w:sz="4" w:space="0" w:color="auto"/>
              <w:left w:val="single" w:sz="4" w:space="0" w:color="auto"/>
            </w:tcBorders>
            <w:shd w:val="clear" w:color="auto" w:fill="auto"/>
          </w:tcPr>
          <w:p w14:paraId="014E444C" w14:textId="77777777" w:rsidR="000D306C" w:rsidRPr="00A90756" w:rsidRDefault="000D306C" w:rsidP="000D306C">
            <w:pPr>
              <w:pStyle w:val="Other10"/>
              <w:tabs>
                <w:tab w:val="left" w:pos="475"/>
              </w:tabs>
              <w:spacing w:after="0"/>
              <w:rPr>
                <w:rFonts w:ascii="Garamond" w:hAnsi="Garamond"/>
                <w:sz w:val="16"/>
                <w:szCs w:val="16"/>
              </w:rPr>
            </w:pPr>
            <w:r w:rsidRPr="00A90756">
              <w:rPr>
                <w:rStyle w:val="Other1"/>
                <w:rFonts w:ascii="Garamond" w:hAnsi="Garamond"/>
                <w:sz w:val="16"/>
                <w:szCs w:val="16"/>
              </w:rPr>
              <w:t>1.1:</w:t>
            </w:r>
            <w:r w:rsidRPr="00A90756">
              <w:rPr>
                <w:rStyle w:val="Other1"/>
                <w:rFonts w:ascii="Garamond" w:hAnsi="Garamond"/>
                <w:sz w:val="16"/>
                <w:szCs w:val="16"/>
              </w:rPr>
              <w:tab/>
              <w:t>Rritja e kontributit të turizmit kufitar</w:t>
            </w:r>
            <w:r w:rsidRPr="00A90756">
              <w:rPr>
                <w:rStyle w:val="Other1"/>
                <w:rFonts w:ascii="Garamond" w:hAnsi="Garamond"/>
                <w:sz w:val="16"/>
                <w:szCs w:val="16"/>
              </w:rPr>
              <w:tab/>
              <w:t>dhe</w:t>
            </w:r>
          </w:p>
          <w:p w14:paraId="014E444D"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trashëgimisë kulturore/natyrore në zhvillimin ekonomik ndër kufitar</w:t>
            </w:r>
          </w:p>
        </w:tc>
        <w:tc>
          <w:tcPr>
            <w:tcW w:w="551" w:type="pct"/>
            <w:vMerge w:val="restart"/>
            <w:tcBorders>
              <w:top w:val="single" w:sz="4" w:space="0" w:color="auto"/>
              <w:left w:val="single" w:sz="4" w:space="0" w:color="auto"/>
            </w:tcBorders>
            <w:shd w:val="clear" w:color="auto" w:fill="auto"/>
          </w:tcPr>
          <w:p w14:paraId="014E444E" w14:textId="052D03CD" w:rsidR="000D306C" w:rsidRPr="00A90756" w:rsidRDefault="000D306C" w:rsidP="000D306C">
            <w:pPr>
              <w:pStyle w:val="Other10"/>
              <w:tabs>
                <w:tab w:val="left" w:pos="854"/>
              </w:tabs>
              <w:spacing w:after="0"/>
              <w:rPr>
                <w:rFonts w:ascii="Garamond" w:hAnsi="Garamond"/>
                <w:sz w:val="16"/>
                <w:szCs w:val="16"/>
              </w:rPr>
            </w:pPr>
            <w:r w:rsidRPr="00A90756">
              <w:rPr>
                <w:rStyle w:val="Other1"/>
                <w:rFonts w:ascii="Garamond" w:hAnsi="Garamond"/>
                <w:sz w:val="16"/>
                <w:szCs w:val="16"/>
              </w:rPr>
              <w:t>1.1.1</w:t>
            </w:r>
            <w:r w:rsidR="00DF3984" w:rsidRPr="00A90756">
              <w:rPr>
                <w:rStyle w:val="Other1"/>
                <w:rFonts w:ascii="Garamond" w:hAnsi="Garamond"/>
                <w:sz w:val="16"/>
                <w:szCs w:val="16"/>
              </w:rPr>
              <w:t xml:space="preserve"> </w:t>
            </w:r>
            <w:r w:rsidRPr="00A90756">
              <w:rPr>
                <w:rStyle w:val="Other1"/>
                <w:rFonts w:ascii="Garamond" w:hAnsi="Garamond"/>
                <w:sz w:val="16"/>
                <w:szCs w:val="16"/>
              </w:rPr>
              <w:t>Përmirësimi dhe diversifikimi i ofertës së produkteve të turizmit bazuar në nismat e përbashkëta për shfrytëzimin e trashëgimisë kulturore dhe natyrore</w:t>
            </w:r>
            <w:r w:rsidRPr="00A90756">
              <w:rPr>
                <w:rStyle w:val="Other1"/>
                <w:rFonts w:ascii="Garamond" w:hAnsi="Garamond"/>
                <w:sz w:val="16"/>
                <w:szCs w:val="16"/>
                <w:vertAlign w:val="superscript"/>
              </w:rPr>
              <w:footnoteReference w:id="14"/>
            </w:r>
          </w:p>
        </w:tc>
        <w:tc>
          <w:tcPr>
            <w:tcW w:w="1199" w:type="pct"/>
            <w:vMerge w:val="restart"/>
            <w:tcBorders>
              <w:top w:val="single" w:sz="4" w:space="0" w:color="auto"/>
              <w:left w:val="single" w:sz="4" w:space="0" w:color="auto"/>
            </w:tcBorders>
            <w:shd w:val="clear" w:color="auto" w:fill="auto"/>
          </w:tcPr>
          <w:p w14:paraId="014E444F" w14:textId="148B8DF2" w:rsidR="000D306C" w:rsidRPr="00A90756" w:rsidRDefault="000D306C" w:rsidP="00DF3984">
            <w:pPr>
              <w:pStyle w:val="Other10"/>
              <w:numPr>
                <w:ilvl w:val="0"/>
                <w:numId w:val="21"/>
              </w:numPr>
              <w:tabs>
                <w:tab w:val="left" w:pos="187"/>
                <w:tab w:val="left" w:pos="965"/>
                <w:tab w:val="left" w:pos="2304"/>
              </w:tabs>
              <w:spacing w:after="0"/>
              <w:jc w:val="both"/>
              <w:rPr>
                <w:rFonts w:ascii="Garamond" w:hAnsi="Garamond"/>
                <w:sz w:val="16"/>
                <w:szCs w:val="16"/>
              </w:rPr>
            </w:pPr>
            <w:r w:rsidRPr="00A90756">
              <w:rPr>
                <w:rStyle w:val="Other1"/>
                <w:rFonts w:ascii="Garamond" w:hAnsi="Garamond"/>
                <w:sz w:val="16"/>
                <w:szCs w:val="16"/>
              </w:rPr>
              <w:t>Oferta të reja inovative, konkurruese të përbashkëta turistike duke aplikuar teknologjitë moderne</w:t>
            </w:r>
            <w:r w:rsidR="00DF3984" w:rsidRPr="00A90756">
              <w:rPr>
                <w:rStyle w:val="Other1"/>
                <w:rFonts w:ascii="Garamond" w:hAnsi="Garamond"/>
                <w:sz w:val="16"/>
                <w:szCs w:val="16"/>
              </w:rPr>
              <w:t xml:space="preserve"> </w:t>
            </w:r>
            <w:r w:rsidRPr="00A90756">
              <w:rPr>
                <w:rStyle w:val="Other1"/>
                <w:rFonts w:ascii="Garamond" w:hAnsi="Garamond"/>
                <w:sz w:val="16"/>
                <w:szCs w:val="16"/>
              </w:rPr>
              <w:t>për shfrytëzimin e trashëgimisë kulturor</w:t>
            </w:r>
            <w:r w:rsidR="00DF3984" w:rsidRPr="00A90756">
              <w:rPr>
                <w:rStyle w:val="Other1"/>
                <w:rFonts w:ascii="Garamond" w:hAnsi="Garamond"/>
                <w:sz w:val="16"/>
                <w:szCs w:val="16"/>
              </w:rPr>
              <w:t xml:space="preserve"> </w:t>
            </w:r>
            <w:r w:rsidRPr="00A90756">
              <w:rPr>
                <w:rStyle w:val="Other1"/>
                <w:rFonts w:ascii="Garamond" w:hAnsi="Garamond"/>
                <w:sz w:val="16"/>
                <w:szCs w:val="16"/>
              </w:rPr>
              <w:t>dhe</w:t>
            </w:r>
          </w:p>
          <w:p w14:paraId="014E4450" w14:textId="48D13722" w:rsidR="000D306C" w:rsidRPr="00A90756" w:rsidRDefault="000D306C" w:rsidP="00DF3984">
            <w:pPr>
              <w:pStyle w:val="Other10"/>
              <w:spacing w:after="0"/>
              <w:jc w:val="both"/>
              <w:rPr>
                <w:rFonts w:ascii="Garamond" w:hAnsi="Garamond"/>
                <w:sz w:val="16"/>
                <w:szCs w:val="16"/>
              </w:rPr>
            </w:pPr>
            <w:r w:rsidRPr="00A90756">
              <w:rPr>
                <w:rStyle w:val="Other1"/>
                <w:rFonts w:ascii="Garamond" w:hAnsi="Garamond"/>
                <w:sz w:val="16"/>
                <w:szCs w:val="16"/>
              </w:rPr>
              <w:t>natyrore</w:t>
            </w:r>
            <w:r w:rsidR="00DF3984" w:rsidRPr="00A90756">
              <w:rPr>
                <w:rStyle w:val="Other1"/>
                <w:rFonts w:ascii="Garamond" w:hAnsi="Garamond"/>
                <w:sz w:val="16"/>
                <w:szCs w:val="16"/>
              </w:rPr>
              <w:t>;</w:t>
            </w:r>
          </w:p>
          <w:p w14:paraId="014E4451" w14:textId="20AA8196" w:rsidR="000D306C" w:rsidRPr="00A90756" w:rsidRDefault="000D306C" w:rsidP="00DF3984">
            <w:pPr>
              <w:pStyle w:val="Other10"/>
              <w:numPr>
                <w:ilvl w:val="0"/>
                <w:numId w:val="21"/>
              </w:numPr>
              <w:tabs>
                <w:tab w:val="left" w:pos="187"/>
                <w:tab w:val="left" w:pos="250"/>
                <w:tab w:val="left" w:pos="1109"/>
                <w:tab w:val="left" w:pos="1982"/>
              </w:tabs>
              <w:spacing w:after="0"/>
              <w:jc w:val="both"/>
              <w:rPr>
                <w:rStyle w:val="Other1"/>
                <w:rFonts w:ascii="Garamond" w:hAnsi="Garamond"/>
                <w:sz w:val="16"/>
                <w:szCs w:val="16"/>
              </w:rPr>
            </w:pPr>
            <w:r w:rsidRPr="00A90756">
              <w:rPr>
                <w:rStyle w:val="Other1"/>
                <w:rFonts w:ascii="Garamond" w:hAnsi="Garamond"/>
                <w:sz w:val="16"/>
                <w:szCs w:val="16"/>
              </w:rPr>
              <w:t>Krijimi i paketave të përbashkëta</w:t>
            </w:r>
            <w:r w:rsidR="00DF3984" w:rsidRPr="00A90756">
              <w:rPr>
                <w:rStyle w:val="Other1"/>
                <w:rFonts w:ascii="Garamond" w:hAnsi="Garamond"/>
                <w:sz w:val="16"/>
                <w:szCs w:val="16"/>
              </w:rPr>
              <w:t xml:space="preserve"> </w:t>
            </w:r>
            <w:r w:rsidRPr="00A90756">
              <w:rPr>
                <w:rStyle w:val="Other1"/>
                <w:rFonts w:ascii="Garamond" w:hAnsi="Garamond"/>
                <w:sz w:val="16"/>
                <w:szCs w:val="16"/>
              </w:rPr>
              <w:t>turistike dhe marketingu i tyre nëpërmjet operatorëve</w:t>
            </w:r>
            <w:r w:rsidR="00DF3984" w:rsidRPr="00A90756">
              <w:rPr>
                <w:rStyle w:val="Other1"/>
                <w:rFonts w:ascii="Garamond" w:hAnsi="Garamond"/>
                <w:sz w:val="16"/>
                <w:szCs w:val="16"/>
              </w:rPr>
              <w:t xml:space="preserve"> </w:t>
            </w:r>
            <w:r w:rsidRPr="00A90756">
              <w:rPr>
                <w:rStyle w:val="Other1"/>
                <w:rFonts w:ascii="Garamond" w:hAnsi="Garamond"/>
                <w:sz w:val="16"/>
                <w:szCs w:val="16"/>
              </w:rPr>
              <w:t>kombëtare/</w:t>
            </w:r>
            <w:r w:rsidR="00DF3984" w:rsidRPr="00A90756">
              <w:rPr>
                <w:rStyle w:val="Other1"/>
                <w:rFonts w:ascii="Garamond" w:hAnsi="Garamond"/>
                <w:sz w:val="16"/>
                <w:szCs w:val="16"/>
              </w:rPr>
              <w:t xml:space="preserve"> </w:t>
            </w:r>
            <w:r w:rsidRPr="00A90756">
              <w:rPr>
                <w:rStyle w:val="Other1"/>
                <w:rFonts w:ascii="Garamond" w:hAnsi="Garamond"/>
                <w:sz w:val="16"/>
                <w:szCs w:val="16"/>
              </w:rPr>
              <w:t>ndërkombëtarë të udhëtimit</w:t>
            </w:r>
            <w:r w:rsidR="00DF3984" w:rsidRPr="00A90756">
              <w:rPr>
                <w:rStyle w:val="Other1"/>
                <w:rFonts w:ascii="Garamond" w:hAnsi="Garamond"/>
                <w:sz w:val="16"/>
                <w:szCs w:val="16"/>
              </w:rPr>
              <w:t>;</w:t>
            </w:r>
          </w:p>
          <w:p w14:paraId="014E4452" w14:textId="7A69A839" w:rsidR="000D306C" w:rsidRPr="00A90756" w:rsidRDefault="000D306C" w:rsidP="00DF3984">
            <w:pPr>
              <w:pStyle w:val="Other10"/>
              <w:numPr>
                <w:ilvl w:val="0"/>
                <w:numId w:val="21"/>
              </w:numPr>
              <w:tabs>
                <w:tab w:val="left" w:pos="187"/>
                <w:tab w:val="left" w:pos="250"/>
                <w:tab w:val="left" w:pos="1109"/>
                <w:tab w:val="left" w:pos="1982"/>
              </w:tabs>
              <w:spacing w:after="0"/>
              <w:jc w:val="both"/>
              <w:rPr>
                <w:rFonts w:ascii="Garamond" w:hAnsi="Garamond"/>
                <w:sz w:val="16"/>
                <w:szCs w:val="16"/>
              </w:rPr>
            </w:pPr>
            <w:r w:rsidRPr="00A90756">
              <w:rPr>
                <w:rStyle w:val="Other1"/>
                <w:rFonts w:ascii="Garamond" w:hAnsi="Garamond"/>
                <w:sz w:val="16"/>
                <w:szCs w:val="16"/>
              </w:rPr>
              <w:t>Diversifikimi i ofertës ekologjik</w:t>
            </w:r>
            <w:r w:rsidR="00DF3984" w:rsidRPr="00A90756">
              <w:rPr>
                <w:rStyle w:val="Other1"/>
                <w:rFonts w:ascii="Garamond" w:hAnsi="Garamond"/>
                <w:sz w:val="16"/>
                <w:szCs w:val="16"/>
              </w:rPr>
              <w:t>e</w:t>
            </w:r>
            <w:r w:rsidRPr="00A90756">
              <w:rPr>
                <w:rStyle w:val="Other1"/>
                <w:rFonts w:ascii="Garamond" w:hAnsi="Garamond"/>
                <w:sz w:val="16"/>
                <w:szCs w:val="16"/>
              </w:rPr>
              <w:t xml:space="preserve"> dhe të qëndrueshme turistike dhe zhvillimi i produkteve turistike të qëndrueshme, qarkulluese dhe që nuk shkaktojnë shumë ndotje;</w:t>
            </w:r>
          </w:p>
          <w:p w14:paraId="014E4453" w14:textId="42678054" w:rsidR="000D306C" w:rsidRPr="00A90756" w:rsidRDefault="000D306C" w:rsidP="00DF3984">
            <w:pPr>
              <w:pStyle w:val="Other10"/>
              <w:numPr>
                <w:ilvl w:val="0"/>
                <w:numId w:val="21"/>
              </w:numPr>
              <w:tabs>
                <w:tab w:val="left" w:pos="187"/>
                <w:tab w:val="left" w:pos="1430"/>
                <w:tab w:val="left" w:pos="2150"/>
              </w:tabs>
              <w:spacing w:after="0"/>
              <w:jc w:val="both"/>
              <w:rPr>
                <w:rFonts w:ascii="Garamond" w:hAnsi="Garamond"/>
                <w:sz w:val="16"/>
                <w:szCs w:val="16"/>
              </w:rPr>
            </w:pPr>
            <w:r w:rsidRPr="00A90756">
              <w:rPr>
                <w:rStyle w:val="Other1"/>
                <w:rFonts w:ascii="Garamond" w:hAnsi="Garamond"/>
                <w:i/>
                <w:sz w:val="16"/>
                <w:szCs w:val="16"/>
              </w:rPr>
              <w:t>Workshope</w:t>
            </w:r>
            <w:r w:rsidRPr="00A90756">
              <w:rPr>
                <w:rStyle w:val="Other1"/>
                <w:rFonts w:ascii="Garamond" w:hAnsi="Garamond"/>
                <w:sz w:val="16"/>
                <w:szCs w:val="16"/>
              </w:rPr>
              <w:t xml:space="preserve"> për aktorët vendorë që ata të integrojnë parimet e ekonomisë së qëndrueshme dhe qarkulluese në produktet tyre</w:t>
            </w:r>
            <w:r w:rsidR="00DF3984" w:rsidRPr="00A90756">
              <w:rPr>
                <w:rStyle w:val="Other1"/>
                <w:rFonts w:ascii="Garamond" w:hAnsi="Garamond"/>
                <w:sz w:val="16"/>
                <w:szCs w:val="16"/>
              </w:rPr>
              <w:t>;</w:t>
            </w:r>
          </w:p>
          <w:p w14:paraId="014E4454" w14:textId="17B2E678" w:rsidR="000D306C" w:rsidRPr="00A90756" w:rsidRDefault="000D306C" w:rsidP="00DF3984">
            <w:pPr>
              <w:pStyle w:val="Other10"/>
              <w:numPr>
                <w:ilvl w:val="0"/>
                <w:numId w:val="21"/>
              </w:numPr>
              <w:tabs>
                <w:tab w:val="left" w:pos="187"/>
                <w:tab w:val="left" w:pos="970"/>
              </w:tabs>
              <w:spacing w:after="0"/>
              <w:jc w:val="both"/>
              <w:rPr>
                <w:rFonts w:ascii="Garamond" w:hAnsi="Garamond"/>
                <w:sz w:val="16"/>
                <w:szCs w:val="16"/>
              </w:rPr>
            </w:pPr>
            <w:r w:rsidRPr="00A90756">
              <w:rPr>
                <w:rStyle w:val="Other1"/>
                <w:rFonts w:ascii="Garamond" w:hAnsi="Garamond"/>
                <w:sz w:val="16"/>
                <w:szCs w:val="16"/>
              </w:rPr>
              <w:t xml:space="preserve">Ngritja ose mbështetja e </w:t>
            </w:r>
            <w:r w:rsidRPr="00A90756">
              <w:rPr>
                <w:rStyle w:val="Other1"/>
                <w:rFonts w:ascii="Garamond" w:hAnsi="Garamond"/>
                <w:i/>
                <w:sz w:val="16"/>
                <w:szCs w:val="16"/>
              </w:rPr>
              <w:t>guest</w:t>
            </w:r>
            <w:r w:rsidRPr="00A90756">
              <w:rPr>
                <w:rStyle w:val="Other1"/>
                <w:rFonts w:ascii="Garamond" w:hAnsi="Garamond"/>
                <w:sz w:val="16"/>
                <w:szCs w:val="16"/>
              </w:rPr>
              <w:t xml:space="preserve"> </w:t>
            </w:r>
            <w:r w:rsidRPr="00A90756">
              <w:rPr>
                <w:rStyle w:val="Other1"/>
                <w:rFonts w:ascii="Garamond" w:hAnsi="Garamond"/>
                <w:i/>
                <w:sz w:val="16"/>
                <w:szCs w:val="16"/>
              </w:rPr>
              <w:t>house-</w:t>
            </w:r>
            <w:r w:rsidRPr="00A90756">
              <w:rPr>
                <w:rStyle w:val="Other1"/>
                <w:rFonts w:ascii="Garamond" w:hAnsi="Garamond"/>
                <w:sz w:val="16"/>
                <w:szCs w:val="16"/>
              </w:rPr>
              <w:t xml:space="preserve">ve tashmë të ngritura me rritje kapacitetesh dhe me ndarje </w:t>
            </w:r>
            <w:r w:rsidRPr="00A90756">
              <w:rPr>
                <w:rStyle w:val="Other1"/>
                <w:rFonts w:ascii="Garamond" w:hAnsi="Garamond"/>
                <w:sz w:val="16"/>
                <w:szCs w:val="16"/>
              </w:rPr>
              <w:lastRenderedPageBreak/>
              <w:t>eksperiencash duke u fokusuar tek ruajtja e traditës lokale (p.sh</w:t>
            </w:r>
            <w:r w:rsidRPr="00A90756">
              <w:rPr>
                <w:rStyle w:val="Other1"/>
                <w:rFonts w:ascii="Garamond" w:hAnsi="Garamond"/>
                <w:sz w:val="16"/>
                <w:szCs w:val="16"/>
              </w:rPr>
              <w:tab/>
              <w:t>kostumeve, gatimeve, valleve dhe këngëve, artizanatit etj.)</w:t>
            </w:r>
            <w:r w:rsidR="00DF3984" w:rsidRPr="00A90756">
              <w:rPr>
                <w:rStyle w:val="Other1"/>
                <w:rFonts w:ascii="Garamond" w:hAnsi="Garamond"/>
                <w:sz w:val="16"/>
                <w:szCs w:val="16"/>
              </w:rPr>
              <w:t>;</w:t>
            </w:r>
          </w:p>
          <w:p w14:paraId="014E4455" w14:textId="454035CD" w:rsidR="000D306C" w:rsidRPr="00A90756" w:rsidRDefault="000D306C" w:rsidP="00DF3984">
            <w:pPr>
              <w:pStyle w:val="Other10"/>
              <w:numPr>
                <w:ilvl w:val="0"/>
                <w:numId w:val="21"/>
              </w:numPr>
              <w:tabs>
                <w:tab w:val="left" w:pos="187"/>
                <w:tab w:val="left" w:pos="451"/>
                <w:tab w:val="left" w:pos="974"/>
                <w:tab w:val="right" w:pos="2496"/>
              </w:tabs>
              <w:spacing w:after="0"/>
              <w:jc w:val="both"/>
              <w:rPr>
                <w:rFonts w:ascii="Garamond" w:hAnsi="Garamond"/>
                <w:sz w:val="16"/>
                <w:szCs w:val="16"/>
              </w:rPr>
            </w:pPr>
            <w:r w:rsidRPr="00A90756">
              <w:rPr>
                <w:rStyle w:val="Other1"/>
                <w:rFonts w:ascii="Garamond" w:hAnsi="Garamond"/>
                <w:sz w:val="16"/>
                <w:szCs w:val="16"/>
              </w:rPr>
              <w:t>Kurse trajnimi të bazuara në një skemë kreditesh për guida turistike profesioniste në bashkëpunim me shoqata të akredituara guidash turistike</w:t>
            </w:r>
            <w:r w:rsidR="00DF3984" w:rsidRPr="00A90756">
              <w:rPr>
                <w:rStyle w:val="Other1"/>
                <w:rFonts w:ascii="Garamond" w:hAnsi="Garamond"/>
                <w:sz w:val="16"/>
                <w:szCs w:val="16"/>
              </w:rPr>
              <w:t>.</w:t>
            </w:r>
          </w:p>
        </w:tc>
        <w:tc>
          <w:tcPr>
            <w:tcW w:w="1044" w:type="pct"/>
            <w:tcBorders>
              <w:top w:val="single" w:sz="4" w:space="0" w:color="auto"/>
              <w:left w:val="single" w:sz="4" w:space="0" w:color="auto"/>
            </w:tcBorders>
            <w:shd w:val="clear" w:color="auto" w:fill="auto"/>
            <w:vAlign w:val="bottom"/>
          </w:tcPr>
          <w:p w14:paraId="014E445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lastRenderedPageBreak/>
              <w:t>Rezultatet</w:t>
            </w:r>
          </w:p>
          <w:p w14:paraId="014E4457" w14:textId="5AA6CD99" w:rsidR="000D306C" w:rsidRPr="00A90756" w:rsidRDefault="00DF3984" w:rsidP="00DF3984">
            <w:pPr>
              <w:pStyle w:val="Other10"/>
              <w:tabs>
                <w:tab w:val="left" w:pos="960"/>
                <w:tab w:val="left" w:pos="1378"/>
                <w:tab w:val="left" w:pos="1939"/>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produkteve të reja të përbashkëta të komercializuara</w:t>
            </w:r>
            <w:r w:rsidR="000D306C" w:rsidRPr="00A90756">
              <w:rPr>
                <w:rStyle w:val="Other1"/>
                <w:rFonts w:ascii="Garamond" w:hAnsi="Garamond"/>
                <w:sz w:val="16"/>
                <w:szCs w:val="16"/>
                <w:vertAlign w:val="superscript"/>
              </w:rPr>
              <w:footnoteReference w:id="15"/>
            </w:r>
            <w:r w:rsidRPr="00A90756">
              <w:rPr>
                <w:rStyle w:val="Other1"/>
                <w:rFonts w:ascii="Garamond" w:hAnsi="Garamond"/>
                <w:sz w:val="16"/>
                <w:szCs w:val="16"/>
              </w:rPr>
              <w:t>;</w:t>
            </w:r>
          </w:p>
        </w:tc>
        <w:tc>
          <w:tcPr>
            <w:tcW w:w="354" w:type="pct"/>
            <w:tcBorders>
              <w:top w:val="single" w:sz="4" w:space="0" w:color="auto"/>
              <w:left w:val="single" w:sz="4" w:space="0" w:color="auto"/>
            </w:tcBorders>
            <w:shd w:val="clear" w:color="auto" w:fill="auto"/>
            <w:vAlign w:val="center"/>
          </w:tcPr>
          <w:p w14:paraId="014E4458"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427" w:type="pct"/>
            <w:tcBorders>
              <w:top w:val="single" w:sz="4" w:space="0" w:color="auto"/>
              <w:left w:val="single" w:sz="4" w:space="0" w:color="auto"/>
            </w:tcBorders>
            <w:shd w:val="clear" w:color="auto" w:fill="auto"/>
            <w:vAlign w:val="center"/>
          </w:tcPr>
          <w:p w14:paraId="014E4459"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9</w:t>
            </w:r>
          </w:p>
        </w:tc>
        <w:tc>
          <w:tcPr>
            <w:tcW w:w="431" w:type="pct"/>
            <w:vMerge w:val="restart"/>
            <w:tcBorders>
              <w:top w:val="single" w:sz="4" w:space="0" w:color="auto"/>
              <w:left w:val="single" w:sz="4" w:space="0" w:color="auto"/>
              <w:right w:val="single" w:sz="4" w:space="0" w:color="auto"/>
            </w:tcBorders>
            <w:shd w:val="clear" w:color="auto" w:fill="auto"/>
          </w:tcPr>
          <w:p w14:paraId="014E445A" w14:textId="4699970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xml:space="preserve">- Raporti i </w:t>
            </w:r>
            <w:r w:rsidR="00DF3984" w:rsidRPr="00A90756">
              <w:rPr>
                <w:rStyle w:val="Other1"/>
                <w:rFonts w:ascii="Garamond" w:hAnsi="Garamond"/>
                <w:sz w:val="16"/>
                <w:szCs w:val="16"/>
              </w:rPr>
              <w:t>përfituesve;</w:t>
            </w:r>
            <w:r w:rsidRPr="00A90756">
              <w:rPr>
                <w:rStyle w:val="Other1"/>
                <w:rFonts w:ascii="Garamond" w:hAnsi="Garamond"/>
                <w:sz w:val="16"/>
                <w:szCs w:val="16"/>
              </w:rPr>
              <w:t xml:space="preserve"> </w:t>
            </w:r>
          </w:p>
          <w:p w14:paraId="014E445B" w14:textId="0D43D52B"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w:t>
            </w:r>
            <w:r w:rsidR="00DF3984" w:rsidRPr="00A90756">
              <w:rPr>
                <w:rFonts w:ascii="Garamond" w:hAnsi="Garamond"/>
                <w:sz w:val="16"/>
                <w:szCs w:val="16"/>
              </w:rPr>
              <w:t xml:space="preserve"> </w:t>
            </w:r>
            <w:r w:rsidRPr="00A90756">
              <w:rPr>
                <w:rFonts w:ascii="Garamond" w:hAnsi="Garamond"/>
                <w:sz w:val="16"/>
                <w:szCs w:val="16"/>
              </w:rPr>
              <w:t>Raporti Vjetor i Zbatimit (AIR)</w:t>
            </w:r>
            <w:r w:rsidR="00DF3984" w:rsidRPr="00A90756">
              <w:rPr>
                <w:rFonts w:ascii="Garamond" w:hAnsi="Garamond"/>
                <w:sz w:val="16"/>
                <w:szCs w:val="16"/>
              </w:rPr>
              <w:t>;</w:t>
            </w:r>
          </w:p>
          <w:p w14:paraId="014E445C" w14:textId="6A0D481E"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w:t>
            </w:r>
            <w:r w:rsidR="00DF3984" w:rsidRPr="00A90756">
              <w:rPr>
                <w:rStyle w:val="Other1"/>
                <w:rFonts w:ascii="Garamond" w:hAnsi="Garamond"/>
                <w:sz w:val="16"/>
                <w:szCs w:val="16"/>
              </w:rPr>
              <w:t xml:space="preserve"> </w:t>
            </w:r>
            <w:r w:rsidRPr="00A90756">
              <w:rPr>
                <w:rStyle w:val="Other1"/>
                <w:rFonts w:ascii="Garamond" w:hAnsi="Garamond"/>
                <w:sz w:val="16"/>
                <w:szCs w:val="16"/>
              </w:rPr>
              <w:t>Sistemi i monitorimit</w:t>
            </w:r>
            <w:r w:rsidR="00DF3984" w:rsidRPr="00A90756">
              <w:rPr>
                <w:rStyle w:val="Other1"/>
                <w:rFonts w:ascii="Garamond" w:hAnsi="Garamond"/>
                <w:sz w:val="16"/>
                <w:szCs w:val="16"/>
              </w:rPr>
              <w:t>;</w:t>
            </w:r>
            <w:r w:rsidRPr="00A90756">
              <w:rPr>
                <w:rStyle w:val="Other1"/>
                <w:rFonts w:ascii="Garamond" w:hAnsi="Garamond"/>
                <w:sz w:val="16"/>
                <w:szCs w:val="16"/>
              </w:rPr>
              <w:t xml:space="preserve"> - RAJ</w:t>
            </w:r>
            <w:r w:rsidR="00DF3984" w:rsidRPr="00A90756">
              <w:rPr>
                <w:rStyle w:val="Other1"/>
                <w:rFonts w:ascii="Garamond" w:hAnsi="Garamond"/>
                <w:sz w:val="16"/>
                <w:szCs w:val="16"/>
              </w:rPr>
              <w:t>.</w:t>
            </w:r>
          </w:p>
        </w:tc>
      </w:tr>
      <w:tr w:rsidR="000D306C" w:rsidRPr="00A90756" w14:paraId="014E4465" w14:textId="77777777" w:rsidTr="000D306C">
        <w:trPr>
          <w:trHeight w:val="20"/>
          <w:jc w:val="center"/>
        </w:trPr>
        <w:tc>
          <w:tcPr>
            <w:tcW w:w="993" w:type="pct"/>
            <w:vMerge/>
            <w:tcBorders>
              <w:left w:val="single" w:sz="4" w:space="0" w:color="auto"/>
            </w:tcBorders>
            <w:shd w:val="clear" w:color="auto" w:fill="auto"/>
          </w:tcPr>
          <w:p w14:paraId="014E445E"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tcBorders>
            <w:shd w:val="clear" w:color="auto" w:fill="auto"/>
          </w:tcPr>
          <w:p w14:paraId="014E445F"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tcBorders>
            <w:shd w:val="clear" w:color="auto" w:fill="auto"/>
          </w:tcPr>
          <w:p w14:paraId="014E4460"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tcBorders>
            <w:shd w:val="clear" w:color="auto" w:fill="auto"/>
            <w:vAlign w:val="bottom"/>
          </w:tcPr>
          <w:p w14:paraId="014E4461" w14:textId="5D074A5B" w:rsidR="000D306C" w:rsidRPr="00A90756" w:rsidRDefault="00DF3984" w:rsidP="00DF3984">
            <w:pPr>
              <w:pStyle w:val="Other10"/>
              <w:tabs>
                <w:tab w:val="left" w:pos="1042"/>
                <w:tab w:val="left" w:pos="1512"/>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sajteve historike, kulturore dhe natyrore dhe i godinave të sapohapura për vizita nga publiku</w:t>
            </w:r>
            <w:r w:rsidRPr="00A90756">
              <w:rPr>
                <w:rStyle w:val="Other1"/>
                <w:rFonts w:ascii="Garamond" w:hAnsi="Garamond"/>
                <w:sz w:val="16"/>
                <w:szCs w:val="16"/>
              </w:rPr>
              <w:t>;</w:t>
            </w:r>
          </w:p>
        </w:tc>
        <w:tc>
          <w:tcPr>
            <w:tcW w:w="354" w:type="pct"/>
            <w:tcBorders>
              <w:top w:val="single" w:sz="4" w:space="0" w:color="auto"/>
              <w:left w:val="single" w:sz="4" w:space="0" w:color="auto"/>
            </w:tcBorders>
            <w:shd w:val="clear" w:color="auto" w:fill="auto"/>
            <w:vAlign w:val="center"/>
          </w:tcPr>
          <w:p w14:paraId="014E446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427" w:type="pct"/>
            <w:tcBorders>
              <w:top w:val="single" w:sz="4" w:space="0" w:color="auto"/>
              <w:left w:val="single" w:sz="4" w:space="0" w:color="auto"/>
            </w:tcBorders>
            <w:shd w:val="clear" w:color="auto" w:fill="auto"/>
            <w:vAlign w:val="center"/>
          </w:tcPr>
          <w:p w14:paraId="014E446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3</w:t>
            </w:r>
          </w:p>
        </w:tc>
        <w:tc>
          <w:tcPr>
            <w:tcW w:w="431" w:type="pct"/>
            <w:vMerge/>
            <w:tcBorders>
              <w:left w:val="single" w:sz="4" w:space="0" w:color="auto"/>
              <w:right w:val="single" w:sz="4" w:space="0" w:color="auto"/>
            </w:tcBorders>
            <w:shd w:val="clear" w:color="auto" w:fill="auto"/>
          </w:tcPr>
          <w:p w14:paraId="014E4464" w14:textId="77777777" w:rsidR="000D306C" w:rsidRPr="00A90756" w:rsidRDefault="000D306C" w:rsidP="000D306C">
            <w:pPr>
              <w:spacing w:after="0" w:line="240" w:lineRule="auto"/>
              <w:rPr>
                <w:rFonts w:ascii="Garamond" w:hAnsi="Garamond"/>
                <w:sz w:val="16"/>
                <w:szCs w:val="16"/>
              </w:rPr>
            </w:pPr>
          </w:p>
        </w:tc>
      </w:tr>
      <w:tr w:rsidR="000D306C" w:rsidRPr="00A90756" w14:paraId="014E446D" w14:textId="77777777" w:rsidTr="000D306C">
        <w:trPr>
          <w:trHeight w:val="20"/>
          <w:jc w:val="center"/>
        </w:trPr>
        <w:tc>
          <w:tcPr>
            <w:tcW w:w="993" w:type="pct"/>
            <w:vMerge/>
            <w:tcBorders>
              <w:left w:val="single" w:sz="4" w:space="0" w:color="auto"/>
            </w:tcBorders>
            <w:shd w:val="clear" w:color="auto" w:fill="auto"/>
          </w:tcPr>
          <w:p w14:paraId="014E4466"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tcBorders>
            <w:shd w:val="clear" w:color="auto" w:fill="auto"/>
          </w:tcPr>
          <w:p w14:paraId="014E4467"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tcBorders>
            <w:shd w:val="clear" w:color="auto" w:fill="auto"/>
          </w:tcPr>
          <w:p w14:paraId="014E4468"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tcBorders>
            <w:shd w:val="clear" w:color="auto" w:fill="auto"/>
            <w:vAlign w:val="center"/>
          </w:tcPr>
          <w:p w14:paraId="014E4469" w14:textId="092FD532" w:rsidR="000D306C" w:rsidRPr="00A90756" w:rsidRDefault="00DF3984" w:rsidP="00DF3984">
            <w:pPr>
              <w:pStyle w:val="Other10"/>
              <w:tabs>
                <w:tab w:val="left" w:pos="1051"/>
                <w:tab w:val="left" w:pos="1478"/>
                <w:tab w:val="left" w:pos="1978"/>
              </w:tabs>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Përqindja e ofertave turistike të gjeneruara</w:t>
            </w:r>
            <w:r w:rsidR="000D306C" w:rsidRPr="00A90756">
              <w:rPr>
                <w:rStyle w:val="Other1"/>
                <w:rFonts w:ascii="Garamond" w:hAnsi="Garamond"/>
                <w:sz w:val="16"/>
                <w:szCs w:val="16"/>
              </w:rPr>
              <w:tab/>
              <w:t>nga</w:t>
            </w:r>
            <w:r w:rsidRPr="00A90756">
              <w:rPr>
                <w:rStyle w:val="Other1"/>
                <w:rFonts w:ascii="Garamond" w:hAnsi="Garamond"/>
                <w:sz w:val="16"/>
                <w:szCs w:val="16"/>
              </w:rPr>
              <w:t xml:space="preserve"> </w:t>
            </w:r>
            <w:r w:rsidR="000D306C" w:rsidRPr="00A90756">
              <w:rPr>
                <w:rStyle w:val="Other1"/>
                <w:rFonts w:ascii="Garamond" w:hAnsi="Garamond"/>
                <w:sz w:val="16"/>
                <w:szCs w:val="16"/>
              </w:rPr>
              <w:t>iniciativat BNK dhe të përshtatura për operatorët turistikë aktivë në zonë</w:t>
            </w:r>
            <w:r w:rsidRPr="00A90756">
              <w:rPr>
                <w:rStyle w:val="Other1"/>
                <w:rFonts w:ascii="Garamond" w:hAnsi="Garamond"/>
                <w:sz w:val="16"/>
                <w:szCs w:val="16"/>
              </w:rPr>
              <w:t>;</w:t>
            </w:r>
          </w:p>
        </w:tc>
        <w:tc>
          <w:tcPr>
            <w:tcW w:w="354" w:type="pct"/>
            <w:tcBorders>
              <w:top w:val="single" w:sz="4" w:space="0" w:color="auto"/>
              <w:left w:val="single" w:sz="4" w:space="0" w:color="auto"/>
            </w:tcBorders>
            <w:shd w:val="clear" w:color="auto" w:fill="auto"/>
            <w:vAlign w:val="center"/>
          </w:tcPr>
          <w:p w14:paraId="014E446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10%</w:t>
            </w:r>
          </w:p>
        </w:tc>
        <w:tc>
          <w:tcPr>
            <w:tcW w:w="427" w:type="pct"/>
            <w:tcBorders>
              <w:top w:val="single" w:sz="4" w:space="0" w:color="auto"/>
              <w:left w:val="single" w:sz="4" w:space="0" w:color="auto"/>
            </w:tcBorders>
            <w:shd w:val="clear" w:color="auto" w:fill="auto"/>
            <w:vAlign w:val="center"/>
          </w:tcPr>
          <w:p w14:paraId="014E446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15%</w:t>
            </w:r>
          </w:p>
        </w:tc>
        <w:tc>
          <w:tcPr>
            <w:tcW w:w="431" w:type="pct"/>
            <w:vMerge/>
            <w:tcBorders>
              <w:left w:val="single" w:sz="4" w:space="0" w:color="auto"/>
              <w:right w:val="single" w:sz="4" w:space="0" w:color="auto"/>
            </w:tcBorders>
            <w:shd w:val="clear" w:color="auto" w:fill="auto"/>
          </w:tcPr>
          <w:p w14:paraId="014E446C" w14:textId="77777777" w:rsidR="000D306C" w:rsidRPr="00A90756" w:rsidRDefault="000D306C" w:rsidP="000D306C">
            <w:pPr>
              <w:spacing w:after="0" w:line="240" w:lineRule="auto"/>
              <w:rPr>
                <w:rFonts w:ascii="Garamond" w:hAnsi="Garamond"/>
                <w:sz w:val="16"/>
                <w:szCs w:val="16"/>
              </w:rPr>
            </w:pPr>
          </w:p>
        </w:tc>
      </w:tr>
      <w:tr w:rsidR="000D306C" w:rsidRPr="00A90756" w14:paraId="014E4475" w14:textId="77777777" w:rsidTr="000D306C">
        <w:trPr>
          <w:trHeight w:val="20"/>
          <w:jc w:val="center"/>
        </w:trPr>
        <w:tc>
          <w:tcPr>
            <w:tcW w:w="993" w:type="pct"/>
            <w:vMerge/>
            <w:tcBorders>
              <w:left w:val="single" w:sz="4" w:space="0" w:color="auto"/>
            </w:tcBorders>
            <w:shd w:val="clear" w:color="auto" w:fill="auto"/>
          </w:tcPr>
          <w:p w14:paraId="014E446E"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tcBorders>
            <w:shd w:val="clear" w:color="auto" w:fill="auto"/>
          </w:tcPr>
          <w:p w14:paraId="014E446F"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tcBorders>
            <w:shd w:val="clear" w:color="auto" w:fill="auto"/>
          </w:tcPr>
          <w:p w14:paraId="014E4470"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tcBorders>
            <w:shd w:val="clear" w:color="auto" w:fill="auto"/>
            <w:vAlign w:val="center"/>
          </w:tcPr>
          <w:p w14:paraId="014E4471" w14:textId="47BFD13D" w:rsidR="000D306C" w:rsidRPr="00A90756" w:rsidRDefault="00DF3984" w:rsidP="00DF3984">
            <w:pPr>
              <w:pStyle w:val="Other10"/>
              <w:spacing w:after="0"/>
              <w:rPr>
                <w:rFonts w:ascii="Garamond" w:hAnsi="Garamond"/>
                <w:sz w:val="16"/>
                <w:szCs w:val="16"/>
              </w:rPr>
            </w:pPr>
            <w:r w:rsidRPr="00A90756">
              <w:rPr>
                <w:rStyle w:val="Other1"/>
                <w:rFonts w:ascii="Garamond" w:hAnsi="Garamond"/>
                <w:sz w:val="16"/>
                <w:szCs w:val="16"/>
              </w:rPr>
              <w:t xml:space="preserve">- </w:t>
            </w:r>
            <w:r w:rsidR="000D306C" w:rsidRPr="00A90756">
              <w:rPr>
                <w:rStyle w:val="Other1"/>
                <w:rFonts w:ascii="Garamond" w:hAnsi="Garamond"/>
                <w:sz w:val="16"/>
                <w:szCs w:val="16"/>
              </w:rPr>
              <w:t>Numri i turistëve që përdorin produktet e reja/të përmirësuara</w:t>
            </w:r>
            <w:r w:rsidRPr="00A90756">
              <w:rPr>
                <w:rStyle w:val="Other1"/>
                <w:rFonts w:ascii="Garamond" w:hAnsi="Garamond"/>
                <w:sz w:val="16"/>
                <w:szCs w:val="16"/>
              </w:rPr>
              <w:t>;</w:t>
            </w:r>
          </w:p>
        </w:tc>
        <w:tc>
          <w:tcPr>
            <w:tcW w:w="354" w:type="pct"/>
            <w:tcBorders>
              <w:top w:val="single" w:sz="4" w:space="0" w:color="auto"/>
              <w:left w:val="single" w:sz="4" w:space="0" w:color="auto"/>
            </w:tcBorders>
            <w:shd w:val="clear" w:color="auto" w:fill="auto"/>
            <w:vAlign w:val="bottom"/>
          </w:tcPr>
          <w:p w14:paraId="014E447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100</w:t>
            </w:r>
          </w:p>
        </w:tc>
        <w:tc>
          <w:tcPr>
            <w:tcW w:w="427" w:type="pct"/>
            <w:tcBorders>
              <w:top w:val="single" w:sz="4" w:space="0" w:color="auto"/>
              <w:left w:val="single" w:sz="4" w:space="0" w:color="auto"/>
            </w:tcBorders>
            <w:shd w:val="clear" w:color="auto" w:fill="auto"/>
            <w:vAlign w:val="bottom"/>
          </w:tcPr>
          <w:p w14:paraId="014E447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1100</w:t>
            </w:r>
          </w:p>
        </w:tc>
        <w:tc>
          <w:tcPr>
            <w:tcW w:w="431" w:type="pct"/>
            <w:vMerge/>
            <w:tcBorders>
              <w:left w:val="single" w:sz="4" w:space="0" w:color="auto"/>
              <w:right w:val="single" w:sz="4" w:space="0" w:color="auto"/>
            </w:tcBorders>
            <w:shd w:val="clear" w:color="auto" w:fill="auto"/>
          </w:tcPr>
          <w:p w14:paraId="014E4474" w14:textId="77777777" w:rsidR="000D306C" w:rsidRPr="00A90756" w:rsidRDefault="000D306C" w:rsidP="000D306C">
            <w:pPr>
              <w:spacing w:after="0" w:line="240" w:lineRule="auto"/>
              <w:rPr>
                <w:rFonts w:ascii="Garamond" w:hAnsi="Garamond"/>
                <w:sz w:val="16"/>
                <w:szCs w:val="16"/>
              </w:rPr>
            </w:pPr>
          </w:p>
        </w:tc>
      </w:tr>
      <w:tr w:rsidR="000D306C" w:rsidRPr="00A90756" w14:paraId="014E447D" w14:textId="77777777" w:rsidTr="000D306C">
        <w:trPr>
          <w:trHeight w:val="20"/>
          <w:jc w:val="center"/>
        </w:trPr>
        <w:tc>
          <w:tcPr>
            <w:tcW w:w="993" w:type="pct"/>
            <w:vMerge/>
            <w:tcBorders>
              <w:left w:val="single" w:sz="4" w:space="0" w:color="auto"/>
            </w:tcBorders>
            <w:shd w:val="clear" w:color="auto" w:fill="auto"/>
          </w:tcPr>
          <w:p w14:paraId="014E4476"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tcBorders>
            <w:shd w:val="clear" w:color="auto" w:fill="auto"/>
          </w:tcPr>
          <w:p w14:paraId="014E4477"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tcBorders>
            <w:shd w:val="clear" w:color="auto" w:fill="auto"/>
          </w:tcPr>
          <w:p w14:paraId="014E4478"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tcBorders>
            <w:shd w:val="clear" w:color="auto" w:fill="auto"/>
            <w:vAlign w:val="center"/>
          </w:tcPr>
          <w:p w14:paraId="014E4479" w14:textId="24CAF2DE" w:rsidR="000D306C" w:rsidRPr="00A90756" w:rsidRDefault="000D306C" w:rsidP="000D306C">
            <w:pPr>
              <w:pStyle w:val="Other10"/>
              <w:tabs>
                <w:tab w:val="left" w:pos="696"/>
                <w:tab w:val="left" w:pos="1090"/>
                <w:tab w:val="left" w:pos="1598"/>
              </w:tabs>
              <w:spacing w:after="0"/>
              <w:rPr>
                <w:rFonts w:ascii="Garamond" w:hAnsi="Garamond"/>
                <w:sz w:val="16"/>
                <w:szCs w:val="16"/>
              </w:rPr>
            </w:pPr>
            <w:r w:rsidRPr="00A90756">
              <w:rPr>
                <w:rStyle w:val="Other1"/>
                <w:rFonts w:ascii="Garamond" w:hAnsi="Garamond"/>
                <w:sz w:val="16"/>
                <w:szCs w:val="16"/>
              </w:rPr>
              <w:t>- Numri i vendeve të punës të krijuara si rezultat i aktiviteteve të zbatuara në sektorin e turizmit</w:t>
            </w:r>
            <w:r w:rsidR="00DF3984" w:rsidRPr="00A90756">
              <w:rPr>
                <w:rStyle w:val="Other1"/>
                <w:rFonts w:ascii="Garamond" w:hAnsi="Garamond"/>
                <w:sz w:val="16"/>
                <w:szCs w:val="16"/>
              </w:rPr>
              <w:t>.</w:t>
            </w:r>
          </w:p>
        </w:tc>
        <w:tc>
          <w:tcPr>
            <w:tcW w:w="354" w:type="pct"/>
            <w:tcBorders>
              <w:top w:val="single" w:sz="4" w:space="0" w:color="auto"/>
              <w:left w:val="single" w:sz="4" w:space="0" w:color="auto"/>
            </w:tcBorders>
            <w:shd w:val="clear" w:color="auto" w:fill="auto"/>
          </w:tcPr>
          <w:p w14:paraId="014E447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427" w:type="pct"/>
            <w:tcBorders>
              <w:top w:val="single" w:sz="4" w:space="0" w:color="auto"/>
              <w:left w:val="single" w:sz="4" w:space="0" w:color="auto"/>
            </w:tcBorders>
            <w:shd w:val="clear" w:color="auto" w:fill="auto"/>
          </w:tcPr>
          <w:p w14:paraId="014E447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20</w:t>
            </w:r>
          </w:p>
        </w:tc>
        <w:tc>
          <w:tcPr>
            <w:tcW w:w="431" w:type="pct"/>
            <w:vMerge/>
            <w:tcBorders>
              <w:left w:val="single" w:sz="4" w:space="0" w:color="auto"/>
              <w:right w:val="single" w:sz="4" w:space="0" w:color="auto"/>
            </w:tcBorders>
            <w:shd w:val="clear" w:color="auto" w:fill="auto"/>
          </w:tcPr>
          <w:p w14:paraId="014E447C" w14:textId="77777777" w:rsidR="000D306C" w:rsidRPr="00A90756" w:rsidRDefault="000D306C" w:rsidP="000D306C">
            <w:pPr>
              <w:spacing w:after="0" w:line="240" w:lineRule="auto"/>
              <w:rPr>
                <w:rFonts w:ascii="Garamond" w:hAnsi="Garamond"/>
                <w:sz w:val="16"/>
                <w:szCs w:val="16"/>
              </w:rPr>
            </w:pPr>
          </w:p>
        </w:tc>
      </w:tr>
      <w:tr w:rsidR="000D306C" w:rsidRPr="00A90756" w14:paraId="014E4486" w14:textId="77777777" w:rsidTr="000D306C">
        <w:trPr>
          <w:trHeight w:val="20"/>
          <w:jc w:val="center"/>
        </w:trPr>
        <w:tc>
          <w:tcPr>
            <w:tcW w:w="993" w:type="pct"/>
            <w:vMerge/>
            <w:tcBorders>
              <w:left w:val="single" w:sz="4" w:space="0" w:color="auto"/>
            </w:tcBorders>
            <w:shd w:val="clear" w:color="auto" w:fill="auto"/>
          </w:tcPr>
          <w:p w14:paraId="014E447E"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tcBorders>
            <w:shd w:val="clear" w:color="auto" w:fill="auto"/>
          </w:tcPr>
          <w:p w14:paraId="014E447F"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tcBorders>
            <w:shd w:val="clear" w:color="auto" w:fill="auto"/>
          </w:tcPr>
          <w:p w14:paraId="014E4480"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tcBorders>
            <w:shd w:val="clear" w:color="auto" w:fill="auto"/>
            <w:vAlign w:val="center"/>
          </w:tcPr>
          <w:p w14:paraId="014E4481"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t>Rezultatet</w:t>
            </w:r>
          </w:p>
          <w:p w14:paraId="014E4482" w14:textId="77777777" w:rsidR="000D306C" w:rsidRPr="00A90756" w:rsidRDefault="000D306C" w:rsidP="000D306C">
            <w:pPr>
              <w:pStyle w:val="Other10"/>
              <w:tabs>
                <w:tab w:val="left" w:pos="264"/>
                <w:tab w:val="left" w:pos="1085"/>
                <w:tab w:val="left" w:pos="1440"/>
                <w:tab w:val="left" w:pos="1939"/>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Numri i produkteve të reja të qëndrueshme</w:t>
            </w:r>
            <w:r w:rsidRPr="00A90756">
              <w:rPr>
                <w:rStyle w:val="FootnoteReference"/>
                <w:rFonts w:ascii="Garamond" w:hAnsi="Garamond"/>
                <w:sz w:val="16"/>
                <w:szCs w:val="16"/>
              </w:rPr>
              <w:footnoteReference w:id="16"/>
            </w:r>
            <w:r w:rsidRPr="00A90756">
              <w:rPr>
                <w:rStyle w:val="Other1"/>
                <w:rFonts w:ascii="Garamond" w:hAnsi="Garamond"/>
                <w:sz w:val="16"/>
                <w:szCs w:val="16"/>
              </w:rPr>
              <w:t xml:space="preserve"> dhe të përbashkëta të zhvilluara</w:t>
            </w:r>
            <w:r w:rsidRPr="00A90756">
              <w:rPr>
                <w:rStyle w:val="Other1"/>
                <w:rFonts w:ascii="Garamond" w:hAnsi="Garamond"/>
                <w:sz w:val="16"/>
                <w:szCs w:val="16"/>
                <w:vertAlign w:val="superscript"/>
              </w:rPr>
              <w:footnoteReference w:id="17"/>
            </w:r>
            <w:r w:rsidRPr="00A90756">
              <w:rPr>
                <w:rStyle w:val="Other1"/>
                <w:rFonts w:ascii="Garamond" w:hAnsi="Garamond"/>
                <w:sz w:val="16"/>
                <w:szCs w:val="16"/>
              </w:rPr>
              <w:t>;</w:t>
            </w:r>
          </w:p>
        </w:tc>
        <w:tc>
          <w:tcPr>
            <w:tcW w:w="354" w:type="pct"/>
            <w:tcBorders>
              <w:top w:val="single" w:sz="4" w:space="0" w:color="auto"/>
              <w:left w:val="single" w:sz="4" w:space="0" w:color="auto"/>
            </w:tcBorders>
            <w:shd w:val="clear" w:color="auto" w:fill="auto"/>
            <w:vAlign w:val="center"/>
          </w:tcPr>
          <w:p w14:paraId="014E448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5</w:t>
            </w:r>
          </w:p>
        </w:tc>
        <w:tc>
          <w:tcPr>
            <w:tcW w:w="427" w:type="pct"/>
            <w:tcBorders>
              <w:top w:val="single" w:sz="4" w:space="0" w:color="auto"/>
              <w:left w:val="single" w:sz="4" w:space="0" w:color="auto"/>
            </w:tcBorders>
            <w:shd w:val="clear" w:color="auto" w:fill="auto"/>
            <w:vAlign w:val="center"/>
          </w:tcPr>
          <w:p w14:paraId="014E448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15</w:t>
            </w:r>
          </w:p>
        </w:tc>
        <w:tc>
          <w:tcPr>
            <w:tcW w:w="431" w:type="pct"/>
            <w:vMerge/>
            <w:tcBorders>
              <w:left w:val="single" w:sz="4" w:space="0" w:color="auto"/>
              <w:right w:val="single" w:sz="4" w:space="0" w:color="auto"/>
            </w:tcBorders>
            <w:shd w:val="clear" w:color="auto" w:fill="auto"/>
          </w:tcPr>
          <w:p w14:paraId="014E4485" w14:textId="77777777" w:rsidR="000D306C" w:rsidRPr="00A90756" w:rsidRDefault="000D306C" w:rsidP="000D306C">
            <w:pPr>
              <w:spacing w:after="0" w:line="240" w:lineRule="auto"/>
              <w:rPr>
                <w:rFonts w:ascii="Garamond" w:hAnsi="Garamond"/>
                <w:sz w:val="16"/>
                <w:szCs w:val="16"/>
              </w:rPr>
            </w:pPr>
          </w:p>
        </w:tc>
      </w:tr>
      <w:tr w:rsidR="000D306C" w:rsidRPr="00A90756" w14:paraId="014E448E" w14:textId="77777777" w:rsidTr="000D306C">
        <w:trPr>
          <w:trHeight w:val="20"/>
          <w:jc w:val="center"/>
        </w:trPr>
        <w:tc>
          <w:tcPr>
            <w:tcW w:w="993" w:type="pct"/>
            <w:vMerge/>
            <w:tcBorders>
              <w:left w:val="single" w:sz="4" w:space="0" w:color="auto"/>
            </w:tcBorders>
            <w:shd w:val="clear" w:color="auto" w:fill="auto"/>
          </w:tcPr>
          <w:p w14:paraId="014E4487"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tcBorders>
            <w:shd w:val="clear" w:color="auto" w:fill="auto"/>
          </w:tcPr>
          <w:p w14:paraId="014E4488"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tcBorders>
            <w:shd w:val="clear" w:color="auto" w:fill="auto"/>
          </w:tcPr>
          <w:p w14:paraId="014E4489"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tcBorders>
            <w:shd w:val="clear" w:color="auto" w:fill="auto"/>
          </w:tcPr>
          <w:p w14:paraId="014E448A" w14:textId="77777777" w:rsidR="000D306C" w:rsidRPr="00A90756" w:rsidRDefault="000D306C" w:rsidP="000D306C">
            <w:pPr>
              <w:pStyle w:val="Other10"/>
              <w:tabs>
                <w:tab w:val="left" w:pos="259"/>
                <w:tab w:val="left" w:pos="1075"/>
                <w:tab w:val="left" w:pos="1411"/>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 xml:space="preserve">Numri i investimeve të </w:t>
            </w:r>
            <w:r w:rsidRPr="00A90756">
              <w:rPr>
                <w:rStyle w:val="Other1"/>
                <w:rFonts w:ascii="Garamond" w:hAnsi="Garamond"/>
                <w:sz w:val="16"/>
                <w:szCs w:val="16"/>
              </w:rPr>
              <w:lastRenderedPageBreak/>
              <w:t>vogla në infrastrukturën turistike;</w:t>
            </w:r>
          </w:p>
        </w:tc>
        <w:tc>
          <w:tcPr>
            <w:tcW w:w="354" w:type="pct"/>
            <w:tcBorders>
              <w:top w:val="single" w:sz="4" w:space="0" w:color="auto"/>
              <w:left w:val="single" w:sz="4" w:space="0" w:color="auto"/>
            </w:tcBorders>
            <w:shd w:val="clear" w:color="auto" w:fill="auto"/>
            <w:vAlign w:val="center"/>
          </w:tcPr>
          <w:p w14:paraId="014E448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lastRenderedPageBreak/>
              <w:t>2</w:t>
            </w:r>
          </w:p>
        </w:tc>
        <w:tc>
          <w:tcPr>
            <w:tcW w:w="427" w:type="pct"/>
            <w:tcBorders>
              <w:top w:val="single" w:sz="4" w:space="0" w:color="auto"/>
              <w:left w:val="single" w:sz="4" w:space="0" w:color="auto"/>
            </w:tcBorders>
            <w:shd w:val="clear" w:color="auto" w:fill="auto"/>
            <w:vAlign w:val="center"/>
          </w:tcPr>
          <w:p w14:paraId="014E448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431" w:type="pct"/>
            <w:vMerge/>
            <w:tcBorders>
              <w:left w:val="single" w:sz="4" w:space="0" w:color="auto"/>
              <w:right w:val="single" w:sz="4" w:space="0" w:color="auto"/>
            </w:tcBorders>
            <w:shd w:val="clear" w:color="auto" w:fill="auto"/>
          </w:tcPr>
          <w:p w14:paraId="014E448D" w14:textId="77777777" w:rsidR="000D306C" w:rsidRPr="00A90756" w:rsidRDefault="000D306C" w:rsidP="000D306C">
            <w:pPr>
              <w:spacing w:after="0" w:line="240" w:lineRule="auto"/>
              <w:rPr>
                <w:rFonts w:ascii="Garamond" w:hAnsi="Garamond"/>
                <w:sz w:val="16"/>
                <w:szCs w:val="16"/>
              </w:rPr>
            </w:pPr>
          </w:p>
        </w:tc>
      </w:tr>
      <w:tr w:rsidR="000D306C" w:rsidRPr="00A90756" w14:paraId="014E4496" w14:textId="77777777" w:rsidTr="000D306C">
        <w:trPr>
          <w:trHeight w:val="20"/>
          <w:jc w:val="center"/>
        </w:trPr>
        <w:tc>
          <w:tcPr>
            <w:tcW w:w="993" w:type="pct"/>
            <w:vMerge/>
            <w:tcBorders>
              <w:left w:val="single" w:sz="4" w:space="0" w:color="auto"/>
            </w:tcBorders>
            <w:shd w:val="clear" w:color="auto" w:fill="auto"/>
          </w:tcPr>
          <w:p w14:paraId="014E448F"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tcBorders>
            <w:shd w:val="clear" w:color="auto" w:fill="auto"/>
          </w:tcPr>
          <w:p w14:paraId="014E4490"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tcBorders>
            <w:shd w:val="clear" w:color="auto" w:fill="auto"/>
          </w:tcPr>
          <w:p w14:paraId="014E4491"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tcBorders>
            <w:shd w:val="clear" w:color="auto" w:fill="auto"/>
            <w:vAlign w:val="center"/>
          </w:tcPr>
          <w:p w14:paraId="014E4492" w14:textId="5DBCF52E"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vendeve turistike të të reflektuara në hart</w:t>
            </w:r>
            <w:r w:rsidR="00DF3984" w:rsidRPr="00A90756">
              <w:rPr>
                <w:rStyle w:val="Other1"/>
                <w:rFonts w:ascii="Garamond" w:hAnsi="Garamond"/>
                <w:sz w:val="16"/>
                <w:szCs w:val="16"/>
              </w:rPr>
              <w:t>ë;</w:t>
            </w:r>
          </w:p>
        </w:tc>
        <w:tc>
          <w:tcPr>
            <w:tcW w:w="354" w:type="pct"/>
            <w:tcBorders>
              <w:top w:val="single" w:sz="4" w:space="0" w:color="auto"/>
              <w:left w:val="single" w:sz="4" w:space="0" w:color="auto"/>
            </w:tcBorders>
            <w:shd w:val="clear" w:color="auto" w:fill="auto"/>
            <w:vAlign w:val="center"/>
          </w:tcPr>
          <w:p w14:paraId="014E449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427" w:type="pct"/>
            <w:tcBorders>
              <w:top w:val="single" w:sz="4" w:space="0" w:color="auto"/>
              <w:left w:val="single" w:sz="4" w:space="0" w:color="auto"/>
            </w:tcBorders>
            <w:shd w:val="clear" w:color="auto" w:fill="auto"/>
            <w:vAlign w:val="center"/>
          </w:tcPr>
          <w:p w14:paraId="014E449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10</w:t>
            </w:r>
          </w:p>
        </w:tc>
        <w:tc>
          <w:tcPr>
            <w:tcW w:w="431" w:type="pct"/>
            <w:vMerge/>
            <w:tcBorders>
              <w:left w:val="single" w:sz="4" w:space="0" w:color="auto"/>
              <w:right w:val="single" w:sz="4" w:space="0" w:color="auto"/>
            </w:tcBorders>
            <w:shd w:val="clear" w:color="auto" w:fill="auto"/>
          </w:tcPr>
          <w:p w14:paraId="014E4495" w14:textId="77777777" w:rsidR="000D306C" w:rsidRPr="00A90756" w:rsidRDefault="000D306C" w:rsidP="000D306C">
            <w:pPr>
              <w:spacing w:after="0" w:line="240" w:lineRule="auto"/>
              <w:rPr>
                <w:rFonts w:ascii="Garamond" w:hAnsi="Garamond"/>
                <w:sz w:val="16"/>
                <w:szCs w:val="16"/>
              </w:rPr>
            </w:pPr>
          </w:p>
        </w:tc>
      </w:tr>
      <w:tr w:rsidR="000D306C" w:rsidRPr="00A90756" w14:paraId="014E449E" w14:textId="77777777" w:rsidTr="000D306C">
        <w:trPr>
          <w:trHeight w:val="20"/>
          <w:jc w:val="center"/>
        </w:trPr>
        <w:tc>
          <w:tcPr>
            <w:tcW w:w="993" w:type="pct"/>
            <w:vMerge/>
            <w:tcBorders>
              <w:left w:val="single" w:sz="4" w:space="0" w:color="auto"/>
              <w:bottom w:val="single" w:sz="4" w:space="0" w:color="auto"/>
            </w:tcBorders>
            <w:shd w:val="clear" w:color="auto" w:fill="auto"/>
          </w:tcPr>
          <w:p w14:paraId="014E4497" w14:textId="77777777" w:rsidR="000D306C" w:rsidRPr="00A90756" w:rsidRDefault="000D306C" w:rsidP="000D306C">
            <w:pPr>
              <w:spacing w:after="0" w:line="240" w:lineRule="auto"/>
              <w:rPr>
                <w:rFonts w:ascii="Garamond" w:hAnsi="Garamond"/>
                <w:sz w:val="16"/>
                <w:szCs w:val="16"/>
              </w:rPr>
            </w:pPr>
          </w:p>
        </w:tc>
        <w:tc>
          <w:tcPr>
            <w:tcW w:w="551" w:type="pct"/>
            <w:vMerge/>
            <w:tcBorders>
              <w:left w:val="single" w:sz="4" w:space="0" w:color="auto"/>
              <w:bottom w:val="single" w:sz="4" w:space="0" w:color="auto"/>
            </w:tcBorders>
            <w:shd w:val="clear" w:color="auto" w:fill="auto"/>
          </w:tcPr>
          <w:p w14:paraId="014E4498" w14:textId="77777777" w:rsidR="000D306C" w:rsidRPr="00A90756" w:rsidRDefault="000D306C" w:rsidP="000D306C">
            <w:pPr>
              <w:spacing w:after="0" w:line="240" w:lineRule="auto"/>
              <w:rPr>
                <w:rFonts w:ascii="Garamond" w:hAnsi="Garamond"/>
                <w:sz w:val="16"/>
                <w:szCs w:val="16"/>
              </w:rPr>
            </w:pPr>
          </w:p>
        </w:tc>
        <w:tc>
          <w:tcPr>
            <w:tcW w:w="1199" w:type="pct"/>
            <w:vMerge/>
            <w:tcBorders>
              <w:left w:val="single" w:sz="4" w:space="0" w:color="auto"/>
              <w:bottom w:val="single" w:sz="4" w:space="0" w:color="auto"/>
            </w:tcBorders>
            <w:shd w:val="clear" w:color="auto" w:fill="auto"/>
          </w:tcPr>
          <w:p w14:paraId="014E4499" w14:textId="77777777" w:rsidR="000D306C" w:rsidRPr="00A90756" w:rsidRDefault="000D306C" w:rsidP="000D306C">
            <w:pPr>
              <w:spacing w:after="0" w:line="240" w:lineRule="auto"/>
              <w:rPr>
                <w:rFonts w:ascii="Garamond" w:hAnsi="Garamond"/>
                <w:sz w:val="16"/>
                <w:szCs w:val="16"/>
              </w:rPr>
            </w:pPr>
          </w:p>
        </w:tc>
        <w:tc>
          <w:tcPr>
            <w:tcW w:w="1044" w:type="pct"/>
            <w:tcBorders>
              <w:top w:val="single" w:sz="4" w:space="0" w:color="auto"/>
              <w:left w:val="single" w:sz="4" w:space="0" w:color="auto"/>
              <w:bottom w:val="single" w:sz="4" w:space="0" w:color="auto"/>
            </w:tcBorders>
            <w:shd w:val="clear" w:color="auto" w:fill="auto"/>
          </w:tcPr>
          <w:p w14:paraId="014E449A" w14:textId="77777777" w:rsidR="000D306C" w:rsidRPr="00A90756" w:rsidRDefault="000D306C" w:rsidP="000D306C">
            <w:pPr>
              <w:pStyle w:val="Other10"/>
              <w:tabs>
                <w:tab w:val="left" w:pos="1051"/>
                <w:tab w:val="left" w:pos="1555"/>
              </w:tabs>
              <w:spacing w:after="0"/>
              <w:rPr>
                <w:rFonts w:ascii="Garamond" w:hAnsi="Garamond"/>
                <w:sz w:val="16"/>
                <w:szCs w:val="16"/>
              </w:rPr>
            </w:pPr>
            <w:r w:rsidRPr="00A90756">
              <w:rPr>
                <w:rStyle w:val="Other1"/>
                <w:rFonts w:ascii="Garamond" w:hAnsi="Garamond"/>
                <w:sz w:val="16"/>
                <w:szCs w:val="16"/>
              </w:rPr>
              <w:t>-Numri i sajteve të përmirësuara natyrore</w:t>
            </w:r>
          </w:p>
        </w:tc>
        <w:tc>
          <w:tcPr>
            <w:tcW w:w="354" w:type="pct"/>
            <w:tcBorders>
              <w:top w:val="single" w:sz="4" w:space="0" w:color="auto"/>
              <w:left w:val="single" w:sz="4" w:space="0" w:color="auto"/>
              <w:bottom w:val="single" w:sz="4" w:space="0" w:color="auto"/>
            </w:tcBorders>
            <w:shd w:val="clear" w:color="auto" w:fill="auto"/>
            <w:vAlign w:val="center"/>
          </w:tcPr>
          <w:p w14:paraId="014E449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427" w:type="pct"/>
            <w:tcBorders>
              <w:top w:val="single" w:sz="4" w:space="0" w:color="auto"/>
              <w:left w:val="single" w:sz="4" w:space="0" w:color="auto"/>
              <w:bottom w:val="single" w:sz="4" w:space="0" w:color="auto"/>
            </w:tcBorders>
            <w:shd w:val="clear" w:color="auto" w:fill="auto"/>
            <w:vAlign w:val="center"/>
          </w:tcPr>
          <w:p w14:paraId="014E449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10</w:t>
            </w:r>
          </w:p>
        </w:tc>
        <w:tc>
          <w:tcPr>
            <w:tcW w:w="431" w:type="pct"/>
            <w:vMerge/>
            <w:tcBorders>
              <w:left w:val="single" w:sz="4" w:space="0" w:color="auto"/>
              <w:bottom w:val="single" w:sz="4" w:space="0" w:color="auto"/>
              <w:right w:val="single" w:sz="4" w:space="0" w:color="auto"/>
            </w:tcBorders>
            <w:shd w:val="clear" w:color="auto" w:fill="auto"/>
          </w:tcPr>
          <w:p w14:paraId="014E449D" w14:textId="77777777" w:rsidR="000D306C" w:rsidRPr="00A90756" w:rsidRDefault="000D306C" w:rsidP="000D306C">
            <w:pPr>
              <w:spacing w:after="0" w:line="240" w:lineRule="auto"/>
              <w:rPr>
                <w:rFonts w:ascii="Garamond" w:hAnsi="Garamond"/>
                <w:sz w:val="16"/>
                <w:szCs w:val="16"/>
              </w:rPr>
            </w:pPr>
          </w:p>
        </w:tc>
      </w:tr>
    </w:tbl>
    <w:p w14:paraId="014E449F" w14:textId="77777777" w:rsidR="000D306C" w:rsidRPr="00A90756" w:rsidRDefault="000D306C" w:rsidP="000D306C">
      <w:pPr>
        <w:pStyle w:val="AAAATEXXX"/>
      </w:pPr>
    </w:p>
    <w:tbl>
      <w:tblPr>
        <w:tblOverlap w:val="never"/>
        <w:tblW w:w="5000" w:type="pct"/>
        <w:jc w:val="center"/>
        <w:tblCellMar>
          <w:left w:w="10" w:type="dxa"/>
          <w:right w:w="10" w:type="dxa"/>
        </w:tblCellMar>
        <w:tblLook w:val="04A0" w:firstRow="1" w:lastRow="0" w:firstColumn="1" w:lastColumn="0" w:noHBand="0" w:noVBand="1"/>
      </w:tblPr>
      <w:tblGrid>
        <w:gridCol w:w="1225"/>
        <w:gridCol w:w="1023"/>
        <w:gridCol w:w="2635"/>
        <w:gridCol w:w="1886"/>
        <w:gridCol w:w="676"/>
        <w:gridCol w:w="626"/>
        <w:gridCol w:w="946"/>
      </w:tblGrid>
      <w:tr w:rsidR="000D306C" w:rsidRPr="00A90756" w14:paraId="014E44A2" w14:textId="77777777" w:rsidTr="000D306C">
        <w:trPr>
          <w:trHeight w:val="20"/>
          <w:jc w:val="center"/>
        </w:trPr>
        <w:tc>
          <w:tcPr>
            <w:tcW w:w="5000" w:type="pct"/>
            <w:gridSpan w:val="7"/>
            <w:tcBorders>
              <w:top w:val="single" w:sz="4" w:space="0" w:color="auto"/>
              <w:left w:val="single" w:sz="4" w:space="0" w:color="auto"/>
              <w:right w:val="single" w:sz="4" w:space="0" w:color="auto"/>
            </w:tcBorders>
            <w:shd w:val="clear" w:color="auto" w:fill="95B3D7"/>
            <w:vAlign w:val="bottom"/>
          </w:tcPr>
          <w:p w14:paraId="014E44A0"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2 - TC 4:</w:t>
            </w:r>
          </w:p>
          <w:p w14:paraId="014E44A1"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Përmirësimi i mjedisit të biznesit dhe konkurrueshmërisë</w:t>
            </w:r>
          </w:p>
        </w:tc>
      </w:tr>
      <w:tr w:rsidR="000D306C" w:rsidRPr="00A90756" w14:paraId="014E44A8" w14:textId="77777777" w:rsidTr="00DF3984">
        <w:trPr>
          <w:trHeight w:val="20"/>
          <w:jc w:val="center"/>
        </w:trPr>
        <w:tc>
          <w:tcPr>
            <w:tcW w:w="2688" w:type="pct"/>
            <w:gridSpan w:val="3"/>
            <w:tcBorders>
              <w:top w:val="single" w:sz="4" w:space="0" w:color="auto"/>
              <w:left w:val="single" w:sz="4" w:space="0" w:color="auto"/>
            </w:tcBorders>
            <w:shd w:val="clear" w:color="auto" w:fill="95B3D7"/>
            <w:vAlign w:val="center"/>
          </w:tcPr>
          <w:p w14:paraId="014E44A3" w14:textId="77777777" w:rsidR="000D306C" w:rsidRPr="00A90756" w:rsidRDefault="000D306C" w:rsidP="00DF3984">
            <w:pPr>
              <w:pStyle w:val="Other10"/>
              <w:spacing w:after="0"/>
              <w:jc w:val="center"/>
              <w:rPr>
                <w:rFonts w:ascii="Garamond" w:hAnsi="Garamond"/>
                <w:sz w:val="16"/>
                <w:szCs w:val="16"/>
              </w:rPr>
            </w:pPr>
            <w:r w:rsidRPr="00A90756">
              <w:rPr>
                <w:rStyle w:val="Other1"/>
                <w:rFonts w:ascii="Garamond" w:hAnsi="Garamond"/>
                <w:b/>
                <w:bCs/>
                <w:sz w:val="16"/>
                <w:szCs w:val="16"/>
              </w:rPr>
              <w:t>TP5: Turizmi dhe trashëgimia kulturore e natyrore</w:t>
            </w:r>
          </w:p>
        </w:tc>
        <w:tc>
          <w:tcPr>
            <w:tcW w:w="1051" w:type="pct"/>
            <w:tcBorders>
              <w:top w:val="single" w:sz="4" w:space="0" w:color="auto"/>
              <w:left w:val="single" w:sz="4" w:space="0" w:color="auto"/>
            </w:tcBorders>
            <w:shd w:val="clear" w:color="auto" w:fill="95B3D7"/>
            <w:vAlign w:val="center"/>
          </w:tcPr>
          <w:p w14:paraId="014E44A4" w14:textId="77777777" w:rsidR="000D306C" w:rsidRPr="00A90756" w:rsidRDefault="000D306C" w:rsidP="00DF3984">
            <w:pPr>
              <w:pStyle w:val="Other10"/>
              <w:spacing w:after="0"/>
              <w:jc w:val="center"/>
              <w:rPr>
                <w:rFonts w:ascii="Garamond" w:hAnsi="Garamond"/>
                <w:sz w:val="16"/>
                <w:szCs w:val="16"/>
              </w:rPr>
            </w:pPr>
            <w:r w:rsidRPr="00A90756">
              <w:rPr>
                <w:rStyle w:val="Other1"/>
                <w:rFonts w:ascii="Garamond" w:hAnsi="Garamond"/>
                <w:b/>
                <w:bCs/>
                <w:sz w:val="16"/>
                <w:szCs w:val="16"/>
              </w:rPr>
              <w:t>Treguesit</w:t>
            </w:r>
          </w:p>
        </w:tc>
        <w:tc>
          <w:tcPr>
            <w:tcW w:w="380" w:type="pct"/>
            <w:tcBorders>
              <w:top w:val="single" w:sz="4" w:space="0" w:color="auto"/>
              <w:left w:val="single" w:sz="4" w:space="0" w:color="auto"/>
            </w:tcBorders>
            <w:shd w:val="clear" w:color="auto" w:fill="95B3D7"/>
            <w:vAlign w:val="center"/>
          </w:tcPr>
          <w:p w14:paraId="014E44A5" w14:textId="193F185A" w:rsidR="000D306C" w:rsidRPr="00A90756" w:rsidRDefault="000D306C" w:rsidP="00DF3984">
            <w:pPr>
              <w:pStyle w:val="Other10"/>
              <w:spacing w:after="0"/>
              <w:jc w:val="center"/>
              <w:rPr>
                <w:rFonts w:ascii="Garamond" w:hAnsi="Garamond"/>
                <w:sz w:val="16"/>
                <w:szCs w:val="16"/>
              </w:rPr>
            </w:pPr>
            <w:r w:rsidRPr="00A90756">
              <w:rPr>
                <w:rStyle w:val="Other1"/>
                <w:rFonts w:ascii="Garamond" w:hAnsi="Garamond"/>
                <w:b/>
                <w:bCs/>
                <w:sz w:val="16"/>
                <w:szCs w:val="16"/>
              </w:rPr>
              <w:t>Baza</w:t>
            </w:r>
            <w:r w:rsidR="00C61854" w:rsidRPr="00A90756">
              <w:rPr>
                <w:rStyle w:val="Other1"/>
                <w:rFonts w:ascii="Garamond" w:hAnsi="Garamond"/>
                <w:b/>
                <w:bCs/>
                <w:sz w:val="16"/>
                <w:szCs w:val="16"/>
              </w:rPr>
              <w:t xml:space="preserve"> </w:t>
            </w:r>
            <w:r w:rsidRPr="00A90756">
              <w:rPr>
                <w:rStyle w:val="Other1"/>
                <w:rFonts w:ascii="Garamond" w:hAnsi="Garamond"/>
                <w:b/>
                <w:bCs/>
                <w:sz w:val="16"/>
                <w:szCs w:val="16"/>
              </w:rPr>
              <w:t>(viti) 2021</w:t>
            </w:r>
          </w:p>
        </w:tc>
        <w:tc>
          <w:tcPr>
            <w:tcW w:w="352" w:type="pct"/>
            <w:tcBorders>
              <w:top w:val="single" w:sz="4" w:space="0" w:color="auto"/>
              <w:left w:val="single" w:sz="4" w:space="0" w:color="auto"/>
            </w:tcBorders>
            <w:shd w:val="clear" w:color="auto" w:fill="95B3D7"/>
            <w:vAlign w:val="center"/>
          </w:tcPr>
          <w:p w14:paraId="014E44A6" w14:textId="77777777" w:rsidR="000D306C" w:rsidRPr="00A90756" w:rsidRDefault="000D306C" w:rsidP="00DF3984">
            <w:pPr>
              <w:pStyle w:val="Other10"/>
              <w:spacing w:after="0"/>
              <w:jc w:val="center"/>
              <w:rPr>
                <w:rFonts w:ascii="Garamond" w:hAnsi="Garamond"/>
                <w:sz w:val="16"/>
                <w:szCs w:val="16"/>
              </w:rPr>
            </w:pPr>
            <w:r w:rsidRPr="00A90756">
              <w:rPr>
                <w:rStyle w:val="Other1"/>
                <w:rFonts w:ascii="Garamond" w:hAnsi="Garamond"/>
                <w:b/>
                <w:bCs/>
                <w:sz w:val="16"/>
                <w:szCs w:val="16"/>
              </w:rPr>
              <w:t>Targeti (viti) 2029</w:t>
            </w:r>
          </w:p>
        </w:tc>
        <w:tc>
          <w:tcPr>
            <w:tcW w:w="529" w:type="pct"/>
            <w:tcBorders>
              <w:top w:val="single" w:sz="4" w:space="0" w:color="auto"/>
              <w:left w:val="single" w:sz="4" w:space="0" w:color="auto"/>
              <w:right w:val="single" w:sz="4" w:space="0" w:color="auto"/>
            </w:tcBorders>
            <w:shd w:val="clear" w:color="auto" w:fill="95B3D7"/>
            <w:vAlign w:val="center"/>
          </w:tcPr>
          <w:p w14:paraId="014E44A7" w14:textId="77777777" w:rsidR="000D306C" w:rsidRPr="00A90756" w:rsidRDefault="000D306C" w:rsidP="00DF3984">
            <w:pPr>
              <w:pStyle w:val="Other10"/>
              <w:spacing w:after="0"/>
              <w:jc w:val="center"/>
              <w:rPr>
                <w:rFonts w:ascii="Garamond" w:hAnsi="Garamond"/>
                <w:sz w:val="16"/>
                <w:szCs w:val="16"/>
              </w:rPr>
            </w:pPr>
            <w:r w:rsidRPr="00A90756">
              <w:rPr>
                <w:rStyle w:val="Other1"/>
                <w:rFonts w:ascii="Garamond" w:hAnsi="Garamond"/>
                <w:b/>
                <w:bCs/>
                <w:sz w:val="16"/>
                <w:szCs w:val="16"/>
              </w:rPr>
              <w:t>Burim i të dhënave</w:t>
            </w:r>
          </w:p>
        </w:tc>
      </w:tr>
      <w:tr w:rsidR="000D306C" w:rsidRPr="00A90756" w14:paraId="014E44BA" w14:textId="77777777" w:rsidTr="000D306C">
        <w:trPr>
          <w:trHeight w:val="20"/>
          <w:jc w:val="center"/>
        </w:trPr>
        <w:tc>
          <w:tcPr>
            <w:tcW w:w="650" w:type="pct"/>
            <w:vMerge w:val="restart"/>
            <w:tcBorders>
              <w:top w:val="single" w:sz="4" w:space="0" w:color="auto"/>
              <w:left w:val="single" w:sz="4" w:space="0" w:color="auto"/>
            </w:tcBorders>
            <w:shd w:val="clear" w:color="auto" w:fill="auto"/>
          </w:tcPr>
          <w:p w14:paraId="014E44A9" w14:textId="77777777" w:rsidR="000D306C" w:rsidRPr="00A90756" w:rsidRDefault="000D306C" w:rsidP="000D306C">
            <w:pPr>
              <w:spacing w:after="0" w:line="240" w:lineRule="auto"/>
              <w:rPr>
                <w:rFonts w:ascii="Garamond" w:hAnsi="Garamond"/>
                <w:sz w:val="16"/>
                <w:szCs w:val="16"/>
              </w:rPr>
            </w:pPr>
          </w:p>
        </w:tc>
        <w:tc>
          <w:tcPr>
            <w:tcW w:w="572" w:type="pct"/>
            <w:vMerge w:val="restart"/>
            <w:tcBorders>
              <w:top w:val="single" w:sz="4" w:space="0" w:color="auto"/>
              <w:left w:val="single" w:sz="4" w:space="0" w:color="auto"/>
            </w:tcBorders>
            <w:shd w:val="clear" w:color="auto" w:fill="auto"/>
          </w:tcPr>
          <w:p w14:paraId="014E44AA" w14:textId="77777777" w:rsidR="000D306C" w:rsidRPr="00A90756" w:rsidRDefault="000D306C" w:rsidP="000D306C">
            <w:pPr>
              <w:spacing w:after="0" w:line="240" w:lineRule="auto"/>
              <w:rPr>
                <w:rFonts w:ascii="Garamond" w:hAnsi="Garamond"/>
                <w:sz w:val="16"/>
                <w:szCs w:val="16"/>
              </w:rPr>
            </w:pPr>
          </w:p>
        </w:tc>
        <w:tc>
          <w:tcPr>
            <w:tcW w:w="1466" w:type="pct"/>
            <w:vMerge w:val="restart"/>
            <w:tcBorders>
              <w:top w:val="single" w:sz="4" w:space="0" w:color="auto"/>
              <w:left w:val="single" w:sz="4" w:space="0" w:color="auto"/>
            </w:tcBorders>
            <w:shd w:val="clear" w:color="auto" w:fill="auto"/>
            <w:vAlign w:val="bottom"/>
          </w:tcPr>
          <w:p w14:paraId="014E44AC" w14:textId="264A661E" w:rsidR="000D306C" w:rsidRPr="00A90756" w:rsidRDefault="000D306C" w:rsidP="000D306C">
            <w:pPr>
              <w:pStyle w:val="Other10"/>
              <w:numPr>
                <w:ilvl w:val="0"/>
                <w:numId w:val="22"/>
              </w:numPr>
              <w:tabs>
                <w:tab w:val="left" w:pos="221"/>
                <w:tab w:val="left" w:pos="830"/>
                <w:tab w:val="left" w:pos="1248"/>
                <w:tab w:val="left" w:pos="2222"/>
              </w:tabs>
              <w:spacing w:after="0"/>
              <w:rPr>
                <w:rFonts w:ascii="Garamond" w:hAnsi="Garamond"/>
                <w:sz w:val="16"/>
                <w:szCs w:val="16"/>
              </w:rPr>
            </w:pPr>
            <w:r w:rsidRPr="00A90756">
              <w:rPr>
                <w:rStyle w:val="Other1"/>
                <w:rFonts w:ascii="Garamond" w:hAnsi="Garamond"/>
                <w:sz w:val="16"/>
                <w:szCs w:val="16"/>
              </w:rPr>
              <w:t>Përmirësimi i shërbimeve për vizitorët</w:t>
            </w:r>
            <w:r w:rsidRPr="00A90756">
              <w:rPr>
                <w:rStyle w:val="Other1"/>
                <w:rFonts w:ascii="Garamond" w:hAnsi="Garamond"/>
                <w:sz w:val="16"/>
                <w:szCs w:val="16"/>
              </w:rPr>
              <w:tab/>
              <w:t>historik</w:t>
            </w:r>
            <w:r w:rsidRPr="00A90756">
              <w:rPr>
                <w:rStyle w:val="Other1"/>
                <w:rFonts w:ascii="Garamond" w:hAnsi="Garamond"/>
                <w:sz w:val="16"/>
                <w:szCs w:val="16"/>
              </w:rPr>
              <w:tab/>
              <w:t>dhe</w:t>
            </w:r>
            <w:r w:rsidR="00DF3984" w:rsidRPr="00A90756">
              <w:rPr>
                <w:rStyle w:val="Other1"/>
                <w:rFonts w:ascii="Garamond" w:hAnsi="Garamond"/>
                <w:sz w:val="16"/>
                <w:szCs w:val="16"/>
              </w:rPr>
              <w:t xml:space="preserve"> </w:t>
            </w:r>
            <w:r w:rsidRPr="00A90756">
              <w:rPr>
                <w:rStyle w:val="Other1"/>
                <w:rFonts w:ascii="Garamond" w:hAnsi="Garamond"/>
                <w:sz w:val="16"/>
                <w:szCs w:val="16"/>
              </w:rPr>
              <w:t>vende</w:t>
            </w:r>
            <w:r w:rsidR="00DF3984" w:rsidRPr="00A90756">
              <w:rPr>
                <w:rStyle w:val="Other1"/>
                <w:rFonts w:ascii="Garamond" w:hAnsi="Garamond"/>
                <w:sz w:val="16"/>
                <w:szCs w:val="16"/>
              </w:rPr>
              <w:t>t</w:t>
            </w:r>
            <w:r w:rsidRPr="00A90756">
              <w:rPr>
                <w:rStyle w:val="Other1"/>
                <w:rFonts w:ascii="Garamond" w:hAnsi="Garamond"/>
                <w:sz w:val="16"/>
                <w:szCs w:val="16"/>
              </w:rPr>
              <w:t xml:space="preserve"> kulturore</w:t>
            </w:r>
            <w:r w:rsidR="00DF3984" w:rsidRPr="00A90756">
              <w:rPr>
                <w:rStyle w:val="Other1"/>
                <w:rFonts w:ascii="Garamond" w:hAnsi="Garamond"/>
                <w:sz w:val="16"/>
                <w:szCs w:val="16"/>
              </w:rPr>
              <w:t>;</w:t>
            </w:r>
          </w:p>
          <w:p w14:paraId="014E44AE" w14:textId="46E26CC9" w:rsidR="000D306C" w:rsidRPr="00A90756" w:rsidRDefault="000D306C" w:rsidP="00DF3984">
            <w:pPr>
              <w:pStyle w:val="Other10"/>
              <w:spacing w:after="0"/>
              <w:rPr>
                <w:rFonts w:ascii="Garamond" w:hAnsi="Garamond"/>
                <w:sz w:val="16"/>
                <w:szCs w:val="16"/>
              </w:rPr>
            </w:pPr>
            <w:r w:rsidRPr="00A90756">
              <w:rPr>
                <w:rStyle w:val="Other1"/>
                <w:rFonts w:ascii="Garamond" w:hAnsi="Garamond"/>
                <w:sz w:val="16"/>
                <w:szCs w:val="16"/>
              </w:rPr>
              <w:t>Zhvillimi i ofertave dhe paketave të përbashkëta</w:t>
            </w:r>
            <w:r w:rsidRPr="00A90756">
              <w:rPr>
                <w:rStyle w:val="Other1"/>
                <w:rFonts w:ascii="Garamond" w:hAnsi="Garamond"/>
                <w:sz w:val="16"/>
                <w:szCs w:val="16"/>
              </w:rPr>
              <w:tab/>
              <w:t>të lidhura</w:t>
            </w:r>
            <w:r w:rsidRPr="00A90756">
              <w:rPr>
                <w:rStyle w:val="Other1"/>
                <w:rFonts w:ascii="Garamond" w:hAnsi="Garamond"/>
                <w:sz w:val="16"/>
                <w:szCs w:val="16"/>
              </w:rPr>
              <w:tab/>
            </w:r>
            <w:r w:rsidR="00DF3984" w:rsidRPr="00A90756">
              <w:rPr>
                <w:rStyle w:val="Other1"/>
                <w:rFonts w:ascii="Garamond" w:hAnsi="Garamond"/>
                <w:sz w:val="16"/>
                <w:szCs w:val="16"/>
              </w:rPr>
              <w:t xml:space="preserve">drejtuar Trashëgimisë </w:t>
            </w:r>
            <w:r w:rsidRPr="00A90756">
              <w:rPr>
                <w:rStyle w:val="Other1"/>
                <w:rFonts w:ascii="Garamond" w:hAnsi="Garamond"/>
                <w:sz w:val="16"/>
                <w:szCs w:val="16"/>
              </w:rPr>
              <w:t>kulturore</w:t>
            </w:r>
            <w:r w:rsidR="00DF3984" w:rsidRPr="00A90756">
              <w:rPr>
                <w:rStyle w:val="Other1"/>
                <w:rFonts w:ascii="Garamond" w:hAnsi="Garamond"/>
                <w:sz w:val="16"/>
                <w:szCs w:val="16"/>
              </w:rPr>
              <w:t xml:space="preserve"> </w:t>
            </w:r>
            <w:r w:rsidRPr="00A90756">
              <w:rPr>
                <w:rStyle w:val="Other1"/>
                <w:rFonts w:ascii="Garamond" w:hAnsi="Garamond"/>
                <w:sz w:val="16"/>
                <w:szCs w:val="16"/>
              </w:rPr>
              <w:t>përmes</w:t>
            </w:r>
            <w:r w:rsidRPr="00A90756">
              <w:rPr>
                <w:rStyle w:val="Other1"/>
                <w:rFonts w:ascii="Garamond" w:hAnsi="Garamond"/>
                <w:sz w:val="16"/>
                <w:szCs w:val="16"/>
              </w:rPr>
              <w:tab/>
            </w:r>
            <w:r w:rsidR="00DF3984" w:rsidRPr="00A90756">
              <w:rPr>
                <w:rStyle w:val="Other1"/>
                <w:rFonts w:ascii="Garamond" w:hAnsi="Garamond"/>
                <w:sz w:val="16"/>
                <w:szCs w:val="16"/>
              </w:rPr>
              <w:t xml:space="preserve">metodave </w:t>
            </w:r>
            <w:r w:rsidRPr="00A90756">
              <w:rPr>
                <w:rStyle w:val="Other1"/>
                <w:rFonts w:ascii="Garamond" w:hAnsi="Garamond"/>
                <w:sz w:val="16"/>
                <w:szCs w:val="16"/>
              </w:rPr>
              <w:t>inovative</w:t>
            </w:r>
            <w:r w:rsidR="001418CE" w:rsidRPr="00A90756">
              <w:rPr>
                <w:rStyle w:val="Other1"/>
                <w:rFonts w:ascii="Garamond" w:hAnsi="Garamond"/>
                <w:sz w:val="16"/>
                <w:szCs w:val="16"/>
              </w:rPr>
              <w:t>;</w:t>
            </w:r>
          </w:p>
          <w:p w14:paraId="3E1FE47C" w14:textId="0E518FE2" w:rsidR="001418CE" w:rsidRPr="00A90756" w:rsidRDefault="000D306C" w:rsidP="000D306C">
            <w:pPr>
              <w:pStyle w:val="Other10"/>
              <w:numPr>
                <w:ilvl w:val="0"/>
                <w:numId w:val="22"/>
              </w:numPr>
              <w:tabs>
                <w:tab w:val="left" w:pos="221"/>
                <w:tab w:val="left" w:pos="250"/>
              </w:tabs>
              <w:spacing w:after="0"/>
              <w:rPr>
                <w:rStyle w:val="Other1"/>
                <w:rFonts w:ascii="Garamond" w:hAnsi="Garamond"/>
                <w:sz w:val="16"/>
                <w:szCs w:val="16"/>
              </w:rPr>
            </w:pPr>
            <w:r w:rsidRPr="00A90756">
              <w:rPr>
                <w:rStyle w:val="Other1"/>
                <w:rFonts w:ascii="Garamond" w:hAnsi="Garamond"/>
                <w:sz w:val="16"/>
                <w:szCs w:val="16"/>
              </w:rPr>
              <w:t>Ngritja e kapaciteteve për stafin që punon në objektet kulturore dhe mundësitë e trajnimit për të rinjtë për</w:t>
            </w:r>
            <w:r w:rsidR="00C61854" w:rsidRPr="00A90756">
              <w:rPr>
                <w:rStyle w:val="Other1"/>
                <w:rFonts w:ascii="Garamond" w:hAnsi="Garamond"/>
                <w:sz w:val="16"/>
                <w:szCs w:val="16"/>
              </w:rPr>
              <w:t xml:space="preserve"> t</w:t>
            </w:r>
            <w:r w:rsidR="00292D5B" w:rsidRPr="00A90756">
              <w:rPr>
                <w:rStyle w:val="Other1"/>
                <w:rFonts w:ascii="Garamond" w:hAnsi="Garamond"/>
                <w:sz w:val="16"/>
                <w:szCs w:val="16"/>
              </w:rPr>
              <w:t>’</w:t>
            </w:r>
            <w:r w:rsidR="00C61854" w:rsidRPr="00A90756">
              <w:rPr>
                <w:rStyle w:val="Other1"/>
                <w:rFonts w:ascii="Garamond" w:hAnsi="Garamond"/>
                <w:sz w:val="16"/>
                <w:szCs w:val="16"/>
              </w:rPr>
              <w:t xml:space="preserve">u </w:t>
            </w:r>
            <w:r w:rsidRPr="00A90756">
              <w:rPr>
                <w:rStyle w:val="Other1"/>
                <w:rFonts w:ascii="Garamond" w:hAnsi="Garamond"/>
                <w:sz w:val="16"/>
                <w:szCs w:val="16"/>
              </w:rPr>
              <w:t>angazhuar në këtë sektor, duke përfshirë grupet e marxhinalizuara</w:t>
            </w:r>
            <w:r w:rsidR="001418CE" w:rsidRPr="00A90756">
              <w:rPr>
                <w:rStyle w:val="Other1"/>
                <w:rFonts w:ascii="Garamond" w:hAnsi="Garamond"/>
                <w:sz w:val="16"/>
                <w:szCs w:val="16"/>
              </w:rPr>
              <w:t>;</w:t>
            </w:r>
          </w:p>
          <w:p w14:paraId="014E44B0" w14:textId="77742798" w:rsidR="000D306C" w:rsidRPr="00601BD3" w:rsidRDefault="000D306C" w:rsidP="001418CE">
            <w:pPr>
              <w:pStyle w:val="Other10"/>
              <w:tabs>
                <w:tab w:val="left" w:pos="221"/>
                <w:tab w:val="left" w:pos="250"/>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r>
            <w:r w:rsidRPr="00601BD3">
              <w:rPr>
                <w:rStyle w:val="Other1"/>
                <w:rFonts w:ascii="Garamond" w:hAnsi="Garamond"/>
                <w:sz w:val="16"/>
                <w:szCs w:val="16"/>
              </w:rPr>
              <w:t>Oferta inovative turistike për</w:t>
            </w:r>
          </w:p>
          <w:p w14:paraId="014E44B1" w14:textId="2DEFEA91" w:rsidR="000D306C" w:rsidRPr="00601BD3" w:rsidRDefault="000D306C" w:rsidP="000D306C">
            <w:pPr>
              <w:pStyle w:val="Other10"/>
              <w:spacing w:after="0"/>
              <w:rPr>
                <w:rFonts w:ascii="Garamond" w:hAnsi="Garamond"/>
                <w:sz w:val="16"/>
                <w:szCs w:val="16"/>
              </w:rPr>
            </w:pPr>
            <w:r w:rsidRPr="00601BD3">
              <w:rPr>
                <w:rStyle w:val="Other1"/>
                <w:rFonts w:ascii="Garamond" w:hAnsi="Garamond"/>
                <w:sz w:val="16"/>
                <w:szCs w:val="16"/>
              </w:rPr>
              <w:t>eksplor</w:t>
            </w:r>
            <w:r w:rsidR="001418CE" w:rsidRPr="00601BD3">
              <w:rPr>
                <w:rStyle w:val="Other1"/>
                <w:rFonts w:ascii="Garamond" w:hAnsi="Garamond"/>
                <w:sz w:val="16"/>
                <w:szCs w:val="16"/>
              </w:rPr>
              <w:t>im</w:t>
            </w:r>
            <w:r w:rsidRPr="00601BD3">
              <w:rPr>
                <w:rStyle w:val="Other1"/>
                <w:rFonts w:ascii="Garamond" w:hAnsi="Garamond"/>
                <w:sz w:val="16"/>
                <w:szCs w:val="16"/>
              </w:rPr>
              <w:t>i</w:t>
            </w:r>
            <w:r w:rsidR="001418CE" w:rsidRPr="00601BD3">
              <w:rPr>
                <w:rStyle w:val="Other1"/>
                <w:rFonts w:ascii="Garamond" w:hAnsi="Garamond"/>
                <w:sz w:val="16"/>
                <w:szCs w:val="16"/>
              </w:rPr>
              <w:t>n e</w:t>
            </w:r>
            <w:r w:rsidRPr="00601BD3">
              <w:rPr>
                <w:rStyle w:val="Other1"/>
                <w:rFonts w:ascii="Garamond" w:hAnsi="Garamond"/>
                <w:sz w:val="16"/>
                <w:szCs w:val="16"/>
              </w:rPr>
              <w:t xml:space="preserve"> trashëgimi</w:t>
            </w:r>
            <w:r w:rsidR="001418CE" w:rsidRPr="00601BD3">
              <w:rPr>
                <w:rStyle w:val="Other1"/>
                <w:rFonts w:ascii="Garamond" w:hAnsi="Garamond"/>
                <w:sz w:val="16"/>
                <w:szCs w:val="16"/>
              </w:rPr>
              <w:t>s</w:t>
            </w:r>
            <w:r w:rsidRPr="00601BD3">
              <w:rPr>
                <w:rStyle w:val="Other1"/>
                <w:rFonts w:ascii="Garamond" w:hAnsi="Garamond"/>
                <w:sz w:val="16"/>
                <w:szCs w:val="16"/>
              </w:rPr>
              <w:t>ë natyrore dhe vende</w:t>
            </w:r>
            <w:r w:rsidR="001418CE" w:rsidRPr="00601BD3">
              <w:rPr>
                <w:rStyle w:val="Other1"/>
                <w:rFonts w:ascii="Garamond" w:hAnsi="Garamond"/>
                <w:sz w:val="16"/>
                <w:szCs w:val="16"/>
              </w:rPr>
              <w:t>ve</w:t>
            </w:r>
            <w:r w:rsidRPr="00601BD3">
              <w:rPr>
                <w:rStyle w:val="Other1"/>
                <w:rFonts w:ascii="Garamond" w:hAnsi="Garamond"/>
                <w:sz w:val="16"/>
                <w:szCs w:val="16"/>
              </w:rPr>
              <w:t xml:space="preserve"> kulturore</w:t>
            </w:r>
            <w:r w:rsidR="001418CE" w:rsidRPr="00601BD3">
              <w:rPr>
                <w:rStyle w:val="Other1"/>
                <w:rFonts w:ascii="Garamond" w:hAnsi="Garamond"/>
                <w:sz w:val="16"/>
                <w:szCs w:val="16"/>
              </w:rPr>
              <w:t>;</w:t>
            </w:r>
          </w:p>
          <w:p w14:paraId="014E44B2" w14:textId="77777777" w:rsidR="000D306C" w:rsidRPr="00601BD3" w:rsidRDefault="000D306C" w:rsidP="000D306C">
            <w:pPr>
              <w:pStyle w:val="Other10"/>
              <w:numPr>
                <w:ilvl w:val="0"/>
                <w:numId w:val="22"/>
              </w:numPr>
              <w:tabs>
                <w:tab w:val="left" w:pos="221"/>
                <w:tab w:val="left" w:pos="259"/>
                <w:tab w:val="left" w:pos="1267"/>
                <w:tab w:val="right" w:pos="2486"/>
              </w:tabs>
              <w:spacing w:after="0"/>
              <w:rPr>
                <w:rFonts w:ascii="Garamond" w:hAnsi="Garamond"/>
                <w:sz w:val="16"/>
                <w:szCs w:val="16"/>
              </w:rPr>
            </w:pPr>
            <w:r w:rsidRPr="00601BD3">
              <w:rPr>
                <w:rStyle w:val="Other1"/>
                <w:rFonts w:ascii="Garamond" w:hAnsi="Garamond"/>
                <w:sz w:val="16"/>
                <w:szCs w:val="16"/>
              </w:rPr>
              <w:t>Promovimi të</w:t>
            </w:r>
            <w:r w:rsidRPr="00601BD3">
              <w:rPr>
                <w:rStyle w:val="Other1"/>
                <w:rFonts w:ascii="Garamond" w:hAnsi="Garamond"/>
                <w:sz w:val="16"/>
                <w:szCs w:val="16"/>
              </w:rPr>
              <w:tab/>
              <w:t xml:space="preserve"> të paeksploruara</w:t>
            </w:r>
          </w:p>
          <w:p w14:paraId="014E44B3" w14:textId="77777777" w:rsidR="000D306C" w:rsidRPr="00601BD3" w:rsidRDefault="000D306C" w:rsidP="000D306C">
            <w:pPr>
              <w:pStyle w:val="Other10"/>
              <w:tabs>
                <w:tab w:val="left" w:pos="768"/>
                <w:tab w:val="left" w:pos="1272"/>
                <w:tab w:val="right" w:pos="2491"/>
              </w:tabs>
              <w:spacing w:after="0"/>
              <w:rPr>
                <w:rFonts w:ascii="Garamond" w:hAnsi="Garamond"/>
                <w:sz w:val="16"/>
                <w:szCs w:val="16"/>
              </w:rPr>
            </w:pPr>
            <w:r w:rsidRPr="00601BD3">
              <w:rPr>
                <w:rStyle w:val="Other1"/>
                <w:rFonts w:ascii="Garamond" w:hAnsi="Garamond"/>
                <w:sz w:val="16"/>
                <w:szCs w:val="16"/>
              </w:rPr>
              <w:t>natyrore</w:t>
            </w:r>
            <w:r w:rsidRPr="00601BD3">
              <w:rPr>
                <w:rStyle w:val="Other1"/>
                <w:rFonts w:ascii="Garamond" w:hAnsi="Garamond"/>
                <w:sz w:val="16"/>
                <w:szCs w:val="16"/>
              </w:rPr>
              <w:tab/>
              <w:t>dhe</w:t>
            </w:r>
            <w:r w:rsidRPr="00601BD3">
              <w:rPr>
                <w:rStyle w:val="Other1"/>
                <w:rFonts w:ascii="Garamond" w:hAnsi="Garamond"/>
                <w:sz w:val="16"/>
                <w:szCs w:val="16"/>
              </w:rPr>
              <w:tab/>
              <w:t xml:space="preserve">kulturore </w:t>
            </w:r>
            <w:r w:rsidRPr="00601BD3">
              <w:rPr>
                <w:rStyle w:val="Other1"/>
                <w:rFonts w:ascii="Garamond" w:hAnsi="Garamond"/>
                <w:sz w:val="16"/>
                <w:szCs w:val="16"/>
              </w:rPr>
              <w:tab/>
              <w:t>faqet,</w:t>
            </w:r>
          </w:p>
          <w:p w14:paraId="014E44B4" w14:textId="77777777" w:rsidR="000D306C" w:rsidRPr="00601BD3" w:rsidRDefault="000D306C" w:rsidP="000D306C">
            <w:pPr>
              <w:pStyle w:val="Other10"/>
              <w:tabs>
                <w:tab w:val="left" w:pos="898"/>
                <w:tab w:val="left" w:pos="1651"/>
                <w:tab w:val="right" w:pos="2496"/>
              </w:tabs>
              <w:spacing w:after="0"/>
              <w:rPr>
                <w:rFonts w:ascii="Garamond" w:hAnsi="Garamond"/>
                <w:sz w:val="16"/>
                <w:szCs w:val="16"/>
              </w:rPr>
            </w:pPr>
            <w:r w:rsidRPr="00601BD3">
              <w:rPr>
                <w:rStyle w:val="Other1"/>
                <w:rFonts w:ascii="Garamond" w:hAnsi="Garamond"/>
                <w:sz w:val="16"/>
                <w:szCs w:val="16"/>
              </w:rPr>
              <w:t>duke përfshirë në distancë</w:t>
            </w:r>
            <w:r w:rsidRPr="00601BD3">
              <w:rPr>
                <w:rStyle w:val="Other1"/>
                <w:rFonts w:ascii="Garamond" w:hAnsi="Garamond"/>
                <w:sz w:val="16"/>
                <w:szCs w:val="16"/>
              </w:rPr>
              <w:tab/>
              <w:t>dhe rurale zonave nga</w:t>
            </w:r>
            <w:r w:rsidRPr="00601BD3">
              <w:rPr>
                <w:rStyle w:val="Other1"/>
                <w:rFonts w:ascii="Garamond" w:hAnsi="Garamond"/>
                <w:sz w:val="16"/>
                <w:szCs w:val="16"/>
              </w:rPr>
              <w:tab/>
              <w:t>organizimin të përbashkët ngjarjet,</w:t>
            </w:r>
            <w:r w:rsidRPr="00601BD3">
              <w:rPr>
                <w:rStyle w:val="Other1"/>
                <w:rFonts w:ascii="Garamond" w:hAnsi="Garamond"/>
                <w:sz w:val="16"/>
                <w:szCs w:val="16"/>
              </w:rPr>
              <w:tab/>
              <w:t>festivale, koncerte, turne kulturore</w:t>
            </w:r>
          </w:p>
          <w:p w14:paraId="014E44B5" w14:textId="77777777" w:rsidR="000D306C" w:rsidRPr="00A90756" w:rsidRDefault="000D306C" w:rsidP="000D306C">
            <w:pPr>
              <w:pStyle w:val="Other10"/>
              <w:numPr>
                <w:ilvl w:val="0"/>
                <w:numId w:val="22"/>
              </w:numPr>
              <w:tabs>
                <w:tab w:val="left" w:pos="221"/>
                <w:tab w:val="left" w:pos="317"/>
              </w:tabs>
              <w:spacing w:after="0"/>
              <w:rPr>
                <w:rFonts w:ascii="Garamond" w:hAnsi="Garamond"/>
                <w:sz w:val="16"/>
                <w:szCs w:val="16"/>
              </w:rPr>
            </w:pPr>
            <w:r w:rsidRPr="00601BD3">
              <w:rPr>
                <w:rStyle w:val="Other1"/>
                <w:rFonts w:ascii="Garamond" w:hAnsi="Garamond"/>
                <w:sz w:val="16"/>
                <w:szCs w:val="16"/>
              </w:rPr>
              <w:t>Infrastruktura në shkallë të vogël ndërhyrjet për të lehtësuar dhe ekspozuar natyrore</w:t>
            </w:r>
            <w:r w:rsidRPr="00601BD3">
              <w:rPr>
                <w:rStyle w:val="Other1"/>
                <w:rFonts w:ascii="Garamond" w:hAnsi="Garamond"/>
                <w:sz w:val="16"/>
                <w:szCs w:val="16"/>
              </w:rPr>
              <w:tab/>
              <w:t>dhe kulturore vende të trashëgimisë.</w:t>
            </w:r>
          </w:p>
        </w:tc>
        <w:tc>
          <w:tcPr>
            <w:tcW w:w="1051" w:type="pct"/>
            <w:tcBorders>
              <w:top w:val="single" w:sz="4" w:space="0" w:color="auto"/>
              <w:left w:val="single" w:sz="4" w:space="0" w:color="auto"/>
            </w:tcBorders>
            <w:shd w:val="clear" w:color="auto" w:fill="auto"/>
          </w:tcPr>
          <w:p w14:paraId="014E44B6"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-Numri i sajteve të përmirësuara të trashëgimisë kulturore është përmirësuar</w:t>
            </w:r>
          </w:p>
        </w:tc>
        <w:tc>
          <w:tcPr>
            <w:tcW w:w="380" w:type="pct"/>
            <w:tcBorders>
              <w:top w:val="single" w:sz="4" w:space="0" w:color="auto"/>
              <w:left w:val="single" w:sz="4" w:space="0" w:color="auto"/>
            </w:tcBorders>
            <w:shd w:val="clear" w:color="auto" w:fill="auto"/>
            <w:vAlign w:val="center"/>
          </w:tcPr>
          <w:p w14:paraId="014E44B7"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11</w:t>
            </w:r>
          </w:p>
        </w:tc>
        <w:tc>
          <w:tcPr>
            <w:tcW w:w="352" w:type="pct"/>
            <w:tcBorders>
              <w:top w:val="single" w:sz="4" w:space="0" w:color="auto"/>
              <w:left w:val="single" w:sz="4" w:space="0" w:color="auto"/>
            </w:tcBorders>
            <w:shd w:val="clear" w:color="auto" w:fill="auto"/>
            <w:vAlign w:val="center"/>
          </w:tcPr>
          <w:p w14:paraId="014E44B8"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21</w:t>
            </w:r>
          </w:p>
        </w:tc>
        <w:tc>
          <w:tcPr>
            <w:tcW w:w="529" w:type="pct"/>
            <w:vMerge w:val="restart"/>
            <w:tcBorders>
              <w:top w:val="single" w:sz="4" w:space="0" w:color="auto"/>
              <w:left w:val="single" w:sz="4" w:space="0" w:color="auto"/>
              <w:right w:val="single" w:sz="4" w:space="0" w:color="auto"/>
            </w:tcBorders>
            <w:shd w:val="clear" w:color="auto" w:fill="auto"/>
          </w:tcPr>
          <w:p w14:paraId="014E44B9" w14:textId="77777777" w:rsidR="000D306C" w:rsidRPr="00A90756" w:rsidRDefault="000D306C" w:rsidP="000D306C">
            <w:pPr>
              <w:spacing w:after="0" w:line="240" w:lineRule="auto"/>
              <w:rPr>
                <w:rFonts w:ascii="Garamond" w:hAnsi="Garamond"/>
                <w:sz w:val="16"/>
                <w:szCs w:val="16"/>
              </w:rPr>
            </w:pPr>
          </w:p>
        </w:tc>
      </w:tr>
      <w:tr w:rsidR="000D306C" w:rsidRPr="00A90756" w14:paraId="014E44C3" w14:textId="77777777" w:rsidTr="000D306C">
        <w:trPr>
          <w:trHeight w:val="20"/>
          <w:jc w:val="center"/>
        </w:trPr>
        <w:tc>
          <w:tcPr>
            <w:tcW w:w="650" w:type="pct"/>
            <w:vMerge/>
            <w:tcBorders>
              <w:left w:val="single" w:sz="4" w:space="0" w:color="auto"/>
            </w:tcBorders>
            <w:shd w:val="clear" w:color="auto" w:fill="auto"/>
          </w:tcPr>
          <w:p w14:paraId="014E44BB"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4BC"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vAlign w:val="bottom"/>
          </w:tcPr>
          <w:p w14:paraId="014E44BD"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tcPr>
          <w:p w14:paraId="014E44BE" w14:textId="7035DDA2" w:rsidR="000D306C" w:rsidRPr="00A90756" w:rsidRDefault="000D306C" w:rsidP="000D306C">
            <w:pPr>
              <w:pStyle w:val="Other10"/>
              <w:tabs>
                <w:tab w:val="left" w:pos="424"/>
                <w:tab w:val="left" w:pos="1240"/>
                <w:tab w:val="left" w:pos="1586"/>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Numri</w:t>
            </w:r>
            <w:r w:rsidRPr="00A90756">
              <w:rPr>
                <w:rStyle w:val="Other1"/>
                <w:rFonts w:ascii="Garamond" w:hAnsi="Garamond"/>
                <w:sz w:val="16"/>
                <w:szCs w:val="16"/>
              </w:rPr>
              <w:tab/>
              <w:t>i zgjidhjeve novatore të krijuara (ture di</w:t>
            </w:r>
            <w:r w:rsidR="00C61854" w:rsidRPr="00A90756">
              <w:rPr>
                <w:rStyle w:val="Other1"/>
                <w:rFonts w:ascii="Garamond" w:hAnsi="Garamond"/>
                <w:sz w:val="16"/>
                <w:szCs w:val="16"/>
              </w:rPr>
              <w:t>gj</w:t>
            </w:r>
            <w:r w:rsidRPr="00A90756">
              <w:rPr>
                <w:rStyle w:val="Other1"/>
                <w:rFonts w:ascii="Garamond" w:hAnsi="Garamond"/>
                <w:sz w:val="16"/>
                <w:szCs w:val="16"/>
              </w:rPr>
              <w:t xml:space="preserve">itale </w:t>
            </w:r>
            <w:r w:rsidRPr="00A90756">
              <w:rPr>
                <w:rStyle w:val="Other1"/>
                <w:rFonts w:ascii="Garamond" w:hAnsi="Garamond"/>
                <w:i/>
                <w:sz w:val="16"/>
                <w:szCs w:val="16"/>
              </w:rPr>
              <w:t>online</w:t>
            </w:r>
            <w:r w:rsidRPr="00A90756">
              <w:rPr>
                <w:rStyle w:val="Other1"/>
                <w:rFonts w:ascii="Garamond" w:hAnsi="Garamond"/>
                <w:sz w:val="16"/>
                <w:szCs w:val="16"/>
              </w:rPr>
              <w:t>, hartëzimi)</w:t>
            </w:r>
          </w:p>
          <w:p w14:paraId="014E44BF" w14:textId="77777777" w:rsidR="000D306C" w:rsidRPr="00A90756" w:rsidRDefault="000D306C" w:rsidP="000D306C">
            <w:pPr>
              <w:pStyle w:val="Other10"/>
              <w:spacing w:after="0"/>
              <w:rPr>
                <w:rFonts w:ascii="Garamond" w:hAnsi="Garamond"/>
                <w:sz w:val="16"/>
                <w:szCs w:val="16"/>
              </w:rPr>
            </w:pPr>
          </w:p>
        </w:tc>
        <w:tc>
          <w:tcPr>
            <w:tcW w:w="380" w:type="pct"/>
            <w:tcBorders>
              <w:top w:val="single" w:sz="4" w:space="0" w:color="auto"/>
              <w:left w:val="single" w:sz="4" w:space="0" w:color="auto"/>
            </w:tcBorders>
            <w:shd w:val="clear" w:color="auto" w:fill="auto"/>
          </w:tcPr>
          <w:p w14:paraId="014E44C0"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2" w:type="pct"/>
            <w:tcBorders>
              <w:top w:val="single" w:sz="4" w:space="0" w:color="auto"/>
              <w:left w:val="single" w:sz="4" w:space="0" w:color="auto"/>
            </w:tcBorders>
            <w:shd w:val="clear" w:color="auto" w:fill="auto"/>
          </w:tcPr>
          <w:p w14:paraId="014E44C1"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529" w:type="pct"/>
            <w:vMerge/>
            <w:tcBorders>
              <w:left w:val="single" w:sz="4" w:space="0" w:color="auto"/>
              <w:right w:val="single" w:sz="4" w:space="0" w:color="auto"/>
            </w:tcBorders>
            <w:shd w:val="clear" w:color="auto" w:fill="auto"/>
          </w:tcPr>
          <w:p w14:paraId="014E44C2" w14:textId="77777777" w:rsidR="000D306C" w:rsidRPr="00A90756" w:rsidRDefault="000D306C" w:rsidP="000D306C">
            <w:pPr>
              <w:spacing w:after="0" w:line="240" w:lineRule="auto"/>
              <w:rPr>
                <w:rFonts w:ascii="Garamond" w:hAnsi="Garamond"/>
                <w:sz w:val="16"/>
                <w:szCs w:val="16"/>
              </w:rPr>
            </w:pPr>
          </w:p>
        </w:tc>
      </w:tr>
      <w:tr w:rsidR="000D306C" w:rsidRPr="00A90756" w14:paraId="014E44D5" w14:textId="77777777" w:rsidTr="000D306C">
        <w:trPr>
          <w:trHeight w:val="20"/>
          <w:jc w:val="center"/>
        </w:trPr>
        <w:tc>
          <w:tcPr>
            <w:tcW w:w="650" w:type="pct"/>
            <w:vMerge w:val="restart"/>
            <w:tcBorders>
              <w:top w:val="single" w:sz="4" w:space="0" w:color="auto"/>
              <w:left w:val="single" w:sz="4" w:space="0" w:color="auto"/>
            </w:tcBorders>
            <w:shd w:val="clear" w:color="auto" w:fill="auto"/>
          </w:tcPr>
          <w:p w14:paraId="014E44C4" w14:textId="77777777" w:rsidR="000D306C" w:rsidRPr="00A90756" w:rsidRDefault="000D306C" w:rsidP="000D306C">
            <w:pPr>
              <w:pStyle w:val="Other10"/>
              <w:tabs>
                <w:tab w:val="left" w:pos="898"/>
              </w:tabs>
              <w:spacing w:after="0"/>
              <w:jc w:val="both"/>
              <w:rPr>
                <w:rFonts w:ascii="Garamond" w:hAnsi="Garamond"/>
                <w:sz w:val="16"/>
                <w:szCs w:val="16"/>
              </w:rPr>
            </w:pPr>
            <w:r w:rsidRPr="00A90756">
              <w:rPr>
                <w:rStyle w:val="Other1"/>
                <w:rFonts w:ascii="Garamond" w:hAnsi="Garamond"/>
                <w:sz w:val="16"/>
                <w:szCs w:val="16"/>
              </w:rPr>
              <w:t>1</w:t>
            </w:r>
            <w:r w:rsidRPr="00601BD3">
              <w:rPr>
                <w:rStyle w:val="Other1"/>
                <w:rFonts w:ascii="Garamond" w:hAnsi="Garamond"/>
                <w:sz w:val="16"/>
                <w:szCs w:val="16"/>
              </w:rPr>
              <w:t>.2. Përmirësimi</w:t>
            </w:r>
            <w:r w:rsidRPr="00A90756">
              <w:rPr>
                <w:rStyle w:val="Other1"/>
                <w:rFonts w:ascii="Garamond" w:hAnsi="Garamond"/>
                <w:sz w:val="16"/>
                <w:szCs w:val="16"/>
              </w:rPr>
              <w:t xml:space="preserve"> i konkurrueshmërisë së ofruesve të shërbimeve/NVM-eve në</w:t>
            </w:r>
          </w:p>
          <w:p w14:paraId="014E44C5" w14:textId="5CBB3ACD" w:rsidR="000D306C" w:rsidRPr="00A90756" w:rsidRDefault="001418CE" w:rsidP="000D306C">
            <w:pPr>
              <w:pStyle w:val="Other10"/>
              <w:spacing w:after="0"/>
              <w:jc w:val="both"/>
              <w:rPr>
                <w:rFonts w:ascii="Garamond" w:hAnsi="Garamond"/>
                <w:sz w:val="16"/>
                <w:szCs w:val="16"/>
              </w:rPr>
            </w:pPr>
            <w:r w:rsidRPr="00A90756">
              <w:rPr>
                <w:rStyle w:val="Other1"/>
                <w:rFonts w:ascii="Garamond" w:hAnsi="Garamond"/>
                <w:sz w:val="16"/>
                <w:szCs w:val="16"/>
              </w:rPr>
              <w:t>s</w:t>
            </w:r>
            <w:r w:rsidR="000D306C" w:rsidRPr="00A90756">
              <w:rPr>
                <w:rStyle w:val="Other1"/>
                <w:rFonts w:ascii="Garamond" w:hAnsi="Garamond"/>
                <w:sz w:val="16"/>
                <w:szCs w:val="16"/>
              </w:rPr>
              <w:t>ektorin e turizmit</w:t>
            </w:r>
          </w:p>
        </w:tc>
        <w:tc>
          <w:tcPr>
            <w:tcW w:w="572" w:type="pct"/>
            <w:vMerge w:val="restart"/>
            <w:tcBorders>
              <w:top w:val="single" w:sz="4" w:space="0" w:color="auto"/>
              <w:left w:val="single" w:sz="4" w:space="0" w:color="auto"/>
            </w:tcBorders>
            <w:shd w:val="clear" w:color="auto" w:fill="auto"/>
          </w:tcPr>
          <w:p w14:paraId="014E44C6" w14:textId="77777777" w:rsidR="000D306C" w:rsidRPr="00A90756" w:rsidRDefault="000D306C" w:rsidP="000D306C">
            <w:pPr>
              <w:pStyle w:val="Other10"/>
              <w:tabs>
                <w:tab w:val="left" w:pos="485"/>
              </w:tabs>
              <w:spacing w:after="0"/>
              <w:rPr>
                <w:rFonts w:ascii="Garamond" w:hAnsi="Garamond"/>
                <w:sz w:val="16"/>
                <w:szCs w:val="16"/>
              </w:rPr>
            </w:pPr>
            <w:r w:rsidRPr="00A90756">
              <w:rPr>
                <w:rStyle w:val="Other1"/>
                <w:rFonts w:ascii="Garamond" w:hAnsi="Garamond"/>
                <w:sz w:val="16"/>
                <w:szCs w:val="16"/>
              </w:rPr>
              <w:t xml:space="preserve">1.2.1. Rritja e kapaciteteve të sipërmarrësve turistikë për ofrimin e shërbimeve konkurruese dhe inovative </w:t>
            </w:r>
          </w:p>
        </w:tc>
        <w:tc>
          <w:tcPr>
            <w:tcW w:w="1466" w:type="pct"/>
            <w:vMerge w:val="restart"/>
            <w:tcBorders>
              <w:top w:val="single" w:sz="4" w:space="0" w:color="auto"/>
              <w:left w:val="single" w:sz="4" w:space="0" w:color="auto"/>
            </w:tcBorders>
            <w:shd w:val="clear" w:color="auto" w:fill="auto"/>
          </w:tcPr>
          <w:p w14:paraId="014E44C7" w14:textId="77777777" w:rsidR="000D306C" w:rsidRPr="00A90756" w:rsidRDefault="000D306C" w:rsidP="000D306C">
            <w:pPr>
              <w:pStyle w:val="Other10"/>
              <w:numPr>
                <w:ilvl w:val="0"/>
                <w:numId w:val="23"/>
              </w:numPr>
              <w:tabs>
                <w:tab w:val="left" w:pos="206"/>
                <w:tab w:val="left" w:pos="1118"/>
                <w:tab w:val="left" w:pos="1896"/>
              </w:tabs>
              <w:spacing w:after="0"/>
              <w:rPr>
                <w:rFonts w:ascii="Garamond" w:hAnsi="Garamond"/>
                <w:sz w:val="16"/>
                <w:szCs w:val="16"/>
              </w:rPr>
            </w:pPr>
            <w:r w:rsidRPr="00A90756">
              <w:rPr>
                <w:rStyle w:val="Other1"/>
                <w:rFonts w:ascii="Garamond" w:hAnsi="Garamond"/>
                <w:sz w:val="16"/>
                <w:szCs w:val="16"/>
              </w:rPr>
              <w:t>Zhvillimi i modeleve të reja inovative për ofruesit turistikë/NVM-të, lidhur me konkurrencën duke promovuar produktet vendore në zonat ndërkufitare</w:t>
            </w:r>
          </w:p>
          <w:p w14:paraId="014E44C8" w14:textId="77777777" w:rsidR="000D306C" w:rsidRPr="00A90756" w:rsidRDefault="000D306C" w:rsidP="000D306C">
            <w:pPr>
              <w:pStyle w:val="Other10"/>
              <w:numPr>
                <w:ilvl w:val="0"/>
                <w:numId w:val="23"/>
              </w:numPr>
              <w:tabs>
                <w:tab w:val="left" w:pos="206"/>
                <w:tab w:val="left" w:pos="610"/>
                <w:tab w:val="left" w:pos="1762"/>
              </w:tabs>
              <w:spacing w:after="0"/>
              <w:rPr>
                <w:rFonts w:ascii="Garamond" w:hAnsi="Garamond"/>
                <w:sz w:val="16"/>
                <w:szCs w:val="16"/>
              </w:rPr>
            </w:pPr>
            <w:r w:rsidRPr="00A90756">
              <w:rPr>
                <w:rStyle w:val="Other1"/>
                <w:rFonts w:ascii="Garamond" w:hAnsi="Garamond"/>
                <w:sz w:val="16"/>
                <w:szCs w:val="16"/>
              </w:rPr>
              <w:t>Mbështetja e zhvillimit të produkteve lokale bio/organike, produkteve të NVM-ve agro-ushqimore miqësore me mjedisin, brandimit dhe ndërkombëtarizimit brenda turizmit</w:t>
            </w:r>
          </w:p>
          <w:p w14:paraId="014E44C9" w14:textId="77777777" w:rsidR="000D306C" w:rsidRPr="00A90756" w:rsidRDefault="000D306C" w:rsidP="000D306C">
            <w:pPr>
              <w:pStyle w:val="Other10"/>
              <w:numPr>
                <w:ilvl w:val="0"/>
                <w:numId w:val="23"/>
              </w:numPr>
              <w:tabs>
                <w:tab w:val="left" w:pos="206"/>
                <w:tab w:val="left" w:pos="250"/>
              </w:tabs>
              <w:spacing w:after="0"/>
              <w:rPr>
                <w:rFonts w:ascii="Garamond" w:hAnsi="Garamond"/>
                <w:sz w:val="16"/>
                <w:szCs w:val="16"/>
              </w:rPr>
            </w:pPr>
            <w:r w:rsidRPr="00A90756">
              <w:rPr>
                <w:rStyle w:val="Other1"/>
                <w:rFonts w:ascii="Garamond" w:hAnsi="Garamond"/>
                <w:sz w:val="16"/>
                <w:szCs w:val="16"/>
              </w:rPr>
              <w:t>Mbështetja e institucioneve arsimore të përfshira në ofrimin e shërbimeve turistike cilësore, ofertave konkurruese dhe standardeve profesionale në industrinë e turizmit në përputhje me kërkesat e tregut të punës (duke përfshirë edhe të rinjtë e marxhinalizuar, romët, gratë)</w:t>
            </w:r>
          </w:p>
          <w:p w14:paraId="014E44CA" w14:textId="77777777" w:rsidR="000D306C" w:rsidRPr="00A90756" w:rsidRDefault="000D306C" w:rsidP="000D306C">
            <w:pPr>
              <w:pStyle w:val="Other10"/>
              <w:numPr>
                <w:ilvl w:val="0"/>
                <w:numId w:val="23"/>
              </w:numPr>
              <w:tabs>
                <w:tab w:val="left" w:pos="206"/>
                <w:tab w:val="left" w:pos="859"/>
                <w:tab w:val="left" w:pos="1848"/>
              </w:tabs>
              <w:spacing w:after="0"/>
              <w:rPr>
                <w:rFonts w:ascii="Garamond" w:hAnsi="Garamond"/>
                <w:sz w:val="16"/>
                <w:szCs w:val="16"/>
              </w:rPr>
            </w:pPr>
            <w:r w:rsidRPr="00A90756">
              <w:rPr>
                <w:rStyle w:val="Other1"/>
                <w:rFonts w:ascii="Garamond" w:hAnsi="Garamond"/>
                <w:sz w:val="16"/>
                <w:szCs w:val="16"/>
              </w:rPr>
              <w:t>Zhvillimi i sistemeve të të mësuarit inovativ, rritja e aftësive dhe nxitja e të mësuarit sipërmarrës në partneritete turistike shumëpalëshe (p.sh. politikëbërësit, subjektet e biznesit,</w:t>
            </w:r>
            <w:r w:rsidRPr="00A90756">
              <w:rPr>
                <w:rStyle w:val="Other1"/>
                <w:rFonts w:ascii="Garamond" w:hAnsi="Garamond"/>
                <w:sz w:val="16"/>
                <w:szCs w:val="16"/>
              </w:rPr>
              <w:tab/>
              <w:t>dhe trajnimi</w:t>
            </w:r>
            <w:r w:rsidRPr="00A90756">
              <w:rPr>
                <w:rStyle w:val="Other1"/>
                <w:rFonts w:ascii="Garamond" w:hAnsi="Garamond"/>
                <w:sz w:val="16"/>
                <w:szCs w:val="16"/>
              </w:rPr>
              <w:tab/>
              <w:t xml:space="preserve"> i institucioneve arsimore)</w:t>
            </w:r>
          </w:p>
          <w:p w14:paraId="014E44CB" w14:textId="77777777" w:rsidR="000D306C" w:rsidRPr="00A90756" w:rsidRDefault="000D306C" w:rsidP="000D306C">
            <w:pPr>
              <w:pStyle w:val="Other10"/>
              <w:numPr>
                <w:ilvl w:val="0"/>
                <w:numId w:val="23"/>
              </w:numPr>
              <w:tabs>
                <w:tab w:val="left" w:pos="206"/>
                <w:tab w:val="left" w:pos="442"/>
                <w:tab w:val="left" w:pos="1282"/>
              </w:tabs>
              <w:spacing w:after="0"/>
              <w:rPr>
                <w:rStyle w:val="Other1"/>
                <w:rFonts w:ascii="Garamond" w:hAnsi="Garamond"/>
                <w:sz w:val="16"/>
                <w:szCs w:val="16"/>
              </w:rPr>
            </w:pPr>
            <w:r w:rsidRPr="00A90756">
              <w:rPr>
                <w:rStyle w:val="Other1"/>
                <w:rFonts w:ascii="Garamond" w:hAnsi="Garamond"/>
                <w:sz w:val="16"/>
                <w:szCs w:val="16"/>
              </w:rPr>
              <w:t xml:space="preserve">Trajnimi i të rinjve, duke përfshirë edhe grupet e marxhinalizuara për nisma të sipërmarrjes turistike </w:t>
            </w:r>
          </w:p>
          <w:p w14:paraId="014E44C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në zonat e thella</w:t>
            </w:r>
          </w:p>
          <w:p w14:paraId="014E44CD" w14:textId="29348C69" w:rsidR="000D306C" w:rsidRPr="00A90756" w:rsidRDefault="000D306C" w:rsidP="000D306C">
            <w:pPr>
              <w:pStyle w:val="Other10"/>
              <w:numPr>
                <w:ilvl w:val="0"/>
                <w:numId w:val="23"/>
              </w:numPr>
              <w:tabs>
                <w:tab w:val="left" w:pos="206"/>
              </w:tabs>
              <w:spacing w:after="0"/>
              <w:rPr>
                <w:rFonts w:ascii="Garamond" w:hAnsi="Garamond"/>
                <w:sz w:val="16"/>
                <w:szCs w:val="16"/>
              </w:rPr>
            </w:pPr>
            <w:r w:rsidRPr="00A90756">
              <w:rPr>
                <w:rStyle w:val="Other1"/>
                <w:rFonts w:ascii="Garamond" w:hAnsi="Garamond"/>
                <w:sz w:val="16"/>
                <w:szCs w:val="16"/>
              </w:rPr>
              <w:t>Mbështetja e përdorimit të</w:t>
            </w:r>
            <w:r w:rsidR="00C61854" w:rsidRPr="00A90756">
              <w:rPr>
                <w:rStyle w:val="Other1"/>
                <w:rFonts w:ascii="Garamond" w:hAnsi="Garamond"/>
                <w:sz w:val="16"/>
                <w:szCs w:val="16"/>
              </w:rPr>
              <w:t xml:space="preserve"> </w:t>
            </w:r>
            <w:r w:rsidRPr="00A90756">
              <w:rPr>
                <w:rStyle w:val="Other1"/>
                <w:rFonts w:ascii="Garamond" w:hAnsi="Garamond"/>
                <w:sz w:val="16"/>
                <w:szCs w:val="16"/>
              </w:rPr>
              <w:t>inovacionit dhe TIK-ut për të rritur cilësinë e ofrimit të shërbimit dhe konkurrueshmërinë</w:t>
            </w:r>
          </w:p>
        </w:tc>
        <w:tc>
          <w:tcPr>
            <w:tcW w:w="1051" w:type="pct"/>
            <w:tcBorders>
              <w:top w:val="single" w:sz="4" w:space="0" w:color="auto"/>
              <w:left w:val="single" w:sz="4" w:space="0" w:color="auto"/>
            </w:tcBorders>
            <w:shd w:val="clear" w:color="auto" w:fill="auto"/>
            <w:vAlign w:val="bottom"/>
          </w:tcPr>
          <w:p w14:paraId="014E44CE"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t>Rezultatet</w:t>
            </w:r>
          </w:p>
          <w:p w14:paraId="014E44CF" w14:textId="4C9B5EDB" w:rsidR="000D306C" w:rsidRPr="00A90756" w:rsidRDefault="000D306C" w:rsidP="000D306C">
            <w:pPr>
              <w:pStyle w:val="Other10"/>
              <w:tabs>
                <w:tab w:val="left" w:pos="1061"/>
                <w:tab w:val="left" w:pos="1930"/>
              </w:tabs>
              <w:spacing w:after="0"/>
              <w:rPr>
                <w:rFonts w:ascii="Garamond" w:hAnsi="Garamond"/>
                <w:sz w:val="16"/>
                <w:szCs w:val="16"/>
              </w:rPr>
            </w:pPr>
            <w:r w:rsidRPr="00A90756">
              <w:rPr>
                <w:rStyle w:val="Other1"/>
                <w:rFonts w:ascii="Garamond" w:hAnsi="Garamond"/>
                <w:sz w:val="16"/>
                <w:szCs w:val="16"/>
              </w:rPr>
              <w:t>- Numri i nismave të reja të komercializuara dhe shërbimeve cilësore nga aktorët që operojnë në</w:t>
            </w:r>
            <w:r w:rsidR="00C61854" w:rsidRPr="00A90756">
              <w:rPr>
                <w:rStyle w:val="Other1"/>
                <w:rFonts w:ascii="Garamond" w:hAnsi="Garamond"/>
                <w:sz w:val="16"/>
                <w:szCs w:val="16"/>
              </w:rPr>
              <w:t xml:space="preserve"> </w:t>
            </w:r>
            <w:r w:rsidRPr="00A90756">
              <w:rPr>
                <w:rStyle w:val="Other1"/>
                <w:rFonts w:ascii="Garamond" w:hAnsi="Garamond"/>
                <w:sz w:val="16"/>
                <w:szCs w:val="16"/>
              </w:rPr>
              <w:t>sektorin e turizmit</w:t>
            </w:r>
          </w:p>
        </w:tc>
        <w:tc>
          <w:tcPr>
            <w:tcW w:w="380" w:type="pct"/>
            <w:tcBorders>
              <w:top w:val="single" w:sz="4" w:space="0" w:color="auto"/>
              <w:left w:val="single" w:sz="4" w:space="0" w:color="auto"/>
            </w:tcBorders>
            <w:shd w:val="clear" w:color="auto" w:fill="auto"/>
          </w:tcPr>
          <w:p w14:paraId="014E44D0"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352" w:type="pct"/>
            <w:tcBorders>
              <w:top w:val="single" w:sz="4" w:space="0" w:color="auto"/>
              <w:left w:val="single" w:sz="4" w:space="0" w:color="auto"/>
            </w:tcBorders>
            <w:shd w:val="clear" w:color="auto" w:fill="auto"/>
          </w:tcPr>
          <w:p w14:paraId="014E44D1"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9</w:t>
            </w:r>
          </w:p>
        </w:tc>
        <w:tc>
          <w:tcPr>
            <w:tcW w:w="529" w:type="pct"/>
            <w:vMerge w:val="restart"/>
            <w:tcBorders>
              <w:top w:val="single" w:sz="4" w:space="0" w:color="auto"/>
              <w:left w:val="single" w:sz="4" w:space="0" w:color="auto"/>
              <w:right w:val="single" w:sz="4" w:space="0" w:color="auto"/>
            </w:tcBorders>
            <w:shd w:val="clear" w:color="auto" w:fill="auto"/>
          </w:tcPr>
          <w:p w14:paraId="014E44D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xml:space="preserve">- Raporti i Përfituesve </w:t>
            </w:r>
          </w:p>
          <w:p w14:paraId="014E44D3" w14:textId="77777777" w:rsidR="000D306C" w:rsidRPr="00A90756" w:rsidRDefault="000D306C" w:rsidP="000D306C">
            <w:pPr>
              <w:pStyle w:val="Other10"/>
              <w:spacing w:after="0"/>
              <w:rPr>
                <w:rStyle w:val="Other1"/>
                <w:rFonts w:ascii="Garamond" w:hAnsi="Garamond"/>
                <w:sz w:val="16"/>
                <w:szCs w:val="16"/>
              </w:rPr>
            </w:pPr>
            <w:r w:rsidRPr="00A90756">
              <w:rPr>
                <w:rFonts w:ascii="Garamond" w:hAnsi="Garamond"/>
                <w:sz w:val="16"/>
                <w:szCs w:val="16"/>
              </w:rPr>
              <w:t>-Raporti Vjetor i Zbatimit (AIR)</w:t>
            </w:r>
          </w:p>
          <w:p w14:paraId="014E44D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-Sistemi i monitorimit</w:t>
            </w:r>
          </w:p>
        </w:tc>
      </w:tr>
      <w:tr w:rsidR="000D306C" w:rsidRPr="00A90756" w14:paraId="014E44DD" w14:textId="77777777" w:rsidTr="000D306C">
        <w:trPr>
          <w:trHeight w:val="20"/>
          <w:jc w:val="center"/>
        </w:trPr>
        <w:tc>
          <w:tcPr>
            <w:tcW w:w="650" w:type="pct"/>
            <w:vMerge/>
            <w:tcBorders>
              <w:left w:val="single" w:sz="4" w:space="0" w:color="auto"/>
            </w:tcBorders>
            <w:shd w:val="clear" w:color="auto" w:fill="auto"/>
          </w:tcPr>
          <w:p w14:paraId="014E44D6"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4D7"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tcPr>
          <w:p w14:paraId="014E44D8"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vAlign w:val="center"/>
          </w:tcPr>
          <w:p w14:paraId="014E44D9" w14:textId="77777777" w:rsidR="000D306C" w:rsidRPr="00A90756" w:rsidRDefault="000D306C" w:rsidP="000D306C">
            <w:pPr>
              <w:pStyle w:val="Other10"/>
              <w:tabs>
                <w:tab w:val="left" w:pos="437"/>
                <w:tab w:val="left" w:pos="1430"/>
                <w:tab w:val="left" w:pos="1954"/>
              </w:tabs>
              <w:spacing w:after="0"/>
              <w:rPr>
                <w:rFonts w:ascii="Garamond" w:hAnsi="Garamond"/>
                <w:sz w:val="16"/>
                <w:szCs w:val="16"/>
              </w:rPr>
            </w:pPr>
            <w:r w:rsidRPr="00A90756">
              <w:rPr>
                <w:rStyle w:val="Other1"/>
                <w:rFonts w:ascii="Garamond" w:hAnsi="Garamond"/>
                <w:sz w:val="16"/>
                <w:szCs w:val="16"/>
              </w:rPr>
              <w:t>Numri i produkteve lokale/bio dhe shërbimeve të futura në tregun ndërkombëtar</w:t>
            </w:r>
          </w:p>
        </w:tc>
        <w:tc>
          <w:tcPr>
            <w:tcW w:w="380" w:type="pct"/>
            <w:tcBorders>
              <w:top w:val="single" w:sz="4" w:space="0" w:color="auto"/>
              <w:left w:val="single" w:sz="4" w:space="0" w:color="auto"/>
            </w:tcBorders>
            <w:shd w:val="clear" w:color="auto" w:fill="auto"/>
            <w:vAlign w:val="center"/>
          </w:tcPr>
          <w:p w14:paraId="014E44D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2" w:type="pct"/>
            <w:tcBorders>
              <w:top w:val="single" w:sz="4" w:space="0" w:color="auto"/>
              <w:left w:val="single" w:sz="4" w:space="0" w:color="auto"/>
            </w:tcBorders>
            <w:shd w:val="clear" w:color="auto" w:fill="auto"/>
            <w:vAlign w:val="center"/>
          </w:tcPr>
          <w:p w14:paraId="014E44D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529" w:type="pct"/>
            <w:vMerge/>
            <w:tcBorders>
              <w:left w:val="single" w:sz="4" w:space="0" w:color="auto"/>
              <w:right w:val="single" w:sz="4" w:space="0" w:color="auto"/>
            </w:tcBorders>
            <w:shd w:val="clear" w:color="auto" w:fill="auto"/>
          </w:tcPr>
          <w:p w14:paraId="014E44DC" w14:textId="77777777" w:rsidR="000D306C" w:rsidRPr="00A90756" w:rsidRDefault="000D306C" w:rsidP="000D306C">
            <w:pPr>
              <w:spacing w:after="0" w:line="240" w:lineRule="auto"/>
              <w:rPr>
                <w:rFonts w:ascii="Garamond" w:hAnsi="Garamond"/>
                <w:sz w:val="16"/>
                <w:szCs w:val="16"/>
              </w:rPr>
            </w:pPr>
          </w:p>
        </w:tc>
      </w:tr>
      <w:tr w:rsidR="000D306C" w:rsidRPr="00A90756" w14:paraId="014E44E5" w14:textId="77777777" w:rsidTr="000D306C">
        <w:trPr>
          <w:trHeight w:val="20"/>
          <w:jc w:val="center"/>
        </w:trPr>
        <w:tc>
          <w:tcPr>
            <w:tcW w:w="650" w:type="pct"/>
            <w:vMerge/>
            <w:tcBorders>
              <w:left w:val="single" w:sz="4" w:space="0" w:color="auto"/>
            </w:tcBorders>
            <w:shd w:val="clear" w:color="auto" w:fill="auto"/>
          </w:tcPr>
          <w:p w14:paraId="014E44DE"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4DF"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tcPr>
          <w:p w14:paraId="014E44E0"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tcPr>
          <w:p w14:paraId="014E44E1" w14:textId="77777777" w:rsidR="000D306C" w:rsidRPr="00A90756" w:rsidRDefault="000D306C" w:rsidP="000D306C">
            <w:pPr>
              <w:pStyle w:val="Other10"/>
              <w:tabs>
                <w:tab w:val="left" w:pos="350"/>
                <w:tab w:val="left" w:pos="1262"/>
                <w:tab w:val="left" w:pos="1690"/>
              </w:tabs>
              <w:spacing w:after="0"/>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Numri i kurrikulave/programeve të trajnimeve që plotësojnë nevojat e tregut të punës në sektorin e turizmit të miratuara nga institucionet arsimore (përfshirë institucionet e AFP-së)</w:t>
            </w:r>
          </w:p>
        </w:tc>
        <w:tc>
          <w:tcPr>
            <w:tcW w:w="380" w:type="pct"/>
            <w:tcBorders>
              <w:top w:val="single" w:sz="4" w:space="0" w:color="auto"/>
              <w:left w:val="single" w:sz="4" w:space="0" w:color="auto"/>
            </w:tcBorders>
            <w:shd w:val="clear" w:color="auto" w:fill="auto"/>
          </w:tcPr>
          <w:p w14:paraId="014E44E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2" w:type="pct"/>
            <w:tcBorders>
              <w:top w:val="single" w:sz="4" w:space="0" w:color="auto"/>
              <w:left w:val="single" w:sz="4" w:space="0" w:color="auto"/>
            </w:tcBorders>
            <w:shd w:val="clear" w:color="auto" w:fill="auto"/>
          </w:tcPr>
          <w:p w14:paraId="014E44E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w:t>
            </w:r>
          </w:p>
        </w:tc>
        <w:tc>
          <w:tcPr>
            <w:tcW w:w="529" w:type="pct"/>
            <w:vMerge/>
            <w:tcBorders>
              <w:left w:val="single" w:sz="4" w:space="0" w:color="auto"/>
              <w:right w:val="single" w:sz="4" w:space="0" w:color="auto"/>
            </w:tcBorders>
            <w:shd w:val="clear" w:color="auto" w:fill="auto"/>
          </w:tcPr>
          <w:p w14:paraId="014E44E4" w14:textId="77777777" w:rsidR="000D306C" w:rsidRPr="00A90756" w:rsidRDefault="000D306C" w:rsidP="000D306C">
            <w:pPr>
              <w:spacing w:after="0" w:line="240" w:lineRule="auto"/>
              <w:rPr>
                <w:rFonts w:ascii="Garamond" w:hAnsi="Garamond"/>
                <w:sz w:val="16"/>
                <w:szCs w:val="16"/>
              </w:rPr>
            </w:pPr>
          </w:p>
        </w:tc>
      </w:tr>
      <w:tr w:rsidR="000D306C" w:rsidRPr="00A90756" w14:paraId="014E44ED" w14:textId="77777777" w:rsidTr="000D306C">
        <w:trPr>
          <w:trHeight w:val="20"/>
          <w:jc w:val="center"/>
        </w:trPr>
        <w:tc>
          <w:tcPr>
            <w:tcW w:w="650" w:type="pct"/>
            <w:vMerge/>
            <w:tcBorders>
              <w:left w:val="single" w:sz="4" w:space="0" w:color="auto"/>
            </w:tcBorders>
            <w:shd w:val="clear" w:color="auto" w:fill="auto"/>
          </w:tcPr>
          <w:p w14:paraId="014E44E6"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4E7"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tcPr>
          <w:p w14:paraId="014E44E8"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vAlign w:val="bottom"/>
          </w:tcPr>
          <w:p w14:paraId="014E44E9"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bizneseve të reja të krijuara si rezultat i veprimtarisë;</w:t>
            </w:r>
          </w:p>
        </w:tc>
        <w:tc>
          <w:tcPr>
            <w:tcW w:w="380" w:type="pct"/>
            <w:tcBorders>
              <w:top w:val="single" w:sz="4" w:space="0" w:color="auto"/>
              <w:left w:val="single" w:sz="4" w:space="0" w:color="auto"/>
            </w:tcBorders>
            <w:shd w:val="clear" w:color="auto" w:fill="auto"/>
          </w:tcPr>
          <w:p w14:paraId="014E44E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2" w:type="pct"/>
            <w:tcBorders>
              <w:top w:val="single" w:sz="4" w:space="0" w:color="auto"/>
              <w:left w:val="single" w:sz="4" w:space="0" w:color="auto"/>
            </w:tcBorders>
            <w:shd w:val="clear" w:color="auto" w:fill="auto"/>
          </w:tcPr>
          <w:p w14:paraId="014E44E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529" w:type="pct"/>
            <w:vMerge/>
            <w:tcBorders>
              <w:left w:val="single" w:sz="4" w:space="0" w:color="auto"/>
              <w:right w:val="single" w:sz="4" w:space="0" w:color="auto"/>
            </w:tcBorders>
            <w:shd w:val="clear" w:color="auto" w:fill="auto"/>
          </w:tcPr>
          <w:p w14:paraId="014E44EC" w14:textId="77777777" w:rsidR="000D306C" w:rsidRPr="00A90756" w:rsidRDefault="000D306C" w:rsidP="000D306C">
            <w:pPr>
              <w:spacing w:after="0" w:line="240" w:lineRule="auto"/>
              <w:rPr>
                <w:rFonts w:ascii="Garamond" w:hAnsi="Garamond"/>
                <w:sz w:val="16"/>
                <w:szCs w:val="16"/>
              </w:rPr>
            </w:pPr>
          </w:p>
        </w:tc>
      </w:tr>
      <w:tr w:rsidR="000D306C" w:rsidRPr="00A90756" w14:paraId="014E44F6" w14:textId="77777777" w:rsidTr="000D306C">
        <w:trPr>
          <w:trHeight w:val="20"/>
          <w:jc w:val="center"/>
        </w:trPr>
        <w:tc>
          <w:tcPr>
            <w:tcW w:w="650" w:type="pct"/>
            <w:vMerge/>
            <w:tcBorders>
              <w:left w:val="single" w:sz="4" w:space="0" w:color="auto"/>
            </w:tcBorders>
            <w:shd w:val="clear" w:color="auto" w:fill="auto"/>
          </w:tcPr>
          <w:p w14:paraId="014E44EE"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4EF"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tcPr>
          <w:p w14:paraId="014E44F0"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vAlign w:val="center"/>
          </w:tcPr>
          <w:p w14:paraId="014E44F1"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u w:val="single"/>
              </w:rPr>
              <w:t>Rezultatet</w:t>
            </w:r>
          </w:p>
          <w:p w14:paraId="014E44F2" w14:textId="77777777" w:rsidR="000D306C" w:rsidRPr="00A90756" w:rsidRDefault="000D306C" w:rsidP="000D306C">
            <w:pPr>
              <w:pStyle w:val="Other10"/>
              <w:tabs>
                <w:tab w:val="left" w:pos="1320"/>
              </w:tabs>
              <w:spacing w:after="0"/>
              <w:rPr>
                <w:rFonts w:ascii="Garamond" w:hAnsi="Garamond"/>
                <w:sz w:val="16"/>
                <w:szCs w:val="16"/>
              </w:rPr>
            </w:pPr>
            <w:r w:rsidRPr="00A90756">
              <w:rPr>
                <w:rStyle w:val="Other1"/>
                <w:rFonts w:ascii="Garamond" w:hAnsi="Garamond"/>
                <w:sz w:val="16"/>
                <w:szCs w:val="16"/>
              </w:rPr>
              <w:t>- Numri i modeleve të reja për aktorët e turizmit/NVM-të që promovojnë produktet vendore</w:t>
            </w:r>
          </w:p>
        </w:tc>
        <w:tc>
          <w:tcPr>
            <w:tcW w:w="380" w:type="pct"/>
            <w:tcBorders>
              <w:top w:val="single" w:sz="4" w:space="0" w:color="auto"/>
              <w:left w:val="single" w:sz="4" w:space="0" w:color="auto"/>
            </w:tcBorders>
            <w:shd w:val="clear" w:color="auto" w:fill="auto"/>
          </w:tcPr>
          <w:p w14:paraId="014E44F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2" w:type="pct"/>
            <w:tcBorders>
              <w:top w:val="single" w:sz="4" w:space="0" w:color="auto"/>
              <w:left w:val="single" w:sz="4" w:space="0" w:color="auto"/>
            </w:tcBorders>
            <w:shd w:val="clear" w:color="auto" w:fill="auto"/>
          </w:tcPr>
          <w:p w14:paraId="014E44F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529" w:type="pct"/>
            <w:vMerge/>
            <w:tcBorders>
              <w:left w:val="single" w:sz="4" w:space="0" w:color="auto"/>
              <w:right w:val="single" w:sz="4" w:space="0" w:color="auto"/>
            </w:tcBorders>
            <w:shd w:val="clear" w:color="auto" w:fill="auto"/>
          </w:tcPr>
          <w:p w14:paraId="014E44F5" w14:textId="77777777" w:rsidR="000D306C" w:rsidRPr="00A90756" w:rsidRDefault="000D306C" w:rsidP="000D306C">
            <w:pPr>
              <w:spacing w:after="0" w:line="240" w:lineRule="auto"/>
              <w:rPr>
                <w:rFonts w:ascii="Garamond" w:hAnsi="Garamond"/>
                <w:sz w:val="16"/>
                <w:szCs w:val="16"/>
              </w:rPr>
            </w:pPr>
          </w:p>
        </w:tc>
      </w:tr>
      <w:tr w:rsidR="000D306C" w:rsidRPr="00A90756" w14:paraId="014E44FE" w14:textId="77777777" w:rsidTr="000D306C">
        <w:trPr>
          <w:trHeight w:val="20"/>
          <w:jc w:val="center"/>
        </w:trPr>
        <w:tc>
          <w:tcPr>
            <w:tcW w:w="650" w:type="pct"/>
            <w:vMerge/>
            <w:tcBorders>
              <w:left w:val="single" w:sz="4" w:space="0" w:color="auto"/>
            </w:tcBorders>
            <w:shd w:val="clear" w:color="auto" w:fill="auto"/>
          </w:tcPr>
          <w:p w14:paraId="014E44F7"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4F8"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tcPr>
          <w:p w14:paraId="014E44F9"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vAlign w:val="center"/>
          </w:tcPr>
          <w:p w14:paraId="014E44FA" w14:textId="77777777" w:rsidR="000D306C" w:rsidRPr="00A90756" w:rsidRDefault="000D306C" w:rsidP="000D306C">
            <w:pPr>
              <w:pStyle w:val="Other10"/>
              <w:tabs>
                <w:tab w:val="left" w:pos="437"/>
                <w:tab w:val="left" w:pos="1430"/>
                <w:tab w:val="left" w:pos="1954"/>
              </w:tabs>
              <w:spacing w:after="0"/>
              <w:rPr>
                <w:rFonts w:ascii="Garamond" w:hAnsi="Garamond"/>
                <w:sz w:val="16"/>
                <w:szCs w:val="16"/>
              </w:rPr>
            </w:pPr>
            <w:r w:rsidRPr="00A90756">
              <w:rPr>
                <w:rStyle w:val="Other1"/>
                <w:rFonts w:ascii="Garamond" w:hAnsi="Garamond"/>
                <w:sz w:val="16"/>
                <w:szCs w:val="16"/>
              </w:rPr>
              <w:t>-Numri i produkteve lokale/bio dhe shërbimeve të branduara</w:t>
            </w:r>
          </w:p>
        </w:tc>
        <w:tc>
          <w:tcPr>
            <w:tcW w:w="380" w:type="pct"/>
            <w:tcBorders>
              <w:top w:val="single" w:sz="4" w:space="0" w:color="auto"/>
              <w:left w:val="single" w:sz="4" w:space="0" w:color="auto"/>
            </w:tcBorders>
            <w:shd w:val="clear" w:color="auto" w:fill="auto"/>
          </w:tcPr>
          <w:p w14:paraId="014E44F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w:t>
            </w:r>
          </w:p>
        </w:tc>
        <w:tc>
          <w:tcPr>
            <w:tcW w:w="352" w:type="pct"/>
            <w:tcBorders>
              <w:top w:val="single" w:sz="4" w:space="0" w:color="auto"/>
              <w:left w:val="single" w:sz="4" w:space="0" w:color="auto"/>
            </w:tcBorders>
            <w:shd w:val="clear" w:color="auto" w:fill="auto"/>
          </w:tcPr>
          <w:p w14:paraId="014E44F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529" w:type="pct"/>
            <w:vMerge/>
            <w:tcBorders>
              <w:left w:val="single" w:sz="4" w:space="0" w:color="auto"/>
              <w:right w:val="single" w:sz="4" w:space="0" w:color="auto"/>
            </w:tcBorders>
            <w:shd w:val="clear" w:color="auto" w:fill="auto"/>
          </w:tcPr>
          <w:p w14:paraId="014E44FD" w14:textId="77777777" w:rsidR="000D306C" w:rsidRPr="00A90756" w:rsidRDefault="000D306C" w:rsidP="000D306C">
            <w:pPr>
              <w:spacing w:after="0" w:line="240" w:lineRule="auto"/>
              <w:rPr>
                <w:rFonts w:ascii="Garamond" w:hAnsi="Garamond"/>
                <w:sz w:val="16"/>
                <w:szCs w:val="16"/>
              </w:rPr>
            </w:pPr>
          </w:p>
        </w:tc>
      </w:tr>
      <w:tr w:rsidR="000D306C" w:rsidRPr="00A90756" w14:paraId="014E4506" w14:textId="77777777" w:rsidTr="000D306C">
        <w:trPr>
          <w:trHeight w:val="20"/>
          <w:jc w:val="center"/>
        </w:trPr>
        <w:tc>
          <w:tcPr>
            <w:tcW w:w="650" w:type="pct"/>
            <w:vMerge/>
            <w:tcBorders>
              <w:left w:val="single" w:sz="4" w:space="0" w:color="auto"/>
            </w:tcBorders>
            <w:shd w:val="clear" w:color="auto" w:fill="auto"/>
          </w:tcPr>
          <w:p w14:paraId="014E44FF"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500"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tcPr>
          <w:p w14:paraId="014E4501"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vAlign w:val="center"/>
          </w:tcPr>
          <w:p w14:paraId="014E4502" w14:textId="77777777" w:rsidR="000D306C" w:rsidRPr="00A90756" w:rsidRDefault="000D306C" w:rsidP="000D306C">
            <w:pPr>
              <w:pStyle w:val="Other10"/>
              <w:tabs>
                <w:tab w:val="left" w:pos="562"/>
                <w:tab w:val="left" w:pos="1666"/>
              </w:tabs>
              <w:spacing w:after="0"/>
              <w:rPr>
                <w:rFonts w:ascii="Garamond" w:hAnsi="Garamond"/>
                <w:sz w:val="16"/>
                <w:szCs w:val="16"/>
              </w:rPr>
            </w:pPr>
            <w:r w:rsidRPr="00A90756">
              <w:rPr>
                <w:rStyle w:val="Other1"/>
                <w:rFonts w:ascii="Garamond" w:hAnsi="Garamond"/>
                <w:sz w:val="16"/>
                <w:szCs w:val="16"/>
              </w:rPr>
              <w:t>- Numri i shërbimeve novatore dhe cilësore të prodhuara</w:t>
            </w:r>
          </w:p>
        </w:tc>
        <w:tc>
          <w:tcPr>
            <w:tcW w:w="380" w:type="pct"/>
            <w:tcBorders>
              <w:top w:val="single" w:sz="4" w:space="0" w:color="auto"/>
              <w:left w:val="single" w:sz="4" w:space="0" w:color="auto"/>
            </w:tcBorders>
            <w:shd w:val="clear" w:color="auto" w:fill="auto"/>
          </w:tcPr>
          <w:p w14:paraId="014E450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4</w:t>
            </w:r>
          </w:p>
        </w:tc>
        <w:tc>
          <w:tcPr>
            <w:tcW w:w="352" w:type="pct"/>
            <w:tcBorders>
              <w:top w:val="single" w:sz="4" w:space="0" w:color="auto"/>
              <w:left w:val="single" w:sz="4" w:space="0" w:color="auto"/>
            </w:tcBorders>
            <w:shd w:val="clear" w:color="auto" w:fill="auto"/>
          </w:tcPr>
          <w:p w14:paraId="014E450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14</w:t>
            </w:r>
          </w:p>
        </w:tc>
        <w:tc>
          <w:tcPr>
            <w:tcW w:w="529" w:type="pct"/>
            <w:vMerge/>
            <w:tcBorders>
              <w:left w:val="single" w:sz="4" w:space="0" w:color="auto"/>
              <w:right w:val="single" w:sz="4" w:space="0" w:color="auto"/>
            </w:tcBorders>
            <w:shd w:val="clear" w:color="auto" w:fill="auto"/>
          </w:tcPr>
          <w:p w14:paraId="014E4505" w14:textId="77777777" w:rsidR="000D306C" w:rsidRPr="00A90756" w:rsidRDefault="000D306C" w:rsidP="000D306C">
            <w:pPr>
              <w:spacing w:after="0" w:line="240" w:lineRule="auto"/>
              <w:rPr>
                <w:rFonts w:ascii="Garamond" w:hAnsi="Garamond"/>
                <w:sz w:val="16"/>
                <w:szCs w:val="16"/>
              </w:rPr>
            </w:pPr>
          </w:p>
        </w:tc>
      </w:tr>
      <w:tr w:rsidR="000D306C" w:rsidRPr="00A90756" w14:paraId="014E450E" w14:textId="77777777" w:rsidTr="000D306C">
        <w:trPr>
          <w:trHeight w:val="20"/>
          <w:jc w:val="center"/>
        </w:trPr>
        <w:tc>
          <w:tcPr>
            <w:tcW w:w="650" w:type="pct"/>
            <w:vMerge/>
            <w:tcBorders>
              <w:left w:val="single" w:sz="4" w:space="0" w:color="auto"/>
            </w:tcBorders>
            <w:shd w:val="clear" w:color="auto" w:fill="auto"/>
          </w:tcPr>
          <w:p w14:paraId="014E4507"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tcBorders>
            <w:shd w:val="clear" w:color="auto" w:fill="auto"/>
          </w:tcPr>
          <w:p w14:paraId="014E4508"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tcBorders>
            <w:shd w:val="clear" w:color="auto" w:fill="auto"/>
          </w:tcPr>
          <w:p w14:paraId="014E4509"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tcBorders>
            <w:shd w:val="clear" w:color="auto" w:fill="auto"/>
            <w:vAlign w:val="bottom"/>
          </w:tcPr>
          <w:p w14:paraId="014E450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 Numri i produkteve lokale bio të zhvilluara</w:t>
            </w:r>
          </w:p>
        </w:tc>
        <w:tc>
          <w:tcPr>
            <w:tcW w:w="380" w:type="pct"/>
            <w:tcBorders>
              <w:top w:val="single" w:sz="4" w:space="0" w:color="auto"/>
              <w:left w:val="single" w:sz="4" w:space="0" w:color="auto"/>
            </w:tcBorders>
            <w:shd w:val="clear" w:color="auto" w:fill="auto"/>
          </w:tcPr>
          <w:p w14:paraId="014E450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0</w:t>
            </w:r>
          </w:p>
        </w:tc>
        <w:tc>
          <w:tcPr>
            <w:tcW w:w="352" w:type="pct"/>
            <w:tcBorders>
              <w:top w:val="single" w:sz="4" w:space="0" w:color="auto"/>
              <w:left w:val="single" w:sz="4" w:space="0" w:color="auto"/>
            </w:tcBorders>
            <w:shd w:val="clear" w:color="auto" w:fill="auto"/>
          </w:tcPr>
          <w:p w14:paraId="014E450C"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5</w:t>
            </w:r>
          </w:p>
        </w:tc>
        <w:tc>
          <w:tcPr>
            <w:tcW w:w="529" w:type="pct"/>
            <w:vMerge/>
            <w:tcBorders>
              <w:left w:val="single" w:sz="4" w:space="0" w:color="auto"/>
              <w:right w:val="single" w:sz="4" w:space="0" w:color="auto"/>
            </w:tcBorders>
            <w:shd w:val="clear" w:color="auto" w:fill="auto"/>
          </w:tcPr>
          <w:p w14:paraId="014E450D" w14:textId="77777777" w:rsidR="000D306C" w:rsidRPr="00A90756" w:rsidRDefault="000D306C" w:rsidP="000D306C">
            <w:pPr>
              <w:spacing w:after="0" w:line="240" w:lineRule="auto"/>
              <w:rPr>
                <w:rFonts w:ascii="Garamond" w:hAnsi="Garamond"/>
                <w:sz w:val="16"/>
                <w:szCs w:val="16"/>
              </w:rPr>
            </w:pPr>
          </w:p>
        </w:tc>
      </w:tr>
      <w:tr w:rsidR="000D306C" w:rsidRPr="00A90756" w14:paraId="014E4516" w14:textId="77777777" w:rsidTr="000D306C">
        <w:trPr>
          <w:trHeight w:val="20"/>
          <w:jc w:val="center"/>
        </w:trPr>
        <w:tc>
          <w:tcPr>
            <w:tcW w:w="650" w:type="pct"/>
            <w:vMerge/>
            <w:tcBorders>
              <w:left w:val="single" w:sz="4" w:space="0" w:color="auto"/>
              <w:bottom w:val="single" w:sz="4" w:space="0" w:color="auto"/>
            </w:tcBorders>
            <w:shd w:val="clear" w:color="auto" w:fill="auto"/>
          </w:tcPr>
          <w:p w14:paraId="014E450F" w14:textId="77777777" w:rsidR="000D306C" w:rsidRPr="00A90756" w:rsidRDefault="000D306C" w:rsidP="000D306C">
            <w:pPr>
              <w:spacing w:after="0" w:line="240" w:lineRule="auto"/>
              <w:rPr>
                <w:rFonts w:ascii="Garamond" w:hAnsi="Garamond"/>
                <w:sz w:val="16"/>
                <w:szCs w:val="16"/>
              </w:rPr>
            </w:pPr>
          </w:p>
        </w:tc>
        <w:tc>
          <w:tcPr>
            <w:tcW w:w="572" w:type="pct"/>
            <w:vMerge/>
            <w:tcBorders>
              <w:left w:val="single" w:sz="4" w:space="0" w:color="auto"/>
              <w:bottom w:val="single" w:sz="4" w:space="0" w:color="auto"/>
            </w:tcBorders>
            <w:shd w:val="clear" w:color="auto" w:fill="auto"/>
          </w:tcPr>
          <w:p w14:paraId="014E4510" w14:textId="77777777" w:rsidR="000D306C" w:rsidRPr="00A90756" w:rsidRDefault="000D306C" w:rsidP="000D306C">
            <w:pPr>
              <w:spacing w:after="0" w:line="240" w:lineRule="auto"/>
              <w:rPr>
                <w:rFonts w:ascii="Garamond" w:hAnsi="Garamond"/>
                <w:sz w:val="16"/>
                <w:szCs w:val="16"/>
              </w:rPr>
            </w:pPr>
          </w:p>
        </w:tc>
        <w:tc>
          <w:tcPr>
            <w:tcW w:w="1466" w:type="pct"/>
            <w:vMerge/>
            <w:tcBorders>
              <w:left w:val="single" w:sz="4" w:space="0" w:color="auto"/>
              <w:bottom w:val="single" w:sz="4" w:space="0" w:color="auto"/>
            </w:tcBorders>
            <w:shd w:val="clear" w:color="auto" w:fill="auto"/>
          </w:tcPr>
          <w:p w14:paraId="014E4511" w14:textId="77777777" w:rsidR="000D306C" w:rsidRPr="00A90756" w:rsidRDefault="000D306C" w:rsidP="000D306C">
            <w:pPr>
              <w:spacing w:after="0" w:line="240" w:lineRule="auto"/>
              <w:rPr>
                <w:rFonts w:ascii="Garamond" w:hAnsi="Garamond"/>
                <w:sz w:val="16"/>
                <w:szCs w:val="16"/>
              </w:rPr>
            </w:pPr>
          </w:p>
        </w:tc>
        <w:tc>
          <w:tcPr>
            <w:tcW w:w="1051" w:type="pct"/>
            <w:tcBorders>
              <w:top w:val="single" w:sz="4" w:space="0" w:color="auto"/>
              <w:left w:val="single" w:sz="4" w:space="0" w:color="auto"/>
              <w:bottom w:val="single" w:sz="4" w:space="0" w:color="auto"/>
            </w:tcBorders>
            <w:shd w:val="clear" w:color="auto" w:fill="auto"/>
          </w:tcPr>
          <w:p w14:paraId="014E4512"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 Numri i aktiviteteve për rritje </w:t>
            </w:r>
            <w:r w:rsidRPr="00A90756">
              <w:rPr>
                <w:rStyle w:val="Other1"/>
                <w:rFonts w:ascii="Garamond" w:hAnsi="Garamond"/>
                <w:sz w:val="16"/>
                <w:szCs w:val="16"/>
              </w:rPr>
              <w:lastRenderedPageBreak/>
              <w:t>kapacitetesh të zhvilluara;</w:t>
            </w:r>
          </w:p>
        </w:tc>
        <w:tc>
          <w:tcPr>
            <w:tcW w:w="380" w:type="pct"/>
            <w:tcBorders>
              <w:top w:val="single" w:sz="4" w:space="0" w:color="auto"/>
              <w:left w:val="single" w:sz="4" w:space="0" w:color="auto"/>
              <w:bottom w:val="single" w:sz="4" w:space="0" w:color="auto"/>
            </w:tcBorders>
            <w:shd w:val="clear" w:color="auto" w:fill="auto"/>
          </w:tcPr>
          <w:p w14:paraId="014E451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lastRenderedPageBreak/>
              <w:t>11</w:t>
            </w:r>
          </w:p>
        </w:tc>
        <w:tc>
          <w:tcPr>
            <w:tcW w:w="352" w:type="pct"/>
            <w:tcBorders>
              <w:top w:val="single" w:sz="4" w:space="0" w:color="auto"/>
              <w:left w:val="single" w:sz="4" w:space="0" w:color="auto"/>
              <w:bottom w:val="single" w:sz="4" w:space="0" w:color="auto"/>
            </w:tcBorders>
            <w:shd w:val="clear" w:color="auto" w:fill="auto"/>
          </w:tcPr>
          <w:p w14:paraId="014E451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20</w:t>
            </w:r>
          </w:p>
        </w:tc>
        <w:tc>
          <w:tcPr>
            <w:tcW w:w="529" w:type="pct"/>
            <w:vMerge/>
            <w:tcBorders>
              <w:left w:val="single" w:sz="4" w:space="0" w:color="auto"/>
              <w:bottom w:val="single" w:sz="4" w:space="0" w:color="auto"/>
              <w:right w:val="single" w:sz="4" w:space="0" w:color="auto"/>
            </w:tcBorders>
            <w:shd w:val="clear" w:color="auto" w:fill="auto"/>
          </w:tcPr>
          <w:p w14:paraId="014E4515" w14:textId="77777777" w:rsidR="000D306C" w:rsidRPr="00A90756" w:rsidRDefault="000D306C" w:rsidP="000D306C">
            <w:pPr>
              <w:spacing w:after="0" w:line="240" w:lineRule="auto"/>
              <w:rPr>
                <w:rFonts w:ascii="Garamond" w:hAnsi="Garamond"/>
                <w:sz w:val="16"/>
                <w:szCs w:val="16"/>
              </w:rPr>
            </w:pPr>
          </w:p>
        </w:tc>
      </w:tr>
    </w:tbl>
    <w:p w14:paraId="014E4517" w14:textId="77777777" w:rsidR="000D306C" w:rsidRPr="00A90756" w:rsidRDefault="000D306C" w:rsidP="000D306C">
      <w:pPr>
        <w:ind w:firstLine="284"/>
        <w:rPr>
          <w:rFonts w:ascii="Garamond" w:hAnsi="Garamond"/>
          <w:sz w:val="14"/>
          <w:szCs w:val="14"/>
        </w:rPr>
      </w:pPr>
    </w:p>
    <w:tbl>
      <w:tblPr>
        <w:tblOverlap w:val="never"/>
        <w:tblW w:w="5000" w:type="pct"/>
        <w:jc w:val="center"/>
        <w:tblCellMar>
          <w:left w:w="10" w:type="dxa"/>
          <w:right w:w="10" w:type="dxa"/>
        </w:tblCellMar>
        <w:tblLook w:val="04A0" w:firstRow="1" w:lastRow="0" w:firstColumn="1" w:lastColumn="0" w:noHBand="0" w:noVBand="1"/>
      </w:tblPr>
      <w:tblGrid>
        <w:gridCol w:w="1194"/>
        <w:gridCol w:w="1050"/>
        <w:gridCol w:w="2346"/>
        <w:gridCol w:w="2169"/>
        <w:gridCol w:w="803"/>
        <w:gridCol w:w="647"/>
        <w:gridCol w:w="808"/>
      </w:tblGrid>
      <w:tr w:rsidR="000D306C" w:rsidRPr="00A90756" w14:paraId="014E451A" w14:textId="77777777" w:rsidTr="000D306C">
        <w:trPr>
          <w:trHeight w:val="20"/>
          <w:jc w:val="center"/>
        </w:trPr>
        <w:tc>
          <w:tcPr>
            <w:tcW w:w="5000" w:type="pct"/>
            <w:gridSpan w:val="7"/>
            <w:tcBorders>
              <w:top w:val="single" w:sz="4" w:space="0" w:color="auto"/>
              <w:left w:val="single" w:sz="4" w:space="0" w:color="auto"/>
              <w:right w:val="single" w:sz="4" w:space="0" w:color="auto"/>
            </w:tcBorders>
            <w:shd w:val="clear" w:color="auto" w:fill="95B3D7"/>
            <w:vAlign w:val="bottom"/>
          </w:tcPr>
          <w:p w14:paraId="014E4518"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2 - TC 4:</w:t>
            </w:r>
          </w:p>
          <w:p w14:paraId="014E4519"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Përmirësimi i mjedisit të biznesit dhe konkurrueshmërisë</w:t>
            </w:r>
          </w:p>
        </w:tc>
      </w:tr>
      <w:tr w:rsidR="000D306C" w:rsidRPr="00A90756" w14:paraId="014E4520" w14:textId="77777777" w:rsidTr="000D306C">
        <w:trPr>
          <w:trHeight w:val="20"/>
          <w:jc w:val="center"/>
        </w:trPr>
        <w:tc>
          <w:tcPr>
            <w:tcW w:w="2545" w:type="pct"/>
            <w:gridSpan w:val="3"/>
            <w:tcBorders>
              <w:top w:val="single" w:sz="4" w:space="0" w:color="auto"/>
              <w:left w:val="single" w:sz="4" w:space="0" w:color="auto"/>
            </w:tcBorders>
            <w:shd w:val="clear" w:color="auto" w:fill="95B3D7"/>
          </w:tcPr>
          <w:p w14:paraId="014E451B"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TP5: Turizmi dhe trashëgimia kulturore e natyrore</w:t>
            </w:r>
          </w:p>
        </w:tc>
        <w:tc>
          <w:tcPr>
            <w:tcW w:w="1203" w:type="pct"/>
            <w:tcBorders>
              <w:top w:val="single" w:sz="4" w:space="0" w:color="auto"/>
              <w:left w:val="single" w:sz="4" w:space="0" w:color="auto"/>
            </w:tcBorders>
            <w:shd w:val="clear" w:color="auto" w:fill="95B3D7"/>
          </w:tcPr>
          <w:p w14:paraId="014E451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Treguesit</w:t>
            </w:r>
          </w:p>
        </w:tc>
        <w:tc>
          <w:tcPr>
            <w:tcW w:w="445" w:type="pct"/>
            <w:tcBorders>
              <w:top w:val="single" w:sz="4" w:space="0" w:color="auto"/>
              <w:left w:val="single" w:sz="4" w:space="0" w:color="auto"/>
            </w:tcBorders>
            <w:shd w:val="clear" w:color="auto" w:fill="95B3D7"/>
          </w:tcPr>
          <w:p w14:paraId="014E451D"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Baza e (viti) 2021</w:t>
            </w:r>
          </w:p>
        </w:tc>
        <w:tc>
          <w:tcPr>
            <w:tcW w:w="359" w:type="pct"/>
            <w:tcBorders>
              <w:top w:val="single" w:sz="4" w:space="0" w:color="auto"/>
              <w:left w:val="single" w:sz="4" w:space="0" w:color="auto"/>
            </w:tcBorders>
            <w:shd w:val="clear" w:color="auto" w:fill="95B3D7"/>
            <w:vAlign w:val="bottom"/>
          </w:tcPr>
          <w:p w14:paraId="014E451E" w14:textId="3F977ACB"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Synimi</w:t>
            </w:r>
            <w:r w:rsidR="00C61854" w:rsidRPr="00A90756">
              <w:rPr>
                <w:rStyle w:val="Other1"/>
                <w:rFonts w:ascii="Garamond" w:hAnsi="Garamond"/>
                <w:b/>
                <w:bCs/>
                <w:sz w:val="16"/>
                <w:szCs w:val="16"/>
              </w:rPr>
              <w:t xml:space="preserve"> </w:t>
            </w:r>
            <w:r w:rsidRPr="00A90756">
              <w:rPr>
                <w:rStyle w:val="Other1"/>
                <w:rFonts w:ascii="Garamond" w:hAnsi="Garamond"/>
                <w:b/>
                <w:bCs/>
                <w:sz w:val="16"/>
                <w:szCs w:val="16"/>
              </w:rPr>
              <w:t>(viti) 2029</w:t>
            </w:r>
          </w:p>
        </w:tc>
        <w:tc>
          <w:tcPr>
            <w:tcW w:w="448" w:type="pct"/>
            <w:tcBorders>
              <w:top w:val="single" w:sz="4" w:space="0" w:color="auto"/>
              <w:left w:val="single" w:sz="4" w:space="0" w:color="auto"/>
              <w:right w:val="single" w:sz="4" w:space="0" w:color="auto"/>
            </w:tcBorders>
            <w:shd w:val="clear" w:color="auto" w:fill="95B3D7"/>
          </w:tcPr>
          <w:p w14:paraId="014E451F"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Burimi i të dhënave</w:t>
            </w:r>
          </w:p>
        </w:tc>
      </w:tr>
      <w:tr w:rsidR="000D306C" w:rsidRPr="00A90756" w14:paraId="014E452C" w14:textId="77777777" w:rsidTr="000D306C">
        <w:trPr>
          <w:trHeight w:val="20"/>
          <w:jc w:val="center"/>
        </w:trPr>
        <w:tc>
          <w:tcPr>
            <w:tcW w:w="662" w:type="pct"/>
            <w:vMerge w:val="restart"/>
            <w:tcBorders>
              <w:top w:val="single" w:sz="4" w:space="0" w:color="auto"/>
              <w:left w:val="single" w:sz="4" w:space="0" w:color="auto"/>
            </w:tcBorders>
            <w:shd w:val="clear" w:color="auto" w:fill="auto"/>
          </w:tcPr>
          <w:p w14:paraId="014E4521" w14:textId="77777777" w:rsidR="000D306C" w:rsidRPr="00A90756" w:rsidRDefault="000D306C" w:rsidP="000D306C">
            <w:pPr>
              <w:rPr>
                <w:rFonts w:ascii="Garamond" w:hAnsi="Garamond"/>
                <w:sz w:val="10"/>
                <w:szCs w:val="10"/>
              </w:rPr>
            </w:pPr>
          </w:p>
        </w:tc>
        <w:tc>
          <w:tcPr>
            <w:tcW w:w="582" w:type="pct"/>
            <w:vMerge w:val="restart"/>
            <w:tcBorders>
              <w:top w:val="single" w:sz="4" w:space="0" w:color="auto"/>
              <w:left w:val="single" w:sz="4" w:space="0" w:color="auto"/>
            </w:tcBorders>
            <w:shd w:val="clear" w:color="auto" w:fill="auto"/>
          </w:tcPr>
          <w:p w14:paraId="014E4522" w14:textId="77777777" w:rsidR="000D306C" w:rsidRPr="00A90756" w:rsidRDefault="000D306C" w:rsidP="000D306C">
            <w:pPr>
              <w:rPr>
                <w:rFonts w:ascii="Garamond" w:hAnsi="Garamond"/>
                <w:sz w:val="10"/>
                <w:szCs w:val="10"/>
              </w:rPr>
            </w:pPr>
          </w:p>
        </w:tc>
        <w:tc>
          <w:tcPr>
            <w:tcW w:w="1301" w:type="pct"/>
            <w:vMerge w:val="restart"/>
            <w:tcBorders>
              <w:top w:val="single" w:sz="4" w:space="0" w:color="auto"/>
              <w:left w:val="single" w:sz="4" w:space="0" w:color="auto"/>
            </w:tcBorders>
            <w:shd w:val="clear" w:color="auto" w:fill="auto"/>
            <w:vAlign w:val="bottom"/>
          </w:tcPr>
          <w:p w14:paraId="014E4523"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ofrimin e shërbimeve dhe rritjen e konkurrencës</w:t>
            </w:r>
          </w:p>
          <w:p w14:paraId="014E4524" w14:textId="77777777" w:rsidR="000D306C" w:rsidRPr="00A90756" w:rsidRDefault="000D306C" w:rsidP="000D306C">
            <w:pPr>
              <w:pStyle w:val="Other10"/>
              <w:numPr>
                <w:ilvl w:val="0"/>
                <w:numId w:val="24"/>
              </w:numPr>
              <w:tabs>
                <w:tab w:val="left" w:pos="163"/>
              </w:tabs>
              <w:spacing w:after="0"/>
              <w:jc w:val="both"/>
              <w:rPr>
                <w:rFonts w:ascii="Garamond" w:hAnsi="Garamond"/>
                <w:sz w:val="16"/>
                <w:szCs w:val="16"/>
              </w:rPr>
            </w:pPr>
            <w:r w:rsidRPr="00A90756">
              <w:rPr>
                <w:rStyle w:val="Other1"/>
                <w:rFonts w:ascii="Garamond" w:hAnsi="Garamond"/>
                <w:sz w:val="16"/>
                <w:szCs w:val="16"/>
              </w:rPr>
              <w:t>Mbështetja e fermerëve vendas në fushën e prodhimit bujqësor dhe industrisë agropërpunuese, industrisë së drurit dhe artizanatit në lidhje me turizmin</w:t>
            </w:r>
          </w:p>
          <w:p w14:paraId="014E4525" w14:textId="77777777" w:rsidR="000D306C" w:rsidRPr="00A90756" w:rsidRDefault="000D306C" w:rsidP="000D306C">
            <w:pPr>
              <w:pStyle w:val="Other10"/>
              <w:numPr>
                <w:ilvl w:val="0"/>
                <w:numId w:val="24"/>
              </w:numPr>
              <w:tabs>
                <w:tab w:val="left" w:pos="163"/>
                <w:tab w:val="center" w:pos="1445"/>
                <w:tab w:val="right" w:pos="2496"/>
              </w:tabs>
              <w:spacing w:after="0"/>
              <w:jc w:val="both"/>
              <w:rPr>
                <w:rStyle w:val="Other1"/>
                <w:rFonts w:ascii="Garamond" w:hAnsi="Garamond"/>
                <w:sz w:val="16"/>
                <w:szCs w:val="16"/>
              </w:rPr>
            </w:pPr>
            <w:r w:rsidRPr="00A90756">
              <w:rPr>
                <w:rStyle w:val="Other1"/>
                <w:rFonts w:ascii="Garamond" w:hAnsi="Garamond"/>
                <w:sz w:val="16"/>
                <w:szCs w:val="16"/>
              </w:rPr>
              <w:t>Masa për përmirësimin e mjedisit të biznesit dhe rritjes së mundësive për krijimin e bizneseve dhe punësimin në turizëm, duke u fokusuar tek të rinjtë, grupet e marxhinalizuara dhe vulnerabël, duke përfshirë edhe zonat e thella rurale</w:t>
            </w:r>
          </w:p>
          <w:p w14:paraId="014E4526" w14:textId="6BCCF36B" w:rsidR="000D306C" w:rsidRPr="00A90756" w:rsidRDefault="000D306C" w:rsidP="000D306C">
            <w:pPr>
              <w:pStyle w:val="Other10"/>
              <w:numPr>
                <w:ilvl w:val="0"/>
                <w:numId w:val="24"/>
              </w:numPr>
              <w:tabs>
                <w:tab w:val="left" w:pos="163"/>
                <w:tab w:val="center" w:pos="1445"/>
                <w:tab w:val="right" w:pos="2496"/>
              </w:tabs>
              <w:spacing w:after="0"/>
              <w:jc w:val="both"/>
              <w:rPr>
                <w:rStyle w:val="Other1"/>
                <w:rFonts w:ascii="Garamond" w:hAnsi="Garamond"/>
                <w:sz w:val="16"/>
                <w:szCs w:val="16"/>
              </w:rPr>
            </w:pPr>
            <w:r w:rsidRPr="00A90756">
              <w:rPr>
                <w:rStyle w:val="Other1"/>
                <w:rFonts w:ascii="Garamond" w:hAnsi="Garamond"/>
                <w:sz w:val="16"/>
                <w:szCs w:val="16"/>
              </w:rPr>
              <w:t>Pjesëmarrja</w:t>
            </w:r>
            <w:r w:rsidRPr="00A90756">
              <w:rPr>
                <w:rStyle w:val="Other1"/>
                <w:rFonts w:ascii="Garamond" w:hAnsi="Garamond"/>
                <w:sz w:val="16"/>
                <w:szCs w:val="16"/>
              </w:rPr>
              <w:tab/>
              <w:t>e sipërmarrjeve të turizmit në edukimin specifik profesional, p.sh. përmes projekteve të përbashkëta, skemave të përbashkëta të shkëmbimeve etj.</w:t>
            </w:r>
          </w:p>
          <w:p w14:paraId="014E4527" w14:textId="77777777" w:rsidR="000D306C" w:rsidRPr="00A90756" w:rsidRDefault="000D306C" w:rsidP="000D306C">
            <w:pPr>
              <w:pStyle w:val="Other10"/>
              <w:numPr>
                <w:ilvl w:val="0"/>
                <w:numId w:val="24"/>
              </w:numPr>
              <w:tabs>
                <w:tab w:val="left" w:pos="163"/>
                <w:tab w:val="center" w:pos="1445"/>
                <w:tab w:val="right" w:pos="2496"/>
              </w:tabs>
              <w:spacing w:after="0"/>
              <w:jc w:val="both"/>
              <w:rPr>
                <w:rFonts w:ascii="Garamond" w:hAnsi="Garamond"/>
                <w:sz w:val="16"/>
                <w:szCs w:val="16"/>
              </w:rPr>
            </w:pPr>
            <w:r w:rsidRPr="00A90756">
              <w:rPr>
                <w:rStyle w:val="Other1"/>
                <w:rFonts w:ascii="Garamond" w:hAnsi="Garamond"/>
                <w:sz w:val="16"/>
                <w:szCs w:val="16"/>
              </w:rPr>
              <w:t>Skema grantesh për ofruesit turistikë në sektorin e turizmit ose në sektorë të rinj për rritjen e akomodimit, kateringut dhe cilësisë së këtyre shërbimeve</w:t>
            </w:r>
          </w:p>
        </w:tc>
        <w:tc>
          <w:tcPr>
            <w:tcW w:w="1203" w:type="pct"/>
            <w:tcBorders>
              <w:top w:val="single" w:sz="4" w:space="0" w:color="auto"/>
              <w:left w:val="single" w:sz="4" w:space="0" w:color="auto"/>
            </w:tcBorders>
            <w:shd w:val="clear" w:color="auto" w:fill="auto"/>
          </w:tcPr>
          <w:p w14:paraId="014E4528"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Numri i ofruesve të turizmit që kanë marrë mbështetje;</w:t>
            </w:r>
          </w:p>
        </w:tc>
        <w:tc>
          <w:tcPr>
            <w:tcW w:w="445" w:type="pct"/>
            <w:tcBorders>
              <w:top w:val="single" w:sz="4" w:space="0" w:color="auto"/>
              <w:left w:val="single" w:sz="4" w:space="0" w:color="auto"/>
            </w:tcBorders>
            <w:shd w:val="clear" w:color="auto" w:fill="auto"/>
          </w:tcPr>
          <w:p w14:paraId="014E4529"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71</w:t>
            </w:r>
          </w:p>
        </w:tc>
        <w:tc>
          <w:tcPr>
            <w:tcW w:w="359" w:type="pct"/>
            <w:tcBorders>
              <w:top w:val="single" w:sz="4" w:space="0" w:color="auto"/>
              <w:left w:val="single" w:sz="4" w:space="0" w:color="auto"/>
            </w:tcBorders>
            <w:shd w:val="clear" w:color="auto" w:fill="auto"/>
          </w:tcPr>
          <w:p w14:paraId="014E452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91</w:t>
            </w:r>
          </w:p>
        </w:tc>
        <w:tc>
          <w:tcPr>
            <w:tcW w:w="448" w:type="pct"/>
            <w:vMerge w:val="restart"/>
            <w:tcBorders>
              <w:top w:val="single" w:sz="4" w:space="0" w:color="auto"/>
              <w:left w:val="single" w:sz="4" w:space="0" w:color="auto"/>
              <w:right w:val="single" w:sz="4" w:space="0" w:color="auto"/>
            </w:tcBorders>
            <w:shd w:val="clear" w:color="auto" w:fill="auto"/>
          </w:tcPr>
          <w:p w14:paraId="014E452B" w14:textId="77777777" w:rsidR="000D306C" w:rsidRPr="00A90756" w:rsidRDefault="000D306C" w:rsidP="000D306C">
            <w:pPr>
              <w:rPr>
                <w:rFonts w:ascii="Garamond" w:hAnsi="Garamond"/>
                <w:sz w:val="10"/>
                <w:szCs w:val="10"/>
              </w:rPr>
            </w:pPr>
          </w:p>
        </w:tc>
      </w:tr>
      <w:tr w:rsidR="000D306C" w:rsidRPr="00A90756" w14:paraId="014E4534" w14:textId="77777777" w:rsidTr="000D306C">
        <w:trPr>
          <w:trHeight w:val="20"/>
          <w:jc w:val="center"/>
        </w:trPr>
        <w:tc>
          <w:tcPr>
            <w:tcW w:w="662" w:type="pct"/>
            <w:vMerge/>
            <w:tcBorders>
              <w:left w:val="single" w:sz="4" w:space="0" w:color="auto"/>
            </w:tcBorders>
            <w:shd w:val="clear" w:color="auto" w:fill="auto"/>
          </w:tcPr>
          <w:p w14:paraId="014E452D" w14:textId="77777777" w:rsidR="000D306C" w:rsidRPr="00A90756" w:rsidRDefault="000D306C" w:rsidP="000D306C">
            <w:pPr>
              <w:rPr>
                <w:rFonts w:ascii="Garamond" w:hAnsi="Garamond"/>
              </w:rPr>
            </w:pPr>
          </w:p>
        </w:tc>
        <w:tc>
          <w:tcPr>
            <w:tcW w:w="582" w:type="pct"/>
            <w:vMerge/>
            <w:tcBorders>
              <w:left w:val="single" w:sz="4" w:space="0" w:color="auto"/>
            </w:tcBorders>
            <w:shd w:val="clear" w:color="auto" w:fill="auto"/>
          </w:tcPr>
          <w:p w14:paraId="014E452E" w14:textId="77777777" w:rsidR="000D306C" w:rsidRPr="00A90756" w:rsidRDefault="000D306C" w:rsidP="000D306C">
            <w:pPr>
              <w:rPr>
                <w:rFonts w:ascii="Garamond" w:hAnsi="Garamond"/>
              </w:rPr>
            </w:pPr>
          </w:p>
        </w:tc>
        <w:tc>
          <w:tcPr>
            <w:tcW w:w="1301" w:type="pct"/>
            <w:vMerge/>
            <w:tcBorders>
              <w:left w:val="single" w:sz="4" w:space="0" w:color="auto"/>
            </w:tcBorders>
            <w:shd w:val="clear" w:color="auto" w:fill="auto"/>
            <w:vAlign w:val="bottom"/>
          </w:tcPr>
          <w:p w14:paraId="014E452F" w14:textId="77777777" w:rsidR="000D306C" w:rsidRPr="00A90756" w:rsidRDefault="000D306C" w:rsidP="000D306C">
            <w:pPr>
              <w:rPr>
                <w:rFonts w:ascii="Garamond" w:hAnsi="Garamond"/>
              </w:rPr>
            </w:pPr>
          </w:p>
        </w:tc>
        <w:tc>
          <w:tcPr>
            <w:tcW w:w="1203" w:type="pct"/>
            <w:tcBorders>
              <w:top w:val="single" w:sz="4" w:space="0" w:color="auto"/>
              <w:left w:val="single" w:sz="4" w:space="0" w:color="auto"/>
            </w:tcBorders>
            <w:shd w:val="clear" w:color="auto" w:fill="auto"/>
            <w:vAlign w:val="center"/>
          </w:tcPr>
          <w:p w14:paraId="014E4530" w14:textId="77777777" w:rsidR="000D306C" w:rsidRPr="00A90756" w:rsidRDefault="000D306C" w:rsidP="000D306C">
            <w:pPr>
              <w:pStyle w:val="Other10"/>
              <w:tabs>
                <w:tab w:val="left" w:pos="496"/>
                <w:tab w:val="left" w:pos="1384"/>
                <w:tab w:val="left" w:pos="1797"/>
              </w:tabs>
              <w:spacing w:after="0"/>
              <w:jc w:val="both"/>
              <w:rPr>
                <w:rFonts w:ascii="Garamond" w:hAnsi="Garamond"/>
                <w:sz w:val="16"/>
                <w:szCs w:val="16"/>
              </w:rPr>
            </w:pPr>
            <w:r w:rsidRPr="00A90756">
              <w:rPr>
                <w:rStyle w:val="Other1"/>
                <w:rFonts w:ascii="Garamond" w:hAnsi="Garamond"/>
                <w:sz w:val="16"/>
                <w:szCs w:val="16"/>
              </w:rPr>
              <w:t>-</w:t>
            </w:r>
            <w:r w:rsidRPr="00A90756">
              <w:rPr>
                <w:rStyle w:val="Other1"/>
                <w:rFonts w:ascii="Garamond" w:hAnsi="Garamond"/>
                <w:sz w:val="16"/>
                <w:szCs w:val="16"/>
              </w:rPr>
              <w:tab/>
              <w:t>Numri i sipërmarrjeve turistike nga zonat e pranueshme që kanë marrë pjesë në programet AFP në lidhje me turizmin</w:t>
            </w:r>
          </w:p>
        </w:tc>
        <w:tc>
          <w:tcPr>
            <w:tcW w:w="445" w:type="pct"/>
            <w:tcBorders>
              <w:top w:val="single" w:sz="4" w:space="0" w:color="auto"/>
              <w:left w:val="single" w:sz="4" w:space="0" w:color="auto"/>
            </w:tcBorders>
            <w:shd w:val="clear" w:color="auto" w:fill="auto"/>
          </w:tcPr>
          <w:p w14:paraId="014E4531"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0</w:t>
            </w:r>
          </w:p>
        </w:tc>
        <w:tc>
          <w:tcPr>
            <w:tcW w:w="359" w:type="pct"/>
            <w:tcBorders>
              <w:top w:val="single" w:sz="4" w:space="0" w:color="auto"/>
              <w:left w:val="single" w:sz="4" w:space="0" w:color="auto"/>
            </w:tcBorders>
            <w:shd w:val="clear" w:color="auto" w:fill="auto"/>
          </w:tcPr>
          <w:p w14:paraId="014E453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10</w:t>
            </w:r>
          </w:p>
        </w:tc>
        <w:tc>
          <w:tcPr>
            <w:tcW w:w="448" w:type="pct"/>
            <w:vMerge/>
            <w:tcBorders>
              <w:left w:val="single" w:sz="4" w:space="0" w:color="auto"/>
              <w:right w:val="single" w:sz="4" w:space="0" w:color="auto"/>
            </w:tcBorders>
            <w:shd w:val="clear" w:color="auto" w:fill="auto"/>
          </w:tcPr>
          <w:p w14:paraId="014E4533" w14:textId="77777777" w:rsidR="000D306C" w:rsidRPr="00A90756" w:rsidRDefault="000D306C" w:rsidP="000D306C">
            <w:pPr>
              <w:rPr>
                <w:rFonts w:ascii="Garamond" w:hAnsi="Garamond"/>
              </w:rPr>
            </w:pPr>
          </w:p>
        </w:tc>
      </w:tr>
      <w:tr w:rsidR="000D306C" w:rsidRPr="00A90756" w14:paraId="014E453C" w14:textId="77777777" w:rsidTr="000D306C">
        <w:trPr>
          <w:trHeight w:val="20"/>
          <w:jc w:val="center"/>
        </w:trPr>
        <w:tc>
          <w:tcPr>
            <w:tcW w:w="662" w:type="pct"/>
            <w:vMerge/>
            <w:tcBorders>
              <w:left w:val="single" w:sz="4" w:space="0" w:color="auto"/>
            </w:tcBorders>
            <w:shd w:val="clear" w:color="auto" w:fill="auto"/>
          </w:tcPr>
          <w:p w14:paraId="014E4535" w14:textId="77777777" w:rsidR="000D306C" w:rsidRPr="00A90756" w:rsidRDefault="000D306C" w:rsidP="000D306C">
            <w:pPr>
              <w:rPr>
                <w:rFonts w:ascii="Garamond" w:hAnsi="Garamond"/>
              </w:rPr>
            </w:pPr>
          </w:p>
        </w:tc>
        <w:tc>
          <w:tcPr>
            <w:tcW w:w="582" w:type="pct"/>
            <w:vMerge/>
            <w:tcBorders>
              <w:left w:val="single" w:sz="4" w:space="0" w:color="auto"/>
            </w:tcBorders>
            <w:shd w:val="clear" w:color="auto" w:fill="auto"/>
          </w:tcPr>
          <w:p w14:paraId="014E4536" w14:textId="77777777" w:rsidR="000D306C" w:rsidRPr="00A90756" w:rsidRDefault="000D306C" w:rsidP="000D306C">
            <w:pPr>
              <w:rPr>
                <w:rFonts w:ascii="Garamond" w:hAnsi="Garamond"/>
              </w:rPr>
            </w:pPr>
          </w:p>
        </w:tc>
        <w:tc>
          <w:tcPr>
            <w:tcW w:w="1301" w:type="pct"/>
            <w:vMerge/>
            <w:tcBorders>
              <w:left w:val="single" w:sz="4" w:space="0" w:color="auto"/>
            </w:tcBorders>
            <w:shd w:val="clear" w:color="auto" w:fill="auto"/>
            <w:vAlign w:val="bottom"/>
          </w:tcPr>
          <w:p w14:paraId="014E4537" w14:textId="77777777" w:rsidR="000D306C" w:rsidRPr="00A90756" w:rsidRDefault="000D306C" w:rsidP="000D306C">
            <w:pPr>
              <w:rPr>
                <w:rFonts w:ascii="Garamond" w:hAnsi="Garamond"/>
              </w:rPr>
            </w:pPr>
          </w:p>
        </w:tc>
        <w:tc>
          <w:tcPr>
            <w:tcW w:w="1203" w:type="pct"/>
            <w:tcBorders>
              <w:top w:val="single" w:sz="4" w:space="0" w:color="auto"/>
              <w:left w:val="single" w:sz="4" w:space="0" w:color="auto"/>
            </w:tcBorders>
            <w:shd w:val="clear" w:color="auto" w:fill="auto"/>
          </w:tcPr>
          <w:p w14:paraId="014E4538" w14:textId="77777777" w:rsidR="000D306C" w:rsidRPr="00A90756" w:rsidRDefault="000D306C" w:rsidP="000D306C">
            <w:pPr>
              <w:pStyle w:val="Other10"/>
              <w:tabs>
                <w:tab w:val="left" w:pos="1387"/>
                <w:tab w:val="right" w:pos="2304"/>
              </w:tabs>
              <w:spacing w:after="0"/>
              <w:jc w:val="both"/>
              <w:rPr>
                <w:rFonts w:ascii="Garamond" w:hAnsi="Garamond"/>
                <w:sz w:val="16"/>
                <w:szCs w:val="16"/>
              </w:rPr>
            </w:pPr>
            <w:r w:rsidRPr="00A90756">
              <w:rPr>
                <w:rStyle w:val="Other1"/>
                <w:rFonts w:ascii="Garamond" w:hAnsi="Garamond"/>
                <w:sz w:val="16"/>
                <w:szCs w:val="16"/>
              </w:rPr>
              <w:t>- Numri i fermerëve vendas të përfshirë në aktivitetet e projekteve në fushën e bujqësisë (të ndara sipas gjinisë dhe moshës)</w:t>
            </w:r>
          </w:p>
        </w:tc>
        <w:tc>
          <w:tcPr>
            <w:tcW w:w="445" w:type="pct"/>
            <w:tcBorders>
              <w:top w:val="single" w:sz="4" w:space="0" w:color="auto"/>
              <w:left w:val="single" w:sz="4" w:space="0" w:color="auto"/>
            </w:tcBorders>
            <w:shd w:val="clear" w:color="auto" w:fill="auto"/>
          </w:tcPr>
          <w:p w14:paraId="014E4539"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0</w:t>
            </w:r>
          </w:p>
        </w:tc>
        <w:tc>
          <w:tcPr>
            <w:tcW w:w="359" w:type="pct"/>
            <w:tcBorders>
              <w:top w:val="single" w:sz="4" w:space="0" w:color="auto"/>
              <w:left w:val="single" w:sz="4" w:space="0" w:color="auto"/>
            </w:tcBorders>
            <w:shd w:val="clear" w:color="auto" w:fill="auto"/>
          </w:tcPr>
          <w:p w14:paraId="014E453A"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20</w:t>
            </w:r>
          </w:p>
        </w:tc>
        <w:tc>
          <w:tcPr>
            <w:tcW w:w="448" w:type="pct"/>
            <w:vMerge/>
            <w:tcBorders>
              <w:left w:val="single" w:sz="4" w:space="0" w:color="auto"/>
              <w:right w:val="single" w:sz="4" w:space="0" w:color="auto"/>
            </w:tcBorders>
            <w:shd w:val="clear" w:color="auto" w:fill="auto"/>
          </w:tcPr>
          <w:p w14:paraId="014E453B" w14:textId="77777777" w:rsidR="000D306C" w:rsidRPr="00A90756" w:rsidRDefault="000D306C" w:rsidP="000D306C">
            <w:pPr>
              <w:rPr>
                <w:rFonts w:ascii="Garamond" w:hAnsi="Garamond"/>
              </w:rPr>
            </w:pPr>
          </w:p>
        </w:tc>
      </w:tr>
      <w:tr w:rsidR="000D306C" w:rsidRPr="00A90756" w14:paraId="014E4544" w14:textId="77777777" w:rsidTr="000D306C">
        <w:trPr>
          <w:trHeight w:val="20"/>
          <w:jc w:val="center"/>
        </w:trPr>
        <w:tc>
          <w:tcPr>
            <w:tcW w:w="662" w:type="pct"/>
            <w:vMerge/>
            <w:tcBorders>
              <w:left w:val="single" w:sz="4" w:space="0" w:color="auto"/>
              <w:bottom w:val="single" w:sz="4" w:space="0" w:color="auto"/>
            </w:tcBorders>
            <w:shd w:val="clear" w:color="auto" w:fill="auto"/>
          </w:tcPr>
          <w:p w14:paraId="014E453D" w14:textId="77777777" w:rsidR="000D306C" w:rsidRPr="00A90756" w:rsidRDefault="000D306C" w:rsidP="000D306C">
            <w:pPr>
              <w:rPr>
                <w:rFonts w:ascii="Garamond" w:hAnsi="Garamond"/>
              </w:rPr>
            </w:pPr>
          </w:p>
        </w:tc>
        <w:tc>
          <w:tcPr>
            <w:tcW w:w="582" w:type="pct"/>
            <w:vMerge/>
            <w:tcBorders>
              <w:left w:val="single" w:sz="4" w:space="0" w:color="auto"/>
              <w:bottom w:val="single" w:sz="4" w:space="0" w:color="auto"/>
            </w:tcBorders>
            <w:shd w:val="clear" w:color="auto" w:fill="auto"/>
          </w:tcPr>
          <w:p w14:paraId="014E453E" w14:textId="77777777" w:rsidR="000D306C" w:rsidRPr="00A90756" w:rsidRDefault="000D306C" w:rsidP="000D306C">
            <w:pPr>
              <w:rPr>
                <w:rFonts w:ascii="Garamond" w:hAnsi="Garamond"/>
              </w:rPr>
            </w:pPr>
          </w:p>
        </w:tc>
        <w:tc>
          <w:tcPr>
            <w:tcW w:w="1301" w:type="pct"/>
            <w:vMerge/>
            <w:tcBorders>
              <w:left w:val="single" w:sz="4" w:space="0" w:color="auto"/>
              <w:bottom w:val="single" w:sz="4" w:space="0" w:color="auto"/>
            </w:tcBorders>
            <w:shd w:val="clear" w:color="auto" w:fill="auto"/>
            <w:vAlign w:val="bottom"/>
          </w:tcPr>
          <w:p w14:paraId="014E453F" w14:textId="77777777" w:rsidR="000D306C" w:rsidRPr="00A90756" w:rsidRDefault="000D306C" w:rsidP="000D306C">
            <w:pPr>
              <w:rPr>
                <w:rFonts w:ascii="Garamond" w:hAnsi="Garamond"/>
              </w:rPr>
            </w:pPr>
          </w:p>
        </w:tc>
        <w:tc>
          <w:tcPr>
            <w:tcW w:w="1203" w:type="pct"/>
            <w:tcBorders>
              <w:top w:val="single" w:sz="4" w:space="0" w:color="auto"/>
              <w:left w:val="single" w:sz="4" w:space="0" w:color="auto"/>
              <w:bottom w:val="single" w:sz="4" w:space="0" w:color="auto"/>
            </w:tcBorders>
            <w:shd w:val="clear" w:color="auto" w:fill="auto"/>
          </w:tcPr>
          <w:p w14:paraId="014E4540" w14:textId="308A169D" w:rsidR="000D306C" w:rsidRPr="00A90756" w:rsidRDefault="000D306C" w:rsidP="000D306C">
            <w:pPr>
              <w:pStyle w:val="Other10"/>
              <w:tabs>
                <w:tab w:val="left" w:pos="1123"/>
                <w:tab w:val="left" w:pos="1694"/>
              </w:tabs>
              <w:spacing w:after="0"/>
              <w:jc w:val="both"/>
              <w:rPr>
                <w:rFonts w:ascii="Garamond" w:hAnsi="Garamond"/>
                <w:sz w:val="16"/>
                <w:szCs w:val="16"/>
              </w:rPr>
            </w:pPr>
            <w:r w:rsidRPr="00A90756">
              <w:rPr>
                <w:rStyle w:val="Other1"/>
                <w:rFonts w:ascii="Garamond" w:hAnsi="Garamond"/>
                <w:sz w:val="16"/>
                <w:szCs w:val="16"/>
              </w:rPr>
              <w:t>- Numri i skemës së nëngranteve të shpallura për</w:t>
            </w:r>
            <w:r w:rsidR="00C61854" w:rsidRPr="00A90756">
              <w:rPr>
                <w:rStyle w:val="Other1"/>
                <w:rFonts w:ascii="Garamond" w:hAnsi="Garamond"/>
                <w:sz w:val="16"/>
                <w:szCs w:val="16"/>
              </w:rPr>
              <w:t xml:space="preserve"> </w:t>
            </w:r>
            <w:r w:rsidRPr="00A90756">
              <w:rPr>
                <w:rStyle w:val="Other1"/>
                <w:rFonts w:ascii="Garamond" w:hAnsi="Garamond"/>
                <w:sz w:val="16"/>
                <w:szCs w:val="16"/>
              </w:rPr>
              <w:t>operatorët/aktorët/të rinjtë në fushën e turizmit për rritjen e kapaciteteve akomoduese dhe të kateringut dhe cilësisë së tyre</w:t>
            </w:r>
          </w:p>
        </w:tc>
        <w:tc>
          <w:tcPr>
            <w:tcW w:w="445" w:type="pct"/>
            <w:tcBorders>
              <w:top w:val="single" w:sz="4" w:space="0" w:color="auto"/>
              <w:left w:val="single" w:sz="4" w:space="0" w:color="auto"/>
              <w:bottom w:val="single" w:sz="4" w:space="0" w:color="auto"/>
            </w:tcBorders>
            <w:shd w:val="clear" w:color="auto" w:fill="auto"/>
          </w:tcPr>
          <w:p w14:paraId="014E4541"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0</w:t>
            </w:r>
          </w:p>
        </w:tc>
        <w:tc>
          <w:tcPr>
            <w:tcW w:w="359" w:type="pct"/>
            <w:tcBorders>
              <w:top w:val="single" w:sz="4" w:space="0" w:color="auto"/>
              <w:left w:val="single" w:sz="4" w:space="0" w:color="auto"/>
              <w:bottom w:val="single" w:sz="4" w:space="0" w:color="auto"/>
            </w:tcBorders>
            <w:shd w:val="clear" w:color="auto" w:fill="auto"/>
          </w:tcPr>
          <w:p w14:paraId="014E454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2</w:t>
            </w:r>
          </w:p>
        </w:tc>
        <w:tc>
          <w:tcPr>
            <w:tcW w:w="448" w:type="pct"/>
            <w:vMerge/>
            <w:tcBorders>
              <w:left w:val="single" w:sz="4" w:space="0" w:color="auto"/>
              <w:bottom w:val="single" w:sz="4" w:space="0" w:color="auto"/>
              <w:right w:val="single" w:sz="4" w:space="0" w:color="auto"/>
            </w:tcBorders>
            <w:shd w:val="clear" w:color="auto" w:fill="auto"/>
          </w:tcPr>
          <w:p w14:paraId="014E4543" w14:textId="77777777" w:rsidR="000D306C" w:rsidRPr="00A90756" w:rsidRDefault="000D306C" w:rsidP="000D306C">
            <w:pPr>
              <w:rPr>
                <w:rFonts w:ascii="Garamond" w:hAnsi="Garamond"/>
              </w:rPr>
            </w:pPr>
          </w:p>
        </w:tc>
      </w:tr>
    </w:tbl>
    <w:p w14:paraId="7652EA92" w14:textId="77777777" w:rsidR="00601BD3" w:rsidRDefault="00601BD3" w:rsidP="000D306C">
      <w:pPr>
        <w:pStyle w:val="Bodytext10"/>
        <w:tabs>
          <w:tab w:val="left" w:pos="2862"/>
        </w:tabs>
        <w:spacing w:after="0"/>
        <w:ind w:firstLine="284"/>
        <w:jc w:val="both"/>
        <w:rPr>
          <w:rStyle w:val="Bodytext1"/>
          <w:rFonts w:ascii="Garamond" w:hAnsi="Garamond"/>
          <w:sz w:val="24"/>
          <w:szCs w:val="24"/>
          <w:u w:val="single"/>
        </w:rPr>
      </w:pPr>
    </w:p>
    <w:p w14:paraId="014E4546" w14:textId="5FD48082" w:rsidR="000D306C" w:rsidRPr="00A90756" w:rsidRDefault="000D306C" w:rsidP="000D306C">
      <w:pPr>
        <w:pStyle w:val="Bodytext10"/>
        <w:tabs>
          <w:tab w:val="left" w:pos="2862"/>
        </w:tabs>
        <w:spacing w:after="0"/>
        <w:ind w:firstLine="284"/>
        <w:jc w:val="both"/>
        <w:rPr>
          <w:rFonts w:ascii="Garamond" w:hAnsi="Garamond"/>
          <w:sz w:val="24"/>
          <w:szCs w:val="24"/>
        </w:rPr>
      </w:pPr>
      <w:r w:rsidRPr="00601BD3">
        <w:rPr>
          <w:rStyle w:val="Bodytext1"/>
          <w:rFonts w:ascii="Garamond" w:hAnsi="Garamond"/>
          <w:b/>
          <w:sz w:val="24"/>
          <w:szCs w:val="24"/>
        </w:rPr>
        <w:t>Përfituesit kryesorë</w:t>
      </w:r>
      <w:r w:rsidRPr="00601BD3">
        <w:rPr>
          <w:rStyle w:val="Bodytext1"/>
          <w:rFonts w:ascii="Garamond" w:hAnsi="Garamond"/>
          <w:b/>
          <w:sz w:val="24"/>
          <w:szCs w:val="24"/>
          <w:vertAlign w:val="superscript"/>
        </w:rPr>
        <w:footnoteReference w:id="18"/>
      </w:r>
      <w:r w:rsidRPr="00601BD3">
        <w:rPr>
          <w:rStyle w:val="Bodytext1"/>
          <w:rFonts w:ascii="Garamond" w:hAnsi="Garamond"/>
          <w:b/>
          <w:sz w:val="24"/>
          <w:szCs w:val="24"/>
        </w:rPr>
        <w:t>:</w:t>
      </w:r>
      <w:r w:rsidRPr="00A90756">
        <w:rPr>
          <w:rStyle w:val="Bodytext1"/>
          <w:rFonts w:ascii="Garamond" w:hAnsi="Garamond"/>
          <w:sz w:val="24"/>
          <w:szCs w:val="24"/>
        </w:rPr>
        <w:t xml:space="preserve"> organizatat turistike në nivel kombëtar/vendor, organizatat/agjencitë e zhvillimit, qeveria lokale, dhomat e tregtisë, zejtaria, shoqatat e biznesit, grupimet, kooperativat, shoqatat e fermerëve, institucionet e mbrojtjes së natyrës/mjedisit, institucionet në fushën e trashëgimisë kulturore, OSHC-të aktive në këtë fushë, institucionet arsimore (shkollat dhe institucionet e arsimit të lartë); ndërmarrjet e biznesit dhe organizatat e tjera të përfshira në arsim; ofruesit e licencuar të arsimit për të rinjtë dhe të rriturit; zyrat për arsimin dhe qendrat e arsimit profesional,</w:t>
      </w:r>
      <w:r w:rsidRPr="00A90756">
        <w:rPr>
          <w:rStyle w:val="Bodytext1"/>
          <w:rFonts w:ascii="Garamond" w:hAnsi="Garamond"/>
          <w:sz w:val="24"/>
          <w:szCs w:val="24"/>
          <w:vertAlign w:val="superscript"/>
        </w:rPr>
        <w:footnoteReference w:id="19"/>
      </w:r>
      <w:r w:rsidRPr="00A90756">
        <w:rPr>
          <w:rStyle w:val="Bodytext1"/>
          <w:rFonts w:ascii="Garamond" w:hAnsi="Garamond"/>
          <w:sz w:val="24"/>
          <w:szCs w:val="24"/>
        </w:rPr>
        <w:t xml:space="preserve"> organizatat rinore.</w:t>
      </w:r>
    </w:p>
    <w:p w14:paraId="014E4547" w14:textId="77777777" w:rsidR="000D306C" w:rsidRPr="00A90756" w:rsidRDefault="000D306C" w:rsidP="000D306C">
      <w:pPr>
        <w:pStyle w:val="Bodytext10"/>
        <w:tabs>
          <w:tab w:val="left" w:pos="2108"/>
        </w:tabs>
        <w:spacing w:after="0"/>
        <w:ind w:firstLine="284"/>
        <w:jc w:val="both"/>
        <w:rPr>
          <w:rFonts w:ascii="Garamond" w:hAnsi="Garamond"/>
          <w:sz w:val="24"/>
          <w:szCs w:val="24"/>
        </w:rPr>
      </w:pPr>
      <w:r w:rsidRPr="00601BD3">
        <w:rPr>
          <w:rStyle w:val="Bodytext1"/>
          <w:rFonts w:ascii="Garamond" w:hAnsi="Garamond"/>
          <w:b/>
          <w:sz w:val="24"/>
          <w:szCs w:val="24"/>
        </w:rPr>
        <w:t>Grupet e synuara:</w:t>
      </w:r>
      <w:r w:rsidRPr="00A90756">
        <w:rPr>
          <w:rStyle w:val="Bodytext1"/>
          <w:rFonts w:ascii="Garamond" w:hAnsi="Garamond"/>
          <w:sz w:val="24"/>
          <w:szCs w:val="24"/>
        </w:rPr>
        <w:tab/>
        <w:t>njerëz që punojnë në sektorin e bujqësisë/profesionistë që punojnë në turizëm,</w:t>
      </w:r>
    </w:p>
    <w:p w14:paraId="014E4548" w14:textId="77777777"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organizata/institucione përgjegjëse për mbrojtjen e natyrës, NVM-të, sipërmarrësit e rinj, grupet, prodhuesit e suvenireve; njerëzit që jetojnë kryesisht në zonat rurale të rajonit kufitar/njerëzit që luftojnë me papunësinë, organizatat turistike lokale, institucionet përgjegjëse për mbrojtjen e natyrës; OJQ-të dhe prodhuesit e suvenireve; Njerëzit që jetojnë kryesisht në zonat rurale të rajonit kufitar/njerëzit që luftojnë me papunësinë, shoqatat e prodhuesve bujqësorë, organizatat turistike, OSHC-të, autoritetet lokale; studentë, mësues, personel drejtues dhe jomësimdhënës në institucionet arsimore.</w:t>
      </w:r>
    </w:p>
    <w:p w14:paraId="014E4549" w14:textId="14E47A4E"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 xml:space="preserve">3. Prioriteti </w:t>
      </w:r>
      <w:r w:rsidR="001418CE" w:rsidRPr="00A90756">
        <w:rPr>
          <w:rStyle w:val="Bodytext1"/>
          <w:rFonts w:ascii="Garamond" w:hAnsi="Garamond"/>
          <w:b/>
          <w:bCs/>
          <w:sz w:val="24"/>
          <w:szCs w:val="24"/>
        </w:rPr>
        <w:t xml:space="preserve">tematik </w:t>
      </w:r>
      <w:r w:rsidRPr="00A90756">
        <w:rPr>
          <w:rStyle w:val="Bodytext1"/>
          <w:rFonts w:ascii="Garamond" w:hAnsi="Garamond"/>
          <w:b/>
          <w:bCs/>
          <w:sz w:val="24"/>
          <w:szCs w:val="24"/>
        </w:rPr>
        <w:t xml:space="preserve">0: Asistenca </w:t>
      </w:r>
      <w:r w:rsidR="001418CE" w:rsidRPr="00A90756">
        <w:rPr>
          <w:rStyle w:val="Bodytext1"/>
          <w:rFonts w:ascii="Garamond" w:hAnsi="Garamond"/>
          <w:b/>
          <w:bCs/>
          <w:sz w:val="24"/>
          <w:szCs w:val="24"/>
        </w:rPr>
        <w:t>teknike</w:t>
      </w:r>
    </w:p>
    <w:p w14:paraId="014E454A" w14:textId="12A285E9"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Objektivi specifik i asistencës teknike</w:t>
      </w:r>
      <w:r w:rsidRPr="00A90756">
        <w:rPr>
          <w:rStyle w:val="Bodytext1"/>
          <w:rFonts w:ascii="Garamond" w:hAnsi="Garamond"/>
          <w:sz w:val="24"/>
          <w:szCs w:val="24"/>
        </w:rPr>
        <w:t xml:space="preserve"> është i dyfishtë: i</w:t>
      </w:r>
      <w:r w:rsidR="00C61854" w:rsidRPr="00A90756">
        <w:rPr>
          <w:rStyle w:val="Bodytext1"/>
          <w:rFonts w:ascii="Garamond" w:hAnsi="Garamond"/>
          <w:sz w:val="24"/>
          <w:szCs w:val="24"/>
        </w:rPr>
        <w:t>.</w:t>
      </w:r>
      <w:r w:rsidRPr="00A90756">
        <w:rPr>
          <w:rStyle w:val="Bodytext1"/>
          <w:rFonts w:ascii="Garamond" w:hAnsi="Garamond"/>
          <w:sz w:val="24"/>
          <w:szCs w:val="24"/>
        </w:rPr>
        <w:t xml:space="preserve"> sigurimi i një zbatimi efikas, efektiv, transparent dhe në kohë të programit të bashkëpunimit ndërkufitar; dhe ii</w:t>
      </w:r>
      <w:r w:rsidR="00C61854" w:rsidRPr="00A90756">
        <w:rPr>
          <w:rStyle w:val="Bodytext1"/>
          <w:rFonts w:ascii="Garamond" w:hAnsi="Garamond"/>
          <w:sz w:val="24"/>
          <w:szCs w:val="24"/>
        </w:rPr>
        <w:t>.</w:t>
      </w:r>
      <w:r w:rsidRPr="00A90756">
        <w:rPr>
          <w:rStyle w:val="Bodytext1"/>
          <w:rFonts w:ascii="Garamond" w:hAnsi="Garamond"/>
          <w:sz w:val="24"/>
          <w:szCs w:val="24"/>
        </w:rPr>
        <w:t xml:space="preserve"> rritja e ndërgjegjësimit për programin në mesin e komuniteteve kombëtare, rajonale dhe lokale dhe, në përgjithësi, popullatës në zonën e pranueshme të programit.</w:t>
      </w:r>
    </w:p>
    <w:p w14:paraId="014E454B"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Ai gjithashtu mbështet aktivitete ndërgjegjësuese në nivel vendi me qëllim informimin e qytetarëve në të dyja vendet përfituese të IPA III. Ky prioritet do të përforcojë gjithashtu kapacitetin administrativ të autoriteteve dhe përfituesve që zbatojnë programin me synimin për të përmirësuar pronësinë dhe përshtatshmërinë e rezultateve të programit dhe projekteve.</w:t>
      </w:r>
    </w:p>
    <w:p w14:paraId="014E454C" w14:textId="50C82B3E"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lastRenderedPageBreak/>
        <w:t>Alokimi i asistencës teknike do të përdoret për të mbështetur punën e OS-ve kombëtare dhe të KPM-së për të siguruar zhvillimin, zbatimin, monitorimin dhe vlerësimin efikas të programit, si dhe përdorimin optimal të burimeve. Kjo do të arrihet nëpërmjet krijimit dhe funksionimit të një SPT-je me zyrën kryesore në Mal të Zi dhe me një zyrë antenë në Shqipëri. SPT-ja do të mbikëqyrë menaxhimin e përditshëm të programit dhe do</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raportojë OS-ve dhe KPM-së.</w:t>
      </w:r>
    </w:p>
    <w:p w14:paraId="014E454D" w14:textId="77777777" w:rsidR="000D306C" w:rsidRPr="00A90756" w:rsidRDefault="000D306C" w:rsidP="000D306C">
      <w:pPr>
        <w:pStyle w:val="AAAATEXXX"/>
        <w:rPr>
          <w:b/>
        </w:rPr>
      </w:pPr>
      <w:r w:rsidRPr="00A90756">
        <w:rPr>
          <w:rStyle w:val="Bodytext1"/>
          <w:rFonts w:ascii="Garamond" w:hAnsi="Garamond"/>
          <w:b/>
          <w:sz w:val="24"/>
          <w:szCs w:val="24"/>
        </w:rPr>
        <w:t>Rezultatet e pritura:</w:t>
      </w:r>
    </w:p>
    <w:p w14:paraId="014E454E" w14:textId="77777777" w:rsidR="000D306C" w:rsidRPr="00A90756" w:rsidRDefault="000D306C" w:rsidP="000D306C">
      <w:pPr>
        <w:pStyle w:val="AAAATEXXX"/>
      </w:pPr>
      <w:r w:rsidRPr="00A90756">
        <w:t>1. Përforcimi i kapaciteteve administrative për BNK</w:t>
      </w:r>
    </w:p>
    <w:p w14:paraId="014E454F" w14:textId="77777777" w:rsidR="000D306C" w:rsidRPr="00A90756" w:rsidRDefault="000D306C" w:rsidP="000D306C">
      <w:pPr>
        <w:pStyle w:val="AAAATEXXX"/>
      </w:pPr>
      <w:r w:rsidRPr="00A90756">
        <w:t>2. Mbështetja e aplikantëve të mundshëm dhe përfituesve të granteve</w:t>
      </w:r>
    </w:p>
    <w:p w14:paraId="014E4551" w14:textId="1F796FF9" w:rsidR="000D306C" w:rsidRPr="00A90756" w:rsidRDefault="000D306C" w:rsidP="00601BD3">
      <w:pPr>
        <w:pStyle w:val="AAAATEXXX"/>
      </w:pPr>
      <w:r w:rsidRPr="00A90756">
        <w:t>3. Garantimi i vizibilitetit të programit dhe rezultateve të tij</w:t>
      </w:r>
    </w:p>
    <w:p w14:paraId="014E4552" w14:textId="77777777" w:rsidR="000D306C" w:rsidRPr="00A90756" w:rsidRDefault="000D306C" w:rsidP="000D306C">
      <w:pPr>
        <w:pStyle w:val="AAAATEXXX"/>
        <w:rPr>
          <w:b/>
        </w:rPr>
      </w:pPr>
      <w:r w:rsidRPr="00A90756">
        <w:rPr>
          <w:b/>
        </w:rPr>
        <w:t>Grupet e synuara dhe përfituesit përfundimtarë (listë joshteruese)</w:t>
      </w:r>
    </w:p>
    <w:p w14:paraId="014E4553" w14:textId="1C34AE8C" w:rsidR="000D306C" w:rsidRPr="00A90756" w:rsidRDefault="000D306C" w:rsidP="000D306C">
      <w:pPr>
        <w:pStyle w:val="AAAATEXXX"/>
      </w:pPr>
      <w:r w:rsidRPr="00A90756">
        <w:t>- Strukturat e menaxhimit të programit</w:t>
      </w:r>
      <w:r w:rsidR="001418CE" w:rsidRPr="00A90756">
        <w:t>;</w:t>
      </w:r>
    </w:p>
    <w:p w14:paraId="014E4554" w14:textId="2C18EAC8" w:rsidR="000D306C" w:rsidRPr="00A90756" w:rsidRDefault="000D306C" w:rsidP="000D306C">
      <w:pPr>
        <w:pStyle w:val="AAAATEXXX"/>
      </w:pPr>
      <w:r w:rsidRPr="00A90756">
        <w:t>- Aplikantët e mundshëm</w:t>
      </w:r>
      <w:r w:rsidR="001418CE" w:rsidRPr="00A90756">
        <w:t>;</w:t>
      </w:r>
    </w:p>
    <w:p w14:paraId="014E4555" w14:textId="52F3BDCB" w:rsidR="000D306C" w:rsidRPr="00A90756" w:rsidRDefault="000D306C" w:rsidP="000D306C">
      <w:pPr>
        <w:pStyle w:val="AAAATEXXX"/>
      </w:pPr>
      <w:r w:rsidRPr="00A90756">
        <w:t>- Përfituesit e grantit</w:t>
      </w:r>
      <w:r w:rsidR="001418CE" w:rsidRPr="00A90756">
        <w:t>;</w:t>
      </w:r>
    </w:p>
    <w:p w14:paraId="014E4556" w14:textId="6BC4E4FE" w:rsidR="000D306C" w:rsidRPr="00A90756" w:rsidRDefault="000D306C" w:rsidP="000D306C">
      <w:pPr>
        <w:pStyle w:val="AAAATEXXX"/>
      </w:pPr>
      <w:r w:rsidRPr="00A90756">
        <w:t>- Përfituesit përfundimtarë të projektit</w:t>
      </w:r>
      <w:r w:rsidR="001418CE" w:rsidRPr="00A90756">
        <w:t>;</w:t>
      </w:r>
    </w:p>
    <w:p w14:paraId="014E4557" w14:textId="7B91D2B7" w:rsidR="000D306C" w:rsidRPr="00A90756" w:rsidRDefault="000D306C" w:rsidP="000D306C">
      <w:pPr>
        <w:pStyle w:val="AAAATEXXX"/>
      </w:pPr>
      <w:r w:rsidRPr="00A90756">
        <w:t>- Publiku i gjerë</w:t>
      </w:r>
      <w:r w:rsidR="001418CE" w:rsidRPr="00A90756">
        <w:t>.</w:t>
      </w:r>
    </w:p>
    <w:p w14:paraId="014E4558" w14:textId="77777777" w:rsidR="000D306C" w:rsidRPr="00A90756" w:rsidRDefault="000D306C" w:rsidP="000D306C">
      <w:pPr>
        <w:pStyle w:val="AAAATEXXX"/>
        <w:rPr>
          <w:b/>
        </w:rPr>
      </w:pPr>
      <w:r w:rsidRPr="00A90756">
        <w:rPr>
          <w:b/>
        </w:rPr>
        <w:t>Përfituesit kryesorë:</w:t>
      </w:r>
    </w:p>
    <w:p w14:paraId="014E4559" w14:textId="244DACCB" w:rsidR="000D306C" w:rsidRPr="00A90756" w:rsidRDefault="000D306C" w:rsidP="000D306C">
      <w:pPr>
        <w:pStyle w:val="AAAATEXXX"/>
      </w:pPr>
      <w:r w:rsidRPr="00A90756">
        <w:t>- Strukturat BNK</w:t>
      </w:r>
      <w:r w:rsidR="001418CE" w:rsidRPr="00A90756">
        <w:t>;</w:t>
      </w:r>
    </w:p>
    <w:p w14:paraId="014E455A" w14:textId="52EABA64" w:rsidR="000D306C" w:rsidRPr="00A90756" w:rsidRDefault="000D306C" w:rsidP="000D306C">
      <w:pPr>
        <w:pStyle w:val="AAAATEXXX"/>
      </w:pPr>
      <w:r w:rsidRPr="00A90756">
        <w:t>- Komiteti i Përbashkët Monitorues</w:t>
      </w:r>
      <w:r w:rsidR="001418CE" w:rsidRPr="00A90756">
        <w:t>;</w:t>
      </w:r>
    </w:p>
    <w:p w14:paraId="014E455B" w14:textId="11FD7595" w:rsidR="000D306C" w:rsidRPr="00A90756" w:rsidRDefault="000D306C" w:rsidP="000D306C">
      <w:pPr>
        <w:pStyle w:val="AAAATEXXX"/>
      </w:pPr>
      <w:r w:rsidRPr="00A90756">
        <w:t>- Autoritetet lokale</w:t>
      </w:r>
      <w:r w:rsidR="001418CE" w:rsidRPr="00A90756">
        <w:t>.</w:t>
      </w:r>
    </w:p>
    <w:p w14:paraId="014E455C" w14:textId="77777777" w:rsidR="000D306C" w:rsidRPr="00A90756" w:rsidRDefault="000D306C" w:rsidP="000D306C">
      <w:pPr>
        <w:pStyle w:val="AAAATEXXX"/>
      </w:pPr>
    </w:p>
    <w:tbl>
      <w:tblPr>
        <w:tblOverlap w:val="never"/>
        <w:tblW w:w="5000" w:type="pct"/>
        <w:jc w:val="center"/>
        <w:tblCellMar>
          <w:left w:w="10" w:type="dxa"/>
          <w:right w:w="10" w:type="dxa"/>
        </w:tblCellMar>
        <w:tblLook w:val="04A0" w:firstRow="1" w:lastRow="0" w:firstColumn="1" w:lastColumn="0" w:noHBand="0" w:noVBand="1"/>
      </w:tblPr>
      <w:tblGrid>
        <w:gridCol w:w="1178"/>
        <w:gridCol w:w="1021"/>
        <w:gridCol w:w="1700"/>
        <w:gridCol w:w="381"/>
        <w:gridCol w:w="2055"/>
        <w:gridCol w:w="787"/>
        <w:gridCol w:w="1048"/>
        <w:gridCol w:w="852"/>
      </w:tblGrid>
      <w:tr w:rsidR="000D306C" w:rsidRPr="00A90756" w14:paraId="014E455F" w14:textId="77777777" w:rsidTr="000D306C">
        <w:trPr>
          <w:trHeight w:val="20"/>
          <w:jc w:val="center"/>
        </w:trPr>
        <w:tc>
          <w:tcPr>
            <w:tcW w:w="2161" w:type="pct"/>
            <w:gridSpan w:val="3"/>
            <w:tcBorders>
              <w:top w:val="single" w:sz="4" w:space="0" w:color="auto"/>
            </w:tcBorders>
            <w:shd w:val="clear" w:color="auto" w:fill="95B3D7"/>
          </w:tcPr>
          <w:p w14:paraId="014E455D" w14:textId="77777777" w:rsidR="000D306C" w:rsidRPr="00A90756" w:rsidRDefault="000D306C" w:rsidP="000D306C">
            <w:pPr>
              <w:spacing w:after="0" w:line="240" w:lineRule="auto"/>
              <w:rPr>
                <w:rFonts w:ascii="Garamond" w:hAnsi="Garamond"/>
                <w:sz w:val="16"/>
                <w:szCs w:val="16"/>
              </w:rPr>
            </w:pPr>
          </w:p>
        </w:tc>
        <w:tc>
          <w:tcPr>
            <w:tcW w:w="2839" w:type="pct"/>
            <w:gridSpan w:val="5"/>
            <w:tcBorders>
              <w:top w:val="single" w:sz="4" w:space="0" w:color="auto"/>
              <w:right w:val="single" w:sz="4" w:space="0" w:color="auto"/>
            </w:tcBorders>
            <w:shd w:val="clear" w:color="auto" w:fill="95B3D7"/>
          </w:tcPr>
          <w:p w14:paraId="014E455E" w14:textId="77777777" w:rsidR="000D306C" w:rsidRPr="00A90756" w:rsidRDefault="000D306C" w:rsidP="000D306C">
            <w:pPr>
              <w:spacing w:after="0" w:line="240" w:lineRule="auto"/>
              <w:rPr>
                <w:rFonts w:ascii="Garamond" w:hAnsi="Garamond"/>
                <w:sz w:val="16"/>
                <w:szCs w:val="16"/>
              </w:rPr>
            </w:pPr>
          </w:p>
        </w:tc>
      </w:tr>
      <w:tr w:rsidR="000D306C" w:rsidRPr="00A90756" w14:paraId="014E4566" w14:textId="77777777" w:rsidTr="000D306C">
        <w:trPr>
          <w:trHeight w:val="20"/>
          <w:jc w:val="center"/>
        </w:trPr>
        <w:tc>
          <w:tcPr>
            <w:tcW w:w="2161" w:type="pct"/>
            <w:gridSpan w:val="3"/>
            <w:tcBorders>
              <w:top w:val="single" w:sz="4" w:space="0" w:color="auto"/>
            </w:tcBorders>
            <w:shd w:val="clear" w:color="auto" w:fill="95B3D7"/>
            <w:vAlign w:val="center"/>
          </w:tcPr>
          <w:p w14:paraId="014E4560" w14:textId="77777777" w:rsidR="000D306C" w:rsidRPr="00A90756" w:rsidRDefault="000D306C" w:rsidP="000D306C">
            <w:pPr>
              <w:pStyle w:val="Other10"/>
              <w:pBdr>
                <w:top w:val="single" w:sz="0" w:space="0" w:color="95B3D7"/>
                <w:left w:val="single" w:sz="0" w:space="0" w:color="95B3D7"/>
                <w:bottom w:val="single" w:sz="0" w:space="0" w:color="95B3D7"/>
                <w:right w:val="single" w:sz="0" w:space="0" w:color="95B3D7"/>
              </w:pBdr>
              <w:shd w:val="clear" w:color="auto" w:fill="95B3D7"/>
              <w:spacing w:after="0"/>
              <w:jc w:val="center"/>
              <w:rPr>
                <w:rFonts w:ascii="Garamond" w:hAnsi="Garamond"/>
                <w:sz w:val="16"/>
                <w:szCs w:val="16"/>
              </w:rPr>
            </w:pPr>
            <w:r w:rsidRPr="00A90756">
              <w:rPr>
                <w:rStyle w:val="Other1"/>
                <w:rFonts w:ascii="Garamond" w:hAnsi="Garamond"/>
                <w:b/>
                <w:bCs/>
                <w:color w:val="FFFFFF"/>
                <w:sz w:val="16"/>
                <w:szCs w:val="16"/>
              </w:rPr>
              <w:t>3 - Asistenca teknika</w:t>
            </w:r>
          </w:p>
        </w:tc>
        <w:tc>
          <w:tcPr>
            <w:tcW w:w="211" w:type="pct"/>
            <w:tcBorders>
              <w:top w:val="single" w:sz="4" w:space="0" w:color="auto"/>
            </w:tcBorders>
            <w:shd w:val="clear" w:color="auto" w:fill="95B3D7"/>
          </w:tcPr>
          <w:p w14:paraId="014E4561" w14:textId="77777777" w:rsidR="000D306C" w:rsidRPr="00A90756" w:rsidRDefault="000D306C" w:rsidP="000D306C">
            <w:pPr>
              <w:spacing w:after="0" w:line="240" w:lineRule="auto"/>
              <w:rPr>
                <w:rFonts w:ascii="Garamond" w:hAnsi="Garamond"/>
                <w:sz w:val="16"/>
                <w:szCs w:val="16"/>
              </w:rPr>
            </w:pPr>
          </w:p>
        </w:tc>
        <w:tc>
          <w:tcPr>
            <w:tcW w:w="1139" w:type="pct"/>
            <w:tcBorders>
              <w:top w:val="single" w:sz="4" w:space="0" w:color="auto"/>
              <w:left w:val="single" w:sz="4" w:space="0" w:color="auto"/>
            </w:tcBorders>
            <w:shd w:val="clear" w:color="auto" w:fill="95B3D7"/>
            <w:vAlign w:val="center"/>
          </w:tcPr>
          <w:p w14:paraId="014E456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Treguesit</w:t>
            </w:r>
          </w:p>
        </w:tc>
        <w:tc>
          <w:tcPr>
            <w:tcW w:w="436" w:type="pct"/>
            <w:tcBorders>
              <w:top w:val="single" w:sz="4" w:space="0" w:color="auto"/>
              <w:left w:val="single" w:sz="4" w:space="0" w:color="auto"/>
            </w:tcBorders>
            <w:shd w:val="clear" w:color="auto" w:fill="95B3D7"/>
            <w:vAlign w:val="center"/>
          </w:tcPr>
          <w:p w14:paraId="014E4563"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Vlera bazë 2021</w:t>
            </w:r>
          </w:p>
        </w:tc>
        <w:tc>
          <w:tcPr>
            <w:tcW w:w="581" w:type="pct"/>
            <w:tcBorders>
              <w:top w:val="single" w:sz="4" w:space="0" w:color="auto"/>
              <w:left w:val="single" w:sz="4" w:space="0" w:color="auto"/>
            </w:tcBorders>
            <w:shd w:val="clear" w:color="auto" w:fill="95B3D7"/>
            <w:vAlign w:val="bottom"/>
          </w:tcPr>
          <w:p w14:paraId="014E4564"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Vlera e synuar 2029</w:t>
            </w:r>
          </w:p>
        </w:tc>
        <w:tc>
          <w:tcPr>
            <w:tcW w:w="472" w:type="pct"/>
            <w:tcBorders>
              <w:top w:val="single" w:sz="4" w:space="0" w:color="auto"/>
              <w:left w:val="single" w:sz="4" w:space="0" w:color="auto"/>
              <w:right w:val="single" w:sz="4" w:space="0" w:color="auto"/>
            </w:tcBorders>
            <w:shd w:val="clear" w:color="auto" w:fill="95B3D7"/>
            <w:vAlign w:val="center"/>
          </w:tcPr>
          <w:p w14:paraId="014E4565"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Burimi i të dhënave</w:t>
            </w:r>
          </w:p>
        </w:tc>
      </w:tr>
      <w:tr w:rsidR="000D306C" w:rsidRPr="00A90756" w14:paraId="014E456F" w14:textId="77777777" w:rsidTr="000D306C">
        <w:trPr>
          <w:trHeight w:val="20"/>
          <w:jc w:val="center"/>
        </w:trPr>
        <w:tc>
          <w:tcPr>
            <w:tcW w:w="653" w:type="pct"/>
            <w:vMerge w:val="restart"/>
            <w:tcBorders>
              <w:left w:val="single" w:sz="4" w:space="0" w:color="auto"/>
            </w:tcBorders>
            <w:shd w:val="clear" w:color="auto" w:fill="F9EBDB"/>
            <w:vAlign w:val="center"/>
          </w:tcPr>
          <w:p w14:paraId="014E456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Objektivi(et) specifik</w:t>
            </w:r>
          </w:p>
        </w:tc>
        <w:tc>
          <w:tcPr>
            <w:tcW w:w="566" w:type="pct"/>
            <w:vMerge w:val="restart"/>
            <w:tcBorders>
              <w:left w:val="single" w:sz="4" w:space="0" w:color="auto"/>
            </w:tcBorders>
            <w:shd w:val="clear" w:color="auto" w:fill="F9EBDB"/>
            <w:vAlign w:val="center"/>
          </w:tcPr>
          <w:p w14:paraId="014E4568"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Rezultatet</w:t>
            </w:r>
          </w:p>
        </w:tc>
        <w:tc>
          <w:tcPr>
            <w:tcW w:w="1153" w:type="pct"/>
            <w:gridSpan w:val="2"/>
            <w:vMerge w:val="restart"/>
            <w:tcBorders>
              <w:top w:val="single" w:sz="4" w:space="0" w:color="auto"/>
              <w:left w:val="single" w:sz="4" w:space="0" w:color="auto"/>
            </w:tcBorders>
            <w:shd w:val="clear" w:color="auto" w:fill="F9EBDB"/>
            <w:vAlign w:val="center"/>
          </w:tcPr>
          <w:p w14:paraId="014E4569"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Llojet e aktiviteteve</w:t>
            </w:r>
          </w:p>
          <w:p w14:paraId="014E456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(shembuj)</w:t>
            </w:r>
          </w:p>
        </w:tc>
        <w:tc>
          <w:tcPr>
            <w:tcW w:w="1139" w:type="pct"/>
            <w:tcBorders>
              <w:top w:val="single" w:sz="4" w:space="0" w:color="auto"/>
              <w:left w:val="single" w:sz="4" w:space="0" w:color="auto"/>
            </w:tcBorders>
            <w:shd w:val="clear" w:color="auto" w:fill="DDECF3"/>
            <w:vAlign w:val="center"/>
          </w:tcPr>
          <w:p w14:paraId="014E456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u w:val="single"/>
              </w:rPr>
              <w:t>Ndikimi</w:t>
            </w:r>
          </w:p>
        </w:tc>
        <w:tc>
          <w:tcPr>
            <w:tcW w:w="436" w:type="pct"/>
            <w:tcBorders>
              <w:top w:val="single" w:sz="4" w:space="0" w:color="auto"/>
              <w:left w:val="single" w:sz="4" w:space="0" w:color="auto"/>
            </w:tcBorders>
            <w:shd w:val="clear" w:color="auto" w:fill="DDECF3"/>
          </w:tcPr>
          <w:p w14:paraId="014E456C" w14:textId="77777777" w:rsidR="000D306C" w:rsidRPr="00A90756" w:rsidRDefault="000D306C" w:rsidP="000D306C">
            <w:pPr>
              <w:spacing w:after="0" w:line="240" w:lineRule="auto"/>
              <w:rPr>
                <w:rFonts w:ascii="Garamond" w:hAnsi="Garamond"/>
                <w:sz w:val="16"/>
                <w:szCs w:val="16"/>
              </w:rPr>
            </w:pPr>
          </w:p>
        </w:tc>
        <w:tc>
          <w:tcPr>
            <w:tcW w:w="581" w:type="pct"/>
            <w:tcBorders>
              <w:top w:val="single" w:sz="4" w:space="0" w:color="auto"/>
              <w:left w:val="single" w:sz="4" w:space="0" w:color="auto"/>
            </w:tcBorders>
            <w:shd w:val="clear" w:color="auto" w:fill="DDECF3"/>
          </w:tcPr>
          <w:p w14:paraId="014E456D" w14:textId="77777777" w:rsidR="000D306C" w:rsidRPr="00A90756" w:rsidRDefault="000D306C" w:rsidP="000D306C">
            <w:pPr>
              <w:spacing w:after="0" w:line="240" w:lineRule="auto"/>
              <w:rPr>
                <w:rFonts w:ascii="Garamond" w:hAnsi="Garamond"/>
                <w:sz w:val="16"/>
                <w:szCs w:val="16"/>
              </w:rPr>
            </w:pPr>
          </w:p>
        </w:tc>
        <w:tc>
          <w:tcPr>
            <w:tcW w:w="472" w:type="pct"/>
            <w:tcBorders>
              <w:top w:val="single" w:sz="4" w:space="0" w:color="auto"/>
              <w:left w:val="single" w:sz="4" w:space="0" w:color="auto"/>
              <w:right w:val="single" w:sz="4" w:space="0" w:color="auto"/>
            </w:tcBorders>
            <w:shd w:val="clear" w:color="auto" w:fill="DDECF3"/>
          </w:tcPr>
          <w:p w14:paraId="014E456E" w14:textId="77777777" w:rsidR="000D306C" w:rsidRPr="00A90756" w:rsidRDefault="000D306C" w:rsidP="000D306C">
            <w:pPr>
              <w:spacing w:after="0" w:line="240" w:lineRule="auto"/>
              <w:rPr>
                <w:rFonts w:ascii="Garamond" w:hAnsi="Garamond"/>
                <w:sz w:val="16"/>
                <w:szCs w:val="16"/>
              </w:rPr>
            </w:pPr>
          </w:p>
        </w:tc>
      </w:tr>
      <w:tr w:rsidR="000D306C" w:rsidRPr="00A90756" w14:paraId="014E4579" w14:textId="77777777" w:rsidTr="000D306C">
        <w:trPr>
          <w:trHeight w:val="20"/>
          <w:jc w:val="center"/>
        </w:trPr>
        <w:tc>
          <w:tcPr>
            <w:tcW w:w="653" w:type="pct"/>
            <w:vMerge/>
            <w:tcBorders>
              <w:left w:val="single" w:sz="4" w:space="0" w:color="auto"/>
            </w:tcBorders>
            <w:shd w:val="clear" w:color="auto" w:fill="F9EBDB"/>
            <w:vAlign w:val="center"/>
          </w:tcPr>
          <w:p w14:paraId="014E4570" w14:textId="77777777" w:rsidR="000D306C" w:rsidRPr="00A90756" w:rsidRDefault="000D306C" w:rsidP="000D306C">
            <w:pPr>
              <w:spacing w:after="0" w:line="240" w:lineRule="auto"/>
              <w:rPr>
                <w:rFonts w:ascii="Garamond" w:hAnsi="Garamond"/>
                <w:sz w:val="16"/>
                <w:szCs w:val="16"/>
              </w:rPr>
            </w:pPr>
          </w:p>
        </w:tc>
        <w:tc>
          <w:tcPr>
            <w:tcW w:w="566" w:type="pct"/>
            <w:vMerge/>
            <w:tcBorders>
              <w:left w:val="single" w:sz="4" w:space="0" w:color="auto"/>
            </w:tcBorders>
            <w:shd w:val="clear" w:color="auto" w:fill="F9EBDB"/>
            <w:vAlign w:val="center"/>
          </w:tcPr>
          <w:p w14:paraId="014E4571" w14:textId="77777777" w:rsidR="000D306C" w:rsidRPr="00A90756" w:rsidRDefault="000D306C" w:rsidP="000D306C">
            <w:pPr>
              <w:spacing w:after="0" w:line="240" w:lineRule="auto"/>
              <w:rPr>
                <w:rFonts w:ascii="Garamond" w:hAnsi="Garamond"/>
                <w:sz w:val="16"/>
                <w:szCs w:val="16"/>
              </w:rPr>
            </w:pPr>
          </w:p>
        </w:tc>
        <w:tc>
          <w:tcPr>
            <w:tcW w:w="1153" w:type="pct"/>
            <w:gridSpan w:val="2"/>
            <w:vMerge/>
            <w:tcBorders>
              <w:left w:val="single" w:sz="4" w:space="0" w:color="auto"/>
            </w:tcBorders>
            <w:shd w:val="clear" w:color="auto" w:fill="F9EBDB"/>
            <w:vAlign w:val="center"/>
          </w:tcPr>
          <w:p w14:paraId="014E4572" w14:textId="77777777" w:rsidR="000D306C" w:rsidRPr="00A90756" w:rsidRDefault="000D306C" w:rsidP="000D306C">
            <w:pPr>
              <w:spacing w:after="0" w:line="240" w:lineRule="auto"/>
              <w:rPr>
                <w:rFonts w:ascii="Garamond" w:hAnsi="Garamond"/>
                <w:sz w:val="16"/>
                <w:szCs w:val="16"/>
              </w:rPr>
            </w:pPr>
          </w:p>
        </w:tc>
        <w:tc>
          <w:tcPr>
            <w:tcW w:w="1139" w:type="pct"/>
            <w:tcBorders>
              <w:top w:val="single" w:sz="4" w:space="0" w:color="auto"/>
              <w:left w:val="single" w:sz="4" w:space="0" w:color="auto"/>
            </w:tcBorders>
            <w:shd w:val="clear" w:color="auto" w:fill="auto"/>
          </w:tcPr>
          <w:p w14:paraId="014E4573" w14:textId="77777777" w:rsidR="000D306C" w:rsidRPr="00A90756" w:rsidRDefault="000D306C" w:rsidP="000D306C">
            <w:pPr>
              <w:pStyle w:val="Other10"/>
              <w:tabs>
                <w:tab w:val="left" w:pos="1190"/>
                <w:tab w:val="left" w:pos="1642"/>
              </w:tabs>
              <w:spacing w:after="0"/>
              <w:rPr>
                <w:rFonts w:ascii="Garamond" w:hAnsi="Garamond"/>
                <w:sz w:val="16"/>
                <w:szCs w:val="16"/>
              </w:rPr>
            </w:pPr>
            <w:r w:rsidRPr="00A90756">
              <w:rPr>
                <w:rStyle w:val="Other1"/>
                <w:rFonts w:ascii="Garamond" w:hAnsi="Garamond"/>
                <w:sz w:val="16"/>
                <w:szCs w:val="16"/>
              </w:rPr>
              <w:t>Përqindja e</w:t>
            </w:r>
            <w:r w:rsidRPr="00A90756">
              <w:rPr>
                <w:rStyle w:val="Other1"/>
                <w:rFonts w:ascii="Garamond" w:hAnsi="Garamond"/>
                <w:sz w:val="16"/>
                <w:szCs w:val="16"/>
              </w:rPr>
              <w:tab/>
              <w:t>fondeve</w:t>
            </w:r>
          </w:p>
          <w:p w14:paraId="014E4574" w14:textId="77777777" w:rsidR="000D306C" w:rsidRPr="00A90756" w:rsidRDefault="000D306C" w:rsidP="000D306C">
            <w:pPr>
              <w:pStyle w:val="Other10"/>
              <w:tabs>
                <w:tab w:val="left" w:pos="1042"/>
                <w:tab w:val="left" w:pos="1838"/>
              </w:tabs>
              <w:spacing w:after="0"/>
              <w:rPr>
                <w:rFonts w:ascii="Garamond" w:hAnsi="Garamond"/>
                <w:sz w:val="16"/>
                <w:szCs w:val="16"/>
              </w:rPr>
            </w:pPr>
            <w:r w:rsidRPr="00A90756">
              <w:rPr>
                <w:rStyle w:val="Other1"/>
                <w:rFonts w:ascii="Garamond" w:hAnsi="Garamond"/>
                <w:sz w:val="16"/>
                <w:szCs w:val="16"/>
              </w:rPr>
              <w:t xml:space="preserve">në kuadrin e këtij programi që janë </w:t>
            </w:r>
          </w:p>
          <w:p w14:paraId="014E457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kontraktuar</w:t>
            </w:r>
          </w:p>
        </w:tc>
        <w:tc>
          <w:tcPr>
            <w:tcW w:w="436" w:type="pct"/>
            <w:tcBorders>
              <w:top w:val="single" w:sz="4" w:space="0" w:color="auto"/>
              <w:left w:val="single" w:sz="4" w:space="0" w:color="auto"/>
            </w:tcBorders>
            <w:shd w:val="clear" w:color="auto" w:fill="auto"/>
          </w:tcPr>
          <w:p w14:paraId="014E4576"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54,02%</w:t>
            </w:r>
          </w:p>
        </w:tc>
        <w:tc>
          <w:tcPr>
            <w:tcW w:w="581" w:type="pct"/>
            <w:tcBorders>
              <w:top w:val="single" w:sz="4" w:space="0" w:color="auto"/>
              <w:left w:val="single" w:sz="4" w:space="0" w:color="auto"/>
            </w:tcBorders>
            <w:shd w:val="clear" w:color="auto" w:fill="auto"/>
          </w:tcPr>
          <w:p w14:paraId="014E457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90%</w:t>
            </w:r>
          </w:p>
        </w:tc>
        <w:tc>
          <w:tcPr>
            <w:tcW w:w="472" w:type="pct"/>
            <w:tcBorders>
              <w:top w:val="single" w:sz="4" w:space="0" w:color="auto"/>
              <w:left w:val="single" w:sz="4" w:space="0" w:color="auto"/>
              <w:right w:val="single" w:sz="4" w:space="0" w:color="auto"/>
            </w:tcBorders>
            <w:shd w:val="clear" w:color="auto" w:fill="auto"/>
          </w:tcPr>
          <w:p w14:paraId="014E4578"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sistemi i monitorimit</w:t>
            </w:r>
          </w:p>
        </w:tc>
      </w:tr>
      <w:tr w:rsidR="000D306C" w:rsidRPr="00A90756" w14:paraId="014E4587" w14:textId="77777777" w:rsidTr="000D306C">
        <w:trPr>
          <w:trHeight w:val="20"/>
          <w:jc w:val="center"/>
        </w:trPr>
        <w:tc>
          <w:tcPr>
            <w:tcW w:w="653" w:type="pct"/>
            <w:vMerge w:val="restart"/>
            <w:tcBorders>
              <w:top w:val="single" w:sz="4" w:space="0" w:color="auto"/>
              <w:left w:val="single" w:sz="4" w:space="0" w:color="auto"/>
            </w:tcBorders>
            <w:shd w:val="clear" w:color="auto" w:fill="auto"/>
          </w:tcPr>
          <w:p w14:paraId="014E457A" w14:textId="77777777" w:rsidR="000D306C" w:rsidRPr="00A90756" w:rsidRDefault="000D306C" w:rsidP="000D306C">
            <w:pPr>
              <w:pStyle w:val="Other10"/>
              <w:numPr>
                <w:ilvl w:val="1"/>
                <w:numId w:val="33"/>
              </w:numPr>
              <w:tabs>
                <w:tab w:val="left" w:pos="893"/>
              </w:tabs>
              <w:spacing w:after="0"/>
              <w:ind w:left="0" w:firstLine="0"/>
              <w:rPr>
                <w:rFonts w:ascii="Garamond" w:hAnsi="Garamond"/>
                <w:sz w:val="16"/>
                <w:szCs w:val="16"/>
              </w:rPr>
            </w:pPr>
          </w:p>
          <w:p w14:paraId="014E457B" w14:textId="7126E627" w:rsidR="000D306C" w:rsidRPr="00A90756" w:rsidRDefault="000D306C" w:rsidP="000D306C">
            <w:pPr>
              <w:pStyle w:val="Other10"/>
              <w:tabs>
                <w:tab w:val="left" w:pos="806"/>
              </w:tabs>
              <w:spacing w:after="0"/>
              <w:rPr>
                <w:rFonts w:ascii="Garamond" w:hAnsi="Garamond"/>
                <w:sz w:val="16"/>
                <w:szCs w:val="16"/>
              </w:rPr>
            </w:pPr>
            <w:r w:rsidRPr="00A90756">
              <w:rPr>
                <w:rStyle w:val="Other1"/>
                <w:rFonts w:ascii="Garamond" w:hAnsi="Garamond"/>
                <w:sz w:val="16"/>
                <w:szCs w:val="16"/>
              </w:rPr>
              <w:t>Sigurimi i zbatimit efiçent, efikas, transparent dhe në kohë i programit të bashkëpunimit ndërkufitar, si dhe ndërgjegjësimit të komuniteteve në shkallë vendi, lokale dhe rajonale, në përgjithësi, në zonën e pranueshme t</w:t>
            </w:r>
            <w:r w:rsidR="00D06E61" w:rsidRPr="00A90756">
              <w:rPr>
                <w:rStyle w:val="Other1"/>
                <w:rFonts w:ascii="Garamond" w:hAnsi="Garamond"/>
                <w:sz w:val="16"/>
                <w:szCs w:val="16"/>
              </w:rPr>
              <w:t>ë</w:t>
            </w:r>
            <w:r w:rsidRPr="00A90756">
              <w:rPr>
                <w:rStyle w:val="Other1"/>
                <w:rFonts w:ascii="Garamond" w:hAnsi="Garamond"/>
                <w:sz w:val="16"/>
                <w:szCs w:val="16"/>
              </w:rPr>
              <w:t xml:space="preserve"> programit</w:t>
            </w:r>
          </w:p>
          <w:p w14:paraId="014E457C" w14:textId="77777777" w:rsidR="000D306C" w:rsidRPr="00A90756" w:rsidRDefault="000D306C" w:rsidP="000D306C">
            <w:pPr>
              <w:pStyle w:val="Other10"/>
              <w:spacing w:after="0"/>
              <w:rPr>
                <w:rFonts w:ascii="Garamond" w:hAnsi="Garamond"/>
                <w:sz w:val="16"/>
                <w:szCs w:val="16"/>
              </w:rPr>
            </w:pPr>
          </w:p>
        </w:tc>
        <w:tc>
          <w:tcPr>
            <w:tcW w:w="566" w:type="pct"/>
            <w:vMerge w:val="restart"/>
            <w:tcBorders>
              <w:top w:val="single" w:sz="4" w:space="0" w:color="auto"/>
              <w:left w:val="single" w:sz="4" w:space="0" w:color="auto"/>
            </w:tcBorders>
            <w:shd w:val="clear" w:color="auto" w:fill="auto"/>
          </w:tcPr>
          <w:p w14:paraId="014E457D" w14:textId="77777777" w:rsidR="000D306C" w:rsidRPr="00A90756" w:rsidRDefault="000D306C" w:rsidP="000D306C">
            <w:pPr>
              <w:pStyle w:val="Other10"/>
              <w:tabs>
                <w:tab w:val="left" w:pos="624"/>
              </w:tabs>
              <w:spacing w:after="0"/>
              <w:jc w:val="center"/>
              <w:rPr>
                <w:rFonts w:ascii="Garamond" w:hAnsi="Garamond"/>
                <w:sz w:val="16"/>
                <w:szCs w:val="16"/>
              </w:rPr>
            </w:pPr>
            <w:r w:rsidRPr="00A90756">
              <w:rPr>
                <w:rStyle w:val="Other1"/>
                <w:rFonts w:ascii="Garamond" w:hAnsi="Garamond"/>
                <w:sz w:val="16"/>
                <w:szCs w:val="16"/>
              </w:rPr>
              <w:t>0.1.1</w:t>
            </w:r>
            <w:r w:rsidRPr="00A90756">
              <w:rPr>
                <w:rStyle w:val="Other1"/>
                <w:rFonts w:ascii="Garamond" w:hAnsi="Garamond"/>
                <w:sz w:val="16"/>
                <w:szCs w:val="16"/>
              </w:rPr>
              <w:tab/>
              <w:t>Forcimi i kapacitetit administrativ për BNK</w:t>
            </w:r>
          </w:p>
          <w:p w14:paraId="014E457E" w14:textId="77777777" w:rsidR="000D306C" w:rsidRPr="00A90756" w:rsidRDefault="000D306C" w:rsidP="000D306C">
            <w:pPr>
              <w:pStyle w:val="Other10"/>
              <w:spacing w:after="0"/>
              <w:rPr>
                <w:rFonts w:ascii="Garamond" w:hAnsi="Garamond"/>
                <w:sz w:val="16"/>
                <w:szCs w:val="16"/>
              </w:rPr>
            </w:pPr>
          </w:p>
        </w:tc>
        <w:tc>
          <w:tcPr>
            <w:tcW w:w="1153" w:type="pct"/>
            <w:gridSpan w:val="2"/>
            <w:vMerge w:val="restart"/>
            <w:tcBorders>
              <w:top w:val="single" w:sz="4" w:space="0" w:color="auto"/>
              <w:left w:val="single" w:sz="4" w:space="0" w:color="auto"/>
            </w:tcBorders>
            <w:shd w:val="clear" w:color="auto" w:fill="auto"/>
          </w:tcPr>
          <w:p w14:paraId="014E457F" w14:textId="77777777" w:rsidR="000D306C" w:rsidRPr="00A90756" w:rsidRDefault="000D306C" w:rsidP="000D306C">
            <w:pPr>
              <w:pStyle w:val="Other10"/>
              <w:numPr>
                <w:ilvl w:val="0"/>
                <w:numId w:val="27"/>
              </w:numPr>
              <w:tabs>
                <w:tab w:val="left" w:pos="187"/>
              </w:tabs>
              <w:spacing w:after="0"/>
              <w:rPr>
                <w:rFonts w:ascii="Garamond" w:hAnsi="Garamond"/>
                <w:sz w:val="16"/>
                <w:szCs w:val="16"/>
              </w:rPr>
            </w:pPr>
            <w:r w:rsidRPr="00A90756">
              <w:rPr>
                <w:rStyle w:val="Other1"/>
                <w:rFonts w:ascii="Garamond" w:hAnsi="Garamond"/>
                <w:sz w:val="16"/>
                <w:szCs w:val="16"/>
              </w:rPr>
              <w:t>Krijimi dhe funksionimi i Sekretariatit të Përbashkët Teknik dhe Antenës së tij</w:t>
            </w:r>
          </w:p>
          <w:p w14:paraId="014E4580" w14:textId="77777777" w:rsidR="000D306C" w:rsidRPr="00A90756" w:rsidRDefault="000D306C" w:rsidP="000D306C">
            <w:pPr>
              <w:pStyle w:val="Other10"/>
              <w:numPr>
                <w:ilvl w:val="0"/>
                <w:numId w:val="27"/>
              </w:numPr>
              <w:tabs>
                <w:tab w:val="left" w:pos="187"/>
              </w:tabs>
              <w:spacing w:after="0"/>
              <w:rPr>
                <w:rFonts w:ascii="Garamond" w:hAnsi="Garamond"/>
                <w:sz w:val="16"/>
                <w:szCs w:val="16"/>
              </w:rPr>
            </w:pPr>
            <w:r w:rsidRPr="00A90756">
              <w:rPr>
                <w:rStyle w:val="Other1"/>
                <w:rFonts w:ascii="Garamond" w:hAnsi="Garamond"/>
                <w:sz w:val="16"/>
                <w:szCs w:val="16"/>
              </w:rPr>
              <w:t>Organizimi i takimeve të SMP dhe OS</w:t>
            </w:r>
          </w:p>
          <w:p w14:paraId="014E4581" w14:textId="6E6806C6" w:rsidR="000D306C" w:rsidRPr="00A90756" w:rsidRDefault="000D306C" w:rsidP="000D306C">
            <w:pPr>
              <w:pStyle w:val="Other10"/>
              <w:numPr>
                <w:ilvl w:val="0"/>
                <w:numId w:val="27"/>
              </w:numPr>
              <w:tabs>
                <w:tab w:val="left" w:pos="187"/>
              </w:tabs>
              <w:spacing w:after="0"/>
              <w:rPr>
                <w:rFonts w:ascii="Garamond" w:hAnsi="Garamond"/>
                <w:sz w:val="16"/>
                <w:szCs w:val="16"/>
              </w:rPr>
            </w:pPr>
            <w:r w:rsidRPr="00A90756">
              <w:rPr>
                <w:rStyle w:val="Other1"/>
                <w:rFonts w:ascii="Garamond" w:hAnsi="Garamond"/>
                <w:sz w:val="16"/>
                <w:szCs w:val="16"/>
              </w:rPr>
              <w:t>Mbështetje për punën e Task</w:t>
            </w:r>
            <w:r w:rsidR="00D75C5A" w:rsidRPr="00A90756">
              <w:rPr>
                <w:rStyle w:val="Other1"/>
                <w:rFonts w:ascii="Garamond" w:hAnsi="Garamond"/>
                <w:sz w:val="16"/>
                <w:szCs w:val="16"/>
              </w:rPr>
              <w:t>-</w:t>
            </w:r>
            <w:r w:rsidRPr="00A90756">
              <w:rPr>
                <w:rStyle w:val="Other1"/>
                <w:rFonts w:ascii="Garamond" w:hAnsi="Garamond"/>
                <w:sz w:val="16"/>
                <w:szCs w:val="16"/>
              </w:rPr>
              <w:t>Forcës së Përbashkët përgjegjëse për përgatitjen e ciklit të programit 2028- 2034</w:t>
            </w:r>
          </w:p>
          <w:p w14:paraId="014E4582" w14:textId="77777777" w:rsidR="000D306C" w:rsidRPr="00A90756" w:rsidRDefault="000D306C" w:rsidP="000D306C">
            <w:pPr>
              <w:pStyle w:val="Other10"/>
              <w:numPr>
                <w:ilvl w:val="0"/>
                <w:numId w:val="27"/>
              </w:numPr>
              <w:tabs>
                <w:tab w:val="left" w:pos="187"/>
              </w:tabs>
              <w:spacing w:after="0"/>
              <w:rPr>
                <w:rFonts w:ascii="Garamond" w:hAnsi="Garamond"/>
                <w:sz w:val="16"/>
                <w:szCs w:val="16"/>
              </w:rPr>
            </w:pPr>
            <w:r w:rsidRPr="00A90756">
              <w:rPr>
                <w:rStyle w:val="Other1"/>
                <w:rFonts w:ascii="Garamond" w:hAnsi="Garamond"/>
                <w:sz w:val="16"/>
                <w:szCs w:val="16"/>
              </w:rPr>
              <w:t>Monitorimi i zbatimit të projektit dhe programit, duke përfshirë edhe ngritjen e një sistemi monitorimi dhe raportimi</w:t>
            </w:r>
          </w:p>
        </w:tc>
        <w:tc>
          <w:tcPr>
            <w:tcW w:w="1139" w:type="pct"/>
            <w:tcBorders>
              <w:top w:val="single" w:sz="4" w:space="0" w:color="auto"/>
              <w:left w:val="single" w:sz="4" w:space="0" w:color="auto"/>
            </w:tcBorders>
            <w:shd w:val="clear" w:color="auto" w:fill="DDECF3"/>
            <w:vAlign w:val="center"/>
          </w:tcPr>
          <w:p w14:paraId="014E4583"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u w:val="single"/>
              </w:rPr>
              <w:t>Rezultati</w:t>
            </w:r>
          </w:p>
        </w:tc>
        <w:tc>
          <w:tcPr>
            <w:tcW w:w="436" w:type="pct"/>
            <w:tcBorders>
              <w:top w:val="single" w:sz="4" w:space="0" w:color="auto"/>
              <w:left w:val="single" w:sz="4" w:space="0" w:color="auto"/>
            </w:tcBorders>
            <w:shd w:val="clear" w:color="auto" w:fill="DDECF3"/>
          </w:tcPr>
          <w:p w14:paraId="014E4584" w14:textId="77777777" w:rsidR="000D306C" w:rsidRPr="00A90756" w:rsidRDefault="000D306C" w:rsidP="000D306C">
            <w:pPr>
              <w:spacing w:after="0" w:line="240" w:lineRule="auto"/>
              <w:rPr>
                <w:rFonts w:ascii="Garamond" w:hAnsi="Garamond"/>
                <w:sz w:val="16"/>
                <w:szCs w:val="16"/>
              </w:rPr>
            </w:pPr>
          </w:p>
        </w:tc>
        <w:tc>
          <w:tcPr>
            <w:tcW w:w="581" w:type="pct"/>
            <w:tcBorders>
              <w:top w:val="single" w:sz="4" w:space="0" w:color="auto"/>
              <w:left w:val="single" w:sz="4" w:space="0" w:color="auto"/>
            </w:tcBorders>
            <w:shd w:val="clear" w:color="auto" w:fill="DDECF3"/>
          </w:tcPr>
          <w:p w14:paraId="014E4585" w14:textId="77777777" w:rsidR="000D306C" w:rsidRPr="00A90756" w:rsidRDefault="000D306C" w:rsidP="000D306C">
            <w:pPr>
              <w:spacing w:after="0" w:line="240" w:lineRule="auto"/>
              <w:rPr>
                <w:rFonts w:ascii="Garamond" w:hAnsi="Garamond"/>
                <w:sz w:val="16"/>
                <w:szCs w:val="16"/>
              </w:rPr>
            </w:pPr>
          </w:p>
        </w:tc>
        <w:tc>
          <w:tcPr>
            <w:tcW w:w="472" w:type="pct"/>
            <w:tcBorders>
              <w:top w:val="single" w:sz="4" w:space="0" w:color="auto"/>
              <w:left w:val="single" w:sz="4" w:space="0" w:color="auto"/>
              <w:right w:val="single" w:sz="4" w:space="0" w:color="auto"/>
            </w:tcBorders>
            <w:shd w:val="clear" w:color="auto" w:fill="DDECF3"/>
          </w:tcPr>
          <w:p w14:paraId="014E4586" w14:textId="77777777" w:rsidR="000D306C" w:rsidRPr="00A90756" w:rsidRDefault="000D306C" w:rsidP="000D306C">
            <w:pPr>
              <w:spacing w:after="0" w:line="240" w:lineRule="auto"/>
              <w:rPr>
                <w:rFonts w:ascii="Garamond" w:hAnsi="Garamond"/>
                <w:sz w:val="16"/>
                <w:szCs w:val="16"/>
              </w:rPr>
            </w:pPr>
          </w:p>
        </w:tc>
      </w:tr>
      <w:tr w:rsidR="000D306C" w:rsidRPr="00A90756" w14:paraId="014E458F" w14:textId="77777777" w:rsidTr="000D306C">
        <w:trPr>
          <w:trHeight w:val="20"/>
          <w:jc w:val="center"/>
        </w:trPr>
        <w:tc>
          <w:tcPr>
            <w:tcW w:w="653" w:type="pct"/>
            <w:vMerge/>
            <w:tcBorders>
              <w:left w:val="single" w:sz="4" w:space="0" w:color="auto"/>
            </w:tcBorders>
            <w:shd w:val="clear" w:color="auto" w:fill="auto"/>
          </w:tcPr>
          <w:p w14:paraId="014E4588" w14:textId="77777777" w:rsidR="000D306C" w:rsidRPr="00A90756" w:rsidRDefault="000D306C" w:rsidP="000D306C">
            <w:pPr>
              <w:spacing w:after="0" w:line="240" w:lineRule="auto"/>
              <w:rPr>
                <w:rFonts w:ascii="Garamond" w:hAnsi="Garamond"/>
                <w:sz w:val="16"/>
                <w:szCs w:val="16"/>
              </w:rPr>
            </w:pPr>
          </w:p>
        </w:tc>
        <w:tc>
          <w:tcPr>
            <w:tcW w:w="566" w:type="pct"/>
            <w:vMerge/>
            <w:tcBorders>
              <w:left w:val="single" w:sz="4" w:space="0" w:color="auto"/>
            </w:tcBorders>
            <w:shd w:val="clear" w:color="auto" w:fill="auto"/>
          </w:tcPr>
          <w:p w14:paraId="014E4589" w14:textId="77777777" w:rsidR="000D306C" w:rsidRPr="00A90756" w:rsidRDefault="000D306C" w:rsidP="000D306C">
            <w:pPr>
              <w:spacing w:after="0" w:line="240" w:lineRule="auto"/>
              <w:rPr>
                <w:rFonts w:ascii="Garamond" w:hAnsi="Garamond"/>
                <w:sz w:val="16"/>
                <w:szCs w:val="16"/>
              </w:rPr>
            </w:pPr>
          </w:p>
        </w:tc>
        <w:tc>
          <w:tcPr>
            <w:tcW w:w="1153" w:type="pct"/>
            <w:gridSpan w:val="2"/>
            <w:vMerge/>
            <w:tcBorders>
              <w:left w:val="single" w:sz="4" w:space="0" w:color="auto"/>
            </w:tcBorders>
            <w:shd w:val="clear" w:color="auto" w:fill="auto"/>
          </w:tcPr>
          <w:p w14:paraId="014E458A" w14:textId="77777777" w:rsidR="000D306C" w:rsidRPr="00A90756" w:rsidRDefault="000D306C" w:rsidP="000D306C">
            <w:pPr>
              <w:spacing w:after="0" w:line="240" w:lineRule="auto"/>
              <w:rPr>
                <w:rFonts w:ascii="Garamond" w:hAnsi="Garamond"/>
                <w:sz w:val="16"/>
                <w:szCs w:val="16"/>
              </w:rPr>
            </w:pPr>
          </w:p>
        </w:tc>
        <w:tc>
          <w:tcPr>
            <w:tcW w:w="1139" w:type="pct"/>
            <w:tcBorders>
              <w:top w:val="single" w:sz="4" w:space="0" w:color="auto"/>
              <w:left w:val="single" w:sz="4" w:space="0" w:color="auto"/>
            </w:tcBorders>
            <w:shd w:val="clear" w:color="auto" w:fill="auto"/>
            <w:vAlign w:val="bottom"/>
          </w:tcPr>
          <w:p w14:paraId="014E458B" w14:textId="77777777" w:rsidR="000D306C" w:rsidRPr="00A90756" w:rsidRDefault="000D306C" w:rsidP="000D306C">
            <w:pPr>
              <w:pStyle w:val="Other10"/>
              <w:tabs>
                <w:tab w:val="left" w:pos="1373"/>
              </w:tabs>
              <w:spacing w:after="0"/>
              <w:rPr>
                <w:rFonts w:ascii="Garamond" w:hAnsi="Garamond"/>
                <w:sz w:val="16"/>
                <w:szCs w:val="16"/>
              </w:rPr>
            </w:pPr>
            <w:r w:rsidRPr="00A90756">
              <w:rPr>
                <w:rStyle w:val="Other1"/>
                <w:rFonts w:ascii="Garamond" w:hAnsi="Garamond"/>
                <w:sz w:val="16"/>
                <w:szCs w:val="16"/>
              </w:rPr>
              <w:t>Përqindja e vendimeve të zbatuara në kohë të KPM-së dhe OS (siç përcaktohet në procesverbalet e mbledhjeve)</w:t>
            </w:r>
          </w:p>
        </w:tc>
        <w:tc>
          <w:tcPr>
            <w:tcW w:w="436" w:type="pct"/>
            <w:tcBorders>
              <w:top w:val="single" w:sz="4" w:space="0" w:color="auto"/>
              <w:left w:val="single" w:sz="4" w:space="0" w:color="auto"/>
            </w:tcBorders>
            <w:shd w:val="clear" w:color="auto" w:fill="auto"/>
          </w:tcPr>
          <w:p w14:paraId="014E458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90%</w:t>
            </w:r>
          </w:p>
        </w:tc>
        <w:tc>
          <w:tcPr>
            <w:tcW w:w="581" w:type="pct"/>
            <w:tcBorders>
              <w:top w:val="single" w:sz="4" w:space="0" w:color="auto"/>
              <w:left w:val="single" w:sz="4" w:space="0" w:color="auto"/>
            </w:tcBorders>
            <w:shd w:val="clear" w:color="auto" w:fill="auto"/>
          </w:tcPr>
          <w:p w14:paraId="014E458D"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90%</w:t>
            </w:r>
          </w:p>
        </w:tc>
        <w:tc>
          <w:tcPr>
            <w:tcW w:w="472" w:type="pct"/>
            <w:tcBorders>
              <w:top w:val="single" w:sz="4" w:space="0" w:color="auto"/>
              <w:left w:val="single" w:sz="4" w:space="0" w:color="auto"/>
              <w:right w:val="single" w:sz="4" w:space="0" w:color="auto"/>
            </w:tcBorders>
            <w:shd w:val="clear" w:color="auto" w:fill="auto"/>
            <w:vAlign w:val="center"/>
          </w:tcPr>
          <w:p w14:paraId="014E458E"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MoM, Sistemi i monitorimit</w:t>
            </w:r>
          </w:p>
        </w:tc>
      </w:tr>
      <w:tr w:rsidR="000D306C" w:rsidRPr="00A90756" w14:paraId="014E4597" w14:textId="77777777" w:rsidTr="000D306C">
        <w:trPr>
          <w:trHeight w:val="20"/>
          <w:jc w:val="center"/>
        </w:trPr>
        <w:tc>
          <w:tcPr>
            <w:tcW w:w="653" w:type="pct"/>
            <w:vMerge/>
            <w:tcBorders>
              <w:left w:val="single" w:sz="4" w:space="0" w:color="auto"/>
            </w:tcBorders>
            <w:shd w:val="clear" w:color="auto" w:fill="auto"/>
          </w:tcPr>
          <w:p w14:paraId="014E4590" w14:textId="77777777" w:rsidR="000D306C" w:rsidRPr="00A90756" w:rsidRDefault="000D306C" w:rsidP="000D306C">
            <w:pPr>
              <w:spacing w:after="0" w:line="240" w:lineRule="auto"/>
              <w:rPr>
                <w:rFonts w:ascii="Garamond" w:hAnsi="Garamond"/>
                <w:sz w:val="16"/>
                <w:szCs w:val="16"/>
              </w:rPr>
            </w:pPr>
          </w:p>
        </w:tc>
        <w:tc>
          <w:tcPr>
            <w:tcW w:w="566" w:type="pct"/>
            <w:vMerge/>
            <w:tcBorders>
              <w:left w:val="single" w:sz="4" w:space="0" w:color="auto"/>
            </w:tcBorders>
            <w:shd w:val="clear" w:color="auto" w:fill="auto"/>
          </w:tcPr>
          <w:p w14:paraId="014E4591" w14:textId="77777777" w:rsidR="000D306C" w:rsidRPr="00A90756" w:rsidRDefault="000D306C" w:rsidP="000D306C">
            <w:pPr>
              <w:spacing w:after="0" w:line="240" w:lineRule="auto"/>
              <w:rPr>
                <w:rFonts w:ascii="Garamond" w:hAnsi="Garamond"/>
                <w:sz w:val="16"/>
                <w:szCs w:val="16"/>
              </w:rPr>
            </w:pPr>
          </w:p>
        </w:tc>
        <w:tc>
          <w:tcPr>
            <w:tcW w:w="1153" w:type="pct"/>
            <w:gridSpan w:val="2"/>
            <w:vMerge/>
            <w:tcBorders>
              <w:left w:val="single" w:sz="4" w:space="0" w:color="auto"/>
            </w:tcBorders>
            <w:shd w:val="clear" w:color="auto" w:fill="auto"/>
          </w:tcPr>
          <w:p w14:paraId="014E4592" w14:textId="77777777" w:rsidR="000D306C" w:rsidRPr="00A90756" w:rsidRDefault="000D306C" w:rsidP="000D306C">
            <w:pPr>
              <w:spacing w:after="0" w:line="240" w:lineRule="auto"/>
              <w:rPr>
                <w:rFonts w:ascii="Garamond" w:hAnsi="Garamond"/>
                <w:sz w:val="16"/>
                <w:szCs w:val="16"/>
              </w:rPr>
            </w:pPr>
          </w:p>
        </w:tc>
        <w:tc>
          <w:tcPr>
            <w:tcW w:w="1139" w:type="pct"/>
            <w:tcBorders>
              <w:top w:val="single" w:sz="4" w:space="0" w:color="auto"/>
              <w:left w:val="single" w:sz="4" w:space="0" w:color="auto"/>
            </w:tcBorders>
            <w:shd w:val="clear" w:color="auto" w:fill="auto"/>
          </w:tcPr>
          <w:p w14:paraId="014E4593" w14:textId="77777777" w:rsidR="000D306C" w:rsidRPr="00A90756" w:rsidRDefault="000D306C" w:rsidP="000D306C">
            <w:pPr>
              <w:pStyle w:val="Other10"/>
              <w:tabs>
                <w:tab w:val="left" w:pos="1090"/>
                <w:tab w:val="left" w:pos="1454"/>
              </w:tabs>
              <w:spacing w:after="0"/>
              <w:rPr>
                <w:rFonts w:ascii="Garamond" w:hAnsi="Garamond"/>
                <w:sz w:val="16"/>
                <w:szCs w:val="16"/>
              </w:rPr>
            </w:pPr>
            <w:r w:rsidRPr="00A90756">
              <w:rPr>
                <w:rStyle w:val="Other1"/>
                <w:rFonts w:ascii="Garamond" w:hAnsi="Garamond"/>
                <w:sz w:val="16"/>
                <w:szCs w:val="16"/>
              </w:rPr>
              <w:t>Përqindja</w:t>
            </w:r>
            <w:r w:rsidRPr="00A90756">
              <w:rPr>
                <w:rStyle w:val="Other1"/>
                <w:rFonts w:ascii="Garamond" w:hAnsi="Garamond"/>
                <w:sz w:val="16"/>
                <w:szCs w:val="16"/>
              </w:rPr>
              <w:tab/>
              <w:t>e</w:t>
            </w:r>
            <w:r w:rsidRPr="00A90756">
              <w:rPr>
                <w:rStyle w:val="Other1"/>
                <w:rFonts w:ascii="Garamond" w:hAnsi="Garamond"/>
                <w:sz w:val="16"/>
                <w:szCs w:val="16"/>
              </w:rPr>
              <w:tab/>
              <w:t>projekteve të mbuluara</w:t>
            </w:r>
            <w:r w:rsidRPr="00A90756">
              <w:rPr>
                <w:rStyle w:val="Other1"/>
                <w:rFonts w:ascii="Garamond" w:hAnsi="Garamond"/>
                <w:sz w:val="16"/>
                <w:szCs w:val="16"/>
              </w:rPr>
              <w:tab/>
              <w:t>nga vizitat monitoruese</w:t>
            </w:r>
          </w:p>
        </w:tc>
        <w:tc>
          <w:tcPr>
            <w:tcW w:w="436" w:type="pct"/>
            <w:tcBorders>
              <w:top w:val="single" w:sz="4" w:space="0" w:color="auto"/>
              <w:left w:val="single" w:sz="4" w:space="0" w:color="auto"/>
            </w:tcBorders>
            <w:shd w:val="clear" w:color="auto" w:fill="auto"/>
          </w:tcPr>
          <w:p w14:paraId="014E4594"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100%</w:t>
            </w:r>
          </w:p>
        </w:tc>
        <w:tc>
          <w:tcPr>
            <w:tcW w:w="581" w:type="pct"/>
            <w:tcBorders>
              <w:top w:val="single" w:sz="4" w:space="0" w:color="auto"/>
              <w:left w:val="single" w:sz="4" w:space="0" w:color="auto"/>
            </w:tcBorders>
            <w:shd w:val="clear" w:color="auto" w:fill="auto"/>
          </w:tcPr>
          <w:p w14:paraId="014E4595"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100%</w:t>
            </w:r>
          </w:p>
        </w:tc>
        <w:tc>
          <w:tcPr>
            <w:tcW w:w="472" w:type="pct"/>
            <w:tcBorders>
              <w:top w:val="single" w:sz="4" w:space="0" w:color="auto"/>
              <w:left w:val="single" w:sz="4" w:space="0" w:color="auto"/>
              <w:right w:val="single" w:sz="4" w:space="0" w:color="auto"/>
            </w:tcBorders>
            <w:shd w:val="clear" w:color="auto" w:fill="auto"/>
            <w:vAlign w:val="bottom"/>
          </w:tcPr>
          <w:p w14:paraId="014E4596"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raportet e projektit Sistemi i monitorimit</w:t>
            </w:r>
          </w:p>
        </w:tc>
      </w:tr>
      <w:tr w:rsidR="000D306C" w:rsidRPr="00A90756" w14:paraId="014E459F" w14:textId="77777777" w:rsidTr="000D306C">
        <w:trPr>
          <w:trHeight w:val="20"/>
          <w:jc w:val="center"/>
        </w:trPr>
        <w:tc>
          <w:tcPr>
            <w:tcW w:w="653" w:type="pct"/>
            <w:vMerge/>
            <w:tcBorders>
              <w:left w:val="single" w:sz="4" w:space="0" w:color="auto"/>
            </w:tcBorders>
            <w:shd w:val="clear" w:color="auto" w:fill="auto"/>
          </w:tcPr>
          <w:p w14:paraId="014E4598" w14:textId="77777777" w:rsidR="000D306C" w:rsidRPr="00A90756" w:rsidRDefault="000D306C" w:rsidP="000D306C">
            <w:pPr>
              <w:spacing w:after="0" w:line="240" w:lineRule="auto"/>
              <w:rPr>
                <w:rFonts w:ascii="Garamond" w:hAnsi="Garamond"/>
                <w:sz w:val="16"/>
                <w:szCs w:val="16"/>
              </w:rPr>
            </w:pPr>
          </w:p>
        </w:tc>
        <w:tc>
          <w:tcPr>
            <w:tcW w:w="566" w:type="pct"/>
            <w:vMerge/>
            <w:tcBorders>
              <w:left w:val="single" w:sz="4" w:space="0" w:color="auto"/>
            </w:tcBorders>
            <w:shd w:val="clear" w:color="auto" w:fill="auto"/>
          </w:tcPr>
          <w:p w14:paraId="014E4599" w14:textId="77777777" w:rsidR="000D306C" w:rsidRPr="00A90756" w:rsidRDefault="000D306C" w:rsidP="000D306C">
            <w:pPr>
              <w:spacing w:after="0" w:line="240" w:lineRule="auto"/>
              <w:rPr>
                <w:rFonts w:ascii="Garamond" w:hAnsi="Garamond"/>
                <w:sz w:val="16"/>
                <w:szCs w:val="16"/>
              </w:rPr>
            </w:pPr>
          </w:p>
        </w:tc>
        <w:tc>
          <w:tcPr>
            <w:tcW w:w="1153" w:type="pct"/>
            <w:gridSpan w:val="2"/>
            <w:vMerge/>
            <w:tcBorders>
              <w:left w:val="single" w:sz="4" w:space="0" w:color="auto"/>
            </w:tcBorders>
            <w:shd w:val="clear" w:color="auto" w:fill="auto"/>
          </w:tcPr>
          <w:p w14:paraId="014E459A" w14:textId="77777777" w:rsidR="000D306C" w:rsidRPr="00A90756" w:rsidRDefault="000D306C" w:rsidP="000D306C">
            <w:pPr>
              <w:spacing w:after="0" w:line="240" w:lineRule="auto"/>
              <w:rPr>
                <w:rFonts w:ascii="Garamond" w:hAnsi="Garamond"/>
                <w:sz w:val="16"/>
                <w:szCs w:val="16"/>
              </w:rPr>
            </w:pPr>
          </w:p>
        </w:tc>
        <w:tc>
          <w:tcPr>
            <w:tcW w:w="1139" w:type="pct"/>
            <w:tcBorders>
              <w:top w:val="single" w:sz="4" w:space="0" w:color="auto"/>
              <w:left w:val="single" w:sz="4" w:space="0" w:color="auto"/>
            </w:tcBorders>
            <w:shd w:val="clear" w:color="auto" w:fill="DDECF3"/>
            <w:vAlign w:val="center"/>
          </w:tcPr>
          <w:p w14:paraId="014E459B"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u w:val="single"/>
              </w:rPr>
              <w:t>Produkti</w:t>
            </w:r>
          </w:p>
        </w:tc>
        <w:tc>
          <w:tcPr>
            <w:tcW w:w="436" w:type="pct"/>
            <w:tcBorders>
              <w:top w:val="single" w:sz="4" w:space="0" w:color="auto"/>
              <w:left w:val="single" w:sz="4" w:space="0" w:color="auto"/>
            </w:tcBorders>
            <w:shd w:val="clear" w:color="auto" w:fill="DDECF3"/>
          </w:tcPr>
          <w:p w14:paraId="014E459C" w14:textId="77777777" w:rsidR="000D306C" w:rsidRPr="00A90756" w:rsidRDefault="000D306C" w:rsidP="000D306C">
            <w:pPr>
              <w:spacing w:after="0" w:line="240" w:lineRule="auto"/>
              <w:rPr>
                <w:rFonts w:ascii="Garamond" w:hAnsi="Garamond"/>
                <w:sz w:val="16"/>
                <w:szCs w:val="16"/>
              </w:rPr>
            </w:pPr>
          </w:p>
        </w:tc>
        <w:tc>
          <w:tcPr>
            <w:tcW w:w="581" w:type="pct"/>
            <w:tcBorders>
              <w:top w:val="single" w:sz="4" w:space="0" w:color="auto"/>
              <w:left w:val="single" w:sz="4" w:space="0" w:color="auto"/>
            </w:tcBorders>
            <w:shd w:val="clear" w:color="auto" w:fill="DDECF3"/>
          </w:tcPr>
          <w:p w14:paraId="014E459D" w14:textId="77777777" w:rsidR="000D306C" w:rsidRPr="00A90756" w:rsidRDefault="000D306C" w:rsidP="000D306C">
            <w:pPr>
              <w:spacing w:after="0" w:line="240" w:lineRule="auto"/>
              <w:rPr>
                <w:rFonts w:ascii="Garamond" w:hAnsi="Garamond"/>
                <w:sz w:val="16"/>
                <w:szCs w:val="16"/>
              </w:rPr>
            </w:pPr>
          </w:p>
        </w:tc>
        <w:tc>
          <w:tcPr>
            <w:tcW w:w="472" w:type="pct"/>
            <w:tcBorders>
              <w:top w:val="single" w:sz="4" w:space="0" w:color="auto"/>
              <w:left w:val="single" w:sz="4" w:space="0" w:color="auto"/>
              <w:right w:val="single" w:sz="4" w:space="0" w:color="auto"/>
            </w:tcBorders>
            <w:shd w:val="clear" w:color="auto" w:fill="DDECF3"/>
          </w:tcPr>
          <w:p w14:paraId="014E459E" w14:textId="77777777" w:rsidR="000D306C" w:rsidRPr="00A90756" w:rsidRDefault="000D306C" w:rsidP="000D306C">
            <w:pPr>
              <w:spacing w:after="0" w:line="240" w:lineRule="auto"/>
              <w:rPr>
                <w:rFonts w:ascii="Garamond" w:hAnsi="Garamond"/>
                <w:sz w:val="16"/>
                <w:szCs w:val="16"/>
              </w:rPr>
            </w:pPr>
          </w:p>
        </w:tc>
      </w:tr>
      <w:tr w:rsidR="000D306C" w:rsidRPr="00A90756" w14:paraId="014E45A7" w14:textId="77777777" w:rsidTr="000D306C">
        <w:trPr>
          <w:trHeight w:val="20"/>
          <w:jc w:val="center"/>
        </w:trPr>
        <w:tc>
          <w:tcPr>
            <w:tcW w:w="653" w:type="pct"/>
            <w:vMerge/>
            <w:tcBorders>
              <w:left w:val="single" w:sz="4" w:space="0" w:color="auto"/>
            </w:tcBorders>
            <w:shd w:val="clear" w:color="auto" w:fill="auto"/>
          </w:tcPr>
          <w:p w14:paraId="014E45A0" w14:textId="77777777" w:rsidR="000D306C" w:rsidRPr="00A90756" w:rsidRDefault="000D306C" w:rsidP="000D306C">
            <w:pPr>
              <w:spacing w:after="0" w:line="240" w:lineRule="auto"/>
              <w:rPr>
                <w:rFonts w:ascii="Garamond" w:hAnsi="Garamond"/>
                <w:sz w:val="16"/>
                <w:szCs w:val="16"/>
              </w:rPr>
            </w:pPr>
          </w:p>
        </w:tc>
        <w:tc>
          <w:tcPr>
            <w:tcW w:w="566" w:type="pct"/>
            <w:vMerge/>
            <w:tcBorders>
              <w:left w:val="single" w:sz="4" w:space="0" w:color="auto"/>
            </w:tcBorders>
            <w:shd w:val="clear" w:color="auto" w:fill="auto"/>
          </w:tcPr>
          <w:p w14:paraId="014E45A1" w14:textId="77777777" w:rsidR="000D306C" w:rsidRPr="00A90756" w:rsidRDefault="000D306C" w:rsidP="000D306C">
            <w:pPr>
              <w:spacing w:after="0" w:line="240" w:lineRule="auto"/>
              <w:rPr>
                <w:rFonts w:ascii="Garamond" w:hAnsi="Garamond"/>
                <w:sz w:val="16"/>
                <w:szCs w:val="16"/>
              </w:rPr>
            </w:pPr>
          </w:p>
        </w:tc>
        <w:tc>
          <w:tcPr>
            <w:tcW w:w="1153" w:type="pct"/>
            <w:gridSpan w:val="2"/>
            <w:vMerge/>
            <w:tcBorders>
              <w:left w:val="single" w:sz="4" w:space="0" w:color="auto"/>
            </w:tcBorders>
            <w:shd w:val="clear" w:color="auto" w:fill="auto"/>
          </w:tcPr>
          <w:p w14:paraId="014E45A2" w14:textId="77777777" w:rsidR="000D306C" w:rsidRPr="00A90756" w:rsidRDefault="000D306C" w:rsidP="000D306C">
            <w:pPr>
              <w:spacing w:after="0" w:line="240" w:lineRule="auto"/>
              <w:rPr>
                <w:rFonts w:ascii="Garamond" w:hAnsi="Garamond"/>
                <w:sz w:val="16"/>
                <w:szCs w:val="16"/>
              </w:rPr>
            </w:pPr>
          </w:p>
        </w:tc>
        <w:tc>
          <w:tcPr>
            <w:tcW w:w="1139" w:type="pct"/>
            <w:tcBorders>
              <w:top w:val="single" w:sz="4" w:space="0" w:color="auto"/>
              <w:left w:val="single" w:sz="4" w:space="0" w:color="auto"/>
            </w:tcBorders>
            <w:shd w:val="clear" w:color="auto" w:fill="auto"/>
            <w:vAlign w:val="bottom"/>
          </w:tcPr>
          <w:p w14:paraId="014E45A3" w14:textId="77777777" w:rsidR="000D306C" w:rsidRPr="00A90756" w:rsidRDefault="000D306C" w:rsidP="000D306C">
            <w:pPr>
              <w:pStyle w:val="Other10"/>
              <w:tabs>
                <w:tab w:val="left" w:pos="1579"/>
              </w:tabs>
              <w:spacing w:after="0"/>
              <w:rPr>
                <w:rFonts w:ascii="Garamond" w:hAnsi="Garamond"/>
                <w:sz w:val="16"/>
                <w:szCs w:val="16"/>
              </w:rPr>
            </w:pPr>
            <w:r w:rsidRPr="00A90756">
              <w:rPr>
                <w:rStyle w:val="Other1"/>
                <w:rFonts w:ascii="Garamond" w:hAnsi="Garamond"/>
                <w:sz w:val="16"/>
                <w:szCs w:val="16"/>
              </w:rPr>
              <w:t>Numri i zyrave funksionale të SPT-së</w:t>
            </w:r>
          </w:p>
        </w:tc>
        <w:tc>
          <w:tcPr>
            <w:tcW w:w="436" w:type="pct"/>
            <w:tcBorders>
              <w:top w:val="single" w:sz="4" w:space="0" w:color="auto"/>
              <w:left w:val="single" w:sz="4" w:space="0" w:color="auto"/>
            </w:tcBorders>
            <w:shd w:val="clear" w:color="auto" w:fill="auto"/>
          </w:tcPr>
          <w:p w14:paraId="014E45A4"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w:t>
            </w:r>
          </w:p>
        </w:tc>
        <w:tc>
          <w:tcPr>
            <w:tcW w:w="581" w:type="pct"/>
            <w:tcBorders>
              <w:top w:val="single" w:sz="4" w:space="0" w:color="auto"/>
              <w:left w:val="single" w:sz="4" w:space="0" w:color="auto"/>
            </w:tcBorders>
            <w:shd w:val="clear" w:color="auto" w:fill="auto"/>
          </w:tcPr>
          <w:p w14:paraId="014E45A5"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w:t>
            </w:r>
          </w:p>
        </w:tc>
        <w:tc>
          <w:tcPr>
            <w:tcW w:w="472" w:type="pct"/>
            <w:tcBorders>
              <w:top w:val="single" w:sz="4" w:space="0" w:color="auto"/>
              <w:left w:val="single" w:sz="4" w:space="0" w:color="auto"/>
              <w:right w:val="single" w:sz="4" w:space="0" w:color="auto"/>
            </w:tcBorders>
            <w:shd w:val="clear" w:color="auto" w:fill="auto"/>
          </w:tcPr>
          <w:p w14:paraId="014E45A6"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p>
        </w:tc>
      </w:tr>
      <w:tr w:rsidR="000D306C" w:rsidRPr="00A90756" w14:paraId="014E45AF" w14:textId="77777777" w:rsidTr="000D306C">
        <w:trPr>
          <w:trHeight w:val="20"/>
          <w:jc w:val="center"/>
        </w:trPr>
        <w:tc>
          <w:tcPr>
            <w:tcW w:w="653" w:type="pct"/>
            <w:vMerge/>
            <w:tcBorders>
              <w:left w:val="single" w:sz="4" w:space="0" w:color="auto"/>
              <w:bottom w:val="single" w:sz="4" w:space="0" w:color="auto"/>
            </w:tcBorders>
            <w:shd w:val="clear" w:color="auto" w:fill="auto"/>
          </w:tcPr>
          <w:p w14:paraId="014E45A8" w14:textId="77777777" w:rsidR="000D306C" w:rsidRPr="00A90756" w:rsidRDefault="000D306C" w:rsidP="000D306C">
            <w:pPr>
              <w:spacing w:after="0" w:line="240" w:lineRule="auto"/>
              <w:rPr>
                <w:rFonts w:ascii="Garamond" w:hAnsi="Garamond"/>
                <w:sz w:val="16"/>
                <w:szCs w:val="16"/>
              </w:rPr>
            </w:pPr>
          </w:p>
        </w:tc>
        <w:tc>
          <w:tcPr>
            <w:tcW w:w="566" w:type="pct"/>
            <w:vMerge/>
            <w:tcBorders>
              <w:left w:val="single" w:sz="4" w:space="0" w:color="auto"/>
              <w:bottom w:val="single" w:sz="4" w:space="0" w:color="auto"/>
            </w:tcBorders>
            <w:shd w:val="clear" w:color="auto" w:fill="auto"/>
          </w:tcPr>
          <w:p w14:paraId="014E45A9" w14:textId="77777777" w:rsidR="000D306C" w:rsidRPr="00A90756" w:rsidRDefault="000D306C" w:rsidP="000D306C">
            <w:pPr>
              <w:spacing w:after="0" w:line="240" w:lineRule="auto"/>
              <w:rPr>
                <w:rFonts w:ascii="Garamond" w:hAnsi="Garamond"/>
                <w:sz w:val="16"/>
                <w:szCs w:val="16"/>
              </w:rPr>
            </w:pPr>
          </w:p>
        </w:tc>
        <w:tc>
          <w:tcPr>
            <w:tcW w:w="1153" w:type="pct"/>
            <w:gridSpan w:val="2"/>
            <w:vMerge/>
            <w:tcBorders>
              <w:left w:val="single" w:sz="4" w:space="0" w:color="auto"/>
              <w:bottom w:val="single" w:sz="4" w:space="0" w:color="auto"/>
            </w:tcBorders>
            <w:shd w:val="clear" w:color="auto" w:fill="auto"/>
          </w:tcPr>
          <w:p w14:paraId="014E45AA" w14:textId="77777777" w:rsidR="000D306C" w:rsidRPr="00A90756" w:rsidRDefault="000D306C" w:rsidP="000D306C">
            <w:pPr>
              <w:spacing w:after="0" w:line="240" w:lineRule="auto"/>
              <w:rPr>
                <w:rFonts w:ascii="Garamond" w:hAnsi="Garamond"/>
                <w:sz w:val="16"/>
                <w:szCs w:val="16"/>
              </w:rPr>
            </w:pPr>
          </w:p>
        </w:tc>
        <w:tc>
          <w:tcPr>
            <w:tcW w:w="1139" w:type="pct"/>
            <w:tcBorders>
              <w:top w:val="single" w:sz="4" w:space="0" w:color="auto"/>
              <w:left w:val="single" w:sz="4" w:space="0" w:color="auto"/>
              <w:bottom w:val="single" w:sz="4" w:space="0" w:color="auto"/>
            </w:tcBorders>
            <w:shd w:val="clear" w:color="auto" w:fill="auto"/>
          </w:tcPr>
          <w:p w14:paraId="014E45AB" w14:textId="77777777" w:rsidR="000D306C" w:rsidRPr="00A90756" w:rsidRDefault="000D306C" w:rsidP="000D306C">
            <w:pPr>
              <w:pStyle w:val="Other10"/>
              <w:tabs>
                <w:tab w:val="left" w:pos="1018"/>
                <w:tab w:val="left" w:pos="1560"/>
              </w:tabs>
              <w:spacing w:after="0"/>
              <w:rPr>
                <w:rFonts w:ascii="Garamond" w:hAnsi="Garamond"/>
                <w:sz w:val="16"/>
                <w:szCs w:val="16"/>
              </w:rPr>
            </w:pPr>
            <w:r w:rsidRPr="00A90756">
              <w:rPr>
                <w:rStyle w:val="Other1"/>
                <w:rFonts w:ascii="Garamond" w:hAnsi="Garamond"/>
                <w:sz w:val="16"/>
                <w:szCs w:val="16"/>
              </w:rPr>
              <w:t>Numri i aktiviteteve të organizuara në lidhje me menaxhimin e programit</w:t>
            </w:r>
          </w:p>
        </w:tc>
        <w:tc>
          <w:tcPr>
            <w:tcW w:w="436" w:type="pct"/>
            <w:tcBorders>
              <w:top w:val="single" w:sz="4" w:space="0" w:color="auto"/>
              <w:left w:val="single" w:sz="4" w:space="0" w:color="auto"/>
              <w:bottom w:val="single" w:sz="4" w:space="0" w:color="auto"/>
            </w:tcBorders>
            <w:shd w:val="clear" w:color="auto" w:fill="auto"/>
          </w:tcPr>
          <w:p w14:paraId="014E45A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21</w:t>
            </w:r>
          </w:p>
        </w:tc>
        <w:tc>
          <w:tcPr>
            <w:tcW w:w="581" w:type="pct"/>
            <w:tcBorders>
              <w:top w:val="single" w:sz="4" w:space="0" w:color="auto"/>
              <w:left w:val="single" w:sz="4" w:space="0" w:color="auto"/>
              <w:bottom w:val="single" w:sz="4" w:space="0" w:color="auto"/>
            </w:tcBorders>
            <w:shd w:val="clear" w:color="auto" w:fill="auto"/>
          </w:tcPr>
          <w:p w14:paraId="014E45AD"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45</w:t>
            </w:r>
          </w:p>
        </w:tc>
        <w:tc>
          <w:tcPr>
            <w:tcW w:w="472" w:type="pct"/>
            <w:tcBorders>
              <w:top w:val="single" w:sz="4" w:space="0" w:color="auto"/>
              <w:left w:val="single" w:sz="4" w:space="0" w:color="auto"/>
              <w:bottom w:val="single" w:sz="4" w:space="0" w:color="auto"/>
              <w:right w:val="single" w:sz="4" w:space="0" w:color="auto"/>
            </w:tcBorders>
            <w:shd w:val="clear" w:color="auto" w:fill="auto"/>
            <w:vAlign w:val="bottom"/>
          </w:tcPr>
          <w:p w14:paraId="014E45AE"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sistemi i monitorimit</w:t>
            </w:r>
          </w:p>
        </w:tc>
      </w:tr>
    </w:tbl>
    <w:p w14:paraId="014E45B0" w14:textId="77777777" w:rsidR="000D306C" w:rsidRPr="00A90756" w:rsidRDefault="000D306C" w:rsidP="000D306C">
      <w:pPr>
        <w:pStyle w:val="AAAATEXXX"/>
      </w:pPr>
    </w:p>
    <w:p w14:paraId="014E45B1" w14:textId="77777777" w:rsidR="000D306C" w:rsidRPr="00A90756" w:rsidRDefault="000D306C" w:rsidP="000D306C">
      <w:pPr>
        <w:ind w:firstLine="284"/>
        <w:rPr>
          <w:rFonts w:ascii="Garamond" w:hAnsi="Garamond"/>
          <w:sz w:val="2"/>
          <w:szCs w:val="2"/>
        </w:rPr>
      </w:pPr>
    </w:p>
    <w:tbl>
      <w:tblPr>
        <w:tblOverlap w:val="never"/>
        <w:tblW w:w="5000" w:type="pct"/>
        <w:jc w:val="center"/>
        <w:tblCellMar>
          <w:left w:w="10" w:type="dxa"/>
          <w:right w:w="10" w:type="dxa"/>
        </w:tblCellMar>
        <w:tblLook w:val="04A0" w:firstRow="1" w:lastRow="0" w:firstColumn="1" w:lastColumn="0" w:noHBand="0" w:noVBand="1"/>
      </w:tblPr>
      <w:tblGrid>
        <w:gridCol w:w="1181"/>
        <w:gridCol w:w="1025"/>
        <w:gridCol w:w="2088"/>
        <w:gridCol w:w="161"/>
        <w:gridCol w:w="1900"/>
        <w:gridCol w:w="790"/>
        <w:gridCol w:w="715"/>
        <w:gridCol w:w="1162"/>
      </w:tblGrid>
      <w:tr w:rsidR="000D306C" w:rsidRPr="00A90756" w14:paraId="014E45B8" w14:textId="77777777" w:rsidTr="000D306C">
        <w:trPr>
          <w:trHeight w:val="20"/>
          <w:jc w:val="center"/>
        </w:trPr>
        <w:tc>
          <w:tcPr>
            <w:tcW w:w="2379" w:type="pct"/>
            <w:gridSpan w:val="3"/>
            <w:tcBorders>
              <w:top w:val="single" w:sz="4" w:space="0" w:color="auto"/>
            </w:tcBorders>
            <w:shd w:val="clear" w:color="auto" w:fill="95B3D7"/>
            <w:vAlign w:val="center"/>
          </w:tcPr>
          <w:p w14:paraId="014E45B2" w14:textId="77777777" w:rsidR="000D306C" w:rsidRPr="00A90756" w:rsidRDefault="000D306C" w:rsidP="000D306C">
            <w:pPr>
              <w:pStyle w:val="Other10"/>
              <w:pBdr>
                <w:top w:val="single" w:sz="0" w:space="0" w:color="95B3D7"/>
                <w:left w:val="single" w:sz="0" w:space="0" w:color="95B3D7"/>
                <w:bottom w:val="single" w:sz="0" w:space="0" w:color="95B3D7"/>
                <w:right w:val="single" w:sz="0" w:space="0" w:color="95B3D7"/>
              </w:pBdr>
              <w:shd w:val="clear" w:color="auto" w:fill="95B3D7"/>
              <w:spacing w:after="0"/>
              <w:jc w:val="center"/>
              <w:rPr>
                <w:rFonts w:ascii="Garamond" w:hAnsi="Garamond"/>
                <w:sz w:val="16"/>
                <w:szCs w:val="16"/>
              </w:rPr>
            </w:pPr>
            <w:r w:rsidRPr="00A90756">
              <w:rPr>
                <w:rStyle w:val="Other1"/>
                <w:rFonts w:ascii="Garamond" w:hAnsi="Garamond"/>
                <w:b/>
                <w:bCs/>
                <w:color w:val="FFFFFF"/>
                <w:sz w:val="16"/>
                <w:szCs w:val="16"/>
              </w:rPr>
              <w:t>3 - Asistencë teknike</w:t>
            </w:r>
          </w:p>
        </w:tc>
        <w:tc>
          <w:tcPr>
            <w:tcW w:w="89" w:type="pct"/>
            <w:tcBorders>
              <w:top w:val="single" w:sz="4" w:space="0" w:color="auto"/>
            </w:tcBorders>
            <w:shd w:val="clear" w:color="auto" w:fill="95B3D7"/>
          </w:tcPr>
          <w:p w14:paraId="014E45B3" w14:textId="77777777" w:rsidR="000D306C" w:rsidRPr="00A90756" w:rsidRDefault="000D306C" w:rsidP="000D306C">
            <w:pPr>
              <w:spacing w:after="0" w:line="240" w:lineRule="auto"/>
              <w:rPr>
                <w:rFonts w:ascii="Garamond" w:hAnsi="Garamond"/>
                <w:sz w:val="16"/>
                <w:szCs w:val="16"/>
              </w:rPr>
            </w:pPr>
          </w:p>
        </w:tc>
        <w:tc>
          <w:tcPr>
            <w:tcW w:w="1053" w:type="pct"/>
            <w:tcBorders>
              <w:top w:val="single" w:sz="4" w:space="0" w:color="auto"/>
            </w:tcBorders>
            <w:shd w:val="clear" w:color="auto" w:fill="95B3D7"/>
            <w:vAlign w:val="center"/>
          </w:tcPr>
          <w:p w14:paraId="014E45B4"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Treguesit</w:t>
            </w:r>
          </w:p>
        </w:tc>
        <w:tc>
          <w:tcPr>
            <w:tcW w:w="438" w:type="pct"/>
            <w:tcBorders>
              <w:top w:val="single" w:sz="4" w:space="0" w:color="auto"/>
              <w:left w:val="single" w:sz="4" w:space="0" w:color="auto"/>
            </w:tcBorders>
            <w:shd w:val="clear" w:color="auto" w:fill="95B3D7"/>
            <w:vAlign w:val="center"/>
          </w:tcPr>
          <w:p w14:paraId="014E45B5"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Vlera bazë 2021</w:t>
            </w:r>
          </w:p>
        </w:tc>
        <w:tc>
          <w:tcPr>
            <w:tcW w:w="396" w:type="pct"/>
            <w:tcBorders>
              <w:top w:val="single" w:sz="4" w:space="0" w:color="auto"/>
              <w:left w:val="single" w:sz="4" w:space="0" w:color="auto"/>
            </w:tcBorders>
            <w:shd w:val="clear" w:color="auto" w:fill="95B3D7"/>
            <w:vAlign w:val="bottom"/>
          </w:tcPr>
          <w:p w14:paraId="014E45B6"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Vlera e synuar 2029</w:t>
            </w:r>
          </w:p>
        </w:tc>
        <w:tc>
          <w:tcPr>
            <w:tcW w:w="644" w:type="pct"/>
            <w:tcBorders>
              <w:top w:val="single" w:sz="4" w:space="0" w:color="auto"/>
              <w:left w:val="single" w:sz="4" w:space="0" w:color="auto"/>
              <w:right w:val="single" w:sz="4" w:space="0" w:color="auto"/>
            </w:tcBorders>
            <w:shd w:val="clear" w:color="auto" w:fill="95B3D7"/>
            <w:vAlign w:val="center"/>
          </w:tcPr>
          <w:p w14:paraId="014E45B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b/>
                <w:bCs/>
                <w:sz w:val="16"/>
                <w:szCs w:val="16"/>
              </w:rPr>
              <w:t>Burim i të dhënave</w:t>
            </w:r>
          </w:p>
        </w:tc>
      </w:tr>
      <w:tr w:rsidR="000D306C" w:rsidRPr="00A90756" w14:paraId="014E45C4" w14:textId="77777777" w:rsidTr="000D306C">
        <w:trPr>
          <w:trHeight w:val="20"/>
          <w:jc w:val="center"/>
        </w:trPr>
        <w:tc>
          <w:tcPr>
            <w:tcW w:w="655" w:type="pct"/>
            <w:vMerge w:val="restart"/>
            <w:tcBorders>
              <w:left w:val="single" w:sz="4" w:space="0" w:color="auto"/>
            </w:tcBorders>
            <w:shd w:val="clear" w:color="auto" w:fill="auto"/>
          </w:tcPr>
          <w:p w14:paraId="014E45B9" w14:textId="77777777" w:rsidR="000D306C" w:rsidRPr="00A90756" w:rsidRDefault="000D306C" w:rsidP="000D306C">
            <w:pPr>
              <w:pStyle w:val="Other10"/>
              <w:tabs>
                <w:tab w:val="right" w:pos="1080"/>
              </w:tabs>
              <w:spacing w:after="0"/>
              <w:rPr>
                <w:rFonts w:ascii="Garamond" w:hAnsi="Garamond"/>
                <w:sz w:val="16"/>
                <w:szCs w:val="16"/>
              </w:rPr>
            </w:pPr>
            <w:r w:rsidRPr="00A90756">
              <w:rPr>
                <w:rStyle w:val="Other1"/>
                <w:rFonts w:ascii="Garamond" w:hAnsi="Garamond"/>
                <w:sz w:val="16"/>
                <w:szCs w:val="16"/>
              </w:rPr>
              <w:t xml:space="preserve">komunitetet lokale dhe, </w:t>
            </w:r>
            <w:r w:rsidRPr="00A90756">
              <w:rPr>
                <w:rStyle w:val="Other1"/>
                <w:rFonts w:ascii="Garamond" w:hAnsi="Garamond"/>
                <w:sz w:val="16"/>
                <w:szCs w:val="16"/>
              </w:rPr>
              <w:tab/>
              <w:t>në</w:t>
            </w:r>
          </w:p>
          <w:p w14:paraId="014E45BA" w14:textId="77777777" w:rsidR="000D306C" w:rsidRPr="00A90756" w:rsidRDefault="000D306C" w:rsidP="000D306C">
            <w:pPr>
              <w:pStyle w:val="Other10"/>
              <w:tabs>
                <w:tab w:val="right" w:pos="1085"/>
              </w:tabs>
              <w:spacing w:after="0"/>
              <w:rPr>
                <w:rFonts w:ascii="Garamond" w:hAnsi="Garamond"/>
                <w:sz w:val="16"/>
                <w:szCs w:val="16"/>
              </w:rPr>
            </w:pPr>
            <w:r w:rsidRPr="00A90756">
              <w:rPr>
                <w:rStyle w:val="Other1"/>
                <w:rFonts w:ascii="Garamond" w:hAnsi="Garamond"/>
                <w:sz w:val="16"/>
                <w:szCs w:val="16"/>
              </w:rPr>
              <w:t xml:space="preserve">përgjithësi, </w:t>
            </w:r>
          </w:p>
          <w:p w14:paraId="014E45BB" w14:textId="77777777" w:rsidR="000D306C" w:rsidRPr="00A90756" w:rsidRDefault="000D306C" w:rsidP="000D306C">
            <w:pPr>
              <w:pStyle w:val="Other10"/>
              <w:tabs>
                <w:tab w:val="right" w:pos="1090"/>
              </w:tabs>
              <w:spacing w:after="0"/>
              <w:rPr>
                <w:rFonts w:ascii="Garamond" w:hAnsi="Garamond"/>
                <w:sz w:val="16"/>
                <w:szCs w:val="16"/>
              </w:rPr>
            </w:pPr>
            <w:r w:rsidRPr="00A90756">
              <w:rPr>
                <w:rStyle w:val="Other1"/>
                <w:rFonts w:ascii="Garamond" w:hAnsi="Garamond"/>
                <w:sz w:val="16"/>
                <w:szCs w:val="16"/>
              </w:rPr>
              <w:t xml:space="preserve">popullsia në zonën e pranueshme të </w:t>
            </w:r>
            <w:r w:rsidRPr="00A90756">
              <w:rPr>
                <w:rStyle w:val="Other1"/>
                <w:rFonts w:ascii="Garamond" w:hAnsi="Garamond"/>
                <w:sz w:val="16"/>
                <w:szCs w:val="16"/>
              </w:rPr>
              <w:lastRenderedPageBreak/>
              <w:t>programit</w:t>
            </w:r>
          </w:p>
          <w:p w14:paraId="014E45BC" w14:textId="77777777" w:rsidR="000D306C" w:rsidRPr="00A90756" w:rsidRDefault="000D306C" w:rsidP="000D306C">
            <w:pPr>
              <w:pStyle w:val="Other10"/>
              <w:spacing w:after="0"/>
              <w:rPr>
                <w:rFonts w:ascii="Garamond" w:hAnsi="Garamond"/>
                <w:sz w:val="16"/>
                <w:szCs w:val="16"/>
              </w:rPr>
            </w:pPr>
          </w:p>
        </w:tc>
        <w:tc>
          <w:tcPr>
            <w:tcW w:w="568" w:type="pct"/>
            <w:tcBorders>
              <w:top w:val="single" w:sz="4" w:space="0" w:color="auto"/>
              <w:left w:val="single" w:sz="4" w:space="0" w:color="auto"/>
            </w:tcBorders>
            <w:shd w:val="clear" w:color="auto" w:fill="auto"/>
          </w:tcPr>
          <w:p w14:paraId="014E45BD" w14:textId="77777777" w:rsidR="000D306C" w:rsidRPr="00A90756" w:rsidRDefault="000D306C" w:rsidP="000D306C">
            <w:pPr>
              <w:spacing w:after="0" w:line="240" w:lineRule="auto"/>
              <w:rPr>
                <w:rFonts w:ascii="Garamond" w:hAnsi="Garamond"/>
                <w:sz w:val="16"/>
                <w:szCs w:val="16"/>
              </w:rPr>
            </w:pPr>
          </w:p>
        </w:tc>
        <w:tc>
          <w:tcPr>
            <w:tcW w:w="1157" w:type="pct"/>
            <w:tcBorders>
              <w:left w:val="single" w:sz="4" w:space="0" w:color="auto"/>
            </w:tcBorders>
            <w:shd w:val="clear" w:color="auto" w:fill="auto"/>
          </w:tcPr>
          <w:p w14:paraId="014E45BE"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Times New Roman" w:hAnsi="Garamond" w:cs="Times New Roman"/>
                <w:sz w:val="16"/>
                <w:szCs w:val="16"/>
              </w:rPr>
              <w:t>-</w:t>
            </w:r>
            <w:r w:rsidRPr="00A90756">
              <w:rPr>
                <w:rStyle w:val="Other1"/>
                <w:rFonts w:ascii="Garamond" w:hAnsi="Garamond"/>
                <w:sz w:val="16"/>
                <w:szCs w:val="16"/>
              </w:rPr>
              <w:t xml:space="preserve"> Organizimi i aktiviteteve të vlerësimit, analizave, anketave dhe/ose studimeve të situatës</w:t>
            </w:r>
          </w:p>
        </w:tc>
        <w:tc>
          <w:tcPr>
            <w:tcW w:w="1142" w:type="pct"/>
            <w:gridSpan w:val="2"/>
            <w:tcBorders>
              <w:top w:val="single" w:sz="4" w:space="0" w:color="auto"/>
              <w:left w:val="single" w:sz="4" w:space="0" w:color="auto"/>
            </w:tcBorders>
            <w:shd w:val="clear" w:color="auto" w:fill="auto"/>
          </w:tcPr>
          <w:p w14:paraId="014E45BF" w14:textId="77777777" w:rsidR="000D306C" w:rsidRPr="00A90756" w:rsidRDefault="000D306C" w:rsidP="000D306C">
            <w:pPr>
              <w:pStyle w:val="Other10"/>
              <w:tabs>
                <w:tab w:val="left" w:pos="1003"/>
                <w:tab w:val="left" w:pos="1541"/>
              </w:tabs>
              <w:spacing w:after="0"/>
              <w:jc w:val="both"/>
              <w:rPr>
                <w:rFonts w:ascii="Garamond" w:hAnsi="Garamond"/>
                <w:sz w:val="16"/>
                <w:szCs w:val="16"/>
              </w:rPr>
            </w:pPr>
            <w:r w:rsidRPr="00A90756">
              <w:rPr>
                <w:rStyle w:val="Other1"/>
                <w:rFonts w:ascii="Garamond" w:hAnsi="Garamond"/>
                <w:sz w:val="16"/>
                <w:szCs w:val="16"/>
              </w:rPr>
              <w:t>Numri</w:t>
            </w:r>
            <w:r w:rsidRPr="00A90756">
              <w:rPr>
                <w:rStyle w:val="Other1"/>
                <w:rFonts w:ascii="Garamond" w:hAnsi="Garamond"/>
                <w:sz w:val="16"/>
                <w:szCs w:val="16"/>
              </w:rPr>
              <w:tab/>
              <w:t>vizitave monitoruese të projekteve të realizuara</w:t>
            </w:r>
          </w:p>
          <w:p w14:paraId="014E45C0" w14:textId="77777777" w:rsidR="000D306C" w:rsidRPr="00A90756" w:rsidRDefault="000D306C" w:rsidP="000D306C">
            <w:pPr>
              <w:pStyle w:val="Other10"/>
              <w:spacing w:after="0"/>
              <w:jc w:val="both"/>
              <w:rPr>
                <w:rFonts w:ascii="Garamond" w:hAnsi="Garamond"/>
                <w:sz w:val="16"/>
                <w:szCs w:val="16"/>
              </w:rPr>
            </w:pPr>
          </w:p>
        </w:tc>
        <w:tc>
          <w:tcPr>
            <w:tcW w:w="438" w:type="pct"/>
            <w:tcBorders>
              <w:top w:val="single" w:sz="4" w:space="0" w:color="auto"/>
              <w:left w:val="single" w:sz="4" w:space="0" w:color="auto"/>
            </w:tcBorders>
            <w:shd w:val="clear" w:color="auto" w:fill="auto"/>
            <w:vAlign w:val="center"/>
          </w:tcPr>
          <w:p w14:paraId="014E45C1"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24</w:t>
            </w:r>
          </w:p>
        </w:tc>
        <w:tc>
          <w:tcPr>
            <w:tcW w:w="396" w:type="pct"/>
            <w:tcBorders>
              <w:top w:val="single" w:sz="4" w:space="0" w:color="auto"/>
              <w:left w:val="single" w:sz="4" w:space="0" w:color="auto"/>
            </w:tcBorders>
            <w:shd w:val="clear" w:color="auto" w:fill="auto"/>
            <w:vAlign w:val="center"/>
          </w:tcPr>
          <w:p w14:paraId="014E45C2"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60</w:t>
            </w:r>
          </w:p>
        </w:tc>
        <w:tc>
          <w:tcPr>
            <w:tcW w:w="644" w:type="pct"/>
            <w:tcBorders>
              <w:top w:val="single" w:sz="4" w:space="0" w:color="auto"/>
              <w:left w:val="single" w:sz="4" w:space="0" w:color="auto"/>
              <w:right w:val="single" w:sz="4" w:space="0" w:color="auto"/>
            </w:tcBorders>
            <w:shd w:val="clear" w:color="auto" w:fill="auto"/>
            <w:vAlign w:val="bottom"/>
          </w:tcPr>
          <w:p w14:paraId="014E45C3"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raportet e projektit, sistemi i monitorimit</w:t>
            </w:r>
          </w:p>
        </w:tc>
      </w:tr>
      <w:tr w:rsidR="000D306C" w:rsidRPr="00A90756" w14:paraId="014E45D0" w14:textId="77777777" w:rsidTr="000D306C">
        <w:trPr>
          <w:trHeight w:val="20"/>
          <w:jc w:val="center"/>
        </w:trPr>
        <w:tc>
          <w:tcPr>
            <w:tcW w:w="655" w:type="pct"/>
            <w:vMerge/>
            <w:tcBorders>
              <w:left w:val="single" w:sz="4" w:space="0" w:color="auto"/>
            </w:tcBorders>
            <w:shd w:val="clear" w:color="auto" w:fill="auto"/>
          </w:tcPr>
          <w:p w14:paraId="014E45C5" w14:textId="77777777" w:rsidR="000D306C" w:rsidRPr="00A90756" w:rsidRDefault="000D306C" w:rsidP="000D306C">
            <w:pPr>
              <w:spacing w:after="0" w:line="240" w:lineRule="auto"/>
              <w:rPr>
                <w:rFonts w:ascii="Garamond" w:hAnsi="Garamond"/>
                <w:sz w:val="16"/>
                <w:szCs w:val="16"/>
              </w:rPr>
            </w:pPr>
          </w:p>
        </w:tc>
        <w:tc>
          <w:tcPr>
            <w:tcW w:w="568" w:type="pct"/>
            <w:vMerge w:val="restart"/>
            <w:tcBorders>
              <w:top w:val="single" w:sz="4" w:space="0" w:color="auto"/>
              <w:left w:val="single" w:sz="4" w:space="0" w:color="auto"/>
            </w:tcBorders>
            <w:shd w:val="clear" w:color="auto" w:fill="auto"/>
          </w:tcPr>
          <w:p w14:paraId="014E45C6" w14:textId="77777777" w:rsidR="000D306C" w:rsidRPr="00A90756" w:rsidRDefault="000D306C" w:rsidP="000D306C">
            <w:pPr>
              <w:pStyle w:val="Other10"/>
              <w:tabs>
                <w:tab w:val="left" w:pos="499"/>
              </w:tabs>
              <w:spacing w:after="0"/>
              <w:rPr>
                <w:rFonts w:ascii="Garamond" w:hAnsi="Garamond"/>
                <w:sz w:val="16"/>
                <w:szCs w:val="16"/>
              </w:rPr>
            </w:pPr>
            <w:r w:rsidRPr="00A90756">
              <w:rPr>
                <w:rStyle w:val="Other1"/>
                <w:rFonts w:ascii="Garamond" w:hAnsi="Garamond"/>
                <w:sz w:val="16"/>
                <w:szCs w:val="16"/>
              </w:rPr>
              <w:t xml:space="preserve">0.1.2. </w:t>
            </w:r>
            <w:r w:rsidRPr="00A90756">
              <w:rPr>
                <w:rStyle w:val="Other1"/>
                <w:rFonts w:ascii="Garamond" w:hAnsi="Garamond"/>
                <w:sz w:val="16"/>
                <w:szCs w:val="16"/>
              </w:rPr>
              <w:lastRenderedPageBreak/>
              <w:t>Mbështetja e aplikantëve të mundshëm dhe</w:t>
            </w:r>
            <w:r w:rsidRPr="00A90756">
              <w:rPr>
                <w:rStyle w:val="Other1"/>
                <w:rFonts w:ascii="Garamond" w:hAnsi="Garamond"/>
                <w:sz w:val="16"/>
                <w:szCs w:val="16"/>
              </w:rPr>
              <w:tab/>
              <w:t>e përfituesve të granteve</w:t>
            </w:r>
          </w:p>
          <w:p w14:paraId="014E45C7" w14:textId="77777777" w:rsidR="000D306C" w:rsidRPr="00A90756" w:rsidRDefault="000D306C" w:rsidP="000D306C">
            <w:pPr>
              <w:pStyle w:val="Other10"/>
              <w:spacing w:after="0"/>
              <w:rPr>
                <w:rFonts w:ascii="Garamond" w:hAnsi="Garamond"/>
                <w:sz w:val="16"/>
                <w:szCs w:val="16"/>
              </w:rPr>
            </w:pPr>
          </w:p>
        </w:tc>
        <w:tc>
          <w:tcPr>
            <w:tcW w:w="1157" w:type="pct"/>
            <w:vMerge w:val="restart"/>
            <w:tcBorders>
              <w:top w:val="single" w:sz="4" w:space="0" w:color="auto"/>
              <w:left w:val="single" w:sz="4" w:space="0" w:color="auto"/>
            </w:tcBorders>
            <w:shd w:val="clear" w:color="auto" w:fill="auto"/>
          </w:tcPr>
          <w:p w14:paraId="014E45C8" w14:textId="77777777" w:rsidR="000D306C" w:rsidRPr="00A90756" w:rsidRDefault="000D306C" w:rsidP="000D306C">
            <w:pPr>
              <w:pStyle w:val="Other10"/>
              <w:numPr>
                <w:ilvl w:val="0"/>
                <w:numId w:val="28"/>
              </w:numPr>
              <w:tabs>
                <w:tab w:val="left" w:pos="149"/>
              </w:tabs>
              <w:spacing w:after="0"/>
              <w:rPr>
                <w:rFonts w:ascii="Garamond" w:hAnsi="Garamond"/>
                <w:sz w:val="16"/>
                <w:szCs w:val="16"/>
              </w:rPr>
            </w:pPr>
            <w:r w:rsidRPr="00A90756">
              <w:rPr>
                <w:rStyle w:val="Other1"/>
                <w:rFonts w:ascii="Garamond" w:hAnsi="Garamond"/>
                <w:sz w:val="16"/>
                <w:szCs w:val="16"/>
              </w:rPr>
              <w:lastRenderedPageBreak/>
              <w:t>Organizimi i aktiviteteve, takimeve, sesioneve trajnuese, vizitave studimore ose vizitave të shkëmbimit për të mësuar nga praktikat më të mira të nismave të tjera të zhvillimit të territorit</w:t>
            </w:r>
          </w:p>
          <w:p w14:paraId="014E45C9" w14:textId="77777777" w:rsidR="000D306C" w:rsidRPr="00A90756" w:rsidRDefault="000D306C" w:rsidP="000D306C">
            <w:pPr>
              <w:pStyle w:val="Other10"/>
              <w:numPr>
                <w:ilvl w:val="0"/>
                <w:numId w:val="28"/>
              </w:numPr>
              <w:tabs>
                <w:tab w:val="left" w:pos="149"/>
              </w:tabs>
              <w:spacing w:after="0"/>
              <w:rPr>
                <w:rFonts w:ascii="Garamond" w:hAnsi="Garamond"/>
                <w:sz w:val="16"/>
                <w:szCs w:val="16"/>
              </w:rPr>
            </w:pPr>
            <w:r w:rsidRPr="00A90756">
              <w:rPr>
                <w:rStyle w:val="Other1"/>
                <w:rFonts w:ascii="Garamond" w:hAnsi="Garamond"/>
                <w:sz w:val="16"/>
                <w:szCs w:val="16"/>
              </w:rPr>
              <w:t>Përgatitja e manualeve/udhëzuesve të brendshëm dhe/ose të jashtëm</w:t>
            </w:r>
          </w:p>
          <w:p w14:paraId="014E45CA" w14:textId="77777777" w:rsidR="000D306C" w:rsidRPr="00A90756" w:rsidRDefault="000D306C" w:rsidP="000D306C">
            <w:pPr>
              <w:pStyle w:val="Other10"/>
              <w:numPr>
                <w:ilvl w:val="0"/>
                <w:numId w:val="28"/>
              </w:numPr>
              <w:tabs>
                <w:tab w:val="left" w:pos="149"/>
              </w:tabs>
              <w:spacing w:after="0"/>
              <w:rPr>
                <w:rFonts w:ascii="Garamond" w:hAnsi="Garamond"/>
                <w:sz w:val="16"/>
                <w:szCs w:val="16"/>
              </w:rPr>
            </w:pPr>
            <w:r w:rsidRPr="00A90756">
              <w:rPr>
                <w:rStyle w:val="Other1"/>
                <w:rFonts w:ascii="Garamond" w:hAnsi="Garamond"/>
                <w:sz w:val="16"/>
                <w:szCs w:val="16"/>
              </w:rPr>
              <w:t>Asistencë për aplikantët potencialë në partneritete dhe zhvillim e projekteve (forumet e kërkimit të partnerëve etj.)</w:t>
            </w:r>
          </w:p>
          <w:p w14:paraId="014E45CB" w14:textId="77777777" w:rsidR="000D306C" w:rsidRPr="00A90756" w:rsidRDefault="000D306C" w:rsidP="000D306C">
            <w:pPr>
              <w:pStyle w:val="Other10"/>
              <w:numPr>
                <w:ilvl w:val="0"/>
                <w:numId w:val="28"/>
              </w:numPr>
              <w:tabs>
                <w:tab w:val="left" w:pos="149"/>
              </w:tabs>
              <w:spacing w:after="0"/>
              <w:rPr>
                <w:rFonts w:ascii="Garamond" w:hAnsi="Garamond"/>
                <w:sz w:val="16"/>
                <w:szCs w:val="16"/>
              </w:rPr>
            </w:pPr>
            <w:r w:rsidRPr="00A90756">
              <w:rPr>
                <w:rStyle w:val="Other1"/>
                <w:rFonts w:ascii="Garamond" w:hAnsi="Garamond"/>
                <w:sz w:val="16"/>
                <w:szCs w:val="16"/>
              </w:rPr>
              <w:t>Këshilla për përfituesit e granteve për çështjet e zbatimit të projektit</w:t>
            </w:r>
          </w:p>
        </w:tc>
        <w:tc>
          <w:tcPr>
            <w:tcW w:w="1142" w:type="pct"/>
            <w:gridSpan w:val="2"/>
            <w:tcBorders>
              <w:top w:val="single" w:sz="4" w:space="0" w:color="auto"/>
              <w:left w:val="single" w:sz="4" w:space="0" w:color="auto"/>
            </w:tcBorders>
            <w:shd w:val="clear" w:color="auto" w:fill="DDECF3"/>
            <w:vAlign w:val="center"/>
          </w:tcPr>
          <w:p w14:paraId="014E45CC"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u w:val="single"/>
              </w:rPr>
              <w:t>Rezultati</w:t>
            </w:r>
          </w:p>
        </w:tc>
        <w:tc>
          <w:tcPr>
            <w:tcW w:w="438" w:type="pct"/>
            <w:tcBorders>
              <w:top w:val="single" w:sz="4" w:space="0" w:color="auto"/>
              <w:left w:val="single" w:sz="4" w:space="0" w:color="auto"/>
            </w:tcBorders>
            <w:shd w:val="clear" w:color="auto" w:fill="DDECF3"/>
            <w:vAlign w:val="center"/>
          </w:tcPr>
          <w:p w14:paraId="014E45CD" w14:textId="77777777" w:rsidR="000D306C" w:rsidRPr="00A90756" w:rsidRDefault="000D306C" w:rsidP="000D306C">
            <w:pPr>
              <w:spacing w:after="0" w:line="240" w:lineRule="auto"/>
              <w:jc w:val="center"/>
              <w:rPr>
                <w:rFonts w:ascii="Garamond" w:hAnsi="Garamond"/>
                <w:sz w:val="16"/>
                <w:szCs w:val="16"/>
              </w:rPr>
            </w:pPr>
          </w:p>
        </w:tc>
        <w:tc>
          <w:tcPr>
            <w:tcW w:w="396" w:type="pct"/>
            <w:tcBorders>
              <w:top w:val="single" w:sz="4" w:space="0" w:color="auto"/>
              <w:left w:val="single" w:sz="4" w:space="0" w:color="auto"/>
            </w:tcBorders>
            <w:shd w:val="clear" w:color="auto" w:fill="DDECF3"/>
            <w:vAlign w:val="center"/>
          </w:tcPr>
          <w:p w14:paraId="014E45CE" w14:textId="77777777" w:rsidR="000D306C" w:rsidRPr="00A90756" w:rsidRDefault="000D306C" w:rsidP="000D306C">
            <w:pPr>
              <w:spacing w:after="0" w:line="240" w:lineRule="auto"/>
              <w:jc w:val="center"/>
              <w:rPr>
                <w:rFonts w:ascii="Garamond" w:hAnsi="Garamond"/>
                <w:sz w:val="16"/>
                <w:szCs w:val="16"/>
              </w:rPr>
            </w:pPr>
          </w:p>
        </w:tc>
        <w:tc>
          <w:tcPr>
            <w:tcW w:w="644" w:type="pct"/>
            <w:tcBorders>
              <w:top w:val="single" w:sz="4" w:space="0" w:color="auto"/>
              <w:left w:val="single" w:sz="4" w:space="0" w:color="auto"/>
              <w:right w:val="single" w:sz="4" w:space="0" w:color="auto"/>
            </w:tcBorders>
            <w:shd w:val="clear" w:color="auto" w:fill="DDECF3"/>
          </w:tcPr>
          <w:p w14:paraId="014E45CF" w14:textId="77777777" w:rsidR="000D306C" w:rsidRPr="00A90756" w:rsidRDefault="000D306C" w:rsidP="000D306C">
            <w:pPr>
              <w:spacing w:after="0" w:line="240" w:lineRule="auto"/>
              <w:rPr>
                <w:rFonts w:ascii="Garamond" w:hAnsi="Garamond"/>
                <w:sz w:val="16"/>
                <w:szCs w:val="16"/>
              </w:rPr>
            </w:pPr>
          </w:p>
        </w:tc>
      </w:tr>
      <w:tr w:rsidR="000D306C" w:rsidRPr="00A90756" w14:paraId="014E45D8" w14:textId="77777777" w:rsidTr="000D306C">
        <w:trPr>
          <w:trHeight w:val="20"/>
          <w:jc w:val="center"/>
        </w:trPr>
        <w:tc>
          <w:tcPr>
            <w:tcW w:w="655" w:type="pct"/>
            <w:vMerge/>
            <w:tcBorders>
              <w:left w:val="single" w:sz="4" w:space="0" w:color="auto"/>
            </w:tcBorders>
            <w:shd w:val="clear" w:color="auto" w:fill="auto"/>
          </w:tcPr>
          <w:p w14:paraId="014E45D1"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5D2"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tcPr>
          <w:p w14:paraId="014E45D3"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auto"/>
            <w:vAlign w:val="bottom"/>
          </w:tcPr>
          <w:p w14:paraId="014E45D4" w14:textId="77777777" w:rsidR="000D306C" w:rsidRPr="00A90756" w:rsidRDefault="000D306C" w:rsidP="000D306C">
            <w:pPr>
              <w:pStyle w:val="Other10"/>
              <w:tabs>
                <w:tab w:val="right" w:pos="2093"/>
              </w:tabs>
              <w:spacing w:after="0"/>
              <w:jc w:val="both"/>
              <w:rPr>
                <w:rFonts w:ascii="Garamond" w:hAnsi="Garamond"/>
                <w:sz w:val="16"/>
                <w:szCs w:val="16"/>
              </w:rPr>
            </w:pPr>
            <w:r w:rsidRPr="00A90756">
              <w:rPr>
                <w:rStyle w:val="Other1"/>
                <w:rFonts w:ascii="Garamond" w:hAnsi="Garamond"/>
                <w:sz w:val="16"/>
                <w:szCs w:val="16"/>
              </w:rPr>
              <w:t>Përqindja mesatare e aplikantëve potencialë, aplikantëve, përfituesve të granteve dhe grupeve të tjera të targetuara të kënaqur me mbështetjen e zbatimit të programit</w:t>
            </w:r>
          </w:p>
        </w:tc>
        <w:tc>
          <w:tcPr>
            <w:tcW w:w="438" w:type="pct"/>
            <w:tcBorders>
              <w:top w:val="single" w:sz="4" w:space="0" w:color="auto"/>
              <w:left w:val="single" w:sz="4" w:space="0" w:color="auto"/>
            </w:tcBorders>
            <w:shd w:val="clear" w:color="auto" w:fill="auto"/>
            <w:vAlign w:val="center"/>
          </w:tcPr>
          <w:p w14:paraId="014E45D5"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99,67%</w:t>
            </w:r>
          </w:p>
        </w:tc>
        <w:tc>
          <w:tcPr>
            <w:tcW w:w="396" w:type="pct"/>
            <w:tcBorders>
              <w:top w:val="single" w:sz="4" w:space="0" w:color="auto"/>
              <w:left w:val="single" w:sz="4" w:space="0" w:color="auto"/>
            </w:tcBorders>
            <w:shd w:val="clear" w:color="auto" w:fill="auto"/>
            <w:vAlign w:val="center"/>
          </w:tcPr>
          <w:p w14:paraId="014E45D6"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90%</w:t>
            </w:r>
          </w:p>
        </w:tc>
        <w:tc>
          <w:tcPr>
            <w:tcW w:w="644" w:type="pct"/>
            <w:tcBorders>
              <w:top w:val="single" w:sz="4" w:space="0" w:color="auto"/>
              <w:left w:val="single" w:sz="4" w:space="0" w:color="auto"/>
              <w:right w:val="single" w:sz="4" w:space="0" w:color="auto"/>
            </w:tcBorders>
            <w:shd w:val="clear" w:color="auto" w:fill="auto"/>
            <w:vAlign w:val="center"/>
          </w:tcPr>
          <w:p w14:paraId="014E45D7"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J, raportet e projektit, sistemi i monitorimit</w:t>
            </w:r>
          </w:p>
        </w:tc>
      </w:tr>
      <w:tr w:rsidR="000D306C" w:rsidRPr="00A90756" w14:paraId="014E45E0" w14:textId="77777777" w:rsidTr="000D306C">
        <w:trPr>
          <w:trHeight w:val="20"/>
          <w:jc w:val="center"/>
        </w:trPr>
        <w:tc>
          <w:tcPr>
            <w:tcW w:w="655" w:type="pct"/>
            <w:vMerge/>
            <w:tcBorders>
              <w:left w:val="single" w:sz="4" w:space="0" w:color="auto"/>
            </w:tcBorders>
            <w:shd w:val="clear" w:color="auto" w:fill="auto"/>
          </w:tcPr>
          <w:p w14:paraId="014E45D9"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5DA"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tcPr>
          <w:p w14:paraId="014E45DB"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DDECF3"/>
            <w:vAlign w:val="bottom"/>
          </w:tcPr>
          <w:p w14:paraId="014E45DC"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u w:val="single"/>
              </w:rPr>
              <w:t>Prodhimi</w:t>
            </w:r>
          </w:p>
        </w:tc>
        <w:tc>
          <w:tcPr>
            <w:tcW w:w="438" w:type="pct"/>
            <w:tcBorders>
              <w:top w:val="single" w:sz="4" w:space="0" w:color="auto"/>
              <w:left w:val="single" w:sz="4" w:space="0" w:color="auto"/>
            </w:tcBorders>
            <w:shd w:val="clear" w:color="auto" w:fill="DDECF3"/>
            <w:vAlign w:val="center"/>
          </w:tcPr>
          <w:p w14:paraId="014E45DD" w14:textId="77777777" w:rsidR="000D306C" w:rsidRPr="00A90756" w:rsidRDefault="000D306C" w:rsidP="000D306C">
            <w:pPr>
              <w:spacing w:after="0" w:line="240" w:lineRule="auto"/>
              <w:jc w:val="center"/>
              <w:rPr>
                <w:rFonts w:ascii="Garamond" w:hAnsi="Garamond"/>
                <w:sz w:val="16"/>
                <w:szCs w:val="16"/>
              </w:rPr>
            </w:pPr>
          </w:p>
        </w:tc>
        <w:tc>
          <w:tcPr>
            <w:tcW w:w="396" w:type="pct"/>
            <w:tcBorders>
              <w:top w:val="single" w:sz="4" w:space="0" w:color="auto"/>
              <w:left w:val="single" w:sz="4" w:space="0" w:color="auto"/>
            </w:tcBorders>
            <w:shd w:val="clear" w:color="auto" w:fill="DDECF3"/>
            <w:vAlign w:val="center"/>
          </w:tcPr>
          <w:p w14:paraId="014E45DE" w14:textId="77777777" w:rsidR="000D306C" w:rsidRPr="00A90756" w:rsidRDefault="000D306C" w:rsidP="000D306C">
            <w:pPr>
              <w:spacing w:after="0" w:line="240" w:lineRule="auto"/>
              <w:jc w:val="center"/>
              <w:rPr>
                <w:rFonts w:ascii="Garamond" w:hAnsi="Garamond"/>
                <w:sz w:val="16"/>
                <w:szCs w:val="16"/>
              </w:rPr>
            </w:pPr>
          </w:p>
        </w:tc>
        <w:tc>
          <w:tcPr>
            <w:tcW w:w="644" w:type="pct"/>
            <w:tcBorders>
              <w:top w:val="single" w:sz="4" w:space="0" w:color="auto"/>
              <w:left w:val="single" w:sz="4" w:space="0" w:color="auto"/>
              <w:right w:val="single" w:sz="4" w:space="0" w:color="auto"/>
            </w:tcBorders>
            <w:shd w:val="clear" w:color="auto" w:fill="DDECF3"/>
            <w:vAlign w:val="center"/>
          </w:tcPr>
          <w:p w14:paraId="014E45DF" w14:textId="77777777" w:rsidR="000D306C" w:rsidRPr="00A90756" w:rsidRDefault="000D306C" w:rsidP="000D306C">
            <w:pPr>
              <w:spacing w:after="0" w:line="240" w:lineRule="auto"/>
              <w:rPr>
                <w:rFonts w:ascii="Garamond" w:hAnsi="Garamond"/>
                <w:sz w:val="16"/>
                <w:szCs w:val="16"/>
              </w:rPr>
            </w:pPr>
          </w:p>
        </w:tc>
      </w:tr>
      <w:tr w:rsidR="000D306C" w:rsidRPr="00A90756" w14:paraId="014E45EC" w14:textId="77777777" w:rsidTr="000D306C">
        <w:trPr>
          <w:trHeight w:val="20"/>
          <w:jc w:val="center"/>
        </w:trPr>
        <w:tc>
          <w:tcPr>
            <w:tcW w:w="655" w:type="pct"/>
            <w:vMerge/>
            <w:tcBorders>
              <w:left w:val="single" w:sz="4" w:space="0" w:color="auto"/>
            </w:tcBorders>
            <w:shd w:val="clear" w:color="auto" w:fill="auto"/>
          </w:tcPr>
          <w:p w14:paraId="014E45E1"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5E2"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tcPr>
          <w:p w14:paraId="014E45E3"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auto"/>
            <w:vAlign w:val="bottom"/>
          </w:tcPr>
          <w:p w14:paraId="014E45E4" w14:textId="77777777" w:rsidR="000D306C" w:rsidRPr="00A90756" w:rsidRDefault="000D306C" w:rsidP="000D306C">
            <w:pPr>
              <w:pStyle w:val="Other10"/>
              <w:tabs>
                <w:tab w:val="left" w:pos="950"/>
                <w:tab w:val="left" w:pos="1435"/>
              </w:tabs>
              <w:spacing w:after="0"/>
              <w:jc w:val="both"/>
              <w:rPr>
                <w:rFonts w:ascii="Garamond" w:hAnsi="Garamond"/>
                <w:sz w:val="16"/>
                <w:szCs w:val="16"/>
              </w:rPr>
            </w:pPr>
            <w:r w:rsidRPr="00A90756">
              <w:rPr>
                <w:rStyle w:val="Other1"/>
                <w:rFonts w:ascii="Garamond" w:hAnsi="Garamond"/>
                <w:sz w:val="16"/>
                <w:szCs w:val="16"/>
              </w:rPr>
              <w:t>Numri</w:t>
            </w:r>
            <w:r w:rsidRPr="00A90756">
              <w:rPr>
                <w:rStyle w:val="Other1"/>
                <w:rFonts w:ascii="Garamond" w:hAnsi="Garamond"/>
                <w:sz w:val="16"/>
                <w:szCs w:val="16"/>
              </w:rPr>
              <w:tab/>
              <w:t>të</w:t>
            </w:r>
            <w:r w:rsidRPr="00A90756">
              <w:rPr>
                <w:rStyle w:val="Other1"/>
                <w:rFonts w:ascii="Garamond" w:hAnsi="Garamond"/>
                <w:sz w:val="16"/>
                <w:szCs w:val="16"/>
              </w:rPr>
              <w:tab/>
              <w:t>Kapaciteti</w:t>
            </w:r>
          </w:p>
          <w:p w14:paraId="014E45E5" w14:textId="77777777" w:rsidR="000D306C" w:rsidRPr="00A90756" w:rsidRDefault="000D306C" w:rsidP="000D306C">
            <w:pPr>
              <w:pStyle w:val="Other10"/>
              <w:tabs>
                <w:tab w:val="left" w:pos="984"/>
                <w:tab w:val="left" w:pos="1872"/>
              </w:tabs>
              <w:spacing w:after="0"/>
              <w:jc w:val="both"/>
              <w:rPr>
                <w:rFonts w:ascii="Garamond" w:hAnsi="Garamond"/>
                <w:sz w:val="16"/>
                <w:szCs w:val="16"/>
              </w:rPr>
            </w:pPr>
            <w:r w:rsidRPr="00A90756">
              <w:rPr>
                <w:rStyle w:val="Other1"/>
                <w:rFonts w:ascii="Garamond" w:hAnsi="Garamond"/>
                <w:sz w:val="16"/>
                <w:szCs w:val="16"/>
              </w:rPr>
              <w:t>ndërtesë</w:t>
            </w:r>
            <w:r w:rsidRPr="00A90756">
              <w:rPr>
                <w:rStyle w:val="Other1"/>
                <w:rFonts w:ascii="Garamond" w:hAnsi="Garamond"/>
                <w:sz w:val="16"/>
                <w:szCs w:val="16"/>
              </w:rPr>
              <w:tab/>
              <w:t>ngjarjet</w:t>
            </w:r>
            <w:r w:rsidRPr="00A90756">
              <w:rPr>
                <w:rStyle w:val="Other1"/>
                <w:rFonts w:ascii="Garamond" w:hAnsi="Garamond"/>
                <w:sz w:val="16"/>
                <w:szCs w:val="16"/>
              </w:rPr>
              <w:tab/>
              <w:t>Për</w:t>
            </w:r>
          </w:p>
          <w:p w14:paraId="014E45E6" w14:textId="77777777" w:rsidR="000D306C" w:rsidRPr="00A90756" w:rsidRDefault="000D306C" w:rsidP="000D306C">
            <w:pPr>
              <w:pStyle w:val="Other10"/>
              <w:tabs>
                <w:tab w:val="left" w:pos="1805"/>
              </w:tabs>
              <w:spacing w:after="0"/>
              <w:jc w:val="both"/>
              <w:rPr>
                <w:rFonts w:ascii="Garamond" w:hAnsi="Garamond"/>
                <w:sz w:val="16"/>
                <w:szCs w:val="16"/>
              </w:rPr>
            </w:pPr>
            <w:r w:rsidRPr="00A90756">
              <w:rPr>
                <w:rStyle w:val="Other1"/>
                <w:rFonts w:ascii="Garamond" w:hAnsi="Garamond"/>
                <w:sz w:val="16"/>
                <w:szCs w:val="16"/>
              </w:rPr>
              <w:t>aplikantët e mundshëm, përfituesit e granteve</w:t>
            </w:r>
            <w:r w:rsidRPr="00A90756">
              <w:rPr>
                <w:rStyle w:val="Other1"/>
                <w:rFonts w:ascii="Garamond" w:hAnsi="Garamond"/>
                <w:sz w:val="16"/>
                <w:szCs w:val="16"/>
              </w:rPr>
              <w:tab/>
              <w:t>dhe</w:t>
            </w:r>
          </w:p>
          <w:p w14:paraId="014E45E7" w14:textId="0677AC2D" w:rsidR="000D306C" w:rsidRPr="00A90756" w:rsidRDefault="000D306C" w:rsidP="000D306C">
            <w:pPr>
              <w:pStyle w:val="Other10"/>
              <w:tabs>
                <w:tab w:val="left" w:pos="1229"/>
              </w:tabs>
              <w:spacing w:after="0"/>
              <w:jc w:val="both"/>
              <w:rPr>
                <w:rFonts w:ascii="Garamond" w:hAnsi="Garamond"/>
                <w:sz w:val="16"/>
                <w:szCs w:val="16"/>
              </w:rPr>
            </w:pPr>
            <w:r w:rsidRPr="00A90756">
              <w:rPr>
                <w:rStyle w:val="Other1"/>
                <w:rFonts w:ascii="Garamond" w:hAnsi="Garamond"/>
                <w:sz w:val="16"/>
                <w:szCs w:val="16"/>
              </w:rPr>
              <w:t>program struktura</w:t>
            </w:r>
            <w:r w:rsidR="00292D5B" w:rsidRPr="00A90756">
              <w:rPr>
                <w:rStyle w:val="Other1"/>
                <w:rFonts w:ascii="Garamond" w:hAnsi="Garamond"/>
                <w:sz w:val="16"/>
                <w:szCs w:val="16"/>
              </w:rPr>
              <w:t>’</w:t>
            </w:r>
          </w:p>
          <w:p w14:paraId="014E45E8"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punonjësit</w:t>
            </w:r>
          </w:p>
        </w:tc>
        <w:tc>
          <w:tcPr>
            <w:tcW w:w="438" w:type="pct"/>
            <w:tcBorders>
              <w:top w:val="single" w:sz="4" w:space="0" w:color="auto"/>
              <w:left w:val="single" w:sz="4" w:space="0" w:color="auto"/>
            </w:tcBorders>
            <w:shd w:val="clear" w:color="auto" w:fill="auto"/>
            <w:vAlign w:val="center"/>
          </w:tcPr>
          <w:p w14:paraId="014E45E9"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36</w:t>
            </w:r>
          </w:p>
        </w:tc>
        <w:tc>
          <w:tcPr>
            <w:tcW w:w="396" w:type="pct"/>
            <w:tcBorders>
              <w:top w:val="single" w:sz="4" w:space="0" w:color="auto"/>
              <w:left w:val="single" w:sz="4" w:space="0" w:color="auto"/>
            </w:tcBorders>
            <w:shd w:val="clear" w:color="auto" w:fill="auto"/>
            <w:vAlign w:val="center"/>
          </w:tcPr>
          <w:p w14:paraId="014E45E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70</w:t>
            </w:r>
          </w:p>
        </w:tc>
        <w:tc>
          <w:tcPr>
            <w:tcW w:w="644" w:type="pct"/>
            <w:tcBorders>
              <w:top w:val="single" w:sz="4" w:space="0" w:color="auto"/>
              <w:left w:val="single" w:sz="4" w:space="0" w:color="auto"/>
              <w:right w:val="single" w:sz="4" w:space="0" w:color="auto"/>
            </w:tcBorders>
            <w:shd w:val="clear" w:color="auto" w:fill="auto"/>
            <w:vAlign w:val="center"/>
          </w:tcPr>
          <w:p w14:paraId="014E45EB"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raportet e projektit Sistemi i monitorimit</w:t>
            </w:r>
          </w:p>
        </w:tc>
      </w:tr>
      <w:tr w:rsidR="000D306C" w:rsidRPr="00A90756" w14:paraId="014E45F4" w14:textId="77777777" w:rsidTr="000D306C">
        <w:trPr>
          <w:trHeight w:val="20"/>
          <w:jc w:val="center"/>
        </w:trPr>
        <w:tc>
          <w:tcPr>
            <w:tcW w:w="655" w:type="pct"/>
            <w:vMerge/>
            <w:tcBorders>
              <w:left w:val="single" w:sz="4" w:space="0" w:color="auto"/>
            </w:tcBorders>
            <w:shd w:val="clear" w:color="auto" w:fill="auto"/>
          </w:tcPr>
          <w:p w14:paraId="014E45ED"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5EE"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tcPr>
          <w:p w14:paraId="014E45EF"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auto"/>
            <w:vAlign w:val="bottom"/>
          </w:tcPr>
          <w:p w14:paraId="014E45F0" w14:textId="77777777" w:rsidR="000D306C" w:rsidRPr="00A90756" w:rsidRDefault="000D306C" w:rsidP="000D306C">
            <w:pPr>
              <w:pStyle w:val="Other10"/>
              <w:tabs>
                <w:tab w:val="left" w:pos="1944"/>
              </w:tabs>
              <w:spacing w:after="0"/>
              <w:jc w:val="both"/>
              <w:rPr>
                <w:rFonts w:ascii="Garamond" w:hAnsi="Garamond"/>
                <w:sz w:val="16"/>
                <w:szCs w:val="16"/>
              </w:rPr>
            </w:pPr>
            <w:r w:rsidRPr="00A90756">
              <w:rPr>
                <w:rStyle w:val="Other1"/>
                <w:rFonts w:ascii="Garamond" w:hAnsi="Garamond"/>
                <w:sz w:val="16"/>
                <w:szCs w:val="16"/>
              </w:rPr>
              <w:t>Numri të manuale ose doracakë të brendshëm/të jashtëm të përgatitur</w:t>
            </w:r>
          </w:p>
        </w:tc>
        <w:tc>
          <w:tcPr>
            <w:tcW w:w="438" w:type="pct"/>
            <w:tcBorders>
              <w:top w:val="single" w:sz="4" w:space="0" w:color="auto"/>
              <w:left w:val="single" w:sz="4" w:space="0" w:color="auto"/>
            </w:tcBorders>
            <w:shd w:val="clear" w:color="auto" w:fill="auto"/>
            <w:vAlign w:val="center"/>
          </w:tcPr>
          <w:p w14:paraId="014E45F1"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4</w:t>
            </w:r>
          </w:p>
        </w:tc>
        <w:tc>
          <w:tcPr>
            <w:tcW w:w="396" w:type="pct"/>
            <w:tcBorders>
              <w:top w:val="single" w:sz="4" w:space="0" w:color="auto"/>
              <w:left w:val="single" w:sz="4" w:space="0" w:color="auto"/>
            </w:tcBorders>
            <w:shd w:val="clear" w:color="auto" w:fill="auto"/>
            <w:vAlign w:val="center"/>
          </w:tcPr>
          <w:p w14:paraId="014E45F2"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8</w:t>
            </w:r>
          </w:p>
        </w:tc>
        <w:tc>
          <w:tcPr>
            <w:tcW w:w="644" w:type="pct"/>
            <w:tcBorders>
              <w:top w:val="single" w:sz="4" w:space="0" w:color="auto"/>
              <w:left w:val="single" w:sz="4" w:space="0" w:color="auto"/>
              <w:right w:val="single" w:sz="4" w:space="0" w:color="auto"/>
            </w:tcBorders>
            <w:shd w:val="clear" w:color="auto" w:fill="auto"/>
            <w:vAlign w:val="center"/>
          </w:tcPr>
          <w:p w14:paraId="014E45F3"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xml:space="preserve"> dhe raporte të tjera</w:t>
            </w:r>
          </w:p>
        </w:tc>
      </w:tr>
      <w:tr w:rsidR="000D306C" w:rsidRPr="00A90756" w14:paraId="014E45FC" w14:textId="77777777" w:rsidTr="000D306C">
        <w:trPr>
          <w:trHeight w:val="20"/>
          <w:jc w:val="center"/>
        </w:trPr>
        <w:tc>
          <w:tcPr>
            <w:tcW w:w="655" w:type="pct"/>
            <w:vMerge/>
            <w:tcBorders>
              <w:left w:val="single" w:sz="4" w:space="0" w:color="auto"/>
            </w:tcBorders>
            <w:shd w:val="clear" w:color="auto" w:fill="auto"/>
          </w:tcPr>
          <w:p w14:paraId="014E45F5"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5F6"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tcPr>
          <w:p w14:paraId="014E45F7"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auto"/>
          </w:tcPr>
          <w:p w14:paraId="014E45F8" w14:textId="77777777" w:rsidR="000D306C" w:rsidRPr="00A90756" w:rsidRDefault="000D306C" w:rsidP="000D306C">
            <w:pPr>
              <w:pStyle w:val="Other10"/>
              <w:tabs>
                <w:tab w:val="left" w:pos="1104"/>
              </w:tabs>
              <w:spacing w:after="0"/>
              <w:jc w:val="both"/>
              <w:rPr>
                <w:rFonts w:ascii="Garamond" w:hAnsi="Garamond"/>
                <w:sz w:val="16"/>
                <w:szCs w:val="16"/>
              </w:rPr>
            </w:pPr>
            <w:r w:rsidRPr="00A90756">
              <w:rPr>
                <w:rStyle w:val="Other1"/>
                <w:rFonts w:ascii="Garamond" w:hAnsi="Garamond"/>
                <w:sz w:val="16"/>
                <w:szCs w:val="16"/>
              </w:rPr>
              <w:t>Numri i pyetjeve për të cilat përfituesit e granteve kanë marrë përgjigje</w:t>
            </w:r>
          </w:p>
        </w:tc>
        <w:tc>
          <w:tcPr>
            <w:tcW w:w="438" w:type="pct"/>
            <w:tcBorders>
              <w:top w:val="single" w:sz="4" w:space="0" w:color="auto"/>
              <w:left w:val="single" w:sz="4" w:space="0" w:color="auto"/>
            </w:tcBorders>
            <w:shd w:val="clear" w:color="auto" w:fill="auto"/>
            <w:vAlign w:val="center"/>
          </w:tcPr>
          <w:p w14:paraId="014E45F9"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1132</w:t>
            </w:r>
          </w:p>
        </w:tc>
        <w:tc>
          <w:tcPr>
            <w:tcW w:w="396" w:type="pct"/>
            <w:tcBorders>
              <w:top w:val="single" w:sz="4" w:space="0" w:color="auto"/>
              <w:left w:val="single" w:sz="4" w:space="0" w:color="auto"/>
            </w:tcBorders>
            <w:shd w:val="clear" w:color="auto" w:fill="auto"/>
            <w:vAlign w:val="center"/>
          </w:tcPr>
          <w:p w14:paraId="014E45F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2200</w:t>
            </w:r>
          </w:p>
        </w:tc>
        <w:tc>
          <w:tcPr>
            <w:tcW w:w="644" w:type="pct"/>
            <w:tcBorders>
              <w:top w:val="single" w:sz="4" w:space="0" w:color="auto"/>
              <w:left w:val="single" w:sz="4" w:space="0" w:color="auto"/>
              <w:right w:val="single" w:sz="4" w:space="0" w:color="auto"/>
            </w:tcBorders>
            <w:shd w:val="clear" w:color="auto" w:fill="auto"/>
            <w:vAlign w:val="center"/>
          </w:tcPr>
          <w:p w14:paraId="014E45FB"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xml:space="preserve"> dhe raporte të tjera R</w:t>
            </w:r>
          </w:p>
        </w:tc>
      </w:tr>
      <w:tr w:rsidR="000D306C" w:rsidRPr="00A90756" w14:paraId="014E4606" w14:textId="77777777" w:rsidTr="000D306C">
        <w:trPr>
          <w:trHeight w:val="20"/>
          <w:jc w:val="center"/>
        </w:trPr>
        <w:tc>
          <w:tcPr>
            <w:tcW w:w="655" w:type="pct"/>
            <w:vMerge/>
            <w:tcBorders>
              <w:left w:val="single" w:sz="4" w:space="0" w:color="auto"/>
            </w:tcBorders>
            <w:shd w:val="clear" w:color="auto" w:fill="auto"/>
          </w:tcPr>
          <w:p w14:paraId="014E45FD" w14:textId="77777777" w:rsidR="000D306C" w:rsidRPr="00A90756" w:rsidRDefault="000D306C" w:rsidP="000D306C">
            <w:pPr>
              <w:spacing w:after="0" w:line="240" w:lineRule="auto"/>
              <w:rPr>
                <w:rFonts w:ascii="Garamond" w:hAnsi="Garamond"/>
                <w:sz w:val="16"/>
                <w:szCs w:val="16"/>
              </w:rPr>
            </w:pPr>
          </w:p>
        </w:tc>
        <w:tc>
          <w:tcPr>
            <w:tcW w:w="568" w:type="pct"/>
            <w:vMerge w:val="restart"/>
            <w:tcBorders>
              <w:top w:val="single" w:sz="4" w:space="0" w:color="auto"/>
              <w:left w:val="single" w:sz="4" w:space="0" w:color="auto"/>
            </w:tcBorders>
            <w:shd w:val="clear" w:color="auto" w:fill="auto"/>
          </w:tcPr>
          <w:p w14:paraId="014E45FE" w14:textId="77777777" w:rsidR="000D306C" w:rsidRPr="00A90756" w:rsidRDefault="000D306C" w:rsidP="000D306C">
            <w:pPr>
              <w:pStyle w:val="Other10"/>
              <w:tabs>
                <w:tab w:val="left" w:pos="619"/>
              </w:tabs>
              <w:spacing w:after="0"/>
              <w:rPr>
                <w:rFonts w:ascii="Garamond" w:hAnsi="Garamond"/>
                <w:sz w:val="16"/>
                <w:szCs w:val="16"/>
              </w:rPr>
            </w:pPr>
            <w:r w:rsidRPr="00A90756">
              <w:rPr>
                <w:rStyle w:val="Other1"/>
                <w:rFonts w:ascii="Garamond" w:hAnsi="Garamond"/>
                <w:sz w:val="16"/>
                <w:szCs w:val="16"/>
              </w:rPr>
              <w:t>0.1.3</w:t>
            </w:r>
            <w:r w:rsidRPr="00A90756">
              <w:rPr>
                <w:rStyle w:val="Other1"/>
                <w:rFonts w:ascii="Garamond" w:hAnsi="Garamond"/>
                <w:sz w:val="16"/>
                <w:szCs w:val="16"/>
              </w:rPr>
              <w:tab/>
              <w:t>vitin</w:t>
            </w:r>
          </w:p>
          <w:p w14:paraId="014E45FF" w14:textId="77777777" w:rsidR="000D306C" w:rsidRPr="00A90756" w:rsidRDefault="000D306C" w:rsidP="000D306C">
            <w:pPr>
              <w:pStyle w:val="Other10"/>
              <w:tabs>
                <w:tab w:val="left" w:pos="269"/>
                <w:tab w:val="left" w:pos="744"/>
              </w:tabs>
              <w:spacing w:after="0"/>
              <w:rPr>
                <w:rFonts w:ascii="Garamond" w:hAnsi="Garamond"/>
                <w:sz w:val="16"/>
                <w:szCs w:val="16"/>
              </w:rPr>
            </w:pPr>
            <w:r w:rsidRPr="00A90756">
              <w:rPr>
                <w:rStyle w:val="Other1"/>
                <w:rFonts w:ascii="Garamond" w:hAnsi="Garamond"/>
                <w:sz w:val="16"/>
                <w:szCs w:val="16"/>
              </w:rPr>
              <w:t>dukshmëria e programit e dhe e saj</w:t>
            </w:r>
          </w:p>
          <w:p w14:paraId="014E4600"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rezultatet janë të garantuara</w:t>
            </w:r>
          </w:p>
        </w:tc>
        <w:tc>
          <w:tcPr>
            <w:tcW w:w="1157" w:type="pct"/>
            <w:vMerge w:val="restart"/>
            <w:tcBorders>
              <w:top w:val="single" w:sz="4" w:space="0" w:color="auto"/>
              <w:left w:val="single" w:sz="4" w:space="0" w:color="auto"/>
            </w:tcBorders>
            <w:shd w:val="clear" w:color="auto" w:fill="auto"/>
            <w:vAlign w:val="center"/>
          </w:tcPr>
          <w:p w14:paraId="014E4601" w14:textId="30A33B05" w:rsidR="000D306C" w:rsidRPr="00A90756" w:rsidRDefault="000D306C" w:rsidP="000D306C">
            <w:pPr>
              <w:pStyle w:val="Other10"/>
              <w:spacing w:after="0"/>
              <w:rPr>
                <w:rFonts w:ascii="Garamond" w:hAnsi="Garamond"/>
                <w:sz w:val="16"/>
                <w:szCs w:val="16"/>
              </w:rPr>
            </w:pPr>
            <w:r w:rsidRPr="00A90756">
              <w:rPr>
                <w:rStyle w:val="Other1"/>
                <w:rFonts w:ascii="Garamond" w:eastAsia="Times New Roman" w:hAnsi="Garamond" w:cs="Times New Roman"/>
                <w:sz w:val="16"/>
                <w:szCs w:val="16"/>
              </w:rPr>
              <w:t>-</w:t>
            </w:r>
            <w:r w:rsidRPr="00A90756">
              <w:rPr>
                <w:rStyle w:val="Other1"/>
                <w:rFonts w:ascii="Garamond" w:hAnsi="Garamond"/>
                <w:sz w:val="16"/>
                <w:szCs w:val="16"/>
              </w:rPr>
              <w:t xml:space="preserve"> Informimi dhe publiciteti, duke përfshirë edhe përgatitjen, miratimin dhe rishikimin sistematik të planit të vizibilitetit dhe komunikimit, shpërndarjen (ditët informuese, mësimet e nxjerra, studimet më të mira të rasteve, artikujt dhe publikimet e shtypit), aktivitetet promocionale dhe artikujt e printuar, zhvillimi i mjeteve të komunikimit, mirëmbajtja, përditësimi dhe përmirësimi i faqes së internetit të programit etj.</w:t>
            </w:r>
          </w:p>
        </w:tc>
        <w:tc>
          <w:tcPr>
            <w:tcW w:w="1142" w:type="pct"/>
            <w:gridSpan w:val="2"/>
            <w:tcBorders>
              <w:top w:val="single" w:sz="4" w:space="0" w:color="auto"/>
              <w:left w:val="single" w:sz="4" w:space="0" w:color="auto"/>
            </w:tcBorders>
            <w:shd w:val="clear" w:color="auto" w:fill="DDECF3"/>
            <w:vAlign w:val="center"/>
          </w:tcPr>
          <w:p w14:paraId="014E4602"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u w:val="single"/>
              </w:rPr>
              <w:t>Rezultati</w:t>
            </w:r>
          </w:p>
        </w:tc>
        <w:tc>
          <w:tcPr>
            <w:tcW w:w="438" w:type="pct"/>
            <w:tcBorders>
              <w:top w:val="single" w:sz="4" w:space="0" w:color="auto"/>
              <w:left w:val="single" w:sz="4" w:space="0" w:color="auto"/>
            </w:tcBorders>
            <w:shd w:val="clear" w:color="auto" w:fill="DDECF3"/>
            <w:vAlign w:val="center"/>
          </w:tcPr>
          <w:p w14:paraId="014E4603" w14:textId="77777777" w:rsidR="000D306C" w:rsidRPr="00A90756" w:rsidRDefault="000D306C" w:rsidP="000D306C">
            <w:pPr>
              <w:spacing w:after="0" w:line="240" w:lineRule="auto"/>
              <w:jc w:val="center"/>
              <w:rPr>
                <w:rFonts w:ascii="Garamond" w:hAnsi="Garamond"/>
                <w:sz w:val="16"/>
                <w:szCs w:val="16"/>
              </w:rPr>
            </w:pPr>
          </w:p>
        </w:tc>
        <w:tc>
          <w:tcPr>
            <w:tcW w:w="396" w:type="pct"/>
            <w:tcBorders>
              <w:top w:val="single" w:sz="4" w:space="0" w:color="auto"/>
              <w:left w:val="single" w:sz="4" w:space="0" w:color="auto"/>
            </w:tcBorders>
            <w:shd w:val="clear" w:color="auto" w:fill="DDECF3"/>
            <w:vAlign w:val="center"/>
          </w:tcPr>
          <w:p w14:paraId="014E4604" w14:textId="77777777" w:rsidR="000D306C" w:rsidRPr="00A90756" w:rsidRDefault="000D306C" w:rsidP="000D306C">
            <w:pPr>
              <w:spacing w:after="0" w:line="240" w:lineRule="auto"/>
              <w:jc w:val="center"/>
              <w:rPr>
                <w:rFonts w:ascii="Garamond" w:hAnsi="Garamond"/>
                <w:sz w:val="16"/>
                <w:szCs w:val="16"/>
              </w:rPr>
            </w:pPr>
          </w:p>
        </w:tc>
        <w:tc>
          <w:tcPr>
            <w:tcW w:w="644" w:type="pct"/>
            <w:tcBorders>
              <w:top w:val="single" w:sz="4" w:space="0" w:color="auto"/>
              <w:left w:val="single" w:sz="4" w:space="0" w:color="auto"/>
              <w:right w:val="single" w:sz="4" w:space="0" w:color="auto"/>
            </w:tcBorders>
            <w:shd w:val="clear" w:color="auto" w:fill="DDECF3"/>
            <w:vAlign w:val="center"/>
          </w:tcPr>
          <w:p w14:paraId="014E4605" w14:textId="77777777" w:rsidR="000D306C" w:rsidRPr="00A90756" w:rsidRDefault="000D306C" w:rsidP="000D306C">
            <w:pPr>
              <w:spacing w:after="0" w:line="240" w:lineRule="auto"/>
              <w:rPr>
                <w:rFonts w:ascii="Garamond" w:hAnsi="Garamond"/>
                <w:sz w:val="16"/>
                <w:szCs w:val="16"/>
              </w:rPr>
            </w:pPr>
          </w:p>
        </w:tc>
      </w:tr>
      <w:tr w:rsidR="000D306C" w:rsidRPr="00A90756" w14:paraId="014E460E" w14:textId="77777777" w:rsidTr="000D306C">
        <w:trPr>
          <w:trHeight w:val="20"/>
          <w:jc w:val="center"/>
        </w:trPr>
        <w:tc>
          <w:tcPr>
            <w:tcW w:w="655" w:type="pct"/>
            <w:vMerge/>
            <w:tcBorders>
              <w:left w:val="single" w:sz="4" w:space="0" w:color="auto"/>
            </w:tcBorders>
            <w:shd w:val="clear" w:color="auto" w:fill="auto"/>
          </w:tcPr>
          <w:p w14:paraId="014E4607"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608"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vAlign w:val="center"/>
          </w:tcPr>
          <w:p w14:paraId="014E4609"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auto"/>
            <w:vAlign w:val="bottom"/>
          </w:tcPr>
          <w:p w14:paraId="014E460A"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Numri i personave të arritur nga fushatat informuese /promovuese</w:t>
            </w:r>
          </w:p>
        </w:tc>
        <w:tc>
          <w:tcPr>
            <w:tcW w:w="438" w:type="pct"/>
            <w:tcBorders>
              <w:top w:val="single" w:sz="4" w:space="0" w:color="auto"/>
              <w:left w:val="single" w:sz="4" w:space="0" w:color="auto"/>
            </w:tcBorders>
            <w:shd w:val="clear" w:color="auto" w:fill="auto"/>
            <w:vAlign w:val="center"/>
          </w:tcPr>
          <w:p w14:paraId="014E460B"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3000</w:t>
            </w:r>
          </w:p>
        </w:tc>
        <w:tc>
          <w:tcPr>
            <w:tcW w:w="396" w:type="pct"/>
            <w:tcBorders>
              <w:top w:val="single" w:sz="4" w:space="0" w:color="auto"/>
              <w:left w:val="single" w:sz="4" w:space="0" w:color="auto"/>
            </w:tcBorders>
            <w:shd w:val="clear" w:color="auto" w:fill="auto"/>
            <w:vAlign w:val="center"/>
          </w:tcPr>
          <w:p w14:paraId="014E460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6000</w:t>
            </w:r>
          </w:p>
        </w:tc>
        <w:tc>
          <w:tcPr>
            <w:tcW w:w="644" w:type="pct"/>
            <w:tcBorders>
              <w:top w:val="single" w:sz="4" w:space="0" w:color="auto"/>
              <w:left w:val="single" w:sz="4" w:space="0" w:color="auto"/>
              <w:right w:val="single" w:sz="4" w:space="0" w:color="auto"/>
            </w:tcBorders>
            <w:shd w:val="clear" w:color="auto" w:fill="auto"/>
            <w:vAlign w:val="center"/>
          </w:tcPr>
          <w:p w14:paraId="014E460D"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xml:space="preserve"> dhe raporte të tjera</w:t>
            </w:r>
          </w:p>
        </w:tc>
      </w:tr>
      <w:tr w:rsidR="000D306C" w:rsidRPr="00A90756" w14:paraId="014E4616" w14:textId="77777777" w:rsidTr="000D306C">
        <w:trPr>
          <w:trHeight w:val="20"/>
          <w:jc w:val="center"/>
        </w:trPr>
        <w:tc>
          <w:tcPr>
            <w:tcW w:w="655" w:type="pct"/>
            <w:vMerge/>
            <w:tcBorders>
              <w:left w:val="single" w:sz="4" w:space="0" w:color="auto"/>
            </w:tcBorders>
            <w:shd w:val="clear" w:color="auto" w:fill="auto"/>
          </w:tcPr>
          <w:p w14:paraId="014E460F"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610"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vAlign w:val="center"/>
          </w:tcPr>
          <w:p w14:paraId="014E4611"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DDECF3"/>
            <w:vAlign w:val="bottom"/>
          </w:tcPr>
          <w:p w14:paraId="014E4612"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u w:val="single"/>
              </w:rPr>
              <w:t>Produkti</w:t>
            </w:r>
          </w:p>
        </w:tc>
        <w:tc>
          <w:tcPr>
            <w:tcW w:w="438" w:type="pct"/>
            <w:tcBorders>
              <w:top w:val="single" w:sz="4" w:space="0" w:color="auto"/>
              <w:left w:val="single" w:sz="4" w:space="0" w:color="auto"/>
            </w:tcBorders>
            <w:shd w:val="clear" w:color="auto" w:fill="DDECF3"/>
            <w:vAlign w:val="center"/>
          </w:tcPr>
          <w:p w14:paraId="014E4613" w14:textId="77777777" w:rsidR="000D306C" w:rsidRPr="00A90756" w:rsidRDefault="000D306C" w:rsidP="000D306C">
            <w:pPr>
              <w:spacing w:after="0" w:line="240" w:lineRule="auto"/>
              <w:jc w:val="center"/>
              <w:rPr>
                <w:rFonts w:ascii="Garamond" w:hAnsi="Garamond"/>
                <w:sz w:val="16"/>
                <w:szCs w:val="16"/>
              </w:rPr>
            </w:pPr>
          </w:p>
        </w:tc>
        <w:tc>
          <w:tcPr>
            <w:tcW w:w="396" w:type="pct"/>
            <w:tcBorders>
              <w:top w:val="single" w:sz="4" w:space="0" w:color="auto"/>
              <w:left w:val="single" w:sz="4" w:space="0" w:color="auto"/>
            </w:tcBorders>
            <w:shd w:val="clear" w:color="auto" w:fill="DDECF3"/>
            <w:vAlign w:val="center"/>
          </w:tcPr>
          <w:p w14:paraId="014E4614" w14:textId="77777777" w:rsidR="000D306C" w:rsidRPr="00A90756" w:rsidRDefault="000D306C" w:rsidP="000D306C">
            <w:pPr>
              <w:spacing w:after="0" w:line="240" w:lineRule="auto"/>
              <w:jc w:val="center"/>
              <w:rPr>
                <w:rFonts w:ascii="Garamond" w:hAnsi="Garamond"/>
                <w:sz w:val="16"/>
                <w:szCs w:val="16"/>
              </w:rPr>
            </w:pPr>
          </w:p>
        </w:tc>
        <w:tc>
          <w:tcPr>
            <w:tcW w:w="644" w:type="pct"/>
            <w:tcBorders>
              <w:top w:val="single" w:sz="4" w:space="0" w:color="auto"/>
              <w:left w:val="single" w:sz="4" w:space="0" w:color="auto"/>
              <w:right w:val="single" w:sz="4" w:space="0" w:color="auto"/>
            </w:tcBorders>
            <w:shd w:val="clear" w:color="auto" w:fill="DDECF3"/>
          </w:tcPr>
          <w:p w14:paraId="014E4615" w14:textId="77777777" w:rsidR="000D306C" w:rsidRPr="00A90756" w:rsidRDefault="000D306C" w:rsidP="000D306C">
            <w:pPr>
              <w:spacing w:after="0" w:line="240" w:lineRule="auto"/>
              <w:rPr>
                <w:rFonts w:ascii="Garamond" w:hAnsi="Garamond"/>
                <w:sz w:val="16"/>
                <w:szCs w:val="16"/>
              </w:rPr>
            </w:pPr>
          </w:p>
        </w:tc>
      </w:tr>
      <w:tr w:rsidR="000D306C" w:rsidRPr="00A90756" w14:paraId="014E461E" w14:textId="77777777" w:rsidTr="000D306C">
        <w:trPr>
          <w:trHeight w:val="20"/>
          <w:jc w:val="center"/>
        </w:trPr>
        <w:tc>
          <w:tcPr>
            <w:tcW w:w="655" w:type="pct"/>
            <w:vMerge/>
            <w:tcBorders>
              <w:left w:val="single" w:sz="4" w:space="0" w:color="auto"/>
            </w:tcBorders>
            <w:shd w:val="clear" w:color="auto" w:fill="auto"/>
          </w:tcPr>
          <w:p w14:paraId="014E4617"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618"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vAlign w:val="center"/>
          </w:tcPr>
          <w:p w14:paraId="014E4619"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auto"/>
            <w:vAlign w:val="bottom"/>
          </w:tcPr>
          <w:p w14:paraId="014E461A" w14:textId="77777777" w:rsidR="000D306C" w:rsidRPr="00A90756" w:rsidRDefault="000D306C" w:rsidP="000D306C">
            <w:pPr>
              <w:pStyle w:val="Other10"/>
              <w:tabs>
                <w:tab w:val="left" w:pos="1944"/>
              </w:tabs>
              <w:spacing w:after="0"/>
              <w:rPr>
                <w:rFonts w:ascii="Garamond" w:hAnsi="Garamond"/>
                <w:sz w:val="16"/>
                <w:szCs w:val="16"/>
              </w:rPr>
            </w:pPr>
            <w:r w:rsidRPr="00A90756">
              <w:rPr>
                <w:rStyle w:val="Other1"/>
                <w:rFonts w:ascii="Garamond" w:hAnsi="Garamond"/>
                <w:sz w:val="16"/>
                <w:szCs w:val="16"/>
              </w:rPr>
              <w:t>Numri i fushatave të zbatuara informuese/promovuese</w:t>
            </w:r>
          </w:p>
        </w:tc>
        <w:tc>
          <w:tcPr>
            <w:tcW w:w="438" w:type="pct"/>
            <w:tcBorders>
              <w:top w:val="single" w:sz="4" w:space="0" w:color="auto"/>
              <w:left w:val="single" w:sz="4" w:space="0" w:color="auto"/>
            </w:tcBorders>
            <w:shd w:val="clear" w:color="auto" w:fill="auto"/>
            <w:vAlign w:val="center"/>
          </w:tcPr>
          <w:p w14:paraId="014E461B"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6</w:t>
            </w:r>
          </w:p>
        </w:tc>
        <w:tc>
          <w:tcPr>
            <w:tcW w:w="396" w:type="pct"/>
            <w:tcBorders>
              <w:top w:val="single" w:sz="4" w:space="0" w:color="auto"/>
              <w:left w:val="single" w:sz="4" w:space="0" w:color="auto"/>
            </w:tcBorders>
            <w:shd w:val="clear" w:color="auto" w:fill="auto"/>
            <w:vAlign w:val="center"/>
          </w:tcPr>
          <w:p w14:paraId="014E461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12</w:t>
            </w:r>
          </w:p>
        </w:tc>
        <w:tc>
          <w:tcPr>
            <w:tcW w:w="644" w:type="pct"/>
            <w:tcBorders>
              <w:top w:val="single" w:sz="4" w:space="0" w:color="auto"/>
              <w:left w:val="single" w:sz="4" w:space="0" w:color="auto"/>
              <w:right w:val="single" w:sz="4" w:space="0" w:color="auto"/>
            </w:tcBorders>
            <w:shd w:val="clear" w:color="auto" w:fill="auto"/>
            <w:vAlign w:val="center"/>
          </w:tcPr>
          <w:p w14:paraId="014E461D"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xml:space="preserve"> dhe raporte të tjera</w:t>
            </w:r>
          </w:p>
        </w:tc>
      </w:tr>
      <w:tr w:rsidR="000D306C" w:rsidRPr="00A90756" w14:paraId="014E4626" w14:textId="77777777" w:rsidTr="000D306C">
        <w:trPr>
          <w:trHeight w:val="20"/>
          <w:jc w:val="center"/>
        </w:trPr>
        <w:tc>
          <w:tcPr>
            <w:tcW w:w="655" w:type="pct"/>
            <w:vMerge/>
            <w:tcBorders>
              <w:left w:val="single" w:sz="4" w:space="0" w:color="auto"/>
            </w:tcBorders>
            <w:shd w:val="clear" w:color="auto" w:fill="auto"/>
          </w:tcPr>
          <w:p w14:paraId="014E461F"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tcBorders>
            <w:shd w:val="clear" w:color="auto" w:fill="auto"/>
          </w:tcPr>
          <w:p w14:paraId="014E4620"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tcBorders>
            <w:shd w:val="clear" w:color="auto" w:fill="auto"/>
            <w:vAlign w:val="center"/>
          </w:tcPr>
          <w:p w14:paraId="014E4621"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tcBorders>
            <w:shd w:val="clear" w:color="auto" w:fill="auto"/>
            <w:vAlign w:val="bottom"/>
          </w:tcPr>
          <w:p w14:paraId="014E4622" w14:textId="77777777" w:rsidR="000D306C" w:rsidRPr="00A90756" w:rsidRDefault="000D306C" w:rsidP="000D306C">
            <w:pPr>
              <w:pStyle w:val="Other10"/>
              <w:tabs>
                <w:tab w:val="left" w:pos="600"/>
                <w:tab w:val="left" w:pos="1570"/>
              </w:tabs>
              <w:spacing w:after="0"/>
              <w:rPr>
                <w:rFonts w:ascii="Garamond" w:hAnsi="Garamond"/>
                <w:sz w:val="16"/>
                <w:szCs w:val="16"/>
              </w:rPr>
            </w:pPr>
            <w:r w:rsidRPr="00A90756">
              <w:rPr>
                <w:rStyle w:val="Other1"/>
                <w:rFonts w:ascii="Garamond" w:hAnsi="Garamond"/>
                <w:sz w:val="16"/>
                <w:szCs w:val="16"/>
              </w:rPr>
              <w:t>Numri i aktiviteteve të organizuara promocionale dhe të vizibilitetit</w:t>
            </w:r>
          </w:p>
        </w:tc>
        <w:tc>
          <w:tcPr>
            <w:tcW w:w="438" w:type="pct"/>
            <w:tcBorders>
              <w:top w:val="single" w:sz="4" w:space="0" w:color="auto"/>
              <w:left w:val="single" w:sz="4" w:space="0" w:color="auto"/>
            </w:tcBorders>
            <w:shd w:val="clear" w:color="auto" w:fill="auto"/>
            <w:vAlign w:val="center"/>
          </w:tcPr>
          <w:p w14:paraId="014E4623"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36</w:t>
            </w:r>
          </w:p>
        </w:tc>
        <w:tc>
          <w:tcPr>
            <w:tcW w:w="396" w:type="pct"/>
            <w:tcBorders>
              <w:top w:val="single" w:sz="4" w:space="0" w:color="auto"/>
              <w:left w:val="single" w:sz="4" w:space="0" w:color="auto"/>
            </w:tcBorders>
            <w:shd w:val="clear" w:color="auto" w:fill="auto"/>
            <w:vAlign w:val="center"/>
          </w:tcPr>
          <w:p w14:paraId="014E4624"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72</w:t>
            </w:r>
          </w:p>
        </w:tc>
        <w:tc>
          <w:tcPr>
            <w:tcW w:w="644" w:type="pct"/>
            <w:tcBorders>
              <w:top w:val="single" w:sz="4" w:space="0" w:color="auto"/>
              <w:left w:val="single" w:sz="4" w:space="0" w:color="auto"/>
              <w:right w:val="single" w:sz="4" w:space="0" w:color="auto"/>
            </w:tcBorders>
            <w:shd w:val="clear" w:color="auto" w:fill="auto"/>
            <w:vAlign w:val="center"/>
          </w:tcPr>
          <w:p w14:paraId="014E462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sz w:val="16"/>
                <w:szCs w:val="16"/>
              </w:rPr>
              <w:t>RAJ dhe raporte të tjera</w:t>
            </w:r>
          </w:p>
        </w:tc>
      </w:tr>
      <w:tr w:rsidR="000D306C" w:rsidRPr="00A90756" w14:paraId="014E462F" w14:textId="77777777" w:rsidTr="000D306C">
        <w:trPr>
          <w:trHeight w:val="20"/>
          <w:jc w:val="center"/>
        </w:trPr>
        <w:tc>
          <w:tcPr>
            <w:tcW w:w="655" w:type="pct"/>
            <w:vMerge/>
            <w:tcBorders>
              <w:left w:val="single" w:sz="4" w:space="0" w:color="auto"/>
              <w:bottom w:val="single" w:sz="4" w:space="0" w:color="auto"/>
            </w:tcBorders>
            <w:shd w:val="clear" w:color="auto" w:fill="auto"/>
          </w:tcPr>
          <w:p w14:paraId="014E4627" w14:textId="77777777" w:rsidR="000D306C" w:rsidRPr="00A90756" w:rsidRDefault="000D306C" w:rsidP="000D306C">
            <w:pPr>
              <w:spacing w:after="0" w:line="240" w:lineRule="auto"/>
              <w:rPr>
                <w:rFonts w:ascii="Garamond" w:hAnsi="Garamond"/>
                <w:sz w:val="16"/>
                <w:szCs w:val="16"/>
              </w:rPr>
            </w:pPr>
          </w:p>
        </w:tc>
        <w:tc>
          <w:tcPr>
            <w:tcW w:w="568" w:type="pct"/>
            <w:vMerge/>
            <w:tcBorders>
              <w:left w:val="single" w:sz="4" w:space="0" w:color="auto"/>
              <w:bottom w:val="single" w:sz="4" w:space="0" w:color="auto"/>
            </w:tcBorders>
            <w:shd w:val="clear" w:color="auto" w:fill="auto"/>
          </w:tcPr>
          <w:p w14:paraId="014E4628" w14:textId="77777777" w:rsidR="000D306C" w:rsidRPr="00A90756" w:rsidRDefault="000D306C" w:rsidP="000D306C">
            <w:pPr>
              <w:spacing w:after="0" w:line="240" w:lineRule="auto"/>
              <w:rPr>
                <w:rFonts w:ascii="Garamond" w:hAnsi="Garamond"/>
                <w:sz w:val="16"/>
                <w:szCs w:val="16"/>
              </w:rPr>
            </w:pPr>
          </w:p>
        </w:tc>
        <w:tc>
          <w:tcPr>
            <w:tcW w:w="1157" w:type="pct"/>
            <w:vMerge/>
            <w:tcBorders>
              <w:left w:val="single" w:sz="4" w:space="0" w:color="auto"/>
              <w:bottom w:val="single" w:sz="4" w:space="0" w:color="auto"/>
            </w:tcBorders>
            <w:shd w:val="clear" w:color="auto" w:fill="auto"/>
            <w:vAlign w:val="center"/>
          </w:tcPr>
          <w:p w14:paraId="014E4629" w14:textId="77777777" w:rsidR="000D306C" w:rsidRPr="00A90756" w:rsidRDefault="000D306C" w:rsidP="000D306C">
            <w:pPr>
              <w:spacing w:after="0" w:line="240" w:lineRule="auto"/>
              <w:rPr>
                <w:rFonts w:ascii="Garamond" w:hAnsi="Garamond"/>
                <w:sz w:val="16"/>
                <w:szCs w:val="16"/>
              </w:rPr>
            </w:pPr>
          </w:p>
        </w:tc>
        <w:tc>
          <w:tcPr>
            <w:tcW w:w="1142" w:type="pct"/>
            <w:gridSpan w:val="2"/>
            <w:tcBorders>
              <w:top w:val="single" w:sz="4" w:space="0" w:color="auto"/>
              <w:left w:val="single" w:sz="4" w:space="0" w:color="auto"/>
              <w:bottom w:val="single" w:sz="4" w:space="0" w:color="auto"/>
            </w:tcBorders>
            <w:shd w:val="clear" w:color="auto" w:fill="auto"/>
          </w:tcPr>
          <w:p w14:paraId="014E462A" w14:textId="77777777" w:rsidR="000D306C" w:rsidRPr="00A90756" w:rsidRDefault="000D306C" w:rsidP="000D306C">
            <w:pPr>
              <w:pStyle w:val="Other10"/>
              <w:tabs>
                <w:tab w:val="left" w:pos="806"/>
                <w:tab w:val="left" w:pos="1142"/>
              </w:tabs>
              <w:spacing w:after="0"/>
              <w:rPr>
                <w:rStyle w:val="Other1"/>
                <w:rFonts w:ascii="Garamond" w:hAnsi="Garamond"/>
                <w:sz w:val="16"/>
                <w:szCs w:val="16"/>
              </w:rPr>
            </w:pPr>
            <w:r w:rsidRPr="00A90756">
              <w:rPr>
                <w:rStyle w:val="Other1"/>
                <w:rFonts w:ascii="Garamond" w:hAnsi="Garamond"/>
                <w:sz w:val="16"/>
                <w:szCs w:val="16"/>
              </w:rPr>
              <w:t xml:space="preserve">Numri i publikimeve të prodhuara </w:t>
            </w:r>
          </w:p>
          <w:p w14:paraId="014E462B" w14:textId="77777777" w:rsidR="000D306C" w:rsidRPr="00A90756" w:rsidRDefault="000D306C" w:rsidP="000D306C">
            <w:pPr>
              <w:pStyle w:val="Other10"/>
              <w:tabs>
                <w:tab w:val="left" w:pos="1805"/>
              </w:tabs>
              <w:spacing w:after="0"/>
              <w:rPr>
                <w:rFonts w:ascii="Garamond" w:hAnsi="Garamond"/>
                <w:sz w:val="16"/>
                <w:szCs w:val="16"/>
              </w:rPr>
            </w:pPr>
            <w:r w:rsidRPr="00A90756">
              <w:rPr>
                <w:rStyle w:val="Other1"/>
                <w:rFonts w:ascii="Garamond" w:hAnsi="Garamond"/>
                <w:sz w:val="16"/>
                <w:szCs w:val="16"/>
              </w:rPr>
              <w:t>dhe të shpërndara</w:t>
            </w:r>
          </w:p>
        </w:tc>
        <w:tc>
          <w:tcPr>
            <w:tcW w:w="438" w:type="pct"/>
            <w:tcBorders>
              <w:top w:val="single" w:sz="4" w:space="0" w:color="auto"/>
              <w:left w:val="single" w:sz="4" w:space="0" w:color="auto"/>
              <w:bottom w:val="single" w:sz="4" w:space="0" w:color="auto"/>
            </w:tcBorders>
            <w:shd w:val="clear" w:color="auto" w:fill="auto"/>
            <w:vAlign w:val="center"/>
          </w:tcPr>
          <w:p w14:paraId="014E462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10</w:t>
            </w:r>
          </w:p>
        </w:tc>
        <w:tc>
          <w:tcPr>
            <w:tcW w:w="396" w:type="pct"/>
            <w:tcBorders>
              <w:top w:val="single" w:sz="4" w:space="0" w:color="auto"/>
              <w:left w:val="single" w:sz="4" w:space="0" w:color="auto"/>
              <w:bottom w:val="single" w:sz="4" w:space="0" w:color="auto"/>
            </w:tcBorders>
            <w:shd w:val="clear" w:color="auto" w:fill="auto"/>
            <w:vAlign w:val="center"/>
          </w:tcPr>
          <w:p w14:paraId="014E462D"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hAnsi="Garamond"/>
                <w:sz w:val="16"/>
                <w:szCs w:val="16"/>
              </w:rPr>
              <w:t>20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14E462E" w14:textId="77777777" w:rsidR="000D306C" w:rsidRPr="00A90756" w:rsidRDefault="000D306C" w:rsidP="000D306C">
            <w:pPr>
              <w:pStyle w:val="Other10"/>
              <w:spacing w:after="0"/>
              <w:rPr>
                <w:rFonts w:ascii="Garamond" w:hAnsi="Garamond"/>
                <w:sz w:val="16"/>
                <w:szCs w:val="16"/>
              </w:rPr>
            </w:pPr>
            <w:r w:rsidRPr="00A90756">
              <w:rPr>
                <w:rFonts w:ascii="Garamond" w:hAnsi="Garamond"/>
                <w:sz w:val="16"/>
                <w:szCs w:val="16"/>
              </w:rPr>
              <w:t>-Raporti Vjetor i Zbatimit (AIR)</w:t>
            </w:r>
            <w:r w:rsidRPr="00A90756">
              <w:rPr>
                <w:rStyle w:val="Other1"/>
                <w:rFonts w:ascii="Garamond" w:hAnsi="Garamond"/>
                <w:sz w:val="16"/>
                <w:szCs w:val="16"/>
              </w:rPr>
              <w:t xml:space="preserve"> dhe raporte të tjera</w:t>
            </w:r>
          </w:p>
        </w:tc>
      </w:tr>
    </w:tbl>
    <w:p w14:paraId="014E4630" w14:textId="77777777" w:rsidR="000D306C" w:rsidRPr="00A90756" w:rsidRDefault="000D306C" w:rsidP="000D306C">
      <w:pPr>
        <w:ind w:firstLine="284"/>
        <w:rPr>
          <w:rFonts w:ascii="Garamond" w:hAnsi="Garamond"/>
        </w:rPr>
      </w:pPr>
    </w:p>
    <w:p w14:paraId="014E4631" w14:textId="011BFF12" w:rsidR="000D306C" w:rsidRPr="00A90756" w:rsidRDefault="000D306C" w:rsidP="000D306C">
      <w:pPr>
        <w:pStyle w:val="AAAATEXXX"/>
      </w:pPr>
      <w:bookmarkStart w:id="65" w:name="bookmark99"/>
      <w:bookmarkStart w:id="66" w:name="_Toc118696868"/>
      <w:r w:rsidRPr="00A90756">
        <w:rPr>
          <w:rStyle w:val="Heading21"/>
          <w:rFonts w:ascii="Garamond" w:hAnsi="Garamond"/>
          <w:bCs w:val="0"/>
        </w:rPr>
        <w:t>3.3 Çështjet horizontale dhe ndërsektoriale</w:t>
      </w:r>
      <w:bookmarkEnd w:id="65"/>
      <w:bookmarkEnd w:id="66"/>
    </w:p>
    <w:p w14:paraId="014E4632" w14:textId="77777777"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Çështjet ndërsektoriale parashtrohen në disa konventa, deklarata dhe traktate ndërkombëtare mbi zhvillimin që janë të detyrueshme për vendet e BE-së dhe për shumicën e vendeve përfituese. Ato duhet të merren parasysh në të gjitha fazat e ciklit të financimit. Prandaj, në përputhje me objektivat dhe politikat e BE-së, programi do të përfshijë parimet horizontale të partneritetit ndërkufitar, pronësinë lokale dhe mundësitë e barabarta, dhe do të sigurojë që çështjet ndërsektoriale, si p.sh.</w:t>
      </w:r>
      <w:r w:rsidRPr="00A90756">
        <w:rPr>
          <w:rStyle w:val="Bodytext1"/>
          <w:rFonts w:ascii="Garamond" w:hAnsi="Garamond"/>
        </w:rPr>
        <w:softHyphen/>
        <w:t xml:space="preserve"> diskriminimi i grupeve minoritare dhe vulnerabël, pjesëmarrja e organizatave të shoqërisë civile, mbrojtja e mjedisit, të drejtat gjinore dhe mirëqeverisja të respektohen dhe të inkurajohen në hartimin dhe zbatimin e projekteve. Të gjitha çështjet e mësipërme synohen përmes prioriteteve të përzgjedhura të programit.</w:t>
      </w:r>
    </w:p>
    <w:p w14:paraId="014E4633" w14:textId="574EF0BC"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 xml:space="preserve">Korniza aktuale e politikës së kohezionit </w:t>
      </w:r>
      <w:r w:rsidR="001418CE" w:rsidRPr="00A90756">
        <w:rPr>
          <w:rStyle w:val="Bodytext1"/>
          <w:rFonts w:ascii="Garamond" w:hAnsi="Garamond"/>
        </w:rPr>
        <w:t>të</w:t>
      </w:r>
      <w:r w:rsidRPr="00A90756">
        <w:rPr>
          <w:rStyle w:val="Bodytext1"/>
          <w:rFonts w:ascii="Garamond" w:hAnsi="Garamond"/>
        </w:rPr>
        <w:t xml:space="preserve"> BE-së e bën mjedisin dhe zhvillimin e qëndrueshëm një nga temat horizontale që duhet të integrohen në të gjitha prioritetet, masat dhe projektet.</w:t>
      </w:r>
    </w:p>
    <w:p w14:paraId="014E4634" w14:textId="77777777"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BE-ja e ka pranuar vazhdimisht se barazia gjinore është çelësi për arritjen e objektivave të zhvillimit. Për më tepër, barazia gjinore është një prioritet për BE-në. Programi synon turizmin dhe promovimin e trashëgimisë natyrore dhe kulturore, ku në punësim dhe në mundësitë e ndryshme do të merret në konsideratë perspektiva gjinore.</w:t>
      </w:r>
    </w:p>
    <w:p w14:paraId="014E4635" w14:textId="77777777"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b/>
          <w:bCs/>
        </w:rPr>
        <w:t>Barazia gjinore dhe mundësitë e barabarta</w:t>
      </w:r>
    </w:p>
    <w:p w14:paraId="014E4636" w14:textId="762AD624"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 xml:space="preserve">Më 25 nëntor 2020, BE-ja miratoi </w:t>
      </w:r>
      <w:r w:rsidR="00292D5B" w:rsidRPr="00A90756">
        <w:rPr>
          <w:rStyle w:val="Bodytext1"/>
          <w:rFonts w:ascii="Garamond" w:hAnsi="Garamond"/>
        </w:rPr>
        <w:t>‘</w:t>
      </w:r>
      <w:r w:rsidRPr="00A90756">
        <w:rPr>
          <w:rStyle w:val="Bodytext1"/>
          <w:rFonts w:ascii="Garamond" w:hAnsi="Garamond"/>
        </w:rPr>
        <w:t>Komunikatën e Përbashkët për Parlamentin Evropian dhe Këshillin mbi Planin e Veprimit Gjinor të BE-së 2021</w:t>
      </w:r>
      <w:r w:rsidR="005C194A" w:rsidRPr="00A90756">
        <w:rPr>
          <w:rStyle w:val="Bodytext1"/>
          <w:rFonts w:ascii="Garamond" w:hAnsi="Garamond"/>
        </w:rPr>
        <w:t>–</w:t>
      </w:r>
      <w:r w:rsidRPr="00A90756">
        <w:rPr>
          <w:rStyle w:val="Bodytext1"/>
          <w:rFonts w:ascii="Garamond" w:hAnsi="Garamond"/>
        </w:rPr>
        <w:t>2025 (GAP) III</w:t>
      </w:r>
      <w:r w:rsidR="00292D5B" w:rsidRPr="00A90756">
        <w:rPr>
          <w:rStyle w:val="Bodytext1"/>
          <w:rFonts w:ascii="Garamond" w:hAnsi="Garamond"/>
        </w:rPr>
        <w:t>’</w:t>
      </w:r>
      <w:r w:rsidRPr="00A90756">
        <w:rPr>
          <w:rStyle w:val="Bodytext1"/>
          <w:rFonts w:ascii="Garamond" w:hAnsi="Garamond"/>
        </w:rPr>
        <w:t xml:space="preserve">. Ky komunikim e përkufizon barazinë gjinore si </w:t>
      </w:r>
      <w:r w:rsidR="00292D5B" w:rsidRPr="00A90756">
        <w:rPr>
          <w:rStyle w:val="Bodytext1"/>
          <w:rFonts w:ascii="Garamond" w:hAnsi="Garamond"/>
        </w:rPr>
        <w:t>‘</w:t>
      </w:r>
      <w:r w:rsidRPr="00A90756">
        <w:rPr>
          <w:rStyle w:val="Bodytext1"/>
          <w:rFonts w:ascii="Garamond" w:hAnsi="Garamond"/>
        </w:rPr>
        <w:t>një vlerë thelbësore të BE-së dhe një të drejtë të njeriut të njohur botërisht, si dhe një imperativ për mirëqenien, rritjen ekonomike, prosperitetin, mirëqeverisjen, paqen dhe sigurinë. Të gjithë njerëzit, në të gjithë diversitetin e tyre, duhet të jenë të lirë të jetojnë jetën që zgjedhin, të lulëzojnë nga ana sociale dhe ekonomike, të marrin pjesë në të gjitha aspektet e jetë</w:t>
      </w:r>
      <w:r w:rsidR="005C194A" w:rsidRPr="00A90756">
        <w:rPr>
          <w:rStyle w:val="Bodytext1"/>
          <w:rFonts w:ascii="Garamond" w:hAnsi="Garamond"/>
        </w:rPr>
        <w:t>s</w:t>
      </w:r>
      <w:r w:rsidRPr="00A90756">
        <w:rPr>
          <w:rStyle w:val="Bodytext1"/>
          <w:rFonts w:ascii="Garamond" w:hAnsi="Garamond"/>
        </w:rPr>
        <w:t xml:space="preserve"> dhe të udhëheqin si të barabartë.</w:t>
      </w:r>
      <w:r w:rsidR="00292D5B" w:rsidRPr="00A90756">
        <w:rPr>
          <w:rStyle w:val="Bodytext1"/>
          <w:rFonts w:ascii="Garamond" w:hAnsi="Garamond"/>
        </w:rPr>
        <w:t>’</w:t>
      </w:r>
    </w:p>
    <w:p w14:paraId="014E4637" w14:textId="5F1EC795" w:rsidR="000D306C" w:rsidRPr="00A90756" w:rsidRDefault="00AE64AA" w:rsidP="000D306C">
      <w:pPr>
        <w:pStyle w:val="Bodytext10"/>
        <w:spacing w:after="0"/>
        <w:ind w:firstLine="284"/>
        <w:jc w:val="both"/>
        <w:rPr>
          <w:rFonts w:ascii="Garamond" w:hAnsi="Garamond"/>
        </w:rPr>
      </w:pPr>
      <w:r w:rsidRPr="00A90756">
        <w:rPr>
          <w:rStyle w:val="Bodytext1"/>
          <w:rFonts w:ascii="Garamond" w:hAnsi="Garamond"/>
        </w:rPr>
        <w:t>“</w:t>
      </w:r>
      <w:r w:rsidR="000D306C" w:rsidRPr="00A90756">
        <w:rPr>
          <w:rStyle w:val="Bodytext1"/>
          <w:rFonts w:ascii="Garamond" w:hAnsi="Garamond"/>
        </w:rPr>
        <w:t>Duke u nisur nga strategjia e BE-së për barazinë gjinore 2020–2025, e cila kërkon një Evropë me barazi gjinore, ky Plan i ri Veprimi për Barazinë Gjinore i BE-së për periudhën 2021–2025 (GAP III) bën thirrje për një botë të barabartë gjinore dhe plotëson strategjinë e barazisë për LGBTIQ për periudhën 2020</w:t>
      </w:r>
      <w:r w:rsidR="00C61854" w:rsidRPr="00A90756">
        <w:rPr>
          <w:rStyle w:val="SubtleEmphasis"/>
          <w:rFonts w:ascii="Garamond" w:hAnsi="Garamond"/>
          <w:i w:val="0"/>
          <w:iCs w:val="0"/>
        </w:rPr>
        <w:t>–</w:t>
      </w:r>
      <w:r w:rsidR="000D306C" w:rsidRPr="00A90756">
        <w:rPr>
          <w:rStyle w:val="Bodytext1"/>
          <w:rFonts w:ascii="Garamond" w:hAnsi="Garamond"/>
        </w:rPr>
        <w:t>2025. Ai do të rrisë kontributin e BE-së në arritjen e Objektivit të Zhvillimit të Qëndrueshëm (SDG) 5 në të gjitha fushat e politikës së brendshme dhe të jashtme të BE-së dhe përgjatë gjithë Axhendës 2030.</w:t>
      </w:r>
      <w:r w:rsidR="00292D5B" w:rsidRPr="00A90756">
        <w:rPr>
          <w:rStyle w:val="Bodytext1"/>
          <w:rFonts w:ascii="Garamond" w:hAnsi="Garamond"/>
        </w:rPr>
        <w:t>’</w:t>
      </w:r>
      <w:r w:rsidR="000D306C" w:rsidRPr="00A90756">
        <w:rPr>
          <w:rStyle w:val="Bodytext1"/>
          <w:rFonts w:ascii="Garamond" w:hAnsi="Garamond"/>
        </w:rPr>
        <w:t xml:space="preserve"> SDG 5 thotë </w:t>
      </w:r>
      <w:r w:rsidRPr="00A90756">
        <w:rPr>
          <w:rStyle w:val="Bodytext1"/>
          <w:rFonts w:ascii="Garamond" w:hAnsi="Garamond"/>
        </w:rPr>
        <w:t>“</w:t>
      </w:r>
      <w:r w:rsidR="000D306C" w:rsidRPr="00A90756">
        <w:rPr>
          <w:rStyle w:val="Bodytext1"/>
          <w:rFonts w:ascii="Garamond" w:hAnsi="Garamond"/>
        </w:rPr>
        <w:t>arritja e barazisë gjinore dhe fuqizimi i të gjitha grave dhe vajzave</w:t>
      </w:r>
      <w:r w:rsidRPr="00A90756">
        <w:rPr>
          <w:rStyle w:val="Bodytext1"/>
          <w:rFonts w:ascii="Garamond" w:hAnsi="Garamond"/>
        </w:rPr>
        <w:t>”</w:t>
      </w:r>
      <w:r w:rsidR="000D306C" w:rsidRPr="00A90756">
        <w:rPr>
          <w:rStyle w:val="Bodytext1"/>
          <w:rFonts w:ascii="Garamond" w:hAnsi="Garamond"/>
        </w:rPr>
        <w:t>.</w:t>
      </w:r>
    </w:p>
    <w:p w14:paraId="014E4638" w14:textId="4B249E6D"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 xml:space="preserve">Integrimi gjinor mbetet mjeti kryesor për të arritur barazinë gjinore. Ai ka për qëllim të sigurojë që ky program </w:t>
      </w:r>
      <w:r w:rsidRPr="00A90756">
        <w:rPr>
          <w:rStyle w:val="Bodytext1"/>
          <w:rFonts w:ascii="Garamond" w:hAnsi="Garamond"/>
        </w:rPr>
        <w:lastRenderedPageBreak/>
        <w:t>BNK</w:t>
      </w:r>
      <w:r w:rsidR="005C194A" w:rsidRPr="00A90756">
        <w:rPr>
          <w:rStyle w:val="Bodytext1"/>
          <w:rFonts w:ascii="Garamond" w:hAnsi="Garamond"/>
        </w:rPr>
        <w:t>-je</w:t>
      </w:r>
      <w:r w:rsidRPr="00A90756">
        <w:rPr>
          <w:rStyle w:val="Bodytext1"/>
          <w:rFonts w:ascii="Garamond" w:hAnsi="Garamond"/>
        </w:rPr>
        <w:t xml:space="preserve"> të maksimizojë përfitimet për të gjithë dhe të kontribuojë në ndalimin e rrënjosjes së pabarazisë.</w:t>
      </w:r>
    </w:p>
    <w:p w14:paraId="014E4639" w14:textId="33E9BD6E"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 xml:space="preserve">Në plotësim të Komunikatës së Përbashkët të mësipërm, BE-ja miratoi më 25 nëntor 2020 edhe një Dokument Pune të Përbashkët për Stafin të titulluar </w:t>
      </w:r>
      <w:r w:rsidR="00AE64AA" w:rsidRPr="00A90756">
        <w:rPr>
          <w:rStyle w:val="Bodytext1"/>
          <w:rFonts w:ascii="Garamond" w:hAnsi="Garamond"/>
        </w:rPr>
        <w:t>“</w:t>
      </w:r>
      <w:r w:rsidRPr="00A90756">
        <w:rPr>
          <w:rStyle w:val="Bodytext1"/>
          <w:rFonts w:ascii="Garamond" w:hAnsi="Garamond"/>
        </w:rPr>
        <w:t xml:space="preserve">Objektivat dhe </w:t>
      </w:r>
      <w:r w:rsidR="005C194A" w:rsidRPr="00A90756">
        <w:rPr>
          <w:rStyle w:val="Bodytext1"/>
          <w:rFonts w:ascii="Garamond" w:hAnsi="Garamond"/>
        </w:rPr>
        <w:t>t</w:t>
      </w:r>
      <w:r w:rsidRPr="00A90756">
        <w:rPr>
          <w:rStyle w:val="Bodytext1"/>
          <w:rFonts w:ascii="Garamond" w:hAnsi="Garamond"/>
        </w:rPr>
        <w:t>reguesit për përshtatjen e zbatimit të Planit të Veprimit për Barazinë Gjinore III</w:t>
      </w:r>
      <w:r w:rsidR="00AE64AA" w:rsidRPr="00A90756">
        <w:rPr>
          <w:rStyle w:val="Bodytext1"/>
          <w:rFonts w:ascii="Garamond" w:hAnsi="Garamond"/>
        </w:rPr>
        <w:t>”</w:t>
      </w:r>
      <w:r w:rsidRPr="00A90756">
        <w:rPr>
          <w:rStyle w:val="Bodytext1"/>
          <w:rFonts w:ascii="Garamond" w:hAnsi="Garamond"/>
        </w:rPr>
        <w:t>. Këto objektiva dhe tregues duhet të shërbejnë për të monitoruar progresin në zbatimin e Planit të Veprimit për Barazinë Gjinore III 2021</w:t>
      </w:r>
      <w:r w:rsidR="00C61854" w:rsidRPr="00A90756">
        <w:rPr>
          <w:rStyle w:val="SubtleEmphasis"/>
          <w:rFonts w:ascii="Garamond" w:hAnsi="Garamond"/>
          <w:i w:val="0"/>
          <w:iCs w:val="0"/>
        </w:rPr>
        <w:t>–</w:t>
      </w:r>
      <w:r w:rsidRPr="00A90756">
        <w:rPr>
          <w:rStyle w:val="Bodytext1"/>
          <w:rFonts w:ascii="Garamond" w:hAnsi="Garamond"/>
        </w:rPr>
        <w:t>2025 dhe për të matur rezultatet e tij në nivel vendor, rajonal/shumëvendësh dhe ndërkombëtar.</w:t>
      </w:r>
    </w:p>
    <w:p w14:paraId="014E463A" w14:textId="77777777"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Në vitin 2017, Mali i Zi miratoi Strategjinë Kombëtare të Zhvillimit të Qëndrueshëm 2030 (SKZHQ) e cila transpozoi Objektivat e Zhvillimit të Qëndrueshëm të OKB-së në kontekstin kombëtar. Deri në vitin 2030, Mali i Zi u zotua: të eliminojë diskriminimin politik, ekonomik dhe llojet e tjera të diskriminimit me bazë gjinore, të arrijë një nivel minimal prej 40% të përfaqësimit të grave në nivel kombëtar dhe lokal, të eliminojë të gjitha format e dhunës ndaj grave dhe vajzave në sferën private dhe publike, duke përfshirë edhe trafikimin e qenieve njerëzore dhe shfrytëzimin për qëllime seksuale, të arrijë pjesëmarrje të barabartë në punën e papaguar, të arrijë barazinë në punësim dhe të forcojë mekanizmat kombëtarë për barazinë gjinore.</w:t>
      </w:r>
      <w:r w:rsidRPr="00A90756">
        <w:rPr>
          <w:rStyle w:val="Bodytext1"/>
          <w:rFonts w:ascii="Garamond" w:hAnsi="Garamond"/>
          <w:vertAlign w:val="superscript"/>
        </w:rPr>
        <w:footnoteReference w:id="20"/>
      </w:r>
    </w:p>
    <w:p w14:paraId="014E463B" w14:textId="77777777"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Vlen të theksohet PBB-ja për frymë për gratë dhe për burrat (PBB/për numrin total të grave dhe për numrin total të burrave, përkatësisht): PBB-ja për frymë (për gratë) është 86% e PBB-së kombëtare për frymë, ndërsa PBB-ja për frymë për burrat është në 114% e PBB-së kombëtare për frymë.</w:t>
      </w:r>
    </w:p>
    <w:p w14:paraId="014E463C" w14:textId="7708FF44"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Promovimi i barazisë gjinore është nën ombrellën e strategjive të ndryshme sektoriale në Shqipëri. Strategjia Kombëtare dhe Plani i Veprimit për Barazinë Gjinore (SKPVBGJ) 2016</w:t>
      </w:r>
      <w:r w:rsidR="00C61854" w:rsidRPr="00A90756">
        <w:rPr>
          <w:rStyle w:val="SubtleEmphasis"/>
          <w:rFonts w:ascii="Garamond" w:hAnsi="Garamond"/>
          <w:i w:val="0"/>
          <w:iCs w:val="0"/>
        </w:rPr>
        <w:t>–</w:t>
      </w:r>
      <w:r w:rsidRPr="00A90756">
        <w:rPr>
          <w:rStyle w:val="Bodytext1"/>
          <w:rFonts w:ascii="Garamond" w:hAnsi="Garamond"/>
        </w:rPr>
        <w:t>2020, nga katër synime strategjike që ka, një synim ka të bëjë me fuqizimin ekonomik të grave dhe të burrave me qëllim rritjen e pjesëmarrjes së grave në tregun e punës dhe zvogëlimin e hendekut gjinor në tregun e punës.</w:t>
      </w:r>
      <w:r w:rsidRPr="00A90756">
        <w:rPr>
          <w:rStyle w:val="Bodytext1"/>
          <w:rFonts w:ascii="Garamond" w:hAnsi="Garamond"/>
          <w:vertAlign w:val="superscript"/>
        </w:rPr>
        <w:footnoteReference w:id="21"/>
      </w:r>
    </w:p>
    <w:p w14:paraId="014E463D" w14:textId="77777777"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Deri në vitin 2020, Shqipëria ka bërë një progres gradual në të gjitha indekset gjinore globale</w:t>
      </w:r>
      <w:r w:rsidRPr="00A90756">
        <w:rPr>
          <w:rStyle w:val="FootnoteReference"/>
          <w:rFonts w:ascii="Garamond" w:hAnsi="Garamond"/>
        </w:rPr>
        <w:footnoteReference w:id="22"/>
      </w:r>
      <w:r w:rsidRPr="00A90756">
        <w:rPr>
          <w:rStyle w:val="Bodytext1"/>
          <w:rFonts w:ascii="Garamond" w:hAnsi="Garamond"/>
        </w:rPr>
        <w:t>. Në përgjithësi, Shqipëria ka një kornizë solide normative për të promovuar, për të zbatuar dhe për të monitoruar barazinë dhe mosdiskriminimin për shkak të seksit.</w:t>
      </w:r>
    </w:p>
    <w:p w14:paraId="014E463E" w14:textId="739B04C1"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Në Shqipëri, hendeqet gjinore sa u përket mundësive ekonomike përfshijnë pjesëmarrjen e ulët në fuqinë punëtore, nivelet e larta të informalitetit, ndarjen gjinore dhe aksesin e vogël në inputet produktive. Shkalla e përgjithshme e aktivitetit për popullsinë e moshës 15 deri në 64 vjeç është rritur në mënyrë të qëndrueshme gjatë periudhës 2013</w:t>
      </w:r>
      <w:r w:rsidR="005C194A" w:rsidRPr="00A90756">
        <w:rPr>
          <w:rStyle w:val="Bodytext1"/>
          <w:rFonts w:ascii="Garamond" w:hAnsi="Garamond"/>
        </w:rPr>
        <w:t>–</w:t>
      </w:r>
      <w:r w:rsidRPr="00A90756">
        <w:rPr>
          <w:rStyle w:val="Bodytext1"/>
          <w:rFonts w:ascii="Garamond" w:hAnsi="Garamond"/>
        </w:rPr>
        <w:t>2019.</w:t>
      </w:r>
    </w:p>
    <w:p w14:paraId="014E463F" w14:textId="61CA61A2"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rPr>
        <w:t>Në vitin 2019 në Shqipëri, shkalla e papunësisë për meshkujt e moshës 15</w:t>
      </w:r>
      <w:r w:rsidR="00C61854" w:rsidRPr="00A90756">
        <w:rPr>
          <w:rStyle w:val="SubtleEmphasis"/>
          <w:rFonts w:ascii="Garamond" w:hAnsi="Garamond"/>
          <w:i w:val="0"/>
          <w:iCs w:val="0"/>
        </w:rPr>
        <w:t>–</w:t>
      </w:r>
      <w:r w:rsidRPr="00A90756">
        <w:rPr>
          <w:rStyle w:val="Bodytext1"/>
          <w:rFonts w:ascii="Garamond" w:hAnsi="Garamond"/>
        </w:rPr>
        <w:t>64 vjeç ishte 12,2%, kurse për gratë 11,8%</w:t>
      </w:r>
      <w:r w:rsidR="00C10B7D" w:rsidRPr="00A90756">
        <w:rPr>
          <w:rStyle w:val="Bodytext1"/>
          <w:rFonts w:ascii="Garamond" w:hAnsi="Garamond"/>
        </w:rPr>
        <w:t>.</w:t>
      </w:r>
      <w:r w:rsidRPr="00A90756">
        <w:rPr>
          <w:rStyle w:val="Bodytext1"/>
          <w:rFonts w:ascii="Garamond" w:hAnsi="Garamond"/>
        </w:rPr>
        <w:t xml:space="preserve"> Në përgjithësi, shkalla e papunësisë ka shënuar rënie si për gratë, ashtu edhe për burrat krahasuar me një vit më parë, por për meshkujt është ulur me gati një pikë përqindje, ndërsa për femrat vetëm me 0.5 pikë përqindje.</w:t>
      </w:r>
    </w:p>
    <w:p w14:paraId="014E4640" w14:textId="3BF43111" w:rsidR="000D306C" w:rsidRPr="00A90756" w:rsidRDefault="000D306C" w:rsidP="000D306C">
      <w:pPr>
        <w:pStyle w:val="Bodytext10"/>
        <w:spacing w:after="0"/>
        <w:ind w:firstLine="284"/>
        <w:rPr>
          <w:rFonts w:ascii="Garamond" w:hAnsi="Garamond"/>
        </w:rPr>
      </w:pPr>
      <w:r w:rsidRPr="00A90756">
        <w:rPr>
          <w:rStyle w:val="Bodytext1"/>
          <w:rFonts w:ascii="Garamond" w:hAnsi="Garamond"/>
          <w:b/>
          <w:bCs/>
        </w:rPr>
        <w:t xml:space="preserve">KT 5 </w:t>
      </w:r>
      <w:r w:rsidR="00AE64AA" w:rsidRPr="00A90756">
        <w:rPr>
          <w:rStyle w:val="Bodytext1"/>
          <w:rFonts w:ascii="Garamond" w:hAnsi="Garamond"/>
          <w:b/>
          <w:bCs/>
        </w:rPr>
        <w:t>“</w:t>
      </w:r>
      <w:r w:rsidRPr="00A90756">
        <w:rPr>
          <w:rStyle w:val="Bodytext1"/>
          <w:rFonts w:ascii="Garamond" w:hAnsi="Garamond"/>
          <w:b/>
          <w:bCs/>
        </w:rPr>
        <w:t>përmirësimi i kapaciteteve të autoriteteve rajonale dhe lokale për adresimin e sfidave lokale</w:t>
      </w:r>
      <w:r w:rsidR="00C10B7D" w:rsidRPr="00A90756">
        <w:rPr>
          <w:rStyle w:val="Bodytext1"/>
          <w:rFonts w:ascii="Garamond" w:hAnsi="Garamond"/>
          <w:b/>
          <w:bCs/>
        </w:rPr>
        <w:t>”</w:t>
      </w:r>
    </w:p>
    <w:p w14:paraId="014E4641" w14:textId="10C96BFE" w:rsidR="000D306C" w:rsidRDefault="000D306C" w:rsidP="000D306C">
      <w:pPr>
        <w:pStyle w:val="Bodytext10"/>
        <w:spacing w:after="0"/>
        <w:ind w:firstLine="284"/>
        <w:rPr>
          <w:rStyle w:val="Bodytext1"/>
          <w:rFonts w:ascii="Garamond" w:hAnsi="Garamond"/>
        </w:rPr>
      </w:pPr>
      <w:r w:rsidRPr="00A90756">
        <w:rPr>
          <w:rStyle w:val="Bodytext1"/>
          <w:rFonts w:ascii="Garamond" w:hAnsi="Garamond"/>
        </w:rPr>
        <w:t xml:space="preserve">Grupimi </w:t>
      </w:r>
      <w:r w:rsidR="00C10B7D" w:rsidRPr="00A90756">
        <w:rPr>
          <w:rStyle w:val="Bodytext1"/>
          <w:rFonts w:ascii="Garamond" w:hAnsi="Garamond"/>
        </w:rPr>
        <w:t>t</w:t>
      </w:r>
      <w:r w:rsidRPr="00A90756">
        <w:rPr>
          <w:rStyle w:val="Bodytext1"/>
          <w:rFonts w:ascii="Garamond" w:hAnsi="Garamond"/>
        </w:rPr>
        <w:t xml:space="preserve">ematik 5 </w:t>
      </w:r>
      <w:r w:rsidR="00292D5B" w:rsidRPr="00A90756">
        <w:rPr>
          <w:rStyle w:val="Bodytext1"/>
          <w:rFonts w:ascii="Garamond" w:hAnsi="Garamond"/>
        </w:rPr>
        <w:t>‘</w:t>
      </w:r>
      <w:r w:rsidRPr="00A90756">
        <w:rPr>
          <w:rStyle w:val="Bodytext1"/>
          <w:rFonts w:ascii="Garamond" w:hAnsi="Garamond"/>
        </w:rPr>
        <w:t>përmirësimi i kapaciteteve të autoriteteve rajonale dhe lokale për adresimin e sfidave lokale</w:t>
      </w:r>
      <w:r w:rsidR="00292D5B" w:rsidRPr="00A90756">
        <w:rPr>
          <w:rStyle w:val="Bodytext1"/>
          <w:rFonts w:ascii="Garamond" w:hAnsi="Garamond"/>
        </w:rPr>
        <w:t>’</w:t>
      </w:r>
      <w:r w:rsidRPr="00A90756">
        <w:rPr>
          <w:rStyle w:val="Bodytext1"/>
          <w:rFonts w:ascii="Garamond" w:hAnsi="Garamond"/>
        </w:rPr>
        <w:t xml:space="preserve"> duhet të përfshihet nga përfituesit e IPA III në këtë program të bashkëpunimit ndërkufitar.</w:t>
      </w:r>
    </w:p>
    <w:p w14:paraId="1A409C28" w14:textId="77777777" w:rsidR="00601BD3" w:rsidRPr="00A90756" w:rsidRDefault="00601BD3" w:rsidP="000D306C">
      <w:pPr>
        <w:pStyle w:val="Bodytext10"/>
        <w:spacing w:after="0"/>
        <w:ind w:firstLine="284"/>
        <w:rPr>
          <w:rFonts w:ascii="Garamond" w:hAnsi="Garamond"/>
        </w:rPr>
      </w:pPr>
    </w:p>
    <w:p w14:paraId="014E4644" w14:textId="6FC7AF3E" w:rsidR="000D306C" w:rsidRPr="00A90756" w:rsidRDefault="000D306C" w:rsidP="00601BD3">
      <w:pPr>
        <w:pStyle w:val="Tablecaption10"/>
        <w:ind w:firstLine="284"/>
        <w:rPr>
          <w:rFonts w:ascii="Garamond" w:hAnsi="Garamond"/>
          <w:sz w:val="20"/>
          <w:szCs w:val="20"/>
        </w:rPr>
      </w:pPr>
      <w:r w:rsidRPr="00601BD3">
        <w:rPr>
          <w:rStyle w:val="Tablecaption1"/>
          <w:rFonts w:ascii="Garamond" w:hAnsi="Garamond"/>
          <w:bCs/>
          <w:i/>
          <w:iCs/>
          <w:sz w:val="20"/>
          <w:szCs w:val="20"/>
        </w:rPr>
        <w:t>Tabela 3.3</w:t>
      </w:r>
      <w:r w:rsidR="00601BD3">
        <w:rPr>
          <w:rStyle w:val="Tablecaption1"/>
          <w:rFonts w:ascii="Garamond" w:hAnsi="Garamond"/>
          <w:bCs/>
          <w:i/>
          <w:iCs/>
          <w:sz w:val="20"/>
          <w:szCs w:val="20"/>
        </w:rPr>
        <w:t>:</w:t>
      </w:r>
      <w:r w:rsidRPr="00601BD3">
        <w:rPr>
          <w:rStyle w:val="Tablecaption1"/>
          <w:rFonts w:ascii="Garamond" w:hAnsi="Garamond"/>
          <w:bCs/>
          <w:i/>
          <w:iCs/>
          <w:sz w:val="20"/>
          <w:szCs w:val="20"/>
        </w:rPr>
        <w:t xml:space="preserve"> Pasqyra e masave të propozuara gjatë zhvillimit të programit të</w:t>
      </w:r>
      <w:r w:rsidR="00C10B7D" w:rsidRPr="00601BD3">
        <w:rPr>
          <w:rFonts w:ascii="Garamond" w:hAnsi="Garamond"/>
          <w:sz w:val="20"/>
          <w:szCs w:val="20"/>
        </w:rPr>
        <w:t xml:space="preserve"> </w:t>
      </w:r>
      <w:r w:rsidR="00C10B7D" w:rsidRPr="00601BD3">
        <w:rPr>
          <w:rStyle w:val="Tablecaption1"/>
          <w:rFonts w:ascii="Garamond" w:hAnsi="Garamond"/>
          <w:bCs/>
          <w:i/>
          <w:iCs/>
          <w:sz w:val="20"/>
          <w:szCs w:val="20"/>
        </w:rPr>
        <w:t>grupimit tem</w:t>
      </w:r>
      <w:r w:rsidRPr="00601BD3">
        <w:rPr>
          <w:rStyle w:val="Tablecaption1"/>
          <w:rFonts w:ascii="Garamond" w:hAnsi="Garamond"/>
          <w:bCs/>
          <w:i/>
          <w:iCs/>
          <w:sz w:val="20"/>
          <w:szCs w:val="20"/>
        </w:rPr>
        <w:t>atik për autoritetet lokale dhe rajonale për adresimin e sfidave lokale</w:t>
      </w:r>
    </w:p>
    <w:tbl>
      <w:tblPr>
        <w:tblOverlap w:val="never"/>
        <w:tblW w:w="5000" w:type="pct"/>
        <w:jc w:val="center"/>
        <w:tblCellMar>
          <w:left w:w="10" w:type="dxa"/>
          <w:right w:w="10" w:type="dxa"/>
        </w:tblCellMar>
        <w:tblLook w:val="04A0" w:firstRow="1" w:lastRow="0" w:firstColumn="1" w:lastColumn="0" w:noHBand="0" w:noVBand="1"/>
      </w:tblPr>
      <w:tblGrid>
        <w:gridCol w:w="1800"/>
        <w:gridCol w:w="7217"/>
      </w:tblGrid>
      <w:tr w:rsidR="000D306C" w:rsidRPr="00A90756" w14:paraId="014E4647" w14:textId="77777777" w:rsidTr="000D306C">
        <w:trPr>
          <w:trHeight w:val="20"/>
          <w:jc w:val="center"/>
        </w:trPr>
        <w:tc>
          <w:tcPr>
            <w:tcW w:w="998" w:type="pct"/>
            <w:tcBorders>
              <w:top w:val="single" w:sz="4" w:space="0" w:color="auto"/>
              <w:left w:val="single" w:sz="4" w:space="0" w:color="auto"/>
            </w:tcBorders>
            <w:shd w:val="clear" w:color="auto" w:fill="DDECF3"/>
            <w:vAlign w:val="center"/>
          </w:tcPr>
          <w:p w14:paraId="014E4645" w14:textId="77777777" w:rsidR="000D306C" w:rsidRPr="00A90756" w:rsidRDefault="000D306C" w:rsidP="000D306C">
            <w:pPr>
              <w:pStyle w:val="Other10"/>
              <w:spacing w:after="0"/>
              <w:rPr>
                <w:rFonts w:ascii="Garamond" w:hAnsi="Garamond"/>
                <w:sz w:val="16"/>
                <w:szCs w:val="16"/>
              </w:rPr>
            </w:pPr>
            <w:r w:rsidRPr="00A90756">
              <w:rPr>
                <w:rStyle w:val="Other1"/>
                <w:rFonts w:ascii="Garamond" w:hAnsi="Garamond"/>
                <w:b/>
                <w:bCs/>
                <w:sz w:val="16"/>
                <w:szCs w:val="16"/>
              </w:rPr>
              <w:t>Çështje të karakterit të përgjithshëm</w:t>
            </w:r>
          </w:p>
        </w:tc>
        <w:tc>
          <w:tcPr>
            <w:tcW w:w="4002" w:type="pct"/>
            <w:tcBorders>
              <w:top w:val="single" w:sz="4" w:space="0" w:color="auto"/>
              <w:left w:val="single" w:sz="4" w:space="0" w:color="auto"/>
              <w:right w:val="single" w:sz="4" w:space="0" w:color="auto"/>
            </w:tcBorders>
            <w:shd w:val="clear" w:color="auto" w:fill="BDD0E8"/>
            <w:vAlign w:val="center"/>
          </w:tcPr>
          <w:p w14:paraId="014E4646" w14:textId="5DD2C6DE" w:rsidR="000D306C" w:rsidRPr="00A90756" w:rsidRDefault="000D306C" w:rsidP="000D306C">
            <w:pPr>
              <w:pStyle w:val="Other10"/>
              <w:tabs>
                <w:tab w:val="left" w:pos="1968"/>
                <w:tab w:val="left" w:pos="3898"/>
                <w:tab w:val="left" w:pos="4838"/>
                <w:tab w:val="left" w:pos="6595"/>
                <w:tab w:val="left" w:pos="6907"/>
                <w:tab w:val="left" w:pos="7526"/>
              </w:tabs>
              <w:spacing w:after="0"/>
              <w:jc w:val="both"/>
              <w:rPr>
                <w:rFonts w:ascii="Garamond" w:hAnsi="Garamond"/>
                <w:sz w:val="16"/>
                <w:szCs w:val="16"/>
              </w:rPr>
            </w:pPr>
            <w:r w:rsidRPr="00A90756">
              <w:rPr>
                <w:rStyle w:val="Other1"/>
                <w:rFonts w:ascii="Garamond" w:hAnsi="Garamond"/>
                <w:b/>
                <w:bCs/>
                <w:sz w:val="16"/>
                <w:szCs w:val="16"/>
              </w:rPr>
              <w:t xml:space="preserve">Integrimi me qëllim përmirësimin e kapaciteteve të autoriteteve lokale </w:t>
            </w:r>
            <w:r w:rsidRPr="00A90756">
              <w:rPr>
                <w:rStyle w:val="Other1"/>
                <w:rFonts w:ascii="Garamond" w:hAnsi="Garamond"/>
                <w:sz w:val="16"/>
                <w:szCs w:val="16"/>
              </w:rPr>
              <w:t>me synim rritjen dhe forcimin e pjesëmarrjes së tyre në BNK do të trajtohet në kuadrin e operacioneve BNK</w:t>
            </w:r>
            <w:r w:rsidR="00C10B7D" w:rsidRPr="00A90756">
              <w:rPr>
                <w:rStyle w:val="Other1"/>
                <w:rFonts w:ascii="Garamond" w:hAnsi="Garamond"/>
                <w:sz w:val="16"/>
                <w:szCs w:val="16"/>
              </w:rPr>
              <w:t>,</w:t>
            </w:r>
            <w:r w:rsidRPr="00A90756">
              <w:rPr>
                <w:rStyle w:val="Other1"/>
                <w:rFonts w:ascii="Garamond" w:hAnsi="Garamond"/>
                <w:sz w:val="16"/>
                <w:szCs w:val="16"/>
              </w:rPr>
              <w:t xml:space="preserve"> si dhe nëpërmjet aktiviteteve që do të zbatohen nga OS-të dhe SPT-ja në kuadër të prioritetit të Asistencës Teknike.</w:t>
            </w:r>
          </w:p>
        </w:tc>
      </w:tr>
      <w:tr w:rsidR="000D306C" w:rsidRPr="00A90756" w14:paraId="014E464A" w14:textId="77777777" w:rsidTr="000D306C">
        <w:trPr>
          <w:trHeight w:val="20"/>
          <w:jc w:val="center"/>
        </w:trPr>
        <w:tc>
          <w:tcPr>
            <w:tcW w:w="998" w:type="pct"/>
            <w:tcBorders>
              <w:top w:val="single" w:sz="4" w:space="0" w:color="auto"/>
              <w:left w:val="single" w:sz="4" w:space="0" w:color="auto"/>
            </w:tcBorders>
            <w:shd w:val="clear" w:color="auto" w:fill="DDECF3"/>
            <w:vAlign w:val="center"/>
          </w:tcPr>
          <w:p w14:paraId="014E4648" w14:textId="77777777" w:rsidR="000D306C" w:rsidRPr="00A90756" w:rsidRDefault="000D306C" w:rsidP="000D306C">
            <w:pPr>
              <w:pStyle w:val="Other10"/>
              <w:tabs>
                <w:tab w:val="left" w:pos="1402"/>
              </w:tabs>
              <w:spacing w:after="0"/>
              <w:rPr>
                <w:rFonts w:ascii="Garamond" w:hAnsi="Garamond"/>
                <w:sz w:val="16"/>
                <w:szCs w:val="16"/>
              </w:rPr>
            </w:pPr>
            <w:r w:rsidRPr="00A90756">
              <w:rPr>
                <w:rStyle w:val="Other1"/>
                <w:rFonts w:ascii="Garamond" w:hAnsi="Garamond"/>
                <w:b/>
                <w:bCs/>
                <w:sz w:val="16"/>
                <w:szCs w:val="16"/>
              </w:rPr>
              <w:t>Në kuadrin e prioritetit tematik të Asistencës Teknike</w:t>
            </w:r>
          </w:p>
        </w:tc>
        <w:tc>
          <w:tcPr>
            <w:tcW w:w="4002" w:type="pct"/>
            <w:tcBorders>
              <w:top w:val="single" w:sz="4" w:space="0" w:color="auto"/>
              <w:left w:val="single" w:sz="4" w:space="0" w:color="auto"/>
              <w:right w:val="single" w:sz="4" w:space="0" w:color="auto"/>
            </w:tcBorders>
            <w:shd w:val="clear" w:color="auto" w:fill="FBD4B3"/>
            <w:vAlign w:val="bottom"/>
          </w:tcPr>
          <w:p w14:paraId="014E4649" w14:textId="33409896"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Për të rishikuar nevojat dhe interesat specifike të autoriteteve rajonale dhe lokale </w:t>
            </w:r>
            <w:r w:rsidRPr="00A90756">
              <w:rPr>
                <w:rStyle w:val="Other1"/>
                <w:rFonts w:ascii="Garamond" w:hAnsi="Garamond"/>
                <w:b/>
                <w:bCs/>
                <w:sz w:val="16"/>
                <w:szCs w:val="16"/>
              </w:rPr>
              <w:t>për të rritur pjesëmarrjen e tyre në operacionet BNK</w:t>
            </w:r>
            <w:r w:rsidRPr="00A90756">
              <w:rPr>
                <w:rStyle w:val="Other1"/>
                <w:rFonts w:ascii="Garamond" w:hAnsi="Garamond"/>
                <w:sz w:val="16"/>
                <w:szCs w:val="16"/>
              </w:rPr>
              <w:t xml:space="preserve"> dhe bazuar tek gjetjet, t</w:t>
            </w:r>
            <w:r w:rsidR="00C10B7D" w:rsidRPr="00A90756">
              <w:rPr>
                <w:rStyle w:val="Other1"/>
                <w:rFonts w:ascii="Garamond" w:hAnsi="Garamond"/>
                <w:sz w:val="16"/>
                <w:szCs w:val="16"/>
              </w:rPr>
              <w:t>e</w:t>
            </w:r>
            <w:r w:rsidRPr="00A90756">
              <w:rPr>
                <w:rStyle w:val="Other1"/>
                <w:rFonts w:ascii="Garamond" w:hAnsi="Garamond"/>
                <w:sz w:val="16"/>
                <w:szCs w:val="16"/>
              </w:rPr>
              <w:t xml:space="preserve"> planet e punës së SPT-së duhet të ndryshohen sipas rastit, duke përfshirë, por pa u kufizuar në sa vijon: lançimi i fushatave të synuara ndërgjegjësuese, veçanërisht para shpalljes së thirrjeve për propozime; këto fushata duhet të shkojnë paralel me aktivitetet e zakonshme të OS-ve/SPT-së dhe të përforcohen prej tyre, si për shembull përmes forumeve për gjetje partnerësh për projekte, klinikave të projekteve për aplikimet e pasuksesshme, punës ndihmëse</w:t>
            </w:r>
            <w:r w:rsidR="00C10B7D" w:rsidRPr="00A90756">
              <w:rPr>
                <w:rStyle w:val="Other1"/>
                <w:rFonts w:ascii="Garamond" w:hAnsi="Garamond"/>
                <w:sz w:val="16"/>
                <w:szCs w:val="16"/>
              </w:rPr>
              <w:t>,</w:t>
            </w:r>
            <w:r w:rsidRPr="00A90756">
              <w:rPr>
                <w:rStyle w:val="Other1"/>
                <w:rFonts w:ascii="Garamond" w:hAnsi="Garamond"/>
                <w:sz w:val="16"/>
                <w:szCs w:val="16"/>
              </w:rPr>
              <w:t xml:space="preserve"> si dhe trajnimeve për përgatitjen e aplikacioneve për projekte BNK që do të organizohen për aplikantët potencialë, ku do të përfshihen të gjitha llojet e aplikantëve</w:t>
            </w:r>
            <w:r w:rsidR="00C10B7D" w:rsidRPr="00A90756">
              <w:rPr>
                <w:rStyle w:val="Other1"/>
                <w:rFonts w:ascii="Garamond" w:hAnsi="Garamond"/>
                <w:sz w:val="16"/>
                <w:szCs w:val="16"/>
              </w:rPr>
              <w:t>.</w:t>
            </w:r>
          </w:p>
        </w:tc>
      </w:tr>
      <w:tr w:rsidR="000D306C" w:rsidRPr="00A90756" w14:paraId="014E464E" w14:textId="77777777" w:rsidTr="000D306C">
        <w:trPr>
          <w:trHeight w:val="20"/>
          <w:jc w:val="center"/>
        </w:trPr>
        <w:tc>
          <w:tcPr>
            <w:tcW w:w="998" w:type="pct"/>
            <w:vMerge w:val="restart"/>
            <w:tcBorders>
              <w:top w:val="single" w:sz="4" w:space="0" w:color="auto"/>
              <w:left w:val="single" w:sz="4" w:space="0" w:color="auto"/>
            </w:tcBorders>
            <w:shd w:val="clear" w:color="auto" w:fill="DDECF3"/>
          </w:tcPr>
          <w:p w14:paraId="014E464B" w14:textId="77777777" w:rsidR="000D306C" w:rsidRPr="00A90756" w:rsidRDefault="000D306C" w:rsidP="000D306C">
            <w:pPr>
              <w:pStyle w:val="Other10"/>
              <w:tabs>
                <w:tab w:val="left" w:pos="1349"/>
              </w:tabs>
              <w:spacing w:after="0"/>
              <w:rPr>
                <w:rFonts w:ascii="Garamond" w:hAnsi="Garamond"/>
                <w:sz w:val="16"/>
                <w:szCs w:val="16"/>
              </w:rPr>
            </w:pPr>
            <w:r w:rsidRPr="00A90756">
              <w:rPr>
                <w:rStyle w:val="Other1"/>
                <w:rFonts w:ascii="Garamond" w:hAnsi="Garamond"/>
                <w:b/>
                <w:bCs/>
                <w:sz w:val="16"/>
                <w:szCs w:val="16"/>
              </w:rPr>
              <w:t>Në kuadrin e operacioneve BNK</w:t>
            </w:r>
          </w:p>
          <w:p w14:paraId="014E464C" w14:textId="77777777" w:rsidR="000D306C" w:rsidRPr="00A90756" w:rsidRDefault="000D306C" w:rsidP="000D306C">
            <w:pPr>
              <w:pStyle w:val="Other10"/>
              <w:spacing w:after="0"/>
              <w:rPr>
                <w:rFonts w:ascii="Garamond" w:hAnsi="Garamond"/>
                <w:sz w:val="16"/>
                <w:szCs w:val="16"/>
              </w:rPr>
            </w:pPr>
          </w:p>
        </w:tc>
        <w:tc>
          <w:tcPr>
            <w:tcW w:w="4002" w:type="pct"/>
            <w:tcBorders>
              <w:top w:val="single" w:sz="4" w:space="0" w:color="auto"/>
              <w:left w:val="single" w:sz="4" w:space="0" w:color="auto"/>
              <w:right w:val="single" w:sz="4" w:space="0" w:color="auto"/>
            </w:tcBorders>
            <w:shd w:val="clear" w:color="auto" w:fill="F9EBDB"/>
            <w:vAlign w:val="bottom"/>
          </w:tcPr>
          <w:p w14:paraId="014E464D" w14:textId="7777777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 xml:space="preserve">Në çdo aplikim inkurajohet të </w:t>
            </w:r>
            <w:r w:rsidRPr="00A90756">
              <w:rPr>
                <w:rStyle w:val="Other1"/>
                <w:rFonts w:ascii="Garamond" w:hAnsi="Garamond"/>
                <w:b/>
                <w:bCs/>
                <w:sz w:val="16"/>
                <w:szCs w:val="16"/>
              </w:rPr>
              <w:t>përfshihen autoritetet rajonale dhe vendore</w:t>
            </w:r>
            <w:r w:rsidRPr="00A90756">
              <w:rPr>
                <w:rStyle w:val="Other1"/>
                <w:rFonts w:ascii="Garamond" w:hAnsi="Garamond"/>
                <w:sz w:val="16"/>
                <w:szCs w:val="16"/>
              </w:rPr>
              <w:t xml:space="preserve"> që në hartimin e projekteve dhe në zbatimin e tyre në të ardhmen, si dhe të përshkruhen se si do të përshtatet projekti i propozuar me planet lokale të zhvillimit dhe si kontribuojnë në to.</w:t>
            </w:r>
          </w:p>
        </w:tc>
      </w:tr>
      <w:tr w:rsidR="000D306C" w:rsidRPr="00A90756" w14:paraId="014E4652" w14:textId="77777777" w:rsidTr="000D306C">
        <w:trPr>
          <w:trHeight w:val="20"/>
          <w:jc w:val="center"/>
        </w:trPr>
        <w:tc>
          <w:tcPr>
            <w:tcW w:w="998" w:type="pct"/>
            <w:vMerge/>
            <w:tcBorders>
              <w:left w:val="single" w:sz="4" w:space="0" w:color="auto"/>
              <w:bottom w:val="single" w:sz="4" w:space="0" w:color="auto"/>
            </w:tcBorders>
            <w:shd w:val="clear" w:color="auto" w:fill="DDECF3"/>
          </w:tcPr>
          <w:p w14:paraId="014E464F" w14:textId="77777777" w:rsidR="000D306C" w:rsidRPr="00A90756" w:rsidRDefault="000D306C" w:rsidP="000D306C">
            <w:pPr>
              <w:rPr>
                <w:rFonts w:ascii="Garamond" w:hAnsi="Garamond"/>
                <w:sz w:val="16"/>
                <w:szCs w:val="16"/>
              </w:rPr>
            </w:pPr>
          </w:p>
        </w:tc>
        <w:tc>
          <w:tcPr>
            <w:tcW w:w="4002" w:type="pct"/>
            <w:tcBorders>
              <w:top w:val="single" w:sz="4" w:space="0" w:color="auto"/>
              <w:left w:val="single" w:sz="4" w:space="0" w:color="auto"/>
              <w:bottom w:val="single" w:sz="4" w:space="0" w:color="auto"/>
              <w:right w:val="single" w:sz="4" w:space="0" w:color="auto"/>
            </w:tcBorders>
            <w:shd w:val="clear" w:color="auto" w:fill="F9EBDB"/>
            <w:vAlign w:val="bottom"/>
          </w:tcPr>
          <w:p w14:paraId="014E4650" w14:textId="786DC744"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Nëse bihet dakord, në disa thirrje për propozime ose në disa thirrje specifike për propozime, duhet që në çdo partneritet të aplikantëve për BNK të përfshihen autoritetet rajonale dhe vendore. Për rajonet që kualifikohen për programe të ndryshme BNK</w:t>
            </w:r>
            <w:r w:rsidR="00C10B7D" w:rsidRPr="00A90756">
              <w:rPr>
                <w:rStyle w:val="Other1"/>
                <w:rFonts w:ascii="Garamond" w:hAnsi="Garamond"/>
                <w:sz w:val="16"/>
                <w:szCs w:val="16"/>
              </w:rPr>
              <w:t>-</w:t>
            </w:r>
            <w:r w:rsidR="00C10B7D" w:rsidRPr="00A90756">
              <w:rPr>
                <w:rStyle w:val="Other1"/>
                <w:sz w:val="16"/>
                <w:szCs w:val="16"/>
              </w:rPr>
              <w:t>je</w:t>
            </w:r>
            <w:r w:rsidRPr="00A90756">
              <w:rPr>
                <w:rStyle w:val="Other1"/>
                <w:rFonts w:ascii="Garamond" w:hAnsi="Garamond"/>
                <w:sz w:val="16"/>
                <w:szCs w:val="16"/>
              </w:rPr>
              <w:t>, duhet</w:t>
            </w:r>
            <w:r w:rsidR="00C61854" w:rsidRPr="00A90756">
              <w:rPr>
                <w:rStyle w:val="Other1"/>
                <w:rFonts w:ascii="Garamond" w:hAnsi="Garamond"/>
                <w:sz w:val="16"/>
                <w:szCs w:val="16"/>
              </w:rPr>
              <w:t xml:space="preserve"> t</w:t>
            </w:r>
            <w:r w:rsidR="00292D5B" w:rsidRPr="00A90756">
              <w:rPr>
                <w:rStyle w:val="Other1"/>
                <w:rFonts w:ascii="Garamond" w:hAnsi="Garamond"/>
                <w:sz w:val="16"/>
                <w:szCs w:val="16"/>
              </w:rPr>
              <w:t>’</w:t>
            </w:r>
            <w:r w:rsidR="00C61854" w:rsidRPr="00A90756">
              <w:rPr>
                <w:rStyle w:val="Other1"/>
                <w:rFonts w:ascii="Garamond" w:hAnsi="Garamond"/>
                <w:sz w:val="16"/>
                <w:szCs w:val="16"/>
              </w:rPr>
              <w:t xml:space="preserve">i </w:t>
            </w:r>
            <w:r w:rsidRPr="00A90756">
              <w:rPr>
                <w:rStyle w:val="Other1"/>
                <w:rFonts w:ascii="Garamond" w:hAnsi="Garamond"/>
                <w:sz w:val="16"/>
                <w:szCs w:val="16"/>
              </w:rPr>
              <w:t xml:space="preserve">kushtohet vëmendje shmangies së </w:t>
            </w:r>
            <w:r w:rsidR="00C10B7D" w:rsidRPr="00A90756">
              <w:rPr>
                <w:rStyle w:val="Other1"/>
                <w:rFonts w:ascii="Garamond" w:hAnsi="Garamond"/>
                <w:sz w:val="16"/>
                <w:szCs w:val="16"/>
              </w:rPr>
              <w:t>mbingopjes</w:t>
            </w:r>
            <w:r w:rsidRPr="00A90756">
              <w:rPr>
                <w:rStyle w:val="Other1"/>
                <w:rFonts w:ascii="Garamond" w:hAnsi="Garamond"/>
                <w:sz w:val="16"/>
                <w:szCs w:val="16"/>
              </w:rPr>
              <w:t>. Në këto thirrje për propozime ose në lotët e ndryshme brenda një thirrjeje mund të merren, për shembull aplikime që përfshijnë disa autoritete lokale njëherësh si partnerë zbatues (bashkëpunimi ndërkomunal), dhe më e rëndësishmja, duhet të inkurajojë partneritetet me autoritetet lokale më të vogla, më të dobëta, më rurale, me anë të të cilave, për shembull, aplikanti kryesor (një bashki më e madhe) ndihmon një bashki më të vogël, duke i dërguar staf ose duke marrë staf për qëllime trajnimi të komunave ose bashkive më pak të zhvilluara (shfrytëzimi i përbashkët i burimeve)</w:t>
            </w:r>
            <w:r w:rsidR="00C10B7D" w:rsidRPr="00A90756">
              <w:rPr>
                <w:rStyle w:val="Other1"/>
                <w:rFonts w:ascii="Garamond" w:hAnsi="Garamond"/>
                <w:sz w:val="16"/>
                <w:szCs w:val="16"/>
              </w:rPr>
              <w:t>.</w:t>
            </w:r>
          </w:p>
          <w:p w14:paraId="014E4651" w14:textId="7659CAB7" w:rsidR="000D306C" w:rsidRPr="00A90756" w:rsidRDefault="000D306C" w:rsidP="000D306C">
            <w:pPr>
              <w:pStyle w:val="Other10"/>
              <w:spacing w:after="0"/>
              <w:jc w:val="both"/>
              <w:rPr>
                <w:rFonts w:ascii="Garamond" w:hAnsi="Garamond"/>
                <w:sz w:val="16"/>
                <w:szCs w:val="16"/>
              </w:rPr>
            </w:pPr>
            <w:r w:rsidRPr="00A90756">
              <w:rPr>
                <w:rStyle w:val="Other1"/>
                <w:rFonts w:ascii="Garamond" w:hAnsi="Garamond"/>
                <w:sz w:val="16"/>
                <w:szCs w:val="16"/>
              </w:rPr>
              <w:t>Shënim</w:t>
            </w:r>
            <w:r w:rsidR="00C10B7D" w:rsidRPr="00A90756">
              <w:rPr>
                <w:rStyle w:val="Other1"/>
                <w:rFonts w:ascii="Garamond" w:hAnsi="Garamond"/>
                <w:sz w:val="16"/>
                <w:szCs w:val="16"/>
              </w:rPr>
              <w:t>.</w:t>
            </w:r>
            <w:r w:rsidRPr="00A90756">
              <w:rPr>
                <w:rStyle w:val="Other1"/>
                <w:rFonts w:ascii="Garamond" w:hAnsi="Garamond"/>
                <w:sz w:val="16"/>
                <w:szCs w:val="16"/>
              </w:rPr>
              <w:t xml:space="preserve"> Nëse vendoset kështu, ato që duhet të shihen me prioritet janë masat që mbështeten plotësisht në stafin e autoriteteve rajonale dhe lokale, duke reduktuar në minimum</w:t>
            </w:r>
            <w:r w:rsidRPr="00A90756">
              <w:rPr>
                <w:rStyle w:val="FootnoteReference"/>
                <w:rFonts w:ascii="Garamond" w:hAnsi="Garamond"/>
                <w:sz w:val="16"/>
                <w:szCs w:val="16"/>
              </w:rPr>
              <w:footnoteReference w:id="23"/>
            </w:r>
            <w:r w:rsidRPr="00A90756">
              <w:rPr>
                <w:rStyle w:val="Other1"/>
                <w:rFonts w:ascii="Garamond" w:hAnsi="Garamond"/>
                <w:sz w:val="16"/>
                <w:szCs w:val="16"/>
              </w:rPr>
              <w:t xml:space="preserve"> praninë e menaxherëve të jashtëm sa u përket burimeve </w:t>
            </w:r>
            <w:r w:rsidRPr="00A90756">
              <w:rPr>
                <w:rStyle w:val="Other1"/>
                <w:rFonts w:ascii="Garamond" w:hAnsi="Garamond"/>
                <w:sz w:val="16"/>
                <w:szCs w:val="16"/>
              </w:rPr>
              <w:lastRenderedPageBreak/>
              <w:t>njerëzore të projekteve.</w:t>
            </w:r>
          </w:p>
        </w:tc>
      </w:tr>
    </w:tbl>
    <w:p w14:paraId="014E4653" w14:textId="77777777" w:rsidR="000D306C" w:rsidRPr="00601BD3" w:rsidRDefault="000D306C" w:rsidP="00601BD3">
      <w:pPr>
        <w:pStyle w:val="Bodytext10"/>
        <w:spacing w:after="0"/>
        <w:jc w:val="both"/>
        <w:rPr>
          <w:rStyle w:val="Bodytext1"/>
          <w:rFonts w:ascii="Garamond" w:hAnsi="Garamond"/>
          <w:i/>
          <w:iCs/>
          <w:sz w:val="4"/>
        </w:rPr>
      </w:pPr>
    </w:p>
    <w:p w14:paraId="014E4654" w14:textId="77777777" w:rsidR="000D306C" w:rsidRPr="00A90756" w:rsidRDefault="000D306C" w:rsidP="000D306C">
      <w:pPr>
        <w:pStyle w:val="Bodytext10"/>
        <w:spacing w:after="0"/>
        <w:ind w:firstLine="284"/>
        <w:jc w:val="both"/>
        <w:rPr>
          <w:rFonts w:ascii="Garamond" w:hAnsi="Garamond"/>
        </w:rPr>
      </w:pPr>
      <w:r w:rsidRPr="00A90756">
        <w:rPr>
          <w:rStyle w:val="Bodytext1"/>
          <w:rFonts w:ascii="Garamond" w:hAnsi="Garamond"/>
          <w:i/>
          <w:iCs/>
        </w:rPr>
        <w:t>Masat e parashikuara në program për të rritur kapacitetin e autoriteteve rajonale dhe lokale për adresimin e sfidave lokale do të përfshijnë fushën e qeverisjes mjedisore.</w:t>
      </w:r>
    </w:p>
    <w:p w14:paraId="014E4655" w14:textId="77777777" w:rsidR="000D306C" w:rsidRPr="00A90756" w:rsidRDefault="000D306C" w:rsidP="000D306C">
      <w:pPr>
        <w:pStyle w:val="AAAATEXXX"/>
      </w:pPr>
      <w:bookmarkStart w:id="67" w:name="bookmark103"/>
      <w:bookmarkStart w:id="68" w:name="_Toc118696869"/>
      <w:r w:rsidRPr="00A90756">
        <w:rPr>
          <w:rStyle w:val="Heading21"/>
          <w:rFonts w:ascii="Garamond" w:hAnsi="Garamond"/>
          <w:bCs w:val="0"/>
        </w:rPr>
        <w:t>3.4. Koherenca me programet e tjera dhe me strategjitë makro-rajonale</w:t>
      </w:r>
      <w:bookmarkEnd w:id="67"/>
      <w:bookmarkEnd w:id="68"/>
    </w:p>
    <w:p w14:paraId="014E4656" w14:textId="4D202851"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Marrëveshja e Gjelbër Evropiane</w:t>
      </w:r>
      <w:r w:rsidRPr="00A90756">
        <w:rPr>
          <w:rStyle w:val="FootnoteReference"/>
          <w:rFonts w:ascii="Garamond" w:hAnsi="Garamond"/>
          <w:b/>
          <w:bCs/>
          <w:sz w:val="24"/>
          <w:szCs w:val="24"/>
        </w:rPr>
        <w:footnoteReference w:id="24"/>
      </w:r>
      <w:r w:rsidRPr="00A90756">
        <w:rPr>
          <w:rStyle w:val="Bodytext1"/>
          <w:rFonts w:ascii="Garamond" w:hAnsi="Garamond"/>
          <w:sz w:val="24"/>
          <w:szCs w:val="24"/>
        </w:rPr>
        <w:t xml:space="preserve">: Prioritetet e programit janë plotësisht në përputhje me </w:t>
      </w:r>
      <w:r w:rsidRPr="00A90756">
        <w:rPr>
          <w:rStyle w:val="Bodytext1"/>
          <w:rFonts w:ascii="Garamond" w:hAnsi="Garamond"/>
          <w:bCs/>
          <w:sz w:val="24"/>
          <w:szCs w:val="24"/>
        </w:rPr>
        <w:t>Marrëveshjen e Gjelbër Evropiane</w:t>
      </w:r>
      <w:r w:rsidRPr="00A90756">
        <w:rPr>
          <w:rStyle w:val="Bodytext1"/>
          <w:rFonts w:ascii="Garamond" w:hAnsi="Garamond"/>
          <w:sz w:val="24"/>
          <w:szCs w:val="24"/>
        </w:rPr>
        <w:t>, e cila thekson si qëllimin e saj kryesor se</w:t>
      </w:r>
      <w:r w:rsidR="00C10B7D" w:rsidRPr="00A90756">
        <w:rPr>
          <w:rStyle w:val="Bodytext1"/>
          <w:rFonts w:ascii="Garamond" w:hAnsi="Garamond"/>
          <w:sz w:val="24"/>
          <w:szCs w:val="24"/>
        </w:rPr>
        <w:t>:</w:t>
      </w:r>
      <w:r w:rsidRPr="00A90756">
        <w:rPr>
          <w:rStyle w:val="Bodytext1"/>
          <w:rFonts w:ascii="Garamond" w:hAnsi="Garamond"/>
          <w:sz w:val="24"/>
          <w:szCs w:val="24"/>
        </w:rPr>
        <w:t xml:space="preserve"> </w:t>
      </w:r>
      <w:r w:rsidR="00AE64AA" w:rsidRPr="00A90756">
        <w:rPr>
          <w:rStyle w:val="Bodytext1"/>
          <w:rFonts w:ascii="Garamond" w:hAnsi="Garamond"/>
          <w:sz w:val="24"/>
          <w:szCs w:val="24"/>
        </w:rPr>
        <w:t>“</w:t>
      </w:r>
      <w:r w:rsidRPr="00A90756">
        <w:rPr>
          <w:rStyle w:val="Bodytext1"/>
          <w:rFonts w:ascii="Garamond" w:hAnsi="Garamond"/>
          <w:i/>
          <w:iCs/>
          <w:sz w:val="24"/>
          <w:szCs w:val="24"/>
        </w:rPr>
        <w:t>Marrëveshja e Gjelbër do të përdorë vazhdimisht të gjitha mjetet e politikave: rregullimin dhe standardizimin, investimet dhe inovacionin, reformat kombëtare, dialogun me partnerët socialë dhe bashkëpunimin ndërkombëtar</w:t>
      </w:r>
      <w:r w:rsidRPr="00A90756">
        <w:rPr>
          <w:rStyle w:val="Bodytext1"/>
          <w:rFonts w:ascii="Garamond" w:hAnsi="Garamond"/>
          <w:sz w:val="24"/>
          <w:szCs w:val="24"/>
        </w:rPr>
        <w:t>.</w:t>
      </w:r>
      <w:r w:rsidR="00C10B7D" w:rsidRPr="00A90756">
        <w:rPr>
          <w:rStyle w:val="Bodytext1"/>
          <w:rFonts w:ascii="Garamond" w:hAnsi="Garamond"/>
          <w:sz w:val="24"/>
          <w:szCs w:val="24"/>
        </w:rPr>
        <w:t>”.</w:t>
      </w:r>
      <w:r w:rsidRPr="00A90756">
        <w:rPr>
          <w:rStyle w:val="Bodytext1"/>
          <w:rFonts w:ascii="Garamond" w:hAnsi="Garamond"/>
          <w:sz w:val="24"/>
          <w:szCs w:val="24"/>
        </w:rPr>
        <w:t xml:space="preserve"> Për më tepër, një prioritet është zhbllokimi i përfitimeve të plota të transformimit di</w:t>
      </w:r>
      <w:r w:rsidR="003644C0" w:rsidRPr="00A90756">
        <w:rPr>
          <w:rStyle w:val="Bodytext1"/>
          <w:rFonts w:ascii="Garamond" w:hAnsi="Garamond"/>
          <w:sz w:val="24"/>
          <w:szCs w:val="24"/>
        </w:rPr>
        <w:t>gj</w:t>
      </w:r>
      <w:r w:rsidRPr="00A90756">
        <w:rPr>
          <w:rStyle w:val="Bodytext1"/>
          <w:rFonts w:ascii="Garamond" w:hAnsi="Garamond"/>
          <w:sz w:val="24"/>
          <w:szCs w:val="24"/>
        </w:rPr>
        <w:t>ital për të mbështetur tranzicionin ekologjik. Një prioritet i</w:t>
      </w:r>
      <w:r w:rsidR="00C10B7D" w:rsidRPr="00A90756">
        <w:rPr>
          <w:rStyle w:val="Bodytext1"/>
          <w:rFonts w:ascii="Garamond" w:hAnsi="Garamond"/>
          <w:sz w:val="24"/>
          <w:szCs w:val="24"/>
        </w:rPr>
        <w:t xml:space="preserve"> </w:t>
      </w:r>
      <w:r w:rsidRPr="00A90756">
        <w:rPr>
          <w:rStyle w:val="Bodytext1"/>
          <w:rFonts w:ascii="Garamond" w:hAnsi="Garamond"/>
          <w:sz w:val="24"/>
          <w:szCs w:val="24"/>
        </w:rPr>
        <w:t>medi</w:t>
      </w:r>
      <w:r w:rsidR="00C10B7D" w:rsidRPr="00A90756">
        <w:rPr>
          <w:rStyle w:val="Bodytext1"/>
          <w:rFonts w:ascii="Garamond" w:hAnsi="Garamond"/>
          <w:sz w:val="24"/>
          <w:szCs w:val="24"/>
        </w:rPr>
        <w:t>es</w:t>
      </w:r>
      <w:r w:rsidRPr="00A90756">
        <w:rPr>
          <w:rStyle w:val="Bodytext1"/>
          <w:rFonts w:ascii="Garamond" w:hAnsi="Garamond"/>
          <w:sz w:val="24"/>
          <w:szCs w:val="24"/>
        </w:rPr>
        <w:t xml:space="preserve"> është rritja e aftësisë për parashikimin dhe menaxhimin e fatkeqësive mjedisore.</w:t>
      </w:r>
    </w:p>
    <w:p w14:paraId="014E4657"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Integrimi i masave mbrojtëse të biodiversitetit në të gjitha aktivitetet ekonomike është një nga pesë shtyllat e Axhendës së Gjelbër të Ballkanit Perëndimor, si dhe thelbësore për Marrëveshjen e Gjelbër Evropiane. Zbatimi i Direktivave për Zogjtë dhe Habitatet, së bashku me zbatimin e Direktivave të Vlerësimit të Ndikimit në Mjedis dhe Vlerësimit Strategjik të Ndikimit në Mjedis janë parakushte për zhvillimin e mëtejshëm të infrastrukturës së qëndrueshme.</w:t>
      </w:r>
    </w:p>
    <w:p w14:paraId="014E4658" w14:textId="4C8220A6"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Axhenda e Gjelbër e Ballkanit Perëndimor</w:t>
      </w:r>
      <w:r w:rsidRPr="00A90756">
        <w:rPr>
          <w:rStyle w:val="Bodytext1"/>
          <w:rFonts w:ascii="Garamond" w:hAnsi="Garamond"/>
          <w:sz w:val="24"/>
          <w:szCs w:val="24"/>
        </w:rPr>
        <w:t xml:space="preserve"> përcakton pesë shtylla. Biodiversiteti, mbrojtja dhe rikuperimi i ekosistemeve përmenden në shtyllën e pestë dhe zënë një vend qendror në Marrëveshjen e Gjelbër në grupin e iniciativave të politikave të Komisionit Evropian për ta bërë Evropën neutrale ndaj klimës brenda vitit 2050. Komisioni thotë se </w:t>
      </w:r>
      <w:r w:rsidR="00AE64AA" w:rsidRPr="00A90756">
        <w:rPr>
          <w:rStyle w:val="Bodytext1"/>
          <w:rFonts w:ascii="Garamond" w:hAnsi="Garamond"/>
          <w:sz w:val="24"/>
          <w:szCs w:val="24"/>
        </w:rPr>
        <w:t>“</w:t>
      </w:r>
      <w:r w:rsidRPr="00A90756">
        <w:rPr>
          <w:rStyle w:val="Bodytext1"/>
          <w:rFonts w:ascii="Garamond" w:hAnsi="Garamond"/>
          <w:sz w:val="24"/>
          <w:szCs w:val="24"/>
        </w:rPr>
        <w:t>tranzicioni ekologjik për Evropën mund të jetë plotësisht efikas vetëm nëse ndërmerren veprime edhe nga BE-ja në kuadrin e fqinjësisë së afërt me të</w:t>
      </w:r>
      <w:r w:rsidR="00AE64AA" w:rsidRPr="00A90756">
        <w:rPr>
          <w:rStyle w:val="Bodytext1"/>
          <w:rFonts w:ascii="Garamond" w:hAnsi="Garamond"/>
          <w:sz w:val="24"/>
          <w:szCs w:val="24"/>
        </w:rPr>
        <w:t>”</w:t>
      </w:r>
      <w:r w:rsidRPr="00A90756">
        <w:rPr>
          <w:rStyle w:val="Bodytext1"/>
          <w:rFonts w:ascii="Garamond" w:hAnsi="Garamond"/>
          <w:sz w:val="24"/>
          <w:szCs w:val="24"/>
        </w:rPr>
        <w:t>.</w:t>
      </w:r>
    </w:p>
    <w:p w14:paraId="014E4659" w14:textId="30667F31"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Prandaj, programi do të sigurojë koherencën me </w:t>
      </w:r>
      <w:r w:rsidRPr="00A90756">
        <w:rPr>
          <w:rStyle w:val="Bodytext1"/>
          <w:rFonts w:ascii="Garamond" w:hAnsi="Garamond"/>
          <w:b/>
          <w:bCs/>
          <w:sz w:val="24"/>
          <w:szCs w:val="24"/>
        </w:rPr>
        <w:t>Axhendën e Gjelbër për Ballkanin Perëndimor</w:t>
      </w:r>
      <w:r w:rsidRPr="00A90756">
        <w:rPr>
          <w:rStyle w:val="Bodytext1"/>
          <w:rFonts w:ascii="Garamond" w:hAnsi="Garamond"/>
          <w:sz w:val="24"/>
          <w:szCs w:val="24"/>
        </w:rPr>
        <w:t xml:space="preserve"> sipas </w:t>
      </w:r>
      <w:r w:rsidR="00C10B7D" w:rsidRPr="00A90756">
        <w:rPr>
          <w:rStyle w:val="Bodytext1"/>
          <w:rFonts w:ascii="Garamond" w:hAnsi="Garamond"/>
          <w:sz w:val="24"/>
          <w:szCs w:val="24"/>
        </w:rPr>
        <w:t>udhëzimeve të tij për zbatim</w:t>
      </w:r>
      <w:r w:rsidRPr="00A90756">
        <w:rPr>
          <w:rStyle w:val="Bodytext1"/>
          <w:rFonts w:ascii="Garamond" w:hAnsi="Garamond"/>
          <w:sz w:val="24"/>
          <w:szCs w:val="24"/>
        </w:rPr>
        <w:t>.</w:t>
      </w:r>
    </w:p>
    <w:p w14:paraId="014E465A" w14:textId="35CA6CE8"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Axhenda e Gjelbër për Ballkanin Perëndimor mund të përfitojë shumë nga Strategjitë e Specializimit Inteligjent, të cilat janë konceptuar si a</w:t>
      </w:r>
      <w:r w:rsidR="00C10B7D" w:rsidRPr="00A90756">
        <w:rPr>
          <w:rStyle w:val="Bodytext1"/>
          <w:rFonts w:ascii="Garamond" w:hAnsi="Garamond"/>
          <w:sz w:val="24"/>
          <w:szCs w:val="24"/>
        </w:rPr>
        <w:t>gj</w:t>
      </w:r>
      <w:r w:rsidRPr="00A90756">
        <w:rPr>
          <w:rStyle w:val="Bodytext1"/>
          <w:rFonts w:ascii="Garamond" w:hAnsi="Garamond"/>
          <w:sz w:val="24"/>
          <w:szCs w:val="24"/>
        </w:rPr>
        <w:t>enda transformuese për vendet, të orientuara drejt inovacionit për qëndrueshmëri. Strategjia e Specializimit Inteligjent e Malit të Zi, e miratuar në vitin 2019, e trajton mjedisin dhe qëndrueshmërinë në dy fusha prioritare: së pari, bujqësia e qëndrueshme dhe zinxhiri i vlerës së ushqimit; dhe së dyti, energjia dhe mjedisi i qëndrueshëm.</w:t>
      </w:r>
    </w:p>
    <w:p w14:paraId="014E465B" w14:textId="7F005CDD"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BNK-ja ofron mundësinë për trajtimin e problemeve të përbashkëta dhe për shkëmbimin e njohurive dhe</w:t>
      </w:r>
      <w:r w:rsidR="00C61854" w:rsidRPr="00A90756">
        <w:rPr>
          <w:rStyle w:val="Bodytext1"/>
          <w:rFonts w:ascii="Garamond" w:hAnsi="Garamond"/>
          <w:sz w:val="24"/>
          <w:szCs w:val="24"/>
        </w:rPr>
        <w:t xml:space="preserve"> </w:t>
      </w:r>
      <w:r w:rsidRPr="00A90756">
        <w:rPr>
          <w:rStyle w:val="Bodytext1"/>
          <w:rFonts w:ascii="Garamond" w:hAnsi="Garamond"/>
          <w:sz w:val="24"/>
          <w:szCs w:val="24"/>
        </w:rPr>
        <w:t>praktikave të mira, për shembull, mbi përfitimet e biodiversitetit nga zgjidhjet e bazuara në natyrë, mekanizmat për bashkëpunimin rajonal për ruajtjen e biodiversitetit dhe për mbështetjen e shkëmbimit të njohurive me qendrat kërkimore. Për më tepër, edukimi është çelësi për të ndikuar pozitivisht në sjelljet në lidhje me mjedisin, duke filluar nga mosha e hershme, si dhe për të rikualifikuar punëtorët nga industritë në tranzicion. Kurrikula duhet të përfshijë kompetencat dhe aftësitë kyçe të nevojshme për të performuar në ekonominë e gjelbër.</w:t>
      </w:r>
    </w:p>
    <w:p w14:paraId="014E465C" w14:textId="3329497F"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Meqenëse propozimi IPA III ka një dritare të dedikuar të kornizës së programimit për zbatimin e Axhendës së Gjelbër dhe lidhjes së qëndrueshme, ky program BNK</w:t>
      </w:r>
      <w:r w:rsidR="00C10B7D" w:rsidRPr="00A90756">
        <w:rPr>
          <w:rStyle w:val="Bodytext1"/>
          <w:rFonts w:ascii="Garamond" w:hAnsi="Garamond"/>
          <w:sz w:val="24"/>
          <w:szCs w:val="24"/>
        </w:rPr>
        <w:t>-je</w:t>
      </w:r>
      <w:r w:rsidRPr="00A90756">
        <w:rPr>
          <w:rStyle w:val="Bodytext1"/>
          <w:rFonts w:ascii="Garamond" w:hAnsi="Garamond"/>
          <w:sz w:val="24"/>
          <w:szCs w:val="24"/>
        </w:rPr>
        <w:t xml:space="preserve"> do të përpiqet të sigurojë sinergji dhe komplementaritet me të gjitha nismat e parashikuara në këtë dritare.</w:t>
      </w:r>
    </w:p>
    <w:p w14:paraId="014E465D" w14:textId="55033F0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Marrëveshja e Parisit për Ndryshimet Klimatike</w:t>
      </w:r>
      <w:r w:rsidRPr="00A90756">
        <w:rPr>
          <w:rStyle w:val="Bodytext1"/>
          <w:rFonts w:ascii="Garamond" w:hAnsi="Garamond"/>
          <w:sz w:val="24"/>
          <w:szCs w:val="24"/>
        </w:rPr>
        <w:t xml:space="preserve">: Ballkani Perëndimor është një nga rajonet në Evropë më të prekura nga ndikimi i ndryshimeve klimatike. Mali i Zi dhe Shqipëria janë nënshkrues të </w:t>
      </w:r>
      <w:r w:rsidRPr="00A90756">
        <w:rPr>
          <w:rStyle w:val="Bodytext1"/>
          <w:rFonts w:ascii="Garamond" w:hAnsi="Garamond"/>
          <w:b/>
          <w:bCs/>
          <w:sz w:val="24"/>
          <w:szCs w:val="24"/>
        </w:rPr>
        <w:t>Marrëveshjes së Parisit për Ndryshimet Klimatike</w:t>
      </w:r>
      <w:r w:rsidRPr="00A90756">
        <w:rPr>
          <w:rStyle w:val="Bodytext1"/>
          <w:rFonts w:ascii="Garamond" w:hAnsi="Garamond"/>
          <w:sz w:val="24"/>
          <w:szCs w:val="24"/>
        </w:rPr>
        <w:t xml:space="preserve">, e cila bazohet në </w:t>
      </w:r>
      <w:r w:rsidRPr="00A90756">
        <w:rPr>
          <w:rStyle w:val="Bodytext1"/>
          <w:rFonts w:ascii="Garamond" w:hAnsi="Garamond"/>
          <w:b/>
          <w:bCs/>
          <w:sz w:val="24"/>
          <w:szCs w:val="24"/>
        </w:rPr>
        <w:t>Konventën për Ndryshimet Klimatike</w:t>
      </w:r>
      <w:r w:rsidRPr="00A90756">
        <w:rPr>
          <w:rStyle w:val="Bodytext1"/>
          <w:rFonts w:ascii="Garamond" w:hAnsi="Garamond"/>
          <w:sz w:val="24"/>
          <w:szCs w:val="24"/>
        </w:rPr>
        <w:t xml:space="preserve"> dhe i sjell të gjitha kombet në një kauzë të përbashkët për të ndërmarrë përpjekje ambicioze për të luftuar ndryshimet klimatike dhe për t</w:t>
      </w:r>
      <w:r w:rsidR="00292D5B" w:rsidRPr="00A90756">
        <w:rPr>
          <w:rStyle w:val="Bodytext1"/>
          <w:rFonts w:ascii="Garamond" w:hAnsi="Garamond"/>
          <w:sz w:val="24"/>
          <w:szCs w:val="24"/>
        </w:rPr>
        <w:t>’</w:t>
      </w:r>
      <w:r w:rsidRPr="00A90756">
        <w:rPr>
          <w:rStyle w:val="Bodytext1"/>
          <w:rFonts w:ascii="Garamond" w:hAnsi="Garamond"/>
          <w:sz w:val="24"/>
          <w:szCs w:val="24"/>
        </w:rPr>
        <w:t>iu përshtatur efekteve të tij. Ajo aspiron të ulë emetimet e gazeve serrë me 55% deri në vitin 2030. Ndryshimet klimatike do të vazhdojnë të krijojnë stres të konsiderueshëm në Ballkanin Perëndimor</w:t>
      </w:r>
      <w:r w:rsidR="0083681A" w:rsidRPr="00A90756">
        <w:rPr>
          <w:rStyle w:val="Bodytext1"/>
          <w:rFonts w:ascii="Garamond" w:hAnsi="Garamond"/>
          <w:sz w:val="24"/>
          <w:szCs w:val="24"/>
        </w:rPr>
        <w:t>,</w:t>
      </w:r>
      <w:r w:rsidRPr="00A90756">
        <w:rPr>
          <w:rStyle w:val="Bodytext1"/>
          <w:rFonts w:ascii="Garamond" w:hAnsi="Garamond"/>
          <w:sz w:val="24"/>
          <w:szCs w:val="24"/>
        </w:rPr>
        <w:t xml:space="preserve"> pavarësisht përpjekjeve për zbutjen. Për këtë arsye, forcimi i përpjekjeve për mbrojtjen klimatike, ndërtimin e elasticitetit, parandalimin dhe gatishmërinë në rajon është thelbësor. Ai duhet të përfshijë angazhimin e sektorit privat në investimet e elasticitetit dhe zhvillimin e mekanizmave të transferimit të rrezikut nga fatkeqësitë natyrore. Iniciativat që kanë të bëjnë me përgatitjen dhe </w:t>
      </w:r>
      <w:r w:rsidRPr="00A90756">
        <w:rPr>
          <w:rStyle w:val="Bodytext1"/>
          <w:rFonts w:ascii="Garamond" w:hAnsi="Garamond"/>
          <w:sz w:val="24"/>
          <w:szCs w:val="24"/>
        </w:rPr>
        <w:lastRenderedPageBreak/>
        <w:t xml:space="preserve">zbatimin e strategjive afatgjata të përshtatjes klimatike për të rritur elasticitetin, veçanërisht nëpërmjet korrigjimit të klimës të investimeve do të përshtateshin në mënyrë të përkryer në </w:t>
      </w:r>
      <w:r w:rsidR="0083681A" w:rsidRPr="00A90756">
        <w:rPr>
          <w:rStyle w:val="Bodytext1"/>
          <w:rFonts w:ascii="Garamond" w:hAnsi="Garamond"/>
          <w:sz w:val="24"/>
          <w:szCs w:val="24"/>
        </w:rPr>
        <w:t>agj</w:t>
      </w:r>
      <w:r w:rsidRPr="00A90756">
        <w:rPr>
          <w:rStyle w:val="Bodytext1"/>
          <w:rFonts w:ascii="Garamond" w:hAnsi="Garamond"/>
          <w:sz w:val="24"/>
          <w:szCs w:val="24"/>
        </w:rPr>
        <w:t>endën.</w:t>
      </w:r>
    </w:p>
    <w:p w14:paraId="014E465E" w14:textId="27BFCABB"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 xml:space="preserve">Për më tepër, </w:t>
      </w:r>
      <w:r w:rsidRPr="00A90756">
        <w:rPr>
          <w:rStyle w:val="Bodytext1"/>
          <w:rFonts w:ascii="Garamond" w:hAnsi="Garamond"/>
          <w:b/>
          <w:bCs/>
          <w:sz w:val="24"/>
          <w:szCs w:val="24"/>
        </w:rPr>
        <w:t>Studimi i RCC-së 2018 mbi Ndryshimet Klimatike mbështet rajonin e Ballkanit Perëndimor (BB)</w:t>
      </w:r>
      <w:r w:rsidRPr="00A90756">
        <w:rPr>
          <w:rStyle w:val="Bodytext1"/>
          <w:rFonts w:ascii="Garamond" w:hAnsi="Garamond"/>
          <w:sz w:val="24"/>
          <w:szCs w:val="24"/>
        </w:rPr>
        <w:t xml:space="preserve"> në krijimin e ciklit të tij të zhvillimit të qëndrueshëm</w:t>
      </w:r>
      <w:r w:rsidR="0083681A" w:rsidRPr="00A90756">
        <w:rPr>
          <w:rStyle w:val="Bodytext1"/>
          <w:rFonts w:ascii="Garamond" w:hAnsi="Garamond"/>
          <w:sz w:val="24"/>
          <w:szCs w:val="24"/>
        </w:rPr>
        <w:t>,</w:t>
      </w:r>
      <w:r w:rsidRPr="00A90756">
        <w:rPr>
          <w:rStyle w:val="Bodytext1"/>
          <w:rFonts w:ascii="Garamond" w:hAnsi="Garamond"/>
          <w:sz w:val="24"/>
          <w:szCs w:val="24"/>
        </w:rPr>
        <w:t xml:space="preserve"> të koordinuar nga prioritetet e ekonomive të BB-së, i cili është në përputhje me përgjegjësitë globale dhe të BE-së, duke çliruar njëfarë barre të punës së gjerë që pritet nga çdo ekonomi për të zbatuar.</w:t>
      </w:r>
    </w:p>
    <w:p w14:paraId="014E465F" w14:textId="08220A93"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Plani Ekonomik dhe i Investimeve për Ballkanin Perëndimor</w:t>
      </w:r>
      <w:r w:rsidRPr="00A90756">
        <w:rPr>
          <w:rStyle w:val="Bodytext1"/>
          <w:rFonts w:ascii="Garamond" w:hAnsi="Garamond"/>
          <w:sz w:val="24"/>
          <w:szCs w:val="24"/>
        </w:rPr>
        <w:t>: i cili synon të nxisë rimëkëmbjen ekonomike afatgjatë të rajonit, të mbështesë një tranzicion të gjelbër dhe di</w:t>
      </w:r>
      <w:r w:rsidR="0083681A" w:rsidRPr="00A90756">
        <w:rPr>
          <w:rStyle w:val="Bodytext1"/>
          <w:rFonts w:ascii="Garamond" w:hAnsi="Garamond"/>
          <w:sz w:val="24"/>
          <w:szCs w:val="24"/>
        </w:rPr>
        <w:t>gj</w:t>
      </w:r>
      <w:r w:rsidRPr="00A90756">
        <w:rPr>
          <w:rStyle w:val="Bodytext1"/>
          <w:rFonts w:ascii="Garamond" w:hAnsi="Garamond"/>
          <w:sz w:val="24"/>
          <w:szCs w:val="24"/>
        </w:rPr>
        <w:t>ital, të nxisë integrimin rajonal dhe konvergjencën me Bashkimin Evropian. Me Planin Ekonomik dhe të Investimeve, BE-ja do të mbështesë vlerësimin e Paketës së Zgjerimit me veprime, duke ofruar mbështetje të thellë dhe të fortë për rimëkëmbjen ekonomike dhe reformën – për një Ballkan Perëndimor modern, më të gjelbër dhe më të begatë, duke ofruar më mirë për qytetarët e tyre në rrugën drejt BE-së. Ajo do të mobilizojë deri në 9 miliardë euro fonde për flamurët e investimeve në fushat e transportit, energjisë, tranzicionit të gjelbër dhe di</w:t>
      </w:r>
      <w:r w:rsidR="00CF479A" w:rsidRPr="00A90756">
        <w:rPr>
          <w:rStyle w:val="Bodytext1"/>
          <w:rFonts w:ascii="Garamond" w:hAnsi="Garamond"/>
          <w:sz w:val="24"/>
          <w:szCs w:val="24"/>
        </w:rPr>
        <w:t>gj</w:t>
      </w:r>
      <w:r w:rsidRPr="00A90756">
        <w:rPr>
          <w:rStyle w:val="Bodytext1"/>
          <w:rFonts w:ascii="Garamond" w:hAnsi="Garamond"/>
          <w:sz w:val="24"/>
          <w:szCs w:val="24"/>
        </w:rPr>
        <w:t>ital, për të krijuar rritje të qëndrueshme dhe vende pune</w:t>
      </w:r>
      <w:r w:rsidR="00CF479A" w:rsidRPr="00A90756">
        <w:rPr>
          <w:rStyle w:val="Bodytext1"/>
          <w:rFonts w:ascii="Garamond" w:hAnsi="Garamond"/>
          <w:sz w:val="24"/>
          <w:szCs w:val="24"/>
        </w:rPr>
        <w:t>,</w:t>
      </w:r>
      <w:r w:rsidRPr="00A90756">
        <w:rPr>
          <w:rStyle w:val="Bodytext1"/>
          <w:rFonts w:ascii="Garamond" w:hAnsi="Garamond"/>
          <w:sz w:val="24"/>
          <w:szCs w:val="24"/>
        </w:rPr>
        <w:t xml:space="preserve"> dhe gjithashtu ofron një rrugë për një integrim të suksesshëm ekonomik rajonal për të ndihmuar në përshpejtimin e konvergjencës me BE-në dhe mbyllim hendekun e zhvillimit midis rajoneve tona, duke shpejtuar përfundimisht procesin e integrimit në BE. Ky plan do të ndihmojë në transformimin e Ballkanit Perëndimor në një nga rajonet më tërheqëse për investime në botë.</w:t>
      </w:r>
    </w:p>
    <w:p w14:paraId="014E4660" w14:textId="6A359CCC"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Siç parashikohet në </w:t>
      </w:r>
      <w:r w:rsidR="00CF479A" w:rsidRPr="00A90756">
        <w:rPr>
          <w:rStyle w:val="Bodytext1"/>
          <w:rFonts w:ascii="Garamond" w:hAnsi="Garamond"/>
          <w:sz w:val="24"/>
          <w:szCs w:val="24"/>
        </w:rPr>
        <w:t>u</w:t>
      </w:r>
      <w:r w:rsidRPr="00A90756">
        <w:rPr>
          <w:rStyle w:val="Bodytext1"/>
          <w:rFonts w:ascii="Garamond" w:hAnsi="Garamond"/>
          <w:sz w:val="24"/>
          <w:szCs w:val="24"/>
        </w:rPr>
        <w:t xml:space="preserve">dhëzimet për </w:t>
      </w:r>
      <w:r w:rsidR="00CF479A" w:rsidRPr="00A90756">
        <w:rPr>
          <w:rStyle w:val="Bodytext1"/>
          <w:rFonts w:ascii="Garamond" w:hAnsi="Garamond"/>
          <w:sz w:val="24"/>
          <w:szCs w:val="24"/>
        </w:rPr>
        <w:t>z</w:t>
      </w:r>
      <w:r w:rsidRPr="00A90756">
        <w:rPr>
          <w:rStyle w:val="Bodytext1"/>
          <w:rFonts w:ascii="Garamond" w:hAnsi="Garamond"/>
          <w:sz w:val="24"/>
          <w:szCs w:val="24"/>
        </w:rPr>
        <w:t>batimin e Axhendës së Gjelbër në BB dhe në Planin Ekonomik dhe të Investimeve për BB</w:t>
      </w:r>
      <w:r w:rsidR="00CF479A" w:rsidRPr="00A90756">
        <w:rPr>
          <w:rStyle w:val="Bodytext1"/>
          <w:rFonts w:ascii="Garamond" w:hAnsi="Garamond"/>
          <w:sz w:val="24"/>
          <w:szCs w:val="24"/>
        </w:rPr>
        <w:t>-në</w:t>
      </w:r>
      <w:r w:rsidRPr="00A90756">
        <w:rPr>
          <w:rStyle w:val="Bodytext1"/>
          <w:rFonts w:ascii="Garamond" w:hAnsi="Garamond"/>
          <w:sz w:val="24"/>
          <w:szCs w:val="24"/>
        </w:rPr>
        <w:t>, ky program do të sigurojë përputhje të plotë me tranzicionin e gjelbër</w:t>
      </w:r>
      <w:r w:rsidR="00CF479A" w:rsidRPr="00A90756">
        <w:rPr>
          <w:rStyle w:val="Bodytext1"/>
          <w:rFonts w:ascii="Garamond" w:hAnsi="Garamond"/>
          <w:sz w:val="24"/>
          <w:szCs w:val="24"/>
        </w:rPr>
        <w:t>,</w:t>
      </w:r>
      <w:r w:rsidRPr="00A90756">
        <w:rPr>
          <w:rStyle w:val="Bodytext1"/>
          <w:rFonts w:ascii="Garamond" w:hAnsi="Garamond"/>
          <w:sz w:val="24"/>
          <w:szCs w:val="24"/>
        </w:rPr>
        <w:t xml:space="preserve"> si një prioritet i BE-së për ndihmën e brendshme dhe të jashtme. Kështu, programi do të përfshijë në operacionet e tij një përdorim efikas të burimeve duke kaluar në një ekonomi të pastër, rrethore, restaurimin e biodiversitetit dhe reduktimin e ndotjes.</w:t>
      </w:r>
    </w:p>
    <w:p w14:paraId="014E4661" w14:textId="61822B12"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IPA/IPA BNK, Interreg dhe programet transnacionale:</w:t>
      </w:r>
      <w:r w:rsidRPr="00A90756">
        <w:rPr>
          <w:rStyle w:val="Bodytext1"/>
          <w:rFonts w:ascii="Garamond" w:hAnsi="Garamond"/>
          <w:sz w:val="24"/>
          <w:szCs w:val="24"/>
        </w:rPr>
        <w:t xml:space="preserve"> Përveç kësaj, si Mali i Zi ashtu edhe Shqipëria janë pjesë e programeve të tjera IPA/IPA BNK, Interreg dhe transnacionale. Në këtë kontekst, është e mundur mbivendosja e territoreve të pranueshme ndërmjet programeve të ndryshme. Programi Mali i Zi</w:t>
      </w:r>
      <w:r w:rsidR="00CF479A" w:rsidRPr="00A90756">
        <w:rPr>
          <w:rStyle w:val="Bodytext1"/>
          <w:rFonts w:ascii="Garamond" w:hAnsi="Garamond"/>
          <w:sz w:val="24"/>
          <w:szCs w:val="24"/>
        </w:rPr>
        <w:t>–</w:t>
      </w:r>
      <w:r w:rsidRPr="00A90756">
        <w:rPr>
          <w:rStyle w:val="Bodytext1"/>
          <w:rFonts w:ascii="Garamond" w:hAnsi="Garamond"/>
          <w:sz w:val="24"/>
          <w:szCs w:val="24"/>
        </w:rPr>
        <w:t>Shqipëri mbivendoset me programet e tjera të IPA BNK si me BA</w:t>
      </w:r>
      <w:r w:rsidR="00601BD3">
        <w:rPr>
          <w:rStyle w:val="Bodytext1"/>
          <w:rFonts w:ascii="Garamond" w:hAnsi="Garamond"/>
          <w:sz w:val="24"/>
          <w:szCs w:val="24"/>
        </w:rPr>
        <w:t>-</w:t>
      </w:r>
      <w:r w:rsidRPr="00A90756">
        <w:rPr>
          <w:rStyle w:val="Bodytext1"/>
          <w:rFonts w:ascii="Garamond" w:hAnsi="Garamond"/>
          <w:sz w:val="24"/>
          <w:szCs w:val="24"/>
        </w:rPr>
        <w:t>ME në tre komuna dhe me RS</w:t>
      </w:r>
      <w:r w:rsidR="00601BD3">
        <w:rPr>
          <w:rStyle w:val="Bodytext1"/>
          <w:rFonts w:ascii="Garamond" w:hAnsi="Garamond"/>
          <w:sz w:val="24"/>
          <w:szCs w:val="24"/>
        </w:rPr>
        <w:t>-</w:t>
      </w:r>
      <w:r w:rsidRPr="00A90756">
        <w:rPr>
          <w:rStyle w:val="Bodytext1"/>
          <w:rFonts w:ascii="Garamond" w:hAnsi="Garamond"/>
          <w:sz w:val="24"/>
          <w:szCs w:val="24"/>
        </w:rPr>
        <w:t>ME në 4 prej tyre, ME</w:t>
      </w:r>
      <w:r w:rsidR="00601BD3">
        <w:rPr>
          <w:rStyle w:val="Bodytext1"/>
          <w:rFonts w:ascii="Garamond" w:hAnsi="Garamond"/>
          <w:sz w:val="24"/>
          <w:szCs w:val="24"/>
        </w:rPr>
        <w:t>-</w:t>
      </w:r>
      <w:r w:rsidRPr="00A90756">
        <w:rPr>
          <w:rStyle w:val="Bodytext1"/>
          <w:rFonts w:ascii="Garamond" w:hAnsi="Garamond"/>
          <w:sz w:val="24"/>
          <w:szCs w:val="24"/>
        </w:rPr>
        <w:t>KS në 11 komuna nga 14</w:t>
      </w:r>
      <w:r w:rsidR="00CF479A" w:rsidRPr="00A90756">
        <w:rPr>
          <w:rStyle w:val="Bodytext1"/>
          <w:rFonts w:ascii="Garamond" w:hAnsi="Garamond"/>
          <w:sz w:val="24"/>
          <w:szCs w:val="24"/>
        </w:rPr>
        <w:t>,</w:t>
      </w:r>
      <w:r w:rsidRPr="00A90756">
        <w:rPr>
          <w:rStyle w:val="Bodytext1"/>
          <w:rFonts w:ascii="Garamond" w:hAnsi="Garamond"/>
          <w:sz w:val="24"/>
          <w:szCs w:val="24"/>
        </w:rPr>
        <w:t xml:space="preserve"> nga pala malazeze dhe AL</w:t>
      </w:r>
      <w:r w:rsidR="00601BD3">
        <w:rPr>
          <w:rStyle w:val="Bodytext1"/>
          <w:rFonts w:ascii="Garamond" w:hAnsi="Garamond"/>
          <w:sz w:val="24"/>
          <w:szCs w:val="24"/>
        </w:rPr>
        <w:t>-</w:t>
      </w:r>
      <w:r w:rsidRPr="00A90756">
        <w:rPr>
          <w:rStyle w:val="Bodytext1"/>
          <w:rFonts w:ascii="Garamond" w:hAnsi="Garamond"/>
          <w:sz w:val="24"/>
          <w:szCs w:val="24"/>
        </w:rPr>
        <w:t>KS në 4 komuna nga 8</w:t>
      </w:r>
      <w:r w:rsidR="00CF479A" w:rsidRPr="00A90756">
        <w:rPr>
          <w:rStyle w:val="Bodytext1"/>
          <w:rFonts w:ascii="Garamond" w:hAnsi="Garamond"/>
          <w:sz w:val="24"/>
          <w:szCs w:val="24"/>
        </w:rPr>
        <w:t>,</w:t>
      </w:r>
      <w:r w:rsidRPr="00A90756">
        <w:rPr>
          <w:rStyle w:val="Bodytext1"/>
          <w:rFonts w:ascii="Garamond" w:hAnsi="Garamond"/>
          <w:sz w:val="24"/>
          <w:szCs w:val="24"/>
        </w:rPr>
        <w:t xml:space="preserve"> nga pala shqiptare. Për sa i përket prioriteteve tematike, të gjitha programet e sipërpërmendura zgjodhën TP 5: Nxitja e turizmit dhe trashëgimisë kulturore e natyrore, ndërkohë që objektivat specifike brenda TP</w:t>
      </w:r>
      <w:r w:rsidR="00CF479A" w:rsidRPr="00A90756">
        <w:rPr>
          <w:rStyle w:val="Bodytext1"/>
          <w:rFonts w:ascii="Garamond" w:hAnsi="Garamond"/>
          <w:sz w:val="24"/>
          <w:szCs w:val="24"/>
        </w:rPr>
        <w:t>-së</w:t>
      </w:r>
      <w:r w:rsidRPr="00A90756">
        <w:rPr>
          <w:rStyle w:val="Bodytext1"/>
          <w:rFonts w:ascii="Garamond" w:hAnsi="Garamond"/>
          <w:sz w:val="24"/>
          <w:szCs w:val="24"/>
        </w:rPr>
        <w:t xml:space="preserve"> janë të ndryshëm ndërmjet programeve. Plotësimi ndërmjet këtyre programeve do të kryhet në një mënyrë që CfP-të do të koordinohen bashkërisht ndërmjet programeve</w:t>
      </w:r>
      <w:r w:rsidR="00CF479A" w:rsidRPr="00A90756">
        <w:rPr>
          <w:rStyle w:val="Bodytext1"/>
          <w:rFonts w:ascii="Garamond" w:hAnsi="Garamond"/>
          <w:sz w:val="24"/>
          <w:szCs w:val="24"/>
        </w:rPr>
        <w:t>,</w:t>
      </w:r>
      <w:r w:rsidRPr="00A90756">
        <w:rPr>
          <w:rStyle w:val="Bodytext1"/>
          <w:rFonts w:ascii="Garamond" w:hAnsi="Garamond"/>
          <w:sz w:val="24"/>
          <w:szCs w:val="24"/>
        </w:rPr>
        <w:t xml:space="preserve"> në mënyrë që të alternohen prioritetet e CfP-ve dhe të shkëmbehet informacioni paraprakisht. Gjithashtu, do të organizohen takime koordinuese ndërmjet OS-ve për të harmonizuar qasjen dhe identifikimin e nevojave të autoriteteve vendore dhe për të shmangur mbivendosjet e mundshme.</w:t>
      </w:r>
    </w:p>
    <w:p w14:paraId="014E4662" w14:textId="23F27E9E"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Ky program gjithashtu mbivendoset me territorin e </w:t>
      </w:r>
      <w:r w:rsidRPr="00A90756">
        <w:rPr>
          <w:rStyle w:val="Bodytext1"/>
          <w:rFonts w:ascii="Garamond" w:hAnsi="Garamond"/>
          <w:b/>
          <w:bCs/>
          <w:sz w:val="24"/>
          <w:szCs w:val="24"/>
        </w:rPr>
        <w:t>programit Interreg CRO</w:t>
      </w:r>
      <w:r w:rsidR="00601BD3">
        <w:rPr>
          <w:rStyle w:val="Bodytext1"/>
          <w:rFonts w:ascii="Garamond" w:hAnsi="Garamond"/>
          <w:sz w:val="24"/>
          <w:szCs w:val="24"/>
        </w:rPr>
        <w:t>-</w:t>
      </w:r>
      <w:r w:rsidRPr="00A90756">
        <w:rPr>
          <w:rStyle w:val="Bodytext1"/>
          <w:rFonts w:ascii="Garamond" w:hAnsi="Garamond"/>
          <w:b/>
          <w:bCs/>
          <w:sz w:val="24"/>
          <w:szCs w:val="24"/>
        </w:rPr>
        <w:t>BIH</w:t>
      </w:r>
      <w:r w:rsidR="00601BD3">
        <w:rPr>
          <w:rStyle w:val="Bodytext1"/>
          <w:rFonts w:ascii="Garamond" w:hAnsi="Garamond"/>
          <w:sz w:val="24"/>
          <w:szCs w:val="24"/>
        </w:rPr>
        <w:t>-</w:t>
      </w:r>
      <w:r w:rsidRPr="00A90756">
        <w:rPr>
          <w:rStyle w:val="Bodytext1"/>
          <w:rFonts w:ascii="Garamond" w:hAnsi="Garamond"/>
          <w:b/>
          <w:bCs/>
          <w:sz w:val="24"/>
          <w:szCs w:val="24"/>
        </w:rPr>
        <w:t>ME</w:t>
      </w:r>
      <w:r w:rsidRPr="00A90756">
        <w:rPr>
          <w:rStyle w:val="Bodytext1"/>
          <w:rFonts w:ascii="Garamond" w:hAnsi="Garamond"/>
          <w:sz w:val="24"/>
          <w:szCs w:val="24"/>
        </w:rPr>
        <w:t xml:space="preserve"> në 6 komuna. Megjithatë, ky program Interreg ende nuk i ka vendosur prioritetet, por koordinimi do të sigurohet.</w:t>
      </w:r>
    </w:p>
    <w:p w14:paraId="014E4663" w14:textId="5560FF44"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Për më tepër, ME</w:t>
      </w:r>
      <w:r w:rsidR="00601BD3">
        <w:rPr>
          <w:rStyle w:val="Bodytext1"/>
          <w:rFonts w:ascii="Garamond" w:hAnsi="Garamond"/>
          <w:sz w:val="24"/>
          <w:szCs w:val="24"/>
        </w:rPr>
        <w:t>-</w:t>
      </w:r>
      <w:r w:rsidRPr="00A90756">
        <w:rPr>
          <w:rStyle w:val="Bodytext1"/>
          <w:rFonts w:ascii="Garamond" w:hAnsi="Garamond"/>
          <w:sz w:val="24"/>
          <w:szCs w:val="24"/>
        </w:rPr>
        <w:t xml:space="preserve">AL ndan të njëjtin territor me </w:t>
      </w:r>
      <w:r w:rsidRPr="00A90756">
        <w:rPr>
          <w:rStyle w:val="Bodytext1"/>
          <w:rFonts w:ascii="Garamond" w:hAnsi="Garamond"/>
          <w:b/>
          <w:bCs/>
          <w:sz w:val="24"/>
          <w:szCs w:val="24"/>
        </w:rPr>
        <w:t>programin Interreg IT</w:t>
      </w:r>
      <w:r w:rsidR="00601BD3">
        <w:rPr>
          <w:rStyle w:val="Bodytext1"/>
          <w:rFonts w:ascii="Garamond" w:hAnsi="Garamond"/>
          <w:sz w:val="24"/>
          <w:szCs w:val="24"/>
        </w:rPr>
        <w:t>-</w:t>
      </w:r>
      <w:r w:rsidRPr="00A90756">
        <w:rPr>
          <w:rStyle w:val="Bodytext1"/>
          <w:rFonts w:ascii="Garamond" w:hAnsi="Garamond"/>
          <w:b/>
          <w:bCs/>
          <w:sz w:val="24"/>
          <w:szCs w:val="24"/>
        </w:rPr>
        <w:t>AL</w:t>
      </w:r>
      <w:r w:rsidR="00601BD3">
        <w:rPr>
          <w:rStyle w:val="Bodytext1"/>
          <w:rFonts w:ascii="Garamond" w:hAnsi="Garamond"/>
          <w:sz w:val="24"/>
          <w:szCs w:val="24"/>
        </w:rPr>
        <w:t>-</w:t>
      </w:r>
      <w:r w:rsidRPr="00A90756">
        <w:rPr>
          <w:rStyle w:val="Bodytext1"/>
          <w:rFonts w:ascii="Garamond" w:hAnsi="Garamond"/>
          <w:b/>
          <w:bCs/>
          <w:sz w:val="24"/>
          <w:szCs w:val="24"/>
        </w:rPr>
        <w:t>ME</w:t>
      </w:r>
      <w:r w:rsidRPr="00A90756">
        <w:rPr>
          <w:rStyle w:val="Bodytext1"/>
          <w:rFonts w:ascii="Garamond" w:hAnsi="Garamond"/>
          <w:sz w:val="24"/>
          <w:szCs w:val="24"/>
        </w:rPr>
        <w:t xml:space="preserve"> në 13 komuna nga pala malazeze dhe në 8 komuna nga ajo shqiptare. Për sa i përket prioriteteve tematike në këto dy programe, një objektiv specifik është mbivendosja në lidhje me përshtatjen ndaj ndryshimeve klimatike, parandalimin e rrezikut dhe rezistencën ndaj fatkeqësive</w:t>
      </w:r>
      <w:r w:rsidR="00CF479A" w:rsidRPr="00A90756">
        <w:rPr>
          <w:rStyle w:val="Bodytext1"/>
          <w:rFonts w:ascii="Garamond" w:hAnsi="Garamond"/>
          <w:sz w:val="24"/>
          <w:szCs w:val="24"/>
        </w:rPr>
        <w:t>,</w:t>
      </w:r>
      <w:r w:rsidRPr="00A90756">
        <w:rPr>
          <w:rStyle w:val="Bodytext1"/>
          <w:rFonts w:ascii="Garamond" w:hAnsi="Garamond"/>
          <w:sz w:val="24"/>
          <w:szCs w:val="24"/>
        </w:rPr>
        <w:t xml:space="preserve"> dhe do të sigurohet koordinimi ndërmjet programeve.</w:t>
      </w:r>
    </w:p>
    <w:p w14:paraId="014E4664" w14:textId="21F31B52"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ME</w:t>
      </w:r>
      <w:r w:rsidR="00601BD3">
        <w:rPr>
          <w:rStyle w:val="Bodytext1"/>
          <w:rFonts w:ascii="Garamond" w:hAnsi="Garamond"/>
          <w:sz w:val="24"/>
          <w:szCs w:val="24"/>
        </w:rPr>
        <w:t>-</w:t>
      </w:r>
      <w:r w:rsidRPr="00A90756">
        <w:rPr>
          <w:rStyle w:val="Bodytext1"/>
          <w:rFonts w:ascii="Garamond" w:hAnsi="Garamond"/>
          <w:sz w:val="24"/>
          <w:szCs w:val="24"/>
        </w:rPr>
        <w:t xml:space="preserve">AL ndan të njëjtin territor me programet transnacionale </w:t>
      </w:r>
      <w:r w:rsidRPr="00A90756">
        <w:rPr>
          <w:rStyle w:val="Bodytext1"/>
          <w:rFonts w:ascii="Garamond" w:hAnsi="Garamond"/>
          <w:b/>
          <w:bCs/>
          <w:sz w:val="24"/>
          <w:szCs w:val="24"/>
        </w:rPr>
        <w:t>Adrion dhe MED</w:t>
      </w:r>
      <w:r w:rsidRPr="00A90756">
        <w:rPr>
          <w:rStyle w:val="Bodytext1"/>
          <w:rFonts w:ascii="Garamond" w:hAnsi="Garamond"/>
          <w:sz w:val="24"/>
          <w:szCs w:val="24"/>
        </w:rPr>
        <w:t>, megjithëse ka një fokus të ndryshëm të aplikantëve dhe përfituesve në krahasim me këtë program IPA</w:t>
      </w:r>
      <w:r w:rsidR="00601BD3">
        <w:rPr>
          <w:rStyle w:val="Bodytext1"/>
          <w:rFonts w:ascii="Garamond" w:hAnsi="Garamond"/>
          <w:sz w:val="24"/>
          <w:szCs w:val="24"/>
        </w:rPr>
        <w:t>-</w:t>
      </w:r>
      <w:r w:rsidRPr="00A90756">
        <w:rPr>
          <w:rStyle w:val="Bodytext1"/>
          <w:rFonts w:ascii="Garamond" w:hAnsi="Garamond"/>
          <w:sz w:val="24"/>
          <w:szCs w:val="24"/>
        </w:rPr>
        <w:t>IPA BNK. Programet transnacionale dhe trepalëshe tërheqin një numër të konsiderueshëm institucionesh në nivel qendror, si dhe organizata me kapacitete të forta në krahasim me partnerët në programet dypalëshe BNK. Ka një ndryshim të madh të buxhetit në dispozicion</w:t>
      </w:r>
      <w:r w:rsidR="00CF479A" w:rsidRPr="00A90756">
        <w:rPr>
          <w:rStyle w:val="Bodytext1"/>
          <w:rFonts w:ascii="Garamond" w:hAnsi="Garamond"/>
          <w:sz w:val="24"/>
          <w:szCs w:val="24"/>
        </w:rPr>
        <w:t>,</w:t>
      </w:r>
      <w:r w:rsidRPr="00A90756">
        <w:rPr>
          <w:rStyle w:val="Bodytext1"/>
          <w:rFonts w:ascii="Garamond" w:hAnsi="Garamond"/>
          <w:sz w:val="24"/>
          <w:szCs w:val="24"/>
        </w:rPr>
        <w:t xml:space="preserve"> i cili ndikon në partneritetin </w:t>
      </w:r>
      <w:r w:rsidRPr="00A90756">
        <w:rPr>
          <w:rStyle w:val="Bodytext1"/>
          <w:rFonts w:ascii="Garamond" w:hAnsi="Garamond"/>
          <w:sz w:val="24"/>
          <w:szCs w:val="24"/>
        </w:rPr>
        <w:lastRenderedPageBreak/>
        <w:t>e projektit dhe shtrirjen e projekteve, kështu që praktika tregon se programet dypalëshe BNK janë më të fokusuara në nivelin lokal dhe mbivendosjet ndërmjet projekteve nuk ka gjasa të ndodhë. Megjithatë, duke krahasuar BNK-në dypalëshe dhe INTERREG, janë identifikuar prioritete të ngjashme dhe koordinimi</w:t>
      </w:r>
      <w:r w:rsidR="00CF479A" w:rsidRPr="00A90756">
        <w:rPr>
          <w:rStyle w:val="Bodytext1"/>
          <w:rFonts w:ascii="Garamond" w:hAnsi="Garamond"/>
          <w:sz w:val="24"/>
          <w:szCs w:val="24"/>
        </w:rPr>
        <w:t>,</w:t>
      </w:r>
      <w:r w:rsidRPr="00A90756">
        <w:rPr>
          <w:rStyle w:val="Bodytext1"/>
          <w:rFonts w:ascii="Garamond" w:hAnsi="Garamond"/>
          <w:sz w:val="24"/>
          <w:szCs w:val="24"/>
        </w:rPr>
        <w:t xml:space="preserve"> dhe shkëmbimi i informacionit ndërmjet programeve është i nevojshëm për të krijuar sinergji dhe për të shmangur dyfishimin.</w:t>
      </w:r>
    </w:p>
    <w:p w14:paraId="014E4665" w14:textId="764E903D"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b/>
          <w:bCs/>
          <w:sz w:val="24"/>
          <w:szCs w:val="24"/>
        </w:rPr>
        <w:t>Strategjia e BE-së për Rajonin Adriatik</w:t>
      </w:r>
      <w:r w:rsidR="00601BD3">
        <w:rPr>
          <w:rStyle w:val="Bodytext1"/>
          <w:rFonts w:ascii="Garamond" w:hAnsi="Garamond"/>
          <w:b/>
          <w:bCs/>
          <w:sz w:val="24"/>
          <w:szCs w:val="24"/>
        </w:rPr>
        <w:t>o-</w:t>
      </w:r>
      <w:r w:rsidRPr="00A90756">
        <w:rPr>
          <w:rStyle w:val="Bodytext1"/>
          <w:rFonts w:ascii="Garamond" w:hAnsi="Garamond"/>
          <w:b/>
          <w:bCs/>
          <w:sz w:val="24"/>
          <w:szCs w:val="24"/>
        </w:rPr>
        <w:t>Jon</w:t>
      </w:r>
      <w:r w:rsidR="00601BD3">
        <w:rPr>
          <w:rStyle w:val="Bodytext1"/>
          <w:rFonts w:ascii="Garamond" w:hAnsi="Garamond"/>
          <w:b/>
          <w:bCs/>
          <w:sz w:val="24"/>
          <w:szCs w:val="24"/>
        </w:rPr>
        <w:t>ian</w:t>
      </w:r>
      <w:r w:rsidRPr="00A90756">
        <w:rPr>
          <w:rStyle w:val="Bodytext1"/>
          <w:rFonts w:ascii="Garamond" w:hAnsi="Garamond"/>
          <w:b/>
          <w:bCs/>
          <w:sz w:val="24"/>
          <w:szCs w:val="24"/>
        </w:rPr>
        <w:t xml:space="preserve"> (EUSAIR),</w:t>
      </w:r>
      <w:r w:rsidRPr="00A90756">
        <w:rPr>
          <w:rStyle w:val="Bodytext1"/>
          <w:rFonts w:ascii="Garamond" w:hAnsi="Garamond"/>
          <w:sz w:val="24"/>
          <w:szCs w:val="24"/>
        </w:rPr>
        <w:t xml:space="preserve"> e lidhur me programin, është plotësuese në një sërë fushash pasi të dyja synojnë mbrojtjen e mjedisit, promovimin e turizmit dhe sipërmarrjen duke përdorur aftësitë, inovacionin dhe TIK-un. E njëjta gjë vlen edhe për programet e tjera transnacionale dhe Interreg ku marrin pjesë si Mali i Zi ashtu edhe Shqipëria</w:t>
      </w:r>
      <w:r w:rsidR="002937CA" w:rsidRPr="00A90756">
        <w:rPr>
          <w:rStyle w:val="Bodytext1"/>
          <w:rFonts w:ascii="Garamond" w:hAnsi="Garamond"/>
          <w:sz w:val="24"/>
          <w:szCs w:val="24"/>
        </w:rPr>
        <w:t>,</w:t>
      </w:r>
      <w:r w:rsidRPr="00A90756">
        <w:rPr>
          <w:rStyle w:val="Bodytext1"/>
          <w:rFonts w:ascii="Garamond" w:hAnsi="Garamond"/>
          <w:sz w:val="24"/>
          <w:szCs w:val="24"/>
        </w:rPr>
        <w:t xml:space="preserve"> si Adriatik</w:t>
      </w:r>
      <w:r w:rsidR="00053D8A">
        <w:rPr>
          <w:rStyle w:val="Bodytext1"/>
          <w:rFonts w:ascii="Garamond" w:hAnsi="Garamond"/>
          <w:sz w:val="24"/>
          <w:szCs w:val="24"/>
        </w:rPr>
        <w:t>–</w:t>
      </w:r>
      <w:r w:rsidRPr="00A90756">
        <w:rPr>
          <w:rStyle w:val="Bodytext1"/>
          <w:rFonts w:ascii="Garamond" w:hAnsi="Garamond"/>
          <w:sz w:val="24"/>
          <w:szCs w:val="24"/>
        </w:rPr>
        <w:t>Jon dhe Itali</w:t>
      </w:r>
      <w:r w:rsidR="00CD3EED" w:rsidRPr="00A90756">
        <w:rPr>
          <w:rStyle w:val="SubtleEmphasis"/>
          <w:rFonts w:ascii="Garamond" w:hAnsi="Garamond"/>
          <w:i w:val="0"/>
          <w:iCs w:val="0"/>
        </w:rPr>
        <w:t>–</w:t>
      </w:r>
      <w:r w:rsidRPr="00A90756">
        <w:rPr>
          <w:rStyle w:val="Bodytext1"/>
          <w:rFonts w:ascii="Garamond" w:hAnsi="Garamond"/>
          <w:sz w:val="24"/>
          <w:szCs w:val="24"/>
        </w:rPr>
        <w:t>Shqipëri</w:t>
      </w:r>
      <w:r w:rsidR="00CD3EED" w:rsidRPr="00A90756">
        <w:rPr>
          <w:rStyle w:val="SubtleEmphasis"/>
          <w:rFonts w:ascii="Garamond" w:hAnsi="Garamond"/>
          <w:i w:val="0"/>
          <w:iCs w:val="0"/>
        </w:rPr>
        <w:t>–</w:t>
      </w:r>
      <w:r w:rsidRPr="00A90756">
        <w:rPr>
          <w:rStyle w:val="Bodytext1"/>
          <w:rFonts w:ascii="Garamond" w:hAnsi="Garamond"/>
          <w:sz w:val="24"/>
          <w:szCs w:val="24"/>
        </w:rPr>
        <w:t>Mali i Zi, ku potencialet investuese që mund të kryhen në kuadër të këtyre programeve mund të koordinohen mirë dhe të plotësohen përmes projekteve më të vogla ndërmjet dy shtete.</w:t>
      </w:r>
    </w:p>
    <w:p w14:paraId="014E4666" w14:textId="64AE0ED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Pasuria e përbashkët natyrore e Programit Adriatiko</w:t>
      </w:r>
      <w:r w:rsidR="002937CA" w:rsidRPr="00A90756">
        <w:rPr>
          <w:rStyle w:val="Bodytext1"/>
          <w:rFonts w:ascii="Garamond" w:hAnsi="Garamond"/>
          <w:sz w:val="24"/>
          <w:szCs w:val="24"/>
        </w:rPr>
        <w:t>–</w:t>
      </w:r>
      <w:r w:rsidRPr="00A90756">
        <w:rPr>
          <w:rStyle w:val="Bodytext1"/>
          <w:rFonts w:ascii="Garamond" w:hAnsi="Garamond"/>
          <w:sz w:val="24"/>
          <w:szCs w:val="24"/>
        </w:rPr>
        <w:t>Jonian është edhe baza e bashkëpunimit të këtij programi që vjen nga veçoria e përbashkët e vendeve pjesëmarrëse që kanë të përbashkët detin, ku do të zhvillohen veprime me nevojat dhe potencialet e aktiviteteve të lidhura me detin në zonën e Jonit, duke kontribuar dhe plotësuar programe në kuadër të Programit Mali i Zi</w:t>
      </w:r>
      <w:r w:rsidR="002937CA" w:rsidRPr="00A90756">
        <w:rPr>
          <w:rStyle w:val="Bodytext1"/>
          <w:rFonts w:ascii="Garamond" w:hAnsi="Garamond"/>
          <w:sz w:val="24"/>
          <w:szCs w:val="24"/>
        </w:rPr>
        <w:t>–</w:t>
      </w:r>
      <w:r w:rsidRPr="00A90756">
        <w:rPr>
          <w:rStyle w:val="Bodytext1"/>
          <w:rFonts w:ascii="Garamond" w:hAnsi="Garamond"/>
          <w:sz w:val="24"/>
          <w:szCs w:val="24"/>
        </w:rPr>
        <w:t xml:space="preserve">Shqipëri, duke dëshmuar më shumë theksin tek rritja blu si një tipar i veçantë. Lidhur me </w:t>
      </w:r>
      <w:r w:rsidR="00AE64AA" w:rsidRPr="00A90756">
        <w:rPr>
          <w:rStyle w:val="Bodytext1"/>
          <w:rFonts w:ascii="Garamond" w:hAnsi="Garamond"/>
          <w:sz w:val="24"/>
          <w:szCs w:val="24"/>
        </w:rPr>
        <w:t>“</w:t>
      </w:r>
      <w:r w:rsidRPr="00A90756">
        <w:rPr>
          <w:rStyle w:val="Bodytext1"/>
          <w:rFonts w:ascii="Garamond" w:hAnsi="Garamond"/>
          <w:sz w:val="24"/>
          <w:szCs w:val="24"/>
        </w:rPr>
        <w:t>kërkimin, inovacionin dhe zhvillimin e SME-ve</w:t>
      </w:r>
      <w:r w:rsidR="00AE64AA" w:rsidRPr="00A90756">
        <w:rPr>
          <w:rStyle w:val="Bodytext1"/>
          <w:rFonts w:ascii="Garamond" w:hAnsi="Garamond"/>
          <w:sz w:val="24"/>
          <w:szCs w:val="24"/>
        </w:rPr>
        <w:t>”</w:t>
      </w:r>
      <w:r w:rsidRPr="00A90756">
        <w:rPr>
          <w:rStyle w:val="Bodytext1"/>
          <w:rFonts w:ascii="Garamond" w:hAnsi="Garamond"/>
          <w:sz w:val="24"/>
          <w:szCs w:val="24"/>
        </w:rPr>
        <w:t xml:space="preserve">, veprimet nën temën e parë </w:t>
      </w:r>
      <w:r w:rsidR="00AE64AA" w:rsidRPr="00A90756">
        <w:rPr>
          <w:rStyle w:val="Bodytext1"/>
          <w:rFonts w:ascii="Garamond" w:hAnsi="Garamond"/>
          <w:sz w:val="24"/>
          <w:szCs w:val="24"/>
        </w:rPr>
        <w:t>“</w:t>
      </w:r>
      <w:r w:rsidRPr="00A90756">
        <w:rPr>
          <w:rStyle w:val="Bodytext1"/>
          <w:rFonts w:ascii="Garamond" w:hAnsi="Garamond"/>
          <w:sz w:val="24"/>
          <w:szCs w:val="24"/>
        </w:rPr>
        <w:t>teknologjia blu</w:t>
      </w:r>
      <w:r w:rsidR="00AE64AA" w:rsidRPr="00A90756">
        <w:rPr>
          <w:rStyle w:val="Bodytext1"/>
          <w:rFonts w:ascii="Garamond" w:hAnsi="Garamond"/>
          <w:sz w:val="24"/>
          <w:szCs w:val="24"/>
        </w:rPr>
        <w:t>”</w:t>
      </w:r>
      <w:r w:rsidRPr="00A90756">
        <w:rPr>
          <w:rStyle w:val="Bodytext1"/>
          <w:rFonts w:ascii="Garamond" w:hAnsi="Garamond"/>
          <w:sz w:val="24"/>
          <w:szCs w:val="24"/>
        </w:rPr>
        <w:t xml:space="preserve"> dhe tema e dytë </w:t>
      </w:r>
      <w:r w:rsidR="00AE64AA" w:rsidRPr="00A90756">
        <w:rPr>
          <w:rStyle w:val="Bodytext1"/>
          <w:rFonts w:ascii="Garamond" w:hAnsi="Garamond"/>
          <w:sz w:val="24"/>
          <w:szCs w:val="24"/>
        </w:rPr>
        <w:t>“</w:t>
      </w:r>
      <w:r w:rsidRPr="00A90756">
        <w:rPr>
          <w:rStyle w:val="Bodytext1"/>
          <w:rFonts w:ascii="Garamond" w:hAnsi="Garamond"/>
          <w:sz w:val="24"/>
          <w:szCs w:val="24"/>
        </w:rPr>
        <w:t>peshkimi dhe akuakultura</w:t>
      </w:r>
      <w:r w:rsidR="00AE64AA" w:rsidRPr="00A90756">
        <w:rPr>
          <w:rStyle w:val="Bodytext1"/>
          <w:rFonts w:ascii="Garamond" w:hAnsi="Garamond"/>
          <w:sz w:val="24"/>
          <w:szCs w:val="24"/>
        </w:rPr>
        <w:t>”</w:t>
      </w:r>
      <w:r w:rsidRPr="00A90756">
        <w:rPr>
          <w:rStyle w:val="Bodytext1"/>
          <w:rFonts w:ascii="Garamond" w:hAnsi="Garamond"/>
          <w:sz w:val="24"/>
          <w:szCs w:val="24"/>
        </w:rPr>
        <w:t xml:space="preserve"> kanë të dyja një fokus të fortë në kërkimin dhe inovacionin. Ato do të ofronin gjithashtu vlerë të shtuar për mjedisin PT 2 dhe ka potencial sinergjish dhe komplementariteti. Kjo gjithashtu përfshin përdorimin e kërkimeve më të fundit për zhvillimin e produkteve komerciale dhe ndërkombëtarizimin e grupeve. Veprimet mund të ndihmojnë në transferimin e rezultateve më të fundit të K&amp;ZH-së në përpunimin e ushqimeve të detit dhe produktet e reja, duke ndihmuar SME-të që punojnë në sektorin e turizmit/ofruesit e shërbimeve të zhvillohen në sektorët në fjalë. Ka një fokus të fortë në </w:t>
      </w:r>
      <w:r w:rsidR="00AE64AA" w:rsidRPr="00A90756">
        <w:rPr>
          <w:rStyle w:val="Bodytext1"/>
          <w:rFonts w:ascii="Garamond" w:hAnsi="Garamond"/>
          <w:sz w:val="24"/>
          <w:szCs w:val="24"/>
        </w:rPr>
        <w:t>“</w:t>
      </w:r>
      <w:r w:rsidRPr="00A90756">
        <w:rPr>
          <w:rStyle w:val="Bodytext1"/>
          <w:rFonts w:ascii="Garamond" w:hAnsi="Garamond"/>
          <w:sz w:val="24"/>
          <w:szCs w:val="24"/>
        </w:rPr>
        <w:t>qarkullimin e trurit</w:t>
      </w:r>
      <w:r w:rsidR="00AE64AA" w:rsidRPr="00A90756">
        <w:rPr>
          <w:rStyle w:val="Bodytext1"/>
          <w:rFonts w:ascii="Garamond" w:hAnsi="Garamond"/>
          <w:sz w:val="24"/>
          <w:szCs w:val="24"/>
        </w:rPr>
        <w:t>”</w:t>
      </w:r>
      <w:r w:rsidRPr="00A90756">
        <w:rPr>
          <w:rStyle w:val="Bodytext1"/>
          <w:rFonts w:ascii="Garamond" w:hAnsi="Garamond"/>
          <w:sz w:val="24"/>
          <w:szCs w:val="24"/>
        </w:rPr>
        <w:t xml:space="preserve"> (lëvizshmëria e studiuesve, gjithashtu midis akademisë dhe sektorit privat) dhe në krijimin e platformave të përbashkëta kërkimore </w:t>
      </w:r>
      <w:r w:rsidRPr="00601BD3">
        <w:rPr>
          <w:rStyle w:val="Bodytext1"/>
          <w:rFonts w:ascii="Garamond" w:hAnsi="Garamond"/>
          <w:sz w:val="24"/>
          <w:szCs w:val="24"/>
        </w:rPr>
        <w:t>dhe inovative në rajon</w:t>
      </w:r>
      <w:r w:rsidR="00601BD3">
        <w:rPr>
          <w:rStyle w:val="Bodytext1"/>
          <w:rFonts w:ascii="Garamond" w:hAnsi="Garamond"/>
          <w:sz w:val="24"/>
          <w:szCs w:val="24"/>
        </w:rPr>
        <w:t>in</w:t>
      </w:r>
      <w:r w:rsidRPr="00601BD3">
        <w:rPr>
          <w:rStyle w:val="Bodytext1"/>
          <w:rFonts w:ascii="Garamond" w:hAnsi="Garamond"/>
          <w:sz w:val="24"/>
          <w:szCs w:val="24"/>
        </w:rPr>
        <w:t xml:space="preserve"> Adriatiko</w:t>
      </w:r>
      <w:r w:rsidR="00053D8A">
        <w:rPr>
          <w:rStyle w:val="Bodytext1"/>
          <w:rFonts w:ascii="Garamond" w:hAnsi="Garamond"/>
          <w:sz w:val="24"/>
          <w:szCs w:val="24"/>
        </w:rPr>
        <w:t>–</w:t>
      </w:r>
      <w:r w:rsidRPr="00601BD3">
        <w:rPr>
          <w:rStyle w:val="Bodytext1"/>
          <w:rFonts w:ascii="Garamond" w:hAnsi="Garamond"/>
          <w:sz w:val="24"/>
          <w:szCs w:val="24"/>
        </w:rPr>
        <w:t>Jonian</w:t>
      </w:r>
      <w:r w:rsidRPr="00A90756">
        <w:rPr>
          <w:rStyle w:val="Bodytext1"/>
          <w:rFonts w:ascii="Garamond" w:hAnsi="Garamond"/>
          <w:sz w:val="24"/>
          <w:szCs w:val="24"/>
        </w:rPr>
        <w:t xml:space="preserve"> do të synojë promovimin e rritjes së qëndrueshme ekonomike dhe vendeve të punës, si dhe krijimin e mundësive të biznesit nga sektori i ekonomisë blu si akuakultura, peshkimi, bioteknologjitë blu, shërbimet detare etj., të cilat do të ofrojnë një vlerë të shtuar për programin ME</w:t>
      </w:r>
      <w:r w:rsidR="00C908D9">
        <w:rPr>
          <w:rStyle w:val="Bodytext1"/>
          <w:rFonts w:ascii="Garamond" w:hAnsi="Garamond"/>
          <w:sz w:val="24"/>
          <w:szCs w:val="24"/>
        </w:rPr>
        <w:t>-</w:t>
      </w:r>
      <w:r w:rsidRPr="00A90756">
        <w:rPr>
          <w:rStyle w:val="Bodytext1"/>
          <w:rFonts w:ascii="Garamond" w:hAnsi="Garamond"/>
          <w:sz w:val="24"/>
          <w:szCs w:val="24"/>
        </w:rPr>
        <w:t>AL.</w:t>
      </w:r>
    </w:p>
    <w:p w14:paraId="014E4667" w14:textId="36936909"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Mali i Zi merr pjesë në EUSDR. Nga 12 fushat prioritare (PA), dy prej tyre lidhen me TP-të e përzgjedhura në kuadër të programit BNK ME</w:t>
      </w:r>
      <w:r w:rsidR="00C908D9">
        <w:rPr>
          <w:rStyle w:val="Bodytext1"/>
          <w:rFonts w:ascii="Garamond" w:hAnsi="Garamond"/>
          <w:sz w:val="24"/>
          <w:szCs w:val="24"/>
        </w:rPr>
        <w:t>-</w:t>
      </w:r>
      <w:r w:rsidRPr="00A90756">
        <w:rPr>
          <w:rStyle w:val="Bodytext1"/>
          <w:rFonts w:ascii="Garamond" w:hAnsi="Garamond"/>
          <w:sz w:val="24"/>
          <w:szCs w:val="24"/>
        </w:rPr>
        <w:t xml:space="preserve">AL. Një ZM është </w:t>
      </w:r>
      <w:r w:rsidR="002937CA" w:rsidRPr="00A90756">
        <w:rPr>
          <w:rStyle w:val="Bodytext1"/>
          <w:rFonts w:ascii="Garamond" w:hAnsi="Garamond"/>
          <w:sz w:val="24"/>
          <w:szCs w:val="24"/>
        </w:rPr>
        <w:t>kultura dhe turizmi</w:t>
      </w:r>
      <w:r w:rsidRPr="00A90756">
        <w:rPr>
          <w:rStyle w:val="Bodytext1"/>
          <w:rFonts w:ascii="Garamond" w:hAnsi="Garamond"/>
          <w:sz w:val="24"/>
          <w:szCs w:val="24"/>
        </w:rPr>
        <w:t>, misioni i së cilës është të promovojë kulturën dhe turizmin, kontaktet mes njerëzve. Për më tepër, PA 9: Njerëzit dhe Aftësitë kanë misionin të investojnë në njerëz dhe aftësi</w:t>
      </w:r>
      <w:r w:rsidR="002937CA" w:rsidRPr="00A90756">
        <w:rPr>
          <w:rStyle w:val="Bodytext1"/>
          <w:rFonts w:ascii="Garamond" w:hAnsi="Garamond"/>
          <w:sz w:val="24"/>
          <w:szCs w:val="24"/>
        </w:rPr>
        <w:t>.</w:t>
      </w:r>
    </w:p>
    <w:p w14:paraId="014E4668" w14:textId="0D95984C"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 xml:space="preserve">Të dyja vendet, Mali i Zi dhe Shqipëria janë pjesë e programeve të tjera të vazhdueshme dhe të ardhshme </w:t>
      </w:r>
      <w:r w:rsidRPr="00A90756">
        <w:rPr>
          <w:rStyle w:val="Bodytext1"/>
          <w:rFonts w:ascii="Garamond" w:hAnsi="Garamond"/>
          <w:bCs/>
          <w:sz w:val="24"/>
          <w:szCs w:val="24"/>
        </w:rPr>
        <w:t>të IPA-s për shumë vende dhe dypalëshe</w:t>
      </w:r>
      <w:r w:rsidRPr="00A90756">
        <w:rPr>
          <w:rStyle w:val="Bodytext1"/>
          <w:rFonts w:ascii="Garamond" w:hAnsi="Garamond"/>
          <w:sz w:val="24"/>
          <w:szCs w:val="24"/>
        </w:rPr>
        <w:t>. Prioritetet tematike të përzgjedhura të programit ME</w:t>
      </w:r>
      <w:r w:rsidR="00C908D9">
        <w:rPr>
          <w:rStyle w:val="Bodytext1"/>
          <w:rFonts w:ascii="Garamond" w:hAnsi="Garamond"/>
          <w:sz w:val="24"/>
          <w:szCs w:val="24"/>
        </w:rPr>
        <w:t>-</w:t>
      </w:r>
      <w:r w:rsidRPr="00A90756">
        <w:rPr>
          <w:rStyle w:val="Bodytext1"/>
          <w:rFonts w:ascii="Garamond" w:hAnsi="Garamond"/>
          <w:sz w:val="24"/>
          <w:szCs w:val="24"/>
        </w:rPr>
        <w:t>AL: i</w:t>
      </w:r>
      <w:r w:rsidR="00D06E61" w:rsidRPr="00A90756">
        <w:rPr>
          <w:rStyle w:val="Bodytext1"/>
          <w:rFonts w:ascii="Garamond" w:hAnsi="Garamond"/>
          <w:sz w:val="24"/>
          <w:szCs w:val="24"/>
        </w:rPr>
        <w:t>.</w:t>
      </w:r>
      <w:r w:rsidRPr="00A90756">
        <w:rPr>
          <w:rStyle w:val="Bodytext1"/>
          <w:rFonts w:ascii="Garamond" w:hAnsi="Garamond"/>
          <w:sz w:val="24"/>
          <w:szCs w:val="24"/>
        </w:rPr>
        <w:t xml:space="preserve"> Mbrojtja e mjedisit, promovimi i përshtatjes dhe zbutja e ndryshimeve klimatike, parandalimi dhe menaxhimi i rrezikut; ii</w:t>
      </w:r>
      <w:r w:rsidR="00D06E61" w:rsidRPr="00A90756">
        <w:rPr>
          <w:rStyle w:val="Bodytext1"/>
          <w:rFonts w:ascii="Garamond" w:hAnsi="Garamond"/>
          <w:sz w:val="24"/>
          <w:szCs w:val="24"/>
        </w:rPr>
        <w:t>.</w:t>
      </w:r>
      <w:r w:rsidRPr="00A90756">
        <w:rPr>
          <w:rStyle w:val="Bodytext1"/>
          <w:rFonts w:ascii="Garamond" w:hAnsi="Garamond"/>
          <w:sz w:val="24"/>
          <w:szCs w:val="24"/>
        </w:rPr>
        <w:t xml:space="preserve"> Inkurajimi i turizmit dhe trashëgimisë kulturore dhe natyrore, janë të harmonizuara dhe plotësuese me projekte të ndryshme ekzistuese dhe të ardhshme të financuara nga IPA shumëvendëshe dhe dypalëshe</w:t>
      </w:r>
      <w:r w:rsidR="002937CA" w:rsidRPr="00A90756">
        <w:rPr>
          <w:rStyle w:val="Bodytext1"/>
          <w:rFonts w:ascii="Garamond" w:hAnsi="Garamond"/>
          <w:sz w:val="24"/>
          <w:szCs w:val="24"/>
        </w:rPr>
        <w:t>,</w:t>
      </w:r>
      <w:r w:rsidRPr="00A90756">
        <w:rPr>
          <w:rStyle w:val="Bodytext1"/>
          <w:rFonts w:ascii="Garamond" w:hAnsi="Garamond"/>
          <w:sz w:val="24"/>
          <w:szCs w:val="24"/>
        </w:rPr>
        <w:t xml:space="preserve"> në sektorë të tillë si: i</w:t>
      </w:r>
      <w:r w:rsidR="00D06E61" w:rsidRPr="00A90756">
        <w:rPr>
          <w:rStyle w:val="Bodytext1"/>
          <w:rFonts w:ascii="Garamond" w:hAnsi="Garamond"/>
          <w:sz w:val="24"/>
          <w:szCs w:val="24"/>
        </w:rPr>
        <w:t>.</w:t>
      </w:r>
      <w:r w:rsidRPr="00A90756">
        <w:rPr>
          <w:rStyle w:val="Bodytext1"/>
          <w:rFonts w:ascii="Garamond" w:hAnsi="Garamond"/>
          <w:sz w:val="24"/>
          <w:szCs w:val="24"/>
        </w:rPr>
        <w:t xml:space="preserve"> Mjedisi, veprimi klimatik dhe energjia</w:t>
      </w:r>
      <w:r w:rsidRPr="00A90756">
        <w:rPr>
          <w:rStyle w:val="Bodytext1"/>
          <w:rFonts w:ascii="Garamond" w:hAnsi="Garamond"/>
          <w:sz w:val="24"/>
          <w:szCs w:val="24"/>
          <w:vertAlign w:val="superscript"/>
        </w:rPr>
        <w:footnoteReference w:id="25"/>
      </w:r>
      <w:r w:rsidRPr="00A90756">
        <w:rPr>
          <w:rStyle w:val="Bodytext1"/>
          <w:rFonts w:ascii="Garamond" w:hAnsi="Garamond"/>
          <w:sz w:val="24"/>
          <w:szCs w:val="24"/>
        </w:rPr>
        <w:t>; ii</w:t>
      </w:r>
      <w:r w:rsidR="00D06E61" w:rsidRPr="00A90756">
        <w:rPr>
          <w:rStyle w:val="Bodytext1"/>
          <w:rFonts w:ascii="Garamond" w:hAnsi="Garamond"/>
          <w:sz w:val="24"/>
          <w:szCs w:val="24"/>
        </w:rPr>
        <w:t>.</w:t>
      </w:r>
      <w:r w:rsidRPr="00A90756">
        <w:rPr>
          <w:rStyle w:val="Bodytext1"/>
          <w:rFonts w:ascii="Garamond" w:hAnsi="Garamond"/>
          <w:sz w:val="24"/>
          <w:szCs w:val="24"/>
        </w:rPr>
        <w:t xml:space="preserve"> Konkurrueshmëria, inovacioni, bujqësia dhe zhvillimi rural</w:t>
      </w:r>
      <w:r w:rsidRPr="00A90756">
        <w:rPr>
          <w:rStyle w:val="Bodytext1"/>
          <w:rFonts w:ascii="Garamond" w:hAnsi="Garamond"/>
          <w:sz w:val="24"/>
          <w:szCs w:val="24"/>
          <w:vertAlign w:val="superscript"/>
        </w:rPr>
        <w:footnoteReference w:id="26"/>
      </w:r>
      <w:r w:rsidRPr="00A90756">
        <w:rPr>
          <w:rStyle w:val="Bodytext1"/>
          <w:rFonts w:ascii="Garamond" w:hAnsi="Garamond"/>
          <w:sz w:val="24"/>
          <w:szCs w:val="24"/>
        </w:rPr>
        <w:t xml:space="preserve">; </w:t>
      </w:r>
      <w:r w:rsidRPr="00A90756">
        <w:rPr>
          <w:rStyle w:val="Bodytext1"/>
          <w:rFonts w:ascii="Garamond" w:hAnsi="Garamond"/>
          <w:sz w:val="24"/>
          <w:szCs w:val="24"/>
        </w:rPr>
        <w:lastRenderedPageBreak/>
        <w:t>dhe iii</w:t>
      </w:r>
      <w:r w:rsidR="00D06E61" w:rsidRPr="00A90756">
        <w:rPr>
          <w:rStyle w:val="Bodytext1"/>
          <w:rFonts w:ascii="Garamond" w:hAnsi="Garamond"/>
          <w:sz w:val="24"/>
          <w:szCs w:val="24"/>
        </w:rPr>
        <w:t>.</w:t>
      </w:r>
      <w:r w:rsidRPr="00A90756">
        <w:rPr>
          <w:rStyle w:val="Bodytext1"/>
          <w:rFonts w:ascii="Garamond" w:hAnsi="Garamond"/>
          <w:sz w:val="24"/>
          <w:szCs w:val="24"/>
        </w:rPr>
        <w:t xml:space="preserve"> Politikat e arsimit, punësimit dhe sociale</w:t>
      </w:r>
      <w:r w:rsidRPr="00A90756">
        <w:rPr>
          <w:rStyle w:val="Bodytext1"/>
          <w:rFonts w:ascii="Garamond" w:hAnsi="Garamond"/>
          <w:sz w:val="24"/>
          <w:szCs w:val="24"/>
          <w:vertAlign w:val="superscript"/>
        </w:rPr>
        <w:footnoteReference w:id="27"/>
      </w:r>
      <w:r w:rsidRPr="00A90756">
        <w:rPr>
          <w:rStyle w:val="Bodytext1"/>
          <w:rFonts w:ascii="Garamond" w:hAnsi="Garamond"/>
          <w:sz w:val="24"/>
          <w:szCs w:val="24"/>
        </w:rPr>
        <w:t>. T</w:t>
      </w:r>
      <w:bookmarkStart w:id="69" w:name="bookmark105"/>
      <w:r w:rsidR="002937CA" w:rsidRPr="00A90756">
        <w:rPr>
          <w:rStyle w:val="Bodytext1"/>
          <w:rFonts w:ascii="Garamond" w:hAnsi="Garamond"/>
          <w:sz w:val="24"/>
          <w:szCs w:val="24"/>
        </w:rPr>
        <w:t xml:space="preserve">ë </w:t>
      </w:r>
      <w:r w:rsidR="002937CA" w:rsidRPr="00C908D9">
        <w:rPr>
          <w:rStyle w:val="Bodytext1"/>
          <w:rFonts w:ascii="Garamond" w:hAnsi="Garamond"/>
          <w:sz w:val="24"/>
          <w:szCs w:val="24"/>
        </w:rPr>
        <w:t>gjitha</w:t>
      </w:r>
      <w:r w:rsidRPr="00A90756">
        <w:rPr>
          <w:rStyle w:val="Bodytext1"/>
          <w:rFonts w:ascii="Garamond" w:hAnsi="Garamond"/>
          <w:sz w:val="24"/>
          <w:szCs w:val="24"/>
        </w:rPr>
        <w:t xml:space="preserve"> prioritetet e përzgjedhura përmes këtij programi do të konsiderohen me kujdes për të shmangur mbivendosjet dhe për të krijuar sinergji për të shfrytëzuar sa më mirë programin dhe projektet e përbashkëta.</w:t>
      </w:r>
      <w:bookmarkEnd w:id="69"/>
    </w:p>
    <w:p w14:paraId="014E4669" w14:textId="02864EAE" w:rsidR="000D306C" w:rsidRPr="00A90756" w:rsidRDefault="000D306C" w:rsidP="000D306C">
      <w:pPr>
        <w:pStyle w:val="AAAATEXXX"/>
      </w:pPr>
      <w:bookmarkStart w:id="70" w:name="_Toc118696870"/>
      <w:r w:rsidRPr="00A90756">
        <w:rPr>
          <w:rStyle w:val="Heading21"/>
          <w:rFonts w:ascii="Garamond" w:hAnsi="Garamond"/>
          <w:bCs w:val="0"/>
        </w:rPr>
        <w:t>3.5 Kushtet dhe supozimet</w:t>
      </w:r>
      <w:bookmarkEnd w:id="70"/>
    </w:p>
    <w:p w14:paraId="014E466A"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Një koordinim efektiv dhe një pronësi e fortë duhet të kombinohen me vullnetin e mirë të autoriteteve kombëtare të përfituesve të IPA III për të shpërndarë dhe zgjidhur në mënyrë miqësore çdo mosmarrëveshje dhe/ose keqkuptim që ndikon në zbatimin pa probleme të programit. Ndryshimet qeveritare nuk duhet të kenë ndikim në këtë drejtim.</w:t>
      </w:r>
    </w:p>
    <w:p w14:paraId="014E466B" w14:textId="3A3738F6"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Si kusht i domosdoshëm për menaxhimin efektiv të programit, vendet pjesëmarrëse do të krijojnë një KPM dhe do të sigurojnë ambiente dhe staf të duhur</w:t>
      </w:r>
      <w:r w:rsidR="0046042E" w:rsidRPr="00A90756">
        <w:rPr>
          <w:rStyle w:val="Bodytext1"/>
          <w:rFonts w:ascii="Garamond" w:hAnsi="Garamond"/>
          <w:sz w:val="24"/>
          <w:szCs w:val="24"/>
        </w:rPr>
        <w:t>,</w:t>
      </w:r>
      <w:r w:rsidRPr="00A90756">
        <w:rPr>
          <w:rStyle w:val="Bodytext1"/>
          <w:rFonts w:ascii="Garamond" w:hAnsi="Garamond"/>
          <w:sz w:val="24"/>
          <w:szCs w:val="24"/>
        </w:rPr>
        <w:t xml:space="preserve"> dhe funksional për drejtuesin dhe antenën</w:t>
      </w:r>
      <w:r w:rsidRPr="00A90756">
        <w:rPr>
          <w:rStyle w:val="Bodytext1"/>
          <w:rFonts w:ascii="Garamond" w:hAnsi="Garamond"/>
          <w:sz w:val="24"/>
          <w:szCs w:val="24"/>
          <w:vertAlign w:val="superscript"/>
        </w:rPr>
        <w:footnoteReference w:id="28"/>
      </w:r>
      <w:r w:rsidRPr="00A90756">
        <w:rPr>
          <w:rStyle w:val="Bodytext1"/>
          <w:rFonts w:ascii="Garamond" w:hAnsi="Garamond"/>
          <w:sz w:val="24"/>
          <w:szCs w:val="24"/>
        </w:rPr>
        <w:t xml:space="preserve"> </w:t>
      </w:r>
      <w:r w:rsidR="0046042E" w:rsidRPr="00A90756">
        <w:rPr>
          <w:rStyle w:val="Bodytext1"/>
          <w:rFonts w:ascii="Garamond" w:hAnsi="Garamond"/>
          <w:sz w:val="24"/>
          <w:szCs w:val="24"/>
        </w:rPr>
        <w:t xml:space="preserve">për </w:t>
      </w:r>
      <w:r w:rsidRPr="00A90756">
        <w:rPr>
          <w:rStyle w:val="Bodytext1"/>
          <w:rFonts w:ascii="Garamond" w:hAnsi="Garamond"/>
          <w:sz w:val="24"/>
          <w:szCs w:val="24"/>
        </w:rPr>
        <w:t>zyrat e SPT-së. Vëmendje e veçantë duhet</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kushtohet krijimit të kushteve të nevojshme të punës për të siguruar vazhdimësinë dhe zhvillimin profesional të stafit në funksionet kyçe brenda të gjitha strukturave drejtuese të programit. Ky i fundit duhet të përpiqet ta paraqesë programin si një instrument përfitues për forcimin e bashkëpunimit dhe shkëmbimeve ndërmjet qytetarëve të zonës së pranueshme.</w:t>
      </w:r>
    </w:p>
    <w:p w14:paraId="014E466C" w14:textId="77777777" w:rsidR="000D306C" w:rsidRPr="00A90756" w:rsidRDefault="000D306C" w:rsidP="000D306C">
      <w:pPr>
        <w:pStyle w:val="Bodytext10"/>
        <w:spacing w:after="0"/>
        <w:ind w:firstLine="284"/>
        <w:jc w:val="both"/>
        <w:rPr>
          <w:rFonts w:ascii="Garamond" w:hAnsi="Garamond"/>
          <w:sz w:val="24"/>
          <w:szCs w:val="24"/>
        </w:rPr>
      </w:pPr>
      <w:r w:rsidRPr="00A90756">
        <w:rPr>
          <w:rStyle w:val="Bodytext1"/>
          <w:rFonts w:ascii="Garamond" w:hAnsi="Garamond"/>
          <w:sz w:val="24"/>
          <w:szCs w:val="24"/>
        </w:rPr>
        <w:t>Nën menaxhimin indirekt nga përfituesi IPA III, përfituesit pjesëmarrës të IPA III do të përfundojnë për të gjithë kohëzgjatjen e programit një marrëveshje dypalëshe që përcakton përgjegjësitë e tyre përkatëse për zbatimin e programit.</w:t>
      </w:r>
    </w:p>
    <w:p w14:paraId="014E466D" w14:textId="3FC02253" w:rsidR="000D306C" w:rsidRPr="00A90756" w:rsidRDefault="000D306C" w:rsidP="000D306C">
      <w:pPr>
        <w:pStyle w:val="Bodytext10"/>
        <w:spacing w:after="0"/>
        <w:ind w:firstLine="284"/>
        <w:jc w:val="both"/>
        <w:rPr>
          <w:rStyle w:val="Bodytext1"/>
          <w:rFonts w:ascii="Garamond" w:hAnsi="Garamond"/>
          <w:sz w:val="24"/>
          <w:szCs w:val="24"/>
        </w:rPr>
      </w:pPr>
      <w:r w:rsidRPr="00A90756">
        <w:rPr>
          <w:rStyle w:val="Bodytext1"/>
          <w:rFonts w:ascii="Garamond" w:hAnsi="Garamond"/>
          <w:sz w:val="24"/>
          <w:szCs w:val="24"/>
        </w:rPr>
        <w:t>Mosrespektimi i kërkesave të përcaktuara më sipër mund të çojë në një rikuperim të fondeve sipas këtij programi dhe/ose në rishpërndarjen e fondeve në të ardhmen</w:t>
      </w:r>
      <w:r w:rsidR="0098098F" w:rsidRPr="00A90756">
        <w:rPr>
          <w:rStyle w:val="Bodytext1"/>
          <w:rFonts w:ascii="Garamond" w:hAnsi="Garamond"/>
          <w:sz w:val="24"/>
          <w:szCs w:val="24"/>
        </w:rPr>
        <w:t>.</w:t>
      </w:r>
    </w:p>
    <w:p w14:paraId="014E466E" w14:textId="77777777" w:rsidR="008E52E9" w:rsidRPr="00A90756" w:rsidRDefault="008E52E9" w:rsidP="00EC73A8">
      <w:pPr>
        <w:spacing w:after="0" w:line="240" w:lineRule="auto"/>
        <w:ind w:firstLine="284"/>
        <w:rPr>
          <w:rFonts w:ascii="Garamond" w:hAnsi="Garamond"/>
          <w:sz w:val="24"/>
          <w:szCs w:val="24"/>
        </w:rPr>
      </w:pPr>
    </w:p>
    <w:p w14:paraId="014E466F" w14:textId="77777777" w:rsidR="000D306C" w:rsidRPr="00A90756" w:rsidRDefault="000D306C" w:rsidP="00EC73A8">
      <w:pPr>
        <w:spacing w:after="0" w:line="240" w:lineRule="auto"/>
        <w:ind w:firstLine="284"/>
        <w:rPr>
          <w:rFonts w:ascii="Garamond" w:hAnsi="Garamond"/>
          <w:sz w:val="24"/>
          <w:szCs w:val="24"/>
        </w:rPr>
        <w:sectPr w:rsidR="000D306C" w:rsidRPr="00A90756" w:rsidSect="000D306C">
          <w:pgSz w:w="11907" w:h="16840" w:code="9"/>
          <w:pgMar w:top="1440" w:right="1440" w:bottom="1440" w:left="1440" w:header="1304" w:footer="1134" w:gutter="0"/>
          <w:cols w:space="720"/>
          <w:noEndnote/>
        </w:sectPr>
      </w:pPr>
    </w:p>
    <w:p w14:paraId="014E4670" w14:textId="7ACB0652" w:rsidR="000D306C" w:rsidRPr="00A90756" w:rsidRDefault="00D06E61" w:rsidP="000D306C">
      <w:pPr>
        <w:pStyle w:val="AAAATEXXX"/>
      </w:pPr>
      <w:r w:rsidRPr="00A90756">
        <w:rPr>
          <w:rStyle w:val="Heading11"/>
          <w:rFonts w:ascii="Garamond" w:hAnsi="Garamond"/>
          <w:bCs w:val="0"/>
          <w:smallCaps w:val="0"/>
        </w:rPr>
        <w:lastRenderedPageBreak/>
        <w:t>4</w:t>
      </w:r>
      <w:r w:rsidR="000D306C" w:rsidRPr="00A90756">
        <w:rPr>
          <w:rStyle w:val="Heading11"/>
          <w:rFonts w:ascii="Garamond" w:hAnsi="Garamond"/>
          <w:bCs w:val="0"/>
          <w:smallCaps w:val="0"/>
        </w:rPr>
        <w:t xml:space="preserve">. Buxheti </w:t>
      </w:r>
      <w:r w:rsidR="0098098F" w:rsidRPr="00A90756">
        <w:rPr>
          <w:rStyle w:val="Heading11"/>
          <w:rFonts w:ascii="Garamond" w:hAnsi="Garamond"/>
          <w:bCs w:val="0"/>
          <w:smallCaps w:val="0"/>
        </w:rPr>
        <w:t>i</w:t>
      </w:r>
      <w:r w:rsidR="000D306C" w:rsidRPr="00A90756">
        <w:rPr>
          <w:rStyle w:val="Heading11"/>
          <w:rFonts w:ascii="Garamond" w:hAnsi="Garamond"/>
          <w:bCs w:val="0"/>
          <w:smallCaps w:val="0"/>
        </w:rPr>
        <w:t>ndikativ</w:t>
      </w:r>
    </w:p>
    <w:p w14:paraId="014E4671" w14:textId="59BE658F" w:rsidR="000D306C" w:rsidRPr="00A90756" w:rsidRDefault="000D306C" w:rsidP="000D306C">
      <w:pPr>
        <w:pStyle w:val="Bodytext10"/>
        <w:spacing w:after="0"/>
        <w:ind w:firstLine="284"/>
        <w:rPr>
          <w:rStyle w:val="Bodytext1"/>
          <w:rFonts w:ascii="Garamond" w:hAnsi="Garamond"/>
        </w:rPr>
      </w:pPr>
      <w:r w:rsidRPr="00A90756">
        <w:rPr>
          <w:rStyle w:val="Bodytext1"/>
          <w:rFonts w:ascii="Garamond" w:hAnsi="Garamond"/>
        </w:rPr>
        <w:t>Një vendim i vetëm 7-vjeçar për financimin e Komisionit do të miratohet, në varësi të disponueshmërisë së ndarjeve buxhetore për vitet përkatëse financiare</w:t>
      </w:r>
      <w:r w:rsidR="0098098F" w:rsidRPr="00A90756">
        <w:rPr>
          <w:rStyle w:val="Bodytext1"/>
          <w:rFonts w:ascii="Garamond" w:hAnsi="Garamond"/>
        </w:rPr>
        <w:t>,</w:t>
      </w:r>
      <w:r w:rsidRPr="00A90756">
        <w:rPr>
          <w:rStyle w:val="Bodytext1"/>
          <w:rFonts w:ascii="Garamond" w:hAnsi="Garamond"/>
        </w:rPr>
        <w:t xml:space="preserve"> pas miratimit të buxhetit ose siç parashikohet në sistemin e të dymbëdhjetës së përkohshme.</w:t>
      </w:r>
    </w:p>
    <w:p w14:paraId="014E4672" w14:textId="4692D214" w:rsidR="000D306C" w:rsidRPr="00A90756" w:rsidRDefault="000D306C" w:rsidP="000D306C">
      <w:pPr>
        <w:pStyle w:val="Tablecaption10"/>
        <w:ind w:firstLine="284"/>
        <w:rPr>
          <w:rFonts w:ascii="Garamond" w:hAnsi="Garamond"/>
          <w:i w:val="0"/>
          <w:sz w:val="20"/>
          <w:szCs w:val="20"/>
        </w:rPr>
      </w:pPr>
      <w:r w:rsidRPr="00A90756">
        <w:rPr>
          <w:rStyle w:val="Tablecaption1"/>
          <w:rFonts w:ascii="Garamond" w:hAnsi="Garamond"/>
          <w:bCs/>
          <w:i/>
          <w:sz w:val="20"/>
          <w:szCs w:val="20"/>
        </w:rPr>
        <w:t>Tabela 3: Alokimet financiare indikative në vit për periudhën 2021</w:t>
      </w:r>
      <w:r w:rsidR="00D06E61" w:rsidRPr="00A90756">
        <w:rPr>
          <w:rStyle w:val="SubtleEmphasis"/>
          <w:rFonts w:ascii="Garamond" w:hAnsi="Garamond"/>
          <w:i/>
        </w:rPr>
        <w:t>–</w:t>
      </w:r>
      <w:r w:rsidRPr="00A90756">
        <w:rPr>
          <w:rStyle w:val="Tablecaption1"/>
          <w:rFonts w:ascii="Garamond" w:hAnsi="Garamond"/>
          <w:bCs/>
          <w:i/>
          <w:sz w:val="20"/>
          <w:szCs w:val="20"/>
        </w:rPr>
        <w:t>2027</w:t>
      </w:r>
    </w:p>
    <w:tbl>
      <w:tblPr>
        <w:tblOverlap w:val="never"/>
        <w:tblW w:w="5000" w:type="pct"/>
        <w:jc w:val="center"/>
        <w:tblCellMar>
          <w:left w:w="10" w:type="dxa"/>
          <w:right w:w="10" w:type="dxa"/>
        </w:tblCellMar>
        <w:tblLook w:val="04A0" w:firstRow="1" w:lastRow="0" w:firstColumn="1" w:lastColumn="0" w:noHBand="0" w:noVBand="1"/>
      </w:tblPr>
      <w:tblGrid>
        <w:gridCol w:w="1940"/>
        <w:gridCol w:w="538"/>
        <w:gridCol w:w="536"/>
        <w:gridCol w:w="1166"/>
        <w:gridCol w:w="893"/>
        <w:gridCol w:w="449"/>
        <w:gridCol w:w="625"/>
        <w:gridCol w:w="357"/>
        <w:gridCol w:w="360"/>
        <w:gridCol w:w="1166"/>
        <w:gridCol w:w="898"/>
        <w:gridCol w:w="444"/>
        <w:gridCol w:w="449"/>
        <w:gridCol w:w="985"/>
        <w:gridCol w:w="898"/>
        <w:gridCol w:w="1161"/>
        <w:gridCol w:w="1085"/>
      </w:tblGrid>
      <w:tr w:rsidR="000D306C" w:rsidRPr="00A90756" w14:paraId="014E4675" w14:textId="77777777" w:rsidTr="000D306C">
        <w:trPr>
          <w:trHeight w:val="20"/>
          <w:jc w:val="center"/>
        </w:trPr>
        <w:tc>
          <w:tcPr>
            <w:tcW w:w="695" w:type="pct"/>
            <w:vMerge w:val="restart"/>
            <w:tcBorders>
              <w:top w:val="single" w:sz="4" w:space="0" w:color="auto"/>
              <w:left w:val="single" w:sz="4" w:space="0" w:color="auto"/>
            </w:tcBorders>
            <w:shd w:val="clear" w:color="auto" w:fill="auto"/>
          </w:tcPr>
          <w:p w14:paraId="014E4673" w14:textId="77777777" w:rsidR="000D306C" w:rsidRPr="00A90756" w:rsidRDefault="000D306C" w:rsidP="000D306C">
            <w:pPr>
              <w:spacing w:after="0" w:line="240" w:lineRule="auto"/>
              <w:rPr>
                <w:rFonts w:ascii="Garamond" w:hAnsi="Garamond"/>
                <w:sz w:val="16"/>
                <w:szCs w:val="16"/>
              </w:rPr>
            </w:pPr>
          </w:p>
        </w:tc>
        <w:tc>
          <w:tcPr>
            <w:tcW w:w="4305" w:type="pct"/>
            <w:gridSpan w:val="16"/>
            <w:tcBorders>
              <w:top w:val="single" w:sz="4" w:space="0" w:color="auto"/>
              <w:left w:val="single" w:sz="4" w:space="0" w:color="auto"/>
              <w:right w:val="single" w:sz="4" w:space="0" w:color="auto"/>
            </w:tcBorders>
            <w:shd w:val="clear" w:color="auto" w:fill="auto"/>
            <w:vAlign w:val="bottom"/>
          </w:tcPr>
          <w:p w14:paraId="014E4674" w14:textId="6FD26812"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 xml:space="preserve">PROGRAMI IPA III BNK </w:t>
            </w:r>
            <w:r w:rsidRPr="00A90756">
              <w:rPr>
                <w:rStyle w:val="Other1"/>
                <w:rFonts w:ascii="Garamond" w:eastAsia="Arial" w:hAnsi="Garamond" w:cs="Arial"/>
                <w:b/>
                <w:bCs/>
                <w:sz w:val="18"/>
                <w:szCs w:val="18"/>
              </w:rPr>
              <w:t>Mali i Zi</w:t>
            </w:r>
            <w:r w:rsidR="0098098F" w:rsidRPr="00A90756">
              <w:rPr>
                <w:rStyle w:val="Bodytext1"/>
                <w:rFonts w:ascii="Garamond" w:hAnsi="Garamond"/>
                <w:sz w:val="18"/>
                <w:szCs w:val="18"/>
              </w:rPr>
              <w:t>–</w:t>
            </w:r>
            <w:r w:rsidRPr="00A90756">
              <w:rPr>
                <w:rStyle w:val="Other1"/>
                <w:rFonts w:ascii="Garamond" w:eastAsia="Arial" w:hAnsi="Garamond" w:cs="Arial"/>
                <w:b/>
                <w:bCs/>
                <w:sz w:val="18"/>
                <w:szCs w:val="18"/>
              </w:rPr>
              <w:t>Shqipëri</w:t>
            </w:r>
          </w:p>
        </w:tc>
      </w:tr>
      <w:tr w:rsidR="000D306C" w:rsidRPr="00A90756" w14:paraId="014E4678" w14:textId="77777777" w:rsidTr="000D306C">
        <w:trPr>
          <w:trHeight w:val="20"/>
          <w:jc w:val="center"/>
        </w:trPr>
        <w:tc>
          <w:tcPr>
            <w:tcW w:w="695" w:type="pct"/>
            <w:vMerge/>
            <w:tcBorders>
              <w:left w:val="single" w:sz="4" w:space="0" w:color="auto"/>
            </w:tcBorders>
            <w:shd w:val="clear" w:color="auto" w:fill="auto"/>
          </w:tcPr>
          <w:p w14:paraId="014E4676" w14:textId="77777777" w:rsidR="000D306C" w:rsidRPr="00A90756" w:rsidRDefault="000D306C" w:rsidP="000D306C">
            <w:pPr>
              <w:spacing w:after="0" w:line="240" w:lineRule="auto"/>
              <w:rPr>
                <w:rFonts w:ascii="Garamond" w:hAnsi="Garamond"/>
                <w:sz w:val="16"/>
                <w:szCs w:val="16"/>
              </w:rPr>
            </w:pPr>
          </w:p>
        </w:tc>
        <w:tc>
          <w:tcPr>
            <w:tcW w:w="4305" w:type="pct"/>
            <w:gridSpan w:val="16"/>
            <w:tcBorders>
              <w:top w:val="single" w:sz="4" w:space="0" w:color="auto"/>
              <w:left w:val="single" w:sz="4" w:space="0" w:color="auto"/>
              <w:right w:val="single" w:sz="4" w:space="0" w:color="auto"/>
            </w:tcBorders>
            <w:shd w:val="clear" w:color="auto" w:fill="auto"/>
            <w:vAlign w:val="center"/>
          </w:tcPr>
          <w:p w14:paraId="014E467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i/>
                <w:iCs/>
                <w:sz w:val="16"/>
                <w:szCs w:val="16"/>
              </w:rPr>
              <w:t>Shumat në euro</w:t>
            </w:r>
          </w:p>
        </w:tc>
      </w:tr>
      <w:tr w:rsidR="000D306C" w:rsidRPr="00A90756" w14:paraId="014E4683" w14:textId="77777777" w:rsidTr="000D306C">
        <w:trPr>
          <w:trHeight w:val="20"/>
          <w:jc w:val="center"/>
        </w:trPr>
        <w:tc>
          <w:tcPr>
            <w:tcW w:w="695" w:type="pct"/>
            <w:vMerge/>
            <w:tcBorders>
              <w:left w:val="single" w:sz="4" w:space="0" w:color="auto"/>
            </w:tcBorders>
            <w:shd w:val="clear" w:color="auto" w:fill="auto"/>
          </w:tcPr>
          <w:p w14:paraId="014E4679" w14:textId="77777777" w:rsidR="000D306C" w:rsidRPr="00A90756" w:rsidRDefault="000D306C" w:rsidP="000D306C">
            <w:pPr>
              <w:spacing w:after="0" w:line="240" w:lineRule="auto"/>
              <w:rPr>
                <w:rFonts w:ascii="Garamond" w:hAnsi="Garamond"/>
                <w:sz w:val="16"/>
                <w:szCs w:val="16"/>
              </w:rPr>
            </w:pPr>
          </w:p>
        </w:tc>
        <w:tc>
          <w:tcPr>
            <w:tcW w:w="385" w:type="pct"/>
            <w:gridSpan w:val="2"/>
            <w:tcBorders>
              <w:top w:val="single" w:sz="4" w:space="0" w:color="auto"/>
              <w:left w:val="single" w:sz="4" w:space="0" w:color="auto"/>
            </w:tcBorders>
            <w:shd w:val="clear" w:color="auto" w:fill="auto"/>
            <w:vAlign w:val="center"/>
          </w:tcPr>
          <w:p w14:paraId="014E467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2021</w:t>
            </w:r>
          </w:p>
        </w:tc>
        <w:tc>
          <w:tcPr>
            <w:tcW w:w="738" w:type="pct"/>
            <w:gridSpan w:val="2"/>
            <w:tcBorders>
              <w:top w:val="single" w:sz="4" w:space="0" w:color="auto"/>
              <w:left w:val="single" w:sz="4" w:space="0" w:color="auto"/>
            </w:tcBorders>
            <w:shd w:val="clear" w:color="auto" w:fill="auto"/>
            <w:vAlign w:val="center"/>
          </w:tcPr>
          <w:p w14:paraId="014E467B"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2022</w:t>
            </w:r>
          </w:p>
        </w:tc>
        <w:tc>
          <w:tcPr>
            <w:tcW w:w="385" w:type="pct"/>
            <w:gridSpan w:val="2"/>
            <w:tcBorders>
              <w:top w:val="single" w:sz="4" w:space="0" w:color="auto"/>
              <w:left w:val="single" w:sz="4" w:space="0" w:color="auto"/>
            </w:tcBorders>
            <w:shd w:val="clear" w:color="auto" w:fill="auto"/>
            <w:vAlign w:val="center"/>
          </w:tcPr>
          <w:p w14:paraId="014E467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2023</w:t>
            </w:r>
          </w:p>
        </w:tc>
        <w:tc>
          <w:tcPr>
            <w:tcW w:w="257" w:type="pct"/>
            <w:gridSpan w:val="2"/>
            <w:tcBorders>
              <w:top w:val="single" w:sz="4" w:space="0" w:color="auto"/>
              <w:left w:val="single" w:sz="4" w:space="0" w:color="auto"/>
            </w:tcBorders>
            <w:shd w:val="clear" w:color="auto" w:fill="auto"/>
            <w:vAlign w:val="center"/>
          </w:tcPr>
          <w:p w14:paraId="014E467D"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2024</w:t>
            </w:r>
          </w:p>
        </w:tc>
        <w:tc>
          <w:tcPr>
            <w:tcW w:w="739" w:type="pct"/>
            <w:gridSpan w:val="2"/>
            <w:tcBorders>
              <w:top w:val="single" w:sz="4" w:space="0" w:color="auto"/>
              <w:left w:val="single" w:sz="4" w:space="0" w:color="auto"/>
            </w:tcBorders>
            <w:shd w:val="clear" w:color="auto" w:fill="auto"/>
            <w:vAlign w:val="center"/>
          </w:tcPr>
          <w:p w14:paraId="014E467E"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2025</w:t>
            </w:r>
          </w:p>
        </w:tc>
        <w:tc>
          <w:tcPr>
            <w:tcW w:w="320" w:type="pct"/>
            <w:gridSpan w:val="2"/>
            <w:tcBorders>
              <w:top w:val="single" w:sz="4" w:space="0" w:color="auto"/>
              <w:left w:val="single" w:sz="4" w:space="0" w:color="auto"/>
            </w:tcBorders>
            <w:shd w:val="clear" w:color="auto" w:fill="auto"/>
            <w:vAlign w:val="center"/>
          </w:tcPr>
          <w:p w14:paraId="014E467F"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2026</w:t>
            </w:r>
          </w:p>
        </w:tc>
        <w:tc>
          <w:tcPr>
            <w:tcW w:w="674" w:type="pct"/>
            <w:gridSpan w:val="2"/>
            <w:tcBorders>
              <w:top w:val="single" w:sz="4" w:space="0" w:color="auto"/>
              <w:left w:val="single" w:sz="4" w:space="0" w:color="auto"/>
            </w:tcBorders>
            <w:shd w:val="clear" w:color="auto" w:fill="auto"/>
            <w:vAlign w:val="center"/>
          </w:tcPr>
          <w:p w14:paraId="014E4680"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2027</w:t>
            </w:r>
          </w:p>
        </w:tc>
        <w:tc>
          <w:tcPr>
            <w:tcW w:w="416" w:type="pct"/>
            <w:tcBorders>
              <w:top w:val="single" w:sz="4" w:space="0" w:color="auto"/>
              <w:left w:val="single" w:sz="4" w:space="0" w:color="auto"/>
            </w:tcBorders>
            <w:shd w:val="clear" w:color="auto" w:fill="auto"/>
            <w:vAlign w:val="center"/>
          </w:tcPr>
          <w:p w14:paraId="014E4681" w14:textId="77777777" w:rsidR="000D306C" w:rsidRPr="00A90756" w:rsidRDefault="000D306C" w:rsidP="000D306C">
            <w:pPr>
              <w:pStyle w:val="Other10"/>
              <w:spacing w:after="0"/>
              <w:jc w:val="right"/>
              <w:rPr>
                <w:rFonts w:ascii="Garamond" w:hAnsi="Garamond"/>
                <w:sz w:val="16"/>
                <w:szCs w:val="16"/>
              </w:rPr>
            </w:pPr>
            <w:r w:rsidRPr="00A90756">
              <w:rPr>
                <w:rStyle w:val="Other1"/>
                <w:rFonts w:ascii="Garamond" w:eastAsia="Arial" w:hAnsi="Garamond" w:cs="Arial"/>
                <w:b/>
                <w:bCs/>
                <w:sz w:val="16"/>
                <w:szCs w:val="16"/>
              </w:rPr>
              <w:t>Total (</w:t>
            </w:r>
          </w:p>
        </w:tc>
        <w:tc>
          <w:tcPr>
            <w:tcW w:w="390" w:type="pct"/>
            <w:tcBorders>
              <w:top w:val="single" w:sz="4" w:space="0" w:color="auto"/>
              <w:left w:val="single" w:sz="4" w:space="0" w:color="auto"/>
              <w:right w:val="single" w:sz="4" w:space="0" w:color="auto"/>
            </w:tcBorders>
            <w:shd w:val="clear" w:color="auto" w:fill="auto"/>
            <w:vAlign w:val="center"/>
          </w:tcPr>
          <w:p w14:paraId="014E4682" w14:textId="77777777" w:rsidR="000D306C" w:rsidRPr="00A90756" w:rsidRDefault="000D306C" w:rsidP="00D06E61">
            <w:pPr>
              <w:pStyle w:val="Other10"/>
              <w:spacing w:after="0"/>
              <w:rPr>
                <w:rFonts w:ascii="Garamond" w:hAnsi="Garamond"/>
                <w:sz w:val="16"/>
                <w:szCs w:val="16"/>
              </w:rPr>
            </w:pPr>
            <w:r w:rsidRPr="00A90756">
              <w:rPr>
                <w:rStyle w:val="Other1"/>
                <w:rFonts w:ascii="Garamond" w:eastAsia="Arial" w:hAnsi="Garamond" w:cs="Arial"/>
                <w:b/>
                <w:bCs/>
                <w:sz w:val="16"/>
                <w:szCs w:val="16"/>
              </w:rPr>
              <w:t>EUR)</w:t>
            </w:r>
          </w:p>
        </w:tc>
      </w:tr>
      <w:tr w:rsidR="000D306C" w:rsidRPr="00A90756" w14:paraId="014E4695" w14:textId="77777777" w:rsidTr="000D306C">
        <w:trPr>
          <w:trHeight w:val="20"/>
          <w:jc w:val="center"/>
        </w:trPr>
        <w:tc>
          <w:tcPr>
            <w:tcW w:w="695" w:type="pct"/>
            <w:vMerge/>
            <w:tcBorders>
              <w:left w:val="single" w:sz="4" w:space="0" w:color="auto"/>
            </w:tcBorders>
            <w:shd w:val="clear" w:color="auto" w:fill="auto"/>
          </w:tcPr>
          <w:p w14:paraId="014E4684" w14:textId="77777777" w:rsidR="000D306C" w:rsidRPr="00A90756" w:rsidRDefault="000D306C" w:rsidP="000D306C">
            <w:pPr>
              <w:spacing w:after="0" w:line="240" w:lineRule="auto"/>
              <w:rPr>
                <w:rFonts w:ascii="Garamond" w:hAnsi="Garamond"/>
                <w:sz w:val="16"/>
                <w:szCs w:val="16"/>
              </w:rPr>
            </w:pPr>
          </w:p>
        </w:tc>
        <w:tc>
          <w:tcPr>
            <w:tcW w:w="193" w:type="pct"/>
            <w:tcBorders>
              <w:top w:val="single" w:sz="4" w:space="0" w:color="auto"/>
              <w:left w:val="single" w:sz="4" w:space="0" w:color="auto"/>
            </w:tcBorders>
            <w:shd w:val="clear" w:color="auto" w:fill="auto"/>
            <w:textDirection w:val="btLr"/>
          </w:tcPr>
          <w:p w14:paraId="014E4685"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192" w:type="pct"/>
            <w:tcBorders>
              <w:top w:val="single" w:sz="4" w:space="0" w:color="auto"/>
              <w:left w:val="single" w:sz="4" w:space="0" w:color="auto"/>
            </w:tcBorders>
            <w:shd w:val="clear" w:color="auto" w:fill="auto"/>
            <w:textDirection w:val="btLr"/>
          </w:tcPr>
          <w:p w14:paraId="014E4686"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Bashkëfinancim</w:t>
            </w:r>
          </w:p>
        </w:tc>
        <w:tc>
          <w:tcPr>
            <w:tcW w:w="418" w:type="pct"/>
            <w:tcBorders>
              <w:top w:val="single" w:sz="4" w:space="0" w:color="auto"/>
              <w:left w:val="single" w:sz="4" w:space="0" w:color="auto"/>
            </w:tcBorders>
            <w:shd w:val="clear" w:color="auto" w:fill="auto"/>
            <w:textDirection w:val="btLr"/>
          </w:tcPr>
          <w:p w14:paraId="014E4687"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320" w:type="pct"/>
            <w:tcBorders>
              <w:top w:val="single" w:sz="4" w:space="0" w:color="auto"/>
              <w:left w:val="single" w:sz="4" w:space="0" w:color="auto"/>
            </w:tcBorders>
            <w:shd w:val="clear" w:color="auto" w:fill="auto"/>
            <w:textDirection w:val="btLr"/>
          </w:tcPr>
          <w:p w14:paraId="014E4688"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Bashkëfinancim</w:t>
            </w:r>
          </w:p>
        </w:tc>
        <w:tc>
          <w:tcPr>
            <w:tcW w:w="161" w:type="pct"/>
            <w:tcBorders>
              <w:top w:val="single" w:sz="4" w:space="0" w:color="auto"/>
              <w:left w:val="single" w:sz="4" w:space="0" w:color="auto"/>
            </w:tcBorders>
            <w:shd w:val="clear" w:color="auto" w:fill="auto"/>
            <w:textDirection w:val="btLr"/>
          </w:tcPr>
          <w:p w14:paraId="014E4689"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224" w:type="pct"/>
            <w:tcBorders>
              <w:top w:val="single" w:sz="4" w:space="0" w:color="auto"/>
              <w:left w:val="single" w:sz="4" w:space="0" w:color="auto"/>
            </w:tcBorders>
            <w:shd w:val="clear" w:color="auto" w:fill="auto"/>
            <w:textDirection w:val="btLr"/>
          </w:tcPr>
          <w:p w14:paraId="014E468A"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Bashkëfinancim</w:t>
            </w:r>
          </w:p>
        </w:tc>
        <w:tc>
          <w:tcPr>
            <w:tcW w:w="128" w:type="pct"/>
            <w:tcBorders>
              <w:top w:val="single" w:sz="4" w:space="0" w:color="auto"/>
              <w:left w:val="single" w:sz="4" w:space="0" w:color="auto"/>
            </w:tcBorders>
            <w:shd w:val="clear" w:color="auto" w:fill="auto"/>
            <w:textDirection w:val="btLr"/>
          </w:tcPr>
          <w:p w14:paraId="014E468B"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128" w:type="pct"/>
            <w:tcBorders>
              <w:top w:val="single" w:sz="4" w:space="0" w:color="auto"/>
              <w:left w:val="single" w:sz="4" w:space="0" w:color="auto"/>
            </w:tcBorders>
            <w:shd w:val="clear" w:color="auto" w:fill="auto"/>
            <w:textDirection w:val="btLr"/>
          </w:tcPr>
          <w:p w14:paraId="014E468C"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Bashkëfinancim</w:t>
            </w:r>
          </w:p>
        </w:tc>
        <w:tc>
          <w:tcPr>
            <w:tcW w:w="418" w:type="pct"/>
            <w:tcBorders>
              <w:top w:val="single" w:sz="4" w:space="0" w:color="auto"/>
              <w:left w:val="single" w:sz="4" w:space="0" w:color="auto"/>
            </w:tcBorders>
            <w:shd w:val="clear" w:color="auto" w:fill="auto"/>
            <w:textDirection w:val="btLr"/>
          </w:tcPr>
          <w:p w14:paraId="014E468D"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322" w:type="pct"/>
            <w:tcBorders>
              <w:top w:val="single" w:sz="4" w:space="0" w:color="auto"/>
              <w:left w:val="single" w:sz="4" w:space="0" w:color="auto"/>
            </w:tcBorders>
            <w:shd w:val="clear" w:color="auto" w:fill="auto"/>
            <w:textDirection w:val="btLr"/>
          </w:tcPr>
          <w:p w14:paraId="014E468E"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Bashkëfinancim</w:t>
            </w:r>
          </w:p>
        </w:tc>
        <w:tc>
          <w:tcPr>
            <w:tcW w:w="159" w:type="pct"/>
            <w:tcBorders>
              <w:top w:val="single" w:sz="4" w:space="0" w:color="auto"/>
              <w:left w:val="single" w:sz="4" w:space="0" w:color="auto"/>
            </w:tcBorders>
            <w:shd w:val="clear" w:color="auto" w:fill="auto"/>
            <w:textDirection w:val="btLr"/>
          </w:tcPr>
          <w:p w14:paraId="014E468F"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161" w:type="pct"/>
            <w:tcBorders>
              <w:top w:val="single" w:sz="4" w:space="0" w:color="auto"/>
              <w:left w:val="single" w:sz="4" w:space="0" w:color="auto"/>
            </w:tcBorders>
            <w:shd w:val="clear" w:color="auto" w:fill="auto"/>
            <w:textDirection w:val="btLr"/>
          </w:tcPr>
          <w:p w14:paraId="014E4690"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Bashkëfinancim</w:t>
            </w:r>
          </w:p>
        </w:tc>
        <w:tc>
          <w:tcPr>
            <w:tcW w:w="353" w:type="pct"/>
            <w:tcBorders>
              <w:top w:val="single" w:sz="4" w:space="0" w:color="auto"/>
              <w:left w:val="single" w:sz="4" w:space="0" w:color="auto"/>
            </w:tcBorders>
            <w:shd w:val="clear" w:color="auto" w:fill="auto"/>
            <w:textDirection w:val="btLr"/>
          </w:tcPr>
          <w:p w14:paraId="014E4691"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322" w:type="pct"/>
            <w:tcBorders>
              <w:top w:val="single" w:sz="4" w:space="0" w:color="auto"/>
              <w:left w:val="single" w:sz="4" w:space="0" w:color="auto"/>
            </w:tcBorders>
            <w:shd w:val="clear" w:color="auto" w:fill="auto"/>
            <w:textDirection w:val="btLr"/>
          </w:tcPr>
          <w:p w14:paraId="014E4692"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Bashkëfinancim</w:t>
            </w:r>
          </w:p>
        </w:tc>
        <w:tc>
          <w:tcPr>
            <w:tcW w:w="416" w:type="pct"/>
            <w:tcBorders>
              <w:top w:val="single" w:sz="4" w:space="0" w:color="auto"/>
              <w:left w:val="single" w:sz="4" w:space="0" w:color="auto"/>
            </w:tcBorders>
            <w:shd w:val="clear" w:color="auto" w:fill="auto"/>
            <w:textDirection w:val="btLr"/>
          </w:tcPr>
          <w:p w14:paraId="014E4693"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Kontributi i BE-së</w:t>
            </w:r>
          </w:p>
        </w:tc>
        <w:tc>
          <w:tcPr>
            <w:tcW w:w="390" w:type="pct"/>
            <w:tcBorders>
              <w:top w:val="single" w:sz="4" w:space="0" w:color="auto"/>
              <w:left w:val="single" w:sz="4" w:space="0" w:color="auto"/>
              <w:right w:val="single" w:sz="4" w:space="0" w:color="auto"/>
            </w:tcBorders>
            <w:shd w:val="clear" w:color="auto" w:fill="auto"/>
            <w:textDirection w:val="btLr"/>
          </w:tcPr>
          <w:p w14:paraId="014E4694"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Bashkëfinancim</w:t>
            </w:r>
          </w:p>
        </w:tc>
      </w:tr>
      <w:tr w:rsidR="000D306C" w:rsidRPr="00A90756" w14:paraId="014E4697" w14:textId="77777777" w:rsidTr="000D306C">
        <w:trPr>
          <w:trHeight w:val="20"/>
          <w:jc w:val="center"/>
        </w:trPr>
        <w:tc>
          <w:tcPr>
            <w:tcW w:w="5000" w:type="pct"/>
            <w:gridSpan w:val="17"/>
            <w:tcBorders>
              <w:top w:val="single" w:sz="4" w:space="0" w:color="auto"/>
              <w:left w:val="single" w:sz="4" w:space="0" w:color="auto"/>
              <w:right w:val="single" w:sz="4" w:space="0" w:color="auto"/>
            </w:tcBorders>
            <w:shd w:val="clear" w:color="auto" w:fill="auto"/>
            <w:vAlign w:val="bottom"/>
          </w:tcPr>
          <w:p w14:paraId="014E4696"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i/>
                <w:iCs/>
                <w:sz w:val="16"/>
                <w:szCs w:val="16"/>
              </w:rPr>
              <w:t>Sipas llojit të aktivitetit</w:t>
            </w:r>
          </w:p>
        </w:tc>
      </w:tr>
      <w:tr w:rsidR="000D306C" w:rsidRPr="00A90756" w14:paraId="014E46A9" w14:textId="77777777" w:rsidTr="000D306C">
        <w:trPr>
          <w:trHeight w:val="20"/>
          <w:jc w:val="center"/>
        </w:trPr>
        <w:tc>
          <w:tcPr>
            <w:tcW w:w="695" w:type="pct"/>
            <w:tcBorders>
              <w:top w:val="single" w:sz="4" w:space="0" w:color="auto"/>
              <w:left w:val="single" w:sz="4" w:space="0" w:color="auto"/>
            </w:tcBorders>
            <w:shd w:val="clear" w:color="auto" w:fill="auto"/>
            <w:vAlign w:val="center"/>
          </w:tcPr>
          <w:p w14:paraId="014E4698"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Operacionet</w:t>
            </w:r>
          </w:p>
        </w:tc>
        <w:tc>
          <w:tcPr>
            <w:tcW w:w="193" w:type="pct"/>
            <w:tcBorders>
              <w:top w:val="single" w:sz="4" w:space="0" w:color="auto"/>
              <w:left w:val="single" w:sz="4" w:space="0" w:color="auto"/>
            </w:tcBorders>
            <w:shd w:val="clear" w:color="auto" w:fill="auto"/>
            <w:vAlign w:val="center"/>
          </w:tcPr>
          <w:p w14:paraId="014E4699"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92" w:type="pct"/>
            <w:tcBorders>
              <w:top w:val="single" w:sz="4" w:space="0" w:color="auto"/>
              <w:left w:val="single" w:sz="4" w:space="0" w:color="auto"/>
            </w:tcBorders>
            <w:shd w:val="clear" w:color="auto" w:fill="auto"/>
            <w:vAlign w:val="center"/>
          </w:tcPr>
          <w:p w14:paraId="014E469A"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418" w:type="pct"/>
            <w:tcBorders>
              <w:top w:val="single" w:sz="4" w:space="0" w:color="auto"/>
              <w:left w:val="single" w:sz="4" w:space="0" w:color="auto"/>
            </w:tcBorders>
            <w:shd w:val="clear" w:color="auto" w:fill="auto"/>
            <w:vAlign w:val="center"/>
          </w:tcPr>
          <w:p w14:paraId="014E469B"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2 890 000</w:t>
            </w:r>
          </w:p>
        </w:tc>
        <w:tc>
          <w:tcPr>
            <w:tcW w:w="320" w:type="pct"/>
            <w:tcBorders>
              <w:top w:val="single" w:sz="4" w:space="0" w:color="auto"/>
              <w:left w:val="single" w:sz="4" w:space="0" w:color="auto"/>
            </w:tcBorders>
            <w:shd w:val="clear" w:color="auto" w:fill="auto"/>
            <w:vAlign w:val="center"/>
          </w:tcPr>
          <w:p w14:paraId="014E469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510 000</w:t>
            </w:r>
          </w:p>
        </w:tc>
        <w:tc>
          <w:tcPr>
            <w:tcW w:w="161" w:type="pct"/>
            <w:tcBorders>
              <w:top w:val="single" w:sz="4" w:space="0" w:color="auto"/>
              <w:left w:val="single" w:sz="4" w:space="0" w:color="auto"/>
            </w:tcBorders>
            <w:shd w:val="clear" w:color="auto" w:fill="auto"/>
            <w:vAlign w:val="center"/>
          </w:tcPr>
          <w:p w14:paraId="014E469D"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224" w:type="pct"/>
            <w:tcBorders>
              <w:top w:val="single" w:sz="4" w:space="0" w:color="auto"/>
              <w:left w:val="single" w:sz="4" w:space="0" w:color="auto"/>
            </w:tcBorders>
            <w:shd w:val="clear" w:color="auto" w:fill="auto"/>
            <w:vAlign w:val="center"/>
          </w:tcPr>
          <w:p w14:paraId="014E469E"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28" w:type="pct"/>
            <w:tcBorders>
              <w:top w:val="single" w:sz="4" w:space="0" w:color="auto"/>
              <w:left w:val="single" w:sz="4" w:space="0" w:color="auto"/>
            </w:tcBorders>
            <w:shd w:val="clear" w:color="auto" w:fill="auto"/>
            <w:vAlign w:val="center"/>
          </w:tcPr>
          <w:p w14:paraId="014E469F"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28" w:type="pct"/>
            <w:tcBorders>
              <w:top w:val="single" w:sz="4" w:space="0" w:color="auto"/>
              <w:left w:val="single" w:sz="4" w:space="0" w:color="auto"/>
            </w:tcBorders>
            <w:shd w:val="clear" w:color="auto" w:fill="auto"/>
            <w:vAlign w:val="center"/>
          </w:tcPr>
          <w:p w14:paraId="014E46A0"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418" w:type="pct"/>
            <w:tcBorders>
              <w:top w:val="single" w:sz="4" w:space="0" w:color="auto"/>
              <w:left w:val="single" w:sz="4" w:space="0" w:color="auto"/>
            </w:tcBorders>
            <w:shd w:val="clear" w:color="auto" w:fill="auto"/>
            <w:vAlign w:val="center"/>
          </w:tcPr>
          <w:p w14:paraId="014E46A1"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4 590 000</w:t>
            </w:r>
          </w:p>
        </w:tc>
        <w:tc>
          <w:tcPr>
            <w:tcW w:w="322" w:type="pct"/>
            <w:tcBorders>
              <w:top w:val="single" w:sz="4" w:space="0" w:color="auto"/>
              <w:left w:val="single" w:sz="4" w:space="0" w:color="auto"/>
            </w:tcBorders>
            <w:shd w:val="clear" w:color="auto" w:fill="auto"/>
            <w:vAlign w:val="center"/>
          </w:tcPr>
          <w:p w14:paraId="014E46A2"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810 000</w:t>
            </w:r>
          </w:p>
        </w:tc>
        <w:tc>
          <w:tcPr>
            <w:tcW w:w="159" w:type="pct"/>
            <w:tcBorders>
              <w:top w:val="single" w:sz="4" w:space="0" w:color="auto"/>
              <w:left w:val="single" w:sz="4" w:space="0" w:color="auto"/>
            </w:tcBorders>
            <w:shd w:val="clear" w:color="auto" w:fill="auto"/>
            <w:vAlign w:val="center"/>
          </w:tcPr>
          <w:p w14:paraId="014E46A3"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61" w:type="pct"/>
            <w:tcBorders>
              <w:top w:val="single" w:sz="4" w:space="0" w:color="auto"/>
              <w:left w:val="single" w:sz="4" w:space="0" w:color="auto"/>
            </w:tcBorders>
            <w:shd w:val="clear" w:color="auto" w:fill="auto"/>
            <w:vAlign w:val="center"/>
          </w:tcPr>
          <w:p w14:paraId="014E46A4"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353" w:type="pct"/>
            <w:tcBorders>
              <w:top w:val="single" w:sz="4" w:space="0" w:color="auto"/>
              <w:left w:val="single" w:sz="4" w:space="0" w:color="auto"/>
            </w:tcBorders>
            <w:shd w:val="clear" w:color="auto" w:fill="auto"/>
            <w:vAlign w:val="center"/>
          </w:tcPr>
          <w:p w14:paraId="014E46A5"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3 230 000</w:t>
            </w:r>
          </w:p>
        </w:tc>
        <w:tc>
          <w:tcPr>
            <w:tcW w:w="322" w:type="pct"/>
            <w:tcBorders>
              <w:top w:val="single" w:sz="4" w:space="0" w:color="auto"/>
              <w:left w:val="single" w:sz="4" w:space="0" w:color="auto"/>
            </w:tcBorders>
            <w:shd w:val="clear" w:color="auto" w:fill="auto"/>
            <w:vAlign w:val="center"/>
          </w:tcPr>
          <w:p w14:paraId="014E46A6"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570 000</w:t>
            </w:r>
          </w:p>
        </w:tc>
        <w:tc>
          <w:tcPr>
            <w:tcW w:w="416" w:type="pct"/>
            <w:tcBorders>
              <w:top w:val="single" w:sz="4" w:space="0" w:color="auto"/>
              <w:left w:val="single" w:sz="4" w:space="0" w:color="auto"/>
            </w:tcBorders>
            <w:shd w:val="clear" w:color="auto" w:fill="auto"/>
            <w:vAlign w:val="center"/>
          </w:tcPr>
          <w:p w14:paraId="014E46A7"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10 710 000</w:t>
            </w:r>
          </w:p>
        </w:tc>
        <w:tc>
          <w:tcPr>
            <w:tcW w:w="390" w:type="pct"/>
            <w:tcBorders>
              <w:top w:val="single" w:sz="4" w:space="0" w:color="auto"/>
              <w:left w:val="single" w:sz="4" w:space="0" w:color="auto"/>
              <w:right w:val="single" w:sz="4" w:space="0" w:color="auto"/>
            </w:tcBorders>
            <w:shd w:val="clear" w:color="auto" w:fill="auto"/>
            <w:vAlign w:val="center"/>
          </w:tcPr>
          <w:p w14:paraId="014E46A8"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1 890 000</w:t>
            </w:r>
          </w:p>
        </w:tc>
      </w:tr>
      <w:tr w:rsidR="000D306C" w:rsidRPr="00A90756" w14:paraId="014E46BC" w14:textId="77777777" w:rsidTr="000D306C">
        <w:trPr>
          <w:trHeight w:val="20"/>
          <w:jc w:val="center"/>
        </w:trPr>
        <w:tc>
          <w:tcPr>
            <w:tcW w:w="695" w:type="pct"/>
            <w:tcBorders>
              <w:top w:val="single" w:sz="4" w:space="0" w:color="auto"/>
              <w:left w:val="single" w:sz="4" w:space="0" w:color="auto"/>
            </w:tcBorders>
            <w:shd w:val="clear" w:color="auto" w:fill="auto"/>
            <w:vAlign w:val="center"/>
          </w:tcPr>
          <w:p w14:paraId="014E46AA" w14:textId="60A006CB" w:rsidR="000D306C" w:rsidRPr="00A90756" w:rsidRDefault="000D306C" w:rsidP="000D306C">
            <w:pPr>
              <w:pStyle w:val="Other10"/>
              <w:tabs>
                <w:tab w:val="left" w:pos="946"/>
              </w:tabs>
              <w:spacing w:after="0"/>
              <w:rPr>
                <w:rFonts w:ascii="Garamond" w:hAnsi="Garamond"/>
                <w:sz w:val="16"/>
                <w:szCs w:val="16"/>
              </w:rPr>
            </w:pPr>
            <w:r w:rsidRPr="00A90756">
              <w:rPr>
                <w:rStyle w:val="Other1"/>
                <w:rFonts w:ascii="Garamond" w:eastAsia="Arial" w:hAnsi="Garamond" w:cs="Arial"/>
                <w:sz w:val="16"/>
                <w:szCs w:val="16"/>
              </w:rPr>
              <w:t xml:space="preserve">Asistencë </w:t>
            </w:r>
            <w:r w:rsidR="0098098F" w:rsidRPr="00A90756">
              <w:rPr>
                <w:rStyle w:val="Other1"/>
                <w:rFonts w:ascii="Garamond" w:eastAsia="Arial" w:hAnsi="Garamond" w:cs="Arial"/>
                <w:sz w:val="16"/>
                <w:szCs w:val="16"/>
              </w:rPr>
              <w:t>t</w:t>
            </w:r>
            <w:r w:rsidRPr="00A90756">
              <w:rPr>
                <w:rStyle w:val="Other1"/>
                <w:rFonts w:ascii="Garamond" w:eastAsia="Arial" w:hAnsi="Garamond" w:cs="Arial"/>
                <w:sz w:val="16"/>
                <w:szCs w:val="16"/>
              </w:rPr>
              <w:t>eknike</w:t>
            </w:r>
          </w:p>
          <w:p w14:paraId="014E46AB"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(Grant i drejtpërdrejtë)</w:t>
            </w:r>
          </w:p>
        </w:tc>
        <w:tc>
          <w:tcPr>
            <w:tcW w:w="193" w:type="pct"/>
            <w:tcBorders>
              <w:top w:val="single" w:sz="4" w:space="0" w:color="auto"/>
              <w:left w:val="single" w:sz="4" w:space="0" w:color="auto"/>
            </w:tcBorders>
            <w:shd w:val="clear" w:color="auto" w:fill="auto"/>
            <w:vAlign w:val="center"/>
          </w:tcPr>
          <w:p w14:paraId="014E46AC"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192" w:type="pct"/>
            <w:tcBorders>
              <w:top w:val="single" w:sz="4" w:space="0" w:color="auto"/>
              <w:left w:val="single" w:sz="4" w:space="0" w:color="auto"/>
            </w:tcBorders>
            <w:shd w:val="clear" w:color="auto" w:fill="auto"/>
            <w:vAlign w:val="center"/>
          </w:tcPr>
          <w:p w14:paraId="014E46AD"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418" w:type="pct"/>
            <w:tcBorders>
              <w:top w:val="single" w:sz="4" w:space="0" w:color="auto"/>
              <w:left w:val="single" w:sz="4" w:space="0" w:color="auto"/>
            </w:tcBorders>
            <w:shd w:val="clear" w:color="auto" w:fill="auto"/>
            <w:vAlign w:val="center"/>
          </w:tcPr>
          <w:p w14:paraId="014E46AE"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510 000</w:t>
            </w:r>
          </w:p>
        </w:tc>
        <w:tc>
          <w:tcPr>
            <w:tcW w:w="320" w:type="pct"/>
            <w:tcBorders>
              <w:top w:val="single" w:sz="4" w:space="0" w:color="auto"/>
              <w:left w:val="single" w:sz="4" w:space="0" w:color="auto"/>
            </w:tcBorders>
            <w:shd w:val="clear" w:color="auto" w:fill="auto"/>
            <w:vAlign w:val="center"/>
          </w:tcPr>
          <w:p w14:paraId="014E46AF"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61" w:type="pct"/>
            <w:tcBorders>
              <w:top w:val="single" w:sz="4" w:space="0" w:color="auto"/>
              <w:left w:val="single" w:sz="4" w:space="0" w:color="auto"/>
            </w:tcBorders>
            <w:shd w:val="clear" w:color="auto" w:fill="auto"/>
            <w:vAlign w:val="center"/>
          </w:tcPr>
          <w:p w14:paraId="014E46B0"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224" w:type="pct"/>
            <w:tcBorders>
              <w:top w:val="single" w:sz="4" w:space="0" w:color="auto"/>
              <w:left w:val="single" w:sz="4" w:space="0" w:color="auto"/>
            </w:tcBorders>
            <w:shd w:val="clear" w:color="auto" w:fill="auto"/>
            <w:vAlign w:val="center"/>
          </w:tcPr>
          <w:p w14:paraId="014E46B1"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128" w:type="pct"/>
            <w:tcBorders>
              <w:top w:val="single" w:sz="4" w:space="0" w:color="auto"/>
              <w:left w:val="single" w:sz="4" w:space="0" w:color="auto"/>
            </w:tcBorders>
            <w:shd w:val="clear" w:color="auto" w:fill="auto"/>
            <w:vAlign w:val="center"/>
          </w:tcPr>
          <w:p w14:paraId="014E46B2"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28" w:type="pct"/>
            <w:tcBorders>
              <w:top w:val="single" w:sz="4" w:space="0" w:color="auto"/>
              <w:left w:val="single" w:sz="4" w:space="0" w:color="auto"/>
            </w:tcBorders>
            <w:shd w:val="clear" w:color="auto" w:fill="auto"/>
            <w:vAlign w:val="center"/>
          </w:tcPr>
          <w:p w14:paraId="014E46B3"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418" w:type="pct"/>
            <w:tcBorders>
              <w:top w:val="single" w:sz="4" w:space="0" w:color="auto"/>
              <w:left w:val="single" w:sz="4" w:space="0" w:color="auto"/>
            </w:tcBorders>
            <w:shd w:val="clear" w:color="auto" w:fill="auto"/>
            <w:vAlign w:val="center"/>
          </w:tcPr>
          <w:p w14:paraId="014E46B4"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510 000</w:t>
            </w:r>
          </w:p>
        </w:tc>
        <w:tc>
          <w:tcPr>
            <w:tcW w:w="322" w:type="pct"/>
            <w:tcBorders>
              <w:top w:val="single" w:sz="4" w:space="0" w:color="auto"/>
              <w:left w:val="single" w:sz="4" w:space="0" w:color="auto"/>
            </w:tcBorders>
            <w:shd w:val="clear" w:color="auto" w:fill="auto"/>
            <w:vAlign w:val="center"/>
          </w:tcPr>
          <w:p w14:paraId="014E46B5"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59" w:type="pct"/>
            <w:tcBorders>
              <w:top w:val="single" w:sz="4" w:space="0" w:color="auto"/>
              <w:left w:val="single" w:sz="4" w:space="0" w:color="auto"/>
            </w:tcBorders>
            <w:shd w:val="clear" w:color="auto" w:fill="auto"/>
            <w:vAlign w:val="center"/>
          </w:tcPr>
          <w:p w14:paraId="014E46B6"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61" w:type="pct"/>
            <w:tcBorders>
              <w:top w:val="single" w:sz="4" w:space="0" w:color="auto"/>
              <w:left w:val="single" w:sz="4" w:space="0" w:color="auto"/>
            </w:tcBorders>
            <w:shd w:val="clear" w:color="auto" w:fill="auto"/>
            <w:vAlign w:val="center"/>
          </w:tcPr>
          <w:p w14:paraId="014E46B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353" w:type="pct"/>
            <w:tcBorders>
              <w:top w:val="single" w:sz="4" w:space="0" w:color="auto"/>
              <w:left w:val="single" w:sz="4" w:space="0" w:color="auto"/>
            </w:tcBorders>
            <w:shd w:val="clear" w:color="auto" w:fill="auto"/>
            <w:vAlign w:val="center"/>
          </w:tcPr>
          <w:p w14:paraId="014E46B8"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170 000</w:t>
            </w:r>
          </w:p>
        </w:tc>
        <w:tc>
          <w:tcPr>
            <w:tcW w:w="322" w:type="pct"/>
            <w:tcBorders>
              <w:top w:val="single" w:sz="4" w:space="0" w:color="auto"/>
              <w:left w:val="single" w:sz="4" w:space="0" w:color="auto"/>
            </w:tcBorders>
            <w:shd w:val="clear" w:color="auto" w:fill="auto"/>
            <w:vAlign w:val="center"/>
          </w:tcPr>
          <w:p w14:paraId="014E46B9"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416" w:type="pct"/>
            <w:tcBorders>
              <w:top w:val="single" w:sz="4" w:space="0" w:color="auto"/>
              <w:left w:val="single" w:sz="4" w:space="0" w:color="auto"/>
            </w:tcBorders>
            <w:shd w:val="clear" w:color="auto" w:fill="auto"/>
            <w:vAlign w:val="center"/>
          </w:tcPr>
          <w:p w14:paraId="014E46BA" w14:textId="77777777" w:rsidR="000D306C" w:rsidRPr="00A90756" w:rsidRDefault="000D306C" w:rsidP="000D306C">
            <w:pPr>
              <w:pStyle w:val="Other10"/>
              <w:spacing w:after="0"/>
              <w:jc w:val="right"/>
              <w:rPr>
                <w:rFonts w:ascii="Garamond" w:hAnsi="Garamond"/>
                <w:sz w:val="16"/>
                <w:szCs w:val="16"/>
              </w:rPr>
            </w:pPr>
            <w:r w:rsidRPr="00A90756">
              <w:rPr>
                <w:rStyle w:val="Other1"/>
                <w:rFonts w:ascii="Garamond" w:eastAsia="Arial" w:hAnsi="Garamond" w:cs="Arial"/>
                <w:sz w:val="16"/>
                <w:szCs w:val="16"/>
              </w:rPr>
              <w:t>1 190 000</w:t>
            </w:r>
          </w:p>
        </w:tc>
        <w:tc>
          <w:tcPr>
            <w:tcW w:w="390" w:type="pct"/>
            <w:tcBorders>
              <w:top w:val="single" w:sz="4" w:space="0" w:color="auto"/>
              <w:left w:val="single" w:sz="4" w:space="0" w:color="auto"/>
              <w:right w:val="single" w:sz="4" w:space="0" w:color="auto"/>
            </w:tcBorders>
            <w:shd w:val="clear" w:color="auto" w:fill="auto"/>
            <w:vAlign w:val="center"/>
          </w:tcPr>
          <w:p w14:paraId="014E46BB" w14:textId="77777777" w:rsidR="000D306C" w:rsidRPr="00A90756" w:rsidRDefault="000D306C" w:rsidP="000D306C">
            <w:pPr>
              <w:pStyle w:val="Other10"/>
              <w:spacing w:after="0"/>
              <w:jc w:val="right"/>
              <w:rPr>
                <w:rFonts w:ascii="Garamond" w:hAnsi="Garamond"/>
                <w:sz w:val="16"/>
                <w:szCs w:val="16"/>
              </w:rPr>
            </w:pPr>
            <w:r w:rsidRPr="00A90756">
              <w:rPr>
                <w:rStyle w:val="Other1"/>
                <w:rFonts w:ascii="Garamond" w:eastAsia="Arial" w:hAnsi="Garamond" w:cs="Arial"/>
                <w:sz w:val="16"/>
                <w:szCs w:val="16"/>
              </w:rPr>
              <w:t>0</w:t>
            </w:r>
          </w:p>
        </w:tc>
      </w:tr>
      <w:tr w:rsidR="000D306C" w:rsidRPr="00A90756" w14:paraId="014E46BE" w14:textId="77777777" w:rsidTr="000D306C">
        <w:trPr>
          <w:trHeight w:val="20"/>
          <w:jc w:val="center"/>
        </w:trPr>
        <w:tc>
          <w:tcPr>
            <w:tcW w:w="5000" w:type="pct"/>
            <w:gridSpan w:val="17"/>
            <w:tcBorders>
              <w:top w:val="single" w:sz="4" w:space="0" w:color="auto"/>
              <w:left w:val="single" w:sz="4" w:space="0" w:color="auto"/>
              <w:right w:val="single" w:sz="4" w:space="0" w:color="auto"/>
            </w:tcBorders>
            <w:shd w:val="clear" w:color="auto" w:fill="auto"/>
            <w:vAlign w:val="bottom"/>
          </w:tcPr>
          <w:p w14:paraId="014E46BD"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i/>
                <w:iCs/>
                <w:sz w:val="16"/>
                <w:szCs w:val="16"/>
              </w:rPr>
              <w:t>Sipas metodës së zbatimit</w:t>
            </w:r>
          </w:p>
        </w:tc>
      </w:tr>
      <w:tr w:rsidR="000D306C" w:rsidRPr="00A90756" w14:paraId="014E46C3" w14:textId="77777777" w:rsidTr="000D306C">
        <w:trPr>
          <w:trHeight w:val="20"/>
          <w:jc w:val="center"/>
        </w:trPr>
        <w:tc>
          <w:tcPr>
            <w:tcW w:w="695" w:type="pct"/>
            <w:tcBorders>
              <w:top w:val="single" w:sz="4" w:space="0" w:color="auto"/>
              <w:left w:val="single" w:sz="4" w:space="0" w:color="auto"/>
            </w:tcBorders>
            <w:shd w:val="clear" w:color="auto" w:fill="auto"/>
            <w:vAlign w:val="center"/>
          </w:tcPr>
          <w:p w14:paraId="014E46BF" w14:textId="2B4562C9" w:rsidR="000D306C" w:rsidRPr="00A90756" w:rsidRDefault="000D306C" w:rsidP="000D306C">
            <w:pPr>
              <w:pStyle w:val="Other10"/>
              <w:tabs>
                <w:tab w:val="left" w:pos="744"/>
              </w:tabs>
              <w:spacing w:after="0"/>
              <w:rPr>
                <w:rFonts w:ascii="Garamond" w:hAnsi="Garamond"/>
                <w:sz w:val="16"/>
                <w:szCs w:val="16"/>
              </w:rPr>
            </w:pPr>
            <w:r w:rsidRPr="00A90756">
              <w:rPr>
                <w:rStyle w:val="Other1"/>
                <w:rFonts w:ascii="Garamond" w:eastAsia="Arial" w:hAnsi="Garamond" w:cs="Arial"/>
                <w:sz w:val="16"/>
                <w:szCs w:val="16"/>
              </w:rPr>
              <w:t xml:space="preserve">Menaxhim </w:t>
            </w:r>
            <w:r w:rsidR="0098098F" w:rsidRPr="00A90756">
              <w:rPr>
                <w:rStyle w:val="Other1"/>
                <w:rFonts w:ascii="Garamond" w:eastAsia="Arial" w:hAnsi="Garamond" w:cs="Arial"/>
                <w:sz w:val="16"/>
                <w:szCs w:val="16"/>
              </w:rPr>
              <w:t>d</w:t>
            </w:r>
            <w:r w:rsidRPr="00A90756">
              <w:rPr>
                <w:rStyle w:val="Other1"/>
                <w:rFonts w:ascii="Garamond" w:eastAsia="Arial" w:hAnsi="Garamond" w:cs="Arial"/>
                <w:sz w:val="16"/>
                <w:szCs w:val="16"/>
              </w:rPr>
              <w:t>irekt:</w:t>
            </w:r>
            <w:r w:rsidRPr="00A90756">
              <w:rPr>
                <w:rFonts w:ascii="Garamond" w:hAnsi="Garamond"/>
                <w:sz w:val="16"/>
                <w:szCs w:val="16"/>
              </w:rPr>
              <w:t xml:space="preserve"> </w:t>
            </w:r>
            <w:r w:rsidRPr="00A90756">
              <w:rPr>
                <w:rStyle w:val="Other1"/>
                <w:rFonts w:ascii="Garamond" w:eastAsia="Arial" w:hAnsi="Garamond" w:cs="Arial"/>
                <w:sz w:val="16"/>
                <w:szCs w:val="16"/>
              </w:rPr>
              <w:t>Buxheti</w:t>
            </w:r>
            <w:r w:rsidRPr="00A90756">
              <w:rPr>
                <w:rFonts w:ascii="Garamond" w:hAnsi="Garamond"/>
                <w:sz w:val="16"/>
                <w:szCs w:val="16"/>
              </w:rPr>
              <w:t xml:space="preserve"> </w:t>
            </w:r>
            <w:r w:rsidR="0098098F" w:rsidRPr="00A90756">
              <w:rPr>
                <w:rStyle w:val="Other1"/>
                <w:rFonts w:ascii="Garamond" w:eastAsia="Arial" w:hAnsi="Garamond" w:cs="Arial"/>
                <w:sz w:val="16"/>
                <w:szCs w:val="16"/>
              </w:rPr>
              <w:t>total për grantet</w:t>
            </w:r>
          </w:p>
        </w:tc>
        <w:tc>
          <w:tcPr>
            <w:tcW w:w="3499" w:type="pct"/>
            <w:gridSpan w:val="14"/>
            <w:tcBorders>
              <w:top w:val="single" w:sz="4" w:space="0" w:color="auto"/>
              <w:left w:val="single" w:sz="4" w:space="0" w:color="auto"/>
            </w:tcBorders>
            <w:shd w:val="clear" w:color="auto" w:fill="D9D9D9"/>
            <w:vAlign w:val="center"/>
          </w:tcPr>
          <w:p w14:paraId="014E46C0"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N/A</w:t>
            </w:r>
          </w:p>
        </w:tc>
        <w:tc>
          <w:tcPr>
            <w:tcW w:w="416" w:type="pct"/>
            <w:tcBorders>
              <w:top w:val="single" w:sz="4" w:space="0" w:color="auto"/>
              <w:left w:val="single" w:sz="4" w:space="0" w:color="auto"/>
            </w:tcBorders>
            <w:shd w:val="clear" w:color="auto" w:fill="auto"/>
            <w:vAlign w:val="center"/>
          </w:tcPr>
          <w:p w14:paraId="014E46C1"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1 190 000</w:t>
            </w:r>
          </w:p>
        </w:tc>
        <w:tc>
          <w:tcPr>
            <w:tcW w:w="390" w:type="pct"/>
            <w:tcBorders>
              <w:top w:val="single" w:sz="4" w:space="0" w:color="auto"/>
              <w:left w:val="single" w:sz="4" w:space="0" w:color="auto"/>
              <w:right w:val="single" w:sz="4" w:space="0" w:color="auto"/>
            </w:tcBorders>
            <w:shd w:val="clear" w:color="auto" w:fill="auto"/>
            <w:vAlign w:val="center"/>
          </w:tcPr>
          <w:p w14:paraId="014E46C2" w14:textId="77777777" w:rsidR="000D306C" w:rsidRPr="00A90756" w:rsidRDefault="000D306C" w:rsidP="000D306C">
            <w:pPr>
              <w:pStyle w:val="Other10"/>
              <w:spacing w:after="0"/>
              <w:jc w:val="right"/>
              <w:rPr>
                <w:rFonts w:ascii="Garamond" w:hAnsi="Garamond"/>
                <w:sz w:val="16"/>
                <w:szCs w:val="16"/>
              </w:rPr>
            </w:pPr>
            <w:r w:rsidRPr="00A90756">
              <w:rPr>
                <w:rStyle w:val="Other1"/>
                <w:rFonts w:ascii="Garamond" w:eastAsia="Arial" w:hAnsi="Garamond" w:cs="Arial"/>
                <w:sz w:val="16"/>
                <w:szCs w:val="16"/>
              </w:rPr>
              <w:t>0</w:t>
            </w:r>
          </w:p>
        </w:tc>
      </w:tr>
      <w:tr w:rsidR="000D306C" w:rsidRPr="00A90756" w14:paraId="014E46CA" w14:textId="77777777" w:rsidTr="000D306C">
        <w:trPr>
          <w:trHeight w:val="20"/>
          <w:jc w:val="center"/>
        </w:trPr>
        <w:tc>
          <w:tcPr>
            <w:tcW w:w="695" w:type="pct"/>
            <w:tcBorders>
              <w:top w:val="single" w:sz="4" w:space="0" w:color="auto"/>
              <w:left w:val="single" w:sz="4" w:space="0" w:color="auto"/>
            </w:tcBorders>
            <w:shd w:val="clear" w:color="auto" w:fill="auto"/>
            <w:vAlign w:val="center"/>
          </w:tcPr>
          <w:p w14:paraId="014E46C4" w14:textId="2969F504" w:rsidR="000D306C" w:rsidRPr="00A90756" w:rsidRDefault="000D306C" w:rsidP="000D306C">
            <w:pPr>
              <w:pStyle w:val="Other10"/>
              <w:tabs>
                <w:tab w:val="left" w:pos="744"/>
              </w:tabs>
              <w:spacing w:after="0"/>
              <w:rPr>
                <w:rFonts w:ascii="Garamond" w:hAnsi="Garamond"/>
                <w:sz w:val="16"/>
                <w:szCs w:val="16"/>
              </w:rPr>
            </w:pPr>
            <w:r w:rsidRPr="00A90756">
              <w:rPr>
                <w:rStyle w:val="Other1"/>
                <w:rFonts w:ascii="Garamond" w:eastAsia="Arial" w:hAnsi="Garamond" w:cs="Arial"/>
                <w:sz w:val="16"/>
                <w:szCs w:val="16"/>
              </w:rPr>
              <w:t xml:space="preserve">Menaxhim </w:t>
            </w:r>
            <w:r w:rsidR="0098098F" w:rsidRPr="00A90756">
              <w:rPr>
                <w:rStyle w:val="Other1"/>
                <w:rFonts w:ascii="Garamond" w:eastAsia="Arial" w:hAnsi="Garamond" w:cs="Arial"/>
                <w:sz w:val="16"/>
                <w:szCs w:val="16"/>
              </w:rPr>
              <w:t>direkt</w:t>
            </w:r>
            <w:r w:rsidRPr="00A90756">
              <w:rPr>
                <w:rStyle w:val="Other1"/>
                <w:rFonts w:ascii="Garamond" w:eastAsia="Arial" w:hAnsi="Garamond" w:cs="Arial"/>
                <w:sz w:val="16"/>
                <w:szCs w:val="16"/>
              </w:rPr>
              <w:t>:</w:t>
            </w:r>
          </w:p>
          <w:p w14:paraId="014E46C5" w14:textId="746D51F4" w:rsidR="000D306C" w:rsidRPr="00A90756" w:rsidRDefault="000D306C" w:rsidP="000D306C">
            <w:pPr>
              <w:pStyle w:val="Other10"/>
              <w:tabs>
                <w:tab w:val="left" w:pos="619"/>
                <w:tab w:val="left" w:pos="1531"/>
              </w:tabs>
              <w:spacing w:after="0"/>
              <w:rPr>
                <w:rFonts w:ascii="Garamond" w:hAnsi="Garamond"/>
                <w:sz w:val="16"/>
                <w:szCs w:val="16"/>
              </w:rPr>
            </w:pPr>
            <w:r w:rsidRPr="00A90756">
              <w:rPr>
                <w:rStyle w:val="Other1"/>
                <w:rFonts w:ascii="Garamond" w:eastAsia="Arial" w:hAnsi="Garamond" w:cs="Arial"/>
                <w:sz w:val="16"/>
                <w:szCs w:val="16"/>
              </w:rPr>
              <w:t xml:space="preserve">Buxheti </w:t>
            </w:r>
            <w:r w:rsidR="0098098F" w:rsidRPr="00A90756">
              <w:rPr>
                <w:rStyle w:val="Other1"/>
                <w:rFonts w:ascii="Garamond" w:eastAsia="Arial" w:hAnsi="Garamond" w:cs="Arial"/>
                <w:sz w:val="16"/>
                <w:szCs w:val="16"/>
              </w:rPr>
              <w:t>total për</w:t>
            </w:r>
          </w:p>
          <w:p w14:paraId="014E46C6" w14:textId="63DCE879" w:rsidR="000D306C" w:rsidRPr="00A90756" w:rsidRDefault="0098098F" w:rsidP="000D306C">
            <w:pPr>
              <w:pStyle w:val="Other10"/>
              <w:spacing w:after="0"/>
              <w:rPr>
                <w:rFonts w:ascii="Garamond" w:hAnsi="Garamond"/>
                <w:sz w:val="16"/>
                <w:szCs w:val="16"/>
              </w:rPr>
            </w:pPr>
            <w:r w:rsidRPr="00A90756">
              <w:rPr>
                <w:rStyle w:val="Other1"/>
                <w:rFonts w:ascii="Garamond" w:eastAsia="Arial" w:hAnsi="Garamond" w:cs="Arial"/>
                <w:sz w:val="16"/>
                <w:szCs w:val="16"/>
              </w:rPr>
              <w:t>prokurimet</w:t>
            </w:r>
          </w:p>
        </w:tc>
        <w:tc>
          <w:tcPr>
            <w:tcW w:w="3499" w:type="pct"/>
            <w:gridSpan w:val="14"/>
            <w:tcBorders>
              <w:top w:val="single" w:sz="4" w:space="0" w:color="auto"/>
              <w:left w:val="single" w:sz="4" w:space="0" w:color="auto"/>
            </w:tcBorders>
            <w:shd w:val="clear" w:color="auto" w:fill="D9D9D9"/>
            <w:vAlign w:val="center"/>
          </w:tcPr>
          <w:p w14:paraId="014E46C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N/A</w:t>
            </w:r>
          </w:p>
        </w:tc>
        <w:tc>
          <w:tcPr>
            <w:tcW w:w="416" w:type="pct"/>
            <w:tcBorders>
              <w:top w:val="single" w:sz="4" w:space="0" w:color="auto"/>
              <w:left w:val="single" w:sz="4" w:space="0" w:color="auto"/>
            </w:tcBorders>
            <w:shd w:val="clear" w:color="auto" w:fill="auto"/>
            <w:vAlign w:val="center"/>
          </w:tcPr>
          <w:p w14:paraId="014E46C8"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390" w:type="pct"/>
            <w:tcBorders>
              <w:top w:val="single" w:sz="4" w:space="0" w:color="auto"/>
              <w:left w:val="single" w:sz="4" w:space="0" w:color="auto"/>
              <w:right w:val="single" w:sz="4" w:space="0" w:color="auto"/>
            </w:tcBorders>
            <w:shd w:val="clear" w:color="auto" w:fill="auto"/>
            <w:vAlign w:val="center"/>
          </w:tcPr>
          <w:p w14:paraId="014E46C9" w14:textId="77777777" w:rsidR="000D306C" w:rsidRPr="00A90756" w:rsidRDefault="000D306C" w:rsidP="000D306C">
            <w:pPr>
              <w:pStyle w:val="Other10"/>
              <w:spacing w:after="0"/>
              <w:jc w:val="right"/>
              <w:rPr>
                <w:rFonts w:ascii="Garamond" w:hAnsi="Garamond"/>
                <w:sz w:val="16"/>
                <w:szCs w:val="16"/>
              </w:rPr>
            </w:pPr>
            <w:r w:rsidRPr="00A90756">
              <w:rPr>
                <w:rStyle w:val="Other1"/>
                <w:rFonts w:ascii="Garamond" w:eastAsia="Arial" w:hAnsi="Garamond" w:cs="Arial"/>
                <w:sz w:val="16"/>
                <w:szCs w:val="16"/>
              </w:rPr>
              <w:t>0</w:t>
            </w:r>
          </w:p>
        </w:tc>
      </w:tr>
      <w:tr w:rsidR="000D306C" w:rsidRPr="00A90756" w14:paraId="014E46DD" w14:textId="77777777" w:rsidTr="000D306C">
        <w:trPr>
          <w:trHeight w:val="20"/>
          <w:jc w:val="center"/>
        </w:trPr>
        <w:tc>
          <w:tcPr>
            <w:tcW w:w="695" w:type="pct"/>
            <w:tcBorders>
              <w:top w:val="single" w:sz="4" w:space="0" w:color="auto"/>
              <w:left w:val="single" w:sz="4" w:space="0" w:color="auto"/>
            </w:tcBorders>
            <w:shd w:val="clear" w:color="auto" w:fill="auto"/>
            <w:vAlign w:val="bottom"/>
          </w:tcPr>
          <w:p w14:paraId="014E46CB" w14:textId="343970C2" w:rsidR="000D306C" w:rsidRPr="00A90756" w:rsidRDefault="000D306C" w:rsidP="000D306C">
            <w:pPr>
              <w:pStyle w:val="Other10"/>
              <w:tabs>
                <w:tab w:val="left" w:pos="787"/>
              </w:tabs>
              <w:spacing w:after="0"/>
              <w:rPr>
                <w:rFonts w:ascii="Garamond" w:hAnsi="Garamond"/>
                <w:sz w:val="16"/>
                <w:szCs w:val="16"/>
              </w:rPr>
            </w:pPr>
            <w:r w:rsidRPr="00A90756">
              <w:rPr>
                <w:rStyle w:val="Other1"/>
                <w:rFonts w:ascii="Garamond" w:eastAsia="Arial" w:hAnsi="Garamond" w:cs="Arial"/>
                <w:sz w:val="16"/>
                <w:szCs w:val="16"/>
              </w:rPr>
              <w:t xml:space="preserve">Menaxhim </w:t>
            </w:r>
            <w:r w:rsidR="0098098F" w:rsidRPr="00A90756">
              <w:rPr>
                <w:rStyle w:val="Other1"/>
                <w:rFonts w:ascii="Garamond" w:eastAsia="Arial" w:hAnsi="Garamond" w:cs="Arial"/>
                <w:sz w:val="16"/>
                <w:szCs w:val="16"/>
              </w:rPr>
              <w:t>indirekt</w:t>
            </w:r>
          </w:p>
          <w:p w14:paraId="014E46CC" w14:textId="0B1B9B49" w:rsidR="000D306C" w:rsidRPr="00A90756" w:rsidRDefault="000D306C" w:rsidP="000D306C">
            <w:pPr>
              <w:pStyle w:val="Other10"/>
              <w:tabs>
                <w:tab w:val="left" w:pos="557"/>
                <w:tab w:val="left" w:pos="1070"/>
                <w:tab w:val="left" w:pos="1603"/>
              </w:tabs>
              <w:spacing w:after="0"/>
              <w:rPr>
                <w:rFonts w:ascii="Garamond" w:hAnsi="Garamond"/>
                <w:sz w:val="16"/>
                <w:szCs w:val="16"/>
              </w:rPr>
            </w:pPr>
            <w:r w:rsidRPr="00A90756">
              <w:rPr>
                <w:rStyle w:val="Other1"/>
                <w:rFonts w:ascii="Garamond" w:eastAsia="Arial" w:hAnsi="Garamond" w:cs="Arial"/>
                <w:sz w:val="16"/>
                <w:szCs w:val="16"/>
              </w:rPr>
              <w:t>me përfitues të</w:t>
            </w:r>
            <w:r w:rsidR="00C61854" w:rsidRPr="00A90756">
              <w:rPr>
                <w:rStyle w:val="Other1"/>
                <w:rFonts w:ascii="Garamond" w:eastAsia="Arial" w:hAnsi="Garamond" w:cs="Arial"/>
                <w:sz w:val="16"/>
                <w:szCs w:val="16"/>
              </w:rPr>
              <w:t xml:space="preserve"> </w:t>
            </w:r>
            <w:r w:rsidRPr="00A90756">
              <w:rPr>
                <w:rStyle w:val="Other1"/>
                <w:rFonts w:ascii="Garamond" w:eastAsia="Arial" w:hAnsi="Garamond" w:cs="Arial"/>
                <w:sz w:val="16"/>
                <w:szCs w:val="16"/>
              </w:rPr>
              <w:t xml:space="preserve">IPA III: Buxheti </w:t>
            </w:r>
            <w:r w:rsidR="0098098F" w:rsidRPr="00A90756">
              <w:rPr>
                <w:rStyle w:val="Other1"/>
                <w:rFonts w:ascii="Garamond" w:eastAsia="Arial" w:hAnsi="Garamond" w:cs="Arial"/>
                <w:sz w:val="16"/>
                <w:szCs w:val="16"/>
              </w:rPr>
              <w:t>total</w:t>
            </w:r>
          </w:p>
        </w:tc>
        <w:tc>
          <w:tcPr>
            <w:tcW w:w="193" w:type="pct"/>
            <w:tcBorders>
              <w:top w:val="single" w:sz="4" w:space="0" w:color="auto"/>
              <w:left w:val="single" w:sz="4" w:space="0" w:color="auto"/>
            </w:tcBorders>
            <w:shd w:val="clear" w:color="auto" w:fill="auto"/>
            <w:vAlign w:val="center"/>
          </w:tcPr>
          <w:p w14:paraId="014E46CD"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192" w:type="pct"/>
            <w:tcBorders>
              <w:top w:val="single" w:sz="4" w:space="0" w:color="auto"/>
              <w:left w:val="single" w:sz="4" w:space="0" w:color="auto"/>
            </w:tcBorders>
            <w:shd w:val="clear" w:color="auto" w:fill="auto"/>
            <w:vAlign w:val="center"/>
          </w:tcPr>
          <w:p w14:paraId="014E46CE"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418" w:type="pct"/>
            <w:tcBorders>
              <w:top w:val="single" w:sz="4" w:space="0" w:color="auto"/>
              <w:left w:val="single" w:sz="4" w:space="0" w:color="auto"/>
            </w:tcBorders>
            <w:shd w:val="clear" w:color="auto" w:fill="auto"/>
            <w:vAlign w:val="center"/>
          </w:tcPr>
          <w:p w14:paraId="014E46CF"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2 890 000</w:t>
            </w:r>
          </w:p>
        </w:tc>
        <w:tc>
          <w:tcPr>
            <w:tcW w:w="320" w:type="pct"/>
            <w:tcBorders>
              <w:top w:val="single" w:sz="4" w:space="0" w:color="auto"/>
              <w:left w:val="single" w:sz="4" w:space="0" w:color="auto"/>
            </w:tcBorders>
            <w:shd w:val="clear" w:color="auto" w:fill="auto"/>
            <w:vAlign w:val="center"/>
          </w:tcPr>
          <w:p w14:paraId="014E46D0"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510 000</w:t>
            </w:r>
          </w:p>
        </w:tc>
        <w:tc>
          <w:tcPr>
            <w:tcW w:w="161" w:type="pct"/>
            <w:tcBorders>
              <w:top w:val="single" w:sz="4" w:space="0" w:color="auto"/>
              <w:left w:val="single" w:sz="4" w:space="0" w:color="auto"/>
            </w:tcBorders>
            <w:shd w:val="clear" w:color="auto" w:fill="auto"/>
            <w:vAlign w:val="center"/>
          </w:tcPr>
          <w:p w14:paraId="014E46D1"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224" w:type="pct"/>
            <w:tcBorders>
              <w:top w:val="single" w:sz="4" w:space="0" w:color="auto"/>
              <w:left w:val="single" w:sz="4" w:space="0" w:color="auto"/>
            </w:tcBorders>
            <w:shd w:val="clear" w:color="auto" w:fill="auto"/>
            <w:vAlign w:val="center"/>
          </w:tcPr>
          <w:p w14:paraId="014E46D2"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128" w:type="pct"/>
            <w:tcBorders>
              <w:top w:val="single" w:sz="4" w:space="0" w:color="auto"/>
              <w:left w:val="single" w:sz="4" w:space="0" w:color="auto"/>
            </w:tcBorders>
            <w:shd w:val="clear" w:color="auto" w:fill="auto"/>
            <w:vAlign w:val="center"/>
          </w:tcPr>
          <w:p w14:paraId="014E46D3"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128" w:type="pct"/>
            <w:tcBorders>
              <w:top w:val="single" w:sz="4" w:space="0" w:color="auto"/>
              <w:left w:val="single" w:sz="4" w:space="0" w:color="auto"/>
            </w:tcBorders>
            <w:shd w:val="clear" w:color="auto" w:fill="auto"/>
            <w:vAlign w:val="center"/>
          </w:tcPr>
          <w:p w14:paraId="014E46D4"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0</w:t>
            </w:r>
          </w:p>
        </w:tc>
        <w:tc>
          <w:tcPr>
            <w:tcW w:w="418" w:type="pct"/>
            <w:tcBorders>
              <w:top w:val="single" w:sz="4" w:space="0" w:color="auto"/>
              <w:left w:val="single" w:sz="4" w:space="0" w:color="auto"/>
            </w:tcBorders>
            <w:shd w:val="clear" w:color="auto" w:fill="auto"/>
            <w:vAlign w:val="center"/>
          </w:tcPr>
          <w:p w14:paraId="014E46D5"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4 590 000</w:t>
            </w:r>
          </w:p>
        </w:tc>
        <w:tc>
          <w:tcPr>
            <w:tcW w:w="322" w:type="pct"/>
            <w:tcBorders>
              <w:top w:val="single" w:sz="4" w:space="0" w:color="auto"/>
              <w:left w:val="single" w:sz="4" w:space="0" w:color="auto"/>
            </w:tcBorders>
            <w:shd w:val="clear" w:color="auto" w:fill="auto"/>
            <w:vAlign w:val="center"/>
          </w:tcPr>
          <w:p w14:paraId="014E46D6"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810 000</w:t>
            </w:r>
          </w:p>
        </w:tc>
        <w:tc>
          <w:tcPr>
            <w:tcW w:w="159" w:type="pct"/>
            <w:tcBorders>
              <w:top w:val="single" w:sz="4" w:space="0" w:color="auto"/>
              <w:left w:val="single" w:sz="4" w:space="0" w:color="auto"/>
            </w:tcBorders>
            <w:shd w:val="clear" w:color="auto" w:fill="auto"/>
            <w:vAlign w:val="center"/>
          </w:tcPr>
          <w:p w14:paraId="014E46D7"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161" w:type="pct"/>
            <w:tcBorders>
              <w:top w:val="single" w:sz="4" w:space="0" w:color="auto"/>
              <w:left w:val="single" w:sz="4" w:space="0" w:color="auto"/>
            </w:tcBorders>
            <w:shd w:val="clear" w:color="auto" w:fill="auto"/>
            <w:vAlign w:val="center"/>
          </w:tcPr>
          <w:p w14:paraId="014E46D8"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0</w:t>
            </w:r>
          </w:p>
        </w:tc>
        <w:tc>
          <w:tcPr>
            <w:tcW w:w="353" w:type="pct"/>
            <w:tcBorders>
              <w:top w:val="single" w:sz="4" w:space="0" w:color="auto"/>
              <w:left w:val="single" w:sz="4" w:space="0" w:color="auto"/>
            </w:tcBorders>
            <w:shd w:val="clear" w:color="auto" w:fill="auto"/>
            <w:vAlign w:val="center"/>
          </w:tcPr>
          <w:p w14:paraId="014E46D9"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3 230 000</w:t>
            </w:r>
          </w:p>
        </w:tc>
        <w:tc>
          <w:tcPr>
            <w:tcW w:w="322" w:type="pct"/>
            <w:tcBorders>
              <w:top w:val="single" w:sz="4" w:space="0" w:color="auto"/>
              <w:left w:val="single" w:sz="4" w:space="0" w:color="auto"/>
            </w:tcBorders>
            <w:shd w:val="clear" w:color="auto" w:fill="auto"/>
            <w:vAlign w:val="center"/>
          </w:tcPr>
          <w:p w14:paraId="014E46D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sz w:val="16"/>
                <w:szCs w:val="16"/>
              </w:rPr>
              <w:t>570 000</w:t>
            </w:r>
          </w:p>
        </w:tc>
        <w:tc>
          <w:tcPr>
            <w:tcW w:w="416" w:type="pct"/>
            <w:tcBorders>
              <w:top w:val="single" w:sz="4" w:space="0" w:color="auto"/>
              <w:left w:val="single" w:sz="4" w:space="0" w:color="auto"/>
            </w:tcBorders>
            <w:shd w:val="clear" w:color="auto" w:fill="auto"/>
            <w:vAlign w:val="center"/>
          </w:tcPr>
          <w:p w14:paraId="014E46DB"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10 710 000</w:t>
            </w:r>
          </w:p>
        </w:tc>
        <w:tc>
          <w:tcPr>
            <w:tcW w:w="390" w:type="pct"/>
            <w:tcBorders>
              <w:top w:val="single" w:sz="4" w:space="0" w:color="auto"/>
              <w:left w:val="single" w:sz="4" w:space="0" w:color="auto"/>
              <w:right w:val="single" w:sz="4" w:space="0" w:color="auto"/>
            </w:tcBorders>
            <w:shd w:val="clear" w:color="auto" w:fill="auto"/>
            <w:vAlign w:val="center"/>
          </w:tcPr>
          <w:p w14:paraId="014E46DC"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sz w:val="16"/>
                <w:szCs w:val="16"/>
              </w:rPr>
              <w:t>1 890 000</w:t>
            </w:r>
          </w:p>
        </w:tc>
      </w:tr>
      <w:tr w:rsidR="000D306C" w:rsidRPr="00A90756" w14:paraId="014E46EF" w14:textId="77777777" w:rsidTr="000D306C">
        <w:trPr>
          <w:trHeight w:val="20"/>
          <w:jc w:val="center"/>
        </w:trPr>
        <w:tc>
          <w:tcPr>
            <w:tcW w:w="695" w:type="pct"/>
            <w:tcBorders>
              <w:top w:val="single" w:sz="4" w:space="0" w:color="auto"/>
              <w:left w:val="single" w:sz="4" w:space="0" w:color="auto"/>
              <w:bottom w:val="single" w:sz="4" w:space="0" w:color="auto"/>
            </w:tcBorders>
            <w:shd w:val="clear" w:color="auto" w:fill="auto"/>
            <w:vAlign w:val="center"/>
          </w:tcPr>
          <w:p w14:paraId="014E46DE"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TOTALI I PLOTË</w:t>
            </w:r>
            <w:r w:rsidRPr="00A90756">
              <w:rPr>
                <w:rStyle w:val="Other1"/>
                <w:rFonts w:ascii="Garamond" w:eastAsia="Arial" w:hAnsi="Garamond" w:cs="Arial"/>
                <w:b/>
                <w:bCs/>
                <w:sz w:val="16"/>
                <w:szCs w:val="16"/>
                <w:vertAlign w:val="superscript"/>
              </w:rPr>
              <w:footnoteReference w:id="29"/>
            </w:r>
          </w:p>
        </w:tc>
        <w:tc>
          <w:tcPr>
            <w:tcW w:w="193" w:type="pct"/>
            <w:tcBorders>
              <w:top w:val="single" w:sz="4" w:space="0" w:color="auto"/>
              <w:left w:val="single" w:sz="4" w:space="0" w:color="auto"/>
              <w:bottom w:val="single" w:sz="4" w:space="0" w:color="auto"/>
            </w:tcBorders>
            <w:shd w:val="clear" w:color="auto" w:fill="auto"/>
            <w:vAlign w:val="center"/>
          </w:tcPr>
          <w:p w14:paraId="014E46DF"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0</w:t>
            </w:r>
          </w:p>
        </w:tc>
        <w:tc>
          <w:tcPr>
            <w:tcW w:w="192" w:type="pct"/>
            <w:tcBorders>
              <w:top w:val="single" w:sz="4" w:space="0" w:color="auto"/>
              <w:left w:val="single" w:sz="4" w:space="0" w:color="auto"/>
              <w:bottom w:val="single" w:sz="4" w:space="0" w:color="auto"/>
            </w:tcBorders>
            <w:shd w:val="clear" w:color="auto" w:fill="auto"/>
            <w:vAlign w:val="center"/>
          </w:tcPr>
          <w:p w14:paraId="014E46E0"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0</w:t>
            </w:r>
          </w:p>
        </w:tc>
        <w:tc>
          <w:tcPr>
            <w:tcW w:w="418" w:type="pct"/>
            <w:tcBorders>
              <w:top w:val="single" w:sz="4" w:space="0" w:color="auto"/>
              <w:left w:val="single" w:sz="4" w:space="0" w:color="auto"/>
              <w:bottom w:val="single" w:sz="4" w:space="0" w:color="auto"/>
            </w:tcBorders>
            <w:shd w:val="clear" w:color="auto" w:fill="auto"/>
            <w:vAlign w:val="center"/>
          </w:tcPr>
          <w:p w14:paraId="014E46E1"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3 400 000</w:t>
            </w:r>
          </w:p>
        </w:tc>
        <w:tc>
          <w:tcPr>
            <w:tcW w:w="320" w:type="pct"/>
            <w:tcBorders>
              <w:top w:val="single" w:sz="4" w:space="0" w:color="auto"/>
              <w:left w:val="single" w:sz="4" w:space="0" w:color="auto"/>
              <w:bottom w:val="single" w:sz="4" w:space="0" w:color="auto"/>
            </w:tcBorders>
            <w:shd w:val="clear" w:color="auto" w:fill="auto"/>
            <w:vAlign w:val="center"/>
          </w:tcPr>
          <w:p w14:paraId="014E46E2"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510 000</w:t>
            </w:r>
          </w:p>
        </w:tc>
        <w:tc>
          <w:tcPr>
            <w:tcW w:w="161" w:type="pct"/>
            <w:tcBorders>
              <w:top w:val="single" w:sz="4" w:space="0" w:color="auto"/>
              <w:left w:val="single" w:sz="4" w:space="0" w:color="auto"/>
              <w:bottom w:val="single" w:sz="4" w:space="0" w:color="auto"/>
            </w:tcBorders>
            <w:shd w:val="clear" w:color="auto" w:fill="auto"/>
            <w:vAlign w:val="center"/>
          </w:tcPr>
          <w:p w14:paraId="014E46E3"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0</w:t>
            </w:r>
          </w:p>
        </w:tc>
        <w:tc>
          <w:tcPr>
            <w:tcW w:w="224" w:type="pct"/>
            <w:tcBorders>
              <w:top w:val="single" w:sz="4" w:space="0" w:color="auto"/>
              <w:left w:val="single" w:sz="4" w:space="0" w:color="auto"/>
              <w:bottom w:val="single" w:sz="4" w:space="0" w:color="auto"/>
            </w:tcBorders>
            <w:shd w:val="clear" w:color="auto" w:fill="auto"/>
            <w:vAlign w:val="center"/>
          </w:tcPr>
          <w:p w14:paraId="014E46E4"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0</w:t>
            </w:r>
          </w:p>
        </w:tc>
        <w:tc>
          <w:tcPr>
            <w:tcW w:w="128" w:type="pct"/>
            <w:tcBorders>
              <w:top w:val="single" w:sz="4" w:space="0" w:color="auto"/>
              <w:left w:val="single" w:sz="4" w:space="0" w:color="auto"/>
              <w:bottom w:val="single" w:sz="4" w:space="0" w:color="auto"/>
            </w:tcBorders>
            <w:shd w:val="clear" w:color="auto" w:fill="auto"/>
            <w:vAlign w:val="center"/>
          </w:tcPr>
          <w:p w14:paraId="014E46E5"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0</w:t>
            </w:r>
          </w:p>
        </w:tc>
        <w:tc>
          <w:tcPr>
            <w:tcW w:w="128" w:type="pct"/>
            <w:tcBorders>
              <w:top w:val="single" w:sz="4" w:space="0" w:color="auto"/>
              <w:left w:val="single" w:sz="4" w:space="0" w:color="auto"/>
              <w:bottom w:val="single" w:sz="4" w:space="0" w:color="auto"/>
            </w:tcBorders>
            <w:shd w:val="clear" w:color="auto" w:fill="auto"/>
            <w:vAlign w:val="center"/>
          </w:tcPr>
          <w:p w14:paraId="014E46E6"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0</w:t>
            </w:r>
          </w:p>
        </w:tc>
        <w:tc>
          <w:tcPr>
            <w:tcW w:w="418" w:type="pct"/>
            <w:tcBorders>
              <w:top w:val="single" w:sz="4" w:space="0" w:color="auto"/>
              <w:left w:val="single" w:sz="4" w:space="0" w:color="auto"/>
              <w:bottom w:val="single" w:sz="4" w:space="0" w:color="auto"/>
            </w:tcBorders>
            <w:shd w:val="clear" w:color="auto" w:fill="auto"/>
            <w:vAlign w:val="center"/>
          </w:tcPr>
          <w:p w14:paraId="014E46E7"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5 100 000</w:t>
            </w:r>
          </w:p>
        </w:tc>
        <w:tc>
          <w:tcPr>
            <w:tcW w:w="322" w:type="pct"/>
            <w:tcBorders>
              <w:top w:val="single" w:sz="4" w:space="0" w:color="auto"/>
              <w:left w:val="single" w:sz="4" w:space="0" w:color="auto"/>
              <w:bottom w:val="single" w:sz="4" w:space="0" w:color="auto"/>
            </w:tcBorders>
            <w:shd w:val="clear" w:color="auto" w:fill="auto"/>
            <w:vAlign w:val="center"/>
          </w:tcPr>
          <w:p w14:paraId="014E46E8"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810 000</w:t>
            </w:r>
          </w:p>
        </w:tc>
        <w:tc>
          <w:tcPr>
            <w:tcW w:w="159" w:type="pct"/>
            <w:tcBorders>
              <w:top w:val="single" w:sz="4" w:space="0" w:color="auto"/>
              <w:left w:val="single" w:sz="4" w:space="0" w:color="auto"/>
              <w:bottom w:val="single" w:sz="4" w:space="0" w:color="auto"/>
            </w:tcBorders>
            <w:shd w:val="clear" w:color="auto" w:fill="auto"/>
            <w:vAlign w:val="center"/>
          </w:tcPr>
          <w:p w14:paraId="014E46E9"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0</w:t>
            </w:r>
          </w:p>
        </w:tc>
        <w:tc>
          <w:tcPr>
            <w:tcW w:w="161" w:type="pct"/>
            <w:tcBorders>
              <w:top w:val="single" w:sz="4" w:space="0" w:color="auto"/>
              <w:left w:val="single" w:sz="4" w:space="0" w:color="auto"/>
              <w:bottom w:val="single" w:sz="4" w:space="0" w:color="auto"/>
            </w:tcBorders>
            <w:shd w:val="clear" w:color="auto" w:fill="auto"/>
            <w:vAlign w:val="center"/>
          </w:tcPr>
          <w:p w14:paraId="014E46EA"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0</w:t>
            </w:r>
          </w:p>
        </w:tc>
        <w:tc>
          <w:tcPr>
            <w:tcW w:w="353" w:type="pct"/>
            <w:tcBorders>
              <w:top w:val="single" w:sz="4" w:space="0" w:color="auto"/>
              <w:left w:val="single" w:sz="4" w:space="0" w:color="auto"/>
              <w:bottom w:val="single" w:sz="4" w:space="0" w:color="auto"/>
            </w:tcBorders>
            <w:shd w:val="clear" w:color="auto" w:fill="auto"/>
            <w:vAlign w:val="center"/>
          </w:tcPr>
          <w:p w14:paraId="014E46EB"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3 400 000</w:t>
            </w:r>
          </w:p>
        </w:tc>
        <w:tc>
          <w:tcPr>
            <w:tcW w:w="322" w:type="pct"/>
            <w:tcBorders>
              <w:top w:val="single" w:sz="4" w:space="0" w:color="auto"/>
              <w:left w:val="single" w:sz="4" w:space="0" w:color="auto"/>
              <w:bottom w:val="single" w:sz="4" w:space="0" w:color="auto"/>
            </w:tcBorders>
            <w:shd w:val="clear" w:color="auto" w:fill="auto"/>
            <w:vAlign w:val="center"/>
          </w:tcPr>
          <w:p w14:paraId="014E46EC" w14:textId="77777777" w:rsidR="000D306C" w:rsidRPr="00A90756" w:rsidRDefault="000D306C" w:rsidP="000D306C">
            <w:pPr>
              <w:pStyle w:val="Other10"/>
              <w:spacing w:after="0"/>
              <w:jc w:val="center"/>
              <w:rPr>
                <w:rFonts w:ascii="Garamond" w:hAnsi="Garamond"/>
                <w:sz w:val="16"/>
                <w:szCs w:val="16"/>
              </w:rPr>
            </w:pPr>
            <w:r w:rsidRPr="00A90756">
              <w:rPr>
                <w:rStyle w:val="Other1"/>
                <w:rFonts w:ascii="Garamond" w:eastAsia="Arial" w:hAnsi="Garamond" w:cs="Arial"/>
                <w:b/>
                <w:bCs/>
                <w:sz w:val="16"/>
                <w:szCs w:val="16"/>
              </w:rPr>
              <w:t>570 000</w:t>
            </w:r>
          </w:p>
        </w:tc>
        <w:tc>
          <w:tcPr>
            <w:tcW w:w="416" w:type="pct"/>
            <w:tcBorders>
              <w:top w:val="single" w:sz="4" w:space="0" w:color="auto"/>
              <w:left w:val="single" w:sz="4" w:space="0" w:color="auto"/>
              <w:bottom w:val="single" w:sz="4" w:space="0" w:color="auto"/>
            </w:tcBorders>
            <w:shd w:val="clear" w:color="auto" w:fill="auto"/>
            <w:vAlign w:val="center"/>
          </w:tcPr>
          <w:p w14:paraId="014E46ED"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11 900 000</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014E46EE" w14:textId="77777777" w:rsidR="000D306C" w:rsidRPr="00A90756" w:rsidRDefault="000D306C" w:rsidP="000D306C">
            <w:pPr>
              <w:pStyle w:val="Other10"/>
              <w:spacing w:after="0"/>
              <w:rPr>
                <w:rFonts w:ascii="Garamond" w:hAnsi="Garamond"/>
                <w:sz w:val="16"/>
                <w:szCs w:val="16"/>
              </w:rPr>
            </w:pPr>
            <w:r w:rsidRPr="00A90756">
              <w:rPr>
                <w:rStyle w:val="Other1"/>
                <w:rFonts w:ascii="Garamond" w:eastAsia="Arial" w:hAnsi="Garamond" w:cs="Arial"/>
                <w:b/>
                <w:bCs/>
                <w:sz w:val="16"/>
                <w:szCs w:val="16"/>
              </w:rPr>
              <w:t>1 890 000</w:t>
            </w:r>
          </w:p>
        </w:tc>
      </w:tr>
    </w:tbl>
    <w:p w14:paraId="014E46F0" w14:textId="751C6923" w:rsidR="000D306C" w:rsidRPr="00A90756" w:rsidRDefault="000D306C" w:rsidP="000D306C">
      <w:pPr>
        <w:pStyle w:val="Bodytext10"/>
        <w:spacing w:after="0"/>
        <w:ind w:firstLine="284"/>
        <w:rPr>
          <w:rStyle w:val="Bodytext1"/>
          <w:rFonts w:ascii="Garamond" w:hAnsi="Garamond"/>
          <w:i/>
          <w:iCs/>
        </w:rPr>
      </w:pPr>
      <w:r w:rsidRPr="00A90756">
        <w:rPr>
          <w:rStyle w:val="Bodytext1"/>
          <w:rFonts w:ascii="Garamond" w:hAnsi="Garamond"/>
          <w:i/>
          <w:iCs/>
        </w:rPr>
        <w:t xml:space="preserve">* Buxheti total për grante; Buxheti total për prokurimet </w:t>
      </w:r>
      <w:r w:rsidR="0098098F" w:rsidRPr="00A90756">
        <w:rPr>
          <w:rStyle w:val="Bodytext1"/>
          <w:rFonts w:ascii="Garamond" w:hAnsi="Garamond"/>
          <w:i/>
          <w:iCs/>
        </w:rPr>
        <w:t>–</w:t>
      </w:r>
      <w:r w:rsidRPr="00A90756">
        <w:rPr>
          <w:rStyle w:val="Bodytext1"/>
          <w:rFonts w:ascii="Garamond" w:hAnsi="Garamond"/>
          <w:i/>
          <w:iCs/>
        </w:rPr>
        <w:t xml:space="preserve"> duhet të plotësohet vetëm buxheti total për 2021</w:t>
      </w:r>
      <w:r w:rsidR="0098098F" w:rsidRPr="00A90756">
        <w:rPr>
          <w:rStyle w:val="Bodytext1"/>
          <w:rFonts w:ascii="Garamond" w:hAnsi="Garamond"/>
          <w:i/>
          <w:iCs/>
        </w:rPr>
        <w:t>–</w:t>
      </w:r>
      <w:r w:rsidRPr="00A90756">
        <w:rPr>
          <w:rStyle w:val="Bodytext1"/>
          <w:rFonts w:ascii="Garamond" w:hAnsi="Garamond"/>
          <w:i/>
          <w:iCs/>
        </w:rPr>
        <w:t>2027</w:t>
      </w:r>
    </w:p>
    <w:p w14:paraId="014E46F1" w14:textId="77777777" w:rsidR="000D306C" w:rsidRPr="00A90756" w:rsidRDefault="000D306C" w:rsidP="000D306C">
      <w:pPr>
        <w:pStyle w:val="Bodytext10"/>
        <w:spacing w:after="0"/>
        <w:ind w:firstLine="284"/>
        <w:rPr>
          <w:rStyle w:val="Bodytext1"/>
          <w:rFonts w:ascii="Garamond" w:hAnsi="Garamond"/>
          <w:i/>
          <w:iCs/>
        </w:rPr>
      </w:pPr>
    </w:p>
    <w:p w14:paraId="014E46F2" w14:textId="66897664" w:rsidR="000D306C" w:rsidRPr="00A90756" w:rsidRDefault="000D306C" w:rsidP="000D306C">
      <w:pPr>
        <w:pStyle w:val="Tablecaption10"/>
        <w:ind w:firstLine="284"/>
        <w:rPr>
          <w:rFonts w:ascii="Garamond" w:hAnsi="Garamond"/>
          <w:i w:val="0"/>
          <w:sz w:val="20"/>
          <w:szCs w:val="20"/>
        </w:rPr>
      </w:pPr>
      <w:r w:rsidRPr="00A90756">
        <w:rPr>
          <w:rStyle w:val="Tablecaption1"/>
          <w:rFonts w:ascii="Garamond" w:hAnsi="Garamond"/>
          <w:bCs/>
          <w:i/>
          <w:sz w:val="20"/>
          <w:szCs w:val="20"/>
        </w:rPr>
        <w:t>Tabela 4: Alokimi financiar indikativ sipas prioritetit dhe normës së kontributit të Bashkimit Evropian (për periudhën 2021</w:t>
      </w:r>
      <w:r w:rsidR="00D06E61" w:rsidRPr="00A90756">
        <w:rPr>
          <w:rStyle w:val="SubtleEmphasis"/>
          <w:rFonts w:ascii="Garamond" w:hAnsi="Garamond"/>
        </w:rPr>
        <w:t>–</w:t>
      </w:r>
      <w:r w:rsidRPr="00A90756">
        <w:rPr>
          <w:rStyle w:val="Tablecaption1"/>
          <w:rFonts w:ascii="Garamond" w:hAnsi="Garamond"/>
          <w:bCs/>
          <w:i/>
          <w:sz w:val="20"/>
          <w:szCs w:val="20"/>
        </w:rPr>
        <w:t>2027)</w:t>
      </w:r>
    </w:p>
    <w:tbl>
      <w:tblPr>
        <w:tblOverlap w:val="never"/>
        <w:tblW w:w="5000" w:type="pct"/>
        <w:jc w:val="center"/>
        <w:tblCellMar>
          <w:left w:w="10" w:type="dxa"/>
          <w:right w:w="10" w:type="dxa"/>
        </w:tblCellMar>
        <w:tblLook w:val="04A0" w:firstRow="1" w:lastRow="0" w:firstColumn="1" w:lastColumn="0" w:noHBand="0" w:noVBand="1"/>
      </w:tblPr>
      <w:tblGrid>
        <w:gridCol w:w="4659"/>
        <w:gridCol w:w="4210"/>
        <w:gridCol w:w="1002"/>
        <w:gridCol w:w="1451"/>
        <w:gridCol w:w="1085"/>
        <w:gridCol w:w="1543"/>
      </w:tblGrid>
      <w:tr w:rsidR="000D306C" w:rsidRPr="00A90756" w14:paraId="014E46F6" w14:textId="77777777" w:rsidTr="00D06E61">
        <w:trPr>
          <w:trHeight w:val="20"/>
          <w:jc w:val="center"/>
        </w:trPr>
        <w:tc>
          <w:tcPr>
            <w:tcW w:w="1670" w:type="pct"/>
            <w:vMerge w:val="restart"/>
            <w:tcBorders>
              <w:top w:val="single" w:sz="4" w:space="0" w:color="auto"/>
              <w:left w:val="single" w:sz="4" w:space="0" w:color="auto"/>
            </w:tcBorders>
            <w:shd w:val="clear" w:color="auto" w:fill="BFBFBF"/>
          </w:tcPr>
          <w:p w14:paraId="014E46F3"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b/>
                <w:bCs/>
                <w:sz w:val="16"/>
                <w:szCs w:val="16"/>
              </w:rPr>
              <w:t>GRUPIMET</w:t>
            </w:r>
          </w:p>
        </w:tc>
        <w:tc>
          <w:tcPr>
            <w:tcW w:w="1509" w:type="pct"/>
            <w:vMerge w:val="restart"/>
            <w:tcBorders>
              <w:top w:val="single" w:sz="4" w:space="0" w:color="auto"/>
              <w:left w:val="single" w:sz="4" w:space="0" w:color="auto"/>
            </w:tcBorders>
            <w:shd w:val="clear" w:color="auto" w:fill="BFBFBF"/>
            <w:vAlign w:val="center"/>
          </w:tcPr>
          <w:p w14:paraId="014E46F4"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b/>
                <w:bCs/>
                <w:sz w:val="16"/>
                <w:szCs w:val="16"/>
              </w:rPr>
              <w:t>PRIORITETET</w:t>
            </w:r>
          </w:p>
        </w:tc>
        <w:tc>
          <w:tcPr>
            <w:tcW w:w="1821" w:type="pct"/>
            <w:gridSpan w:val="4"/>
            <w:tcBorders>
              <w:top w:val="single" w:sz="4" w:space="0" w:color="auto"/>
              <w:left w:val="single" w:sz="4" w:space="0" w:color="auto"/>
              <w:right w:val="single" w:sz="4" w:space="0" w:color="auto"/>
            </w:tcBorders>
            <w:shd w:val="clear" w:color="auto" w:fill="CCCCFE"/>
          </w:tcPr>
          <w:p w14:paraId="014E46F5"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eastAsia="Arial" w:hAnsi="Garamond" w:cs="Arial"/>
                <w:b/>
                <w:bCs/>
                <w:sz w:val="16"/>
                <w:szCs w:val="16"/>
              </w:rPr>
              <w:t>PËRFITUESI I PROGRAMIT IPA II BNK X- PËRFITUES Z</w:t>
            </w:r>
          </w:p>
        </w:tc>
      </w:tr>
      <w:tr w:rsidR="000D306C" w:rsidRPr="00A90756" w14:paraId="014E46FD" w14:textId="77777777" w:rsidTr="00B01717">
        <w:trPr>
          <w:trHeight w:val="20"/>
          <w:jc w:val="center"/>
        </w:trPr>
        <w:tc>
          <w:tcPr>
            <w:tcW w:w="1670" w:type="pct"/>
            <w:vMerge/>
            <w:tcBorders>
              <w:left w:val="single" w:sz="4" w:space="0" w:color="auto"/>
            </w:tcBorders>
            <w:shd w:val="clear" w:color="auto" w:fill="BFBFBF"/>
          </w:tcPr>
          <w:p w14:paraId="014E46F7" w14:textId="77777777" w:rsidR="000D306C" w:rsidRPr="00A90756" w:rsidRDefault="000D306C" w:rsidP="000D306C">
            <w:pPr>
              <w:ind w:firstLine="284"/>
              <w:rPr>
                <w:rFonts w:ascii="Garamond" w:hAnsi="Garamond"/>
              </w:rPr>
            </w:pPr>
          </w:p>
        </w:tc>
        <w:tc>
          <w:tcPr>
            <w:tcW w:w="1509" w:type="pct"/>
            <w:vMerge/>
            <w:tcBorders>
              <w:left w:val="single" w:sz="4" w:space="0" w:color="auto"/>
            </w:tcBorders>
            <w:shd w:val="clear" w:color="auto" w:fill="BFBFBF"/>
            <w:vAlign w:val="center"/>
          </w:tcPr>
          <w:p w14:paraId="014E46F8" w14:textId="77777777" w:rsidR="000D306C" w:rsidRPr="00A90756" w:rsidRDefault="000D306C" w:rsidP="000D306C">
            <w:pPr>
              <w:ind w:firstLine="284"/>
              <w:rPr>
                <w:rFonts w:ascii="Garamond" w:hAnsi="Garamond"/>
              </w:rPr>
            </w:pPr>
          </w:p>
        </w:tc>
        <w:tc>
          <w:tcPr>
            <w:tcW w:w="359" w:type="pct"/>
            <w:tcBorders>
              <w:top w:val="single" w:sz="4" w:space="0" w:color="auto"/>
              <w:left w:val="single" w:sz="4" w:space="0" w:color="auto"/>
            </w:tcBorders>
            <w:shd w:val="clear" w:color="auto" w:fill="CCCCFE"/>
            <w:vAlign w:val="center"/>
          </w:tcPr>
          <w:p w14:paraId="014E46F9" w14:textId="77777777" w:rsidR="000D306C" w:rsidRPr="00A90756" w:rsidRDefault="000D306C" w:rsidP="00B01717">
            <w:pPr>
              <w:pStyle w:val="Other10"/>
              <w:spacing w:after="0"/>
              <w:ind w:firstLine="284"/>
              <w:jc w:val="center"/>
              <w:rPr>
                <w:rFonts w:ascii="Garamond" w:hAnsi="Garamond"/>
                <w:sz w:val="16"/>
                <w:szCs w:val="16"/>
              </w:rPr>
            </w:pPr>
            <w:r w:rsidRPr="00A90756">
              <w:rPr>
                <w:rStyle w:val="Other1"/>
                <w:rFonts w:ascii="Garamond" w:eastAsia="Arial" w:hAnsi="Garamond" w:cs="Arial"/>
                <w:b/>
                <w:bCs/>
                <w:sz w:val="16"/>
                <w:szCs w:val="16"/>
              </w:rPr>
              <w:t>Financimi i Bashkimit Evropian</w:t>
            </w:r>
          </w:p>
        </w:tc>
        <w:tc>
          <w:tcPr>
            <w:tcW w:w="520" w:type="pct"/>
            <w:tcBorders>
              <w:top w:val="single" w:sz="4" w:space="0" w:color="auto"/>
              <w:left w:val="single" w:sz="4" w:space="0" w:color="auto"/>
            </w:tcBorders>
            <w:shd w:val="clear" w:color="auto" w:fill="CCCCFE"/>
            <w:vAlign w:val="center"/>
          </w:tcPr>
          <w:p w14:paraId="014E46FA" w14:textId="77777777" w:rsidR="000D306C" w:rsidRPr="00A90756" w:rsidRDefault="000D306C" w:rsidP="00B01717">
            <w:pPr>
              <w:pStyle w:val="Other10"/>
              <w:spacing w:after="0"/>
              <w:ind w:firstLine="284"/>
              <w:jc w:val="center"/>
              <w:rPr>
                <w:rFonts w:ascii="Garamond" w:hAnsi="Garamond"/>
                <w:sz w:val="16"/>
                <w:szCs w:val="16"/>
              </w:rPr>
            </w:pPr>
            <w:r w:rsidRPr="00A90756">
              <w:rPr>
                <w:rStyle w:val="Other1"/>
                <w:rFonts w:ascii="Garamond" w:eastAsia="Arial" w:hAnsi="Garamond" w:cs="Arial"/>
                <w:b/>
                <w:bCs/>
                <w:sz w:val="16"/>
                <w:szCs w:val="16"/>
              </w:rPr>
              <w:t>Bashkëfinancimi</w:t>
            </w:r>
          </w:p>
        </w:tc>
        <w:tc>
          <w:tcPr>
            <w:tcW w:w="389" w:type="pct"/>
            <w:tcBorders>
              <w:top w:val="single" w:sz="4" w:space="0" w:color="auto"/>
              <w:left w:val="single" w:sz="4" w:space="0" w:color="auto"/>
            </w:tcBorders>
            <w:shd w:val="clear" w:color="auto" w:fill="CCCCFE"/>
            <w:vAlign w:val="center"/>
          </w:tcPr>
          <w:p w14:paraId="014E46FB" w14:textId="77777777" w:rsidR="000D306C" w:rsidRPr="00A90756" w:rsidRDefault="000D306C" w:rsidP="00B01717">
            <w:pPr>
              <w:pStyle w:val="Other10"/>
              <w:spacing w:after="0"/>
              <w:ind w:firstLine="284"/>
              <w:jc w:val="center"/>
              <w:rPr>
                <w:rFonts w:ascii="Garamond" w:hAnsi="Garamond"/>
                <w:sz w:val="16"/>
                <w:szCs w:val="16"/>
              </w:rPr>
            </w:pPr>
            <w:r w:rsidRPr="00A90756">
              <w:rPr>
                <w:rStyle w:val="Other1"/>
                <w:rFonts w:ascii="Garamond" w:eastAsia="Arial" w:hAnsi="Garamond" w:cs="Arial"/>
                <w:b/>
                <w:bCs/>
                <w:sz w:val="16"/>
                <w:szCs w:val="16"/>
              </w:rPr>
              <w:t>Total</w:t>
            </w:r>
          </w:p>
        </w:tc>
        <w:tc>
          <w:tcPr>
            <w:tcW w:w="553" w:type="pct"/>
            <w:tcBorders>
              <w:top w:val="single" w:sz="4" w:space="0" w:color="auto"/>
              <w:left w:val="single" w:sz="4" w:space="0" w:color="auto"/>
              <w:right w:val="single" w:sz="4" w:space="0" w:color="auto"/>
            </w:tcBorders>
            <w:shd w:val="clear" w:color="auto" w:fill="CCCCFE"/>
            <w:vAlign w:val="center"/>
          </w:tcPr>
          <w:p w14:paraId="014E46FC" w14:textId="2FC1BAAE" w:rsidR="000D306C" w:rsidRPr="00A90756" w:rsidRDefault="00B01717" w:rsidP="00B01717">
            <w:pPr>
              <w:pStyle w:val="Other10"/>
              <w:spacing w:after="0"/>
              <w:ind w:firstLine="284"/>
              <w:jc w:val="center"/>
              <w:rPr>
                <w:rFonts w:ascii="Garamond" w:hAnsi="Garamond"/>
                <w:sz w:val="16"/>
                <w:szCs w:val="16"/>
              </w:rPr>
            </w:pPr>
            <w:r w:rsidRPr="00A90756">
              <w:rPr>
                <w:rStyle w:val="Other1"/>
                <w:rFonts w:ascii="Garamond" w:eastAsia="Arial" w:hAnsi="Garamond" w:cs="Arial"/>
                <w:b/>
                <w:bCs/>
                <w:sz w:val="16"/>
                <w:szCs w:val="16"/>
              </w:rPr>
              <w:t xml:space="preserve">Norma </w:t>
            </w:r>
            <w:r w:rsidR="000D306C" w:rsidRPr="00A90756">
              <w:rPr>
                <w:rStyle w:val="Other1"/>
                <w:rFonts w:ascii="Garamond" w:eastAsia="Arial" w:hAnsi="Garamond" w:cs="Arial"/>
                <w:b/>
                <w:bCs/>
                <w:sz w:val="16"/>
                <w:szCs w:val="16"/>
              </w:rPr>
              <w:t>për prioritet tematik</w:t>
            </w:r>
          </w:p>
        </w:tc>
      </w:tr>
      <w:tr w:rsidR="000D306C" w:rsidRPr="00A90756" w14:paraId="014E4704" w14:textId="77777777" w:rsidTr="00D06E61">
        <w:trPr>
          <w:trHeight w:val="20"/>
          <w:jc w:val="center"/>
        </w:trPr>
        <w:tc>
          <w:tcPr>
            <w:tcW w:w="1670" w:type="pct"/>
            <w:vMerge/>
            <w:tcBorders>
              <w:left w:val="single" w:sz="4" w:space="0" w:color="auto"/>
            </w:tcBorders>
            <w:shd w:val="clear" w:color="auto" w:fill="BFBFBF"/>
          </w:tcPr>
          <w:p w14:paraId="014E46FE" w14:textId="77777777" w:rsidR="000D306C" w:rsidRPr="00A90756" w:rsidRDefault="000D306C" w:rsidP="000D306C">
            <w:pPr>
              <w:ind w:firstLine="284"/>
              <w:rPr>
                <w:rFonts w:ascii="Garamond" w:hAnsi="Garamond"/>
              </w:rPr>
            </w:pPr>
          </w:p>
        </w:tc>
        <w:tc>
          <w:tcPr>
            <w:tcW w:w="1509" w:type="pct"/>
            <w:vMerge/>
            <w:tcBorders>
              <w:left w:val="single" w:sz="4" w:space="0" w:color="auto"/>
            </w:tcBorders>
            <w:shd w:val="clear" w:color="auto" w:fill="BFBFBF"/>
            <w:vAlign w:val="center"/>
          </w:tcPr>
          <w:p w14:paraId="014E46FF" w14:textId="77777777" w:rsidR="000D306C" w:rsidRPr="00A90756" w:rsidRDefault="000D306C" w:rsidP="000D306C">
            <w:pPr>
              <w:ind w:firstLine="284"/>
              <w:rPr>
                <w:rFonts w:ascii="Garamond" w:hAnsi="Garamond"/>
              </w:rPr>
            </w:pPr>
          </w:p>
        </w:tc>
        <w:tc>
          <w:tcPr>
            <w:tcW w:w="359" w:type="pct"/>
            <w:tcBorders>
              <w:top w:val="single" w:sz="4" w:space="0" w:color="auto"/>
              <w:left w:val="single" w:sz="4" w:space="0" w:color="auto"/>
            </w:tcBorders>
            <w:shd w:val="clear" w:color="auto" w:fill="CCCCFE"/>
          </w:tcPr>
          <w:p w14:paraId="014E4700"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(a)</w:t>
            </w:r>
          </w:p>
        </w:tc>
        <w:tc>
          <w:tcPr>
            <w:tcW w:w="520" w:type="pct"/>
            <w:tcBorders>
              <w:top w:val="single" w:sz="4" w:space="0" w:color="auto"/>
              <w:left w:val="single" w:sz="4" w:space="0" w:color="auto"/>
            </w:tcBorders>
            <w:shd w:val="clear" w:color="auto" w:fill="CCCCFE"/>
          </w:tcPr>
          <w:p w14:paraId="014E4701"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(b)</w:t>
            </w:r>
          </w:p>
        </w:tc>
        <w:tc>
          <w:tcPr>
            <w:tcW w:w="389" w:type="pct"/>
            <w:tcBorders>
              <w:top w:val="single" w:sz="4" w:space="0" w:color="auto"/>
              <w:left w:val="single" w:sz="4" w:space="0" w:color="auto"/>
            </w:tcBorders>
            <w:shd w:val="clear" w:color="auto" w:fill="CCCCFE"/>
          </w:tcPr>
          <w:p w14:paraId="014E4702"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(c) = (a)+(b)</w:t>
            </w:r>
          </w:p>
        </w:tc>
        <w:tc>
          <w:tcPr>
            <w:tcW w:w="553" w:type="pct"/>
            <w:tcBorders>
              <w:top w:val="single" w:sz="4" w:space="0" w:color="auto"/>
              <w:left w:val="single" w:sz="4" w:space="0" w:color="auto"/>
              <w:right w:val="single" w:sz="4" w:space="0" w:color="auto"/>
            </w:tcBorders>
            <w:shd w:val="clear" w:color="auto" w:fill="CCCCFE"/>
          </w:tcPr>
          <w:p w14:paraId="014E4703"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(d) = (c)/(e)</w:t>
            </w:r>
          </w:p>
        </w:tc>
      </w:tr>
      <w:tr w:rsidR="000D306C" w:rsidRPr="00A90756" w14:paraId="014E470B" w14:textId="77777777" w:rsidTr="00D06E61">
        <w:trPr>
          <w:trHeight w:val="20"/>
          <w:jc w:val="center"/>
        </w:trPr>
        <w:tc>
          <w:tcPr>
            <w:tcW w:w="1670" w:type="pct"/>
            <w:tcBorders>
              <w:top w:val="single" w:sz="4" w:space="0" w:color="auto"/>
              <w:left w:val="single" w:sz="4" w:space="0" w:color="auto"/>
            </w:tcBorders>
            <w:shd w:val="clear" w:color="auto" w:fill="BFBFBF"/>
            <w:vAlign w:val="center"/>
          </w:tcPr>
          <w:p w14:paraId="014E4705" w14:textId="65A182C0" w:rsidR="000D306C" w:rsidRPr="00A90756" w:rsidRDefault="000D306C" w:rsidP="000D306C">
            <w:pPr>
              <w:pStyle w:val="Other10"/>
              <w:spacing w:after="0"/>
              <w:ind w:firstLine="284"/>
              <w:jc w:val="both"/>
              <w:rPr>
                <w:rFonts w:ascii="Garamond" w:hAnsi="Garamond"/>
                <w:sz w:val="16"/>
                <w:szCs w:val="16"/>
              </w:rPr>
            </w:pPr>
            <w:r w:rsidRPr="00A90756">
              <w:rPr>
                <w:rStyle w:val="Other1"/>
                <w:rFonts w:ascii="Garamond" w:eastAsia="Arial" w:hAnsi="Garamond" w:cs="Arial"/>
                <w:b/>
                <w:bCs/>
                <w:sz w:val="16"/>
                <w:szCs w:val="16"/>
              </w:rPr>
              <w:t xml:space="preserve">Grupimi </w:t>
            </w:r>
            <w:r w:rsidR="00B01717" w:rsidRPr="00A90756">
              <w:rPr>
                <w:rStyle w:val="Other1"/>
                <w:rFonts w:ascii="Garamond" w:eastAsia="Arial" w:hAnsi="Garamond" w:cs="Arial"/>
                <w:b/>
                <w:bCs/>
                <w:sz w:val="16"/>
                <w:szCs w:val="16"/>
              </w:rPr>
              <w:t xml:space="preserve">tematik </w:t>
            </w:r>
            <w:r w:rsidRPr="00A90756">
              <w:rPr>
                <w:rStyle w:val="Other1"/>
                <w:rFonts w:ascii="Garamond" w:eastAsia="Arial" w:hAnsi="Garamond" w:cs="Arial"/>
                <w:b/>
                <w:bCs/>
                <w:sz w:val="16"/>
                <w:szCs w:val="16"/>
              </w:rPr>
              <w:t>2:</w:t>
            </w:r>
            <w:r w:rsidRPr="00A90756">
              <w:rPr>
                <w:rStyle w:val="Other1"/>
                <w:rFonts w:ascii="Garamond" w:eastAsia="Arial" w:hAnsi="Garamond" w:cs="Arial"/>
                <w:sz w:val="16"/>
                <w:szCs w:val="16"/>
              </w:rPr>
              <w:t xml:space="preserve"> Efi</w:t>
            </w:r>
            <w:r w:rsidR="0098098F" w:rsidRPr="00A90756">
              <w:rPr>
                <w:rStyle w:val="Other1"/>
                <w:rFonts w:ascii="Garamond" w:eastAsia="Arial" w:hAnsi="Garamond" w:cs="Arial"/>
                <w:sz w:val="16"/>
                <w:szCs w:val="16"/>
              </w:rPr>
              <w:t>c</w:t>
            </w:r>
            <w:r w:rsidR="0098098F" w:rsidRPr="00A90756">
              <w:rPr>
                <w:rStyle w:val="Other1"/>
                <w:rFonts w:eastAsia="Arial" w:cs="Arial"/>
                <w:sz w:val="16"/>
                <w:szCs w:val="16"/>
              </w:rPr>
              <w:t>i</w:t>
            </w:r>
            <w:r w:rsidRPr="00A90756">
              <w:rPr>
                <w:rStyle w:val="Other1"/>
                <w:rFonts w:ascii="Garamond" w:eastAsia="Arial" w:hAnsi="Garamond" w:cs="Arial"/>
                <w:sz w:val="16"/>
                <w:szCs w:val="16"/>
              </w:rPr>
              <w:t>enca më e gjelbër dhe më e mirë e burimeve</w:t>
            </w:r>
          </w:p>
        </w:tc>
        <w:tc>
          <w:tcPr>
            <w:tcW w:w="1509" w:type="pct"/>
            <w:tcBorders>
              <w:top w:val="single" w:sz="4" w:space="0" w:color="auto"/>
              <w:left w:val="single" w:sz="4" w:space="0" w:color="auto"/>
            </w:tcBorders>
            <w:shd w:val="clear" w:color="auto" w:fill="BFBFBF"/>
            <w:vAlign w:val="center"/>
          </w:tcPr>
          <w:p w14:paraId="014E4706" w14:textId="23897278" w:rsidR="000D306C" w:rsidRPr="00A90756" w:rsidRDefault="000D306C" w:rsidP="000D306C">
            <w:pPr>
              <w:pStyle w:val="Other10"/>
              <w:spacing w:after="0"/>
              <w:ind w:firstLine="284"/>
              <w:rPr>
                <w:rFonts w:ascii="Garamond" w:hAnsi="Garamond"/>
                <w:sz w:val="16"/>
                <w:szCs w:val="16"/>
              </w:rPr>
            </w:pPr>
            <w:r w:rsidRPr="00A90756">
              <w:rPr>
                <w:rStyle w:val="Other1"/>
                <w:rFonts w:ascii="Garamond" w:eastAsia="Arial" w:hAnsi="Garamond" w:cs="Arial"/>
                <w:b/>
                <w:bCs/>
                <w:sz w:val="16"/>
                <w:szCs w:val="16"/>
              </w:rPr>
              <w:t>1</w:t>
            </w:r>
            <w:r w:rsidR="00D06E61" w:rsidRPr="00A90756">
              <w:rPr>
                <w:rStyle w:val="Other1"/>
                <w:rFonts w:ascii="Garamond" w:eastAsia="Arial" w:hAnsi="Garamond" w:cs="Arial"/>
                <w:b/>
                <w:bCs/>
                <w:sz w:val="16"/>
                <w:szCs w:val="16"/>
              </w:rPr>
              <w:t>.</w:t>
            </w:r>
            <w:r w:rsidRPr="00A90756">
              <w:rPr>
                <w:rStyle w:val="Other1"/>
                <w:rFonts w:ascii="Garamond" w:eastAsia="Arial" w:hAnsi="Garamond" w:cs="Arial"/>
                <w:b/>
                <w:bCs/>
                <w:sz w:val="16"/>
                <w:szCs w:val="16"/>
              </w:rPr>
              <w:t xml:space="preserve"> Prioriteti tematik 2:</w:t>
            </w:r>
            <w:r w:rsidRPr="00A90756">
              <w:rPr>
                <w:rStyle w:val="Other1"/>
                <w:rFonts w:ascii="Garamond" w:eastAsia="Arial" w:hAnsi="Garamond" w:cs="Arial"/>
                <w:sz w:val="16"/>
                <w:szCs w:val="16"/>
              </w:rPr>
              <w:t xml:space="preserve"> Mbrojtja e mjedisit dhe promovimi i përshtatjes dhe zbutjes së ndryshimeve klimatike, parandalimi dhe menaxhimi i rrezikut</w:t>
            </w:r>
          </w:p>
        </w:tc>
        <w:tc>
          <w:tcPr>
            <w:tcW w:w="359" w:type="pct"/>
            <w:tcBorders>
              <w:top w:val="single" w:sz="4" w:space="0" w:color="auto"/>
              <w:left w:val="single" w:sz="4" w:space="0" w:color="auto"/>
            </w:tcBorders>
            <w:shd w:val="clear" w:color="auto" w:fill="CCCCFE"/>
          </w:tcPr>
          <w:p w14:paraId="014E4707"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5 355 000</w:t>
            </w:r>
          </w:p>
        </w:tc>
        <w:tc>
          <w:tcPr>
            <w:tcW w:w="520" w:type="pct"/>
            <w:tcBorders>
              <w:top w:val="single" w:sz="4" w:space="0" w:color="auto"/>
              <w:left w:val="single" w:sz="4" w:space="0" w:color="auto"/>
            </w:tcBorders>
            <w:shd w:val="clear" w:color="auto" w:fill="CCCCFE"/>
          </w:tcPr>
          <w:p w14:paraId="014E4708"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945 000</w:t>
            </w:r>
          </w:p>
        </w:tc>
        <w:tc>
          <w:tcPr>
            <w:tcW w:w="389" w:type="pct"/>
            <w:tcBorders>
              <w:top w:val="single" w:sz="4" w:space="0" w:color="auto"/>
              <w:left w:val="single" w:sz="4" w:space="0" w:color="auto"/>
            </w:tcBorders>
            <w:shd w:val="clear" w:color="auto" w:fill="CCCCFE"/>
          </w:tcPr>
          <w:p w14:paraId="014E4709"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6 300 000</w:t>
            </w:r>
          </w:p>
        </w:tc>
        <w:tc>
          <w:tcPr>
            <w:tcW w:w="553" w:type="pct"/>
            <w:tcBorders>
              <w:top w:val="single" w:sz="4" w:space="0" w:color="auto"/>
              <w:left w:val="single" w:sz="4" w:space="0" w:color="auto"/>
              <w:right w:val="single" w:sz="4" w:space="0" w:color="auto"/>
            </w:tcBorders>
            <w:shd w:val="clear" w:color="auto" w:fill="CCCCFE"/>
          </w:tcPr>
          <w:p w14:paraId="014E470A"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45.6%</w:t>
            </w:r>
          </w:p>
        </w:tc>
      </w:tr>
      <w:tr w:rsidR="000D306C" w:rsidRPr="00A90756" w14:paraId="014E4712" w14:textId="77777777" w:rsidTr="00D06E61">
        <w:trPr>
          <w:trHeight w:val="20"/>
          <w:jc w:val="center"/>
        </w:trPr>
        <w:tc>
          <w:tcPr>
            <w:tcW w:w="1670" w:type="pct"/>
            <w:tcBorders>
              <w:top w:val="single" w:sz="4" w:space="0" w:color="auto"/>
              <w:left w:val="single" w:sz="4" w:space="0" w:color="auto"/>
            </w:tcBorders>
            <w:shd w:val="clear" w:color="auto" w:fill="BFBFBF"/>
            <w:vAlign w:val="center"/>
          </w:tcPr>
          <w:p w14:paraId="014E470C" w14:textId="30AD404B" w:rsidR="000D306C" w:rsidRPr="00A90756" w:rsidRDefault="000D306C" w:rsidP="000D306C">
            <w:pPr>
              <w:pStyle w:val="Other10"/>
              <w:spacing w:after="0"/>
              <w:ind w:firstLine="284"/>
              <w:rPr>
                <w:rFonts w:ascii="Garamond" w:hAnsi="Garamond"/>
                <w:sz w:val="16"/>
                <w:szCs w:val="16"/>
              </w:rPr>
            </w:pPr>
            <w:r w:rsidRPr="00A90756">
              <w:rPr>
                <w:rStyle w:val="Other1"/>
                <w:rFonts w:ascii="Garamond" w:eastAsia="Arial" w:hAnsi="Garamond" w:cs="Arial"/>
                <w:b/>
                <w:bCs/>
                <w:sz w:val="16"/>
                <w:szCs w:val="16"/>
              </w:rPr>
              <w:t xml:space="preserve">Grupimi </w:t>
            </w:r>
            <w:r w:rsidR="00B01717" w:rsidRPr="00A90756">
              <w:rPr>
                <w:rStyle w:val="Other1"/>
                <w:rFonts w:ascii="Garamond" w:eastAsia="Arial" w:hAnsi="Garamond" w:cs="Arial"/>
                <w:b/>
                <w:bCs/>
                <w:sz w:val="16"/>
                <w:szCs w:val="16"/>
              </w:rPr>
              <w:t xml:space="preserve">tematik </w:t>
            </w:r>
            <w:r w:rsidRPr="00A90756">
              <w:rPr>
                <w:rStyle w:val="Other1"/>
                <w:rFonts w:ascii="Garamond" w:eastAsia="Arial" w:hAnsi="Garamond" w:cs="Arial"/>
                <w:b/>
                <w:bCs/>
                <w:sz w:val="16"/>
                <w:szCs w:val="16"/>
              </w:rPr>
              <w:t>4:</w:t>
            </w:r>
            <w:r w:rsidRPr="00A90756">
              <w:rPr>
                <w:rStyle w:val="Other1"/>
                <w:rFonts w:ascii="Garamond" w:eastAsia="Arial" w:hAnsi="Garamond" w:cs="Arial"/>
                <w:sz w:val="16"/>
                <w:szCs w:val="16"/>
              </w:rPr>
              <w:t xml:space="preserve"> Përmirësimi i mjedisit të biznesit dhe konkurrueshmërisë</w:t>
            </w:r>
          </w:p>
        </w:tc>
        <w:tc>
          <w:tcPr>
            <w:tcW w:w="1509" w:type="pct"/>
            <w:tcBorders>
              <w:top w:val="single" w:sz="4" w:space="0" w:color="auto"/>
              <w:left w:val="single" w:sz="4" w:space="0" w:color="auto"/>
            </w:tcBorders>
            <w:shd w:val="clear" w:color="auto" w:fill="BFBFBF"/>
            <w:vAlign w:val="center"/>
          </w:tcPr>
          <w:p w14:paraId="014E470D" w14:textId="507A4962" w:rsidR="000D306C" w:rsidRPr="00A90756" w:rsidRDefault="000D306C" w:rsidP="000D306C">
            <w:pPr>
              <w:pStyle w:val="Other10"/>
              <w:spacing w:after="0"/>
              <w:ind w:firstLine="284"/>
              <w:rPr>
                <w:rFonts w:ascii="Garamond" w:hAnsi="Garamond"/>
                <w:sz w:val="16"/>
                <w:szCs w:val="16"/>
              </w:rPr>
            </w:pPr>
            <w:r w:rsidRPr="00A90756">
              <w:rPr>
                <w:rStyle w:val="Other1"/>
                <w:rFonts w:ascii="Garamond" w:eastAsia="Arial" w:hAnsi="Garamond" w:cs="Arial"/>
                <w:b/>
                <w:bCs/>
                <w:sz w:val="16"/>
                <w:szCs w:val="16"/>
              </w:rPr>
              <w:t>2</w:t>
            </w:r>
            <w:r w:rsidR="00D06E61" w:rsidRPr="00A90756">
              <w:rPr>
                <w:rStyle w:val="Other1"/>
                <w:rFonts w:ascii="Garamond" w:eastAsia="Arial" w:hAnsi="Garamond" w:cs="Arial"/>
                <w:b/>
                <w:bCs/>
                <w:sz w:val="16"/>
                <w:szCs w:val="16"/>
              </w:rPr>
              <w:t>.</w:t>
            </w:r>
            <w:r w:rsidRPr="00A90756">
              <w:rPr>
                <w:rStyle w:val="Other1"/>
                <w:rFonts w:ascii="Garamond" w:eastAsia="Arial" w:hAnsi="Garamond" w:cs="Arial"/>
                <w:b/>
                <w:bCs/>
                <w:sz w:val="16"/>
                <w:szCs w:val="16"/>
              </w:rPr>
              <w:t xml:space="preserve"> Prioriteti </w:t>
            </w:r>
            <w:r w:rsidR="00B01717" w:rsidRPr="00A90756">
              <w:rPr>
                <w:rStyle w:val="Other1"/>
                <w:rFonts w:ascii="Garamond" w:eastAsia="Arial" w:hAnsi="Garamond" w:cs="Arial"/>
                <w:b/>
                <w:bCs/>
                <w:sz w:val="16"/>
                <w:szCs w:val="16"/>
              </w:rPr>
              <w:t xml:space="preserve">tematik </w:t>
            </w:r>
            <w:r w:rsidRPr="00A90756">
              <w:rPr>
                <w:rStyle w:val="Other1"/>
                <w:rFonts w:ascii="Garamond" w:eastAsia="Arial" w:hAnsi="Garamond" w:cs="Arial"/>
                <w:b/>
                <w:bCs/>
                <w:sz w:val="16"/>
                <w:szCs w:val="16"/>
              </w:rPr>
              <w:t>5:</w:t>
            </w:r>
            <w:r w:rsidRPr="00A90756">
              <w:rPr>
                <w:rStyle w:val="Other1"/>
                <w:rFonts w:ascii="Garamond" w:eastAsia="Arial" w:hAnsi="Garamond" w:cs="Arial"/>
                <w:sz w:val="16"/>
                <w:szCs w:val="16"/>
              </w:rPr>
              <w:t xml:space="preserve"> Turizmi dhe trashëgimia kulturore dhe natyrore</w:t>
            </w:r>
          </w:p>
        </w:tc>
        <w:tc>
          <w:tcPr>
            <w:tcW w:w="359" w:type="pct"/>
            <w:tcBorders>
              <w:top w:val="single" w:sz="4" w:space="0" w:color="auto"/>
              <w:left w:val="single" w:sz="4" w:space="0" w:color="auto"/>
            </w:tcBorders>
            <w:shd w:val="clear" w:color="auto" w:fill="CCCCFE"/>
          </w:tcPr>
          <w:p w14:paraId="014E470E"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5 355 000</w:t>
            </w:r>
          </w:p>
        </w:tc>
        <w:tc>
          <w:tcPr>
            <w:tcW w:w="520" w:type="pct"/>
            <w:tcBorders>
              <w:top w:val="single" w:sz="4" w:space="0" w:color="auto"/>
              <w:left w:val="single" w:sz="4" w:space="0" w:color="auto"/>
            </w:tcBorders>
            <w:shd w:val="clear" w:color="auto" w:fill="CCCCFE"/>
          </w:tcPr>
          <w:p w14:paraId="014E470F"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945 000</w:t>
            </w:r>
          </w:p>
        </w:tc>
        <w:tc>
          <w:tcPr>
            <w:tcW w:w="389" w:type="pct"/>
            <w:tcBorders>
              <w:top w:val="single" w:sz="4" w:space="0" w:color="auto"/>
              <w:left w:val="single" w:sz="4" w:space="0" w:color="auto"/>
            </w:tcBorders>
            <w:shd w:val="clear" w:color="auto" w:fill="CCCCFE"/>
          </w:tcPr>
          <w:p w14:paraId="014E4710"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6 300 000</w:t>
            </w:r>
          </w:p>
        </w:tc>
        <w:tc>
          <w:tcPr>
            <w:tcW w:w="553" w:type="pct"/>
            <w:tcBorders>
              <w:top w:val="single" w:sz="4" w:space="0" w:color="auto"/>
              <w:left w:val="single" w:sz="4" w:space="0" w:color="auto"/>
              <w:right w:val="single" w:sz="4" w:space="0" w:color="auto"/>
            </w:tcBorders>
            <w:shd w:val="clear" w:color="auto" w:fill="CCCCFE"/>
          </w:tcPr>
          <w:p w14:paraId="014E4711"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45.6%</w:t>
            </w:r>
          </w:p>
        </w:tc>
      </w:tr>
      <w:tr w:rsidR="000D306C" w:rsidRPr="00A90756" w14:paraId="014E4718" w14:textId="77777777" w:rsidTr="00D06E61">
        <w:trPr>
          <w:trHeight w:val="20"/>
          <w:jc w:val="center"/>
        </w:trPr>
        <w:tc>
          <w:tcPr>
            <w:tcW w:w="3179" w:type="pct"/>
            <w:gridSpan w:val="2"/>
            <w:tcBorders>
              <w:top w:val="single" w:sz="4" w:space="0" w:color="auto"/>
              <w:left w:val="single" w:sz="4" w:space="0" w:color="auto"/>
            </w:tcBorders>
            <w:shd w:val="clear" w:color="auto" w:fill="BFBFBF"/>
            <w:vAlign w:val="center"/>
          </w:tcPr>
          <w:p w14:paraId="014E4713" w14:textId="70E7FBD0" w:rsidR="000D306C" w:rsidRPr="00A90756" w:rsidRDefault="000D306C" w:rsidP="00C46A27">
            <w:pPr>
              <w:pStyle w:val="Other10"/>
              <w:spacing w:after="0"/>
              <w:ind w:firstLine="284"/>
              <w:jc w:val="center"/>
              <w:rPr>
                <w:rFonts w:ascii="Garamond" w:hAnsi="Garamond"/>
                <w:sz w:val="16"/>
                <w:szCs w:val="16"/>
              </w:rPr>
            </w:pPr>
            <w:r w:rsidRPr="00A90756">
              <w:rPr>
                <w:rStyle w:val="Other1"/>
                <w:rFonts w:ascii="Garamond" w:eastAsia="Arial" w:hAnsi="Garamond" w:cs="Arial"/>
                <w:b/>
                <w:bCs/>
                <w:sz w:val="16"/>
                <w:szCs w:val="16"/>
              </w:rPr>
              <w:t>3</w:t>
            </w:r>
            <w:r w:rsidR="00C46A27" w:rsidRPr="00A90756">
              <w:rPr>
                <w:rStyle w:val="Other1"/>
                <w:rFonts w:ascii="Garamond" w:eastAsia="Arial" w:hAnsi="Garamond" w:cs="Arial"/>
                <w:b/>
                <w:bCs/>
                <w:sz w:val="16"/>
                <w:szCs w:val="16"/>
              </w:rPr>
              <w:t>.</w:t>
            </w:r>
            <w:r w:rsidRPr="00A90756">
              <w:rPr>
                <w:rStyle w:val="Other1"/>
                <w:rFonts w:ascii="Garamond" w:eastAsia="Arial" w:hAnsi="Garamond" w:cs="Arial"/>
                <w:b/>
                <w:bCs/>
                <w:sz w:val="16"/>
                <w:szCs w:val="16"/>
              </w:rPr>
              <w:t xml:space="preserve"> Asistenca </w:t>
            </w:r>
            <w:r w:rsidR="00B01717" w:rsidRPr="00A90756">
              <w:rPr>
                <w:rStyle w:val="Other1"/>
                <w:rFonts w:ascii="Garamond" w:eastAsia="Arial" w:hAnsi="Garamond" w:cs="Arial"/>
                <w:b/>
                <w:bCs/>
                <w:sz w:val="16"/>
                <w:szCs w:val="16"/>
              </w:rPr>
              <w:t>teknike</w:t>
            </w:r>
          </w:p>
        </w:tc>
        <w:tc>
          <w:tcPr>
            <w:tcW w:w="359" w:type="pct"/>
            <w:tcBorders>
              <w:top w:val="single" w:sz="4" w:space="0" w:color="auto"/>
              <w:left w:val="single" w:sz="4" w:space="0" w:color="auto"/>
            </w:tcBorders>
            <w:shd w:val="clear" w:color="auto" w:fill="CCCCFE"/>
          </w:tcPr>
          <w:p w14:paraId="014E4714"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1 190 000</w:t>
            </w:r>
          </w:p>
        </w:tc>
        <w:tc>
          <w:tcPr>
            <w:tcW w:w="520" w:type="pct"/>
            <w:tcBorders>
              <w:top w:val="single" w:sz="4" w:space="0" w:color="auto"/>
              <w:left w:val="single" w:sz="4" w:space="0" w:color="auto"/>
            </w:tcBorders>
            <w:shd w:val="clear" w:color="auto" w:fill="CCCCFE"/>
          </w:tcPr>
          <w:p w14:paraId="014E4715"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0.0</w:t>
            </w:r>
          </w:p>
        </w:tc>
        <w:tc>
          <w:tcPr>
            <w:tcW w:w="389" w:type="pct"/>
            <w:tcBorders>
              <w:top w:val="single" w:sz="4" w:space="0" w:color="auto"/>
              <w:left w:val="single" w:sz="4" w:space="0" w:color="auto"/>
            </w:tcBorders>
            <w:shd w:val="clear" w:color="auto" w:fill="CCCCFE"/>
          </w:tcPr>
          <w:p w14:paraId="014E4716"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1 190 000</w:t>
            </w:r>
          </w:p>
        </w:tc>
        <w:tc>
          <w:tcPr>
            <w:tcW w:w="553" w:type="pct"/>
            <w:tcBorders>
              <w:top w:val="single" w:sz="4" w:space="0" w:color="auto"/>
              <w:left w:val="single" w:sz="4" w:space="0" w:color="auto"/>
              <w:right w:val="single" w:sz="4" w:space="0" w:color="auto"/>
            </w:tcBorders>
            <w:shd w:val="clear" w:color="auto" w:fill="CCCCFE"/>
          </w:tcPr>
          <w:p w14:paraId="014E4717"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8,6%</w:t>
            </w:r>
          </w:p>
        </w:tc>
      </w:tr>
      <w:tr w:rsidR="000D306C" w:rsidRPr="00A90756" w14:paraId="014E471F" w14:textId="77777777" w:rsidTr="00D06E61">
        <w:trPr>
          <w:trHeight w:val="20"/>
          <w:jc w:val="center"/>
        </w:trPr>
        <w:tc>
          <w:tcPr>
            <w:tcW w:w="3179" w:type="pct"/>
            <w:gridSpan w:val="2"/>
            <w:tcBorders>
              <w:top w:val="single" w:sz="4" w:space="0" w:color="auto"/>
              <w:left w:val="single" w:sz="4" w:space="0" w:color="auto"/>
              <w:bottom w:val="single" w:sz="4" w:space="0" w:color="auto"/>
            </w:tcBorders>
            <w:shd w:val="clear" w:color="auto" w:fill="BFBFBF"/>
            <w:vAlign w:val="center"/>
          </w:tcPr>
          <w:p w14:paraId="014E4719"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eastAsia="Arial" w:hAnsi="Garamond" w:cs="Arial"/>
                <w:b/>
                <w:bCs/>
                <w:sz w:val="16"/>
                <w:szCs w:val="16"/>
              </w:rPr>
              <w:t>TOTALI I PLOTË</w:t>
            </w:r>
          </w:p>
        </w:tc>
        <w:tc>
          <w:tcPr>
            <w:tcW w:w="359" w:type="pct"/>
            <w:tcBorders>
              <w:top w:val="single" w:sz="4" w:space="0" w:color="auto"/>
              <w:left w:val="single" w:sz="4" w:space="0" w:color="auto"/>
              <w:bottom w:val="single" w:sz="4" w:space="0" w:color="auto"/>
            </w:tcBorders>
            <w:shd w:val="clear" w:color="auto" w:fill="BFBFBF"/>
          </w:tcPr>
          <w:p w14:paraId="014E471A" w14:textId="77777777" w:rsidR="000D306C" w:rsidRPr="00A90756" w:rsidRDefault="000D306C" w:rsidP="000D306C">
            <w:pPr>
              <w:pStyle w:val="Other10"/>
              <w:spacing w:after="0"/>
              <w:ind w:firstLine="284"/>
              <w:rPr>
                <w:rFonts w:ascii="Garamond" w:hAnsi="Garamond"/>
                <w:sz w:val="16"/>
                <w:szCs w:val="16"/>
              </w:rPr>
            </w:pPr>
            <w:r w:rsidRPr="00A90756">
              <w:rPr>
                <w:rStyle w:val="Other1"/>
                <w:rFonts w:ascii="Garamond" w:eastAsia="Arial" w:hAnsi="Garamond" w:cs="Arial"/>
                <w:sz w:val="16"/>
                <w:szCs w:val="16"/>
              </w:rPr>
              <w:t>11 900 000</w:t>
            </w:r>
          </w:p>
        </w:tc>
        <w:tc>
          <w:tcPr>
            <w:tcW w:w="520" w:type="pct"/>
            <w:tcBorders>
              <w:top w:val="single" w:sz="4" w:space="0" w:color="auto"/>
              <w:left w:val="single" w:sz="4" w:space="0" w:color="auto"/>
              <w:bottom w:val="single" w:sz="4" w:space="0" w:color="auto"/>
            </w:tcBorders>
            <w:shd w:val="clear" w:color="auto" w:fill="BFBFBF"/>
          </w:tcPr>
          <w:p w14:paraId="014E471B"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1 890 000</w:t>
            </w:r>
          </w:p>
        </w:tc>
        <w:tc>
          <w:tcPr>
            <w:tcW w:w="389" w:type="pct"/>
            <w:tcBorders>
              <w:top w:val="single" w:sz="4" w:space="0" w:color="auto"/>
              <w:left w:val="single" w:sz="4" w:space="0" w:color="auto"/>
              <w:bottom w:val="single" w:sz="4" w:space="0" w:color="auto"/>
            </w:tcBorders>
            <w:shd w:val="clear" w:color="auto" w:fill="BFBFBF"/>
          </w:tcPr>
          <w:p w14:paraId="014E471C"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(e)</w:t>
            </w:r>
          </w:p>
          <w:p w14:paraId="014E471D"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13 790 000</w:t>
            </w:r>
          </w:p>
        </w:tc>
        <w:tc>
          <w:tcPr>
            <w:tcW w:w="553" w:type="pct"/>
            <w:tcBorders>
              <w:top w:val="single" w:sz="4" w:space="0" w:color="auto"/>
              <w:left w:val="single" w:sz="4" w:space="0" w:color="auto"/>
              <w:bottom w:val="single" w:sz="4" w:space="0" w:color="auto"/>
              <w:right w:val="single" w:sz="4" w:space="0" w:color="auto"/>
            </w:tcBorders>
            <w:shd w:val="clear" w:color="auto" w:fill="BFBFBF"/>
          </w:tcPr>
          <w:p w14:paraId="014E471E" w14:textId="77777777" w:rsidR="000D306C" w:rsidRPr="00A90756" w:rsidRDefault="000D306C" w:rsidP="000D306C">
            <w:pPr>
              <w:pStyle w:val="Other10"/>
              <w:spacing w:after="0"/>
              <w:ind w:firstLine="284"/>
              <w:jc w:val="center"/>
              <w:rPr>
                <w:rFonts w:ascii="Garamond" w:hAnsi="Garamond"/>
                <w:sz w:val="16"/>
                <w:szCs w:val="16"/>
              </w:rPr>
            </w:pPr>
            <w:r w:rsidRPr="00A90756">
              <w:rPr>
                <w:rStyle w:val="Other1"/>
                <w:rFonts w:ascii="Garamond" w:eastAsia="Arial" w:hAnsi="Garamond" w:cs="Arial"/>
                <w:sz w:val="16"/>
                <w:szCs w:val="16"/>
              </w:rPr>
              <w:t>100%</w:t>
            </w:r>
          </w:p>
        </w:tc>
      </w:tr>
    </w:tbl>
    <w:p w14:paraId="014E4720" w14:textId="630C6C3B" w:rsidR="000D306C" w:rsidRPr="00A90756" w:rsidRDefault="000D306C" w:rsidP="000D306C">
      <w:pPr>
        <w:pStyle w:val="Bodytext10"/>
        <w:spacing w:after="0"/>
        <w:ind w:firstLine="284"/>
        <w:jc w:val="both"/>
        <w:rPr>
          <w:rStyle w:val="Bodytext1"/>
          <w:rFonts w:ascii="Garamond" w:hAnsi="Garamond"/>
        </w:rPr>
      </w:pPr>
      <w:r w:rsidRPr="00A90756">
        <w:rPr>
          <w:rStyle w:val="Bodytext1"/>
          <w:rFonts w:ascii="Garamond" w:hAnsi="Garamond"/>
        </w:rPr>
        <w:t>Kontributi i Bashkimit Evropian në nivelin e prioritetit tematik nuk do të kalojë kufirin prej 85% të shpenzimeve të pranueshme. Bashkë</w:t>
      </w:r>
      <w:r w:rsidRPr="00A90756">
        <w:rPr>
          <w:rStyle w:val="Bodytext1"/>
          <w:rFonts w:ascii="Garamond" w:hAnsi="Garamond"/>
        </w:rPr>
        <w:softHyphen/>
      </w:r>
      <w:r w:rsidR="00C46A27" w:rsidRPr="00A90756">
        <w:rPr>
          <w:rStyle w:val="Bodytext1"/>
          <w:rFonts w:ascii="Garamond" w:hAnsi="Garamond"/>
        </w:rPr>
        <w:t>f</w:t>
      </w:r>
      <w:r w:rsidRPr="00A90756">
        <w:rPr>
          <w:rStyle w:val="Bodytext1"/>
          <w:rFonts w:ascii="Garamond" w:hAnsi="Garamond"/>
        </w:rPr>
        <w:t>inancimi do të sigurohet nga granti përfundimtar. Shuma e dedikuar për asistencën teknike do të kufizohet në 10% të shumës totale të alokuar për programin. Për asistencën teknike, norma e bashkëfinancimit të Bashkimit do të jetë 100%</w:t>
      </w:r>
      <w:r w:rsidR="00C579F8" w:rsidRPr="00A90756">
        <w:rPr>
          <w:rStyle w:val="Bodytext1"/>
          <w:rFonts w:ascii="Garamond" w:hAnsi="Garamond"/>
        </w:rPr>
        <w:t>.</w:t>
      </w:r>
    </w:p>
    <w:p w14:paraId="014E4721" w14:textId="77777777" w:rsidR="00E134C7" w:rsidRPr="00A90756" w:rsidRDefault="00E134C7" w:rsidP="000D306C">
      <w:pPr>
        <w:pStyle w:val="Bodytext10"/>
        <w:spacing w:after="0"/>
        <w:ind w:firstLine="284"/>
        <w:jc w:val="both"/>
        <w:rPr>
          <w:rStyle w:val="Bodytext1"/>
          <w:rFonts w:ascii="Garamond" w:hAnsi="Garamond"/>
        </w:rPr>
      </w:pPr>
    </w:p>
    <w:p w14:paraId="014E4722" w14:textId="77777777" w:rsidR="00E134C7" w:rsidRPr="00A90756" w:rsidRDefault="00E134C7" w:rsidP="000D306C">
      <w:pPr>
        <w:pStyle w:val="Bodytext10"/>
        <w:spacing w:after="0"/>
        <w:ind w:firstLine="284"/>
        <w:jc w:val="both"/>
        <w:rPr>
          <w:rFonts w:ascii="Garamond" w:hAnsi="Garamond"/>
        </w:rPr>
        <w:sectPr w:rsidR="00E134C7" w:rsidRPr="00A90756" w:rsidSect="000D306C">
          <w:pgSz w:w="16840" w:h="11907" w:orient="landscape" w:code="9"/>
          <w:pgMar w:top="1440" w:right="1440" w:bottom="1440" w:left="1440" w:header="1304" w:footer="1134" w:gutter="0"/>
          <w:cols w:space="720"/>
          <w:noEndnote/>
        </w:sectPr>
      </w:pPr>
    </w:p>
    <w:p w14:paraId="014E4723" w14:textId="77777777" w:rsidR="000D306C" w:rsidRPr="00A90756" w:rsidRDefault="000D306C" w:rsidP="000D306C">
      <w:pPr>
        <w:pStyle w:val="Bodytext10"/>
        <w:spacing w:after="0"/>
        <w:ind w:firstLine="284"/>
        <w:jc w:val="both"/>
        <w:rPr>
          <w:rFonts w:ascii="Garamond" w:hAnsi="Garamond"/>
        </w:rPr>
      </w:pPr>
    </w:p>
    <w:p w14:paraId="014E4724" w14:textId="46B1E8AE" w:rsidR="00E134C7" w:rsidRPr="00A90756" w:rsidRDefault="00E134C7" w:rsidP="00E134C7">
      <w:pPr>
        <w:pStyle w:val="AAATEXBUKUR"/>
        <w:rPr>
          <w:b/>
        </w:rPr>
      </w:pPr>
      <w:bookmarkStart w:id="71" w:name="bookmark111"/>
      <w:bookmarkStart w:id="72" w:name="_Toc118696872"/>
      <w:r w:rsidRPr="00A90756">
        <w:rPr>
          <w:b/>
        </w:rPr>
        <w:t>5</w:t>
      </w:r>
      <w:r w:rsidR="00C579F8" w:rsidRPr="00A90756">
        <w:rPr>
          <w:b/>
        </w:rPr>
        <w:t>.</w:t>
      </w:r>
      <w:r w:rsidRPr="00A90756">
        <w:rPr>
          <w:b/>
        </w:rPr>
        <w:t xml:space="preserve"> Marrëveshjet e zbatimi</w:t>
      </w:r>
      <w:bookmarkStart w:id="73" w:name="bookmark114"/>
      <w:bookmarkStart w:id="74" w:name="_Toc118696873"/>
      <w:bookmarkEnd w:id="71"/>
      <w:bookmarkEnd w:id="72"/>
      <w:r w:rsidRPr="00A90756">
        <w:rPr>
          <w:b/>
        </w:rPr>
        <w:t>t</w:t>
      </w:r>
    </w:p>
    <w:p w14:paraId="014E4725" w14:textId="1163640E" w:rsidR="00E134C7" w:rsidRPr="00A90756" w:rsidRDefault="00E134C7" w:rsidP="00E134C7">
      <w:pPr>
        <w:pStyle w:val="AAATEXBUKUR"/>
        <w:rPr>
          <w:b/>
        </w:rPr>
      </w:pPr>
      <w:r w:rsidRPr="00A90756">
        <w:rPr>
          <w:b/>
        </w:rPr>
        <w:t>5.1 Marrëveshja financiare</w:t>
      </w:r>
      <w:bookmarkEnd w:id="73"/>
      <w:bookmarkEnd w:id="74"/>
    </w:p>
    <w:p w14:paraId="014E4726" w14:textId="77777777" w:rsidR="00E134C7" w:rsidRPr="00A90756" w:rsidRDefault="00E134C7" w:rsidP="00E134C7">
      <w:pPr>
        <w:pStyle w:val="AAATEXBUKUR"/>
        <w:rPr>
          <w:rStyle w:val="Bodytext4"/>
          <w:b w:val="0"/>
          <w:bCs w:val="0"/>
          <w:smallCaps w:val="0"/>
          <w:sz w:val="24"/>
          <w:szCs w:val="24"/>
        </w:rPr>
      </w:pPr>
      <w:r w:rsidRPr="00A90756">
        <w:rPr>
          <w:rStyle w:val="Bodytext4"/>
          <w:b w:val="0"/>
          <w:bCs w:val="0"/>
          <w:smallCaps w:val="0"/>
          <w:sz w:val="24"/>
          <w:szCs w:val="24"/>
        </w:rPr>
        <w:t>Për zbatimin e këtij programi, parashikohet të lidhet një marrëveshje financimi ndërmjet Komisionit Evropian, Malit të Zi dhe Republikës së Shqipërisë.</w:t>
      </w:r>
      <w:bookmarkStart w:id="75" w:name="bookmark117"/>
      <w:bookmarkStart w:id="76" w:name="_Toc118696874"/>
    </w:p>
    <w:p w14:paraId="014E4727" w14:textId="2D02292E" w:rsidR="00E134C7" w:rsidRPr="00A90756" w:rsidRDefault="00E134C7" w:rsidP="00E134C7">
      <w:pPr>
        <w:pStyle w:val="AAATEXBUKUR"/>
        <w:rPr>
          <w:b/>
        </w:rPr>
      </w:pPr>
      <w:r w:rsidRPr="00A90756">
        <w:rPr>
          <w:b/>
        </w:rPr>
        <w:t>5.2 Periudha treguese e zbatimit</w:t>
      </w:r>
      <w:bookmarkEnd w:id="75"/>
      <w:bookmarkEnd w:id="76"/>
    </w:p>
    <w:p w14:paraId="014E4728" w14:textId="77777777" w:rsidR="00E134C7" w:rsidRPr="00A90756" w:rsidRDefault="00E134C7" w:rsidP="00E134C7">
      <w:pPr>
        <w:pStyle w:val="AAATEXBUKUR"/>
      </w:pPr>
      <w:r w:rsidRPr="00A90756">
        <w:rPr>
          <w:rStyle w:val="Bodytext4"/>
          <w:b w:val="0"/>
          <w:bCs w:val="0"/>
          <w:smallCaps w:val="0"/>
          <w:sz w:val="24"/>
          <w:szCs w:val="24"/>
        </w:rPr>
        <w:t>Periudha indikative operacionale e zbatimit të këtij veprimi, gjatë së cilës do të kryhen aktivitetet e përshkruara në seksionin 3 dhe do të zbatohen kontratat dhe marrëveshjet përkatëse, është 6 vjet nga data e hyrjes në fuqi të marrëveshjes së financimit, ose nga data në të cilën shkëmbimi i letrave është rënë dakord për të gjitha alokimet e ardhshme vjetore.</w:t>
      </w:r>
    </w:p>
    <w:p w14:paraId="014E4729" w14:textId="50A69046" w:rsidR="00E134C7" w:rsidRPr="00A90756" w:rsidRDefault="00E134C7" w:rsidP="00E134C7">
      <w:pPr>
        <w:pStyle w:val="AAATEXBUKUR"/>
        <w:rPr>
          <w:rStyle w:val="Bodytext1"/>
          <w:rFonts w:ascii="Garamond" w:hAnsi="Garamond"/>
          <w:sz w:val="24"/>
          <w:szCs w:val="24"/>
        </w:rPr>
      </w:pPr>
      <w:r w:rsidRPr="00A90756">
        <w:rPr>
          <w:rStyle w:val="Bodytext1"/>
          <w:rFonts w:ascii="Garamond" w:hAnsi="Garamond"/>
          <w:sz w:val="24"/>
          <w:szCs w:val="24"/>
        </w:rPr>
        <w:t>Zgjatjet e periudhës së zbatimit mund të bien dakord nga nëpunësi autorizues përgjegjës i Komisionit duke ndryshuar këtë vendim dhe kontratat</w:t>
      </w:r>
      <w:r w:rsidR="0040697B" w:rsidRPr="00A90756">
        <w:rPr>
          <w:rStyle w:val="Bodytext1"/>
          <w:rFonts w:ascii="Garamond" w:hAnsi="Garamond"/>
          <w:sz w:val="24"/>
          <w:szCs w:val="24"/>
        </w:rPr>
        <w:t>,</w:t>
      </w:r>
      <w:r w:rsidRPr="00A90756">
        <w:rPr>
          <w:rStyle w:val="Bodytext1"/>
          <w:rFonts w:ascii="Garamond" w:hAnsi="Garamond"/>
          <w:sz w:val="24"/>
          <w:szCs w:val="24"/>
        </w:rPr>
        <w:t xml:space="preserve"> dhe marrëveshjet përkatëse.</w:t>
      </w:r>
      <w:bookmarkStart w:id="77" w:name="bookmark120"/>
      <w:bookmarkStart w:id="78" w:name="_Toc118696875"/>
    </w:p>
    <w:p w14:paraId="014E472A" w14:textId="46F2971D" w:rsidR="00E134C7" w:rsidRPr="00A90756" w:rsidRDefault="00E134C7" w:rsidP="00E134C7">
      <w:pPr>
        <w:pStyle w:val="AAATEXBUKUR"/>
      </w:pPr>
      <w:r w:rsidRPr="00A90756">
        <w:rPr>
          <w:rStyle w:val="Heading21"/>
          <w:rFonts w:ascii="Garamond" w:hAnsi="Garamond"/>
          <w:bCs w:val="0"/>
        </w:rPr>
        <w:t>5.3 Metodat e zbatimit</w:t>
      </w:r>
      <w:bookmarkEnd w:id="77"/>
      <w:bookmarkEnd w:id="78"/>
    </w:p>
    <w:p w14:paraId="014E472B" w14:textId="7CB0D1CC" w:rsidR="00E134C7" w:rsidRPr="00A90756" w:rsidRDefault="00E134C7" w:rsidP="00E134C7">
      <w:pPr>
        <w:pStyle w:val="AAATEXBUKUR"/>
      </w:pPr>
      <w:r w:rsidRPr="00A90756">
        <w:rPr>
          <w:rStyle w:val="Bodytext1"/>
          <w:rFonts w:ascii="Garamond" w:hAnsi="Garamond"/>
          <w:sz w:val="24"/>
          <w:szCs w:val="24"/>
        </w:rPr>
        <w:t>Komisioni do të sigurojë që të respektohen rregullat dhe procedurat e duhura të BE-së për sigurimin e financimit për palët e treta, duke përfshirë procedurat e rishikimit, kur është e përshtatshme, dhe pajtueshmërinë e veprimit me masat kufizuese të BE-së</w:t>
      </w:r>
      <w:r w:rsidRPr="00A90756">
        <w:rPr>
          <w:rStyle w:val="Bodytext1"/>
          <w:rFonts w:ascii="Garamond" w:hAnsi="Garamond"/>
          <w:sz w:val="24"/>
          <w:szCs w:val="24"/>
          <w:vertAlign w:val="superscript"/>
        </w:rPr>
        <w:footnoteReference w:id="30"/>
      </w:r>
      <w:r w:rsidRPr="00A90756">
        <w:rPr>
          <w:rStyle w:val="Bodytext1"/>
          <w:rFonts w:ascii="Garamond" w:hAnsi="Garamond"/>
          <w:sz w:val="24"/>
          <w:szCs w:val="24"/>
        </w:rPr>
        <w:t>.</w:t>
      </w:r>
    </w:p>
    <w:p w14:paraId="014E472C" w14:textId="5712C765" w:rsidR="00E134C7" w:rsidRPr="00A90756" w:rsidRDefault="00E134C7" w:rsidP="00E134C7">
      <w:pPr>
        <w:pStyle w:val="AAATEXBUKUR"/>
        <w:rPr>
          <w:b/>
        </w:rPr>
      </w:pPr>
      <w:r w:rsidRPr="00A90756">
        <w:rPr>
          <w:rStyle w:val="Bodytext1"/>
          <w:rFonts w:ascii="Garamond" w:hAnsi="Garamond"/>
          <w:b/>
          <w:sz w:val="24"/>
          <w:szCs w:val="24"/>
        </w:rPr>
        <w:t xml:space="preserve">5.3.1 </w:t>
      </w:r>
      <w:r w:rsidR="0040697B" w:rsidRPr="00A90756">
        <w:rPr>
          <w:rStyle w:val="Bodytext1"/>
          <w:rFonts w:ascii="Garamond" w:hAnsi="Garamond"/>
          <w:b/>
          <w:sz w:val="24"/>
          <w:szCs w:val="24"/>
        </w:rPr>
        <w:t>Operacionet</w:t>
      </w:r>
    </w:p>
    <w:p w14:paraId="014E472D" w14:textId="77777777" w:rsidR="00E134C7" w:rsidRPr="00A90756" w:rsidRDefault="00E134C7" w:rsidP="00E134C7">
      <w:pPr>
        <w:pStyle w:val="AAATEXBUKUR"/>
        <w:rPr>
          <w:b/>
        </w:rPr>
      </w:pPr>
      <w:r w:rsidRPr="00A90756">
        <w:rPr>
          <w:rStyle w:val="Bodytext1"/>
          <w:rFonts w:ascii="Garamond" w:hAnsi="Garamond"/>
          <w:b/>
          <w:sz w:val="24"/>
          <w:szCs w:val="24"/>
        </w:rPr>
        <w:t>Menaxhimi indirekt me Malin e Zi</w:t>
      </w:r>
    </w:p>
    <w:p w14:paraId="014E472E" w14:textId="77777777" w:rsidR="00E134C7" w:rsidRPr="00A90756" w:rsidRDefault="00E134C7" w:rsidP="00E134C7">
      <w:pPr>
        <w:pStyle w:val="AAATEXBUKUR"/>
      </w:pPr>
      <w:r w:rsidRPr="00A90756">
        <w:rPr>
          <w:rStyle w:val="Bodytext1"/>
          <w:rFonts w:ascii="Garamond" w:hAnsi="Garamond"/>
          <w:sz w:val="24"/>
          <w:szCs w:val="24"/>
        </w:rPr>
        <w:t>Pjesa operative e këtij veprimi do të zbatohet nën menaxhimin indirekt nga Mali i Zi. Mali i Zi do të presë autoritetin menaxhues dhe organin e ndërmjetëm për menaxhimin financiar. Autoriteti menaxhues do të jetë përgjegjës për menaxhimin e përgjithshëm të programit dhe do të caktojë organet e ndërmjetme.</w:t>
      </w:r>
    </w:p>
    <w:p w14:paraId="014E472F" w14:textId="7B9304AA" w:rsidR="00E134C7" w:rsidRPr="00A90756" w:rsidRDefault="00E134C7" w:rsidP="00E134C7">
      <w:pPr>
        <w:pStyle w:val="AAATEXBUKUR"/>
      </w:pPr>
      <w:r w:rsidRPr="00A90756">
        <w:rPr>
          <w:rStyle w:val="Bodytext1"/>
          <w:rFonts w:ascii="Garamond" w:hAnsi="Garamond"/>
          <w:sz w:val="24"/>
          <w:szCs w:val="24"/>
        </w:rPr>
        <w:t xml:space="preserve">Në varësi të finalizimit të kuadrit ligjor IPAIII, autoriteti menaxhues përgjegjës për ekzekutimin e veprimit në të gjitha vendet pjesëmarrëse është </w:t>
      </w:r>
      <w:r w:rsidR="0040697B" w:rsidRPr="00A90756">
        <w:rPr>
          <w:rStyle w:val="Bodytext1"/>
          <w:rFonts w:ascii="Garamond" w:hAnsi="Garamond"/>
          <w:sz w:val="24"/>
          <w:szCs w:val="24"/>
        </w:rPr>
        <w:t>q</w:t>
      </w:r>
      <w:r w:rsidRPr="00A90756">
        <w:rPr>
          <w:rStyle w:val="Bodytext1"/>
          <w:rFonts w:ascii="Garamond" w:hAnsi="Garamond"/>
          <w:sz w:val="24"/>
          <w:szCs w:val="24"/>
        </w:rPr>
        <w:t>everia e Malit të Zi–Zyra e Integrimit Evropian (EIO). Strukturat BNK</w:t>
      </w:r>
      <w:r w:rsidR="0040697B" w:rsidRPr="00A90756">
        <w:rPr>
          <w:rStyle w:val="Bodytext1"/>
          <w:rFonts w:ascii="Garamond" w:hAnsi="Garamond"/>
          <w:sz w:val="24"/>
          <w:szCs w:val="24"/>
        </w:rPr>
        <w:t>,</w:t>
      </w:r>
      <w:r w:rsidRPr="00A90756">
        <w:rPr>
          <w:rStyle w:val="Bodytext1"/>
          <w:rFonts w:ascii="Garamond" w:hAnsi="Garamond"/>
          <w:sz w:val="24"/>
          <w:szCs w:val="24"/>
        </w:rPr>
        <w:t xml:space="preserve"> të krijuara sipas kuadrit ligjor IPA III në Mal të Zi dhe në Shqipëri, do të bashkëpunojnë ngushtë në të gjitha detyrat me interes të ndërsjellë</w:t>
      </w:r>
      <w:r w:rsidR="0040697B" w:rsidRPr="00A90756">
        <w:rPr>
          <w:rStyle w:val="Bodytext1"/>
          <w:rFonts w:ascii="Garamond" w:hAnsi="Garamond"/>
          <w:sz w:val="24"/>
          <w:szCs w:val="24"/>
        </w:rPr>
        <w:t>,</w:t>
      </w:r>
      <w:r w:rsidRPr="00A90756">
        <w:rPr>
          <w:rStyle w:val="Bodytext1"/>
          <w:rFonts w:ascii="Garamond" w:hAnsi="Garamond"/>
          <w:sz w:val="24"/>
          <w:szCs w:val="24"/>
        </w:rPr>
        <w:t xml:space="preserve"> në lidhje me programimin dhe zbatimin e programit.</w:t>
      </w:r>
    </w:p>
    <w:p w14:paraId="014E4730" w14:textId="5226E2A5" w:rsidR="00E134C7" w:rsidRPr="00A90756" w:rsidRDefault="00E134C7" w:rsidP="00E134C7">
      <w:pPr>
        <w:pStyle w:val="AAATEXBUKUR"/>
      </w:pPr>
      <w:r w:rsidRPr="00A90756">
        <w:rPr>
          <w:rStyle w:val="Bodytext1"/>
          <w:rFonts w:ascii="Garamond" w:hAnsi="Garamond"/>
          <w:sz w:val="24"/>
          <w:szCs w:val="24"/>
        </w:rPr>
        <w:t>Detyrat e zbatimit të buxhetit si thirrjet për tenderë, thirrjet për propozime, kontraktimi, menaxhimi i kontratave, pagesat dhe operacionet e të ardhurave, do</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besohen organit të ndërmjetëm të mëposhtëm për menaxhimin financiar: Ministrisë së Financave dhe Mirëqenies Sociale, Drejtorisë për Financa dhe Kontraktime të BE-së</w:t>
      </w:r>
      <w:r w:rsidR="0040697B" w:rsidRPr="00A90756">
        <w:rPr>
          <w:rStyle w:val="Bodytext1"/>
          <w:rFonts w:ascii="Garamond" w:hAnsi="Garamond"/>
          <w:sz w:val="24"/>
          <w:szCs w:val="24"/>
        </w:rPr>
        <w:t>,</w:t>
      </w:r>
      <w:r w:rsidRPr="00A90756">
        <w:rPr>
          <w:rStyle w:val="Bodytext1"/>
          <w:rFonts w:ascii="Garamond" w:hAnsi="Garamond"/>
          <w:sz w:val="24"/>
          <w:szCs w:val="24"/>
        </w:rPr>
        <w:t xml:space="preserve"> Fondet e Asistencës (CFCU). Ai do të sigurojë ligjshmërinë dhe rregullsinë e shpenzimeve.</w:t>
      </w:r>
    </w:p>
    <w:p w14:paraId="014E4731" w14:textId="77777777" w:rsidR="00E134C7" w:rsidRPr="00A90756" w:rsidRDefault="00E134C7" w:rsidP="00E134C7">
      <w:pPr>
        <w:pStyle w:val="AAATEXBUKUR"/>
      </w:pPr>
      <w:r w:rsidRPr="00A90756">
        <w:rPr>
          <w:rStyle w:val="Bodytext1"/>
          <w:rFonts w:ascii="Garamond" w:hAnsi="Garamond"/>
          <w:sz w:val="24"/>
          <w:szCs w:val="24"/>
        </w:rPr>
        <w:t>Thirrje për Propozime-Grante</w:t>
      </w:r>
    </w:p>
    <w:p w14:paraId="014E4732" w14:textId="77777777" w:rsidR="00E134C7" w:rsidRPr="00A90756" w:rsidRDefault="00E134C7" w:rsidP="00E134C7">
      <w:pPr>
        <w:pStyle w:val="AAATEXBUKUR"/>
        <w:rPr>
          <w:rStyle w:val="Bodytext4"/>
          <w:b w:val="0"/>
          <w:bCs w:val="0"/>
          <w:smallCaps w:val="0"/>
          <w:sz w:val="24"/>
          <w:szCs w:val="24"/>
        </w:rPr>
      </w:pPr>
      <w:r w:rsidRPr="00A90756">
        <w:rPr>
          <w:rStyle w:val="Bodytext4"/>
          <w:b w:val="0"/>
          <w:bCs w:val="0"/>
          <w:smallCaps w:val="0"/>
          <w:sz w:val="24"/>
          <w:szCs w:val="24"/>
        </w:rPr>
        <w:t>a) Qëllimi i granteve:</w:t>
      </w:r>
    </w:p>
    <w:p w14:paraId="014E4733" w14:textId="38D1BB91" w:rsidR="00E134C7" w:rsidRPr="00A90756" w:rsidRDefault="00E134C7" w:rsidP="00E134C7">
      <w:pPr>
        <w:pStyle w:val="AAATEXBUKUR"/>
        <w:rPr>
          <w:rStyle w:val="Bodytext4"/>
          <w:b w:val="0"/>
          <w:bCs w:val="0"/>
          <w:smallCaps w:val="0"/>
          <w:sz w:val="24"/>
          <w:szCs w:val="24"/>
        </w:rPr>
      </w:pPr>
      <w:r w:rsidRPr="00A90756">
        <w:rPr>
          <w:rStyle w:val="Bodytext4"/>
          <w:b w:val="0"/>
          <w:bCs w:val="0"/>
          <w:smallCaps w:val="0"/>
          <w:sz w:val="24"/>
          <w:szCs w:val="24"/>
        </w:rPr>
        <w:t>Grantet e përzgjedhura përmes thirrjeve për propozime gjatë periudhës shtatëvjeçare do të kontribuojnë në objektivat dhe rezultatet specifike</w:t>
      </w:r>
      <w:r w:rsidR="0040697B" w:rsidRPr="00A90756">
        <w:rPr>
          <w:rStyle w:val="Bodytext4"/>
          <w:b w:val="0"/>
          <w:bCs w:val="0"/>
          <w:smallCaps w:val="0"/>
          <w:sz w:val="24"/>
          <w:szCs w:val="24"/>
        </w:rPr>
        <w:t>,</w:t>
      </w:r>
      <w:r w:rsidRPr="00A90756">
        <w:rPr>
          <w:rStyle w:val="Bodytext4"/>
          <w:b w:val="0"/>
          <w:bCs w:val="0"/>
          <w:smallCaps w:val="0"/>
          <w:sz w:val="24"/>
          <w:szCs w:val="24"/>
        </w:rPr>
        <w:t xml:space="preserve"> sipas secilit prioritet tematik në seksionin</w:t>
      </w:r>
      <w:r w:rsidR="00D06E61" w:rsidRPr="00A90756">
        <w:rPr>
          <w:rStyle w:val="Bodytext4"/>
          <w:b w:val="0"/>
          <w:bCs w:val="0"/>
          <w:smallCaps w:val="0"/>
          <w:sz w:val="24"/>
          <w:szCs w:val="24"/>
        </w:rPr>
        <w:t>.</w:t>
      </w:r>
    </w:p>
    <w:p w14:paraId="014E4734" w14:textId="77777777" w:rsidR="00E134C7" w:rsidRPr="00A90756" w:rsidRDefault="00E134C7" w:rsidP="00E134C7">
      <w:pPr>
        <w:pStyle w:val="AAATEXBUKUR"/>
        <w:rPr>
          <w:rStyle w:val="Bodytext4"/>
          <w:b w:val="0"/>
          <w:bCs w:val="0"/>
          <w:smallCaps w:val="0"/>
          <w:sz w:val="24"/>
          <w:szCs w:val="24"/>
        </w:rPr>
      </w:pPr>
      <w:r w:rsidRPr="00A90756">
        <w:rPr>
          <w:rStyle w:val="Bodytext4"/>
          <w:b w:val="0"/>
          <w:bCs w:val="0"/>
          <w:smallCaps w:val="0"/>
          <w:sz w:val="24"/>
          <w:szCs w:val="24"/>
        </w:rPr>
        <w:t>b) Lloji i aplikantëve të synuar:</w:t>
      </w:r>
    </w:p>
    <w:p w14:paraId="014E4735" w14:textId="77777777" w:rsidR="00E134C7" w:rsidRPr="00A90756" w:rsidRDefault="00E134C7" w:rsidP="00E134C7">
      <w:pPr>
        <w:pStyle w:val="AAATEXBUKUR"/>
        <w:rPr>
          <w:rStyle w:val="Bodytext4"/>
          <w:b w:val="0"/>
          <w:bCs w:val="0"/>
          <w:smallCaps w:val="0"/>
          <w:sz w:val="24"/>
          <w:szCs w:val="24"/>
        </w:rPr>
      </w:pPr>
      <w:r w:rsidRPr="00A90756">
        <w:rPr>
          <w:rStyle w:val="Bodytext4"/>
          <w:b w:val="0"/>
          <w:bCs w:val="0"/>
          <w:smallCaps w:val="0"/>
          <w:sz w:val="24"/>
          <w:szCs w:val="24"/>
        </w:rPr>
        <w:t>Përfituesit do të jenë persona juridikë, autoritetet vendore, organet publike, OJQ-të, aktorët ekonomikë si NVM-të, organizatat fitimprurëse ose jofitimprurëse.</w:t>
      </w:r>
    </w:p>
    <w:p w14:paraId="014E4736" w14:textId="77777777" w:rsidR="00E134C7" w:rsidRPr="00A90756" w:rsidRDefault="00E134C7" w:rsidP="00E134C7">
      <w:pPr>
        <w:pStyle w:val="AAATEXBUKUR"/>
      </w:pPr>
      <w:r w:rsidRPr="00A90756">
        <w:rPr>
          <w:rStyle w:val="Bodytext4"/>
          <w:b w:val="0"/>
          <w:bCs w:val="0"/>
          <w:smallCaps w:val="0"/>
          <w:sz w:val="24"/>
          <w:szCs w:val="24"/>
        </w:rPr>
        <w:t>Aplikantët do të vendosen në një përfitues të IPA III që merr pjesë në programin BNK.</w:t>
      </w:r>
    </w:p>
    <w:p w14:paraId="014E4737" w14:textId="3034E55B" w:rsidR="00E134C7" w:rsidRPr="00A90756" w:rsidRDefault="00E134C7" w:rsidP="00E134C7">
      <w:pPr>
        <w:pStyle w:val="AAATEXBUKUR"/>
      </w:pPr>
      <w:r w:rsidRPr="00A90756">
        <w:rPr>
          <w:rStyle w:val="Bodytext4"/>
          <w:b w:val="0"/>
          <w:bCs w:val="0"/>
          <w:smallCaps w:val="0"/>
          <w:sz w:val="24"/>
          <w:szCs w:val="24"/>
        </w:rPr>
        <w:t>Përfituesit e mundshëm siç specifikohet në seksionin 3.2 mund të jenë: pushtetet vendore dhe institucionet e tyre; agjencitë e zhvillimit; organizatat (përfshirë OSHC-të)/institucionet për mbrojtjen e natyrës dhe ndryshimet klimatike; organet publike përgjegjëse për shërbimet e zjarreve/përmbytjeve/emergjencave, institucionet arsimore të të gjitha niveleve; byrotë e qendrave arsimore dhe arsimore profesionale, organizatat turistike në nivel kombëtar/vendor; dhomat e tregtisë; vepra</w:t>
      </w:r>
      <w:r w:rsidR="0040697B" w:rsidRPr="00A90756">
        <w:rPr>
          <w:rStyle w:val="Bodytext4"/>
          <w:b w:val="0"/>
          <w:bCs w:val="0"/>
          <w:smallCaps w:val="0"/>
          <w:sz w:val="24"/>
          <w:szCs w:val="24"/>
        </w:rPr>
        <w:t>t</w:t>
      </w:r>
      <w:r w:rsidRPr="00A90756">
        <w:rPr>
          <w:rStyle w:val="Bodytext4"/>
          <w:b w:val="0"/>
          <w:bCs w:val="0"/>
          <w:smallCaps w:val="0"/>
          <w:sz w:val="24"/>
          <w:szCs w:val="24"/>
        </w:rPr>
        <w:t xml:space="preserve"> artizanale; shoqatat e biznesit; grupime</w:t>
      </w:r>
      <w:r w:rsidR="0040697B" w:rsidRPr="00A90756">
        <w:rPr>
          <w:rStyle w:val="Bodytext4"/>
          <w:b w:val="0"/>
          <w:bCs w:val="0"/>
          <w:smallCaps w:val="0"/>
          <w:sz w:val="24"/>
          <w:szCs w:val="24"/>
        </w:rPr>
        <w:t>t</w:t>
      </w:r>
      <w:r w:rsidRPr="00A90756">
        <w:rPr>
          <w:rStyle w:val="Bodytext4"/>
          <w:b w:val="0"/>
          <w:bCs w:val="0"/>
          <w:smallCaps w:val="0"/>
          <w:sz w:val="24"/>
          <w:szCs w:val="24"/>
        </w:rPr>
        <w:t>; kooperativat; shoqata</w:t>
      </w:r>
      <w:r w:rsidR="0040697B" w:rsidRPr="00A90756">
        <w:rPr>
          <w:rStyle w:val="Bodytext4"/>
          <w:b w:val="0"/>
          <w:bCs w:val="0"/>
          <w:smallCaps w:val="0"/>
          <w:sz w:val="24"/>
          <w:szCs w:val="24"/>
        </w:rPr>
        <w:t>t</w:t>
      </w:r>
      <w:r w:rsidRPr="00A90756">
        <w:rPr>
          <w:rStyle w:val="Bodytext4"/>
          <w:b w:val="0"/>
          <w:bCs w:val="0"/>
          <w:smallCaps w:val="0"/>
          <w:sz w:val="24"/>
          <w:szCs w:val="24"/>
        </w:rPr>
        <w:t xml:space="preserve"> </w:t>
      </w:r>
      <w:r w:rsidR="0040697B" w:rsidRPr="00A90756">
        <w:rPr>
          <w:rStyle w:val="Bodytext4"/>
          <w:b w:val="0"/>
          <w:bCs w:val="0"/>
          <w:smallCaps w:val="0"/>
          <w:sz w:val="24"/>
          <w:szCs w:val="24"/>
        </w:rPr>
        <w:t>e</w:t>
      </w:r>
      <w:r w:rsidRPr="00A90756">
        <w:rPr>
          <w:rStyle w:val="Bodytext4"/>
          <w:b w:val="0"/>
          <w:bCs w:val="0"/>
          <w:smallCaps w:val="0"/>
          <w:sz w:val="24"/>
          <w:szCs w:val="24"/>
        </w:rPr>
        <w:t xml:space="preserve"> fermerëve; institucionet në fusha të trashëgimi</w:t>
      </w:r>
      <w:r w:rsidR="0040697B" w:rsidRPr="00A90756">
        <w:rPr>
          <w:rStyle w:val="Bodytext4"/>
          <w:b w:val="0"/>
          <w:bCs w:val="0"/>
          <w:smallCaps w:val="0"/>
          <w:sz w:val="24"/>
          <w:szCs w:val="24"/>
        </w:rPr>
        <w:t>së</w:t>
      </w:r>
      <w:r w:rsidRPr="00A90756">
        <w:rPr>
          <w:rStyle w:val="Bodytext4"/>
          <w:b w:val="0"/>
          <w:bCs w:val="0"/>
          <w:smallCaps w:val="0"/>
          <w:sz w:val="24"/>
          <w:szCs w:val="24"/>
        </w:rPr>
        <w:t xml:space="preserve"> natyrore/kulturore; biznes</w:t>
      </w:r>
      <w:r w:rsidR="0040697B" w:rsidRPr="00A90756">
        <w:rPr>
          <w:rStyle w:val="Bodytext4"/>
          <w:b w:val="0"/>
          <w:bCs w:val="0"/>
          <w:smallCaps w:val="0"/>
          <w:sz w:val="24"/>
          <w:szCs w:val="24"/>
        </w:rPr>
        <w:t>et,</w:t>
      </w:r>
      <w:r w:rsidRPr="00A90756">
        <w:rPr>
          <w:rStyle w:val="Bodytext4"/>
          <w:b w:val="0"/>
          <w:bCs w:val="0"/>
          <w:smallCaps w:val="0"/>
          <w:sz w:val="24"/>
          <w:szCs w:val="24"/>
        </w:rPr>
        <w:t xml:space="preserve"> ndërmarrje</w:t>
      </w:r>
      <w:r w:rsidR="0040697B" w:rsidRPr="00A90756">
        <w:rPr>
          <w:rStyle w:val="Bodytext4"/>
          <w:b w:val="0"/>
          <w:bCs w:val="0"/>
          <w:smallCaps w:val="0"/>
          <w:sz w:val="24"/>
          <w:szCs w:val="24"/>
        </w:rPr>
        <w:t>t</w:t>
      </w:r>
      <w:r w:rsidRPr="00A90756">
        <w:rPr>
          <w:rStyle w:val="Bodytext4"/>
          <w:b w:val="0"/>
          <w:bCs w:val="0"/>
          <w:smallCaps w:val="0"/>
          <w:sz w:val="24"/>
          <w:szCs w:val="24"/>
        </w:rPr>
        <w:t xml:space="preserve"> dhe të tjera organizata të përfshirë</w:t>
      </w:r>
      <w:r w:rsidR="00AA13DB" w:rsidRPr="00A90756">
        <w:rPr>
          <w:rStyle w:val="Bodytext4"/>
          <w:b w:val="0"/>
          <w:bCs w:val="0"/>
          <w:smallCaps w:val="0"/>
          <w:sz w:val="24"/>
          <w:szCs w:val="24"/>
        </w:rPr>
        <w:t xml:space="preserve"> </w:t>
      </w:r>
      <w:r w:rsidRPr="00A90756">
        <w:rPr>
          <w:rStyle w:val="Bodytext4"/>
          <w:b w:val="0"/>
          <w:bCs w:val="0"/>
          <w:smallCaps w:val="0"/>
          <w:sz w:val="24"/>
          <w:szCs w:val="24"/>
        </w:rPr>
        <w:t xml:space="preserve">në arsimim; ofruesit e licencuar të arsimit për të rinjtë dhe të rriturit; </w:t>
      </w:r>
      <w:r w:rsidRPr="00A90756">
        <w:rPr>
          <w:rStyle w:val="Bodytext4"/>
          <w:b w:val="0"/>
          <w:bCs w:val="0"/>
          <w:smallCaps w:val="0"/>
          <w:sz w:val="24"/>
          <w:szCs w:val="24"/>
        </w:rPr>
        <w:lastRenderedPageBreak/>
        <w:t>organizatat rinore.</w:t>
      </w:r>
    </w:p>
    <w:p w14:paraId="014E4738" w14:textId="40B0B579" w:rsidR="00E134C7" w:rsidRPr="00A90756" w:rsidRDefault="00E134C7" w:rsidP="00E134C7">
      <w:pPr>
        <w:pStyle w:val="AAATEXBUKUR"/>
        <w:rPr>
          <w:b/>
        </w:rPr>
      </w:pPr>
      <w:r w:rsidRPr="00A90756">
        <w:rPr>
          <w:rStyle w:val="Bodytext1"/>
          <w:rFonts w:ascii="Garamond" w:hAnsi="Garamond"/>
          <w:b/>
          <w:sz w:val="24"/>
          <w:szCs w:val="24"/>
        </w:rPr>
        <w:t xml:space="preserve">5.3.2 Asistencë </w:t>
      </w:r>
      <w:r w:rsidR="0040697B" w:rsidRPr="00A90756">
        <w:rPr>
          <w:rStyle w:val="Bodytext1"/>
          <w:rFonts w:ascii="Garamond" w:hAnsi="Garamond"/>
          <w:b/>
          <w:sz w:val="24"/>
          <w:szCs w:val="24"/>
        </w:rPr>
        <w:t>t</w:t>
      </w:r>
      <w:r w:rsidRPr="00A90756">
        <w:rPr>
          <w:rStyle w:val="Bodytext1"/>
          <w:rFonts w:ascii="Garamond" w:hAnsi="Garamond"/>
          <w:b/>
          <w:sz w:val="24"/>
          <w:szCs w:val="24"/>
        </w:rPr>
        <w:t>eknike (</w:t>
      </w:r>
      <w:r w:rsidR="00A06793" w:rsidRPr="00A90756">
        <w:rPr>
          <w:rStyle w:val="Bodytext1"/>
          <w:rFonts w:ascii="Garamond" w:hAnsi="Garamond"/>
          <w:b/>
          <w:sz w:val="24"/>
          <w:szCs w:val="24"/>
        </w:rPr>
        <w:t>g</w:t>
      </w:r>
      <w:r w:rsidRPr="00A90756">
        <w:rPr>
          <w:rStyle w:val="Bodytext1"/>
          <w:rFonts w:ascii="Garamond" w:hAnsi="Garamond"/>
          <w:b/>
          <w:sz w:val="24"/>
          <w:szCs w:val="24"/>
        </w:rPr>
        <w:t xml:space="preserve">rante </w:t>
      </w:r>
      <w:r w:rsidR="0040697B" w:rsidRPr="00A90756">
        <w:rPr>
          <w:rStyle w:val="Bodytext1"/>
          <w:rFonts w:ascii="Garamond" w:hAnsi="Garamond"/>
          <w:b/>
          <w:sz w:val="24"/>
          <w:szCs w:val="24"/>
        </w:rPr>
        <w:t>d</w:t>
      </w:r>
      <w:r w:rsidRPr="00A90756">
        <w:rPr>
          <w:rStyle w:val="Bodytext1"/>
          <w:rFonts w:ascii="Garamond" w:hAnsi="Garamond"/>
          <w:b/>
          <w:sz w:val="24"/>
          <w:szCs w:val="24"/>
        </w:rPr>
        <w:t>irekte)</w:t>
      </w:r>
    </w:p>
    <w:p w14:paraId="014E4739" w14:textId="77777777" w:rsidR="00E134C7" w:rsidRPr="00A90756" w:rsidRDefault="00E134C7" w:rsidP="00E134C7">
      <w:pPr>
        <w:pStyle w:val="AAATEXBUKUR"/>
      </w:pPr>
      <w:r w:rsidRPr="00A90756">
        <w:rPr>
          <w:rStyle w:val="Bodytext1"/>
          <w:rFonts w:ascii="Garamond" w:hAnsi="Garamond"/>
          <w:sz w:val="24"/>
          <w:szCs w:val="24"/>
        </w:rPr>
        <w:t>Prioriteti i Asistencës Teknike do të zbatohet në Menaxhimin Direkt përmes granteve të drejtpërdrejta gjatë kohëzgjatjes së programit.</w:t>
      </w:r>
    </w:p>
    <w:p w14:paraId="014E473A" w14:textId="3AAAA721" w:rsidR="00E134C7" w:rsidRPr="00A90756" w:rsidRDefault="00E134C7" w:rsidP="00E134C7">
      <w:pPr>
        <w:pStyle w:val="AAATEXBUKUR"/>
      </w:pPr>
      <w:r w:rsidRPr="00A90756">
        <w:rPr>
          <w:rStyle w:val="Bodytext1"/>
          <w:rFonts w:ascii="Garamond" w:hAnsi="Garamond"/>
          <w:sz w:val="24"/>
          <w:szCs w:val="24"/>
        </w:rPr>
        <w:t>Grantet do të jepen për zbatimin e asistencës teknike prioritare tematike në kuadër të këtij programi. Nën përgjegjësinë e nëpunësit autorizues përgjegjës të Komisionit, grantet mund</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 xml:space="preserve">jepen pa thirrje për propozime </w:t>
      </w:r>
      <w:r w:rsidR="0040697B" w:rsidRPr="00A90756">
        <w:rPr>
          <w:rStyle w:val="Bodytext1"/>
          <w:rFonts w:ascii="Garamond" w:hAnsi="Garamond"/>
          <w:sz w:val="24"/>
          <w:szCs w:val="24"/>
        </w:rPr>
        <w:t>q</w:t>
      </w:r>
      <w:r w:rsidRPr="00A90756">
        <w:rPr>
          <w:rStyle w:val="Bodytext1"/>
          <w:rFonts w:ascii="Garamond" w:hAnsi="Garamond"/>
          <w:sz w:val="24"/>
          <w:szCs w:val="24"/>
        </w:rPr>
        <w:t>everisë së Malit të Zi</w:t>
      </w:r>
      <w:r w:rsidR="0040697B" w:rsidRPr="00A90756">
        <w:rPr>
          <w:rStyle w:val="Bodytext1"/>
          <w:rFonts w:ascii="Garamond" w:hAnsi="Garamond"/>
          <w:sz w:val="24"/>
          <w:szCs w:val="24"/>
        </w:rPr>
        <w:t xml:space="preserve"> – </w:t>
      </w:r>
      <w:r w:rsidRPr="00A90756">
        <w:rPr>
          <w:rStyle w:val="Bodytext1"/>
          <w:rFonts w:ascii="Garamond" w:hAnsi="Garamond"/>
          <w:sz w:val="24"/>
          <w:szCs w:val="24"/>
        </w:rPr>
        <w:t>Zyrës së Integrimit Evropian, si partner kryesor, dhe institucionit publik që pret strukturën BNK në Shqipëri si bashkëpërfitues.</w:t>
      </w:r>
    </w:p>
    <w:p w14:paraId="014E473B" w14:textId="3BAE6D72" w:rsidR="00E134C7" w:rsidRPr="00A90756" w:rsidRDefault="00E134C7" w:rsidP="00E134C7">
      <w:pPr>
        <w:pStyle w:val="AAATEXBUKUR"/>
      </w:pPr>
      <w:r w:rsidRPr="00A90756">
        <w:rPr>
          <w:rStyle w:val="Bodytext1"/>
          <w:rFonts w:ascii="Garamond" w:hAnsi="Garamond"/>
          <w:sz w:val="24"/>
          <w:szCs w:val="24"/>
        </w:rPr>
        <w:t xml:space="preserve">Rekursi për dhënien e këtij granti pa thirrje për propozime është i justifikuar për organet me monopol </w:t>
      </w:r>
      <w:r w:rsidRPr="00A90756">
        <w:rPr>
          <w:rStyle w:val="Bodytext1"/>
          <w:rFonts w:ascii="Garamond" w:hAnsi="Garamond"/>
          <w:i/>
          <w:sz w:val="24"/>
          <w:szCs w:val="24"/>
        </w:rPr>
        <w:t>de jure</w:t>
      </w:r>
      <w:r w:rsidRPr="00A90756">
        <w:rPr>
          <w:rStyle w:val="Bodytext1"/>
          <w:rFonts w:ascii="Garamond" w:hAnsi="Garamond"/>
          <w:sz w:val="24"/>
          <w:szCs w:val="24"/>
        </w:rPr>
        <w:t xml:space="preserve"> ose </w:t>
      </w:r>
      <w:r w:rsidRPr="00A90756">
        <w:rPr>
          <w:rStyle w:val="Bodytext1"/>
          <w:rFonts w:ascii="Garamond" w:hAnsi="Garamond"/>
          <w:i/>
          <w:sz w:val="24"/>
          <w:szCs w:val="24"/>
        </w:rPr>
        <w:t>de facto</w:t>
      </w:r>
      <w:r w:rsidRPr="00A90756">
        <w:rPr>
          <w:rStyle w:val="Bodytext1"/>
          <w:rFonts w:ascii="Garamond" w:hAnsi="Garamond"/>
          <w:sz w:val="24"/>
          <w:szCs w:val="24"/>
        </w:rPr>
        <w:t xml:space="preserve"> në menaxhimin e këtij programi të bashkëpunimit ndërkufitar, në përputhje me nenin 195(c) të Rregullores (BE, Euratom) 2018/1046. Siç përcaktohet në seksionin VIII </w:t>
      </w:r>
      <w:r w:rsidR="00AE64AA" w:rsidRPr="00A90756">
        <w:rPr>
          <w:rStyle w:val="Bodytext1"/>
          <w:rFonts w:ascii="Garamond" w:hAnsi="Garamond"/>
          <w:sz w:val="24"/>
          <w:szCs w:val="24"/>
        </w:rPr>
        <w:t>“</w:t>
      </w:r>
      <w:r w:rsidRPr="00A90756">
        <w:rPr>
          <w:rStyle w:val="Bodytext1"/>
          <w:rFonts w:ascii="Garamond" w:hAnsi="Garamond"/>
          <w:sz w:val="24"/>
          <w:szCs w:val="24"/>
        </w:rPr>
        <w:t>Dispozitat për programet e bashkëpunimit ndërkufitar</w:t>
      </w:r>
      <w:r w:rsidR="00AE64AA" w:rsidRPr="00A90756">
        <w:rPr>
          <w:rStyle w:val="Bodytext1"/>
          <w:rFonts w:ascii="Garamond" w:hAnsi="Garamond"/>
          <w:sz w:val="24"/>
          <w:szCs w:val="24"/>
        </w:rPr>
        <w:t>”</w:t>
      </w:r>
      <w:r w:rsidRPr="00A90756">
        <w:rPr>
          <w:rStyle w:val="Bodytext1"/>
          <w:rFonts w:ascii="Garamond" w:hAnsi="Garamond"/>
          <w:sz w:val="24"/>
          <w:szCs w:val="24"/>
        </w:rPr>
        <w:t xml:space="preserve">, Titulli V </w:t>
      </w:r>
      <w:r w:rsidR="00AE64AA" w:rsidRPr="00A90756">
        <w:rPr>
          <w:rStyle w:val="Bodytext1"/>
          <w:rFonts w:ascii="Garamond" w:hAnsi="Garamond"/>
          <w:sz w:val="24"/>
          <w:szCs w:val="24"/>
        </w:rPr>
        <w:t>“</w:t>
      </w:r>
      <w:r w:rsidRPr="00A90756">
        <w:rPr>
          <w:rStyle w:val="Bodytext1"/>
          <w:rFonts w:ascii="Garamond" w:hAnsi="Garamond"/>
          <w:sz w:val="24"/>
          <w:szCs w:val="24"/>
        </w:rPr>
        <w:t>Strukturat dhe autoritetet e programit dhe përgjegjësitë e tyre</w:t>
      </w:r>
      <w:r w:rsidR="00AE64AA" w:rsidRPr="00A90756">
        <w:rPr>
          <w:rStyle w:val="Bodytext1"/>
          <w:rFonts w:ascii="Garamond" w:hAnsi="Garamond"/>
          <w:sz w:val="24"/>
          <w:szCs w:val="24"/>
        </w:rPr>
        <w:t>”</w:t>
      </w:r>
      <w:r w:rsidRPr="00A90756">
        <w:rPr>
          <w:rStyle w:val="Bodytext1"/>
          <w:rFonts w:ascii="Garamond" w:hAnsi="Garamond"/>
          <w:sz w:val="24"/>
          <w:szCs w:val="24"/>
        </w:rPr>
        <w:t xml:space="preserve"> të Marrëveshjes së Partneritetit të Kornizës Financiare për programin IPA III, strukturat e BNK-së janë organet që gëzojnë këtë monopol.</w:t>
      </w:r>
    </w:p>
    <w:p w14:paraId="014E473C" w14:textId="1ADC8859" w:rsidR="00E134C7" w:rsidRPr="00A90756" w:rsidRDefault="00E134C7" w:rsidP="00E134C7">
      <w:pPr>
        <w:pStyle w:val="AAATEXBUKUR"/>
        <w:rPr>
          <w:rStyle w:val="Bodytext1"/>
          <w:rFonts w:ascii="Garamond" w:hAnsi="Garamond"/>
          <w:sz w:val="24"/>
          <w:szCs w:val="24"/>
        </w:rPr>
      </w:pPr>
      <w:r w:rsidRPr="00A90756">
        <w:rPr>
          <w:rStyle w:val="Bodytext1"/>
          <w:rFonts w:ascii="Garamond" w:hAnsi="Garamond"/>
          <w:sz w:val="24"/>
          <w:szCs w:val="24"/>
        </w:rPr>
        <w:t>Nën përgjegjësinë e zyrtarit përgjegjës autorizues të Komisionit, granti mund</w:t>
      </w:r>
      <w:r w:rsidR="00C61854" w:rsidRPr="00A90756">
        <w:rPr>
          <w:rStyle w:val="Bodytext1"/>
          <w:rFonts w:ascii="Garamond" w:hAnsi="Garamond"/>
          <w:sz w:val="24"/>
          <w:szCs w:val="24"/>
        </w:rPr>
        <w:t xml:space="preserve"> t</w:t>
      </w:r>
      <w:r w:rsidR="00292D5B" w:rsidRPr="00A90756">
        <w:rPr>
          <w:rStyle w:val="Bodytext1"/>
          <w:rFonts w:ascii="Garamond" w:hAnsi="Garamond"/>
          <w:sz w:val="24"/>
          <w:szCs w:val="24"/>
        </w:rPr>
        <w:t>’</w:t>
      </w:r>
      <w:r w:rsidR="00C61854" w:rsidRPr="00A90756">
        <w:rPr>
          <w:rStyle w:val="Bodytext1"/>
          <w:rFonts w:ascii="Garamond" w:hAnsi="Garamond"/>
          <w:sz w:val="24"/>
          <w:szCs w:val="24"/>
        </w:rPr>
        <w:t xml:space="preserve">i </w:t>
      </w:r>
      <w:r w:rsidRPr="00A90756">
        <w:rPr>
          <w:rStyle w:val="Bodytext1"/>
          <w:rFonts w:ascii="Garamond" w:hAnsi="Garamond"/>
          <w:sz w:val="24"/>
          <w:szCs w:val="24"/>
        </w:rPr>
        <w:t xml:space="preserve">jepet </w:t>
      </w:r>
      <w:r w:rsidR="0040697B" w:rsidRPr="00A90756">
        <w:rPr>
          <w:rStyle w:val="Bodytext1"/>
          <w:rFonts w:ascii="Garamond" w:hAnsi="Garamond"/>
          <w:sz w:val="24"/>
          <w:szCs w:val="24"/>
        </w:rPr>
        <w:t>q</w:t>
      </w:r>
      <w:r w:rsidRPr="00A90756">
        <w:rPr>
          <w:rStyle w:val="Bodytext1"/>
          <w:rFonts w:ascii="Garamond" w:hAnsi="Garamond"/>
          <w:sz w:val="24"/>
          <w:szCs w:val="24"/>
        </w:rPr>
        <w:t>everisë së Malit të Zi</w:t>
      </w:r>
      <w:r w:rsidR="0040697B" w:rsidRPr="00A90756">
        <w:rPr>
          <w:rStyle w:val="Bodytext1"/>
          <w:rFonts w:ascii="Garamond" w:hAnsi="Garamond"/>
          <w:sz w:val="24"/>
          <w:szCs w:val="24"/>
        </w:rPr>
        <w:t xml:space="preserve"> – </w:t>
      </w:r>
      <w:r w:rsidRPr="00A90756">
        <w:rPr>
          <w:rStyle w:val="Bodytext1"/>
          <w:rFonts w:ascii="Garamond" w:hAnsi="Garamond"/>
          <w:sz w:val="24"/>
          <w:szCs w:val="24"/>
        </w:rPr>
        <w:t>Zyrës për Integrim Evropian pa thirrje për propozime</w:t>
      </w:r>
      <w:bookmarkStart w:id="79" w:name="bookmark123"/>
      <w:bookmarkStart w:id="80" w:name="_Toc118696876"/>
      <w:r w:rsidR="0040697B" w:rsidRPr="00A90756">
        <w:rPr>
          <w:rStyle w:val="Bodytext1"/>
          <w:rFonts w:ascii="Garamond" w:hAnsi="Garamond"/>
          <w:sz w:val="24"/>
          <w:szCs w:val="24"/>
        </w:rPr>
        <w:t>.</w:t>
      </w:r>
    </w:p>
    <w:p w14:paraId="014E473D" w14:textId="7D5E5B45" w:rsidR="00E134C7" w:rsidRPr="00A90756" w:rsidRDefault="00E134C7" w:rsidP="00E134C7">
      <w:pPr>
        <w:pStyle w:val="AAATEXBUKUR"/>
      </w:pPr>
      <w:r w:rsidRPr="00A90756">
        <w:rPr>
          <w:rStyle w:val="Heading21"/>
          <w:rFonts w:ascii="Garamond" w:hAnsi="Garamond"/>
          <w:bCs w:val="0"/>
        </w:rPr>
        <w:t>5.4 Struktura e menaxhimit të programit</w:t>
      </w:r>
      <w:bookmarkEnd w:id="79"/>
      <w:bookmarkEnd w:id="80"/>
    </w:p>
    <w:p w14:paraId="014E473E" w14:textId="77777777" w:rsidR="00E134C7" w:rsidRPr="00A90756" w:rsidRDefault="00E134C7" w:rsidP="00E134C7">
      <w:pPr>
        <w:pStyle w:val="AAATEXBUKUR"/>
      </w:pPr>
      <w:r w:rsidRPr="00A90756">
        <w:rPr>
          <w:rStyle w:val="Bodytext1"/>
          <w:rFonts w:ascii="Garamond" w:hAnsi="Garamond"/>
          <w:sz w:val="24"/>
          <w:szCs w:val="24"/>
        </w:rPr>
        <w:t>Përshkrimi i strukturave të menaxhimit të programit me listën e përgjegjësive dhe detyrave të tyre kryesore në përgatitjen, zbatimin dhe menaxhimin e programit (p.sh. NIPAC, ZKA, Struktura e Menaxhimit, Strukturat BNK, Autoriteti Menaxhues, Autoriteti i Auditimit, Organi i Ndërmjetëm për Menaxhimin Financiar, KPM, SPT) paraqitet sipas Marrëveshjes Kornizë Financiare të Partneritetit dhe/ose Marrëveshjeve Financiare.</w:t>
      </w:r>
    </w:p>
    <w:p w14:paraId="014E473F" w14:textId="498D11B3" w:rsidR="00E134C7" w:rsidRPr="00A90756" w:rsidRDefault="00E134C7" w:rsidP="00E134C7">
      <w:pPr>
        <w:pStyle w:val="AAATEXBUKUR"/>
      </w:pPr>
      <w:r w:rsidRPr="00A90756">
        <w:rPr>
          <w:rStyle w:val="Bodytext4"/>
          <w:b w:val="0"/>
          <w:bCs w:val="0"/>
          <w:smallCaps w:val="0"/>
          <w:sz w:val="24"/>
          <w:szCs w:val="24"/>
        </w:rPr>
        <w:t xml:space="preserve">Përveç këtyre Marrëveshjeve, </w:t>
      </w:r>
      <w:r w:rsidR="0040697B" w:rsidRPr="00A90756">
        <w:rPr>
          <w:rStyle w:val="Bodytext4"/>
          <w:b w:val="0"/>
          <w:bCs w:val="0"/>
          <w:smallCaps w:val="0"/>
          <w:sz w:val="24"/>
          <w:szCs w:val="24"/>
        </w:rPr>
        <w:t xml:space="preserve">përfituesit </w:t>
      </w:r>
      <w:r w:rsidRPr="00A90756">
        <w:rPr>
          <w:rStyle w:val="Bodytext4"/>
          <w:b w:val="0"/>
          <w:bCs w:val="0"/>
          <w:smallCaps w:val="0"/>
          <w:sz w:val="24"/>
          <w:szCs w:val="24"/>
        </w:rPr>
        <w:t>do të lidhin</w:t>
      </w:r>
      <w:r w:rsidR="0040697B" w:rsidRPr="00A90756">
        <w:rPr>
          <w:rStyle w:val="Bodytext4"/>
          <w:b w:val="0"/>
          <w:bCs w:val="0"/>
          <w:smallCaps w:val="0"/>
          <w:sz w:val="24"/>
          <w:szCs w:val="24"/>
        </w:rPr>
        <w:t>,</w:t>
      </w:r>
      <w:r w:rsidRPr="00A90756">
        <w:rPr>
          <w:rStyle w:val="Bodytext4"/>
          <w:b w:val="0"/>
          <w:bCs w:val="0"/>
          <w:smallCaps w:val="0"/>
          <w:sz w:val="24"/>
          <w:szCs w:val="24"/>
        </w:rPr>
        <w:t xml:space="preserve"> për të gjithë kohëzgjatjen e programit të bashkëpunimit ndërkufitar</w:t>
      </w:r>
      <w:r w:rsidR="0040697B" w:rsidRPr="00A90756">
        <w:rPr>
          <w:rStyle w:val="Bodytext4"/>
          <w:b w:val="0"/>
          <w:bCs w:val="0"/>
          <w:smallCaps w:val="0"/>
          <w:sz w:val="24"/>
          <w:szCs w:val="24"/>
        </w:rPr>
        <w:t>,</w:t>
      </w:r>
      <w:r w:rsidRPr="00A90756">
        <w:rPr>
          <w:rStyle w:val="Bodytext4"/>
          <w:b w:val="0"/>
          <w:bCs w:val="0"/>
          <w:smallCaps w:val="0"/>
          <w:sz w:val="24"/>
          <w:szCs w:val="24"/>
        </w:rPr>
        <w:t xml:space="preserve"> një marrëveshje dypalëshe që përcakton përgjegjësitë e tyre përkatëse për zbatimin e programit përkatës të bashkëpunimit ndërkufitar</w:t>
      </w:r>
      <w:r w:rsidR="0040697B" w:rsidRPr="00A90756">
        <w:rPr>
          <w:rStyle w:val="Bodytext4"/>
          <w:b w:val="0"/>
          <w:bCs w:val="0"/>
          <w:smallCaps w:val="0"/>
          <w:sz w:val="24"/>
          <w:szCs w:val="24"/>
        </w:rPr>
        <w:t>,</w:t>
      </w:r>
      <w:r w:rsidRPr="00A90756">
        <w:rPr>
          <w:rStyle w:val="Bodytext4"/>
          <w:b w:val="0"/>
          <w:bCs w:val="0"/>
          <w:smallCaps w:val="0"/>
          <w:sz w:val="24"/>
          <w:szCs w:val="24"/>
        </w:rPr>
        <w:t xml:space="preserve"> në përputhje me dispozitat e përcaktuara në Marrëveshjen e Partneritetit Kornizë Financiare.</w:t>
      </w:r>
    </w:p>
    <w:p w14:paraId="014E4740" w14:textId="3F0066EA" w:rsidR="00E134C7" w:rsidRPr="00A90756" w:rsidRDefault="00E134C7" w:rsidP="00E134C7">
      <w:pPr>
        <w:pStyle w:val="AAATEXBUKUR"/>
        <w:rPr>
          <w:b/>
        </w:rPr>
      </w:pPr>
      <w:bookmarkStart w:id="81" w:name="bookmark126"/>
      <w:bookmarkStart w:id="82" w:name="_Toc118696877"/>
      <w:r w:rsidRPr="00C908D9">
        <w:rPr>
          <w:rStyle w:val="Heading21"/>
          <w:rFonts w:ascii="Garamond" w:hAnsi="Garamond"/>
          <w:bCs w:val="0"/>
        </w:rPr>
        <w:t>5.5</w:t>
      </w:r>
      <w:r w:rsidRPr="00A90756">
        <w:rPr>
          <w:b/>
        </w:rPr>
        <w:t xml:space="preserve"> Zhvillimi, përzgjedhja dhe zbatimi i projektit</w:t>
      </w:r>
      <w:bookmarkEnd w:id="81"/>
      <w:bookmarkEnd w:id="82"/>
    </w:p>
    <w:p w14:paraId="014E4741" w14:textId="3D3A0E22" w:rsidR="00E134C7" w:rsidRPr="00A90756" w:rsidRDefault="00E134C7" w:rsidP="00E134C7">
      <w:pPr>
        <w:pStyle w:val="AAATEXBUKUR"/>
      </w:pPr>
      <w:r w:rsidRPr="00A90756">
        <w:rPr>
          <w:rStyle w:val="Bodytext4"/>
          <w:b w:val="0"/>
          <w:bCs w:val="0"/>
          <w:smallCaps w:val="0"/>
          <w:sz w:val="24"/>
          <w:szCs w:val="24"/>
        </w:rPr>
        <w:t xml:space="preserve">Për shumicën e ndërhyrjeve, ky </w:t>
      </w:r>
      <w:r w:rsidR="0040697B" w:rsidRPr="00A90756">
        <w:rPr>
          <w:rStyle w:val="Bodytext4"/>
          <w:b w:val="0"/>
          <w:bCs w:val="0"/>
          <w:smallCaps w:val="0"/>
          <w:sz w:val="24"/>
          <w:szCs w:val="24"/>
        </w:rPr>
        <w:t xml:space="preserve">program </w:t>
      </w:r>
      <w:r w:rsidRPr="00A90756">
        <w:rPr>
          <w:rStyle w:val="Bodytext4"/>
          <w:b w:val="0"/>
          <w:bCs w:val="0"/>
          <w:smallCaps w:val="0"/>
          <w:sz w:val="24"/>
          <w:szCs w:val="24"/>
        </w:rPr>
        <w:t>do të zbatohet përmes thirrjeve publike për propozime (CfP) që do të lançohen duke mbuluar një ose më shumë prioritete tematike ose objektiva/rezultate specifike. KPM-ja do të jetë përgjegjëse për identifikimin e prioriteteve tematike, objektivat/rezultatet specifike, rezultatet/rezultatet, përfituesit e synuar dhe fokusin specifik të secilës thirrje për propozime të cilat do të miratohen nga Komisioni Evropian. Autoritetet përgjegjëse në vendet pjesëmarrëse do të sigurojnë transparencë të plotë në proces dhe akses në një gamë të gjerë subjektesh juridike publike dhe jopublike.</w:t>
      </w:r>
    </w:p>
    <w:p w14:paraId="014E4742" w14:textId="2CAA4DB1" w:rsidR="00E134C7" w:rsidRPr="00A90756" w:rsidRDefault="00E134C7" w:rsidP="00E134C7">
      <w:pPr>
        <w:pStyle w:val="AAATEXBUKUR"/>
      </w:pPr>
      <w:r w:rsidRPr="00A90756">
        <w:rPr>
          <w:rStyle w:val="Bodytext4"/>
          <w:b w:val="0"/>
          <w:bCs w:val="0"/>
          <w:smallCaps w:val="0"/>
          <w:sz w:val="24"/>
          <w:szCs w:val="24"/>
        </w:rPr>
        <w:t>Dinamika e publikimit të thirrjeve për propozime varet nga një sërë faktorësh, duke përfshirë logjistikën, kohën e vlerësimit dhe nivelin e interesit nga aplikantët e mundshëm. KPM</w:t>
      </w:r>
      <w:r w:rsidR="0040697B" w:rsidRPr="00A90756">
        <w:rPr>
          <w:rStyle w:val="Bodytext4"/>
          <w:b w:val="0"/>
          <w:bCs w:val="0"/>
          <w:smallCaps w:val="0"/>
          <w:sz w:val="24"/>
          <w:szCs w:val="24"/>
        </w:rPr>
        <w:t>-ja</w:t>
      </w:r>
      <w:r w:rsidRPr="00A90756">
        <w:rPr>
          <w:rStyle w:val="Bodytext4"/>
          <w:b w:val="0"/>
          <w:bCs w:val="0"/>
          <w:smallCaps w:val="0"/>
          <w:sz w:val="24"/>
          <w:szCs w:val="24"/>
        </w:rPr>
        <w:t xml:space="preserve">, si organi që monitoron performancën e programit, do të shqyrtojë, përpara publikimit të thirrjeve për propozime (dhe përcaktimin e dokumenteve të tenderit, p.sh. udhëzimet për aplikantët), ecurinë e </w:t>
      </w:r>
      <w:r w:rsidRPr="00C908D9">
        <w:rPr>
          <w:rStyle w:val="Bodytext4"/>
          <w:b w:val="0"/>
          <w:bCs w:val="0"/>
          <w:smallCaps w:val="0"/>
          <w:sz w:val="24"/>
          <w:szCs w:val="24"/>
        </w:rPr>
        <w:t>treguesve të programit deri në datën.</w:t>
      </w:r>
      <w:r w:rsidRPr="00A90756">
        <w:rPr>
          <w:rStyle w:val="Bodytext4"/>
          <w:b w:val="0"/>
          <w:bCs w:val="0"/>
          <w:smallCaps w:val="0"/>
          <w:sz w:val="24"/>
          <w:szCs w:val="24"/>
        </w:rPr>
        <w:t xml:space="preserve"> Përzgjedhja e TP-ve, objektivat specifike dhe rezultatet e të gjitha thirrjeve për propozime të ndryshme nga ajo e para sipas programit do të bazohen në atë progres të performancës. Publikimi dhe orientimi strategjik i çdo thirrjeje për propozime do të koordinohet me planet e programeve të tjera për të rritur sinergjitë dhe për të shmangur financimin e dyfishtë.</w:t>
      </w:r>
    </w:p>
    <w:p w14:paraId="014E4743" w14:textId="77777777" w:rsidR="00E134C7" w:rsidRPr="00A90756" w:rsidRDefault="00E134C7" w:rsidP="00E134C7">
      <w:pPr>
        <w:pStyle w:val="AAATEXBUKUR"/>
      </w:pPr>
      <w:r w:rsidRPr="00A90756">
        <w:rPr>
          <w:rStyle w:val="Bodytext4"/>
          <w:b w:val="0"/>
          <w:bCs w:val="0"/>
          <w:smallCaps w:val="0"/>
          <w:sz w:val="24"/>
          <w:szCs w:val="24"/>
        </w:rPr>
        <w:t>Vendimet e KPM-së mund të marrin parasysh gjithashtu rekomandimet që rrjedhin nga konsultimet e zhvilluara me palët e interesuara në nivel lokal dhe kombëtar.</w:t>
      </w:r>
    </w:p>
    <w:p w14:paraId="014E4744" w14:textId="4F596BC2" w:rsidR="00E134C7" w:rsidRPr="00A90756" w:rsidRDefault="00E134C7" w:rsidP="00E134C7">
      <w:pPr>
        <w:pStyle w:val="AAATEXBUKUR"/>
      </w:pPr>
      <w:r w:rsidRPr="00A90756">
        <w:rPr>
          <w:rStyle w:val="Bodytext4"/>
          <w:b w:val="0"/>
          <w:bCs w:val="0"/>
          <w:smallCaps w:val="0"/>
          <w:sz w:val="24"/>
          <w:szCs w:val="24"/>
        </w:rPr>
        <w:t>Gjatë përgatitjes së programit nuk janë identifikuar projekte strategjike. Megjithatë, gjatë periudhës së zbatimit të programit mund të konsiderohet të ndahet një pjesë e alokimit financiar të programit (maksimumi 30</w:t>
      </w:r>
      <w:r w:rsidR="00D06E61" w:rsidRPr="00A90756">
        <w:rPr>
          <w:rStyle w:val="SubtleEmphasis"/>
          <w:i w:val="0"/>
          <w:iCs w:val="0"/>
        </w:rPr>
        <w:t>–</w:t>
      </w:r>
      <w:r w:rsidRPr="00A90756">
        <w:rPr>
          <w:rStyle w:val="Bodytext4"/>
          <w:b w:val="0"/>
          <w:bCs w:val="0"/>
          <w:smallCaps w:val="0"/>
          <w:sz w:val="24"/>
          <w:szCs w:val="24"/>
        </w:rPr>
        <w:t xml:space="preserve">35%) për një ose më shumë projekte strategjike, brenda grupit tematik dhe prioriteteve tematike të identifikuara, dhe brenda kufijve të përcaktuara në Kornizën e Programimit. Projektet strategjike mund të zgjidhen përmes thirrjeve për projekte strategjike ose thirrjeve të jashtme për propozime. Në rastin e fundit, partnerët e programit do të identifikojnë së </w:t>
      </w:r>
      <w:r w:rsidRPr="00A90756">
        <w:rPr>
          <w:rStyle w:val="Bodytext4"/>
          <w:b w:val="0"/>
          <w:bCs w:val="0"/>
          <w:smallCaps w:val="0"/>
          <w:sz w:val="24"/>
          <w:szCs w:val="24"/>
        </w:rPr>
        <w:lastRenderedPageBreak/>
        <w:t>bashku dhe do të bien dakord për çdo projekt strategjik që do të miratohet nga KPM</w:t>
      </w:r>
      <w:r w:rsidR="0040697B" w:rsidRPr="00A90756">
        <w:rPr>
          <w:rStyle w:val="Bodytext4"/>
          <w:b w:val="0"/>
          <w:bCs w:val="0"/>
          <w:smallCaps w:val="0"/>
          <w:sz w:val="24"/>
          <w:szCs w:val="24"/>
        </w:rPr>
        <w:t>-ja</w:t>
      </w:r>
      <w:r w:rsidRPr="00A90756">
        <w:rPr>
          <w:rStyle w:val="Bodytext4"/>
          <w:b w:val="0"/>
          <w:bCs w:val="0"/>
          <w:smallCaps w:val="0"/>
          <w:sz w:val="24"/>
          <w:szCs w:val="24"/>
        </w:rPr>
        <w:t>. Komisioni do të kryejë një vlerësim të rëndësisë dhe maturisë së tyre. Pasi të propozohet dhe miratohet nga KPM</w:t>
      </w:r>
      <w:r w:rsidR="0040697B" w:rsidRPr="00A90756">
        <w:rPr>
          <w:rStyle w:val="Bodytext4"/>
          <w:b w:val="0"/>
          <w:bCs w:val="0"/>
          <w:smallCaps w:val="0"/>
          <w:sz w:val="24"/>
          <w:szCs w:val="24"/>
        </w:rPr>
        <w:t>-ja</w:t>
      </w:r>
      <w:r w:rsidRPr="00A90756">
        <w:rPr>
          <w:rStyle w:val="Bodytext4"/>
          <w:b w:val="0"/>
          <w:bCs w:val="0"/>
          <w:smallCaps w:val="0"/>
          <w:sz w:val="24"/>
          <w:szCs w:val="24"/>
        </w:rPr>
        <w:t xml:space="preserve"> dhe të miratohet nga Komisioni, programi BNK duhet të ndryshohet për të përfshirë një projekt të tillë strategjik.</w:t>
      </w:r>
    </w:p>
    <w:p w14:paraId="014E4745" w14:textId="77777777" w:rsidR="00E134C7" w:rsidRPr="00A90756" w:rsidRDefault="00E134C7" w:rsidP="00E134C7">
      <w:pPr>
        <w:pStyle w:val="AAATEXBUKUR"/>
        <w:rPr>
          <w:b/>
        </w:rPr>
      </w:pPr>
      <w:bookmarkStart w:id="83" w:name="bookmark129"/>
      <w:bookmarkStart w:id="84" w:name="_Toc118696878"/>
      <w:r w:rsidRPr="00A90756">
        <w:rPr>
          <w:rStyle w:val="Heading21"/>
          <w:rFonts w:ascii="Garamond" w:hAnsi="Garamond"/>
          <w:bCs w:val="0"/>
        </w:rPr>
        <w:t xml:space="preserve">5.6 </w:t>
      </w:r>
      <w:r w:rsidRPr="00A90756">
        <w:rPr>
          <w:b/>
        </w:rPr>
        <w:t>Fusha e përshtatshmërisë gjeografike për prokurime dhe grante</w:t>
      </w:r>
      <w:bookmarkEnd w:id="83"/>
      <w:bookmarkEnd w:id="84"/>
    </w:p>
    <w:p w14:paraId="014E4746" w14:textId="3AA31274" w:rsidR="00E134C7" w:rsidRPr="00A90756" w:rsidRDefault="00E134C7" w:rsidP="00E134C7">
      <w:pPr>
        <w:pStyle w:val="AAATEXBUKUR"/>
      </w:pPr>
      <w:r w:rsidRPr="00A90756">
        <w:rPr>
          <w:rStyle w:val="Bodytext4"/>
          <w:b w:val="0"/>
          <w:bCs w:val="0"/>
          <w:smallCaps w:val="0"/>
          <w:sz w:val="24"/>
          <w:szCs w:val="24"/>
        </w:rPr>
        <w:t>Përshtatshmëria gjeografike</w:t>
      </w:r>
      <w:r w:rsidR="00FB4F81" w:rsidRPr="00A90756">
        <w:rPr>
          <w:rStyle w:val="Bodytext4"/>
          <w:b w:val="0"/>
          <w:bCs w:val="0"/>
          <w:smallCaps w:val="0"/>
          <w:sz w:val="24"/>
          <w:szCs w:val="24"/>
        </w:rPr>
        <w:t>,</w:t>
      </w:r>
      <w:r w:rsidRPr="00A90756">
        <w:rPr>
          <w:rStyle w:val="Bodytext4"/>
          <w:b w:val="0"/>
          <w:bCs w:val="0"/>
          <w:smallCaps w:val="0"/>
          <w:sz w:val="24"/>
          <w:szCs w:val="24"/>
        </w:rPr>
        <w:t xml:space="preserve"> për sa i përket vendit të themelimit për pjesëmarrje në procedurat e prokurimit dhe dhënies së granteve</w:t>
      </w:r>
      <w:r w:rsidR="00FB4F81" w:rsidRPr="00A90756">
        <w:rPr>
          <w:rStyle w:val="Bodytext4"/>
          <w:b w:val="0"/>
          <w:bCs w:val="0"/>
          <w:smallCaps w:val="0"/>
          <w:sz w:val="24"/>
          <w:szCs w:val="24"/>
        </w:rPr>
        <w:t>,</w:t>
      </w:r>
      <w:r w:rsidRPr="00A90756">
        <w:rPr>
          <w:rStyle w:val="Bodytext4"/>
          <w:b w:val="0"/>
          <w:bCs w:val="0"/>
          <w:smallCaps w:val="0"/>
          <w:sz w:val="24"/>
          <w:szCs w:val="24"/>
        </w:rPr>
        <w:t xml:space="preserve"> dhe për sa i përket origjinës së furnizimeve të blera</w:t>
      </w:r>
      <w:r w:rsidR="00FB4F81" w:rsidRPr="00A90756">
        <w:rPr>
          <w:rStyle w:val="Bodytext4"/>
          <w:b w:val="0"/>
          <w:bCs w:val="0"/>
          <w:smallCaps w:val="0"/>
          <w:sz w:val="24"/>
          <w:szCs w:val="24"/>
        </w:rPr>
        <w:t>,</w:t>
      </w:r>
      <w:r w:rsidRPr="00A90756">
        <w:rPr>
          <w:rStyle w:val="Bodytext4"/>
          <w:b w:val="0"/>
          <w:bCs w:val="0"/>
          <w:smallCaps w:val="0"/>
          <w:sz w:val="24"/>
          <w:szCs w:val="24"/>
        </w:rPr>
        <w:t xml:space="preserve"> siç përcaktohet në aktin bazë dhe të përcaktuar në dokumentet përkatëse kontraktuale</w:t>
      </w:r>
      <w:r w:rsidR="00FB4F81" w:rsidRPr="00A90756">
        <w:rPr>
          <w:rStyle w:val="Bodytext4"/>
          <w:b w:val="0"/>
          <w:bCs w:val="0"/>
          <w:smallCaps w:val="0"/>
          <w:sz w:val="24"/>
          <w:szCs w:val="24"/>
        </w:rPr>
        <w:t>,</w:t>
      </w:r>
      <w:r w:rsidRPr="00A90756">
        <w:rPr>
          <w:rStyle w:val="Bodytext4"/>
          <w:b w:val="0"/>
          <w:bCs w:val="0"/>
          <w:smallCaps w:val="0"/>
          <w:sz w:val="24"/>
          <w:szCs w:val="24"/>
        </w:rPr>
        <w:t xml:space="preserve"> do të zbatohet duke iu nënshtruar dispozitave të mëposhtme.</w:t>
      </w:r>
    </w:p>
    <w:p w14:paraId="014E4747" w14:textId="4D6889AF" w:rsidR="00E134C7" w:rsidRPr="00A90756" w:rsidRDefault="00E134C7" w:rsidP="00E134C7">
      <w:pPr>
        <w:pStyle w:val="AAATEXBUKUR"/>
        <w:rPr>
          <w:rStyle w:val="Bodytext4"/>
          <w:b w:val="0"/>
          <w:bCs w:val="0"/>
          <w:smallCaps w:val="0"/>
          <w:sz w:val="24"/>
          <w:szCs w:val="24"/>
        </w:rPr>
      </w:pPr>
      <w:r w:rsidRPr="00A90756">
        <w:rPr>
          <w:rStyle w:val="Bodytext4"/>
          <w:b w:val="0"/>
          <w:bCs w:val="0"/>
          <w:smallCaps w:val="0"/>
          <w:sz w:val="24"/>
          <w:szCs w:val="24"/>
        </w:rPr>
        <w:t>Nëpunësi autorizues përgjegjës i Komisionit mund të zgjasë përshtatshmërinë gjeografike në bazë të urgjencës ose mungesës së shërbimeve në tregjet e vendeve ose territoreve në fjalë, ose në raste të tjera të vërtetuara siç duhet, kur zbatimi i rregullave të përshtatshmërisë do ta bënte të pamundur realizimin e këtij veprimi ose tepër të vështirë (</w:t>
      </w:r>
      <w:r w:rsidR="00FB4F81" w:rsidRPr="00A90756">
        <w:rPr>
          <w:rStyle w:val="Bodytext4"/>
          <w:b w:val="0"/>
          <w:bCs w:val="0"/>
          <w:smallCaps w:val="0"/>
          <w:sz w:val="24"/>
          <w:szCs w:val="24"/>
        </w:rPr>
        <w:t>n</w:t>
      </w:r>
      <w:r w:rsidRPr="00A90756">
        <w:rPr>
          <w:rStyle w:val="Bodytext4"/>
          <w:b w:val="0"/>
          <w:bCs w:val="0"/>
          <w:smallCaps w:val="0"/>
          <w:sz w:val="24"/>
          <w:szCs w:val="24"/>
        </w:rPr>
        <w:t>eni 28(10) Rregullorja NDICI-</w:t>
      </w:r>
      <w:r w:rsidRPr="00A90756">
        <w:rPr>
          <w:rStyle w:val="Bodytext4"/>
          <w:b w:val="0"/>
          <w:bCs w:val="0"/>
          <w:i/>
          <w:smallCaps w:val="0"/>
          <w:sz w:val="24"/>
          <w:szCs w:val="24"/>
        </w:rPr>
        <w:t>Global Europe</w:t>
      </w:r>
      <w:r w:rsidRPr="00A90756">
        <w:rPr>
          <w:rStyle w:val="Bodytext4"/>
          <w:b w:val="0"/>
          <w:bCs w:val="0"/>
          <w:smallCaps w:val="0"/>
          <w:sz w:val="24"/>
          <w:szCs w:val="24"/>
        </w:rPr>
        <w:t>).</w:t>
      </w:r>
      <w:bookmarkStart w:id="85" w:name="bookmark132"/>
    </w:p>
    <w:p w14:paraId="014E4748" w14:textId="27B221E4" w:rsidR="00E134C7" w:rsidRPr="00A90756" w:rsidRDefault="00E134C7" w:rsidP="00E134C7">
      <w:pPr>
        <w:pStyle w:val="AAATEXBUKUR"/>
        <w:rPr>
          <w:b/>
        </w:rPr>
      </w:pPr>
      <w:bookmarkStart w:id="86" w:name="_Toc118696879"/>
      <w:r w:rsidRPr="00A90756">
        <w:rPr>
          <w:b/>
        </w:rPr>
        <w:t xml:space="preserve">6. Raportimi, </w:t>
      </w:r>
      <w:r w:rsidR="00FB4F81" w:rsidRPr="00A90756">
        <w:rPr>
          <w:b/>
        </w:rPr>
        <w:t>monitorimi dhe vlerësimi</w:t>
      </w:r>
      <w:bookmarkEnd w:id="85"/>
      <w:bookmarkEnd w:id="86"/>
    </w:p>
    <w:p w14:paraId="014E4749" w14:textId="77777777" w:rsidR="00E134C7" w:rsidRPr="00A90756" w:rsidRDefault="00E134C7" w:rsidP="00E134C7">
      <w:pPr>
        <w:pStyle w:val="AAATEXBUKUR"/>
        <w:rPr>
          <w:rStyle w:val="Bodytext4"/>
          <w:b w:val="0"/>
          <w:bCs w:val="0"/>
          <w:smallCaps w:val="0"/>
          <w:sz w:val="24"/>
          <w:szCs w:val="24"/>
        </w:rPr>
      </w:pPr>
      <w:r w:rsidRPr="00A90756">
        <w:rPr>
          <w:rStyle w:val="Bodytext4"/>
          <w:b w:val="0"/>
          <w:bCs w:val="0"/>
          <w:smallCaps w:val="0"/>
          <w:sz w:val="24"/>
          <w:szCs w:val="24"/>
        </w:rPr>
        <w:t>Përshkrimi i kërkesave dhe modaliteteve të raportimit, monitorimit dhe vlerësimit të programit është paraqitur nën Marrëveshjen/Marrëveshjen e Partneritetit të Kornizës Financiare.</w:t>
      </w:r>
    </w:p>
    <w:p w14:paraId="014E474A" w14:textId="77777777" w:rsidR="00E134C7" w:rsidRPr="00A90756" w:rsidRDefault="00E134C7" w:rsidP="00E134C7">
      <w:pPr>
        <w:pStyle w:val="AAATEXBUKUR"/>
        <w:rPr>
          <w:b/>
        </w:rPr>
      </w:pPr>
      <w:bookmarkStart w:id="87" w:name="bookmark135"/>
      <w:bookmarkStart w:id="88" w:name="_Toc118696880"/>
      <w:r w:rsidRPr="00A90756">
        <w:rPr>
          <w:rStyle w:val="Heading11"/>
          <w:rFonts w:ascii="Garamond" w:hAnsi="Garamond"/>
          <w:bCs w:val="0"/>
          <w:smallCaps w:val="0"/>
          <w:sz w:val="24"/>
          <w:szCs w:val="24"/>
        </w:rPr>
        <w:t>7.</w:t>
      </w:r>
      <w:r w:rsidRPr="00A90756">
        <w:rPr>
          <w:rStyle w:val="Heading11"/>
          <w:rFonts w:ascii="Garamond" w:hAnsi="Garamond"/>
          <w:b w:val="0"/>
          <w:bCs w:val="0"/>
          <w:smallCaps w:val="0"/>
          <w:sz w:val="24"/>
          <w:szCs w:val="24"/>
        </w:rPr>
        <w:t xml:space="preserve"> </w:t>
      </w:r>
      <w:r w:rsidRPr="00A90756">
        <w:rPr>
          <w:b/>
        </w:rPr>
        <w:t xml:space="preserve">Informacioni dhe </w:t>
      </w:r>
      <w:bookmarkEnd w:id="87"/>
      <w:r w:rsidRPr="00A90756">
        <w:rPr>
          <w:b/>
        </w:rPr>
        <w:t>vizibiliteti</w:t>
      </w:r>
      <w:bookmarkEnd w:id="88"/>
    </w:p>
    <w:p w14:paraId="014E474B" w14:textId="44F0963A" w:rsidR="00E134C7" w:rsidRPr="00A90756" w:rsidRDefault="00E134C7" w:rsidP="00E134C7">
      <w:pPr>
        <w:pStyle w:val="AAATEXBUKUR"/>
      </w:pPr>
      <w:r w:rsidRPr="00A90756">
        <w:rPr>
          <w:rStyle w:val="Bodytext4"/>
          <w:b w:val="0"/>
          <w:bCs w:val="0"/>
          <w:smallCaps w:val="0"/>
          <w:sz w:val="24"/>
          <w:szCs w:val="24"/>
        </w:rPr>
        <w:t xml:space="preserve">Vizibiliteti i financimit të BE-së dhe komunikimi në lidhje me objektivat dhe ndikimin e </w:t>
      </w:r>
      <w:r w:rsidR="00FB4F81" w:rsidRPr="00A90756">
        <w:rPr>
          <w:rStyle w:val="Bodytext4"/>
          <w:b w:val="0"/>
          <w:bCs w:val="0"/>
          <w:smallCaps w:val="0"/>
          <w:sz w:val="24"/>
          <w:szCs w:val="24"/>
        </w:rPr>
        <w:t>v</w:t>
      </w:r>
      <w:r w:rsidRPr="00A90756">
        <w:rPr>
          <w:rStyle w:val="Bodytext4"/>
          <w:b w:val="0"/>
          <w:bCs w:val="0"/>
          <w:smallCaps w:val="0"/>
          <w:sz w:val="24"/>
          <w:szCs w:val="24"/>
        </w:rPr>
        <w:t xml:space="preserve">eprimeve janë një detyrim ligjor për të gjitha </w:t>
      </w:r>
      <w:r w:rsidR="00FB4F81" w:rsidRPr="00A90756">
        <w:rPr>
          <w:rStyle w:val="Bodytext4"/>
          <w:b w:val="0"/>
          <w:bCs w:val="0"/>
          <w:smallCaps w:val="0"/>
          <w:sz w:val="24"/>
          <w:szCs w:val="24"/>
        </w:rPr>
        <w:t>v</w:t>
      </w:r>
      <w:r w:rsidRPr="00A90756">
        <w:rPr>
          <w:rStyle w:val="Bodytext4"/>
          <w:b w:val="0"/>
          <w:bCs w:val="0"/>
          <w:smallCaps w:val="0"/>
          <w:sz w:val="24"/>
          <w:szCs w:val="24"/>
        </w:rPr>
        <w:t>eprimet e financuara nga BE-ja, siç përcaktohet në kërkesat e BE-së për komunikimin dhe vizibilitetin në fuqi.</w:t>
      </w:r>
    </w:p>
    <w:p w14:paraId="014E474C" w14:textId="04C48538" w:rsidR="00E134C7" w:rsidRPr="00A90756" w:rsidRDefault="00E134C7" w:rsidP="00E134C7">
      <w:pPr>
        <w:pStyle w:val="AAATEXBUKUR"/>
      </w:pPr>
      <w:r w:rsidRPr="00A90756">
        <w:rPr>
          <w:rStyle w:val="Bodytext4"/>
          <w:b w:val="0"/>
          <w:bCs w:val="0"/>
          <w:smallCaps w:val="0"/>
          <w:sz w:val="24"/>
          <w:szCs w:val="24"/>
        </w:rPr>
        <w:t>Në veçanti, përfituesit e fondeve të BE-së duhet të njohin origjinën e financimit të BE-së dhe të sigurojnë vizibilitetin e duhur të tij</w:t>
      </w:r>
      <w:r w:rsidR="00FB4F81" w:rsidRPr="00A90756">
        <w:rPr>
          <w:rStyle w:val="Bodytext4"/>
          <w:b w:val="0"/>
          <w:bCs w:val="0"/>
          <w:smallCaps w:val="0"/>
          <w:sz w:val="24"/>
          <w:szCs w:val="24"/>
        </w:rPr>
        <w:t>,</w:t>
      </w:r>
      <w:r w:rsidRPr="00A90756">
        <w:rPr>
          <w:rStyle w:val="Bodytext4"/>
          <w:b w:val="0"/>
          <w:bCs w:val="0"/>
          <w:smallCaps w:val="0"/>
          <w:sz w:val="24"/>
          <w:szCs w:val="24"/>
        </w:rPr>
        <w:t xml:space="preserve"> duke dhënë një deklaratë që thekson mbështetjen e marrë nga BE-ja në mënyrë të dukshme në të gjitha dokumentet dhe materialin komunikues</w:t>
      </w:r>
      <w:r w:rsidR="00FB4F81" w:rsidRPr="00A90756">
        <w:rPr>
          <w:rStyle w:val="Bodytext4"/>
          <w:b w:val="0"/>
          <w:bCs w:val="0"/>
          <w:smallCaps w:val="0"/>
          <w:sz w:val="24"/>
          <w:szCs w:val="24"/>
        </w:rPr>
        <w:t>,</w:t>
      </w:r>
      <w:r w:rsidRPr="00A90756">
        <w:rPr>
          <w:rStyle w:val="Bodytext4"/>
          <w:b w:val="0"/>
          <w:bCs w:val="0"/>
          <w:smallCaps w:val="0"/>
          <w:sz w:val="24"/>
          <w:szCs w:val="24"/>
        </w:rPr>
        <w:t xml:space="preserve"> në lidhje me zbatimin e fondeve, duke i përfshirë në faqen zyrtare të internetit dhe llogaritë e mediave sociale, ku këto ekzistojnë; dhe duke promovuar veprimet dhe rezultatet e tyre</w:t>
      </w:r>
      <w:r w:rsidR="00FB4F81" w:rsidRPr="00A90756">
        <w:rPr>
          <w:rStyle w:val="Bodytext4"/>
          <w:b w:val="0"/>
          <w:bCs w:val="0"/>
          <w:smallCaps w:val="0"/>
          <w:sz w:val="24"/>
          <w:szCs w:val="24"/>
        </w:rPr>
        <w:t>,</w:t>
      </w:r>
      <w:r w:rsidRPr="00A90756">
        <w:rPr>
          <w:rStyle w:val="Bodytext4"/>
          <w:b w:val="0"/>
          <w:bCs w:val="0"/>
          <w:smallCaps w:val="0"/>
          <w:sz w:val="24"/>
          <w:szCs w:val="24"/>
        </w:rPr>
        <w:t xml:space="preserve"> dhe duke ofruar informacion të synuar koherent, efektiv dhe proporcional për audienca të shumta, duke përfshirë edhe median.</w:t>
      </w:r>
    </w:p>
    <w:p w14:paraId="014E474D" w14:textId="77777777" w:rsidR="00E134C7" w:rsidRPr="00A90756" w:rsidRDefault="00E134C7" w:rsidP="00E134C7">
      <w:pPr>
        <w:pStyle w:val="AAATEXBUKUR"/>
      </w:pPr>
      <w:r w:rsidRPr="00A90756">
        <w:rPr>
          <w:rStyle w:val="Bodytext4"/>
          <w:b w:val="0"/>
          <w:bCs w:val="0"/>
          <w:smallCaps w:val="0"/>
          <w:sz w:val="24"/>
          <w:szCs w:val="24"/>
        </w:rPr>
        <w:t>Masat e vizibilitetit dhe komunikimit do të zbatohen, sipas rastit, nga administrata publike (për shembull, në lidhje me reformat që lidhen me mbështetjen buxhetore të BE-së), subjektet e besuara, kontraktuesit dhe përfituesit e granteve. Detyrimet e duhura kontraktuale do të përfshihen, përkatësisht, në marrëveshjet financuese, marrëveshjet e delegimit dhe kontratat e prokurimit dhe grantit.</w:t>
      </w:r>
    </w:p>
    <w:p w14:paraId="014E474E" w14:textId="0C0BA4BF" w:rsidR="00E134C7" w:rsidRPr="00A90756" w:rsidRDefault="00E134C7" w:rsidP="00E134C7">
      <w:pPr>
        <w:pStyle w:val="AAATEXBUKUR"/>
      </w:pPr>
      <w:r w:rsidRPr="00A90756">
        <w:rPr>
          <w:rStyle w:val="Bodytext4"/>
          <w:b w:val="0"/>
          <w:bCs w:val="0"/>
          <w:smallCaps w:val="0"/>
          <w:sz w:val="24"/>
          <w:szCs w:val="24"/>
        </w:rPr>
        <w:t xml:space="preserve">Masat do të bazohen në një plan specifik komunikimi dhe vizibiliteti, të krijuar dhe zbatuar në përputhje me kërkesat e BE-së për komunikim dhe vizibilitetin. Plani do të përfshijë, ndër të tjera, një narrativë komunikimi dhe mesazhe për </w:t>
      </w:r>
      <w:r w:rsidR="00433626" w:rsidRPr="00A90756">
        <w:rPr>
          <w:rStyle w:val="Bodytext4"/>
          <w:b w:val="0"/>
          <w:bCs w:val="0"/>
          <w:smallCaps w:val="0"/>
          <w:sz w:val="24"/>
          <w:szCs w:val="24"/>
        </w:rPr>
        <w:t>v</w:t>
      </w:r>
      <w:r w:rsidRPr="00A90756">
        <w:rPr>
          <w:rStyle w:val="Bodytext4"/>
          <w:b w:val="0"/>
          <w:bCs w:val="0"/>
          <w:smallCaps w:val="0"/>
          <w:sz w:val="24"/>
          <w:szCs w:val="24"/>
        </w:rPr>
        <w:t>eprimin, të përshtatura për audiencat e ndryshme të synuara (aktorët, shoqëria civile, publiku i gjerë etj.)</w:t>
      </w:r>
      <w:r w:rsidR="00433626" w:rsidRPr="00A90756">
        <w:rPr>
          <w:rStyle w:val="Bodytext4"/>
          <w:b w:val="0"/>
          <w:bCs w:val="0"/>
          <w:smallCaps w:val="0"/>
          <w:sz w:val="24"/>
          <w:szCs w:val="24"/>
        </w:rPr>
        <w:t>.</w:t>
      </w:r>
    </w:p>
    <w:p w14:paraId="014E474F" w14:textId="045540CE" w:rsidR="00E134C7" w:rsidRPr="00A90756" w:rsidRDefault="00E134C7" w:rsidP="00E134C7">
      <w:pPr>
        <w:pStyle w:val="AAATEXBUKUR"/>
      </w:pPr>
      <w:r w:rsidRPr="00A90756">
        <w:rPr>
          <w:rStyle w:val="Bodytext4"/>
          <w:b w:val="0"/>
          <w:bCs w:val="0"/>
          <w:smallCaps w:val="0"/>
          <w:sz w:val="24"/>
          <w:szCs w:val="24"/>
        </w:rPr>
        <w:t>Masat specifike t</w:t>
      </w:r>
      <w:r w:rsidR="00D06E61" w:rsidRPr="00A90756">
        <w:rPr>
          <w:rStyle w:val="Other1"/>
          <w:rFonts w:ascii="Garamond" w:hAnsi="Garamond"/>
          <w:sz w:val="24"/>
          <w:szCs w:val="24"/>
        </w:rPr>
        <w:t>ë</w:t>
      </w:r>
      <w:r w:rsidRPr="00A90756">
        <w:rPr>
          <w:rStyle w:val="Bodytext4"/>
          <w:b w:val="0"/>
          <w:bCs w:val="0"/>
          <w:smallCaps w:val="0"/>
          <w:sz w:val="24"/>
          <w:szCs w:val="24"/>
        </w:rPr>
        <w:t xml:space="preserve"> vizibilitetit dhe komunikimit për këtë </w:t>
      </w:r>
      <w:r w:rsidR="00433626" w:rsidRPr="00A90756">
        <w:rPr>
          <w:rStyle w:val="Bodytext4"/>
          <w:b w:val="0"/>
          <w:bCs w:val="0"/>
          <w:smallCaps w:val="0"/>
          <w:sz w:val="24"/>
          <w:szCs w:val="24"/>
        </w:rPr>
        <w:t>v</w:t>
      </w:r>
      <w:r w:rsidRPr="00A90756">
        <w:rPr>
          <w:rStyle w:val="Bodytext4"/>
          <w:b w:val="0"/>
          <w:bCs w:val="0"/>
          <w:smallCaps w:val="0"/>
          <w:sz w:val="24"/>
          <w:szCs w:val="24"/>
        </w:rPr>
        <w:t>eprim do të jenë plotësuese me aktivitetet më të gjera të komunikimit të zbatuara drejtpërdrejt nga shërbimet e Komisionit Evropian dhe/ose Delegacionet e BE-së. Komisioni Evropian dhe Delegacionet e BE-së duhet të jenë plotësisht të informuar për planifikimin dhe zbatimin e aktiviteteve specifike të vizibilitetit dhe komunikimit, veçanërisht në lidhje me narrativën e komunikimit dhe mesazhet kryesore.</w:t>
      </w:r>
    </w:p>
    <w:p w14:paraId="014E4750" w14:textId="0ACD8176" w:rsidR="00E134C7" w:rsidRPr="00A90756" w:rsidRDefault="00E134C7" w:rsidP="00E134C7">
      <w:pPr>
        <w:pStyle w:val="AAATEXBUKUR"/>
        <w:rPr>
          <w:rStyle w:val="Bodytext1"/>
          <w:rFonts w:ascii="Garamond" w:hAnsi="Garamond"/>
          <w:sz w:val="24"/>
          <w:szCs w:val="24"/>
        </w:rPr>
      </w:pPr>
      <w:r w:rsidRPr="00A90756">
        <w:rPr>
          <w:rStyle w:val="Bodytext1"/>
          <w:rFonts w:ascii="Garamond" w:hAnsi="Garamond"/>
          <w:sz w:val="24"/>
          <w:szCs w:val="24"/>
        </w:rPr>
        <w:t xml:space="preserve">Dizajni, zbatimi dhe komunikimi dhe vizibiliteti do të jenë përgjegjësia e </w:t>
      </w:r>
      <w:r w:rsidR="00433626" w:rsidRPr="00A90756">
        <w:rPr>
          <w:rStyle w:val="Bodytext1"/>
          <w:rFonts w:ascii="Garamond" w:hAnsi="Garamond"/>
          <w:sz w:val="24"/>
          <w:szCs w:val="24"/>
        </w:rPr>
        <w:t>s</w:t>
      </w:r>
      <w:r w:rsidRPr="00A90756">
        <w:rPr>
          <w:rStyle w:val="Bodytext1"/>
          <w:rFonts w:ascii="Garamond" w:hAnsi="Garamond"/>
          <w:sz w:val="24"/>
          <w:szCs w:val="24"/>
        </w:rPr>
        <w:t>trukturave BNK. Këto të fundit, me ndihmën edhe të SPT-së, do të prezantojë një strategji komunikimi me një informacion të detajuar dhe plan vizibiliteti për KPM-në.</w:t>
      </w:r>
    </w:p>
    <w:p w14:paraId="014E4751" w14:textId="77777777" w:rsidR="00E134C7" w:rsidRPr="00C908D9" w:rsidRDefault="00E134C7" w:rsidP="00E134C7">
      <w:pPr>
        <w:pStyle w:val="AAATEXBUKUR"/>
        <w:rPr>
          <w:b/>
        </w:rPr>
      </w:pPr>
      <w:bookmarkStart w:id="89" w:name="bookmark138"/>
      <w:bookmarkStart w:id="90" w:name="_Toc118696881"/>
      <w:r w:rsidRPr="00C908D9">
        <w:t xml:space="preserve"> </w:t>
      </w:r>
      <w:r w:rsidRPr="00C908D9">
        <w:rPr>
          <w:rStyle w:val="Heading11"/>
          <w:rFonts w:ascii="Garamond" w:hAnsi="Garamond"/>
          <w:bCs w:val="0"/>
          <w:smallCaps w:val="0"/>
          <w:sz w:val="24"/>
          <w:szCs w:val="24"/>
        </w:rPr>
        <w:t xml:space="preserve">8. </w:t>
      </w:r>
      <w:r w:rsidRPr="00C908D9">
        <w:rPr>
          <w:b/>
        </w:rPr>
        <w:t>Qëndrueshmëria</w:t>
      </w:r>
      <w:bookmarkEnd w:id="89"/>
      <w:bookmarkEnd w:id="90"/>
    </w:p>
    <w:p w14:paraId="014E4752" w14:textId="0FC8A06F" w:rsidR="00E134C7" w:rsidRPr="00A90756" w:rsidRDefault="00E134C7" w:rsidP="00E134C7">
      <w:pPr>
        <w:pStyle w:val="AAATEXBUKUR"/>
      </w:pPr>
      <w:r w:rsidRPr="00A90756">
        <w:rPr>
          <w:rStyle w:val="Bodytext4"/>
          <w:b w:val="0"/>
          <w:bCs w:val="0"/>
          <w:smallCaps w:val="0"/>
          <w:sz w:val="24"/>
          <w:szCs w:val="24"/>
        </w:rPr>
        <w:t>Qëndrueshmëria e rezultateve dhe e produkteve të ofruara në kuadër të veprimit kërkon një angazhim nga autoritetet kombëtare të përfshira në menaxhimin e programit. Duke respektuar dispozitat e kuadrit ligjor të zbatueshëm për BNK</w:t>
      </w:r>
      <w:r w:rsidR="00433626" w:rsidRPr="00A90756">
        <w:rPr>
          <w:rStyle w:val="Bodytext4"/>
          <w:b w:val="0"/>
          <w:bCs w:val="0"/>
          <w:smallCaps w:val="0"/>
          <w:sz w:val="24"/>
          <w:szCs w:val="24"/>
        </w:rPr>
        <w:t>-në</w:t>
      </w:r>
      <w:r w:rsidRPr="00A90756">
        <w:rPr>
          <w:rStyle w:val="Bodytext4"/>
          <w:b w:val="0"/>
          <w:bCs w:val="0"/>
          <w:smallCaps w:val="0"/>
          <w:sz w:val="24"/>
          <w:szCs w:val="24"/>
        </w:rPr>
        <w:t xml:space="preserve"> ndërmjet Përfituesve të IPA III, autoritetet angazhohen të sigurojnë, sa më shumë që të jetë e mundur, burimet e nevojshme financiare dhe institucionale, duke përfshirë stafin përkatës me përvojë, për ta bërë zbatimin e programit një </w:t>
      </w:r>
      <w:r w:rsidRPr="00A90756">
        <w:rPr>
          <w:rStyle w:val="Bodytext4"/>
          <w:b w:val="0"/>
          <w:bCs w:val="0"/>
          <w:smallCaps w:val="0"/>
          <w:sz w:val="24"/>
          <w:szCs w:val="24"/>
        </w:rPr>
        <w:lastRenderedPageBreak/>
        <w:t>histori suksesi. Si shenjë themelore e përgjegjësisë, ata do</w:t>
      </w:r>
      <w:r w:rsidR="00C61854" w:rsidRPr="00A90756">
        <w:rPr>
          <w:rStyle w:val="Bodytext4"/>
          <w:b w:val="0"/>
          <w:bCs w:val="0"/>
          <w:smallCaps w:val="0"/>
          <w:sz w:val="24"/>
          <w:szCs w:val="24"/>
        </w:rPr>
        <w:t xml:space="preserve"> t</w:t>
      </w:r>
      <w:r w:rsidR="00292D5B" w:rsidRPr="00A90756">
        <w:rPr>
          <w:rStyle w:val="Bodytext4"/>
          <w:b w:val="0"/>
          <w:bCs w:val="0"/>
          <w:smallCaps w:val="0"/>
          <w:sz w:val="24"/>
          <w:szCs w:val="24"/>
        </w:rPr>
        <w:t>’</w:t>
      </w:r>
      <w:r w:rsidR="00C61854" w:rsidRPr="00A90756">
        <w:rPr>
          <w:rStyle w:val="Bodytext4"/>
          <w:b w:val="0"/>
          <w:bCs w:val="0"/>
          <w:smallCaps w:val="0"/>
          <w:sz w:val="24"/>
          <w:szCs w:val="24"/>
        </w:rPr>
        <w:t xml:space="preserve">i </w:t>
      </w:r>
      <w:r w:rsidRPr="00A90756">
        <w:rPr>
          <w:rStyle w:val="Bodytext4"/>
          <w:b w:val="0"/>
          <w:bCs w:val="0"/>
          <w:smallCaps w:val="0"/>
          <w:sz w:val="24"/>
          <w:szCs w:val="24"/>
        </w:rPr>
        <w:t>kushtojnë vëmendje të veçantë krijimit të kushteve të nevojshme për sigurimin e vazhdimësisë së stafit në funksionet dhe institucionet thelbësore, si një mënyrë për të garantuar mbarëvajtjen e programit.</w:t>
      </w:r>
    </w:p>
    <w:p w14:paraId="014E4753" w14:textId="0FF74B51" w:rsidR="00E134C7" w:rsidRPr="00A90756" w:rsidRDefault="00E134C7" w:rsidP="00E134C7">
      <w:pPr>
        <w:pStyle w:val="AAATEXBUKUR"/>
      </w:pPr>
      <w:r w:rsidRPr="00A90756">
        <w:rPr>
          <w:rStyle w:val="Bodytext4"/>
          <w:b w:val="0"/>
          <w:bCs w:val="0"/>
          <w:smallCaps w:val="0"/>
          <w:sz w:val="24"/>
          <w:szCs w:val="24"/>
        </w:rPr>
        <w:t xml:space="preserve">Qëndrueshmëria në nivelin e operimit luan po aq një rol vendimtar. Çdo operacion duhet të ketë një ndikim të prekshëm në grupet e tij të synuara në nivel ndërkufitar. Qëndrueshmëria duhet të përfshihet në çdo aplikim, duke treguar se si do të përfitojë rajoni nga rezultatet e pritura edhe pasi operacioni mund të ketë përfunduar. Në çdo thirrje për propozime, një nga kriteret e dhënies është qëndrueshmëria, siç tregohet në </w:t>
      </w:r>
      <w:r w:rsidR="00433626" w:rsidRPr="00A90756">
        <w:rPr>
          <w:rStyle w:val="Bodytext4"/>
          <w:b w:val="0"/>
          <w:bCs w:val="0"/>
          <w:smallCaps w:val="0"/>
          <w:sz w:val="24"/>
          <w:szCs w:val="24"/>
        </w:rPr>
        <w:t>s</w:t>
      </w:r>
      <w:r w:rsidRPr="00A90756">
        <w:rPr>
          <w:rStyle w:val="Bodytext4"/>
          <w:b w:val="0"/>
          <w:bCs w:val="0"/>
          <w:smallCaps w:val="0"/>
          <w:sz w:val="24"/>
          <w:szCs w:val="24"/>
        </w:rPr>
        <w:t>eksionin 5 të rrjetit të vlerësimit për aplikimet e plota. Operacionet që nuk mund të demonstrojnë se do të intensifikojnë marrëdhëniet fqinjësore, do të krijojnë partneritete ndërkufitare për zhvillim social, territorial ose ekonomik</w:t>
      </w:r>
      <w:r w:rsidR="00433626" w:rsidRPr="00A90756">
        <w:rPr>
          <w:rStyle w:val="Bodytext4"/>
          <w:b w:val="0"/>
          <w:bCs w:val="0"/>
          <w:smallCaps w:val="0"/>
          <w:sz w:val="24"/>
          <w:szCs w:val="24"/>
        </w:rPr>
        <w:t>,</w:t>
      </w:r>
      <w:r w:rsidRPr="00A90756">
        <w:rPr>
          <w:rStyle w:val="Bodytext4"/>
          <w:b w:val="0"/>
          <w:bCs w:val="0"/>
          <w:smallCaps w:val="0"/>
          <w:sz w:val="24"/>
          <w:szCs w:val="24"/>
        </w:rPr>
        <w:t xml:space="preserve"> dhe/ose heqin pengesat ndërkufitare për zhvillimin e qëndrueshëm, ka shumë pak gjasa të kenë rezultate të prekshme, efekte shumëfishuese ose ndikim afatgjatë në një perspektivë ndërkufitare, dhe për këtë arsye duhet të përjashtohen nga financimi, pavarësisht nga çdo meritë tjetër.</w:t>
      </w:r>
    </w:p>
    <w:p w14:paraId="014E4754" w14:textId="77777777" w:rsidR="000D306C" w:rsidRPr="00A90756" w:rsidRDefault="000D306C" w:rsidP="00E134C7">
      <w:pPr>
        <w:pStyle w:val="AAATEXBUKUR"/>
      </w:pPr>
    </w:p>
    <w:p w14:paraId="014E4755" w14:textId="3A263D6E" w:rsidR="00382449" w:rsidRPr="00A90756" w:rsidRDefault="00382449" w:rsidP="00382449">
      <w:pPr>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 xml:space="preserve">Marrëveshje Financimi BNK në kuadër të IPA III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Shtojca II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Kushtet e Përgjithshme (v. gusht 2022)</w:t>
      </w:r>
    </w:p>
    <w:p w14:paraId="014E4756"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15C7D8BE" w14:textId="61CBC6CC" w:rsidR="00D93C5F" w:rsidRDefault="00382449" w:rsidP="00382449">
      <w:pPr>
        <w:autoSpaceDE w:val="0"/>
        <w:autoSpaceDN w:val="0"/>
        <w:adjustRightInd w:val="0"/>
        <w:spacing w:after="0" w:line="240" w:lineRule="auto"/>
        <w:ind w:firstLine="284"/>
        <w:jc w:val="center"/>
        <w:rPr>
          <w:rFonts w:ascii="Garamond" w:hAnsi="Garamond" w:cs="Times New Roman"/>
          <w:bCs/>
          <w:color w:val="000000"/>
          <w:sz w:val="24"/>
          <w:szCs w:val="24"/>
        </w:rPr>
      </w:pPr>
      <w:r w:rsidRPr="00A90756">
        <w:rPr>
          <w:rFonts w:ascii="Garamond" w:hAnsi="Garamond" w:cs="Times New Roman"/>
          <w:bCs/>
          <w:color w:val="000000"/>
          <w:sz w:val="24"/>
          <w:szCs w:val="24"/>
        </w:rPr>
        <w:t xml:space="preserve">SHTOJCA II  </w:t>
      </w:r>
    </w:p>
    <w:p w14:paraId="014E4757" w14:textId="41DB5139" w:rsidR="00382449" w:rsidRPr="00A90756" w:rsidRDefault="00382449" w:rsidP="00382449">
      <w:pPr>
        <w:autoSpaceDE w:val="0"/>
        <w:autoSpaceDN w:val="0"/>
        <w:adjustRightInd w:val="0"/>
        <w:spacing w:after="0" w:line="240" w:lineRule="auto"/>
        <w:ind w:firstLine="284"/>
        <w:jc w:val="center"/>
        <w:rPr>
          <w:rFonts w:ascii="Garamond" w:hAnsi="Garamond" w:cs="Times New Roman"/>
          <w:color w:val="000000"/>
          <w:sz w:val="24"/>
          <w:szCs w:val="24"/>
        </w:rPr>
      </w:pPr>
      <w:r w:rsidRPr="00A90756">
        <w:rPr>
          <w:rFonts w:ascii="Garamond" w:hAnsi="Garamond" w:cs="Times New Roman"/>
          <w:bCs/>
          <w:color w:val="000000"/>
          <w:sz w:val="24"/>
          <w:szCs w:val="24"/>
        </w:rPr>
        <w:t>KUSHTET E PËRGJITHSHME</w:t>
      </w:r>
    </w:p>
    <w:p w14:paraId="014E4758" w14:textId="77777777" w:rsidR="00382449" w:rsidRPr="00A90756" w:rsidRDefault="00382449" w:rsidP="00382449">
      <w:pPr>
        <w:autoSpaceDE w:val="0"/>
        <w:autoSpaceDN w:val="0"/>
        <w:adjustRightInd w:val="0"/>
        <w:spacing w:after="0" w:line="240" w:lineRule="auto"/>
        <w:ind w:firstLine="284"/>
        <w:jc w:val="center"/>
        <w:rPr>
          <w:rFonts w:ascii="Garamond" w:hAnsi="Garamond" w:cs="Times New Roman"/>
          <w:b/>
          <w:bCs/>
          <w:color w:val="000000"/>
          <w:sz w:val="24"/>
          <w:szCs w:val="24"/>
        </w:rPr>
      </w:pPr>
      <w:r w:rsidRPr="00A90756">
        <w:rPr>
          <w:rFonts w:ascii="Garamond" w:hAnsi="Garamond" w:cs="Times New Roman"/>
          <w:b/>
          <w:bCs/>
          <w:color w:val="000000"/>
          <w:sz w:val="24"/>
          <w:szCs w:val="24"/>
        </w:rPr>
        <w:t>Tabela e përmbajtjes</w:t>
      </w:r>
    </w:p>
    <w:p w14:paraId="014E4759" w14:textId="77777777" w:rsidR="00382449" w:rsidRPr="00A90756" w:rsidRDefault="00382449" w:rsidP="00382449">
      <w:pPr>
        <w:autoSpaceDE w:val="0"/>
        <w:autoSpaceDN w:val="0"/>
        <w:adjustRightInd w:val="0"/>
        <w:spacing w:after="0" w:line="240" w:lineRule="auto"/>
        <w:ind w:firstLine="284"/>
        <w:jc w:val="center"/>
        <w:rPr>
          <w:rFonts w:ascii="Garamond" w:hAnsi="Garamond" w:cs="Times New Roman"/>
          <w:color w:val="000000"/>
          <w:sz w:val="24"/>
          <w:szCs w:val="24"/>
        </w:rPr>
      </w:pPr>
    </w:p>
    <w:p w14:paraId="014E475A"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b/>
          <w:bCs/>
          <w:color w:val="000000"/>
          <w:sz w:val="24"/>
          <w:szCs w:val="24"/>
        </w:rPr>
        <w:t xml:space="preserve">Pjesa e parë: Dispozitat e përgjithshme </w:t>
      </w:r>
    </w:p>
    <w:p w14:paraId="014E475B" w14:textId="5F9AC1B3"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Periudha e ekzekutimit, periudha e zbatimit operacional dhe afati i kontraktimit</w:t>
      </w:r>
    </w:p>
    <w:p w14:paraId="014E475C" w14:textId="2BAB207F"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2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Përfituesit e IPA III dhe detyrat e tyre të përbashkëta</w:t>
      </w:r>
    </w:p>
    <w:p w14:paraId="014E475D" w14:textId="2D0D14D4"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3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Kërkesat për raportimin</w:t>
      </w:r>
    </w:p>
    <w:p w14:paraId="014E475E" w14:textId="08E06B46"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4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Komunikimi dhe vizibiliteti</w:t>
      </w:r>
    </w:p>
    <w:p w14:paraId="014E475F" w14:textId="614239B1"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5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drejtat e pronësisë intelektuale</w:t>
      </w:r>
    </w:p>
    <w:p w14:paraId="014E4760" w14:textId="1A7FC30F"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6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Legjitimiteti i shpenzimeve</w:t>
      </w:r>
    </w:p>
    <w:p w14:paraId="014E4761" w14:textId="19488B5A"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6,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 Lejet dhe autorizimet</w:t>
      </w:r>
    </w:p>
    <w:p w14:paraId="014E4762" w14:textId="0F16C73A"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b/>
          <w:bCs/>
          <w:color w:val="000000"/>
          <w:sz w:val="24"/>
          <w:szCs w:val="24"/>
        </w:rPr>
        <w:t>Pjesa e dytë: Dispozitat e zbatueshme për menaxhimin e tërthortë nga përfituesit e IPA III</w:t>
      </w:r>
    </w:p>
    <w:p w14:paraId="014E4763" w14:textId="7A893CCD"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7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Parimet e përgjithshme</w:t>
      </w:r>
    </w:p>
    <w:p w14:paraId="014E4764" w14:textId="5274FE55"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8 </w:t>
      </w:r>
      <w:r w:rsidR="00433626"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Prokurimi dhe dhënia e grantit</w:t>
      </w:r>
    </w:p>
    <w:p w14:paraId="014E4765" w14:textId="3EBE7CB3"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8,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Përjashtimi dhe sanksionet administrative</w:t>
      </w:r>
    </w:p>
    <w:p w14:paraId="014E4766" w14:textId="5DECE383"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9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Kontrollet </w:t>
      </w:r>
      <w:r w:rsidRPr="00A90756">
        <w:rPr>
          <w:rFonts w:ascii="Garamond" w:hAnsi="Garamond" w:cs="Times New Roman"/>
          <w:i/>
          <w:iCs/>
          <w:color w:val="000000"/>
          <w:sz w:val="24"/>
          <w:szCs w:val="24"/>
        </w:rPr>
        <w:t xml:space="preserve">ex-ante </w:t>
      </w:r>
      <w:r w:rsidRPr="00A90756">
        <w:rPr>
          <w:rFonts w:ascii="Garamond" w:hAnsi="Garamond" w:cs="Times New Roman"/>
          <w:color w:val="000000"/>
          <w:sz w:val="24"/>
          <w:szCs w:val="24"/>
        </w:rPr>
        <w:t xml:space="preserve">dhe </w:t>
      </w:r>
      <w:r w:rsidRPr="00A90756">
        <w:rPr>
          <w:rFonts w:ascii="Garamond" w:hAnsi="Garamond" w:cs="Times New Roman"/>
          <w:i/>
          <w:iCs/>
          <w:color w:val="000000"/>
          <w:sz w:val="24"/>
          <w:szCs w:val="24"/>
        </w:rPr>
        <w:t xml:space="preserve">ex-post </w:t>
      </w:r>
      <w:r w:rsidRPr="00A90756">
        <w:rPr>
          <w:rFonts w:ascii="Garamond" w:hAnsi="Garamond" w:cs="Times New Roman"/>
          <w:color w:val="000000"/>
          <w:sz w:val="24"/>
          <w:szCs w:val="24"/>
        </w:rPr>
        <w:t>për procedurat e granteve dhe të prokurimit</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 kontrollet </w:t>
      </w:r>
      <w:r w:rsidRPr="00A90756">
        <w:rPr>
          <w:rFonts w:ascii="Garamond" w:hAnsi="Garamond" w:cs="Times New Roman"/>
          <w:i/>
          <w:iCs/>
          <w:color w:val="000000"/>
          <w:sz w:val="24"/>
          <w:szCs w:val="24"/>
        </w:rPr>
        <w:t xml:space="preserve">ex post </w:t>
      </w:r>
      <w:r w:rsidRPr="00A90756">
        <w:rPr>
          <w:rFonts w:ascii="Garamond" w:hAnsi="Garamond" w:cs="Times New Roman"/>
          <w:color w:val="000000"/>
          <w:sz w:val="24"/>
          <w:szCs w:val="24"/>
        </w:rPr>
        <w:t>për kontratat dhe grantet që do të zbatohen nga Komisioni</w:t>
      </w:r>
    </w:p>
    <w:p w14:paraId="014E4767" w14:textId="489BADCE"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10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Llogaritë bankare, sistemet e kontabilitetit dhe kostot e njohura</w:t>
      </w:r>
    </w:p>
    <w:p w14:paraId="014E4768" w14:textId="7A49B728"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11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Dispozitat mbi pagesat e bëra nga Komisioni për përfituesin kryesor të IPA III</w:t>
      </w:r>
    </w:p>
    <w:p w14:paraId="014E4769" w14:textId="39C509CE"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12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Ndërprerja e pagesave</w:t>
      </w:r>
    </w:p>
    <w:p w14:paraId="014E476A" w14:textId="0224A25A"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13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Rikuperimi i fondeve</w:t>
      </w:r>
    </w:p>
    <w:p w14:paraId="014E476B" w14:textId="61FF0618"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13,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 Korrigjimet financiare dhe mbyllja</w:t>
      </w:r>
    </w:p>
    <w:p w14:paraId="014E476C" w14:textId="0F99B7A4"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b/>
          <w:bCs/>
          <w:color w:val="000000"/>
          <w:sz w:val="24"/>
          <w:szCs w:val="24"/>
        </w:rPr>
        <w:t>Pjesa e tretë: Dispozitat përfundimtare</w:t>
      </w:r>
    </w:p>
    <w:p w14:paraId="014E476D" w14:textId="1B8444E9"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14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Konsultimi ndërmjet përfituesve të IPA III dhe Komisionit</w:t>
      </w:r>
    </w:p>
    <w:p w14:paraId="014E476E" w14:textId="0CF5BD5F"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15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Ndryshimet e kësaj Marrëveshjeje Financimi</w:t>
      </w:r>
    </w:p>
    <w:p w14:paraId="014E476F" w14:textId="128235F8"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16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Pezullimi i kësaj Marrëveshjeje Financimi</w:t>
      </w:r>
    </w:p>
    <w:p w14:paraId="014E4770" w14:textId="19A69EFA"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Neni 17 </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Zgjidhja e kësaj Marrëveshjeje Financimi</w:t>
      </w:r>
    </w:p>
    <w:p w14:paraId="014E4771"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Neni 18 – Legjislacioni i zbatueshëm, zgjidhja e mosmarrëveshjeve</w:t>
      </w:r>
      <w:r w:rsidRPr="00A90756">
        <w:rPr>
          <w:rFonts w:ascii="Garamond" w:hAnsi="Garamond" w:cs="Times New Roman"/>
          <w:color w:val="000000"/>
          <w:sz w:val="24"/>
          <w:szCs w:val="24"/>
        </w:rPr>
        <w:tab/>
        <w:t xml:space="preserve"> </w:t>
      </w:r>
    </w:p>
    <w:p w14:paraId="014E4772" w14:textId="4F9CE01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Neni 19 – Masat kufizuese të BE-së</w:t>
      </w:r>
    </w:p>
    <w:p w14:paraId="014E4773"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p>
    <w:p w14:paraId="014E4774" w14:textId="6196796B" w:rsidR="00382449" w:rsidRPr="00A90756" w:rsidRDefault="00433626" w:rsidP="00382449">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A90756">
        <w:rPr>
          <w:rFonts w:ascii="Garamond" w:hAnsi="Garamond" w:cs="Times New Roman"/>
          <w:bCs/>
          <w:color w:val="000000"/>
          <w:sz w:val="24"/>
          <w:szCs w:val="24"/>
        </w:rPr>
        <w:t>PJESA E PARË</w:t>
      </w:r>
    </w:p>
    <w:p w14:paraId="014E4775" w14:textId="1293C85E" w:rsidR="00382449" w:rsidRPr="00A90756" w:rsidRDefault="00433626" w:rsidP="00382449">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A90756">
        <w:rPr>
          <w:rFonts w:ascii="Garamond" w:hAnsi="Garamond" w:cs="Times New Roman"/>
          <w:bCs/>
          <w:color w:val="000000"/>
          <w:sz w:val="24"/>
          <w:szCs w:val="24"/>
        </w:rPr>
        <w:t>DISPOZITAT E PËRGJITHSHME</w:t>
      </w:r>
    </w:p>
    <w:p w14:paraId="014E4776" w14:textId="77777777" w:rsidR="00382449" w:rsidRPr="00A90756" w:rsidRDefault="00382449" w:rsidP="00382449">
      <w:pPr>
        <w:autoSpaceDE w:val="0"/>
        <w:autoSpaceDN w:val="0"/>
        <w:adjustRightInd w:val="0"/>
        <w:spacing w:after="0" w:line="240" w:lineRule="auto"/>
        <w:ind w:firstLine="284"/>
        <w:outlineLvl w:val="0"/>
        <w:rPr>
          <w:rFonts w:ascii="Garamond" w:hAnsi="Garamond" w:cs="Times New Roman"/>
          <w:color w:val="000000"/>
          <w:sz w:val="24"/>
          <w:szCs w:val="24"/>
        </w:rPr>
      </w:pPr>
    </w:p>
    <w:p w14:paraId="014E4777"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w:t>
      </w:r>
    </w:p>
    <w:p w14:paraId="014E4778"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
          <w:bCs/>
          <w:color w:val="000000"/>
          <w:sz w:val="24"/>
          <w:szCs w:val="24"/>
        </w:rPr>
      </w:pPr>
      <w:r w:rsidRPr="00A90756">
        <w:rPr>
          <w:rFonts w:ascii="Garamond" w:hAnsi="Garamond" w:cs="Times New Roman"/>
          <w:b/>
          <w:bCs/>
          <w:color w:val="000000"/>
          <w:sz w:val="24"/>
          <w:szCs w:val="24"/>
        </w:rPr>
        <w:t>Periudha e ekzekutimit, periudha e zbatimit operacional dhe afati i kontraktimit</w:t>
      </w:r>
    </w:p>
    <w:p w14:paraId="014E4779"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p>
    <w:p w14:paraId="014E477A" w14:textId="77777777" w:rsidR="00382449" w:rsidRPr="00A90756" w:rsidRDefault="00382449" w:rsidP="00382449">
      <w:pPr>
        <w:tabs>
          <w:tab w:val="left" w:pos="50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Periudha e ekzekutimit të kësaj Marrëveshjeje Financimi është periudha gjatë së cilës zbatohet Marrëveshja e Financimit dhe përfshin periudhën e zbatimit operacional, si edhe fazën e mbylljes. Kohëzgjatja e periudhës së ekzekutimit përcaktohet në nenin 2, paragrafi 1 të Kushteve të Veçanta dhe fillon me hyrjen në fuqi të kësaj Marrëveshjeje Financimi.</w:t>
      </w:r>
    </w:p>
    <w:p w14:paraId="014E477B" w14:textId="77777777" w:rsidR="00382449" w:rsidRPr="00A90756" w:rsidRDefault="00382449" w:rsidP="00382449">
      <w:pPr>
        <w:tabs>
          <w:tab w:val="left" w:pos="50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Periudha e zbatimit operacional është periudha gjatë së cilës realizohen të gjitha aktivitetet operacionale të mbuluara nga kontratat e prokurimit, kontratat e granteve dhe marrëveshjet e kontributit. Kohëzgjatja e kësaj periudhe përcaktohet në nenin 2, paragrafi 2 të Kushteve të Veçanta dhe fillon me nënshkrimin e kësaj Marrëveshjeje Financimi për angazhimin buxhetor për vitin e parë ose në datën më të fundit të letërkëmbimit për angazhimet buxhetore për vitet në vijim.</w:t>
      </w:r>
    </w:p>
    <w:p w14:paraId="014E477C" w14:textId="77777777" w:rsidR="00382449" w:rsidRPr="00A90756" w:rsidRDefault="00382449" w:rsidP="00382449">
      <w:pPr>
        <w:tabs>
          <w:tab w:val="left" w:pos="50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Periudha e zbatimit operacional respektohet nga Autoriteti Kontraktor në momentin e nënshkrimit dhe vënies në zbatim të kontratave të prokurimit, kontratave të granteve dhe marrëveshjeve të kontributit në kuadër të kësaj Marrëveshjeje Financimi.</w:t>
      </w:r>
    </w:p>
    <w:p w14:paraId="014E477D" w14:textId="0010A091" w:rsidR="00382449" w:rsidRPr="00A90756" w:rsidRDefault="00382449" w:rsidP="00382449">
      <w:pPr>
        <w:tabs>
          <w:tab w:val="left" w:pos="50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4. Pa cenuar nenin 29, paragrafi 2 të MFKP-së, kostot e lidhura me aktivitetet e këtij programi të bashkëpunimit ndërkufitar kualifikohen për financim nga BE</w:t>
      </w:r>
      <w:r w:rsidR="00433626" w:rsidRPr="00A90756">
        <w:rPr>
          <w:rFonts w:ascii="Garamond" w:hAnsi="Garamond" w:cs="Times New Roman"/>
          <w:color w:val="000000"/>
          <w:sz w:val="24"/>
          <w:szCs w:val="24"/>
        </w:rPr>
        <w:t>-ja,</w:t>
      </w:r>
      <w:r w:rsidRPr="00A90756">
        <w:rPr>
          <w:rFonts w:ascii="Garamond" w:hAnsi="Garamond" w:cs="Times New Roman"/>
          <w:color w:val="000000"/>
          <w:sz w:val="24"/>
          <w:szCs w:val="24"/>
        </w:rPr>
        <w:t xml:space="preserve"> vetëm nëse janë shkaktuar gjatë periudhës së zbatimit operacional. Kostot e shkaktuara përpara hyrjes në fuqi të kësaj Marrëveshjeje Financimi nuk kualifikohen për financim nga BE</w:t>
      </w:r>
      <w:r w:rsidR="00433626" w:rsidRPr="00A90756">
        <w:rPr>
          <w:rFonts w:ascii="Garamond" w:hAnsi="Garamond" w:cs="Times New Roman"/>
          <w:color w:val="000000"/>
          <w:sz w:val="24"/>
          <w:szCs w:val="24"/>
        </w:rPr>
        <w:t>-ja</w:t>
      </w:r>
      <w:r w:rsidRPr="00A90756">
        <w:rPr>
          <w:rFonts w:ascii="Garamond" w:hAnsi="Garamond" w:cs="Times New Roman"/>
          <w:color w:val="000000"/>
          <w:sz w:val="24"/>
          <w:szCs w:val="24"/>
        </w:rPr>
        <w:t>, përveçse kur parashikohet ndryshe në nenin 7 të Kushteve të Veçanta.</w:t>
      </w:r>
    </w:p>
    <w:p w14:paraId="014E477E" w14:textId="31874482" w:rsidR="00382449" w:rsidRPr="00A90756" w:rsidRDefault="00382449" w:rsidP="00382449">
      <w:pPr>
        <w:tabs>
          <w:tab w:val="left" w:pos="50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5. Kontratat e prokurimit, kontratat e granteve dhe marrëveshjet e kontributit do të lidhen më e shumta brenda tr</w:t>
      </w:r>
      <w:r w:rsidR="00433626" w:rsidRPr="00A90756">
        <w:rPr>
          <w:rFonts w:ascii="Garamond" w:hAnsi="Garamond" w:cs="Times New Roman"/>
          <w:color w:val="000000"/>
          <w:sz w:val="24"/>
          <w:szCs w:val="24"/>
        </w:rPr>
        <w:t>i</w:t>
      </w:r>
      <w:r w:rsidRPr="00A90756">
        <w:rPr>
          <w:rFonts w:ascii="Garamond" w:hAnsi="Garamond" w:cs="Times New Roman"/>
          <w:color w:val="000000"/>
          <w:sz w:val="24"/>
          <w:szCs w:val="24"/>
        </w:rPr>
        <w:t xml:space="preserve"> viteve nga nënshkrimi i Marrëveshjes së Financimit për angazhimin buxhetor për vitin e parë ose në datën më të fundit të letërkëmbimit për angazhimet buxhetore</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për vitet në vijim, me përjashtim të:</w:t>
      </w:r>
    </w:p>
    <w:p w14:paraId="014E477F" w14:textId="77777777" w:rsidR="00382449" w:rsidRPr="00A90756" w:rsidRDefault="00382449" w:rsidP="0043362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a) ndryshimeve në angazhimet ligjore të dakordësuara më parë, të cilat nuk çojnë në rritjen e kontributit të BE-së;</w:t>
      </w:r>
    </w:p>
    <w:p w14:paraId="014E4780" w14:textId="77777777" w:rsidR="00382449" w:rsidRPr="00A90756" w:rsidRDefault="00382449" w:rsidP="0043362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angazhimeve ligjore që duhet të dakordësohen pas zgjidhjes së parakohshme të një kontrate prokurimi ekzistuese;</w:t>
      </w:r>
    </w:p>
    <w:p w14:paraId="014E4781" w14:textId="77777777" w:rsidR="00382449" w:rsidRPr="00A90756" w:rsidRDefault="00382449" w:rsidP="0043362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c) angazhimeve ligjore që lidhen me auditimin dhe vlerësimin, të cilat mund të nënshkruhen pas periudhës së zbatimit operacional;</w:t>
      </w:r>
    </w:p>
    <w:p w14:paraId="014E4782" w14:textId="3BA72773" w:rsidR="00382449" w:rsidRPr="00A90756" w:rsidRDefault="00382449" w:rsidP="0043362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w:t>
      </w:r>
      <w:r w:rsidR="00433626"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ndryshimit të subjektit zbatues</w:t>
      </w:r>
      <w:r w:rsidR="00433626" w:rsidRPr="00A90756">
        <w:rPr>
          <w:rFonts w:ascii="Garamond" w:hAnsi="Garamond" w:cs="Times New Roman"/>
          <w:color w:val="000000"/>
          <w:sz w:val="24"/>
          <w:szCs w:val="24"/>
        </w:rPr>
        <w:t>.</w:t>
      </w:r>
    </w:p>
    <w:p w14:paraId="014E4783" w14:textId="3FB5078D" w:rsidR="00382449" w:rsidRPr="00A90756" w:rsidRDefault="00382449" w:rsidP="00433626">
      <w:pPr>
        <w:tabs>
          <w:tab w:val="left" w:pos="50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6</w:t>
      </w:r>
      <w:r w:rsidR="00433626"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Kontrata e prokurimit, kontrata e grantit ose marrëveshja e kontributit që nuk ka çuar në kryerjen e asnjë pagese brenda dy viteve nga nënshkrimi i saj, zgjidhet automatikisht dhe financimi i saj do të kthehet mbrapsht, me përjashtim të rastit kur mosmarrëveshja ka vajtur në gjykatë ose në organet e arbitrazhit.</w:t>
      </w:r>
    </w:p>
    <w:p w14:paraId="014E4784" w14:textId="77777777" w:rsidR="00382449" w:rsidRPr="00A90756" w:rsidRDefault="00382449" w:rsidP="00382449">
      <w:pPr>
        <w:autoSpaceDE w:val="0"/>
        <w:autoSpaceDN w:val="0"/>
        <w:adjustRightInd w:val="0"/>
        <w:spacing w:after="0" w:line="240" w:lineRule="auto"/>
        <w:ind w:firstLine="284"/>
        <w:outlineLvl w:val="1"/>
        <w:rPr>
          <w:rFonts w:ascii="Garamond" w:hAnsi="Garamond" w:cs="Times New Roman"/>
          <w:b/>
          <w:bCs/>
          <w:color w:val="000000"/>
          <w:sz w:val="24"/>
          <w:szCs w:val="24"/>
        </w:rPr>
      </w:pPr>
    </w:p>
    <w:p w14:paraId="014E4785"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2</w:t>
      </w:r>
    </w:p>
    <w:p w14:paraId="014E4786"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Përfituesit e IPA III dhe detyrat e tyre të përbashkëta</w:t>
      </w:r>
    </w:p>
    <w:p w14:paraId="014E4787" w14:textId="77777777" w:rsidR="00382449" w:rsidRPr="00A90756" w:rsidRDefault="00382449" w:rsidP="00382449">
      <w:pPr>
        <w:autoSpaceDE w:val="0"/>
        <w:autoSpaceDN w:val="0"/>
        <w:adjustRightInd w:val="0"/>
        <w:spacing w:after="0" w:line="240" w:lineRule="auto"/>
        <w:ind w:firstLine="284"/>
        <w:jc w:val="center"/>
        <w:rPr>
          <w:rFonts w:ascii="Garamond" w:hAnsi="Garamond" w:cs="Calibri"/>
          <w:color w:val="000000"/>
          <w:sz w:val="24"/>
          <w:szCs w:val="24"/>
        </w:rPr>
      </w:pPr>
    </w:p>
    <w:p w14:paraId="014E4788" w14:textId="77777777" w:rsidR="00382449" w:rsidRPr="00A90756" w:rsidRDefault="00382449" w:rsidP="00382449">
      <w:pPr>
        <w:tabs>
          <w:tab w:val="left" w:pos="50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Siç parashikohet në nenin 76, paragrafi 3 të MFKP-ve përkatëse, përfituesit e IPA III bashkëpunojnë ngushtësisht dhe përmbushin bashkërisht funksionet, si dhe marrin përsipër përgjegjësitë e përcaktuara në MFKP.</w:t>
      </w:r>
    </w:p>
    <w:p w14:paraId="014E4789" w14:textId="77777777" w:rsidR="00382449" w:rsidRPr="00A90756" w:rsidRDefault="00382449" w:rsidP="00382449">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Për qëllime të zbatimit të nenit 25 të MFKP-së për mbrojtjen e të dhënave, të dhënat personale duhet:</w:t>
      </w:r>
    </w:p>
    <w:p w14:paraId="014E478A" w14:textId="1EEF7727" w:rsidR="00382449" w:rsidRPr="00A90756" w:rsidRDefault="00382449" w:rsidP="00382449">
      <w:pPr>
        <w:tabs>
          <w:tab w:val="left" w:pos="8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të përpunohen në mënyrë të ligjshme, të drejtë dhe transparente në lidhje me subjektin e të dhënave;</w:t>
      </w:r>
    </w:p>
    <w:p w14:paraId="014E478B" w14:textId="77777777" w:rsidR="00382449" w:rsidRPr="00A90756" w:rsidRDefault="00382449" w:rsidP="00382449">
      <w:pPr>
        <w:tabs>
          <w:tab w:val="left" w:pos="8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të mblidhen për qëllime të specifikuara, të qarta dhe të ligjshme dhe të mos përpunohen më tej në mënyrë të papajtueshme me ato qëllime;</w:t>
      </w:r>
    </w:p>
    <w:p w14:paraId="014E478C" w14:textId="77777777" w:rsidR="00382449" w:rsidRPr="00A90756" w:rsidRDefault="00382449" w:rsidP="00382449">
      <w:pPr>
        <w:tabs>
          <w:tab w:val="left" w:pos="8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të jenë të duhurat, të kenë lidhje me qëllimin dhe të kufizohen vetëm te qëllimet e nevojshme për të cilat përpunohen;</w:t>
      </w:r>
    </w:p>
    <w:p w14:paraId="014E478D" w14:textId="77777777" w:rsidR="00382449" w:rsidRPr="00A90756" w:rsidRDefault="00382449" w:rsidP="00382449">
      <w:pPr>
        <w:tabs>
          <w:tab w:val="left" w:pos="8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 të jenë të sakta dhe, sipas rastit, të ruajtura në formë të përditësuar;</w:t>
      </w:r>
    </w:p>
    <w:p w14:paraId="014E478E" w14:textId="1E60DB81" w:rsidR="00382449" w:rsidRPr="00A90756" w:rsidRDefault="00382449" w:rsidP="00382449">
      <w:pPr>
        <w:tabs>
          <w:tab w:val="left" w:pos="8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të përpunohen në mënyrë të atillë që garanton sigurinë e përshtatshme të të dhënave personale</w:t>
      </w:r>
      <w:r w:rsidR="00D06E61"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w:t>
      </w:r>
    </w:p>
    <w:p w14:paraId="014E478F" w14:textId="77777777" w:rsidR="00382449" w:rsidRPr="00A90756" w:rsidRDefault="00382449" w:rsidP="00382449">
      <w:pPr>
        <w:tabs>
          <w:tab w:val="left" w:pos="8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të ruhen në një formë të atillë që lejon identifikimin e subjekteve të të dhënave për aq kohë sa është e nevojshme për qëllimet për të cilat përpunohen të dhënat personale.</w:t>
      </w:r>
    </w:p>
    <w:p w14:paraId="014E4790" w14:textId="13124F33"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 Të dhënat personale që ndodhen në dokumentet e mbajtura nga përfituesi i IPA III</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përputhje me nenin 8, paragrafi 5</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duhet të fshihen menjëherë pas përfundimit të afateve të përcaktuara në nenin 8, paragrafi 5.</w:t>
      </w:r>
    </w:p>
    <w:p w14:paraId="014E4791" w14:textId="77777777" w:rsidR="00382449" w:rsidRPr="00A90756" w:rsidRDefault="00382449" w:rsidP="00382449">
      <w:pPr>
        <w:autoSpaceDE w:val="0"/>
        <w:autoSpaceDN w:val="0"/>
        <w:adjustRightInd w:val="0"/>
        <w:spacing w:after="0" w:line="240" w:lineRule="auto"/>
        <w:ind w:firstLine="284"/>
        <w:jc w:val="both"/>
        <w:rPr>
          <w:rFonts w:ascii="Garamond" w:hAnsi="Garamond" w:cs="Calibri"/>
          <w:color w:val="000000"/>
          <w:sz w:val="24"/>
          <w:szCs w:val="24"/>
        </w:rPr>
      </w:pPr>
    </w:p>
    <w:p w14:paraId="014E4792"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3</w:t>
      </w:r>
    </w:p>
    <w:p w14:paraId="014E4793"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Kërkesat për raportimin</w:t>
      </w:r>
    </w:p>
    <w:p w14:paraId="014E4794"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95" w14:textId="77777777"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Për qëllimet e kërkesave për raportimin të përcaktuara në nenin 80, paragrafi 1 të MFKP-ve përkatëse, strukturat e bashkëpunimit ndërkufitar përdorin modelin e dhënë në shtojcën III.</w:t>
      </w:r>
    </w:p>
    <w:p w14:paraId="014E4796" w14:textId="0752C113"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Për qëllimet e kërkesave të përgjithshme të raportimit në Komision</w:t>
      </w:r>
      <w:r w:rsidR="00433626" w:rsidRPr="00A90756">
        <w:rPr>
          <w:rFonts w:ascii="Garamond" w:hAnsi="Garamond" w:cs="Times New Roman"/>
          <w:color w:val="000000"/>
          <w:sz w:val="24"/>
          <w:szCs w:val="24"/>
        </w:rPr>
        <w:t>, të</w:t>
      </w:r>
      <w:r w:rsidRPr="00A90756">
        <w:rPr>
          <w:rFonts w:ascii="Garamond" w:hAnsi="Garamond" w:cs="Times New Roman"/>
          <w:color w:val="000000"/>
          <w:sz w:val="24"/>
          <w:szCs w:val="24"/>
        </w:rPr>
        <w:t xml:space="preserve"> përcaktuar në nenin 59 të MFKP-së për raportin vjetor mbi zbatimin e asistencës nga IPA III, në cilësinë e përfituesit kryesor të IPA III, KKIPA duhet të përdorë modelin që jepet nga Komisioni.</w:t>
      </w:r>
    </w:p>
    <w:p w14:paraId="014E4797" w14:textId="1724F2B9"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3. Për qëllimet e nenit 60 të MFKP-së, në cilësinë e përfituesit kryesor të IPA III, KKIPA i dorëzon Komisionit një raport përfundimtar mbi zbatimin e aktiviteteve të zbatuara nën menaxhimin e tërthortë nga përfituesi i IPA III i këtij </w:t>
      </w:r>
      <w:r w:rsidR="00433626" w:rsidRPr="00A90756">
        <w:rPr>
          <w:rFonts w:ascii="Garamond" w:hAnsi="Garamond" w:cs="Times New Roman"/>
          <w:color w:val="000000"/>
          <w:sz w:val="24"/>
          <w:szCs w:val="24"/>
        </w:rPr>
        <w:t>p</w:t>
      </w:r>
      <w:r w:rsidRPr="00A90756">
        <w:rPr>
          <w:rFonts w:ascii="Garamond" w:hAnsi="Garamond" w:cs="Times New Roman"/>
          <w:color w:val="000000"/>
          <w:sz w:val="24"/>
          <w:szCs w:val="24"/>
        </w:rPr>
        <w:t>rogrami jo më vonë se gjashtëmbëdhjetë muaj pas përfundimit të periudhës së zbatimit operacional. KKIPA duhet të përdorë modelin e dhënë nga Komisioni.</w:t>
      </w:r>
    </w:p>
    <w:p w14:paraId="014E4798" w14:textId="7F8057E1"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4. Për qëllimet e nenit 61, paragrafi 1 të MFKP-së, në cilësinë e përfituesit kryesor të IPA III, NPA duhet që brenda datës 15 janar të vitit pasues financiar të dorëzojë në format elektronik një kopje të të dhënave që mbahen në sistemin kontabël sipas nenit 4, paragrafi 4. Kjo duhet të mbështetet nga një raport financiar përmbledhës i nënshkruar, i paaudituar, në përputhje me germën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c</w:t>
      </w:r>
      <w:r w:rsidR="00AE64AA" w:rsidRPr="00A90756">
        <w:rPr>
          <w:rFonts w:ascii="Garamond" w:hAnsi="Garamond" w:cs="Times New Roman"/>
          <w:color w:val="000000"/>
          <w:sz w:val="24"/>
          <w:szCs w:val="24"/>
        </w:rPr>
        <w:t>”</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shtojcës IV.</w:t>
      </w:r>
    </w:p>
    <w:p w14:paraId="014E4799" w14:textId="79B8472C"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5. Për qëllimet e kërkesave për raportimin financiar nën menaxhimin e tërthortë të përcaktuara në nenin 61, paragrafi 2,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 nenin 61, paragrafi 3 të MFKP-së, në cilësinë e përfituesit kryesor të IPA III, NPA duhet të përdorë modelet e parashikuara në germat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b</w:t>
      </w:r>
      <w:r w:rsidR="00AE64AA" w:rsidRPr="00A90756">
        <w:rPr>
          <w:rFonts w:ascii="Garamond" w:hAnsi="Garamond" w:cs="Times New Roman"/>
          <w:color w:val="000000"/>
          <w:sz w:val="24"/>
          <w:szCs w:val="24"/>
        </w:rPr>
        <w:t>”</w:t>
      </w:r>
      <w:r w:rsidR="0043362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shtojcës IV.</w:t>
      </w:r>
    </w:p>
    <w:p w14:paraId="014E479A"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9B"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4</w:t>
      </w:r>
    </w:p>
    <w:p w14:paraId="014E479C"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Komunikimi dhe vizibiliteti</w:t>
      </w:r>
    </w:p>
    <w:p w14:paraId="014E479D" w14:textId="77777777" w:rsidR="00382449" w:rsidRPr="00A90756" w:rsidRDefault="00382449" w:rsidP="00382449">
      <w:pPr>
        <w:autoSpaceDE w:val="0"/>
        <w:autoSpaceDN w:val="0"/>
        <w:adjustRightInd w:val="0"/>
        <w:spacing w:after="0" w:line="240" w:lineRule="auto"/>
        <w:ind w:firstLine="284"/>
        <w:jc w:val="center"/>
        <w:rPr>
          <w:rFonts w:ascii="Garamond" w:hAnsi="Garamond" w:cs="Calibri"/>
          <w:color w:val="000000"/>
          <w:sz w:val="24"/>
          <w:szCs w:val="24"/>
        </w:rPr>
      </w:pPr>
    </w:p>
    <w:p w14:paraId="014E479E" w14:textId="36F8A620"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Në përputhje me nenin 24 të MFKP-ve përkatëse, përfituesit e IPA III duhet të marrin masat e nevojshme për të garantuar vizibilitetin e financimit nga BE</w:t>
      </w:r>
      <w:r w:rsidR="00433626" w:rsidRPr="00A90756">
        <w:rPr>
          <w:rFonts w:ascii="Garamond" w:hAnsi="Garamond" w:cs="Times New Roman"/>
          <w:color w:val="000000"/>
          <w:sz w:val="24"/>
          <w:szCs w:val="24"/>
        </w:rPr>
        <w:t>-ja</w:t>
      </w:r>
      <w:r w:rsidRPr="00A90756">
        <w:rPr>
          <w:rFonts w:ascii="Garamond" w:hAnsi="Garamond" w:cs="Times New Roman"/>
          <w:color w:val="000000"/>
          <w:sz w:val="24"/>
          <w:szCs w:val="24"/>
        </w:rPr>
        <w:t xml:space="preserve"> për aktivitetet që u janë deleguar atyre, si dhe të përgatitin një plan koherent me aktivitete komunikimi dhe vizibiliteti, i cili duhet të dorëzohet pranë Komisionit për dakordësim brenda 6 muajve nga hyrja në fuqi e kësaj Marrëveshjeje Financimi.</w:t>
      </w:r>
    </w:p>
    <w:p w14:paraId="014E479F" w14:textId="77777777"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Këto aktivitete komunikimi dhe vizibiliteti duhet të jenë në një linjë me Manualin e Komunikimeve dhe të Vizibilitetit për Aktivitetet e Jashtme të BE-së, i cili është hartuar dhe publikuar nga Komisioni dhe që është në fuqi në kohën e aktiviteteve.</w:t>
      </w:r>
    </w:p>
    <w:p w14:paraId="014E47A0"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A1"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5</w:t>
      </w:r>
    </w:p>
    <w:p w14:paraId="014E47A2"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Të drejtat e pronësisë intelektuale</w:t>
      </w:r>
    </w:p>
    <w:p w14:paraId="014E47A3" w14:textId="77777777" w:rsidR="00382449" w:rsidRPr="00A90756" w:rsidRDefault="00382449" w:rsidP="00382449">
      <w:pPr>
        <w:autoSpaceDE w:val="0"/>
        <w:autoSpaceDN w:val="0"/>
        <w:adjustRightInd w:val="0"/>
        <w:spacing w:after="0" w:line="240" w:lineRule="auto"/>
        <w:ind w:firstLine="284"/>
        <w:jc w:val="center"/>
        <w:rPr>
          <w:rFonts w:ascii="Garamond" w:hAnsi="Garamond" w:cs="Calibri"/>
          <w:color w:val="000000"/>
          <w:sz w:val="24"/>
          <w:szCs w:val="24"/>
        </w:rPr>
      </w:pPr>
    </w:p>
    <w:p w14:paraId="014E47A4" w14:textId="5977BD50"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Kontratat e financuara në kuadrin e kësaj Marrëveshjeje Financimi garantojnë që përfituesit e IPA III të fitojnë të gjitha të drejtat e nevojshme të pronësisë intelektuale</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lidhje me teknologjinë e informacionit, studimet, skicat, planet, publikimet dhe çdo material tjetër të bërë për qëllime planifikimi, zbatimi, monitorimi dhe vlerësimi.</w:t>
      </w:r>
    </w:p>
    <w:p w14:paraId="014E47A5" w14:textId="66D08C59" w:rsidR="00382449" w:rsidRPr="00A90756" w:rsidRDefault="00382449" w:rsidP="00382449">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2. Përfituesi kryesor i IPA III duhet të garantojë që Komisioni, ose cilido individ apo person tjetër i autorizuar nga Komisioni, si dhe përfituesi jokryesor i IPA III, të kenë akses dhe të drejtën për të përdorur materiale të tilla. Komisioni do</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përdorë këto materiale vetëm për qëllimet e veta.</w:t>
      </w:r>
    </w:p>
    <w:p w14:paraId="014E47A6"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A7"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6</w:t>
      </w:r>
    </w:p>
    <w:p w14:paraId="014E47A8"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Legjitimiteti i shpenzimeve</w:t>
      </w:r>
    </w:p>
    <w:p w14:paraId="014E47A9"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AB" w14:textId="04D1B3F7" w:rsidR="00382449" w:rsidRPr="00A90756" w:rsidRDefault="00382449" w:rsidP="00D06E61">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1. Në përputhje me nenin 29, paragrafi 3,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b</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MFKP-së dhe pa cenuar nenin 28 të saj dhe nenin 7 të Kushteve të Veçanta, shpenzimet vijuese të shkaktuara nga përfituesit e IPA III nuk financohen sipas kësaj Marrëveshjeje Financimi:</w:t>
      </w:r>
    </w:p>
    <w:p w14:paraId="014E47AC"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a) komisionet bankare, kostot e garancive dhe detyrimet e ngjashme;</w:t>
      </w:r>
    </w:p>
    <w:p w14:paraId="014E47AD"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b) gjobat dhe penalitetet financiare;</w:t>
      </w:r>
    </w:p>
    <w:p w14:paraId="014E47AE"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c) shpenzimet gjyqësore;</w:t>
      </w:r>
    </w:p>
    <w:p w14:paraId="014E47AF"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d) humbjet nga këmbimi valutor;</w:t>
      </w:r>
    </w:p>
    <w:p w14:paraId="014E47B0"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e) borxhet dhe tarifat e shërbimit të borxhit (interesi);</w:t>
      </w:r>
    </w:p>
    <w:p w14:paraId="014E47B1"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f) provigjionet për humbjet, borxhet ose detyrimet e ardhshme të mundshme;</w:t>
      </w:r>
    </w:p>
    <w:p w14:paraId="014E47B2"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g) kreditimi për palët e treta, përveç nëse specifikohet ndryshe në kushtet e veçanta;</w:t>
      </w:r>
    </w:p>
    <w:p w14:paraId="014E47B3"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h) interesi negativ i tarifuar nga bankat ose institucione të tjera financiare.</w:t>
      </w:r>
    </w:p>
    <w:p w14:paraId="014E47B4"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B5" w14:textId="68C18AB2"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 xml:space="preserve">Neni 6, germa </w:t>
      </w:r>
      <w:r w:rsidR="00AE64AA" w:rsidRPr="00A90756">
        <w:rPr>
          <w:rFonts w:ascii="Garamond" w:hAnsi="Garamond" w:cs="Times New Roman"/>
          <w:bCs/>
          <w:color w:val="000000"/>
          <w:sz w:val="24"/>
          <w:szCs w:val="24"/>
        </w:rPr>
        <w:t>“</w:t>
      </w:r>
      <w:r w:rsidRPr="00A90756">
        <w:rPr>
          <w:rFonts w:ascii="Garamond" w:hAnsi="Garamond" w:cs="Times New Roman"/>
          <w:bCs/>
          <w:color w:val="000000"/>
          <w:sz w:val="24"/>
          <w:szCs w:val="24"/>
        </w:rPr>
        <w:t>a</w:t>
      </w:r>
      <w:r w:rsidR="00AE64AA" w:rsidRPr="00A90756">
        <w:rPr>
          <w:rFonts w:ascii="Garamond" w:hAnsi="Garamond" w:cs="Times New Roman"/>
          <w:bCs/>
          <w:color w:val="000000"/>
          <w:sz w:val="24"/>
          <w:szCs w:val="24"/>
        </w:rPr>
        <w:t>”</w:t>
      </w:r>
    </w:p>
    <w:p w14:paraId="014E47B6"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Lejet dhe autorizimet</w:t>
      </w:r>
    </w:p>
    <w:p w14:paraId="014E47B7"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B8"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Pa cenuar nenin 27 të MFKP-së, çdo leje dhe/ose autorizim që nevojitet për zbatimin e Programit duhet të sigurohet në kohën e duhur nga autoritetet kompetente të përfituesve të IPA III, në përputhje me legjislacionin e brendshëm.</w:t>
      </w:r>
    </w:p>
    <w:p w14:paraId="014E47B9"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BA" w14:textId="64BCDAA1" w:rsidR="00382449" w:rsidRPr="00A90756" w:rsidRDefault="008A4550" w:rsidP="00382449">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A90756">
        <w:rPr>
          <w:rFonts w:ascii="Garamond" w:hAnsi="Garamond" w:cs="Times New Roman"/>
          <w:bCs/>
          <w:color w:val="000000"/>
          <w:sz w:val="24"/>
          <w:szCs w:val="24"/>
        </w:rPr>
        <w:t>PJESA E DYTË</w:t>
      </w:r>
    </w:p>
    <w:p w14:paraId="014E47BB" w14:textId="1D5992C8" w:rsidR="00382449" w:rsidRPr="00A90756" w:rsidRDefault="008A4550" w:rsidP="00382449">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A90756">
        <w:rPr>
          <w:rFonts w:ascii="Garamond" w:hAnsi="Garamond" w:cs="Times New Roman"/>
          <w:bCs/>
          <w:color w:val="000000"/>
          <w:sz w:val="24"/>
          <w:szCs w:val="24"/>
        </w:rPr>
        <w:t>DISPOZITAT E ZBATUESHME PËR MENAXHIMIN E TËRTHORTË NGA PËRFITUESIT E IPA III</w:t>
      </w:r>
    </w:p>
    <w:p w14:paraId="014E47BC"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
          <w:bCs/>
          <w:color w:val="000000"/>
          <w:sz w:val="24"/>
          <w:szCs w:val="24"/>
        </w:rPr>
      </w:pPr>
    </w:p>
    <w:p w14:paraId="014E47BD"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7</w:t>
      </w:r>
    </w:p>
    <w:p w14:paraId="014E47BE"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Parimet e përgjithshme</w:t>
      </w:r>
    </w:p>
    <w:p w14:paraId="014E47BF"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C0"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Qëllimi i pjesës së dytë është që të përcaktojë rregullat për zbatimin e detyrave të deleguara për zbatimin e buxhetit, siç përshkruhen në shtojcën I, dhe të përcaktojë të drejtat dhe detyrimet përkatëse të përfituesve të IPA III dhe të Komisionit në realizimin e këtyre detyrave.</w:t>
      </w:r>
    </w:p>
    <w:p w14:paraId="014E47C1" w14:textId="1060D528"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2. Siç parashikohet në germën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b</w:t>
      </w:r>
      <w:r w:rsidR="00AE64AA" w:rsidRPr="00A90756">
        <w:rPr>
          <w:rFonts w:ascii="Garamond" w:hAnsi="Garamond" w:cs="Times New Roman"/>
          <w:color w:val="000000"/>
          <w:sz w:val="24"/>
          <w:szCs w:val="24"/>
        </w:rPr>
        <w:t>”</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nenit 76, paragrafi 3 të MFKP-ve përkatëse, përfituesit e IPA III duhet të përgatitin bashkërisht një marrëveshje dypalëshe dhe të garantojnë zbatimin e saj.</w:t>
      </w:r>
    </w:p>
    <w:p w14:paraId="014E47C2"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Përfituesi jokryesor i IPA III bashkëpunon me përfituesin kryesor të IPA III për të garantuar përmbushjen e detyrave vijuese:</w:t>
      </w:r>
    </w:p>
    <w:p w14:paraId="014E47C3" w14:textId="6DDE127B"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a) kryerjen e ndjekjes operacionale dhe menaxhimin e veprimeve të parashikuara në germën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c</w:t>
      </w:r>
      <w:r w:rsidR="00AE64AA" w:rsidRPr="00A90756">
        <w:rPr>
          <w:rFonts w:ascii="Garamond" w:hAnsi="Garamond" w:cs="Times New Roman"/>
          <w:color w:val="000000"/>
          <w:sz w:val="24"/>
          <w:szCs w:val="24"/>
        </w:rPr>
        <w:t>”</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nenit 76, paragrafi 4 të MFKP-ve;</w:t>
      </w:r>
    </w:p>
    <w:p w14:paraId="014E47C4"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b) verifikimet në përputhje me nenin 76, paragrafi 5 të MFKP-ve;</w:t>
      </w:r>
    </w:p>
    <w:p w14:paraId="014E47C5"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c) mbrojtjen e interesit financiar të Bashkimit Evropian të parashikuar në nenin 51 të MFKP-ve.</w:t>
      </w:r>
    </w:p>
    <w:p w14:paraId="014E47C6"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4. Përfituesit e IPA III mbeten përgjegjës për përmbushjen e detyrimeve të përcaktuara në këtë Marrëveshje Financimi dhe në Marrëveshjen Financiare Kuadër të Partneritetit (MFKP). Në përputhje me nenin 12, nenin 16, nenin 17 dhe nenin 19, Komisioni rezervon të drejtën të ndërpresë pagesat dhe të pezullojë dhe/ose zgjidhë këtë Marrëveshje Financimi.</w:t>
      </w:r>
    </w:p>
    <w:p w14:paraId="014E47C7" w14:textId="7B77E64D"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41CB0E49" w14:textId="77777777" w:rsidR="008A4550" w:rsidRPr="00A90756" w:rsidRDefault="008A4550" w:rsidP="00382449">
      <w:pPr>
        <w:autoSpaceDE w:val="0"/>
        <w:autoSpaceDN w:val="0"/>
        <w:adjustRightInd w:val="0"/>
        <w:spacing w:after="0" w:line="240" w:lineRule="auto"/>
        <w:ind w:firstLine="284"/>
        <w:rPr>
          <w:rFonts w:ascii="Garamond" w:hAnsi="Garamond" w:cs="Calibri"/>
          <w:color w:val="000000"/>
          <w:sz w:val="24"/>
          <w:szCs w:val="24"/>
        </w:rPr>
      </w:pPr>
    </w:p>
    <w:p w14:paraId="014E47C8"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lastRenderedPageBreak/>
        <w:t>Neni 8</w:t>
      </w:r>
    </w:p>
    <w:p w14:paraId="014E47C9"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Prokurimi dhe dhënia e grantit</w:t>
      </w:r>
    </w:p>
    <w:p w14:paraId="014E47CA"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7CB"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Pa cenuar nenin 18, paragrafi 5 të MFKP-së, detyrat që përmenden në nenin 7, paragrafi 3 kryhen nga përfituesi kryesor i IPA III në bashkëpunim me përfituesin jokryesor të IPA III në përputhje me procedurat dhe dokumentet standarde të hartuara dhe publikuara nga Komisioni për dhënien e kontratave të prokurimit dhe granteve në aktivitetet e jashtme të Komisionit, sidomos, me udhëzuesin praktik për procedurat kontraktuale për aktivitetet e jashtme të Bashkimit Evropian (PRAG), i cili është në fuqi në momentin e nisjes së procedurës në fjalë, si edhe në përputhje me standardet e kërkuara të komunikimit dhe vizibilitetit të përmendura në nenin 4, paragrafi 2.</w:t>
      </w:r>
    </w:p>
    <w:p w14:paraId="014E47CC" w14:textId="25EFD92B"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Komisioni, në përputhje me nenin 18, paragrafi 2 të MFKP-ve dhe sipas rastit, mund</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japë përfituesit kryesor të IPA III udhëzime të mëtejshme</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për sa i përket përshtatjes së procedurave dhe dokumenteve standarde të hartuara dhe publikuara nga Komisioni për dhënien e kontratave të prokurimit dhe granteve në aktivitetet e jashtme me rastin specifik të bashkëpunimit ndërkufitar.</w:t>
      </w:r>
    </w:p>
    <w:p w14:paraId="014E47CD"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Përfituesi kryesor i IPA III kryen procedurat e prokurimit dhe të dhënies së granteve, lidh kontratat që rrjedhin prej tyre dhe garanton që të gjitha dokumentet përkatëse për gjurmimin e auditimit të jenë në gjuhën e kësaj Marrëveshjeje Financimi.</w:t>
      </w:r>
    </w:p>
    <w:p w14:paraId="014E47CE" w14:textId="7BF1C4DF"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4. Përfituesit e IPA III duhet të bashkëpunojnë plotësisht për krijimin e komiteteve të vlerësimit të parashikuara në germën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00D06E61"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nenit 76, paragrafi 4 të MFKP-ve përkatëse.</w:t>
      </w:r>
    </w:p>
    <w:p w14:paraId="014E47CF" w14:textId="7D6B0781"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5. Pa cenuar nenin 49 të MFKP-së, përfituesi kryesor i IPA III duhet që të gjitha dokumentet përkatëse mbështetëse financiare dhe kontraktuale</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që nga data e hyrjes në fuqi të kësaj Marrëveshjeje Financiare ose nga një datë më e hershme në rast se procedura e prokurimit, thirrja për propozime ose procedura direkte për dhënien e grantit ka nisur përpara hyrjes në fuqi të Marrëveshjes së Financimit,</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ruajë për pesë vite duke nisur që nga data e mbylljes së angazhimit buxhetor përkatës. Në veçanti, përfituesi kryesor i IPA III duhet të ruajë sa më poshtë vijon:</w:t>
      </w:r>
    </w:p>
    <w:p w14:paraId="014E47D0"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a) Për procedurat e prokurimit:</w:t>
      </w:r>
    </w:p>
    <w:p w14:paraId="014E47D1"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 </w:t>
      </w:r>
      <w:r w:rsidRPr="00A90756">
        <w:rPr>
          <w:rFonts w:ascii="Garamond" w:hAnsi="Garamond" w:cs="Times New Roman"/>
          <w:color w:val="000000"/>
          <w:sz w:val="24"/>
          <w:szCs w:val="24"/>
        </w:rPr>
        <w:t>Njoftimin paraprak së bashku me dëshminë e publikimit të njoftimit të prokurimit dhe çdo korrigjim;</w:t>
      </w:r>
    </w:p>
    <w:p w14:paraId="014E47D2"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ii. </w:t>
      </w:r>
      <w:r w:rsidRPr="00A90756">
        <w:rPr>
          <w:rFonts w:ascii="Garamond" w:hAnsi="Garamond" w:cs="Times New Roman"/>
          <w:color w:val="000000"/>
          <w:sz w:val="24"/>
          <w:szCs w:val="24"/>
        </w:rPr>
        <w:t>Caktimin e panelit përzgjedhës;</w:t>
      </w:r>
    </w:p>
    <w:p w14:paraId="014E47D3"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iii. </w:t>
      </w:r>
      <w:r w:rsidRPr="00A90756">
        <w:rPr>
          <w:rFonts w:ascii="Garamond" w:hAnsi="Garamond" w:cs="Times New Roman"/>
          <w:color w:val="000000"/>
          <w:sz w:val="24"/>
          <w:szCs w:val="24"/>
        </w:rPr>
        <w:t>Raportin e listës së të përzgjedhurve (përfshirë shtojcat) dhe aplikimet;</w:t>
      </w:r>
    </w:p>
    <w:p w14:paraId="014E47D4"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iv. </w:t>
      </w:r>
      <w:r w:rsidRPr="00A90756">
        <w:rPr>
          <w:rFonts w:ascii="Garamond" w:hAnsi="Garamond" w:cs="Times New Roman"/>
          <w:color w:val="000000"/>
          <w:sz w:val="24"/>
          <w:szCs w:val="24"/>
        </w:rPr>
        <w:t>Dëshminë e publikimit të njoftimit të listës së të përzgjedhurve;</w:t>
      </w:r>
    </w:p>
    <w:p w14:paraId="014E47D5"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 </w:t>
      </w:r>
      <w:r w:rsidRPr="00A90756">
        <w:rPr>
          <w:rFonts w:ascii="Garamond" w:hAnsi="Garamond" w:cs="Times New Roman"/>
          <w:color w:val="000000"/>
          <w:sz w:val="24"/>
          <w:szCs w:val="24"/>
        </w:rPr>
        <w:t>Letrat për kandidatët që nuk janë përzgjedhur;</w:t>
      </w:r>
    </w:p>
    <w:p w14:paraId="014E47D6"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vi. </w:t>
      </w:r>
      <w:r w:rsidRPr="00A90756">
        <w:rPr>
          <w:rFonts w:ascii="Garamond" w:hAnsi="Garamond" w:cs="Times New Roman"/>
          <w:color w:val="000000"/>
          <w:sz w:val="24"/>
          <w:szCs w:val="24"/>
        </w:rPr>
        <w:t>Ftesën për ofertë ose të barasvlershmen e saj;</w:t>
      </w:r>
    </w:p>
    <w:p w14:paraId="014E47D7"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vii. </w:t>
      </w:r>
      <w:r w:rsidRPr="00A90756">
        <w:rPr>
          <w:rFonts w:ascii="Garamond" w:hAnsi="Garamond" w:cs="Times New Roman"/>
          <w:color w:val="000000"/>
          <w:sz w:val="24"/>
          <w:szCs w:val="24"/>
        </w:rPr>
        <w:t>Dosjen e tenderit duke përfshirë shtojcat, sqarimet, procesverbalet e mbledhjeve, dëshminë e publikimit;</w:t>
      </w:r>
    </w:p>
    <w:p w14:paraId="014E47D8"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viii. </w:t>
      </w:r>
      <w:r w:rsidRPr="00A90756">
        <w:rPr>
          <w:rFonts w:ascii="Garamond" w:hAnsi="Garamond" w:cs="Times New Roman"/>
          <w:color w:val="000000"/>
          <w:sz w:val="24"/>
          <w:szCs w:val="24"/>
        </w:rPr>
        <w:t>Caktimin e komitetit të vlerësimit;</w:t>
      </w:r>
    </w:p>
    <w:p w14:paraId="014E47D9"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ix. </w:t>
      </w:r>
      <w:r w:rsidRPr="00A90756">
        <w:rPr>
          <w:rFonts w:ascii="Garamond" w:hAnsi="Garamond" w:cs="Times New Roman"/>
          <w:color w:val="000000"/>
          <w:sz w:val="24"/>
          <w:szCs w:val="24"/>
        </w:rPr>
        <w:t>Raportin për hapjen e tenderit duke përfshirë shtojcat;</w:t>
      </w:r>
    </w:p>
    <w:p w14:paraId="014E47DA"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x. </w:t>
      </w:r>
      <w:r w:rsidRPr="00A90756">
        <w:rPr>
          <w:rFonts w:ascii="Garamond" w:hAnsi="Garamond" w:cs="Times New Roman"/>
          <w:color w:val="000000"/>
          <w:sz w:val="24"/>
          <w:szCs w:val="24"/>
        </w:rPr>
        <w:t>Raportin e vlerësimit/negocimit, duke përfshirë shtojcat dhe ofertat e marra</w:t>
      </w:r>
      <w:r w:rsidRPr="00A90756">
        <w:rPr>
          <w:rStyle w:val="FootnoteReference"/>
          <w:rFonts w:ascii="Garamond" w:hAnsi="Garamond" w:cs="Times New Roman"/>
          <w:color w:val="000000"/>
          <w:sz w:val="24"/>
          <w:szCs w:val="24"/>
        </w:rPr>
        <w:footnoteReference w:id="31"/>
      </w:r>
      <w:r w:rsidRPr="00A90756">
        <w:rPr>
          <w:rFonts w:ascii="Garamond" w:hAnsi="Garamond" w:cs="Times New Roman"/>
          <w:color w:val="000000"/>
          <w:sz w:val="24"/>
          <w:szCs w:val="24"/>
        </w:rPr>
        <w:t>;</w:t>
      </w:r>
    </w:p>
    <w:p w14:paraId="014E47DB"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xi. </w:t>
      </w:r>
      <w:r w:rsidRPr="00A90756">
        <w:rPr>
          <w:rFonts w:ascii="Garamond" w:hAnsi="Garamond" w:cs="Times New Roman"/>
          <w:color w:val="000000"/>
          <w:sz w:val="24"/>
          <w:szCs w:val="24"/>
        </w:rPr>
        <w:t>Letrën e njoftimit;</w:t>
      </w:r>
    </w:p>
    <w:p w14:paraId="014E47DC"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xii. </w:t>
      </w:r>
      <w:r w:rsidRPr="00A90756">
        <w:rPr>
          <w:rFonts w:ascii="Garamond" w:hAnsi="Garamond" w:cs="Times New Roman"/>
          <w:color w:val="000000"/>
          <w:sz w:val="24"/>
          <w:szCs w:val="24"/>
        </w:rPr>
        <w:t>Letrën përcjellëse për dorëzimin e kontratës;</w:t>
      </w:r>
    </w:p>
    <w:p w14:paraId="014E47DD"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xiii. </w:t>
      </w:r>
      <w:r w:rsidRPr="00A90756">
        <w:rPr>
          <w:rFonts w:ascii="Garamond" w:hAnsi="Garamond" w:cs="Times New Roman"/>
          <w:color w:val="000000"/>
          <w:sz w:val="24"/>
          <w:szCs w:val="24"/>
        </w:rPr>
        <w:t>Letrat për kandidatët e pasuksesshëm;</w:t>
      </w:r>
    </w:p>
    <w:p w14:paraId="014E47DE"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xiv. </w:t>
      </w:r>
      <w:r w:rsidRPr="00A90756">
        <w:rPr>
          <w:rFonts w:ascii="Garamond" w:hAnsi="Garamond" w:cs="Times New Roman"/>
          <w:color w:val="000000"/>
          <w:sz w:val="24"/>
          <w:szCs w:val="24"/>
        </w:rPr>
        <w:t>Njoftimin për shpalljen e fituesit/anulimin, duke përfshirë dëshminë e publikimit;</w:t>
      </w:r>
    </w:p>
    <w:p w14:paraId="014E47DF"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xv. </w:t>
      </w:r>
      <w:r w:rsidRPr="00A90756">
        <w:rPr>
          <w:rFonts w:ascii="Garamond" w:hAnsi="Garamond" w:cs="Times New Roman"/>
          <w:color w:val="000000"/>
          <w:sz w:val="24"/>
          <w:szCs w:val="24"/>
        </w:rPr>
        <w:t>Kontratat e nënshkruara, ndryshimet, klauzolat shtesë, raportet e zbatimit dhe korrespondencat përkatëse.</w:t>
      </w:r>
    </w:p>
    <w:p w14:paraId="014E47E0"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Për thirrjet për propozime dhe procedurat direkte për dhënien e granteve:</w:t>
      </w:r>
    </w:p>
    <w:p w14:paraId="014E47E1"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 </w:t>
      </w:r>
      <w:r w:rsidRPr="00A90756">
        <w:rPr>
          <w:rFonts w:ascii="Garamond" w:hAnsi="Garamond" w:cs="Times New Roman"/>
          <w:color w:val="000000"/>
          <w:sz w:val="24"/>
          <w:szCs w:val="24"/>
        </w:rPr>
        <w:t>Caktimin e komitetit të vlerësimit;</w:t>
      </w:r>
    </w:p>
    <w:p w14:paraId="014E47E2"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ii. </w:t>
      </w:r>
      <w:r w:rsidRPr="00A90756">
        <w:rPr>
          <w:rFonts w:ascii="Garamond" w:hAnsi="Garamond" w:cs="Times New Roman"/>
          <w:color w:val="000000"/>
          <w:sz w:val="24"/>
          <w:szCs w:val="24"/>
        </w:rPr>
        <w:t>Raportin e hapjes së tenderit dhe atë administrativ, duke përfshirë shtojcat dhe aplikimet e marra</w:t>
      </w:r>
      <w:r w:rsidRPr="00A90756">
        <w:rPr>
          <w:rStyle w:val="FootnoteReference"/>
          <w:rFonts w:ascii="Garamond" w:hAnsi="Garamond" w:cs="Times New Roman"/>
          <w:color w:val="000000"/>
          <w:sz w:val="24"/>
          <w:szCs w:val="24"/>
        </w:rPr>
        <w:footnoteReference w:id="32"/>
      </w:r>
      <w:r w:rsidRPr="00A90756">
        <w:rPr>
          <w:rFonts w:ascii="Garamond" w:hAnsi="Garamond" w:cs="Times New Roman"/>
          <w:color w:val="000000"/>
          <w:sz w:val="24"/>
          <w:szCs w:val="24"/>
        </w:rPr>
        <w:t>;</w:t>
      </w:r>
    </w:p>
    <w:p w14:paraId="014E47E3" w14:textId="77777777" w:rsidR="00382449" w:rsidRPr="00A90756" w:rsidRDefault="00382449" w:rsidP="00382449">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lastRenderedPageBreak/>
        <w:t xml:space="preserve">iii. </w:t>
      </w:r>
      <w:r w:rsidRPr="00A90756">
        <w:rPr>
          <w:rFonts w:ascii="Garamond" w:hAnsi="Garamond" w:cs="Times New Roman"/>
          <w:color w:val="000000"/>
          <w:sz w:val="24"/>
          <w:szCs w:val="24"/>
        </w:rPr>
        <w:t>Letrat për aplikantët e suksesshëm dhe të pasuksesshëm pas vlerësimit të prospektit;</w:t>
      </w:r>
    </w:p>
    <w:p w14:paraId="014E47E4" w14:textId="77777777" w:rsidR="00382449" w:rsidRPr="00A90756" w:rsidRDefault="00382449" w:rsidP="008A4550">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iv. </w:t>
      </w:r>
      <w:r w:rsidRPr="00A90756">
        <w:rPr>
          <w:rFonts w:ascii="Garamond" w:hAnsi="Garamond" w:cs="Times New Roman"/>
          <w:color w:val="000000"/>
          <w:sz w:val="24"/>
          <w:szCs w:val="24"/>
        </w:rPr>
        <w:t>Raportin e vlerësimit të prospektit;</w:t>
      </w:r>
    </w:p>
    <w:p w14:paraId="014E47E5" w14:textId="77777777" w:rsidR="00382449" w:rsidRPr="00A90756" w:rsidRDefault="00382449" w:rsidP="008A4550">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 </w:t>
      </w:r>
      <w:r w:rsidRPr="00A90756">
        <w:rPr>
          <w:rFonts w:ascii="Garamond" w:hAnsi="Garamond" w:cs="Times New Roman"/>
          <w:color w:val="000000"/>
          <w:sz w:val="24"/>
          <w:szCs w:val="24"/>
        </w:rPr>
        <w:t>Raportin e vlerësimit të aplikimit të plotë ose raportin e negocimit me shtojcat përkatëse;</w:t>
      </w:r>
    </w:p>
    <w:p w14:paraId="014E47E6" w14:textId="77777777" w:rsidR="00382449" w:rsidRPr="00A90756" w:rsidRDefault="00382449" w:rsidP="008A4550">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vi. </w:t>
      </w:r>
      <w:r w:rsidRPr="00A90756">
        <w:rPr>
          <w:rFonts w:ascii="Garamond" w:hAnsi="Garamond" w:cs="Times New Roman"/>
          <w:color w:val="000000"/>
          <w:sz w:val="24"/>
          <w:szCs w:val="24"/>
        </w:rPr>
        <w:t>Kontrollin e legjitimitetit dhe dokumentet mbështetëse;</w:t>
      </w:r>
    </w:p>
    <w:p w14:paraId="014E47E7" w14:textId="77777777" w:rsidR="00382449" w:rsidRPr="00A90756" w:rsidRDefault="00382449" w:rsidP="008A4550">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vii. </w:t>
      </w:r>
      <w:r w:rsidRPr="00A90756">
        <w:rPr>
          <w:rFonts w:ascii="Garamond" w:hAnsi="Garamond" w:cs="Times New Roman"/>
          <w:color w:val="000000"/>
          <w:sz w:val="24"/>
          <w:szCs w:val="24"/>
        </w:rPr>
        <w:t>Letrat për aplikantët e suksesshëm dhe të pasuksesshëm së bashku me listën e miratuar rezervë pas vlerësimit të plotë të aplikimit;</w:t>
      </w:r>
    </w:p>
    <w:p w14:paraId="014E47E8" w14:textId="77777777" w:rsidR="00382449" w:rsidRPr="00A90756" w:rsidRDefault="00382449" w:rsidP="008A4550">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viii. </w:t>
      </w:r>
      <w:r w:rsidRPr="00A90756">
        <w:rPr>
          <w:rFonts w:ascii="Garamond" w:hAnsi="Garamond" w:cs="Times New Roman"/>
          <w:color w:val="000000"/>
          <w:sz w:val="24"/>
          <w:szCs w:val="24"/>
        </w:rPr>
        <w:t>Letrën përcjellëse për dorëzimin e kontratës së grantit;</w:t>
      </w:r>
    </w:p>
    <w:p w14:paraId="014E47E9" w14:textId="77777777" w:rsidR="00382449" w:rsidRPr="00A90756" w:rsidRDefault="00382449" w:rsidP="008A4550">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ix. </w:t>
      </w:r>
      <w:r w:rsidRPr="00A90756">
        <w:rPr>
          <w:rFonts w:ascii="Garamond" w:hAnsi="Garamond" w:cs="Times New Roman"/>
          <w:color w:val="000000"/>
          <w:sz w:val="24"/>
          <w:szCs w:val="24"/>
        </w:rPr>
        <w:t>Njoftimin për shpalljen e fituesit/anulimin së bashku me dëshminë e publikimit;</w:t>
      </w:r>
    </w:p>
    <w:p w14:paraId="014E47EA" w14:textId="77777777" w:rsidR="00382449" w:rsidRPr="00A90756" w:rsidRDefault="00382449" w:rsidP="008A4550">
      <w:pPr>
        <w:tabs>
          <w:tab w:val="left" w:pos="152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pacing w:val="15"/>
          <w:sz w:val="24"/>
          <w:szCs w:val="24"/>
        </w:rPr>
        <w:t xml:space="preserve">x. </w:t>
      </w:r>
      <w:r w:rsidRPr="00A90756">
        <w:rPr>
          <w:rFonts w:ascii="Garamond" w:hAnsi="Garamond" w:cs="Times New Roman"/>
          <w:color w:val="000000"/>
          <w:sz w:val="24"/>
          <w:szCs w:val="24"/>
        </w:rPr>
        <w:t>Kontratat e nënshkruara, ndryshimet, klauzolat shtesë dhe korrespondencat përkatëse.</w:t>
      </w:r>
    </w:p>
    <w:p w14:paraId="014E47EB" w14:textId="0E0BEB9C" w:rsidR="00382449" w:rsidRPr="00A90756" w:rsidRDefault="00382449" w:rsidP="008A4550">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Gjithashtu, dokumentet financiare dhe kontraktuale të përmendura në paragrafin 5,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b</w:t>
      </w:r>
      <w:r w:rsidR="00AE64AA" w:rsidRPr="00A90756">
        <w:rPr>
          <w:rFonts w:ascii="Garamond" w:hAnsi="Garamond" w:cs="Times New Roman"/>
          <w:color w:val="000000"/>
          <w:sz w:val="24"/>
          <w:szCs w:val="24"/>
        </w:rPr>
        <w:t>”</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këtij neni do të plotësohen me të gjitha dokumentet mbështetëse përkatëse siç kërkohet nga procedurat e përmendura në paragrafin 1, si dhe me të gjithë dokumentacionin përkatës në lidhje me pagesat, rikuperimet dhe kostot operacionale, për shembull raportet e kontrollit të projektit dhe në terren, pranimi i furnizimeve dhe punimeve, garancitë, autorizimet, raportet e inxhinierëve mbikëqyrës.</w:t>
      </w:r>
    </w:p>
    <w:p w14:paraId="014E47EC"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p>
    <w:p w14:paraId="014E47ED" w14:textId="716E45D8"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 xml:space="preserve">Neni 8, germa </w:t>
      </w:r>
      <w:r w:rsidR="00AE64AA" w:rsidRPr="00A90756">
        <w:rPr>
          <w:rFonts w:ascii="Garamond" w:hAnsi="Garamond" w:cs="Times New Roman"/>
          <w:bCs/>
          <w:color w:val="000000"/>
          <w:sz w:val="24"/>
          <w:szCs w:val="24"/>
        </w:rPr>
        <w:t>“</w:t>
      </w:r>
      <w:r w:rsidRPr="00A90756">
        <w:rPr>
          <w:rFonts w:ascii="Garamond" w:hAnsi="Garamond" w:cs="Times New Roman"/>
          <w:bCs/>
          <w:color w:val="000000"/>
          <w:sz w:val="24"/>
          <w:szCs w:val="24"/>
        </w:rPr>
        <w:t>a</w:t>
      </w:r>
      <w:r w:rsidR="00AE64AA" w:rsidRPr="00A90756">
        <w:rPr>
          <w:rFonts w:ascii="Garamond" w:hAnsi="Garamond" w:cs="Times New Roman"/>
          <w:bCs/>
          <w:color w:val="000000"/>
          <w:sz w:val="24"/>
          <w:szCs w:val="24"/>
        </w:rPr>
        <w:t>”</w:t>
      </w:r>
    </w:p>
    <w:p w14:paraId="014E47EE"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
          <w:bCs/>
          <w:color w:val="000000"/>
          <w:sz w:val="24"/>
          <w:szCs w:val="24"/>
        </w:rPr>
      </w:pPr>
      <w:r w:rsidRPr="00A90756">
        <w:rPr>
          <w:rFonts w:ascii="Garamond" w:hAnsi="Garamond" w:cs="Times New Roman"/>
          <w:b/>
          <w:bCs/>
          <w:color w:val="000000"/>
          <w:sz w:val="24"/>
          <w:szCs w:val="24"/>
        </w:rPr>
        <w:t>Përjashtimi dhe sanksionet administrative</w:t>
      </w:r>
    </w:p>
    <w:p w14:paraId="014E47EF" w14:textId="77777777" w:rsidR="00382449" w:rsidRPr="00A90756" w:rsidRDefault="00382449" w:rsidP="00382449">
      <w:pPr>
        <w:autoSpaceDE w:val="0"/>
        <w:autoSpaceDN w:val="0"/>
        <w:adjustRightInd w:val="0"/>
        <w:spacing w:after="0" w:line="240" w:lineRule="auto"/>
        <w:ind w:firstLine="284"/>
        <w:outlineLvl w:val="1"/>
        <w:rPr>
          <w:rFonts w:ascii="Garamond" w:hAnsi="Garamond" w:cs="Times New Roman"/>
          <w:color w:val="000000"/>
          <w:sz w:val="24"/>
          <w:szCs w:val="24"/>
        </w:rPr>
      </w:pPr>
    </w:p>
    <w:p w14:paraId="014E47F0" w14:textId="7A5A6A01"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Gjatë zbatimit të procedurave dhe dokumenteve standarde</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hartuara dhe publikuara nga Komisioni për dhënien e kontratave të prokurimit dhe granteve, përfituesi kryesor i IPA III garanton përkatësisht që asnjë kontratë prokurimi ose granti e financuar nga BE-ja të mos i jepet një operatori ekonomik ose aplikanti për grant nëse operatori ekonomik apo aplikanti për grant, qoftë ai vetë apo një person me kompetenca përfaqësimi, vendimmarrjeje ose kontrolli mbi të, gjendet në një nga situatat e përjashtimit të parashikuara në procedurat dhe dokumentet përkatëse standarde të Komisionit.</w:t>
      </w:r>
    </w:p>
    <w:p w14:paraId="014E47F1"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Përfituesi kryesor i IPA III duhet të informojë menjëherë Komisionin në rastin kur një kandidat, ofertues ose aplikant gjendet në një situatë përjashtimi të përmendur në paragrafin 1, ose ka kryer parregullsi dhe mashtrim sipas përcaktimit në nenin 51, paragrafi 5 të MFKP-së, ose ka shfaqur mangësi të theksuara në respektimin e detyrimit kryesor për zbatimin e angazhimit ligjor të financuar nga buxheti i Bashkimit Evropian.</w:t>
      </w:r>
    </w:p>
    <w:p w14:paraId="014E47F2" w14:textId="47A78D0C"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3. Në momentin që jep kontratat e prokurimit dhe të granteve, përfituesi kryesor i IPA III duhet të marrë në konsideratë informacionin që përmban Sistemi i Zbulimit të Hershëm dhe Përjashtimit (SZHP) i Komisionit. Aksesi në informacion mund të sigurohet nëpërmjet pikave të ndërlidhjes ose përmes konsultimit me anë të mjeteve vijuese: ((Komisioni Evropian, Drejtoria e Përgjithshme për Buxhetin, Oficeri përgjegjës për Kontabilitetin në Komision, MO15, B-1049 Bruksel, Belgjikë (European Commission, Directorate-General for Budget, Accounting Officer of the Commission, MO15, B-1049 Brussels, Belgium)) dhe nëpërmjet </w:t>
      </w:r>
      <w:r w:rsidRPr="00A90756">
        <w:rPr>
          <w:rFonts w:ascii="Garamond" w:hAnsi="Garamond" w:cs="Times New Roman"/>
          <w:i/>
          <w:color w:val="000000"/>
          <w:sz w:val="24"/>
          <w:szCs w:val="24"/>
        </w:rPr>
        <w:t>email</w:t>
      </w:r>
      <w:r w:rsidR="008A4550"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it në adresën BUDG-C01-EXCL- DB@ec.europa.eu duke vendosur në cc (për dijeni) edhe adresën e Komisionit të identifikuar në nenin 3 të Kushteve të Veçanta). Çdo kontratë ose grant i lidhur me një kontraktor ose përfitues granti që gjendet në një situatë përjashtimi në momentin e lidhjes së kontratës duhet të përjashtohet nga financimi i Bashkimit Evropian dhe mekanizmi i korrigjimeve financiare mund të vihet në zbatim në përputhje me nenin 13,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w:t>
      </w:r>
    </w:p>
    <w:p w14:paraId="014E47F3" w14:textId="20E1A6C4"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4. Kur përfituesi kryesor i IPA III vihet në dijeni të një situate përjashtimi të përmendur në paragrafin 1 për zbatimin e detyrave të përshkruara në shtojcën I, përfituesi kryesor i IPA III vendos, sipas kushteve të legjislacionit të brendshëm, refuzimin e operatorit ekonomik ose të aplikantit për grant nga procedura në fjalë dhe përjashtimin nga procedurat e tij të ardhshme të prokurimit ose dhënies së grantit. Gjithashtu, përfituesi kryesor i IPA III mund të vendosë një penalitet financiar në përpjesëtim me vlerën e kontratës në fjalë. Refuzimet, përjashtimet dhe/ose penalitetet financiare duhet të vendosen pas një procesi ankimimi, që garanton të drejtën e personit </w:t>
      </w:r>
      <w:r w:rsidRPr="00A90756">
        <w:rPr>
          <w:rFonts w:ascii="Garamond" w:hAnsi="Garamond" w:cs="Times New Roman"/>
          <w:color w:val="000000"/>
          <w:sz w:val="24"/>
          <w:szCs w:val="24"/>
        </w:rPr>
        <w:lastRenderedPageBreak/>
        <w:t>në fjalë për</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u </w:t>
      </w:r>
      <w:r w:rsidRPr="00A90756">
        <w:rPr>
          <w:rFonts w:ascii="Garamond" w:hAnsi="Garamond" w:cs="Times New Roman"/>
          <w:color w:val="000000"/>
          <w:sz w:val="24"/>
          <w:szCs w:val="24"/>
        </w:rPr>
        <w:t>mbrojtur. Përfituesi kryesor i IPA III njofton Komisionin në përputhje me paragrafin 2 të këtij neni.</w:t>
      </w:r>
    </w:p>
    <w:p w14:paraId="014E47F4" w14:textId="77777777" w:rsidR="00382449" w:rsidRPr="00A90756" w:rsidRDefault="00382449" w:rsidP="00382449">
      <w:pPr>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014E47F5"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9</w:t>
      </w:r>
    </w:p>
    <w:p w14:paraId="014E47F6" w14:textId="01DAF2AF"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
          <w:bCs/>
          <w:color w:val="000000"/>
          <w:sz w:val="24"/>
          <w:szCs w:val="24"/>
        </w:rPr>
      </w:pPr>
      <w:r w:rsidRPr="00A90756">
        <w:rPr>
          <w:rFonts w:ascii="Garamond" w:hAnsi="Garamond" w:cs="Times New Roman"/>
          <w:b/>
          <w:bCs/>
          <w:color w:val="000000"/>
          <w:sz w:val="24"/>
          <w:szCs w:val="24"/>
        </w:rPr>
        <w:t xml:space="preserve">Kontrollet </w:t>
      </w:r>
      <w:r w:rsidRPr="00A90756">
        <w:rPr>
          <w:rFonts w:ascii="Garamond" w:hAnsi="Garamond" w:cs="Times New Roman"/>
          <w:b/>
          <w:bCs/>
          <w:i/>
          <w:iCs/>
          <w:color w:val="000000"/>
          <w:sz w:val="24"/>
          <w:szCs w:val="24"/>
        </w:rPr>
        <w:t xml:space="preserve">ex-ante </w:t>
      </w:r>
      <w:r w:rsidRPr="00A90756">
        <w:rPr>
          <w:rFonts w:ascii="Garamond" w:hAnsi="Garamond" w:cs="Times New Roman"/>
          <w:b/>
          <w:bCs/>
          <w:color w:val="000000"/>
          <w:sz w:val="24"/>
          <w:szCs w:val="24"/>
        </w:rPr>
        <w:t xml:space="preserve">dhe </w:t>
      </w:r>
      <w:r w:rsidRPr="00A90756">
        <w:rPr>
          <w:rFonts w:ascii="Garamond" w:hAnsi="Garamond" w:cs="Times New Roman"/>
          <w:b/>
          <w:bCs/>
          <w:i/>
          <w:iCs/>
          <w:color w:val="000000"/>
          <w:sz w:val="24"/>
          <w:szCs w:val="24"/>
        </w:rPr>
        <w:t xml:space="preserve">ex-post </w:t>
      </w:r>
      <w:r w:rsidRPr="00A90756">
        <w:rPr>
          <w:rFonts w:ascii="Garamond" w:hAnsi="Garamond" w:cs="Times New Roman"/>
          <w:b/>
          <w:bCs/>
          <w:color w:val="000000"/>
          <w:sz w:val="24"/>
          <w:szCs w:val="24"/>
        </w:rPr>
        <w:t>për procedurat e granteve dhe të prokurimit</w:t>
      </w:r>
      <w:r w:rsidR="008A4550" w:rsidRPr="00A90756">
        <w:rPr>
          <w:rFonts w:ascii="Garamond" w:hAnsi="Garamond" w:cs="Times New Roman"/>
          <w:b/>
          <w:bCs/>
          <w:color w:val="000000"/>
          <w:sz w:val="24"/>
          <w:szCs w:val="24"/>
        </w:rPr>
        <w:t>,</w:t>
      </w:r>
      <w:r w:rsidRPr="00A90756">
        <w:rPr>
          <w:rFonts w:ascii="Garamond" w:hAnsi="Garamond" w:cs="Times New Roman"/>
          <w:b/>
          <w:bCs/>
          <w:color w:val="000000"/>
          <w:sz w:val="24"/>
          <w:szCs w:val="24"/>
        </w:rPr>
        <w:t xml:space="preserve"> dhe kontrollet </w:t>
      </w:r>
      <w:r w:rsidRPr="00A90756">
        <w:rPr>
          <w:rFonts w:ascii="Garamond" w:hAnsi="Garamond" w:cs="Times New Roman"/>
          <w:b/>
          <w:bCs/>
          <w:i/>
          <w:iCs/>
          <w:color w:val="000000"/>
          <w:sz w:val="24"/>
          <w:szCs w:val="24"/>
        </w:rPr>
        <w:t xml:space="preserve">ex post </w:t>
      </w:r>
      <w:r w:rsidRPr="00A90756">
        <w:rPr>
          <w:rFonts w:ascii="Garamond" w:hAnsi="Garamond" w:cs="Times New Roman"/>
          <w:b/>
          <w:bCs/>
          <w:color w:val="000000"/>
          <w:sz w:val="24"/>
          <w:szCs w:val="24"/>
        </w:rPr>
        <w:t>për kontratat dhe grantet që do të zbatohen nga Komisioni</w:t>
      </w:r>
    </w:p>
    <w:p w14:paraId="014E47F7" w14:textId="77777777" w:rsidR="00382449" w:rsidRPr="00A90756" w:rsidRDefault="00382449" w:rsidP="00382449">
      <w:pPr>
        <w:autoSpaceDE w:val="0"/>
        <w:autoSpaceDN w:val="0"/>
        <w:adjustRightInd w:val="0"/>
        <w:spacing w:after="0" w:line="240" w:lineRule="auto"/>
        <w:ind w:firstLine="284"/>
        <w:outlineLvl w:val="1"/>
        <w:rPr>
          <w:rFonts w:ascii="Garamond" w:hAnsi="Garamond" w:cs="Times New Roman"/>
          <w:color w:val="000000"/>
          <w:sz w:val="24"/>
          <w:szCs w:val="24"/>
        </w:rPr>
      </w:pPr>
    </w:p>
    <w:p w14:paraId="014E47F8"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1. Komisioni mund të ushtrojë kontrolle </w:t>
      </w:r>
      <w:r w:rsidRPr="00A90756">
        <w:rPr>
          <w:rFonts w:ascii="Garamond" w:hAnsi="Garamond" w:cs="Times New Roman"/>
          <w:i/>
          <w:iCs/>
          <w:color w:val="000000"/>
          <w:sz w:val="24"/>
          <w:szCs w:val="24"/>
        </w:rPr>
        <w:t xml:space="preserve">ex-ante </w:t>
      </w:r>
      <w:r w:rsidRPr="00A90756">
        <w:rPr>
          <w:rFonts w:ascii="Garamond" w:hAnsi="Garamond" w:cs="Times New Roman"/>
          <w:color w:val="000000"/>
          <w:sz w:val="24"/>
          <w:szCs w:val="24"/>
        </w:rPr>
        <w:t>të procedurave për dhënien e prokurimit dhe granteve në fazat vijuese:</w:t>
      </w:r>
    </w:p>
    <w:p w14:paraId="014E47F9"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a) miratimin e njoftimeve të kontratës për prokurimin dhe çdo korrigjim të saj;</w:t>
      </w:r>
    </w:p>
    <w:p w14:paraId="014E47FA"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miratimin e dosjeve të tenderit dhe udhëzimeve për aplikantët për grante;</w:t>
      </w:r>
    </w:p>
    <w:p w14:paraId="014E47FB"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c) miratimin e përbërjes së komiteteve të vlerësimit;</w:t>
      </w:r>
    </w:p>
    <w:p w14:paraId="014E47FC"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 miratimin e raporteve të vlerësimit, të vendimeve për refuzim dhe dhënie të kontratës</w:t>
      </w:r>
      <w:r w:rsidRPr="00A90756">
        <w:rPr>
          <w:rStyle w:val="FootnoteReference"/>
          <w:rFonts w:ascii="Garamond" w:hAnsi="Garamond" w:cs="Times New Roman"/>
          <w:color w:val="000000"/>
          <w:sz w:val="24"/>
          <w:szCs w:val="24"/>
        </w:rPr>
        <w:footnoteReference w:id="33"/>
      </w:r>
      <w:r w:rsidRPr="00A90756">
        <w:rPr>
          <w:rFonts w:ascii="Garamond" w:hAnsi="Garamond" w:cs="Times New Roman"/>
          <w:color w:val="000000"/>
          <w:sz w:val="24"/>
          <w:szCs w:val="24"/>
        </w:rPr>
        <w:t>;</w:t>
      </w:r>
    </w:p>
    <w:p w14:paraId="014E47FD"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e) miratimin e dosjeve të kontratës dhe shtojcave në kontratë.</w:t>
      </w:r>
    </w:p>
    <w:p w14:paraId="014E47FE" w14:textId="77777777" w:rsidR="00382449" w:rsidRPr="00A90756" w:rsidRDefault="00382449" w:rsidP="00382449">
      <w:pPr>
        <w:tabs>
          <w:tab w:val="left" w:pos="54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 xml:space="preserve">2. Në lidhje me kontrollet </w:t>
      </w:r>
      <w:r w:rsidRPr="00A90756">
        <w:rPr>
          <w:rFonts w:ascii="Garamond" w:hAnsi="Garamond" w:cs="Times New Roman"/>
          <w:i/>
          <w:iCs/>
          <w:color w:val="000000"/>
          <w:sz w:val="24"/>
          <w:szCs w:val="24"/>
        </w:rPr>
        <w:t xml:space="preserve">ex-ante </w:t>
      </w:r>
      <w:r w:rsidRPr="00A90756">
        <w:rPr>
          <w:rFonts w:ascii="Garamond" w:hAnsi="Garamond" w:cs="Times New Roman"/>
          <w:color w:val="000000"/>
          <w:sz w:val="24"/>
          <w:szCs w:val="24"/>
        </w:rPr>
        <w:t>Komisioni vendos:</w:t>
      </w:r>
    </w:p>
    <w:p w14:paraId="014E47FF" w14:textId="298934B3"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a) të kryejë kontrolle </w:t>
      </w:r>
      <w:r w:rsidRPr="00A90756">
        <w:rPr>
          <w:rFonts w:ascii="Garamond" w:hAnsi="Garamond" w:cs="Times New Roman"/>
          <w:i/>
          <w:iCs/>
          <w:color w:val="000000"/>
          <w:sz w:val="24"/>
          <w:szCs w:val="24"/>
        </w:rPr>
        <w:t xml:space="preserve">ex-ante </w:t>
      </w:r>
      <w:r w:rsidRPr="00A90756">
        <w:rPr>
          <w:rFonts w:ascii="Garamond" w:hAnsi="Garamond" w:cs="Times New Roman"/>
          <w:color w:val="000000"/>
          <w:sz w:val="24"/>
          <w:szCs w:val="24"/>
        </w:rPr>
        <w:t>të të gjithë dokumentacionit</w:t>
      </w:r>
      <w:r w:rsidR="00D06E61"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ose</w:t>
      </w:r>
    </w:p>
    <w:p w14:paraId="014E4800" w14:textId="0F5A508A"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b) të kryejë kontrolle </w:t>
      </w:r>
      <w:r w:rsidRPr="00A90756">
        <w:rPr>
          <w:rFonts w:ascii="Garamond" w:hAnsi="Garamond" w:cs="Times New Roman"/>
          <w:i/>
          <w:iCs/>
          <w:color w:val="000000"/>
          <w:sz w:val="24"/>
          <w:szCs w:val="24"/>
        </w:rPr>
        <w:t xml:space="preserve">ex-ante </w:t>
      </w:r>
      <w:r w:rsidRPr="00A90756">
        <w:rPr>
          <w:rFonts w:ascii="Garamond" w:hAnsi="Garamond" w:cs="Times New Roman"/>
          <w:color w:val="000000"/>
          <w:sz w:val="24"/>
          <w:szCs w:val="24"/>
        </w:rPr>
        <w:t>të një grupi të përzgjedhur nga ky dokumentacion</w:t>
      </w:r>
      <w:r w:rsidR="00D06E61"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ose</w:t>
      </w:r>
    </w:p>
    <w:p w14:paraId="014E4801"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c) të heqë dorë plotësisht nga kontrollet </w:t>
      </w:r>
      <w:r w:rsidRPr="00A90756">
        <w:rPr>
          <w:rFonts w:ascii="Garamond" w:hAnsi="Garamond" w:cs="Times New Roman"/>
          <w:i/>
          <w:iCs/>
          <w:color w:val="000000"/>
          <w:sz w:val="24"/>
          <w:szCs w:val="24"/>
        </w:rPr>
        <w:t>ex-ante</w:t>
      </w:r>
      <w:r w:rsidRPr="00A90756">
        <w:rPr>
          <w:rFonts w:ascii="Garamond" w:hAnsi="Garamond" w:cs="Times New Roman"/>
          <w:color w:val="000000"/>
          <w:sz w:val="24"/>
          <w:szCs w:val="24"/>
        </w:rPr>
        <w:t>.</w:t>
      </w:r>
    </w:p>
    <w:p w14:paraId="014E4802" w14:textId="4C13EA1B"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3. Nëse Komisioni vendos të kryejë kontrolle </w:t>
      </w:r>
      <w:r w:rsidRPr="00A90756">
        <w:rPr>
          <w:rFonts w:ascii="Garamond" w:hAnsi="Garamond" w:cs="Times New Roman"/>
          <w:i/>
          <w:iCs/>
          <w:color w:val="000000"/>
          <w:sz w:val="24"/>
          <w:szCs w:val="24"/>
        </w:rPr>
        <w:t xml:space="preserve">ex-ante </w:t>
      </w:r>
      <w:r w:rsidRPr="00A90756">
        <w:rPr>
          <w:rFonts w:ascii="Garamond" w:hAnsi="Garamond" w:cs="Times New Roman"/>
          <w:color w:val="000000"/>
          <w:sz w:val="24"/>
          <w:szCs w:val="24"/>
        </w:rPr>
        <w:t xml:space="preserve">në përputhje me paragrafin 2,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ose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b</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ai informon përfituesin kryesor të IPA III për dokumentacionin e përzgjedhur për kontrollet </w:t>
      </w:r>
      <w:r w:rsidRPr="00A90756">
        <w:rPr>
          <w:rFonts w:ascii="Garamond" w:hAnsi="Garamond" w:cs="Times New Roman"/>
          <w:i/>
          <w:iCs/>
          <w:color w:val="000000"/>
          <w:sz w:val="24"/>
          <w:szCs w:val="24"/>
        </w:rPr>
        <w:t>ex-ante</w:t>
      </w:r>
      <w:r w:rsidRPr="00A90756">
        <w:rPr>
          <w:rFonts w:ascii="Garamond" w:hAnsi="Garamond" w:cs="Times New Roman"/>
          <w:color w:val="000000"/>
          <w:sz w:val="24"/>
          <w:szCs w:val="24"/>
        </w:rPr>
        <w:t xml:space="preserve">. Ky përfitues i IPA III i paraqet Komisionit të gjithë dokumentacionin dhe informacionin e nevojshëm sapo informohet se një dokumentacion është përzgjedhur për kontrollin </w:t>
      </w:r>
      <w:r w:rsidRPr="00A90756">
        <w:rPr>
          <w:rFonts w:ascii="Garamond" w:hAnsi="Garamond" w:cs="Times New Roman"/>
          <w:i/>
          <w:iCs/>
          <w:color w:val="000000"/>
          <w:sz w:val="24"/>
          <w:szCs w:val="24"/>
        </w:rPr>
        <w:t>ex-ante</w:t>
      </w:r>
      <w:r w:rsidRPr="00A90756">
        <w:rPr>
          <w:rFonts w:ascii="Garamond" w:hAnsi="Garamond" w:cs="Times New Roman"/>
          <w:color w:val="000000"/>
          <w:sz w:val="24"/>
          <w:szCs w:val="24"/>
        </w:rPr>
        <w:t>, jo më vonë se momenti i dorëzimit për publikim të njoftimit të kontratës ose të udhëzimeve për aplikantët.</w:t>
      </w:r>
    </w:p>
    <w:p w14:paraId="014E4803"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4. Komisioni mund të vendosë të kryejë kontrolle </w:t>
      </w:r>
      <w:r w:rsidRPr="00A90756">
        <w:rPr>
          <w:rFonts w:ascii="Garamond" w:hAnsi="Garamond" w:cs="Times New Roman"/>
          <w:i/>
          <w:iCs/>
          <w:color w:val="000000"/>
          <w:sz w:val="24"/>
          <w:szCs w:val="24"/>
        </w:rPr>
        <w:t xml:space="preserve">ex-post </w:t>
      </w:r>
      <w:r w:rsidRPr="00A90756">
        <w:rPr>
          <w:rFonts w:ascii="Garamond" w:hAnsi="Garamond" w:cs="Times New Roman"/>
          <w:color w:val="000000"/>
          <w:sz w:val="24"/>
          <w:szCs w:val="24"/>
        </w:rPr>
        <w:t xml:space="preserve">për procedurat e dhënies së prokurimit ose granteve që nuk i janë nënshtruar kontrollit </w:t>
      </w:r>
      <w:r w:rsidRPr="00A90756">
        <w:rPr>
          <w:rFonts w:ascii="Garamond" w:hAnsi="Garamond" w:cs="Times New Roman"/>
          <w:i/>
          <w:color w:val="000000"/>
          <w:sz w:val="24"/>
          <w:szCs w:val="24"/>
        </w:rPr>
        <w:t>ex-ante</w:t>
      </w:r>
      <w:r w:rsidRPr="00A90756">
        <w:rPr>
          <w:rFonts w:ascii="Garamond" w:hAnsi="Garamond" w:cs="Times New Roman"/>
          <w:color w:val="000000"/>
          <w:sz w:val="24"/>
          <w:szCs w:val="24"/>
        </w:rPr>
        <w:t xml:space="preserve"> (brenda 6 muajve nga nënshkrimi i kontratës).</w:t>
      </w:r>
    </w:p>
    <w:p w14:paraId="014E4804" w14:textId="079C025D"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5. Komisioni mund të vendosë të kryejë kontrolle </w:t>
      </w:r>
      <w:r w:rsidRPr="00A90756">
        <w:rPr>
          <w:rFonts w:ascii="Garamond" w:hAnsi="Garamond" w:cs="Times New Roman"/>
          <w:i/>
          <w:iCs/>
          <w:color w:val="000000"/>
          <w:sz w:val="24"/>
          <w:szCs w:val="24"/>
        </w:rPr>
        <w:t>ex-post</w:t>
      </w:r>
      <w:r w:rsidRPr="00A90756">
        <w:rPr>
          <w:rFonts w:ascii="Garamond" w:hAnsi="Garamond" w:cs="Times New Roman"/>
          <w:color w:val="000000"/>
          <w:sz w:val="24"/>
          <w:szCs w:val="24"/>
        </w:rPr>
        <w:t>, duke përfshirë auditime dhe kontrolle në terren, kurdoherë dhe për çdo kontratë ose grant të dhënë nga përfituesi kryesor i IPA III që vjen si rezultat i kësaj Marrëveshjeje Financimi. Ky përfitues i IPA III do të vërë në dispozicion të Komisionit të gjithë dokumentacionin dhe informacionin e nevojshëm</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sapo të informohet që një dokumentacion është përzgjedhur për kontrollin </w:t>
      </w:r>
      <w:r w:rsidRPr="00A90756">
        <w:rPr>
          <w:rFonts w:ascii="Garamond" w:hAnsi="Garamond" w:cs="Times New Roman"/>
          <w:i/>
          <w:iCs/>
          <w:color w:val="000000"/>
          <w:sz w:val="24"/>
          <w:szCs w:val="24"/>
        </w:rPr>
        <w:t>ex-post</w:t>
      </w:r>
      <w:r w:rsidRPr="00A90756">
        <w:rPr>
          <w:rFonts w:ascii="Garamond" w:hAnsi="Garamond" w:cs="Times New Roman"/>
          <w:color w:val="000000"/>
          <w:sz w:val="24"/>
          <w:szCs w:val="24"/>
        </w:rPr>
        <w:t xml:space="preserve">. Komisioni mund të autorizojë një person ose subjekt që të kryejë kontrolle </w:t>
      </w:r>
      <w:r w:rsidRPr="00A90756">
        <w:rPr>
          <w:rFonts w:ascii="Garamond" w:hAnsi="Garamond" w:cs="Times New Roman"/>
          <w:i/>
          <w:iCs/>
          <w:color w:val="000000"/>
          <w:sz w:val="24"/>
          <w:szCs w:val="24"/>
        </w:rPr>
        <w:t xml:space="preserve">ex-post </w:t>
      </w:r>
      <w:r w:rsidRPr="00A90756">
        <w:rPr>
          <w:rFonts w:ascii="Garamond" w:hAnsi="Garamond" w:cs="Times New Roman"/>
          <w:color w:val="000000"/>
          <w:sz w:val="24"/>
          <w:szCs w:val="24"/>
        </w:rPr>
        <w:t>për llogari të tij.</w:t>
      </w:r>
    </w:p>
    <w:p w14:paraId="014E4805"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06"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10</w:t>
      </w:r>
    </w:p>
    <w:p w14:paraId="014E4807"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
          <w:bCs/>
          <w:color w:val="000000"/>
          <w:sz w:val="24"/>
          <w:szCs w:val="24"/>
        </w:rPr>
      </w:pPr>
      <w:r w:rsidRPr="00A90756">
        <w:rPr>
          <w:rFonts w:ascii="Garamond" w:hAnsi="Garamond" w:cs="Times New Roman"/>
          <w:b/>
          <w:bCs/>
          <w:color w:val="000000"/>
          <w:sz w:val="24"/>
          <w:szCs w:val="24"/>
        </w:rPr>
        <w:t>Llogaritë bankare, sistemet e kontabilitetit dhe kostot e njohura</w:t>
      </w:r>
    </w:p>
    <w:p w14:paraId="014E4808" w14:textId="77777777" w:rsidR="00382449" w:rsidRPr="00A90756" w:rsidRDefault="00382449" w:rsidP="00382449">
      <w:pPr>
        <w:autoSpaceDE w:val="0"/>
        <w:autoSpaceDN w:val="0"/>
        <w:adjustRightInd w:val="0"/>
        <w:spacing w:after="0" w:line="240" w:lineRule="auto"/>
        <w:ind w:firstLine="284"/>
        <w:outlineLvl w:val="1"/>
        <w:rPr>
          <w:rFonts w:ascii="Garamond" w:hAnsi="Garamond" w:cs="Times New Roman"/>
          <w:color w:val="000000"/>
          <w:sz w:val="24"/>
          <w:szCs w:val="24"/>
        </w:rPr>
      </w:pPr>
    </w:p>
    <w:p w14:paraId="014E4809" w14:textId="0C8629AC"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1. Pas hyrjes në fuqi të kësaj Marrëveshjeje Financimi, Struktura e Kontabilitetit dhe Struktura e Ndërmjetme për Menaxhimin Financiar (SNMF) e përfituesit kryesor të IPA III për programin e bashkëpunimit ndërkufitar hap të paktën një llogari bankare në </w:t>
      </w:r>
      <w:r w:rsidR="00733DD6" w:rsidRPr="00A90756">
        <w:rPr>
          <w:rFonts w:ascii="Garamond" w:hAnsi="Garamond" w:cs="Times New Roman"/>
          <w:color w:val="000000"/>
          <w:sz w:val="24"/>
          <w:szCs w:val="24"/>
        </w:rPr>
        <w:t>e</w:t>
      </w:r>
      <w:r w:rsidRPr="00A90756">
        <w:rPr>
          <w:rFonts w:ascii="Garamond" w:hAnsi="Garamond" w:cs="Times New Roman"/>
          <w:color w:val="000000"/>
          <w:sz w:val="24"/>
          <w:szCs w:val="24"/>
        </w:rPr>
        <w:t>uro për transfertat vjetore. Bilanci i përgjithshëm bankar për programin e bashkëpunimit ndërkufitar do të jetë shuma e bilanceve e të gjitha llogarive bankare të Programit që mbahen nga Struktura e Kontabilitetit dhe të gjitha SNMF-të pjesëmarrëse në përfituesin kryesor të IPA III.</w:t>
      </w:r>
    </w:p>
    <w:p w14:paraId="014E480A" w14:textId="70992992"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Përfituesi kryesor i IPA III duhet të përgatitë dhe</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dorëzojë Komisionit planet e parashikimit të disbursimit</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sipas alokimit vjetor për kohëzgjatjen e periudhës së zbatimit të </w:t>
      </w:r>
      <w:r w:rsidR="00733DD6" w:rsidRPr="00A90756">
        <w:rPr>
          <w:rFonts w:ascii="Garamond" w:hAnsi="Garamond" w:cs="Times New Roman"/>
          <w:color w:val="000000"/>
          <w:sz w:val="24"/>
          <w:szCs w:val="24"/>
        </w:rPr>
        <w:t>p</w:t>
      </w:r>
      <w:r w:rsidRPr="00A90756">
        <w:rPr>
          <w:rFonts w:ascii="Garamond" w:hAnsi="Garamond" w:cs="Times New Roman"/>
          <w:color w:val="000000"/>
          <w:sz w:val="24"/>
          <w:szCs w:val="24"/>
        </w:rPr>
        <w:t>rogramit</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sipas modelit në germën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d</w:t>
      </w:r>
      <w:r w:rsidR="00AE64AA" w:rsidRPr="00A90756">
        <w:rPr>
          <w:rFonts w:ascii="Garamond" w:hAnsi="Garamond" w:cs="Times New Roman"/>
          <w:color w:val="000000"/>
          <w:sz w:val="24"/>
          <w:szCs w:val="24"/>
        </w:rPr>
        <w:t>”</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shtojcës IV. Këto parashikime duhet të përditësohen dhe të paraqiten me çdo kërkesë për fonde të përmendur në nenin 11, paragrafi 2 dhe nenin 11, paragrafi 3, me raportin financiar vjetor të përmendur në nenin 3, paragrafi 5 dhe me parashikimin për kërkesa për pagesa të mundshme të përmendur në nenin 33, paragrafi 3 të MFKP-së. Planet e </w:t>
      </w:r>
      <w:r w:rsidRPr="00A90756">
        <w:rPr>
          <w:rFonts w:ascii="Garamond" w:hAnsi="Garamond" w:cs="Times New Roman"/>
          <w:color w:val="000000"/>
          <w:sz w:val="24"/>
          <w:szCs w:val="24"/>
        </w:rPr>
        <w:lastRenderedPageBreak/>
        <w:t>parashikimeve të disbursimit duhet të bazohen në nevoja reale dhe aktuale</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 duhet të mbështeten nga një analizë </w:t>
      </w:r>
      <w:r w:rsidR="00733DD6" w:rsidRPr="00A90756">
        <w:rPr>
          <w:rFonts w:ascii="Garamond" w:hAnsi="Garamond" w:cs="Times New Roman"/>
          <w:color w:val="000000"/>
          <w:sz w:val="24"/>
          <w:szCs w:val="24"/>
        </w:rPr>
        <w:t>të</w:t>
      </w:r>
      <w:r w:rsidRPr="00A90756">
        <w:rPr>
          <w:rFonts w:ascii="Garamond" w:hAnsi="Garamond" w:cs="Times New Roman"/>
          <w:color w:val="000000"/>
          <w:sz w:val="24"/>
          <w:szCs w:val="24"/>
        </w:rPr>
        <w:t xml:space="preserve"> hollësishme </w:t>
      </w:r>
      <w:r w:rsidR="00733DD6" w:rsidRPr="00A90756">
        <w:rPr>
          <w:rFonts w:ascii="Garamond" w:hAnsi="Garamond" w:cs="Times New Roman"/>
          <w:color w:val="000000"/>
          <w:sz w:val="24"/>
          <w:szCs w:val="24"/>
        </w:rPr>
        <w:t>të</w:t>
      </w:r>
      <w:r w:rsidRPr="00A90756">
        <w:rPr>
          <w:rFonts w:ascii="Garamond" w:hAnsi="Garamond" w:cs="Times New Roman"/>
          <w:color w:val="000000"/>
          <w:sz w:val="24"/>
          <w:szCs w:val="24"/>
        </w:rPr>
        <w:t xml:space="preserve"> dokumentuar (duke përfshirë grafikun e kontraktimeve dhe pagesave të planifikuara për kontratë), që do të vihet në dispozicion të Komisionit, nëse kërkohet.</w:t>
      </w:r>
    </w:p>
    <w:p w14:paraId="014E480B" w14:textId="35385B15"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Plani fillestar për parashikimin e disbursimit duhet të përmbajë një përmbledhje të parashikimeve të disbursimit vjetor</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sipas alokimit vjetor për të gjithë periudhën e zbatimit dhe të parashikimit të disbursimit mujor për dymbëdhjetë muajt e parë të programit të bashkëpunimit ndërkufitar. Planet e mëvonshme do të përmbajnë një përmbledhje të parashikimeve të disbursimit vjetor</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sipas alokimit vjetor për bilancin e periudhës së zbatimit të programit të bashkëpunimit ndërkufitar dhe të parashikimit të disbursimit mujor për katërmbëdhjetë muajt në vijim.</w:t>
      </w:r>
    </w:p>
    <w:p w14:paraId="014E480C" w14:textId="19FD3A58"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4. Përfituesi kryesor i IPA III duhet të krijojë dhe të mbajë një sistem kontabiliteti</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përputhje me klauzolën 4, paragrafi 3,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00733DD6"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shtojcës A të MFKP-së, që do të përmbajë të paktën të dhëna për kontratat e menaxhuara në kuadrin e programit të bashkëpunimit ndërkufitar të cilat jepen në shtojcën V.</w:t>
      </w:r>
    </w:p>
    <w:p w14:paraId="014E480D"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5. Në zbatim të nenit 57, paragrafi 2 të MFKP-së, kostot e njohura në sistemin e kontabilitetit që mbahen sipas paragrafit 4, duhet të jenë shkaktuar, pranuar dhe paguar dhe të korrespondojnë me shpenzimet aktuale të vërtetuara me anë të dokumenteve mbështetëse dhe, sipas rastit, duhet të përdoren për të likuiduar financimin paraprak të paguar nga përfituesi kryesor i IPA III sipas kontratave në nivel lokal.</w:t>
      </w:r>
    </w:p>
    <w:p w14:paraId="014E480E"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0F"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11</w:t>
      </w:r>
    </w:p>
    <w:p w14:paraId="014E4810"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Dispozitat mbi pagesat e bëra nga Komisioni për përfituesin kryesor të IPA III</w:t>
      </w:r>
    </w:p>
    <w:p w14:paraId="014E4811"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12" w14:textId="0E30F9CE"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1. Çdo kërkesë për financim paraprak duhet të përfshijë një deklaratë shpenzimesh për </w:t>
      </w:r>
      <w:r w:rsidR="00236B0B" w:rsidRPr="00A90756">
        <w:rPr>
          <w:rFonts w:ascii="Garamond" w:hAnsi="Garamond" w:cs="Times New Roman"/>
          <w:color w:val="000000"/>
          <w:sz w:val="24"/>
          <w:szCs w:val="24"/>
        </w:rPr>
        <w:t>p</w:t>
      </w:r>
      <w:r w:rsidRPr="00A90756">
        <w:rPr>
          <w:rFonts w:ascii="Garamond" w:hAnsi="Garamond" w:cs="Times New Roman"/>
          <w:color w:val="000000"/>
          <w:sz w:val="24"/>
          <w:szCs w:val="24"/>
        </w:rPr>
        <w:t>rogramin, duke përfshirë shumat e kontraktuara, të disbursuara dhe kostot e njohura.</w:t>
      </w:r>
    </w:p>
    <w:p w14:paraId="014E4813" w14:textId="0112DE1F"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Pagesa e parë e financimit paraprak duhet të jetë për 100% të disbursimeve të parashikuara për vitin e parë të planit të parashikimit</w:t>
      </w:r>
      <w:r w:rsidR="00236B0B"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për disbursimet në përputhje me nenin 10, paragrafi 2. Kjo kërkesë për financim paraprak duhet të mbështetet nga mandatet bankare për të gjitha llogaritë bankare të </w:t>
      </w:r>
      <w:r w:rsidR="00236B0B" w:rsidRPr="00A90756">
        <w:rPr>
          <w:rFonts w:ascii="Garamond" w:hAnsi="Garamond" w:cs="Times New Roman"/>
          <w:color w:val="000000"/>
          <w:sz w:val="24"/>
          <w:szCs w:val="24"/>
        </w:rPr>
        <w:t>p</w:t>
      </w:r>
      <w:r w:rsidRPr="00A90756">
        <w:rPr>
          <w:rFonts w:ascii="Garamond" w:hAnsi="Garamond" w:cs="Times New Roman"/>
          <w:color w:val="000000"/>
          <w:sz w:val="24"/>
          <w:szCs w:val="24"/>
        </w:rPr>
        <w:t>rogramit, sipas rastit.</w:t>
      </w:r>
    </w:p>
    <w:p w14:paraId="014E4814" w14:textId="1ACAF0F5"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3. Përfituesi kryesor i IPA III duhet të paraqesë kërkesa pasuese për pagesën e financimit paraprak kur bilanci i përgjithshëm bankar për </w:t>
      </w:r>
      <w:r w:rsidR="00236B0B" w:rsidRPr="00A90756">
        <w:rPr>
          <w:rFonts w:ascii="Garamond" w:hAnsi="Garamond" w:cs="Times New Roman"/>
          <w:color w:val="000000"/>
          <w:sz w:val="24"/>
          <w:szCs w:val="24"/>
        </w:rPr>
        <w:t>p</w:t>
      </w:r>
      <w:r w:rsidRPr="00A90756">
        <w:rPr>
          <w:rFonts w:ascii="Garamond" w:hAnsi="Garamond" w:cs="Times New Roman"/>
          <w:color w:val="000000"/>
          <w:sz w:val="24"/>
          <w:szCs w:val="24"/>
        </w:rPr>
        <w:t xml:space="preserve">rogramin bie nën nivelin e parashikimit të disbursimeve për pesë muajt e ardhshëm të </w:t>
      </w:r>
      <w:r w:rsidR="00236B0B" w:rsidRPr="00A90756">
        <w:rPr>
          <w:rFonts w:ascii="Garamond" w:hAnsi="Garamond" w:cs="Times New Roman"/>
          <w:color w:val="000000"/>
          <w:sz w:val="24"/>
          <w:szCs w:val="24"/>
        </w:rPr>
        <w:t>p</w:t>
      </w:r>
      <w:r w:rsidRPr="00A90756">
        <w:rPr>
          <w:rFonts w:ascii="Garamond" w:hAnsi="Garamond" w:cs="Times New Roman"/>
          <w:color w:val="000000"/>
          <w:sz w:val="24"/>
          <w:szCs w:val="24"/>
        </w:rPr>
        <w:t>rogramit.</w:t>
      </w:r>
    </w:p>
    <w:p w14:paraId="014E4815" w14:textId="77777777" w:rsidR="00382449" w:rsidRPr="00A90756" w:rsidRDefault="00382449" w:rsidP="00236B0B">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4. Çdo kërkesë për financim paraprak shtesë duhet të përfshijë:</w:t>
      </w:r>
    </w:p>
    <w:p w14:paraId="014E4816" w14:textId="7A409875" w:rsidR="00382449" w:rsidRPr="00A90756" w:rsidRDefault="00382449" w:rsidP="00236B0B">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a) </w:t>
      </w:r>
      <w:r w:rsidR="00236B0B" w:rsidRPr="00A90756">
        <w:rPr>
          <w:rFonts w:ascii="Garamond" w:hAnsi="Garamond" w:cs="Times New Roman"/>
          <w:color w:val="000000"/>
          <w:sz w:val="24"/>
          <w:szCs w:val="24"/>
        </w:rPr>
        <w:t xml:space="preserve">bilancet </w:t>
      </w:r>
      <w:r w:rsidRPr="00A90756">
        <w:rPr>
          <w:rFonts w:ascii="Garamond" w:hAnsi="Garamond" w:cs="Times New Roman"/>
          <w:color w:val="000000"/>
          <w:sz w:val="24"/>
          <w:szCs w:val="24"/>
        </w:rPr>
        <w:t xml:space="preserve">bankare për </w:t>
      </w:r>
      <w:r w:rsidR="00236B0B" w:rsidRPr="00A90756">
        <w:rPr>
          <w:rFonts w:ascii="Garamond" w:hAnsi="Garamond" w:cs="Times New Roman"/>
          <w:color w:val="000000"/>
          <w:sz w:val="24"/>
          <w:szCs w:val="24"/>
        </w:rPr>
        <w:t>p</w:t>
      </w:r>
      <w:r w:rsidRPr="00A90756">
        <w:rPr>
          <w:rFonts w:ascii="Garamond" w:hAnsi="Garamond" w:cs="Times New Roman"/>
          <w:color w:val="000000"/>
          <w:sz w:val="24"/>
          <w:szCs w:val="24"/>
        </w:rPr>
        <w:t>rogramin në datën e fundit të kërkesës;</w:t>
      </w:r>
    </w:p>
    <w:p w14:paraId="014E4817" w14:textId="445F0AED" w:rsidR="00382449" w:rsidRPr="00A90756" w:rsidRDefault="00382449" w:rsidP="00236B0B">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b) </w:t>
      </w:r>
      <w:r w:rsidR="00236B0B" w:rsidRPr="00A90756">
        <w:rPr>
          <w:rFonts w:ascii="Garamond" w:hAnsi="Garamond" w:cs="Times New Roman"/>
          <w:color w:val="000000"/>
          <w:sz w:val="24"/>
          <w:szCs w:val="24"/>
        </w:rPr>
        <w:t xml:space="preserve">mandatet </w:t>
      </w:r>
      <w:r w:rsidRPr="00A90756">
        <w:rPr>
          <w:rFonts w:ascii="Garamond" w:hAnsi="Garamond" w:cs="Times New Roman"/>
          <w:color w:val="000000"/>
          <w:sz w:val="24"/>
          <w:szCs w:val="24"/>
        </w:rPr>
        <w:t xml:space="preserve">bankare të përditësuara për të gjitha llogaritë bankare të </w:t>
      </w:r>
      <w:r w:rsidR="00236B0B" w:rsidRPr="00A90756">
        <w:rPr>
          <w:rFonts w:ascii="Garamond" w:hAnsi="Garamond" w:cs="Times New Roman"/>
          <w:color w:val="000000"/>
          <w:sz w:val="24"/>
          <w:szCs w:val="24"/>
        </w:rPr>
        <w:t>p</w:t>
      </w:r>
      <w:r w:rsidRPr="00A90756">
        <w:rPr>
          <w:rFonts w:ascii="Garamond" w:hAnsi="Garamond" w:cs="Times New Roman"/>
          <w:color w:val="000000"/>
          <w:sz w:val="24"/>
          <w:szCs w:val="24"/>
        </w:rPr>
        <w:t>rogramit, sipas rastit;</w:t>
      </w:r>
    </w:p>
    <w:p w14:paraId="014E4818" w14:textId="62971A02" w:rsidR="00382449" w:rsidRPr="00A90756" w:rsidRDefault="00382449" w:rsidP="00236B0B">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c) </w:t>
      </w:r>
      <w:r w:rsidR="00236B0B" w:rsidRPr="00A90756">
        <w:rPr>
          <w:rFonts w:ascii="Garamond" w:hAnsi="Garamond" w:cs="Times New Roman"/>
          <w:color w:val="000000"/>
          <w:sz w:val="24"/>
          <w:szCs w:val="24"/>
        </w:rPr>
        <w:t xml:space="preserve">një </w:t>
      </w:r>
      <w:r w:rsidRPr="00A90756">
        <w:rPr>
          <w:rFonts w:ascii="Garamond" w:hAnsi="Garamond" w:cs="Times New Roman"/>
          <w:color w:val="000000"/>
          <w:sz w:val="24"/>
          <w:szCs w:val="24"/>
        </w:rPr>
        <w:t xml:space="preserve">parashikim të disbursimeve për </w:t>
      </w:r>
      <w:r w:rsidR="00236B0B" w:rsidRPr="00A90756">
        <w:rPr>
          <w:rFonts w:ascii="Garamond" w:hAnsi="Garamond" w:cs="Times New Roman"/>
          <w:color w:val="000000"/>
          <w:sz w:val="24"/>
          <w:szCs w:val="24"/>
        </w:rPr>
        <w:t>p</w:t>
      </w:r>
      <w:r w:rsidRPr="00A90756">
        <w:rPr>
          <w:rFonts w:ascii="Garamond" w:hAnsi="Garamond" w:cs="Times New Roman"/>
          <w:color w:val="000000"/>
          <w:sz w:val="24"/>
          <w:szCs w:val="24"/>
        </w:rPr>
        <w:t>rogramin për katërmbëdhjetë muajt e ardhshëm në datën e fundit të kërkesës, siç përmendet në nenin 10, paragrafi 3;</w:t>
      </w:r>
    </w:p>
    <w:p w14:paraId="014E4819" w14:textId="7AE68E53" w:rsidR="00382449" w:rsidRPr="00A90756" w:rsidRDefault="00382449" w:rsidP="00236B0B">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d) </w:t>
      </w:r>
      <w:r w:rsidR="00236B0B" w:rsidRPr="00A90756">
        <w:rPr>
          <w:rFonts w:ascii="Garamond" w:hAnsi="Garamond" w:cs="Times New Roman"/>
          <w:color w:val="000000"/>
          <w:sz w:val="24"/>
          <w:szCs w:val="24"/>
        </w:rPr>
        <w:t xml:space="preserve">raportimin </w:t>
      </w:r>
      <w:r w:rsidRPr="00A90756">
        <w:rPr>
          <w:rFonts w:ascii="Garamond" w:hAnsi="Garamond" w:cs="Times New Roman"/>
          <w:color w:val="000000"/>
          <w:sz w:val="24"/>
          <w:szCs w:val="24"/>
        </w:rPr>
        <w:t>në aplikacionin IPA.</w:t>
      </w:r>
    </w:p>
    <w:p w14:paraId="014E481A" w14:textId="15EA65EE"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5. Përfituesi kryesor i IPA III mundet që për çdo financim paraprak të kërkojë shumën e parashikimit të disbursimeve totale për katërmbëdhjetë muajt pas datës së fundit të kërkesës, minus bilancet e përmendura në paragrafin 4,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datën e fundit të kërkesës për fonde, plus çdo shumë të financuar nga përfituesi i IPA III</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sipas paragrafit 6 dhe që nuk është rimbursuar ende.</w:t>
      </w:r>
    </w:p>
    <w:p w14:paraId="014E481B" w14:textId="7924E81D"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Komisioni rezervon të drejtën për të reduktuar çdo pagesë të mëvonshme financimi paraprak nëse bilancet e përgjithshme bankare të mbajtura nga përfituesi kryesor i IPA III</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kuadrin e këtij </w:t>
      </w:r>
      <w:r w:rsidR="003148D8" w:rsidRPr="00A90756">
        <w:rPr>
          <w:rFonts w:ascii="Garamond" w:hAnsi="Garamond" w:cs="Times New Roman"/>
          <w:color w:val="000000"/>
          <w:sz w:val="24"/>
          <w:szCs w:val="24"/>
        </w:rPr>
        <w:t>p</w:t>
      </w:r>
      <w:r w:rsidRPr="00A90756">
        <w:rPr>
          <w:rFonts w:ascii="Garamond" w:hAnsi="Garamond" w:cs="Times New Roman"/>
          <w:color w:val="000000"/>
          <w:sz w:val="24"/>
          <w:szCs w:val="24"/>
        </w:rPr>
        <w:t>rogrami, tejkalojnë parashikimin e disbursimit për katërmbëdhjetë muajt e ardhshëm.</w:t>
      </w:r>
    </w:p>
    <w:p w14:paraId="014E481C" w14:textId="68DDB115"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6. Kur pagesa reduktohet sipas paragrafit 5, përfituesi kryesor i IPA III duhet ta financojë </w:t>
      </w:r>
      <w:r w:rsidR="003148D8" w:rsidRPr="00A90756">
        <w:rPr>
          <w:rFonts w:ascii="Garamond" w:hAnsi="Garamond" w:cs="Times New Roman"/>
          <w:color w:val="000000"/>
          <w:sz w:val="24"/>
          <w:szCs w:val="24"/>
        </w:rPr>
        <w:t>p</w:t>
      </w:r>
      <w:r w:rsidRPr="00A90756">
        <w:rPr>
          <w:rFonts w:ascii="Garamond" w:hAnsi="Garamond" w:cs="Times New Roman"/>
          <w:color w:val="000000"/>
          <w:sz w:val="24"/>
          <w:szCs w:val="24"/>
        </w:rPr>
        <w:t>rogramin nga burimet e veta deri në shumën e reduktimit. Përfituesi kryesor i IPA III mund të kërkojë më pas rimbursimin e atij financimi si pjesë e kërkesës së radhës për fonde të specifikuar</w:t>
      </w:r>
      <w:r w:rsidR="003148D8" w:rsidRPr="00A90756">
        <w:rPr>
          <w:rFonts w:ascii="Garamond" w:hAnsi="Garamond" w:cs="Times New Roman"/>
          <w:color w:val="000000"/>
          <w:sz w:val="24"/>
          <w:szCs w:val="24"/>
        </w:rPr>
        <w:t>a</w:t>
      </w:r>
      <w:r w:rsidRPr="00A90756">
        <w:rPr>
          <w:rFonts w:ascii="Garamond" w:hAnsi="Garamond" w:cs="Times New Roman"/>
          <w:color w:val="000000"/>
          <w:sz w:val="24"/>
          <w:szCs w:val="24"/>
        </w:rPr>
        <w:t xml:space="preserve"> në paragrafin 5.</w:t>
      </w:r>
    </w:p>
    <w:p w14:paraId="014E481D"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7. Në përputhje me nenin 33, paragrafi 1 të MFKP-së, Komisioni rezervon të drejtën për të përpunuar pagesa të pjesshme brenda kufijve të fondeve të disponueshme. Pasi fondet të vihen sërish në dispozicion, Komisioni përpunon menjëherë pagesën e shumës së mbetur.</w:t>
      </w:r>
    </w:p>
    <w:p w14:paraId="014E481E"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8. Komisioni ka të drejtë të rikuperojë bilancet e tepërta bankare që kanë mbetur pa u përdorur për më shumë se dymbëdhjetë muaj. Përpara ushtrimit të kësaj të drejte, Komisioni fton përfituesin kryesor të IPA III të japë arsyet e vonesës në disbursimin e fondeve dhe të vërtetojë nevojën e vazhdueshme për to brenda dy muajve të ardhshëm.</w:t>
      </w:r>
    </w:p>
    <w:p w14:paraId="014E481F" w14:textId="6131E181"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9. Interesat e gjeneruara nga llogaritë bankare të përdorura për këtë </w:t>
      </w:r>
      <w:r w:rsidR="003148D8" w:rsidRPr="00A90756">
        <w:rPr>
          <w:rFonts w:ascii="Garamond" w:hAnsi="Garamond" w:cs="Times New Roman"/>
          <w:color w:val="000000"/>
          <w:sz w:val="24"/>
          <w:szCs w:val="24"/>
        </w:rPr>
        <w:t>p</w:t>
      </w:r>
      <w:r w:rsidRPr="00A90756">
        <w:rPr>
          <w:rFonts w:ascii="Garamond" w:hAnsi="Garamond" w:cs="Times New Roman"/>
          <w:color w:val="000000"/>
          <w:sz w:val="24"/>
          <w:szCs w:val="24"/>
        </w:rPr>
        <w:t>rogram nuk do</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paguhen Komisionit.</w:t>
      </w:r>
    </w:p>
    <w:p w14:paraId="014E4820"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10. Sipas nenit 33, paragrafi 4 të MFKP-së, kur Komisioni ndërpret afatin kohor për kërkesën e pagesës për më shumë se dy muaj, përfituesi kryesor i IPA III mund të kërkojë një vendim nga Komisioni lidhur me faktin nëse do të vazhdojë ndërprerja e afatit kohor.</w:t>
      </w:r>
    </w:p>
    <w:p w14:paraId="014E4821" w14:textId="10C58E7D"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11. Pasqyra përfundimtare e certifikuar e shpenzimeve që përmendet në nenin 36, paragrafi 1, germa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a</w:t>
      </w:r>
      <w:r w:rsidR="00AE64AA" w:rsidRPr="00A90756">
        <w:rPr>
          <w:rFonts w:ascii="Garamond" w:hAnsi="Garamond" w:cs="Times New Roman"/>
          <w:color w:val="000000"/>
          <w:sz w:val="24"/>
          <w:szCs w:val="24"/>
        </w:rPr>
        <w:t>”</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MFKP-së, duhet të dorëzohet nga NPA</w:t>
      </w:r>
      <w:r w:rsidR="003148D8" w:rsidRPr="00A90756">
        <w:rPr>
          <w:rFonts w:ascii="Garamond" w:hAnsi="Garamond" w:cs="Times New Roman"/>
          <w:color w:val="000000"/>
          <w:sz w:val="24"/>
          <w:szCs w:val="24"/>
        </w:rPr>
        <w:t>-ja</w:t>
      </w:r>
      <w:r w:rsidRPr="00A90756">
        <w:rPr>
          <w:rFonts w:ascii="Garamond" w:hAnsi="Garamond" w:cs="Times New Roman"/>
          <w:color w:val="000000"/>
          <w:sz w:val="24"/>
          <w:szCs w:val="24"/>
        </w:rPr>
        <w:t xml:space="preserve"> jo më vonë se 16 muaj pas përfundimit të periudhës së zbatimit operacional.</w:t>
      </w:r>
    </w:p>
    <w:p w14:paraId="014E4822"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23"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12</w:t>
      </w:r>
    </w:p>
    <w:p w14:paraId="014E4824"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Ndërprerja e pagesave</w:t>
      </w:r>
    </w:p>
    <w:p w14:paraId="014E4825"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26" w14:textId="2239D7CC"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Pa c</w:t>
      </w:r>
      <w:r w:rsidR="003148D8" w:rsidRPr="00A90756">
        <w:rPr>
          <w:rFonts w:ascii="Garamond" w:hAnsi="Garamond" w:cs="Times New Roman"/>
          <w:color w:val="000000"/>
          <w:sz w:val="24"/>
          <w:szCs w:val="24"/>
        </w:rPr>
        <w:t>e</w:t>
      </w:r>
      <w:r w:rsidRPr="00A90756">
        <w:rPr>
          <w:rFonts w:ascii="Garamond" w:hAnsi="Garamond" w:cs="Times New Roman"/>
          <w:color w:val="000000"/>
          <w:sz w:val="24"/>
          <w:szCs w:val="24"/>
        </w:rPr>
        <w:t>nuar pezullimin ose zgjidhjen e kësaj Marrëveshjeje Financimi, përkatësisht në përputhje me nenet 16 dhe 17, si dhe pa c</w:t>
      </w:r>
      <w:r w:rsidR="003148D8" w:rsidRPr="00A90756">
        <w:rPr>
          <w:rFonts w:ascii="Garamond" w:hAnsi="Garamond" w:cs="Times New Roman"/>
          <w:color w:val="000000"/>
          <w:sz w:val="24"/>
          <w:szCs w:val="24"/>
        </w:rPr>
        <w:t>e</w:t>
      </w:r>
      <w:r w:rsidRPr="00A90756">
        <w:rPr>
          <w:rFonts w:ascii="Garamond" w:hAnsi="Garamond" w:cs="Times New Roman"/>
          <w:color w:val="000000"/>
          <w:sz w:val="24"/>
          <w:szCs w:val="24"/>
        </w:rPr>
        <w:t>nuar nenet 38 dhe 39 të MFKP-së, Komisioni mund të ndërpresë pagesat pjesërisht ose plotësisht, nëse:</w:t>
      </w:r>
    </w:p>
    <w:p w14:paraId="014E4827" w14:textId="640457BB"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a) Komisioni ka konstatuar ose ka shqetësime serioze se përfituesi kryesor i IPA III ka kryer gabime të konsiderueshme, parregullsi apo mashtrime që vënë në dyshim ligjshmërinë ose rregullsinë e transaksioneve të caktuara lidhur me to në zbatimin e </w:t>
      </w:r>
      <w:r w:rsidR="003148D8" w:rsidRPr="00A90756">
        <w:rPr>
          <w:rFonts w:ascii="Garamond" w:hAnsi="Garamond" w:cs="Times New Roman"/>
          <w:color w:val="000000"/>
          <w:sz w:val="24"/>
          <w:szCs w:val="24"/>
        </w:rPr>
        <w:t>p</w:t>
      </w:r>
      <w:r w:rsidRPr="00A90756">
        <w:rPr>
          <w:rFonts w:ascii="Garamond" w:hAnsi="Garamond" w:cs="Times New Roman"/>
          <w:color w:val="000000"/>
          <w:sz w:val="24"/>
          <w:szCs w:val="24"/>
        </w:rPr>
        <w:t>rogramit, ose nuk ka përmbushur detyrimet e tij në kuadrin e Marrëveshjes së Financimit, duke përfshirë detyrimet në lidhje me zbatimin e planit të Komunikimit dhe Vizibilitetit;</w:t>
      </w:r>
    </w:p>
    <w:p w14:paraId="014E4828" w14:textId="15A67B60"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Komisioni ka konstatuar ose ka shqetësime serioze se përfituesi kryesor i IPA III ka kryer gabime ose parregullsi sistemike ose të përsëritura, mashtrime ose shkelje të detyrimeve në kuadrin e kësaj Marrëveshjeje Financimi apo të tjera si këto, me kusht që këto gabime, parregullsi, mashtrime ose shkelje të detyrimeve të kenë ndikim material në zbatimin e Marrëveshjes së Financimit</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apo të vënë në dyshim besueshmërinë e sistemit të kontrollit të brendshëm të përfituesit të IPA III ose ligjshmërinë dhe rregullsinë e shpenzimeve të lidhura me to.</w:t>
      </w:r>
    </w:p>
    <w:p w14:paraId="014E4829"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2A"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13</w:t>
      </w:r>
    </w:p>
    <w:p w14:paraId="014E482B"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Rikuperimi i fondeve</w:t>
      </w:r>
    </w:p>
    <w:p w14:paraId="014E482C" w14:textId="77777777" w:rsidR="00382449" w:rsidRPr="00A90756" w:rsidRDefault="00382449" w:rsidP="00382449">
      <w:pPr>
        <w:autoSpaceDE w:val="0"/>
        <w:autoSpaceDN w:val="0"/>
        <w:adjustRightInd w:val="0"/>
        <w:spacing w:after="0" w:line="240" w:lineRule="auto"/>
        <w:ind w:firstLine="284"/>
        <w:jc w:val="center"/>
        <w:rPr>
          <w:rFonts w:ascii="Garamond" w:hAnsi="Garamond" w:cs="Calibri"/>
          <w:color w:val="000000"/>
          <w:sz w:val="24"/>
          <w:szCs w:val="24"/>
        </w:rPr>
      </w:pPr>
    </w:p>
    <w:p w14:paraId="014E482D" w14:textId="65ECD316"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Përveç rasteve të përmendura në nenin 40 të MFKP-së, Komisioni mund të rikuperojë fondet nga përfituesi kryesor i IPA III</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siç parashikohet në </w:t>
      </w:r>
      <w:r w:rsidR="003148D8" w:rsidRPr="00A90756">
        <w:rPr>
          <w:rFonts w:ascii="Garamond" w:hAnsi="Garamond" w:cs="Times New Roman"/>
          <w:color w:val="000000"/>
          <w:sz w:val="24"/>
          <w:szCs w:val="24"/>
        </w:rPr>
        <w:t>rregulloren f</w:t>
      </w:r>
      <w:r w:rsidRPr="00A90756">
        <w:rPr>
          <w:rFonts w:ascii="Garamond" w:hAnsi="Garamond" w:cs="Times New Roman"/>
          <w:color w:val="000000"/>
          <w:sz w:val="24"/>
          <w:szCs w:val="24"/>
        </w:rPr>
        <w:t>inanciare, veçanërisht në rastet e mëposhtme:</w:t>
      </w:r>
    </w:p>
    <w:p w14:paraId="014E482E" w14:textId="77777777"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a) paaftësi për të garantuar arritjen e rezultateve dhe përdorimin e produkteve për qëllimin e synuar të përcaktuar në shtojcën I;</w:t>
      </w:r>
    </w:p>
    <w:p w14:paraId="014E482F" w14:textId="496AEF4C"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shpenzime jolegjitime;</w:t>
      </w:r>
    </w:p>
    <w:p w14:paraId="014E4830" w14:textId="6F123954"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c) shpenzime të shkaktuara si rezultat i gabimeve, parregullsive, mashtrimeve ose shkeljes së detyrimeve në zbatimin e </w:t>
      </w:r>
      <w:r w:rsidR="003148D8" w:rsidRPr="00A90756">
        <w:rPr>
          <w:rFonts w:ascii="Garamond" w:hAnsi="Garamond" w:cs="Times New Roman"/>
          <w:color w:val="000000"/>
          <w:sz w:val="24"/>
          <w:szCs w:val="24"/>
        </w:rPr>
        <w:t>p</w:t>
      </w:r>
      <w:r w:rsidRPr="00A90756">
        <w:rPr>
          <w:rFonts w:ascii="Garamond" w:hAnsi="Garamond" w:cs="Times New Roman"/>
          <w:color w:val="000000"/>
          <w:sz w:val="24"/>
          <w:szCs w:val="24"/>
        </w:rPr>
        <w:t>rogramit, veçanërisht në procedurat e prokurimit dhe dhënies së granteve</w:t>
      </w:r>
      <w:r w:rsidR="003148D8" w:rsidRPr="00A90756">
        <w:rPr>
          <w:rFonts w:ascii="Garamond" w:hAnsi="Garamond" w:cs="Times New Roman"/>
          <w:color w:val="000000"/>
          <w:sz w:val="24"/>
          <w:szCs w:val="24"/>
        </w:rPr>
        <w:t>;</w:t>
      </w:r>
    </w:p>
    <w:p w14:paraId="014E4831" w14:textId="77777777" w:rsidR="00382449" w:rsidRPr="00A90756" w:rsidRDefault="00382449" w:rsidP="00382449">
      <w:pPr>
        <w:tabs>
          <w:tab w:val="left" w:pos="98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d) dobësi ose mangësi në sistemet e menaxhimit dhe kontrollit të përfituesit të IPA III, që çon në zbatimin e korrigjimit financiar.</w:t>
      </w:r>
    </w:p>
    <w:p w14:paraId="014E4832" w14:textId="4EA56E49"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Në përputhje me legjislacionin e brendshëm, NPA</w:t>
      </w:r>
      <w:r w:rsidR="003148D8" w:rsidRPr="00A90756">
        <w:rPr>
          <w:rFonts w:ascii="Garamond" w:hAnsi="Garamond" w:cs="Times New Roman"/>
          <w:color w:val="000000"/>
          <w:sz w:val="24"/>
          <w:szCs w:val="24"/>
        </w:rPr>
        <w:t>-ja</w:t>
      </w:r>
      <w:r w:rsidRPr="00A90756">
        <w:rPr>
          <w:rFonts w:ascii="Garamond" w:hAnsi="Garamond" w:cs="Times New Roman"/>
          <w:color w:val="000000"/>
          <w:sz w:val="24"/>
          <w:szCs w:val="24"/>
        </w:rPr>
        <w:t xml:space="preserve"> duhet të rikuperojë kontributin e Bashkimit Evropian që i është paguar përfituesit kryesor të IPA III nga marrës që gjendeshin në një nga prej situatave të përcaktuara në paragrafin 1, germat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b</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ose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c</w:t>
      </w:r>
      <w:r w:rsidR="00AE64AA" w:rsidRPr="00A90756">
        <w:rPr>
          <w:rFonts w:ascii="Garamond" w:hAnsi="Garamond" w:cs="Times New Roman"/>
          <w:color w:val="000000"/>
          <w:sz w:val="24"/>
          <w:szCs w:val="24"/>
        </w:rPr>
        <w:t>”</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këtij neni ose të </w:t>
      </w:r>
      <w:r w:rsidRPr="00A90756">
        <w:rPr>
          <w:rFonts w:ascii="Garamond" w:hAnsi="Garamond" w:cs="Times New Roman"/>
          <w:color w:val="000000"/>
          <w:sz w:val="24"/>
          <w:szCs w:val="24"/>
        </w:rPr>
        <w:lastRenderedPageBreak/>
        <w:t>përmendura në nenin 40 të MFKP-së. Fakti që NPA</w:t>
      </w:r>
      <w:r w:rsidR="003148D8" w:rsidRPr="00A90756">
        <w:rPr>
          <w:rFonts w:ascii="Garamond" w:hAnsi="Garamond" w:cs="Times New Roman"/>
          <w:color w:val="000000"/>
          <w:sz w:val="24"/>
          <w:szCs w:val="24"/>
        </w:rPr>
        <w:t>-ja</w:t>
      </w:r>
      <w:r w:rsidRPr="00A90756">
        <w:rPr>
          <w:rFonts w:ascii="Garamond" w:hAnsi="Garamond" w:cs="Times New Roman"/>
          <w:color w:val="000000"/>
          <w:sz w:val="24"/>
          <w:szCs w:val="24"/>
        </w:rPr>
        <w:t xml:space="preserve"> nuk arrin të rikuperojë të gjitha ose një pjesë të fondeve nuk e pengon Komisionin</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rikuperojë fondet nga përfituesi kryesor i IPA III.</w:t>
      </w:r>
    </w:p>
    <w:p w14:paraId="014E4833" w14:textId="3B84D31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Përfituesi jokryesor i IPA III do të bëjë përpjekje maksimale për të mbështetur përfituesin kryesor të IPA III në përpjekjet e rikuperimit kur marrësi është i vendosur në territorin e tij. Detajet e rikuperimeve parashikohen në marrëveshjen dypalëshe</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nënshkruar në përputhje me nenin 70 të MFKP-ve përkatëse.</w:t>
      </w:r>
    </w:p>
    <w:p w14:paraId="014E4834" w14:textId="147AE9C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4. Shumat e paguara në mënyrë të parregullt ose të rikuperuara nga përfituesi kryesor i IPA III, shumat nga garancitë financiare, të performancës dhe financimit paraprak të depozituara mbi bazën e procedurave të prokurimit dhe dhënies së granteve, shumat nga penalitetet financiare të vendosura nga përfituesi kryesor i IPA III për kandidatët, ofertuesit, aplikantët, kontraktorët ose përfituesit e granteve do të përdoren sërish për </w:t>
      </w:r>
      <w:r w:rsidR="003148D8" w:rsidRPr="00A90756">
        <w:rPr>
          <w:rFonts w:ascii="Garamond" w:hAnsi="Garamond" w:cs="Times New Roman"/>
          <w:color w:val="000000"/>
          <w:sz w:val="24"/>
          <w:szCs w:val="24"/>
        </w:rPr>
        <w:t>p</w:t>
      </w:r>
      <w:r w:rsidRPr="00A90756">
        <w:rPr>
          <w:rFonts w:ascii="Garamond" w:hAnsi="Garamond" w:cs="Times New Roman"/>
          <w:color w:val="000000"/>
          <w:sz w:val="24"/>
          <w:szCs w:val="24"/>
        </w:rPr>
        <w:t>rogramin ose do</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rikthehen Komisionit.</w:t>
      </w:r>
    </w:p>
    <w:p w14:paraId="014E4835"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36" w14:textId="7F591B8F"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 xml:space="preserve">Neni 13, germa </w:t>
      </w:r>
      <w:r w:rsidR="00AE64AA" w:rsidRPr="00A90756">
        <w:rPr>
          <w:rFonts w:ascii="Garamond" w:hAnsi="Garamond" w:cs="Times New Roman"/>
          <w:bCs/>
          <w:color w:val="000000"/>
          <w:sz w:val="24"/>
          <w:szCs w:val="24"/>
        </w:rPr>
        <w:t>“</w:t>
      </w:r>
      <w:r w:rsidRPr="00A90756">
        <w:rPr>
          <w:rFonts w:ascii="Garamond" w:hAnsi="Garamond" w:cs="Times New Roman"/>
          <w:bCs/>
          <w:color w:val="000000"/>
          <w:sz w:val="24"/>
          <w:szCs w:val="24"/>
        </w:rPr>
        <w:t>a</w:t>
      </w:r>
      <w:r w:rsidR="00AE64AA" w:rsidRPr="00A90756">
        <w:rPr>
          <w:rFonts w:ascii="Garamond" w:hAnsi="Garamond" w:cs="Times New Roman"/>
          <w:bCs/>
          <w:color w:val="000000"/>
          <w:sz w:val="24"/>
          <w:szCs w:val="24"/>
        </w:rPr>
        <w:t>”</w:t>
      </w:r>
    </w:p>
    <w:p w14:paraId="014E4837"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Korrigjimet financiare dhe mbyllja</w:t>
      </w:r>
    </w:p>
    <w:p w14:paraId="014E4838"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39"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Përveç neneve 42, 43 dhe 47 të MFKP-së, Komisioni ofron udhëzime plotësuese për shqyrtimin dhe pranimin e procedurës së llogarive, duke përfshirë korrigjimet financiare dhe mbylljen.</w:t>
      </w:r>
    </w:p>
    <w:p w14:paraId="014E483A"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1EE59783" w14:textId="68F24126" w:rsidR="00C908D9" w:rsidRPr="00A90756" w:rsidRDefault="003148D8" w:rsidP="00C908D9">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A90756">
        <w:rPr>
          <w:rFonts w:ascii="Garamond" w:hAnsi="Garamond" w:cs="Times New Roman"/>
          <w:bCs/>
          <w:color w:val="000000"/>
          <w:sz w:val="24"/>
          <w:szCs w:val="24"/>
        </w:rPr>
        <w:t>PJESA E TRETË</w:t>
      </w:r>
    </w:p>
    <w:p w14:paraId="014E483C" w14:textId="64367489" w:rsidR="00382449" w:rsidRPr="00A90756" w:rsidRDefault="003148D8" w:rsidP="00382449">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A90756">
        <w:rPr>
          <w:rFonts w:ascii="Garamond" w:hAnsi="Garamond" w:cs="Times New Roman"/>
          <w:bCs/>
          <w:color w:val="000000"/>
          <w:sz w:val="24"/>
          <w:szCs w:val="24"/>
        </w:rPr>
        <w:t>DISPOZITAT PËRFUNDIMTARE</w:t>
      </w:r>
    </w:p>
    <w:p w14:paraId="014E483D" w14:textId="77777777" w:rsidR="00382449" w:rsidRPr="00A90756" w:rsidRDefault="00382449" w:rsidP="00382449">
      <w:pPr>
        <w:autoSpaceDE w:val="0"/>
        <w:autoSpaceDN w:val="0"/>
        <w:adjustRightInd w:val="0"/>
        <w:spacing w:after="0" w:line="240" w:lineRule="auto"/>
        <w:ind w:firstLine="284"/>
        <w:jc w:val="center"/>
        <w:rPr>
          <w:rFonts w:ascii="Garamond" w:hAnsi="Garamond" w:cs="Calibri"/>
          <w:color w:val="000000"/>
          <w:sz w:val="24"/>
          <w:szCs w:val="24"/>
        </w:rPr>
      </w:pPr>
    </w:p>
    <w:p w14:paraId="014E483E"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14</w:t>
      </w:r>
    </w:p>
    <w:p w14:paraId="014E483F"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Konsultimi ndërmjet përfituesve të IPA III dhe Komisionit</w:t>
      </w:r>
    </w:p>
    <w:p w14:paraId="014E4840" w14:textId="77777777" w:rsidR="00382449" w:rsidRPr="00A90756" w:rsidRDefault="00382449" w:rsidP="00382449">
      <w:pPr>
        <w:autoSpaceDE w:val="0"/>
        <w:autoSpaceDN w:val="0"/>
        <w:adjustRightInd w:val="0"/>
        <w:spacing w:after="0" w:line="240" w:lineRule="auto"/>
        <w:ind w:firstLine="284"/>
        <w:jc w:val="both"/>
        <w:rPr>
          <w:rFonts w:ascii="Garamond" w:hAnsi="Garamond" w:cs="Calibri"/>
          <w:color w:val="000000"/>
          <w:sz w:val="24"/>
          <w:szCs w:val="24"/>
        </w:rPr>
      </w:pPr>
    </w:p>
    <w:p w14:paraId="014E4841" w14:textId="5D25D445"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Përfituesit e IPA III dhe Komisioni konsultohen me njëri-tjetrin përpara marrjes së masave të mëtejshme për ndonjë mosmarrëveshje</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lidhje me zbatimin ose interpretimin e kësaj Marrëveshjeje Financimi</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zbatim të nenit 18.</w:t>
      </w:r>
    </w:p>
    <w:p w14:paraId="014E4842"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Në rastet kur Komisioni vihet në dijeni të problemeve në kryerjen e procedurave në lidhje me zbatimin e kësaj Marrëveshjeje Financimi, ai vendos të gjitha kontaktet e nevojshme me përfituesit e IPA III për të rregulluar situatën dhe për të ndërmarrë çdo hap të nevojshëm.</w:t>
      </w:r>
    </w:p>
    <w:p w14:paraId="014E4843"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Konsultimi mund të çojë në një ndryshim, pezullim ose zgjidhje të kësaj Marrëveshjeje Financimi.</w:t>
      </w:r>
    </w:p>
    <w:p w14:paraId="014E4844" w14:textId="1F4CC175"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4. Komisioni vë në dijeni rregullisht përfituesit e IPA III mbi zbatimin e aktiviteteve të përshkruara në shtojcën I, të cilat nuk përfshihen në pjesën e dytë të </w:t>
      </w:r>
      <w:r w:rsidR="003148D8" w:rsidRPr="00A90756">
        <w:rPr>
          <w:rFonts w:ascii="Garamond" w:hAnsi="Garamond" w:cs="Times New Roman"/>
          <w:color w:val="000000"/>
          <w:sz w:val="24"/>
          <w:szCs w:val="24"/>
        </w:rPr>
        <w:t>kushteve të përgjithshme</w:t>
      </w:r>
      <w:r w:rsidRPr="00A90756">
        <w:rPr>
          <w:rFonts w:ascii="Garamond" w:hAnsi="Garamond" w:cs="Times New Roman"/>
          <w:color w:val="000000"/>
          <w:sz w:val="24"/>
          <w:szCs w:val="24"/>
        </w:rPr>
        <w:t>.</w:t>
      </w:r>
    </w:p>
    <w:p w14:paraId="014E4845" w14:textId="77777777" w:rsidR="00382449" w:rsidRPr="00A90756" w:rsidRDefault="00382449" w:rsidP="00382449">
      <w:pPr>
        <w:autoSpaceDE w:val="0"/>
        <w:autoSpaceDN w:val="0"/>
        <w:adjustRightInd w:val="0"/>
        <w:spacing w:after="0" w:line="240" w:lineRule="auto"/>
        <w:ind w:firstLine="284"/>
        <w:jc w:val="both"/>
        <w:rPr>
          <w:rFonts w:ascii="Garamond" w:hAnsi="Garamond" w:cs="Calibri"/>
          <w:color w:val="000000"/>
          <w:sz w:val="24"/>
          <w:szCs w:val="24"/>
        </w:rPr>
      </w:pPr>
    </w:p>
    <w:p w14:paraId="014E4846"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15</w:t>
      </w:r>
    </w:p>
    <w:p w14:paraId="014E4847"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Ndryshimet e kësaj Marrëveshjeje Financimi</w:t>
      </w:r>
    </w:p>
    <w:p w14:paraId="014E4848"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49"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Çdo ndryshim i kësaj Marrëveshjeje Financimi bëhet me shkrim, përfshirë me anë të letërkëmbimit.</w:t>
      </w:r>
    </w:p>
    <w:p w14:paraId="014E484A" w14:textId="5EA6615F"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Nëse përfituesit e IPA III kërkojnë një ndryshim, kërkesa duhet</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paraqitet bashkërisht Komisionit</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paktën gjashtë muaj përpara se ky ndryshim është planifikuar të hyjë në fuqi.</w:t>
      </w:r>
    </w:p>
    <w:p w14:paraId="014E484B"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Komisioni mund të ndryshojë dokumentet në shtojcat III, IV dhe V pa qenë e nevojshme të ndryshohet kjo Marrëveshje Financimi. Përfituesit e IPA III informohen me shkrim për çdo ndryshim të tillë dhe hyrjen e tij në fuqi.</w:t>
      </w:r>
    </w:p>
    <w:p w14:paraId="014E484C"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4D"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16</w:t>
      </w:r>
    </w:p>
    <w:p w14:paraId="014E484E"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Pezullimi i kësaj Marrëveshjeje Financimi</w:t>
      </w:r>
    </w:p>
    <w:p w14:paraId="014E484F"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p>
    <w:p w14:paraId="014E4850" w14:textId="77777777" w:rsidR="00382449" w:rsidRPr="00A90756" w:rsidRDefault="00382449" w:rsidP="00382449">
      <w:pPr>
        <w:autoSpaceDE w:val="0"/>
        <w:autoSpaceDN w:val="0"/>
        <w:adjustRightInd w:val="0"/>
        <w:spacing w:after="0" w:line="240" w:lineRule="auto"/>
        <w:ind w:firstLine="284"/>
        <w:jc w:val="both"/>
        <w:outlineLvl w:val="1"/>
        <w:rPr>
          <w:rFonts w:ascii="Garamond" w:hAnsi="Garamond" w:cs="Times New Roman"/>
          <w:color w:val="000000"/>
          <w:sz w:val="24"/>
          <w:szCs w:val="24"/>
        </w:rPr>
      </w:pPr>
      <w:r w:rsidRPr="00A90756">
        <w:rPr>
          <w:rFonts w:ascii="Garamond" w:hAnsi="Garamond" w:cs="Times New Roman"/>
          <w:color w:val="000000"/>
          <w:sz w:val="24"/>
          <w:szCs w:val="24"/>
        </w:rPr>
        <w:t>1. Marrëveshja e Financimit mund të pezullohet në rastet e mëposhtme:</w:t>
      </w:r>
    </w:p>
    <w:p w14:paraId="014E4851" w14:textId="7F350CB3"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a) Komisioni mund të pezullojë zbatimin e kësaj Marrëveshjeje Financimi nëse ndonjë përfitues i IPA III shkel ndonjë detyrim të kësaj Marrëveshjeje Financimi</w:t>
      </w:r>
      <w:r w:rsidR="003148D8" w:rsidRPr="00A90756">
        <w:rPr>
          <w:rFonts w:ascii="Garamond" w:hAnsi="Garamond" w:cs="Times New Roman"/>
          <w:color w:val="000000"/>
          <w:sz w:val="24"/>
          <w:szCs w:val="24"/>
        </w:rPr>
        <w:t>;</w:t>
      </w:r>
    </w:p>
    <w:p w14:paraId="014E4852" w14:textId="29D8BA0F"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Komisioni mund të pezullojë zbatimin e kësaj Marrëveshjeje Financimi nëse përfituesi kryesor i IPA III shkel ndonjë detyrim të përcaktuar në kuadrin e procedurave dhe dokumenteve standarde</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përmendura në nenin 18, paragrafi 2 të MFKP-së</w:t>
      </w:r>
      <w:r w:rsidR="003148D8"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pa cenuar dispozitat e nenit 8, paragrafi 2</w:t>
      </w:r>
      <w:r w:rsidR="003148D8" w:rsidRPr="00A90756">
        <w:rPr>
          <w:rFonts w:ascii="Garamond" w:hAnsi="Garamond" w:cs="Times New Roman"/>
          <w:color w:val="000000"/>
          <w:sz w:val="24"/>
          <w:szCs w:val="24"/>
        </w:rPr>
        <w:t>;</w:t>
      </w:r>
    </w:p>
    <w:p w14:paraId="014E4853" w14:textId="4CA40BA3"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c) Komisioni mund të pezullojë zbatimin e kësaj Marrëveshjeje Financimi nëse përfituesi kryesor i IPA III nuk përmbush kërkesat për delegimin e detyrave për zbatimin e buxhetit</w:t>
      </w:r>
      <w:r w:rsidR="003148D8" w:rsidRPr="00A90756">
        <w:rPr>
          <w:rFonts w:ascii="Garamond" w:hAnsi="Garamond" w:cs="Times New Roman"/>
          <w:color w:val="000000"/>
          <w:sz w:val="24"/>
          <w:szCs w:val="24"/>
        </w:rPr>
        <w:t>;</w:t>
      </w:r>
    </w:p>
    <w:p w14:paraId="014E4854" w14:textId="7DD5DB57"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 Komisioni mund të pezullojë zbatimin e kësaj Marrëveshjeje Financimi nëse përfituesit e IPA III nuk i përmbushin bashkërisht funksionet dhe përgjegjësitë e përmendura në nenin 2, paragrafi 1 dhe, në rastin e menaxhimit të tërthortë, në nenin 7, paragrafi 3</w:t>
      </w:r>
      <w:r w:rsidR="003148D8" w:rsidRPr="00A90756">
        <w:rPr>
          <w:rFonts w:ascii="Garamond" w:hAnsi="Garamond" w:cs="Times New Roman"/>
          <w:color w:val="000000"/>
          <w:sz w:val="24"/>
          <w:szCs w:val="24"/>
        </w:rPr>
        <w:t>;</w:t>
      </w:r>
    </w:p>
    <w:p w14:paraId="014E4855" w14:textId="665845E4"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e) Komisioni mund të pezullojë zbatimin e kësaj Marrëveshjeje Financimi nëse ndonjë përfitues i IPA III vendos të pezullojë ose ndërpresë procesin e anëtarësimit në BE</w:t>
      </w:r>
      <w:r w:rsidR="003148D8" w:rsidRPr="00A90756">
        <w:rPr>
          <w:rFonts w:ascii="Garamond" w:hAnsi="Garamond" w:cs="Times New Roman"/>
          <w:color w:val="000000"/>
          <w:sz w:val="24"/>
          <w:szCs w:val="24"/>
        </w:rPr>
        <w:t>;</w:t>
      </w:r>
    </w:p>
    <w:p w14:paraId="014E4856" w14:textId="77777777"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f) Komisioni mund të pezullojë zbatimin e kësaj Marrëveshjeje Financimi nëse ndonjë përfitues i IPA III shkel një detyrim në lidhje me respektimin e të drejtave të njeriut, parimet demokratike dhe sundimin e ligjit dhe në rastet e rënda të korrupsionit ose nëse përfituesi i IPA III është fajtor për shkelje të rëndë profesionale të vërtetuar me çdo mjet të arsyeshëm. Shkelja e rëndë profesionale nënkupton cilëndo nga pikat vijuese:</w:t>
      </w:r>
    </w:p>
    <w:p w14:paraId="014E4857" w14:textId="3FCE53E3" w:rsidR="00382449" w:rsidRPr="00A90756" w:rsidRDefault="00382449" w:rsidP="00382449">
      <w:pPr>
        <w:tabs>
          <w:tab w:val="left" w:pos="12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 shkelje të legjislacionit ose rregulloreve të zbatueshme apo të standardeve etike të profesionit të cilit i përket personi ose subjekti</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ose</w:t>
      </w:r>
    </w:p>
    <w:p w14:paraId="014E4858" w14:textId="46B011A8" w:rsidR="00382449" w:rsidRPr="00A90756" w:rsidRDefault="00382449" w:rsidP="00FE72C5">
      <w:pPr>
        <w:tabs>
          <w:tab w:val="left" w:pos="12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çdo sjellje të padrejtë të një personi apo subjekti që ndikon në besueshmërinë e tij profesionale, në rastet kur një sjellje e tillë nënkupton qëllim të padrejtë ose pakujdesi të rëndë</w:t>
      </w:r>
      <w:r w:rsidR="00FE72C5" w:rsidRPr="00A90756">
        <w:rPr>
          <w:rFonts w:ascii="Garamond" w:hAnsi="Garamond" w:cs="Times New Roman"/>
          <w:color w:val="000000"/>
          <w:sz w:val="24"/>
          <w:szCs w:val="24"/>
        </w:rPr>
        <w:t>;</w:t>
      </w:r>
    </w:p>
    <w:p w14:paraId="014E4859" w14:textId="581AC281" w:rsidR="00382449" w:rsidRPr="00A90756" w:rsidRDefault="00382449" w:rsidP="00382449">
      <w:pPr>
        <w:tabs>
          <w:tab w:val="left" w:pos="98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g) Kjo Marrëveshje Financimi mund të pezullohet në rastet e forcës madhore, siç përcaktohet më poshtë.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Forcë madhore</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është çdo situatë ose ngjarje e paparashikueshme dhe e jashtëzakonshme</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përtej kontrollit të palëve që i pengon ato në përmbushjen e detyrimeve të tyre, që nuk i atribuohet një gabimi apo neglizhence nga ana e tyre (ose nga ana e kontraktorëve, agjentëve apo punonjësve të tyre) dhe që rezulton e pakapërcyeshme pavarësisht të gjithë kujdesit të duhur të ushtruar. Defektet në pajisje ose materiale apo vonesat në vënien e tyre në dispozicion, mosmarrëveshjet në punë, grevat ose vështirësitë financiare nuk mund të përdoren si forcë madhore. Një palë nuk mban përgjegjësi për shkelje të detyrimeve të saj nëse pengohet</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 xml:space="preserve">përmbushë ato nga një rast i forcës madhore për të cilin pala tjetër është informuar në mënyrën e duhur. Një palë që përballet me forcë madhore duhet të informojë palën tjetër pa vonesë, duke deklaruar natyrën, kohëzgjatjen e mundshme dhe efektet e parashikueshme të problemit, si dhe të marrë çdo masë për minimizimin e dëmit të mundshëm. Nëse forca madhore ndikon vetëm në një pjesë të </w:t>
      </w:r>
      <w:r w:rsidR="00FE72C5" w:rsidRPr="00A90756">
        <w:rPr>
          <w:rFonts w:ascii="Garamond" w:hAnsi="Garamond" w:cs="Times New Roman"/>
          <w:color w:val="000000"/>
          <w:sz w:val="24"/>
          <w:szCs w:val="24"/>
        </w:rPr>
        <w:t>p</w:t>
      </w:r>
      <w:r w:rsidRPr="00A90756">
        <w:rPr>
          <w:rFonts w:ascii="Garamond" w:hAnsi="Garamond" w:cs="Times New Roman"/>
          <w:color w:val="000000"/>
          <w:sz w:val="24"/>
          <w:szCs w:val="24"/>
        </w:rPr>
        <w:t>rogramit, pezullimi i Marrëveshjes së Financimit mund të jetë i pjesshëm. Asnjëra nga palët nuk mund të konsiderohet përgjegjëse për shkelje të detyrimeve të saj</w:t>
      </w:r>
      <w:r w:rsidR="00FE72C5"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sipas kësaj Marrëveshje Financimi</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nëse pengohet në përmbushjen e tyre për shkak të një force madhore, me kusht që të marrë masat për të minimizuar çdo dëm të mundshëm.</w:t>
      </w:r>
    </w:p>
    <w:p w14:paraId="014E485A" w14:textId="77777777" w:rsidR="00382449" w:rsidRPr="00A90756" w:rsidRDefault="00382449" w:rsidP="00236B0B">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Komisioni mund ta pezullojë këtë Marrëveshje Financimi pa njoftim paraprak.</w:t>
      </w:r>
    </w:p>
    <w:p w14:paraId="014E485C" w14:textId="657969E3" w:rsidR="00382449" w:rsidRPr="00A90756" w:rsidRDefault="00382449" w:rsidP="00236B0B">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Komisioni mund të marrë çdo masë të nevojshme paraprake para hyrjes në fuqi të</w:t>
      </w:r>
      <w:r w:rsidR="00236B0B"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pezullimit.</w:t>
      </w:r>
    </w:p>
    <w:p w14:paraId="014E485D" w14:textId="7777777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4. Në rastin kur njoftohet pezullimi, duhet të tregohen pasojat për prokurimin në vijim apo për kontratat e prokurimit dhe kontratat e granteve që duhet të nënshkruhen, si dhe marrëveshjet e kontributit.</w:t>
      </w:r>
    </w:p>
    <w:p w14:paraId="014E485E" w14:textId="15A4B9B7"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5. Pezullimi i kësaj Marrëveshjeje Financimi bëhet pa cenuar ndërprerjen e pagesave dhe zgjidhjen e kësaj Marrëveshjeje Financimi nga Komisioni</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përputhje me nenin 12 dhe nenin 17.</w:t>
      </w:r>
    </w:p>
    <w:p w14:paraId="014E485F" w14:textId="0F65CB63" w:rsidR="00382449" w:rsidRPr="00A90756" w:rsidRDefault="00382449" w:rsidP="00382449">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6. Palët e përfshira rifillojnë zbatimin e Marrëveshjes së Financimit sapo këtë e lejojnë kushtet, me miratimin paraprak me shkrim të Komisionit. Kjo bëhet pa cenuar ndonjë ndryshim të kësaj Marrëveshjeje Financimi që mund të jetë i nevojshëm për të përshtatur </w:t>
      </w:r>
      <w:r w:rsidR="00FE72C5" w:rsidRPr="00A90756">
        <w:rPr>
          <w:rFonts w:ascii="Garamond" w:hAnsi="Garamond" w:cs="Times New Roman"/>
          <w:color w:val="000000"/>
          <w:sz w:val="24"/>
          <w:szCs w:val="24"/>
        </w:rPr>
        <w:t>p</w:t>
      </w:r>
      <w:r w:rsidRPr="00A90756">
        <w:rPr>
          <w:rFonts w:ascii="Garamond" w:hAnsi="Garamond" w:cs="Times New Roman"/>
          <w:color w:val="000000"/>
          <w:sz w:val="24"/>
          <w:szCs w:val="24"/>
        </w:rPr>
        <w:t>rogramin me kushtet e reja të zbatimit, duke përfshirë, nëse është e mundur, zgjatjen e periudhave të zbatimit operacional dhe ekzekutimit, ose zgjidhjen e kësaj Marrëveshjeje Financimi në përputhje me nenin 17.</w:t>
      </w:r>
    </w:p>
    <w:p w14:paraId="014E4860" w14:textId="77777777" w:rsidR="00382449" w:rsidRPr="00A90756" w:rsidRDefault="00382449" w:rsidP="00382449">
      <w:pPr>
        <w:autoSpaceDE w:val="0"/>
        <w:autoSpaceDN w:val="0"/>
        <w:adjustRightInd w:val="0"/>
        <w:spacing w:after="0" w:line="240" w:lineRule="auto"/>
        <w:ind w:firstLine="284"/>
        <w:jc w:val="center"/>
        <w:rPr>
          <w:rFonts w:ascii="Garamond" w:hAnsi="Garamond" w:cs="Calibri"/>
          <w:color w:val="000000"/>
          <w:sz w:val="24"/>
          <w:szCs w:val="24"/>
        </w:rPr>
      </w:pPr>
    </w:p>
    <w:p w14:paraId="014E4861"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lastRenderedPageBreak/>
        <w:t>Neni 17</w:t>
      </w:r>
    </w:p>
    <w:p w14:paraId="014E4862"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Zgjidhja e kësaj Marrëveshjeje Financimi</w:t>
      </w:r>
    </w:p>
    <w:p w14:paraId="014E4863"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64" w14:textId="77777777" w:rsidR="00382449" w:rsidRPr="00A90756" w:rsidRDefault="00382449" w:rsidP="00FE72C5">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Nëse çështjet që çuan në pezullimin e kësaj Marrëveshjeje Financimi nuk janë zgjidhur brenda një periudhe maksimale prej 180 ditësh, secila palë mund ta zgjidhë Marrëveshjen e Financimit pas një njoftimi 30-ditor.</w:t>
      </w:r>
    </w:p>
    <w:p w14:paraId="014E4865" w14:textId="77777777" w:rsidR="00382449" w:rsidRPr="00A90756" w:rsidRDefault="00382449" w:rsidP="00FE72C5">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Në rastin kur njoftohet zgjidhja, duhet të tregohen pasojat për prokurimin në vijim apo për kontratat e prokurimit dhe kontratat e granteve që duhet të nënshkruhen, si dhe marrëveshjet e kontributit.</w:t>
      </w:r>
    </w:p>
    <w:p w14:paraId="014E4866" w14:textId="2D67E5B8" w:rsidR="00382449" w:rsidRPr="00A90756" w:rsidRDefault="00382449" w:rsidP="00FE72C5">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Zgjidhja e kësaj Marrëveshjeje Financimi nuk përjashton mundësinë që Komisioni të bëjë korrigjime financiare</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përputhje me nenet 43 dhe 44 të MFKP-së.</w:t>
      </w:r>
    </w:p>
    <w:p w14:paraId="014E4867" w14:textId="77777777" w:rsidR="00382449" w:rsidRPr="00A90756" w:rsidRDefault="00382449" w:rsidP="00FE72C5">
      <w:pPr>
        <w:autoSpaceDE w:val="0"/>
        <w:autoSpaceDN w:val="0"/>
        <w:adjustRightInd w:val="0"/>
        <w:spacing w:after="0" w:line="240" w:lineRule="auto"/>
        <w:ind w:firstLine="284"/>
        <w:jc w:val="both"/>
        <w:rPr>
          <w:rFonts w:ascii="Garamond" w:hAnsi="Garamond" w:cs="Calibri"/>
          <w:color w:val="000000"/>
          <w:sz w:val="24"/>
          <w:szCs w:val="24"/>
        </w:rPr>
      </w:pPr>
    </w:p>
    <w:p w14:paraId="014E4868"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18</w:t>
      </w:r>
    </w:p>
    <w:p w14:paraId="014E4869"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Legjislacioni i zbatueshëm, zgjidhja e mosmarrëveshjeve</w:t>
      </w:r>
    </w:p>
    <w:p w14:paraId="014E486A"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6B" w14:textId="77777777" w:rsidR="00382449" w:rsidRPr="00A90756" w:rsidRDefault="00382449" w:rsidP="00382449">
      <w:pPr>
        <w:tabs>
          <w:tab w:val="left" w:pos="54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1. Kjo Marrëveshje rregullohet nga legjislacioni i BE-së.</w:t>
      </w:r>
    </w:p>
    <w:p w14:paraId="014E486C"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Nëse një mosmarrëveshje lidhur me interpretimin, zbatimin ose vlefshmërinë e Marrëveshjes nuk mund të zgjidhet në mënyrë miqësore, ajo do të zgjidhet nëpërmjet arbitrazhit në përputhje me Rregulloren e Arbitrazhit të vitit 2012 të Gjykatës së Përhershme të Arbitrazhit (GJPA), duke iu nënshtruar kushteve në vijim:</w:t>
      </w:r>
    </w:p>
    <w:p w14:paraId="014E486D"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a) Përbërja e panelit</w:t>
      </w:r>
    </w:p>
    <w:p w14:paraId="014E486E" w14:textId="3CC16E6A"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Për pretendime për shumën 500 000 </w:t>
      </w:r>
      <w:r w:rsidR="00FE72C5" w:rsidRPr="00A90756">
        <w:rPr>
          <w:rFonts w:ascii="Garamond" w:hAnsi="Garamond" w:cs="Times New Roman"/>
          <w:color w:val="000000"/>
          <w:sz w:val="24"/>
          <w:szCs w:val="24"/>
        </w:rPr>
        <w:t>e</w:t>
      </w:r>
      <w:r w:rsidRPr="00A90756">
        <w:rPr>
          <w:rFonts w:ascii="Garamond" w:hAnsi="Garamond" w:cs="Times New Roman"/>
          <w:color w:val="000000"/>
          <w:sz w:val="24"/>
          <w:szCs w:val="24"/>
        </w:rPr>
        <w:t>uro e lart: paneli duhet të përbëhet nga tre arbitra. Çdo palë cakton një arbitër brenda 40 ditëve kalendarike pasi të jetë dërguar njoftimi i arbitrazhit. Dy arbitrat e caktuar nga palët caktojnë nga ana e tyre një arbitër të tretë për të vepruar si arbitër kryesues.</w:t>
      </w:r>
    </w:p>
    <w:p w14:paraId="014E486F" w14:textId="4AE424E3"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Për pretendime nën 500 000 </w:t>
      </w:r>
      <w:r w:rsidR="00FE72C5" w:rsidRPr="00A90756">
        <w:rPr>
          <w:rFonts w:ascii="Garamond" w:hAnsi="Garamond" w:cs="Times New Roman"/>
          <w:color w:val="000000"/>
          <w:sz w:val="24"/>
          <w:szCs w:val="24"/>
        </w:rPr>
        <w:t>e</w:t>
      </w:r>
      <w:r w:rsidRPr="00A90756">
        <w:rPr>
          <w:rFonts w:ascii="Garamond" w:hAnsi="Garamond" w:cs="Times New Roman"/>
          <w:color w:val="000000"/>
          <w:sz w:val="24"/>
          <w:szCs w:val="24"/>
        </w:rPr>
        <w:t>uro: paneli duhet të përbëhet nga një arbitër, përveç nëse palët bien dakord ndryshe.</w:t>
      </w:r>
    </w:p>
    <w:p w14:paraId="014E4870" w14:textId="2A51E47C"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Nëse paneli nuk krijohet brenda 80 ditëve kalendarike pasi të dërgohet njoftimi i arbitrazhit, secila palë mund të kërkojë nga Sekretariati i GJPA-së ose autoritet tjetër neutral i pranuar në mënyrë reciproke që të caktojë arbitrat e nevojshëm</w:t>
      </w:r>
      <w:r w:rsidR="00FE72C5" w:rsidRPr="00A90756">
        <w:rPr>
          <w:rFonts w:ascii="Garamond" w:hAnsi="Garamond" w:cs="Times New Roman"/>
          <w:color w:val="000000"/>
          <w:sz w:val="24"/>
          <w:szCs w:val="24"/>
        </w:rPr>
        <w:t>;</w:t>
      </w:r>
    </w:p>
    <w:p w14:paraId="014E4871"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Selia</w:t>
      </w:r>
    </w:p>
    <w:p w14:paraId="014E4872" w14:textId="6BE12C62"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Selia e panelit të arbitrazhit do të jetë Haga, Holandë</w:t>
      </w:r>
      <w:r w:rsidR="00FE72C5" w:rsidRPr="00A90756">
        <w:rPr>
          <w:rFonts w:ascii="Garamond" w:hAnsi="Garamond" w:cs="Times New Roman"/>
          <w:color w:val="000000"/>
          <w:sz w:val="24"/>
          <w:szCs w:val="24"/>
        </w:rPr>
        <w:t>;</w:t>
      </w:r>
    </w:p>
    <w:p w14:paraId="014E4873"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c) Gjuha</w:t>
      </w:r>
    </w:p>
    <w:p w14:paraId="014E4874" w14:textId="54C0F810"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Gjuha e procedurave do të jetë anglishtja ose një gjuhë tjetër zyrtare e Bashkimit Evropian e pranuar në mënyrë reciproke. Provat mund të paraqiten në gjuhë të tjera, nëse palët bien dakord</w:t>
      </w:r>
      <w:r w:rsidR="00FE72C5" w:rsidRPr="00A90756">
        <w:rPr>
          <w:rFonts w:ascii="Garamond" w:hAnsi="Garamond" w:cs="Times New Roman"/>
          <w:color w:val="000000"/>
          <w:sz w:val="24"/>
          <w:szCs w:val="24"/>
        </w:rPr>
        <w:t>;</w:t>
      </w:r>
    </w:p>
    <w:p w14:paraId="014E4875" w14:textId="77777777"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 Procedura</w:t>
      </w:r>
    </w:p>
    <w:p w14:paraId="014E4876" w14:textId="3F8FFD3A"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Përjashtohet rekursi për masat provizore, ndërhyrjet e palës së tretë dhe ndërhyrjet </w:t>
      </w:r>
      <w:r w:rsidRPr="00A90756">
        <w:rPr>
          <w:rFonts w:ascii="Garamond" w:hAnsi="Garamond" w:cs="Times New Roman"/>
          <w:i/>
          <w:color w:val="000000"/>
          <w:sz w:val="24"/>
          <w:szCs w:val="24"/>
        </w:rPr>
        <w:t>amicus curiae</w:t>
      </w:r>
      <w:r w:rsidR="00FE72C5" w:rsidRPr="00A90756">
        <w:rPr>
          <w:rFonts w:ascii="Garamond" w:hAnsi="Garamond" w:cs="Times New Roman"/>
          <w:color w:val="000000"/>
          <w:sz w:val="24"/>
          <w:szCs w:val="24"/>
        </w:rPr>
        <w:t>;</w:t>
      </w:r>
    </w:p>
    <w:p w14:paraId="014E4877"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Nëse një palë e tretë i kërkon panelit ta trajtojë informacionin ose materialet në mënyrë konfidenciale, vendimi do të merret në formën e një urdhri të arsyetuar dhe pasi të dëgjohet pala tjetër (10 ditë kalendarike për paraqitjen e vërejtjeve). Paneli do të vlerësojë arsyet për kërkesën, natyrën e informacionit dhe të drejtën për mbrojtje gjyqësore efektive. Në veçanti, paneli mund:</w:t>
      </w:r>
    </w:p>
    <w:p w14:paraId="014E4878" w14:textId="11F2654D" w:rsidR="00382449" w:rsidRPr="00A90756" w:rsidRDefault="00382449" w:rsidP="00382449">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ta bëjë publikimin e informacioneve objekt të detyrimeve specifike</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ose</w:t>
      </w:r>
    </w:p>
    <w:p w14:paraId="014E4879" w14:textId="0C616F9D" w:rsidR="00382449" w:rsidRPr="00A90756" w:rsidRDefault="00382449" w:rsidP="00382449">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të vendosë kundër publikimit të informacionit, por të urdhërojë paraqitjen e versionit jokonfidencial ose përmbledhjes së informacionit</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ose materialeve, që përmbajnë të dhëna të mjaftueshme për</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mundësuar palës tjetër të shprehë pikëpamjet e saj në një mënyrë logjike.</w:t>
      </w:r>
    </w:p>
    <w:p w14:paraId="014E487A"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Nëse panelit i kërkohet ta dëgjojë çështjen me dyer të mbyllura, vendimi do të merret pasi të dëgjohet pala tjetër (10 ditë kalendarike për paraqitjen e vërejtjeve).</w:t>
      </w:r>
    </w:p>
    <w:p w14:paraId="014E487B"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Paneli merr në konsideratë arsyet për kërkesën dhe kundërshtimet e palës tjetër (nëse ka).</w:t>
      </w:r>
    </w:p>
    <w:p w14:paraId="014E487C" w14:textId="40742EB8"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Nëse panelit i kërkohet të interpretojë ose zbatojë legjislacionin e Bashkimit Evropian, ai do të pezullojë procedurat dhe do</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 xml:space="preserve">kërkojë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Kryetarit të Gjykatës së Lartë të Parisit</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w:t>
      </w:r>
      <w:r w:rsidRPr="00A90756">
        <w:rPr>
          <w:rFonts w:ascii="Garamond" w:hAnsi="Garamond" w:cs="Times New Roman"/>
          <w:i/>
          <w:color w:val="000000"/>
          <w:sz w:val="24"/>
          <w:szCs w:val="24"/>
        </w:rPr>
        <w:t xml:space="preserve">Président du Tribunal de grande instance de Paris, </w:t>
      </w:r>
      <w:r w:rsidR="00292D5B" w:rsidRPr="00A90756">
        <w:rPr>
          <w:rFonts w:ascii="Garamond" w:hAnsi="Garamond" w:cs="Times New Roman"/>
          <w:i/>
          <w:color w:val="000000"/>
          <w:sz w:val="24"/>
          <w:szCs w:val="24"/>
        </w:rPr>
        <w:t>‘</w:t>
      </w:r>
      <w:r w:rsidRPr="00A90756">
        <w:rPr>
          <w:rFonts w:ascii="Garamond" w:hAnsi="Garamond" w:cs="Times New Roman"/>
          <w:i/>
          <w:color w:val="000000"/>
          <w:sz w:val="24"/>
          <w:szCs w:val="24"/>
        </w:rPr>
        <w:t>juge d</w:t>
      </w:r>
      <w:r w:rsidR="00292D5B" w:rsidRPr="00A90756">
        <w:rPr>
          <w:rFonts w:ascii="Garamond" w:hAnsi="Garamond" w:cs="Times New Roman"/>
          <w:i/>
          <w:color w:val="000000"/>
          <w:sz w:val="24"/>
          <w:szCs w:val="24"/>
        </w:rPr>
        <w:t>’</w:t>
      </w:r>
      <w:r w:rsidRPr="00A90756">
        <w:rPr>
          <w:rFonts w:ascii="Garamond" w:hAnsi="Garamond" w:cs="Times New Roman"/>
          <w:i/>
          <w:color w:val="000000"/>
          <w:sz w:val="24"/>
          <w:szCs w:val="24"/>
        </w:rPr>
        <w:t>appui</w:t>
      </w:r>
      <w:r w:rsidR="00292D5B" w:rsidRPr="00A90756">
        <w:rPr>
          <w:rFonts w:ascii="Garamond" w:hAnsi="Garamond" w:cs="Times New Roman"/>
          <w:i/>
          <w:color w:val="000000"/>
          <w:sz w:val="24"/>
          <w:szCs w:val="24"/>
        </w:rPr>
        <w:t>’</w:t>
      </w:r>
      <w:r w:rsidRPr="00A90756">
        <w:rPr>
          <w:rFonts w:ascii="Garamond" w:hAnsi="Garamond" w:cs="Times New Roman"/>
          <w:color w:val="000000"/>
          <w:sz w:val="24"/>
          <w:szCs w:val="24"/>
        </w:rPr>
        <w:t xml:space="preserve">), në përputhje me nenin 1460 dhe 1505 të Kodit të </w:t>
      </w:r>
      <w:r w:rsidRPr="00A90756">
        <w:rPr>
          <w:rFonts w:ascii="Garamond" w:hAnsi="Garamond" w:cs="Times New Roman"/>
          <w:color w:val="000000"/>
          <w:sz w:val="24"/>
          <w:szCs w:val="24"/>
        </w:rPr>
        <w:lastRenderedPageBreak/>
        <w:t>Procedurës Civile të Republikës së Francës</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të kërkojë marrjen e një vendimi paraprak nga Gjykata e Drejtësisë e Bashkimit Evropian</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përputhje me nenin 267 të TFBE-së. Procedurat përpara trupës gjykuese të arbitrazhit rifillojnë pas marrjes së vendimit nga gjykatësi mbështetës (</w:t>
      </w:r>
      <w:r w:rsidRPr="00A90756">
        <w:rPr>
          <w:rFonts w:ascii="Garamond" w:hAnsi="Garamond" w:cs="Times New Roman"/>
          <w:i/>
          <w:color w:val="000000"/>
          <w:sz w:val="24"/>
          <w:szCs w:val="24"/>
        </w:rPr>
        <w:t>juge d</w:t>
      </w:r>
      <w:r w:rsidR="00292D5B" w:rsidRPr="00A90756">
        <w:rPr>
          <w:rFonts w:ascii="Garamond" w:hAnsi="Garamond" w:cs="Times New Roman"/>
          <w:i/>
          <w:color w:val="000000"/>
          <w:sz w:val="24"/>
          <w:szCs w:val="24"/>
        </w:rPr>
        <w:t>’</w:t>
      </w:r>
      <w:r w:rsidRPr="00A90756">
        <w:rPr>
          <w:rFonts w:ascii="Garamond" w:hAnsi="Garamond" w:cs="Times New Roman"/>
          <w:i/>
          <w:color w:val="000000"/>
          <w:sz w:val="24"/>
          <w:szCs w:val="24"/>
        </w:rPr>
        <w:t>appui</w:t>
      </w:r>
      <w:r w:rsidRPr="00A90756">
        <w:rPr>
          <w:rFonts w:ascii="Garamond" w:hAnsi="Garamond" w:cs="Times New Roman"/>
          <w:color w:val="000000"/>
          <w:sz w:val="24"/>
          <w:szCs w:val="24"/>
        </w:rPr>
        <w:t>). Vendimi i Gjykatës së Drejtësisë dhe gjykatësit mbështetës është detyrues për panelin.</w:t>
      </w:r>
    </w:p>
    <w:p w14:paraId="014E487D"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Vendimi i arbitrazhit është përfundimtar dhe detyrues për palët dhe duhet të zbatohet prej tyre pa vonesë.</w:t>
      </w:r>
    </w:p>
    <w:p w14:paraId="014E487E"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Megjithatë, secila palë mund të kërkojë rishqyrtimin e vendimit nga Gjykata e Apelit e Hagës (</w:t>
      </w:r>
      <w:r w:rsidRPr="00A90756">
        <w:rPr>
          <w:rFonts w:ascii="Garamond" w:hAnsi="Garamond" w:cs="Times New Roman"/>
          <w:i/>
          <w:color w:val="000000"/>
          <w:sz w:val="24"/>
          <w:szCs w:val="24"/>
        </w:rPr>
        <w:t>Gerechtshof Den Haag</w:t>
      </w:r>
      <w:r w:rsidRPr="00A90756">
        <w:rPr>
          <w:rFonts w:ascii="Garamond" w:hAnsi="Garamond" w:cs="Times New Roman"/>
          <w:color w:val="000000"/>
          <w:sz w:val="24"/>
          <w:szCs w:val="24"/>
        </w:rPr>
        <w:t>) mbi bazën e legjislacionit të brendshëm të zbatueshëm. Në këtë rast, vendimi nuk do të konsiderohet përfundimtar deri në përfundimin e kësaj procedure. Vendimi i gjykatës së rishqyrtimit është detyrues për panelin.</w:t>
      </w:r>
    </w:p>
    <w:p w14:paraId="014E487F" w14:textId="77777777" w:rsidR="00382449" w:rsidRPr="00A90756" w:rsidRDefault="00382449" w:rsidP="00FE72C5">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e) Kostot</w:t>
      </w:r>
    </w:p>
    <w:p w14:paraId="014E4880" w14:textId="77777777" w:rsidR="00382449" w:rsidRPr="00A90756" w:rsidRDefault="00382449" w:rsidP="00FE72C5">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Kostot e arbitrazhit përbëhen nga:</w:t>
      </w:r>
    </w:p>
    <w:p w14:paraId="014E4881" w14:textId="44310EE7" w:rsidR="00382449" w:rsidRPr="00A90756" w:rsidRDefault="00382449" w:rsidP="00FE72C5">
      <w:pPr>
        <w:tabs>
          <w:tab w:val="left" w:pos="12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tarifat dhe shpenzimet e arsyeshme të arbitrave</w:t>
      </w:r>
      <w:r w:rsidR="00FE72C5" w:rsidRPr="00A90756">
        <w:rPr>
          <w:rFonts w:ascii="Garamond" w:hAnsi="Garamond" w:cs="Times New Roman"/>
          <w:color w:val="000000"/>
          <w:sz w:val="24"/>
          <w:szCs w:val="24"/>
        </w:rPr>
        <w:t>;</w:t>
      </w:r>
    </w:p>
    <w:p w14:paraId="014E4882" w14:textId="29158764" w:rsidR="00382449" w:rsidRPr="00A90756" w:rsidRDefault="00382449" w:rsidP="00FE72C5">
      <w:pPr>
        <w:tabs>
          <w:tab w:val="left" w:pos="12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kostot e arsyeshme të ekspertëve dhe dëshmitarëve të miratuara nga paneli</w:t>
      </w:r>
      <w:r w:rsidR="00FE72C5"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dhe</w:t>
      </w:r>
    </w:p>
    <w:p w14:paraId="014E4883" w14:textId="71C5EB7C" w:rsidR="00382449" w:rsidRPr="00A90756" w:rsidRDefault="00382449" w:rsidP="00FE72C5">
      <w:pPr>
        <w:tabs>
          <w:tab w:val="left" w:pos="12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tarifat dhe shpenzimet e Sekretariatit të GJPA-së për procedurat e arbitrazhit (p.sh.</w:t>
      </w:r>
      <w:r w:rsidR="00FE72C5"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kateringu, shpenzimet për administratën e gjykatës, sallën, interpretimin).</w:t>
      </w:r>
    </w:p>
    <w:p w14:paraId="014E4884" w14:textId="77777777" w:rsidR="00382449" w:rsidRPr="00A90756" w:rsidRDefault="00382449" w:rsidP="00FE72C5">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Tarifat e arbitrave nuk duhet të tejkalojnë:</w:t>
      </w:r>
    </w:p>
    <w:p w14:paraId="014E4885" w14:textId="699151CC" w:rsidR="00382449" w:rsidRPr="00A90756" w:rsidRDefault="00382449" w:rsidP="00FE72C5">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- 30 000 </w:t>
      </w:r>
      <w:r w:rsidR="00FE72C5" w:rsidRPr="00A90756">
        <w:rPr>
          <w:rFonts w:ascii="Garamond" w:hAnsi="Garamond" w:cs="Times New Roman"/>
          <w:color w:val="000000"/>
          <w:sz w:val="24"/>
          <w:szCs w:val="24"/>
        </w:rPr>
        <w:t>e</w:t>
      </w:r>
      <w:r w:rsidRPr="00A90756">
        <w:rPr>
          <w:rFonts w:ascii="Garamond" w:hAnsi="Garamond" w:cs="Times New Roman"/>
          <w:color w:val="000000"/>
          <w:sz w:val="24"/>
          <w:szCs w:val="24"/>
        </w:rPr>
        <w:t xml:space="preserve">uro për arbitër nëse shuma e kontestuar është nën 1 000 000 </w:t>
      </w:r>
      <w:r w:rsidR="00FE72C5" w:rsidRPr="00A90756">
        <w:rPr>
          <w:rFonts w:ascii="Garamond" w:hAnsi="Garamond" w:cs="Times New Roman"/>
          <w:color w:val="000000"/>
          <w:sz w:val="24"/>
          <w:szCs w:val="24"/>
        </w:rPr>
        <w:t>e</w:t>
      </w:r>
      <w:r w:rsidRPr="00A90756">
        <w:rPr>
          <w:rFonts w:ascii="Garamond" w:hAnsi="Garamond" w:cs="Times New Roman"/>
          <w:color w:val="000000"/>
          <w:sz w:val="24"/>
          <w:szCs w:val="24"/>
        </w:rPr>
        <w:t>uro</w:t>
      </w:r>
      <w:r w:rsidR="00FE72C5" w:rsidRPr="00A90756">
        <w:rPr>
          <w:rFonts w:ascii="Garamond" w:hAnsi="Garamond" w:cs="Times New Roman"/>
          <w:color w:val="000000"/>
          <w:sz w:val="24"/>
          <w:szCs w:val="24"/>
        </w:rPr>
        <w:t>;</w:t>
      </w:r>
    </w:p>
    <w:p w14:paraId="014E4886" w14:textId="483FF42A" w:rsidR="00382449" w:rsidRPr="00A90756" w:rsidRDefault="00382449" w:rsidP="00FE72C5">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- 15% të shumës së kontestuar nëse ajo shumë është mbi 1 000 000 </w:t>
      </w:r>
      <w:r w:rsidR="00FE72C5" w:rsidRPr="00A90756">
        <w:rPr>
          <w:rFonts w:ascii="Garamond" w:hAnsi="Garamond" w:cs="Times New Roman"/>
          <w:color w:val="000000"/>
          <w:sz w:val="24"/>
          <w:szCs w:val="24"/>
        </w:rPr>
        <w:t>e</w:t>
      </w:r>
      <w:r w:rsidRPr="00A90756">
        <w:rPr>
          <w:rFonts w:ascii="Garamond" w:hAnsi="Garamond" w:cs="Times New Roman"/>
          <w:color w:val="000000"/>
          <w:sz w:val="24"/>
          <w:szCs w:val="24"/>
        </w:rPr>
        <w:t>uro. Tarifat e arbitrave nuk duhet</w:t>
      </w:r>
      <w:r w:rsidR="00C61854" w:rsidRPr="00A90756">
        <w:rPr>
          <w:rFonts w:ascii="Garamond" w:hAnsi="Garamond" w:cs="Times New Roman"/>
          <w:color w:val="000000"/>
          <w:sz w:val="24"/>
          <w:szCs w:val="24"/>
        </w:rPr>
        <w:t xml:space="preserve"> t</w:t>
      </w:r>
      <w:r w:rsidR="00292D5B" w:rsidRPr="00A90756">
        <w:rPr>
          <w:rFonts w:ascii="Garamond" w:hAnsi="Garamond" w:cs="Times New Roman"/>
          <w:color w:val="000000"/>
          <w:sz w:val="24"/>
          <w:szCs w:val="24"/>
        </w:rPr>
        <w:t>’</w:t>
      </w:r>
      <w:r w:rsidR="00C61854" w:rsidRPr="00A90756">
        <w:rPr>
          <w:rFonts w:ascii="Garamond" w:hAnsi="Garamond" w:cs="Times New Roman"/>
          <w:color w:val="000000"/>
          <w:sz w:val="24"/>
          <w:szCs w:val="24"/>
        </w:rPr>
        <w:t xml:space="preserve">i </w:t>
      </w:r>
      <w:r w:rsidRPr="00A90756">
        <w:rPr>
          <w:rFonts w:ascii="Garamond" w:hAnsi="Garamond" w:cs="Times New Roman"/>
          <w:color w:val="000000"/>
          <w:sz w:val="24"/>
          <w:szCs w:val="24"/>
        </w:rPr>
        <w:t xml:space="preserve">tejkalojnë në asnjë rast 300 000 </w:t>
      </w:r>
      <w:r w:rsidR="00FE72C5" w:rsidRPr="00A90756">
        <w:rPr>
          <w:rFonts w:ascii="Garamond" w:hAnsi="Garamond" w:cs="Times New Roman"/>
          <w:color w:val="000000"/>
          <w:sz w:val="24"/>
          <w:szCs w:val="24"/>
        </w:rPr>
        <w:t>e</w:t>
      </w:r>
      <w:r w:rsidRPr="00A90756">
        <w:rPr>
          <w:rFonts w:ascii="Garamond" w:hAnsi="Garamond" w:cs="Times New Roman"/>
          <w:color w:val="000000"/>
          <w:sz w:val="24"/>
          <w:szCs w:val="24"/>
        </w:rPr>
        <w:t>uro.</w:t>
      </w:r>
    </w:p>
    <w:p w14:paraId="014E4887" w14:textId="77777777" w:rsidR="00382449" w:rsidRPr="00A90756" w:rsidRDefault="00382449" w:rsidP="00FE72C5">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Kostot e arbitrazhit do të paguhen nga palët në mënyrë të barabartë, përveçse kur bien dakord ndryshe.</w:t>
      </w:r>
    </w:p>
    <w:p w14:paraId="014E4888"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Palët paguajnë kostot e përfaqësimit të tyre ligjor dhe kostot e tjera të shkaktuara prej tyre në lidhje me arbitrazhin.</w:t>
      </w:r>
    </w:p>
    <w:p w14:paraId="014E4889" w14:textId="77777777" w:rsidR="00382449" w:rsidRPr="00A90756" w:rsidRDefault="00382449" w:rsidP="00382449">
      <w:pPr>
        <w:tabs>
          <w:tab w:val="left" w:pos="960"/>
        </w:tabs>
        <w:autoSpaceDE w:val="0"/>
        <w:autoSpaceDN w:val="0"/>
        <w:adjustRightInd w:val="0"/>
        <w:spacing w:after="0" w:line="240" w:lineRule="auto"/>
        <w:ind w:firstLine="284"/>
        <w:rPr>
          <w:rFonts w:ascii="Garamond" w:hAnsi="Garamond" w:cs="Times New Roman"/>
          <w:color w:val="000000"/>
          <w:sz w:val="24"/>
          <w:szCs w:val="24"/>
        </w:rPr>
      </w:pPr>
      <w:r w:rsidRPr="00A90756">
        <w:rPr>
          <w:rFonts w:ascii="Garamond" w:hAnsi="Garamond" w:cs="Times New Roman"/>
          <w:color w:val="000000"/>
          <w:sz w:val="24"/>
          <w:szCs w:val="24"/>
        </w:rPr>
        <w:t>f) Privilegjet dhe imunitetet</w:t>
      </w:r>
    </w:p>
    <w:p w14:paraId="014E488A" w14:textId="77777777" w:rsidR="00382449" w:rsidRPr="00A90756" w:rsidRDefault="00382449" w:rsidP="00382449">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Marrëveshja për ndjekjen e procedurës së arbitrazhit sipas Rregullores së Arbitrazhit të vitit 2012 të GJPA-së nuk përbën dhe nuk mund të interpretohet si heqje dorë nga privilegjet ose imunitetet e asnjërës palë, së cilës i takojnë.</w:t>
      </w:r>
    </w:p>
    <w:p w14:paraId="014E488B"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8C"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bCs/>
          <w:color w:val="000000"/>
          <w:sz w:val="24"/>
          <w:szCs w:val="24"/>
        </w:rPr>
      </w:pPr>
      <w:r w:rsidRPr="00A90756">
        <w:rPr>
          <w:rFonts w:ascii="Garamond" w:hAnsi="Garamond" w:cs="Times New Roman"/>
          <w:bCs/>
          <w:color w:val="000000"/>
          <w:sz w:val="24"/>
          <w:szCs w:val="24"/>
        </w:rPr>
        <w:t>Neni 19</w:t>
      </w:r>
    </w:p>
    <w:p w14:paraId="014E488D" w14:textId="77777777" w:rsidR="00382449" w:rsidRPr="00A90756" w:rsidRDefault="00382449" w:rsidP="00382449">
      <w:pPr>
        <w:autoSpaceDE w:val="0"/>
        <w:autoSpaceDN w:val="0"/>
        <w:adjustRightInd w:val="0"/>
        <w:spacing w:after="0" w:line="240" w:lineRule="auto"/>
        <w:ind w:firstLine="284"/>
        <w:jc w:val="center"/>
        <w:outlineLvl w:val="1"/>
        <w:rPr>
          <w:rFonts w:ascii="Garamond" w:hAnsi="Garamond" w:cs="Times New Roman"/>
          <w:color w:val="000000"/>
          <w:sz w:val="24"/>
          <w:szCs w:val="24"/>
        </w:rPr>
      </w:pPr>
      <w:r w:rsidRPr="00A90756">
        <w:rPr>
          <w:rFonts w:ascii="Garamond" w:hAnsi="Garamond" w:cs="Times New Roman"/>
          <w:b/>
          <w:bCs/>
          <w:color w:val="000000"/>
          <w:sz w:val="24"/>
          <w:szCs w:val="24"/>
        </w:rPr>
        <w:t>Masat kufizuese të BE-së</w:t>
      </w:r>
    </w:p>
    <w:p w14:paraId="014E488E" w14:textId="77777777" w:rsidR="00382449" w:rsidRPr="00A90756" w:rsidRDefault="00382449" w:rsidP="00382449">
      <w:pPr>
        <w:autoSpaceDE w:val="0"/>
        <w:autoSpaceDN w:val="0"/>
        <w:adjustRightInd w:val="0"/>
        <w:spacing w:after="0" w:line="240" w:lineRule="auto"/>
        <w:ind w:firstLine="284"/>
        <w:rPr>
          <w:rFonts w:ascii="Garamond" w:hAnsi="Garamond" w:cs="Calibri"/>
          <w:color w:val="000000"/>
          <w:sz w:val="24"/>
          <w:szCs w:val="24"/>
        </w:rPr>
      </w:pPr>
    </w:p>
    <w:p w14:paraId="014E4890" w14:textId="5886D4A2" w:rsidR="00382449" w:rsidRPr="00A90756" w:rsidRDefault="00382449" w:rsidP="00FE72C5">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Përkufizime</w:t>
      </w:r>
    </w:p>
    <w:p w14:paraId="014E4891" w14:textId="71DE264A" w:rsidR="00382449" w:rsidRPr="00A90756" w:rsidRDefault="00382449" w:rsidP="00FE72C5">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a)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Masat kufizuese të BE-së</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janë masat kufizuese të miratuara në përputhje me Traktatin për Bashkimin Evropian (TBE) ose Traktatin për Funksionimin e Bashkimit Evropian (TFBE)</w:t>
      </w:r>
      <w:r w:rsidR="00C908D9">
        <w:rPr>
          <w:rFonts w:ascii="Garamond" w:hAnsi="Garamond" w:cs="Times New Roman"/>
          <w:color w:val="000000"/>
          <w:sz w:val="24"/>
          <w:szCs w:val="24"/>
        </w:rPr>
        <w:t>;</w:t>
      </w:r>
    </w:p>
    <w:p w14:paraId="014E4892" w14:textId="6354BCBD" w:rsidR="00382449" w:rsidRPr="00A90756" w:rsidRDefault="00382449" w:rsidP="00FE72C5">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b) </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Personi i kufizuar</w:t>
      </w:r>
      <w:r w:rsidR="00AE64AA"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është çdo subjekt, individ ose grup individësh i përcaktuar nga BE</w:t>
      </w:r>
      <w:r w:rsidR="00FE72C5" w:rsidRPr="00A90756">
        <w:rPr>
          <w:rFonts w:ascii="Garamond" w:hAnsi="Garamond" w:cs="Times New Roman"/>
          <w:color w:val="000000"/>
          <w:sz w:val="24"/>
          <w:szCs w:val="24"/>
        </w:rPr>
        <w:t>-ja</w:t>
      </w:r>
      <w:r w:rsidRPr="00A90756">
        <w:rPr>
          <w:rFonts w:ascii="Garamond" w:hAnsi="Garamond" w:cs="Times New Roman"/>
          <w:color w:val="000000"/>
          <w:sz w:val="24"/>
          <w:szCs w:val="24"/>
        </w:rPr>
        <w:t xml:space="preserve"> si objekt i </w:t>
      </w:r>
      <w:r w:rsidR="00FE72C5" w:rsidRPr="00A90756">
        <w:rPr>
          <w:rFonts w:ascii="Garamond" w:hAnsi="Garamond" w:cs="Times New Roman"/>
          <w:color w:val="000000"/>
          <w:sz w:val="24"/>
          <w:szCs w:val="24"/>
        </w:rPr>
        <w:t xml:space="preserve">masave kufizuese </w:t>
      </w:r>
      <w:r w:rsidRPr="00A90756">
        <w:rPr>
          <w:rFonts w:ascii="Garamond" w:hAnsi="Garamond" w:cs="Times New Roman"/>
          <w:color w:val="000000"/>
          <w:sz w:val="24"/>
          <w:szCs w:val="24"/>
        </w:rPr>
        <w:t>të BE-së</w:t>
      </w:r>
      <w:r w:rsidRPr="00A90756">
        <w:rPr>
          <w:rStyle w:val="FootnoteReference"/>
          <w:rFonts w:ascii="Garamond" w:hAnsi="Garamond" w:cs="Times New Roman"/>
          <w:color w:val="000000"/>
          <w:sz w:val="24"/>
          <w:szCs w:val="24"/>
        </w:rPr>
        <w:footnoteReference w:id="34"/>
      </w:r>
      <w:r w:rsidRPr="00A90756">
        <w:rPr>
          <w:rFonts w:ascii="Garamond" w:hAnsi="Garamond" w:cs="Times New Roman"/>
          <w:color w:val="000000"/>
          <w:sz w:val="24"/>
          <w:szCs w:val="24"/>
        </w:rPr>
        <w:t>.</w:t>
      </w:r>
    </w:p>
    <w:p w14:paraId="014E4893" w14:textId="2B8D0B70" w:rsidR="00382449" w:rsidRPr="00A90756" w:rsidRDefault="00382449" w:rsidP="00FE72C5">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2. Në të gjitha marrëdhëniet e tyre, </w:t>
      </w:r>
      <w:r w:rsidR="00FE72C5" w:rsidRPr="00A90756">
        <w:rPr>
          <w:rFonts w:ascii="Garamond" w:hAnsi="Garamond" w:cs="Times New Roman"/>
          <w:color w:val="000000"/>
          <w:sz w:val="24"/>
          <w:szCs w:val="24"/>
        </w:rPr>
        <w:t>p</w:t>
      </w:r>
      <w:r w:rsidRPr="00A90756">
        <w:rPr>
          <w:rFonts w:ascii="Garamond" w:hAnsi="Garamond" w:cs="Times New Roman"/>
          <w:color w:val="000000"/>
          <w:sz w:val="24"/>
          <w:szCs w:val="24"/>
        </w:rPr>
        <w:t xml:space="preserve">alët pranojnë se, sipas ligjit të BE-së, asnjë fond apo burim ekonomik i BE-së nuk mund të vihet në dispozicion të </w:t>
      </w:r>
      <w:r w:rsidR="00FE72C5" w:rsidRPr="00A90756">
        <w:rPr>
          <w:rFonts w:ascii="Garamond" w:hAnsi="Garamond" w:cs="Times New Roman"/>
          <w:color w:val="000000"/>
          <w:sz w:val="24"/>
          <w:szCs w:val="24"/>
        </w:rPr>
        <w:t>personave të k</w:t>
      </w:r>
      <w:r w:rsidRPr="00A90756">
        <w:rPr>
          <w:rFonts w:ascii="Garamond" w:hAnsi="Garamond" w:cs="Times New Roman"/>
          <w:color w:val="000000"/>
          <w:sz w:val="24"/>
          <w:szCs w:val="24"/>
        </w:rPr>
        <w:t>ufizuar në mënyrë të drejtpërdrejtë ose të tërthortë, ose për përfitimin e tyre.</w:t>
      </w:r>
    </w:p>
    <w:p w14:paraId="014E4894" w14:textId="77777777" w:rsidR="00382449" w:rsidRPr="00A90756" w:rsidRDefault="00382449" w:rsidP="00FE72C5">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Përfituesi kryesor i IPA III sigurohet që asnjë transaksion që është objekt i një përputhjeje të verifikuar me listën e sanksioneve të BE-së të mos përfitojë në mënyrë të drejtpërdrejtë apo të tërthortë nga financimi i BE-së. Përfituesi kryesor i IPA III angazhohet ta garantojë këtë detyrim:</w:t>
      </w:r>
    </w:p>
    <w:p w14:paraId="014E4895" w14:textId="4450A374" w:rsidR="00382449" w:rsidRPr="00A90756" w:rsidRDefault="00382449" w:rsidP="00FE72C5">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a) duke kontrolluar për përputhje me listën e sanksioneve të BE-së, qoftë përpara lidhjes së marrëveshjeve përkatëse apo kryerjes së pagesave në kuadër të tyre, çdo </w:t>
      </w:r>
      <w:r w:rsidR="00FE72C5" w:rsidRPr="00A90756">
        <w:rPr>
          <w:rFonts w:ascii="Garamond" w:hAnsi="Garamond" w:cs="Times New Roman"/>
          <w:color w:val="000000"/>
          <w:sz w:val="24"/>
          <w:szCs w:val="24"/>
        </w:rPr>
        <w:t>kontraktor, përfitues granti dhe marrës fundo</w:t>
      </w:r>
      <w:r w:rsidRPr="00A90756">
        <w:rPr>
          <w:rFonts w:ascii="Garamond" w:hAnsi="Garamond" w:cs="Times New Roman"/>
          <w:color w:val="000000"/>
          <w:sz w:val="24"/>
          <w:szCs w:val="24"/>
        </w:rPr>
        <w:t xml:space="preserve">r me të cilin përfituesi kryesor i IPA III ka ose pritet të ketë marrëdhënie kontraktuale të drejtpërdrejta (marrësi i drejtpërdrejtë), në mënyrë që të vlerësohet nëse marrësi është një </w:t>
      </w:r>
      <w:r w:rsidR="00FE72C5" w:rsidRPr="00A90756">
        <w:rPr>
          <w:rFonts w:ascii="Garamond" w:hAnsi="Garamond" w:cs="Times New Roman"/>
          <w:color w:val="000000"/>
          <w:sz w:val="24"/>
          <w:szCs w:val="24"/>
        </w:rPr>
        <w:t>person i kufizuar;</w:t>
      </w:r>
    </w:p>
    <w:p w14:paraId="014E4896" w14:textId="383B3404" w:rsidR="00382449" w:rsidRPr="00A90756" w:rsidRDefault="00382449" w:rsidP="00382449">
      <w:pPr>
        <w:tabs>
          <w:tab w:val="left" w:pos="96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 xml:space="preserve">b) me anë të kontrollit ose nëpërmjet mjeteve të tjera të përshtatshme (që mund të përfshijnë një verifikim </w:t>
      </w:r>
      <w:r w:rsidRPr="00A90756">
        <w:rPr>
          <w:rFonts w:ascii="Garamond" w:hAnsi="Garamond" w:cs="Times New Roman"/>
          <w:i/>
          <w:color w:val="000000"/>
          <w:sz w:val="24"/>
          <w:szCs w:val="24"/>
        </w:rPr>
        <w:t>ex-post</w:t>
      </w:r>
      <w:r w:rsidRPr="00A90756">
        <w:rPr>
          <w:rFonts w:ascii="Garamond" w:hAnsi="Garamond" w:cs="Times New Roman"/>
          <w:color w:val="000000"/>
          <w:sz w:val="24"/>
          <w:szCs w:val="24"/>
        </w:rPr>
        <w:t xml:space="preserve">) mbi bazën e një qasjeje të bazuar në risk, që asnjë subjekt që do të merrte financimin e BE-së në mënyrë të tërthortë të mos jetë </w:t>
      </w:r>
      <w:r w:rsidR="00FE72C5" w:rsidRPr="00A90756">
        <w:rPr>
          <w:rFonts w:ascii="Garamond" w:hAnsi="Garamond" w:cs="Times New Roman"/>
          <w:color w:val="000000"/>
          <w:sz w:val="24"/>
          <w:szCs w:val="24"/>
        </w:rPr>
        <w:t>person i kufizu</w:t>
      </w:r>
      <w:r w:rsidRPr="00A90756">
        <w:rPr>
          <w:rFonts w:ascii="Garamond" w:hAnsi="Garamond" w:cs="Times New Roman"/>
          <w:color w:val="000000"/>
          <w:sz w:val="24"/>
          <w:szCs w:val="24"/>
        </w:rPr>
        <w:t>ar.</w:t>
      </w:r>
    </w:p>
    <w:p w14:paraId="014E4897" w14:textId="1351C7ED"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4. Në rastin që përfituesi kryesor i IPA III vlerëson se ndonjë nga marrësit (e drejtpërdrejtë apo të tërthortë) i financimit të BE-së është </w:t>
      </w:r>
      <w:r w:rsidR="00FE72C5" w:rsidRPr="00A90756">
        <w:rPr>
          <w:rFonts w:ascii="Garamond" w:hAnsi="Garamond" w:cs="Times New Roman"/>
          <w:color w:val="000000"/>
          <w:sz w:val="24"/>
          <w:szCs w:val="24"/>
        </w:rPr>
        <w:t>person i kufizuar</w:t>
      </w:r>
      <w:r w:rsidRPr="00A90756">
        <w:rPr>
          <w:rFonts w:ascii="Garamond" w:hAnsi="Garamond" w:cs="Times New Roman"/>
          <w:color w:val="000000"/>
          <w:sz w:val="24"/>
          <w:szCs w:val="24"/>
        </w:rPr>
        <w:t>, përfituesi kryesor i IPA III informon menjëherë Komisionin.</w:t>
      </w:r>
    </w:p>
    <w:p w14:paraId="014E4898" w14:textId="77777777"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5. Pa cenuar detyrimin në pikën 3 më lart, nëse Komisioni vlerëson se përdorimi i asistencës financiare të Bashkimit Evropian në kuadrin e IPA III rezulton ose ka rezultuar në shkelje të masave kufizuese të BE-së, shumat korresponduese nuk kualifikohen për asistencën financiare të Bashkimit Evropian në kuadrin e IPA III. Kjo nuk cenon asnjë nga të drejtat që Komisioni mund të ketë për të pezulluar ose përfunduar veprimin e ndikuar nga një shkelje e tillë, për të rikuperuar çdo financim të BE-së që është kontribut i Komisionit, ose për ta pezulluar apo zgjidhur këtë marrëveshje financimi.</w:t>
      </w:r>
    </w:p>
    <w:p w14:paraId="014E4899" w14:textId="072BB3A3" w:rsidR="00382449" w:rsidRPr="00A90756" w:rsidRDefault="00382449" w:rsidP="00382449">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6. Përcaktimi i masave korrigjuese duhet të bëhet në përputhje me parimin e proporcionalitetit. Masat korrigjuese duhet të zbatohen vetëm për financimin e BE-së që i vihet në dispozicion një marrësi ose për përfitimin e tij, për periudhën gjatë së cilës ka mbetur </w:t>
      </w:r>
      <w:r w:rsidR="005C3F3B" w:rsidRPr="00A90756">
        <w:rPr>
          <w:rFonts w:ascii="Garamond" w:hAnsi="Garamond" w:cs="Times New Roman"/>
          <w:color w:val="000000"/>
          <w:sz w:val="24"/>
          <w:szCs w:val="24"/>
        </w:rPr>
        <w:t>person i kufizuar</w:t>
      </w:r>
      <w:r w:rsidRPr="00A90756">
        <w:rPr>
          <w:rFonts w:ascii="Garamond" w:hAnsi="Garamond" w:cs="Times New Roman"/>
          <w:color w:val="000000"/>
          <w:sz w:val="24"/>
          <w:szCs w:val="24"/>
        </w:rPr>
        <w:t>.</w:t>
      </w:r>
    </w:p>
    <w:p w14:paraId="014E489A" w14:textId="6D55F1E6" w:rsidR="00382449" w:rsidRPr="00A90756" w:rsidRDefault="00382449" w:rsidP="00382449">
      <w:pPr>
        <w:tabs>
          <w:tab w:val="left" w:pos="540"/>
        </w:tabs>
        <w:autoSpaceDE w:val="0"/>
        <w:autoSpaceDN w:val="0"/>
        <w:adjustRightInd w:val="0"/>
        <w:spacing w:after="0" w:line="240" w:lineRule="auto"/>
        <w:ind w:firstLine="284"/>
        <w:rPr>
          <w:rFonts w:ascii="Garamond" w:hAnsi="Garamond"/>
          <w:sz w:val="24"/>
          <w:szCs w:val="24"/>
        </w:rPr>
      </w:pPr>
      <w:r w:rsidRPr="00A90756">
        <w:rPr>
          <w:rFonts w:ascii="Garamond" w:hAnsi="Garamond" w:cs="Times New Roman"/>
          <w:color w:val="000000"/>
          <w:sz w:val="24"/>
          <w:szCs w:val="24"/>
        </w:rPr>
        <w:t xml:space="preserve">7. Kjo klauzolë nuk cenon përjashtimet që përmbajnë </w:t>
      </w:r>
      <w:r w:rsidR="005C3F3B" w:rsidRPr="00A90756">
        <w:rPr>
          <w:rFonts w:ascii="Garamond" w:hAnsi="Garamond" w:cs="Times New Roman"/>
          <w:color w:val="000000"/>
          <w:sz w:val="24"/>
          <w:szCs w:val="24"/>
        </w:rPr>
        <w:t xml:space="preserve">masat kufizuese </w:t>
      </w:r>
      <w:r w:rsidRPr="00A90756">
        <w:rPr>
          <w:rFonts w:ascii="Garamond" w:hAnsi="Garamond" w:cs="Times New Roman"/>
          <w:color w:val="000000"/>
          <w:sz w:val="24"/>
          <w:szCs w:val="24"/>
        </w:rPr>
        <w:t>të BE-së.</w:t>
      </w:r>
    </w:p>
    <w:p w14:paraId="014E489B" w14:textId="77777777" w:rsidR="008E52E9" w:rsidRPr="00A90756" w:rsidRDefault="008E52E9" w:rsidP="00EC73A8">
      <w:pPr>
        <w:spacing w:after="0" w:line="240" w:lineRule="auto"/>
        <w:ind w:firstLine="284"/>
        <w:rPr>
          <w:rFonts w:ascii="Garamond" w:hAnsi="Garamond"/>
          <w:sz w:val="24"/>
          <w:szCs w:val="24"/>
        </w:rPr>
      </w:pPr>
    </w:p>
    <w:p w14:paraId="014E489C" w14:textId="77777777" w:rsidR="00E55BD9" w:rsidRPr="00A90756" w:rsidRDefault="00E55BD9" w:rsidP="00E55BD9">
      <w:pPr>
        <w:spacing w:after="0" w:line="240" w:lineRule="auto"/>
        <w:jc w:val="center"/>
        <w:rPr>
          <w:rFonts w:ascii="Garamond" w:hAnsi="Garamond" w:cs="Arial"/>
          <w:b/>
          <w:sz w:val="24"/>
          <w:szCs w:val="24"/>
        </w:rPr>
      </w:pPr>
      <w:r w:rsidRPr="00A90756">
        <w:rPr>
          <w:rFonts w:ascii="Garamond" w:hAnsi="Garamond"/>
          <w:b/>
          <w:sz w:val="24"/>
          <w:szCs w:val="24"/>
        </w:rPr>
        <w:t>[MODEL]</w:t>
      </w:r>
    </w:p>
    <w:p w14:paraId="014E489D" w14:textId="77777777" w:rsidR="00E55BD9" w:rsidRPr="00A90756" w:rsidRDefault="00E55BD9" w:rsidP="00E55BD9">
      <w:pPr>
        <w:spacing w:after="0" w:line="240" w:lineRule="auto"/>
        <w:jc w:val="center"/>
        <w:rPr>
          <w:rFonts w:ascii="Garamond" w:hAnsi="Garamond"/>
          <w:b/>
          <w:sz w:val="24"/>
          <w:szCs w:val="24"/>
        </w:rPr>
      </w:pPr>
    </w:p>
    <w:p w14:paraId="014E489E" w14:textId="77777777" w:rsidR="00E55BD9" w:rsidRPr="00A90756" w:rsidRDefault="00E55BD9" w:rsidP="00E55BD9">
      <w:pPr>
        <w:spacing w:after="0" w:line="240" w:lineRule="auto"/>
        <w:jc w:val="center"/>
        <w:rPr>
          <w:rFonts w:ascii="Garamond" w:hAnsi="Garamond" w:cs="Arial"/>
          <w:b/>
          <w:sz w:val="24"/>
          <w:szCs w:val="24"/>
        </w:rPr>
      </w:pPr>
      <w:r w:rsidRPr="00A90756">
        <w:rPr>
          <w:rFonts w:ascii="Garamond" w:hAnsi="Garamond"/>
          <w:b/>
          <w:sz w:val="24"/>
          <w:szCs w:val="24"/>
        </w:rPr>
        <w:t>Raporti vjetor i zbatimit: &lt;Viti&gt;</w:t>
      </w:r>
    </w:p>
    <w:p w14:paraId="014E489F" w14:textId="77777777" w:rsidR="00E55BD9" w:rsidRPr="00A90756" w:rsidRDefault="00E55BD9" w:rsidP="00E55BD9">
      <w:pPr>
        <w:spacing w:after="0" w:line="240" w:lineRule="auto"/>
        <w:jc w:val="center"/>
        <w:rPr>
          <w:rFonts w:ascii="Garamond" w:hAnsi="Garamond" w:cs="Arial"/>
          <w:b/>
          <w:sz w:val="24"/>
          <w:szCs w:val="24"/>
        </w:rPr>
      </w:pPr>
    </w:p>
    <w:p w14:paraId="014E48A0" w14:textId="77777777" w:rsidR="00E55BD9" w:rsidRPr="00A90756" w:rsidRDefault="00E55BD9" w:rsidP="00E55BD9">
      <w:pPr>
        <w:spacing w:after="0" w:line="240" w:lineRule="auto"/>
        <w:jc w:val="center"/>
        <w:rPr>
          <w:rFonts w:ascii="Garamond" w:hAnsi="Garamond" w:cs="Arial"/>
          <w:b/>
          <w:sz w:val="24"/>
          <w:szCs w:val="24"/>
        </w:rPr>
      </w:pPr>
      <w:r w:rsidRPr="00A90756">
        <w:rPr>
          <w:rFonts w:ascii="Garamond" w:hAnsi="Garamond"/>
          <w:b/>
          <w:sz w:val="24"/>
          <w:szCs w:val="24"/>
        </w:rPr>
        <w:t xml:space="preserve">Bashkëpunimi ndërkufitar ndërmjet përfituesve të IPA III: </w:t>
      </w:r>
    </w:p>
    <w:p w14:paraId="014E48A1" w14:textId="77777777" w:rsidR="00E55BD9" w:rsidRPr="00A90756" w:rsidRDefault="00E55BD9" w:rsidP="00E55BD9">
      <w:pPr>
        <w:spacing w:after="0" w:line="240" w:lineRule="auto"/>
        <w:jc w:val="center"/>
        <w:rPr>
          <w:rFonts w:ascii="Garamond" w:hAnsi="Garamond" w:cs="Arial"/>
          <w:b/>
          <w:sz w:val="24"/>
          <w:szCs w:val="24"/>
        </w:rPr>
      </w:pPr>
      <w:r w:rsidRPr="00A90756">
        <w:rPr>
          <w:rFonts w:ascii="Garamond" w:hAnsi="Garamond"/>
          <w:b/>
          <w:sz w:val="24"/>
          <w:szCs w:val="24"/>
        </w:rPr>
        <w:t>&lt;Përfituesi X&gt; - &lt;Përfituesi Y&gt;</w:t>
      </w:r>
    </w:p>
    <w:p w14:paraId="014E48A2" w14:textId="77777777" w:rsidR="00E55BD9" w:rsidRPr="00A90756" w:rsidRDefault="00E55BD9" w:rsidP="00E55BD9">
      <w:pPr>
        <w:spacing w:after="0" w:line="240" w:lineRule="auto"/>
        <w:jc w:val="center"/>
        <w:rPr>
          <w:rFonts w:ascii="Garamond" w:hAnsi="Garamond" w:cs="Arial"/>
          <w:b/>
          <w:sz w:val="24"/>
          <w:szCs w:val="24"/>
        </w:rPr>
      </w:pPr>
    </w:p>
    <w:p w14:paraId="014E48A3" w14:textId="77777777" w:rsidR="00E55BD9" w:rsidRPr="00A90756" w:rsidRDefault="00E55BD9" w:rsidP="00E55BD9">
      <w:pPr>
        <w:spacing w:after="0" w:line="240" w:lineRule="auto"/>
        <w:jc w:val="center"/>
        <w:rPr>
          <w:rFonts w:ascii="Garamond" w:hAnsi="Garamond" w:cs="Arial"/>
          <w:b/>
          <w:sz w:val="24"/>
          <w:szCs w:val="24"/>
        </w:rPr>
      </w:pPr>
      <w:r w:rsidRPr="00A90756">
        <w:rPr>
          <w:rFonts w:ascii="Garamond" w:hAnsi="Garamond"/>
          <w:b/>
          <w:sz w:val="24"/>
          <w:szCs w:val="24"/>
        </w:rPr>
        <w:t>(Neni XX i Marrëveshjes Financiare Kuadër të Partneritetit)</w:t>
      </w:r>
    </w:p>
    <w:p w14:paraId="014E48A4" w14:textId="77777777" w:rsidR="00E55BD9" w:rsidRPr="00A90756" w:rsidRDefault="00E55BD9" w:rsidP="00E55BD9">
      <w:pPr>
        <w:spacing w:after="0" w:line="240" w:lineRule="auto"/>
        <w:ind w:firstLine="284"/>
        <w:jc w:val="center"/>
        <w:rPr>
          <w:rFonts w:ascii="Garamond" w:hAnsi="Garamond" w:cs="Arial"/>
          <w:sz w:val="24"/>
          <w:szCs w:val="24"/>
        </w:rPr>
      </w:pPr>
    </w:p>
    <w:p w14:paraId="014E48A5" w14:textId="77777777" w:rsidR="00E55BD9" w:rsidRPr="00A90756" w:rsidRDefault="00E55BD9" w:rsidP="00E55BD9">
      <w:pPr>
        <w:spacing w:after="0" w:line="240" w:lineRule="auto"/>
        <w:ind w:firstLine="284"/>
        <w:rPr>
          <w:rFonts w:ascii="Garamond" w:hAnsi="Garamond"/>
          <w:b/>
          <w:sz w:val="24"/>
          <w:szCs w:val="24"/>
        </w:rPr>
      </w:pPr>
      <w:r w:rsidRPr="00A90756">
        <w:rPr>
          <w:rFonts w:ascii="Garamond" w:hAnsi="Garamond"/>
          <w:b/>
          <w:sz w:val="24"/>
          <w:szCs w:val="24"/>
        </w:rPr>
        <w:t>Tabela e përmbajtjes</w:t>
      </w:r>
    </w:p>
    <w:p w14:paraId="014E48A6"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 xml:space="preserve">Fjalorthi i shkurtimeve </w:t>
      </w:r>
    </w:p>
    <w:p w14:paraId="014E48A7"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 xml:space="preserve">1. Tabela identifikuese </w:t>
      </w:r>
    </w:p>
    <w:p w14:paraId="014E48A8"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 xml:space="preserve">2. Përmbledhje e zbatimit të programit të bashkëpunimit ndërkufitar </w:t>
      </w:r>
    </w:p>
    <w:p w14:paraId="014E48A9"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 xml:space="preserve">2.1 Arritjet dhe analiza e progresit </w:t>
      </w:r>
    </w:p>
    <w:p w14:paraId="014E48AA"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 xml:space="preserve">2.2 Progresi i bërë me zbatimin e programit të bashkëpunimit ndërkufitar </w:t>
      </w:r>
    </w:p>
    <w:p w14:paraId="014E48AB"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 xml:space="preserve">2.2.1 Analiza sasiore </w:t>
      </w:r>
    </w:p>
    <w:p w14:paraId="014E48AC" w14:textId="726FE229"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2.2.2</w:t>
      </w:r>
      <w:r w:rsidR="00C61854" w:rsidRPr="00A90756">
        <w:rPr>
          <w:rFonts w:ascii="Garamond" w:hAnsi="Garamond"/>
          <w:sz w:val="24"/>
          <w:szCs w:val="24"/>
        </w:rPr>
        <w:t xml:space="preserve"> </w:t>
      </w:r>
      <w:r w:rsidRPr="00A90756">
        <w:rPr>
          <w:rFonts w:ascii="Garamond" w:hAnsi="Garamond"/>
          <w:sz w:val="24"/>
          <w:szCs w:val="24"/>
        </w:rPr>
        <w:t xml:space="preserve">Analiza cilësore </w:t>
      </w:r>
    </w:p>
    <w:p w14:paraId="014E48AD"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 xml:space="preserve">2.3 Informacion i detajuar në lidhje me ekzekutimin në nivel financiar të programit të bashkëpunimit ndërkufitar </w:t>
      </w:r>
    </w:p>
    <w:p w14:paraId="014E48AE" w14:textId="205FA4E6"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2.4 Informacion mbi hapat e ndërmarra nga strukturat e bashkëpunimit ndërkufitar dhe/ose komiteti i përbashkët i monitorimit për të siguruar cilësinë dhe efikasitetin e zbatimit</w:t>
      </w:r>
    </w:p>
    <w:p w14:paraId="014E48AF" w14:textId="1045D9C8"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2.4.1 Monitorimi dhe vlerësimi</w:t>
      </w:r>
    </w:p>
    <w:p w14:paraId="014E48B0" w14:textId="11CA1D20"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2.4.2 Problemet e hasura dhe veprimet korrigjuese</w:t>
      </w:r>
    </w:p>
    <w:p w14:paraId="014E48B1" w14:textId="5C6DD2F6"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2.5 Vizibiliteti dhe publiciteti</w:t>
      </w:r>
    </w:p>
    <w:p w14:paraId="014E48B2" w14:textId="30F1272B"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2.6 Përdorimi i asistencës teknike</w:t>
      </w:r>
    </w:p>
    <w:p w14:paraId="014E48B3" w14:textId="2B025516"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2.7 Ndryshimet në kontekstin e zbatimit të programit ndërkufitar</w:t>
      </w:r>
    </w:p>
    <w:p w14:paraId="014E48B4" w14:textId="1386FCB8"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2.8 Ndërlidhjet plotësuese me instrumente ose politika të tjera sektoriale</w:t>
      </w:r>
    </w:p>
    <w:p w14:paraId="014E48B5" w14:textId="75AD53DF"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2.9 Histori suksesi</w:t>
      </w:r>
      <w:bookmarkStart w:id="91" w:name="_Toc138426954"/>
    </w:p>
    <w:p w14:paraId="014E48B6" w14:textId="77777777" w:rsidR="00E55BD9" w:rsidRPr="00A90756" w:rsidRDefault="00E55BD9" w:rsidP="00E55BD9">
      <w:pPr>
        <w:spacing w:after="0" w:line="240" w:lineRule="auto"/>
        <w:ind w:firstLine="284"/>
        <w:rPr>
          <w:rFonts w:ascii="Garamond" w:hAnsi="Garamond"/>
          <w:sz w:val="24"/>
          <w:szCs w:val="24"/>
        </w:rPr>
      </w:pPr>
    </w:p>
    <w:p w14:paraId="014E48B7" w14:textId="77777777" w:rsidR="00E55BD9" w:rsidRPr="00A90756" w:rsidRDefault="00E55BD9" w:rsidP="00E55BD9">
      <w:pPr>
        <w:spacing w:after="0" w:line="240" w:lineRule="auto"/>
        <w:ind w:firstLine="284"/>
        <w:rPr>
          <w:rFonts w:ascii="Garamond" w:hAnsi="Garamond"/>
        </w:rPr>
      </w:pPr>
      <w:r w:rsidRPr="00A90756">
        <w:rPr>
          <w:rFonts w:ascii="Garamond" w:hAnsi="Garamond"/>
          <w:sz w:val="24"/>
          <w:szCs w:val="24"/>
        </w:rPr>
        <w:t>Fjalorthi i shkurtimeve</w:t>
      </w:r>
      <w:bookmarkEnd w:id="91"/>
      <w:r w:rsidRPr="00A90756">
        <w:rPr>
          <w:rFonts w:ascii="Garamond" w:hAnsi="Garamond"/>
          <w:sz w:val="24"/>
          <w:szCs w:val="24"/>
        </w:rPr>
        <w:t xml:space="preserve"> </w:t>
      </w:r>
    </w:p>
    <w:p w14:paraId="014E48B8" w14:textId="77777777" w:rsidR="00E55BD9" w:rsidRPr="00A90756" w:rsidRDefault="00E55BD9" w:rsidP="00E55BD9">
      <w:pPr>
        <w:spacing w:after="0" w:line="240" w:lineRule="auto"/>
        <w:ind w:firstLine="284"/>
        <w:rPr>
          <w:rFonts w:ascii="Garamond" w:hAnsi="Garamond"/>
          <w:sz w:val="24"/>
          <w:szCs w:val="24"/>
        </w:rPr>
      </w:pPr>
      <w:r w:rsidRPr="00A90756">
        <w:rPr>
          <w:rFonts w:ascii="Garamond" w:hAnsi="Garamond"/>
          <w:sz w:val="24"/>
          <w:szCs w:val="24"/>
        </w:rPr>
        <w:t>&lt;…&gt;</w:t>
      </w:r>
      <w:bookmarkStart w:id="92" w:name="_Toc232409002"/>
      <w:bookmarkStart w:id="93" w:name="_Toc232484853"/>
      <w:bookmarkStart w:id="94" w:name="_Toc138426955"/>
    </w:p>
    <w:p w14:paraId="014E48B9" w14:textId="77777777" w:rsidR="00E55BD9" w:rsidRPr="00A90756" w:rsidRDefault="00E55BD9" w:rsidP="00E55BD9">
      <w:pPr>
        <w:pStyle w:val="Style2"/>
        <w:rPr>
          <w:rFonts w:ascii="Garamond" w:hAnsi="Garamond"/>
          <w:sz w:val="24"/>
          <w:szCs w:val="24"/>
        </w:rPr>
      </w:pPr>
    </w:p>
    <w:p w14:paraId="014E48BA" w14:textId="77777777" w:rsidR="00E55BD9" w:rsidRPr="00A90756" w:rsidRDefault="00E55BD9" w:rsidP="00E55BD9">
      <w:pPr>
        <w:pStyle w:val="Style2"/>
        <w:rPr>
          <w:rFonts w:ascii="Garamond" w:hAnsi="Garamond"/>
          <w:sz w:val="24"/>
          <w:szCs w:val="24"/>
        </w:rPr>
      </w:pPr>
      <w:r w:rsidRPr="00A90756">
        <w:rPr>
          <w:rFonts w:ascii="Garamond" w:hAnsi="Garamond"/>
          <w:sz w:val="24"/>
          <w:szCs w:val="24"/>
        </w:rPr>
        <w:t>1. Tabela identifikuese</w:t>
      </w:r>
      <w:bookmarkEnd w:id="92"/>
      <w:bookmarkEnd w:id="93"/>
      <w:bookmarkEnd w:id="94"/>
      <w:r w:rsidRPr="00A90756">
        <w:rPr>
          <w:rFonts w:ascii="Garamond" w:hAnsi="Garamond"/>
          <w:sz w:val="24"/>
          <w:szCs w:val="24"/>
        </w:rPr>
        <w:t xml:space="preserve"> </w:t>
      </w:r>
    </w:p>
    <w:p w14:paraId="014E48BB" w14:textId="77777777" w:rsidR="00E55BD9" w:rsidRPr="00A90756" w:rsidRDefault="00E55BD9" w:rsidP="00E55BD9">
      <w:pPr>
        <w:autoSpaceDE w:val="0"/>
        <w:autoSpaceDN w:val="0"/>
        <w:adjustRightInd w:val="0"/>
        <w:spacing w:after="0" w:line="240" w:lineRule="auto"/>
        <w:jc w:val="both"/>
        <w:rPr>
          <w:rFonts w:ascii="Garamond" w:hAnsi="Garamond" w:cs="Arial"/>
          <w:b/>
          <w:lang w:eastAsia="ko-K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971"/>
        <w:gridCol w:w="5026"/>
      </w:tblGrid>
      <w:tr w:rsidR="00E55BD9" w:rsidRPr="00A90756" w14:paraId="014E48BF" w14:textId="77777777" w:rsidTr="002132A6">
        <w:trPr>
          <w:cantSplit/>
          <w:trHeight w:val="20"/>
        </w:trPr>
        <w:tc>
          <w:tcPr>
            <w:tcW w:w="2207" w:type="pct"/>
            <w:vMerge w:val="restart"/>
          </w:tcPr>
          <w:p w14:paraId="014E48BC" w14:textId="77777777"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 xml:space="preserve">PROGRAM BASHKËPUNIMI NDËRKUFITAR </w:t>
            </w:r>
          </w:p>
        </w:tc>
        <w:tc>
          <w:tcPr>
            <w:tcW w:w="2793" w:type="pct"/>
          </w:tcPr>
          <w:p w14:paraId="014E48BD" w14:textId="77777777"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 xml:space="preserve">Titulli i programit: </w:t>
            </w:r>
          </w:p>
          <w:p w14:paraId="014E48BE" w14:textId="77777777"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 xml:space="preserve">Program bashkëpunimi ndërkufitar në kuadër të IPA III &lt;shteti A&gt; – &lt;shteti B&gt; </w:t>
            </w:r>
          </w:p>
        </w:tc>
      </w:tr>
      <w:tr w:rsidR="00E55BD9" w:rsidRPr="00A90756" w14:paraId="014E48C3" w14:textId="77777777" w:rsidTr="002132A6">
        <w:trPr>
          <w:cantSplit/>
          <w:trHeight w:val="20"/>
        </w:trPr>
        <w:tc>
          <w:tcPr>
            <w:tcW w:w="2207" w:type="pct"/>
            <w:vMerge/>
          </w:tcPr>
          <w:p w14:paraId="014E48C0" w14:textId="77777777" w:rsidR="00E55BD9" w:rsidRPr="00A90756" w:rsidRDefault="00E55BD9" w:rsidP="00E55BD9">
            <w:pPr>
              <w:spacing w:after="0" w:line="240" w:lineRule="auto"/>
              <w:rPr>
                <w:rFonts w:ascii="Garamond" w:hAnsi="Garamond" w:cs="Arial"/>
                <w:sz w:val="18"/>
                <w:szCs w:val="18"/>
                <w:lang w:eastAsia="en-GB"/>
              </w:rPr>
            </w:pPr>
          </w:p>
        </w:tc>
        <w:tc>
          <w:tcPr>
            <w:tcW w:w="2793" w:type="pct"/>
          </w:tcPr>
          <w:p w14:paraId="014E48C2" w14:textId="263D4BB3"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Fondet e miratuara/shpërndara për periudhën &lt;20XX-20XX&gt;: &lt;shuma duke përfshirë AT&gt;</w:t>
            </w:r>
          </w:p>
        </w:tc>
      </w:tr>
      <w:tr w:rsidR="00E55BD9" w:rsidRPr="00A90756" w14:paraId="014E48C6" w14:textId="77777777" w:rsidTr="002132A6">
        <w:trPr>
          <w:cantSplit/>
          <w:trHeight w:val="20"/>
        </w:trPr>
        <w:tc>
          <w:tcPr>
            <w:tcW w:w="2207" w:type="pct"/>
            <w:vMerge w:val="restart"/>
          </w:tcPr>
          <w:p w14:paraId="014E48C4" w14:textId="77777777"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RAPORTI VJETOR PËR ZBATIMIN</w:t>
            </w:r>
          </w:p>
        </w:tc>
        <w:tc>
          <w:tcPr>
            <w:tcW w:w="2793" w:type="pct"/>
          </w:tcPr>
          <w:p w14:paraId="014E48C5" w14:textId="77777777"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Viti i raportimit: &lt;nga data 1 janar 20XX deri më 31 dhjetor 20XX&gt;</w:t>
            </w:r>
          </w:p>
        </w:tc>
      </w:tr>
      <w:tr w:rsidR="00E55BD9" w:rsidRPr="00A90756" w14:paraId="014E48CC" w14:textId="77777777" w:rsidTr="002132A6">
        <w:trPr>
          <w:cantSplit/>
          <w:trHeight w:val="20"/>
        </w:trPr>
        <w:tc>
          <w:tcPr>
            <w:tcW w:w="2207" w:type="pct"/>
            <w:vMerge/>
          </w:tcPr>
          <w:p w14:paraId="014E48C7" w14:textId="77777777" w:rsidR="00E55BD9" w:rsidRPr="00A90756" w:rsidRDefault="00E55BD9" w:rsidP="00E55BD9">
            <w:pPr>
              <w:spacing w:after="0" w:line="240" w:lineRule="auto"/>
              <w:rPr>
                <w:rFonts w:ascii="Garamond" w:hAnsi="Garamond" w:cs="Arial"/>
                <w:sz w:val="18"/>
                <w:szCs w:val="18"/>
                <w:lang w:eastAsia="en-GB"/>
              </w:rPr>
            </w:pPr>
          </w:p>
        </w:tc>
        <w:tc>
          <w:tcPr>
            <w:tcW w:w="2793" w:type="pct"/>
          </w:tcPr>
          <w:p w14:paraId="014E48C8" w14:textId="77777777"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Përgatitur nga:</w:t>
            </w:r>
          </w:p>
          <w:p w14:paraId="014E48C9" w14:textId="659FA8C0" w:rsidR="00E55BD9" w:rsidRPr="00A90756" w:rsidRDefault="00E55BD9" w:rsidP="00E55BD9">
            <w:pPr>
              <w:numPr>
                <w:ilvl w:val="0"/>
                <w:numId w:val="34"/>
              </w:numPr>
              <w:tabs>
                <w:tab w:val="clear" w:pos="709"/>
                <w:tab w:val="num" w:pos="399"/>
              </w:tabs>
              <w:spacing w:after="0" w:line="240" w:lineRule="auto"/>
              <w:ind w:left="0" w:firstLine="0"/>
              <w:rPr>
                <w:rFonts w:ascii="Garamond" w:hAnsi="Garamond" w:cs="Arial"/>
                <w:sz w:val="18"/>
                <w:szCs w:val="18"/>
                <w:lang w:eastAsia="en-GB"/>
              </w:rPr>
            </w:pPr>
            <w:r w:rsidRPr="00A90756">
              <w:rPr>
                <w:rFonts w:ascii="Garamond" w:hAnsi="Garamond"/>
                <w:sz w:val="18"/>
                <w:szCs w:val="18"/>
                <w:lang w:eastAsia="en-GB"/>
              </w:rPr>
              <w:t xml:space="preserve">&lt;struktura përgjegjëse për bashkëpunimin ndërkufitar </w:t>
            </w:r>
            <w:r w:rsidR="005C3F3B" w:rsidRPr="00A90756">
              <w:rPr>
                <w:rFonts w:ascii="Garamond" w:hAnsi="Garamond"/>
                <w:sz w:val="18"/>
                <w:szCs w:val="18"/>
                <w:lang w:eastAsia="en-GB"/>
              </w:rPr>
              <w:t>të</w:t>
            </w:r>
            <w:r w:rsidRPr="00A90756">
              <w:rPr>
                <w:rFonts w:ascii="Garamond" w:hAnsi="Garamond"/>
                <w:sz w:val="18"/>
                <w:szCs w:val="18"/>
                <w:lang w:eastAsia="en-GB"/>
              </w:rPr>
              <w:t xml:space="preserve"> përfituesit X&gt;</w:t>
            </w:r>
          </w:p>
          <w:p w14:paraId="014E48CB" w14:textId="60B0706A" w:rsidR="00E55BD9" w:rsidRPr="00A90756" w:rsidRDefault="00E55BD9" w:rsidP="00E55BD9">
            <w:pPr>
              <w:numPr>
                <w:ilvl w:val="0"/>
                <w:numId w:val="34"/>
              </w:numPr>
              <w:tabs>
                <w:tab w:val="clear" w:pos="709"/>
                <w:tab w:val="num" w:pos="399"/>
              </w:tabs>
              <w:spacing w:after="0" w:line="240" w:lineRule="auto"/>
              <w:ind w:left="0" w:firstLine="0"/>
              <w:rPr>
                <w:rFonts w:ascii="Garamond" w:hAnsi="Garamond" w:cs="Arial"/>
                <w:sz w:val="18"/>
                <w:szCs w:val="18"/>
                <w:lang w:eastAsia="en-GB"/>
              </w:rPr>
            </w:pPr>
            <w:r w:rsidRPr="00A90756">
              <w:rPr>
                <w:rFonts w:ascii="Garamond" w:hAnsi="Garamond"/>
                <w:sz w:val="18"/>
                <w:szCs w:val="18"/>
                <w:lang w:eastAsia="en-GB"/>
              </w:rPr>
              <w:t xml:space="preserve">&lt;struktura përgjegjëse për bashkëpunimin ndërkufitar </w:t>
            </w:r>
            <w:r w:rsidR="005C3F3B" w:rsidRPr="00A90756">
              <w:rPr>
                <w:rFonts w:ascii="Garamond" w:hAnsi="Garamond"/>
                <w:sz w:val="18"/>
                <w:szCs w:val="18"/>
                <w:lang w:eastAsia="en-GB"/>
              </w:rPr>
              <w:t>të</w:t>
            </w:r>
            <w:r w:rsidRPr="00A90756">
              <w:rPr>
                <w:rFonts w:ascii="Garamond" w:hAnsi="Garamond"/>
                <w:sz w:val="18"/>
                <w:szCs w:val="18"/>
                <w:lang w:eastAsia="en-GB"/>
              </w:rPr>
              <w:t xml:space="preserve"> përfituesit Y&gt;</w:t>
            </w:r>
          </w:p>
        </w:tc>
      </w:tr>
      <w:tr w:rsidR="00E55BD9" w:rsidRPr="00A90756" w14:paraId="014E48CF" w14:textId="77777777" w:rsidTr="002132A6">
        <w:trPr>
          <w:cantSplit/>
          <w:trHeight w:val="20"/>
        </w:trPr>
        <w:tc>
          <w:tcPr>
            <w:tcW w:w="2207" w:type="pct"/>
            <w:vMerge/>
          </w:tcPr>
          <w:p w14:paraId="014E48CD" w14:textId="77777777" w:rsidR="00E55BD9" w:rsidRPr="00A90756" w:rsidRDefault="00E55BD9" w:rsidP="00E55BD9">
            <w:pPr>
              <w:spacing w:after="0" w:line="240" w:lineRule="auto"/>
              <w:rPr>
                <w:rFonts w:ascii="Garamond" w:hAnsi="Garamond" w:cs="Arial"/>
                <w:sz w:val="18"/>
                <w:szCs w:val="18"/>
                <w:lang w:eastAsia="en-GB"/>
              </w:rPr>
            </w:pPr>
          </w:p>
        </w:tc>
        <w:tc>
          <w:tcPr>
            <w:tcW w:w="2793" w:type="pct"/>
          </w:tcPr>
          <w:p w14:paraId="014E48CE" w14:textId="73A1383F"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Data e shqyrtimit të raportit vjetor për zbatimin nga Komiteti i Përbashkët i Monitorimit: &lt;data dhe lloji i procedurës për miratimin e tij, p.sh. në takim ose në formë të shkruar&gt;</w:t>
            </w:r>
          </w:p>
        </w:tc>
      </w:tr>
      <w:tr w:rsidR="00E55BD9" w:rsidRPr="00A90756" w14:paraId="014E48D2" w14:textId="77777777" w:rsidTr="002132A6">
        <w:trPr>
          <w:cantSplit/>
          <w:trHeight w:val="20"/>
        </w:trPr>
        <w:tc>
          <w:tcPr>
            <w:tcW w:w="2207" w:type="pct"/>
            <w:vMerge/>
          </w:tcPr>
          <w:p w14:paraId="014E48D0" w14:textId="77777777" w:rsidR="00E55BD9" w:rsidRPr="00A90756" w:rsidRDefault="00E55BD9" w:rsidP="00E55BD9">
            <w:pPr>
              <w:spacing w:after="0" w:line="240" w:lineRule="auto"/>
              <w:rPr>
                <w:rFonts w:ascii="Garamond" w:hAnsi="Garamond" w:cs="Arial"/>
                <w:sz w:val="18"/>
                <w:szCs w:val="18"/>
                <w:lang w:eastAsia="en-GB"/>
              </w:rPr>
            </w:pPr>
          </w:p>
        </w:tc>
        <w:tc>
          <w:tcPr>
            <w:tcW w:w="2793" w:type="pct"/>
          </w:tcPr>
          <w:p w14:paraId="014E48D1" w14:textId="77777777" w:rsidR="00E55BD9" w:rsidRPr="00A90756" w:rsidRDefault="00E55BD9" w:rsidP="00E55BD9">
            <w:pPr>
              <w:spacing w:after="0" w:line="240" w:lineRule="auto"/>
              <w:rPr>
                <w:rFonts w:ascii="Garamond" w:hAnsi="Garamond" w:cs="Arial"/>
                <w:sz w:val="18"/>
                <w:szCs w:val="18"/>
                <w:lang w:eastAsia="en-GB"/>
              </w:rPr>
            </w:pPr>
            <w:r w:rsidRPr="00A90756">
              <w:rPr>
                <w:rFonts w:ascii="Garamond" w:hAnsi="Garamond"/>
                <w:sz w:val="18"/>
                <w:szCs w:val="18"/>
                <w:lang w:eastAsia="en-GB"/>
              </w:rPr>
              <w:t>Zona e mbuluar nga programi: &lt;…&gt;</w:t>
            </w:r>
          </w:p>
        </w:tc>
      </w:tr>
    </w:tbl>
    <w:p w14:paraId="014E48D3" w14:textId="77777777" w:rsidR="00E55BD9" w:rsidRPr="00A90756" w:rsidRDefault="00E55BD9" w:rsidP="00E55BD9">
      <w:pPr>
        <w:spacing w:after="0" w:line="240" w:lineRule="auto"/>
        <w:rPr>
          <w:rFonts w:ascii="Garamond" w:hAnsi="Garamond"/>
          <w:lang w:eastAsia="ko-KR"/>
        </w:rPr>
      </w:pPr>
    </w:p>
    <w:p w14:paraId="014E48D4" w14:textId="2C38AFBF" w:rsidR="00E55BD9" w:rsidRPr="00A90756" w:rsidRDefault="00E55BD9" w:rsidP="00E55BD9">
      <w:pPr>
        <w:spacing w:after="0" w:line="240" w:lineRule="auto"/>
        <w:ind w:firstLine="284"/>
        <w:rPr>
          <w:rFonts w:ascii="Garamond" w:hAnsi="Garamond"/>
        </w:rPr>
      </w:pPr>
      <w:r w:rsidRPr="00A90756">
        <w:rPr>
          <w:rFonts w:ascii="Garamond" w:hAnsi="Garamond"/>
        </w:rPr>
        <w:t>Baza ligjore: (</w:t>
      </w:r>
      <w:r w:rsidR="005C3F3B" w:rsidRPr="00A90756">
        <w:rPr>
          <w:rFonts w:ascii="Garamond" w:hAnsi="Garamond"/>
        </w:rPr>
        <w:t>n</w:t>
      </w:r>
      <w:r w:rsidRPr="00A90756">
        <w:rPr>
          <w:rFonts w:ascii="Garamond" w:hAnsi="Garamond"/>
        </w:rPr>
        <w:t>eni 80 i Marrëveshjes Financiare Kuadër të Partneritetit të IPA III)</w:t>
      </w:r>
      <w:bookmarkStart w:id="95" w:name="_Toc232409003"/>
      <w:bookmarkStart w:id="96" w:name="_Toc232484854"/>
      <w:bookmarkStart w:id="97" w:name="_Toc138426956"/>
    </w:p>
    <w:p w14:paraId="014E48D5" w14:textId="77777777" w:rsidR="00E55BD9" w:rsidRPr="00A90756" w:rsidRDefault="00E55BD9" w:rsidP="00E55BD9">
      <w:pPr>
        <w:spacing w:after="0" w:line="240" w:lineRule="auto"/>
        <w:ind w:firstLine="284"/>
        <w:rPr>
          <w:rFonts w:ascii="Garamond" w:hAnsi="Garamond"/>
          <w:b/>
        </w:rPr>
      </w:pPr>
      <w:r w:rsidRPr="00A90756">
        <w:rPr>
          <w:rFonts w:ascii="Garamond" w:hAnsi="Garamond"/>
          <w:b/>
        </w:rPr>
        <w:t>2. Përmbledhje e zbatimit të programit të bashkëpunimit ndërkufitar</w:t>
      </w:r>
      <w:bookmarkStart w:id="98" w:name="_Toc232484855"/>
      <w:bookmarkStart w:id="99" w:name="_Toc138426957"/>
      <w:bookmarkEnd w:id="95"/>
      <w:bookmarkEnd w:id="96"/>
      <w:bookmarkEnd w:id="97"/>
    </w:p>
    <w:p w14:paraId="014E48D6" w14:textId="77777777" w:rsidR="00E55BD9" w:rsidRPr="00A90756" w:rsidRDefault="00E55BD9" w:rsidP="00E55BD9">
      <w:pPr>
        <w:spacing w:after="0" w:line="240" w:lineRule="auto"/>
        <w:ind w:firstLine="284"/>
        <w:rPr>
          <w:rFonts w:ascii="Garamond" w:hAnsi="Garamond"/>
          <w:b/>
        </w:rPr>
      </w:pPr>
      <w:r w:rsidRPr="00A90756">
        <w:rPr>
          <w:rFonts w:ascii="Garamond" w:hAnsi="Garamond"/>
          <w:b/>
        </w:rPr>
        <w:t>2.1 Arritjet dhe analiza e progresit</w:t>
      </w:r>
      <w:bookmarkEnd w:id="98"/>
      <w:bookmarkEnd w:id="99"/>
    </w:p>
    <w:p w14:paraId="014E48D7" w14:textId="77777777"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&lt;Përmbledhje e zbatimit të programit gjatë periudhës së raportimit, që përfshin:</w:t>
      </w:r>
    </w:p>
    <w:p w14:paraId="014E48D8" w14:textId="77777777"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1. Progresin e thirrjeve për propozime:</w:t>
      </w:r>
    </w:p>
    <w:p w14:paraId="014E48D9" w14:textId="15BB0ABB"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w:t>
      </w:r>
      <w:r w:rsidR="005C3F3B" w:rsidRPr="00A90756">
        <w:rPr>
          <w:rFonts w:ascii="Garamond" w:hAnsi="Garamond"/>
        </w:rPr>
        <w:t xml:space="preserve"> </w:t>
      </w:r>
      <w:r w:rsidRPr="00A90756">
        <w:rPr>
          <w:rFonts w:ascii="Garamond" w:hAnsi="Garamond"/>
        </w:rPr>
        <w:t>Numri i thirrjeve që planifikohen të bëhen deri në fund të periudhës së zbatimit të programit dhe afatet e tyre të mundshme;</w:t>
      </w:r>
    </w:p>
    <w:p w14:paraId="014E48DA" w14:textId="39EFA4A6"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w:t>
      </w:r>
      <w:r w:rsidR="005C3F3B" w:rsidRPr="00A90756">
        <w:rPr>
          <w:rFonts w:ascii="Garamond" w:hAnsi="Garamond"/>
        </w:rPr>
        <w:t xml:space="preserve"> </w:t>
      </w:r>
      <w:r w:rsidRPr="00A90756">
        <w:rPr>
          <w:rFonts w:ascii="Garamond" w:hAnsi="Garamond"/>
        </w:rPr>
        <w:t xml:space="preserve">Situata aktuale e thirrjeve të bëra për propozime (numri dhe data e thirrjeve të bëra për propozime, numri dhe data e thirrjeve të mbyllura për propozime, kohëzgjatja e procesit të vlerësimit </w:t>
      </w:r>
      <w:r w:rsidR="005C3F3B" w:rsidRPr="00A90756">
        <w:rPr>
          <w:rFonts w:ascii="Garamond" w:hAnsi="Garamond"/>
        </w:rPr>
        <w:t>–</w:t>
      </w:r>
      <w:r w:rsidRPr="00A90756">
        <w:rPr>
          <w:rFonts w:ascii="Garamond" w:hAnsi="Garamond"/>
        </w:rPr>
        <w:t xml:space="preserve"> hap pas hapi dhe si i tërë);</w:t>
      </w:r>
    </w:p>
    <w:p w14:paraId="014E48DB" w14:textId="398C36B1"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w:t>
      </w:r>
      <w:r w:rsidR="005C3F3B" w:rsidRPr="00A90756">
        <w:rPr>
          <w:rFonts w:ascii="Garamond" w:hAnsi="Garamond"/>
        </w:rPr>
        <w:t xml:space="preserve"> </w:t>
      </w:r>
      <w:r w:rsidRPr="00A90756">
        <w:rPr>
          <w:rFonts w:ascii="Garamond" w:hAnsi="Garamond"/>
        </w:rPr>
        <w:t>Analiza e procesit të vlerësimit (numri i aplikimeve të marra, qoftë të përzgjedhura për financim dhe të refuzuara, sipas prioritetit tematik, objektivit specifik, dhe rezultatit të pritshëm (sipas nevojës); lloji, roli dhe vendi i origjinës së aplikantëve, numri i aplikimeve të refuzuara në çdo fazë të procesit të vlerësimit dhe arsyet më të zakonshme për refuzim (shihni modelin e tabelës nr. XX më poshtë);</w:t>
      </w:r>
    </w:p>
    <w:p w14:paraId="014E48DC" w14:textId="531AFB97"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 Lista e kontratave të nënshkruara për çdo thirrje për propozim dhe statusi i zbatimit të tyre (shihni modelin e tabelës nr. XX më poshtë);</w:t>
      </w:r>
    </w:p>
    <w:p w14:paraId="014E48DD" w14:textId="4D32C126"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 Aktivitetet për ngritjen e kapaciteteve të vëna në zbatim për aplikantët e mundshëm dhe për përfituesit e granteve (numri i aktiviteteve, numri i pjesëmarrësve sipas llojit të aktivitetit dhe vendit, numri i kërkesave të trajtuara për informacion nga përfituesit e granteve etj.)</w:t>
      </w:r>
      <w:r w:rsidR="005C3F3B" w:rsidRPr="00A90756">
        <w:rPr>
          <w:rFonts w:ascii="Garamond" w:hAnsi="Garamond"/>
        </w:rPr>
        <w:t>;</w:t>
      </w:r>
    </w:p>
    <w:p w14:paraId="014E48DE" w14:textId="77777777" w:rsidR="00E55BD9" w:rsidRPr="00A90756" w:rsidRDefault="00E55BD9" w:rsidP="00E55BD9">
      <w:pPr>
        <w:tabs>
          <w:tab w:val="left" w:pos="540"/>
        </w:tabs>
        <w:spacing w:after="0" w:line="240" w:lineRule="auto"/>
        <w:ind w:firstLine="284"/>
        <w:jc w:val="both"/>
        <w:rPr>
          <w:rFonts w:ascii="Garamond" w:hAnsi="Garamond"/>
        </w:rPr>
      </w:pPr>
      <w:r w:rsidRPr="00A90756">
        <w:rPr>
          <w:rFonts w:ascii="Garamond" w:hAnsi="Garamond"/>
        </w:rPr>
        <w:t>- Numri i strukturave të bashkëpunimit ndërkufitar dhe i takimeve të mbajtura mes stafit të Sekretariatit të Përbashkët Teknik, si dhe rezultatet e dala prej tyre; numri i takimeve të Komitetit të Përbashkët të Monitorimit (KPM) dhe rezultatet e dala prej tyre; numri i takimeve teknike midis strukturave të bashkëpunimit ndërkufitar dhe rezultatet e dala prej tyre.&gt;</w:t>
      </w:r>
    </w:p>
    <w:p w14:paraId="014E48DF" w14:textId="77777777" w:rsidR="00E55BD9" w:rsidRPr="00A90756" w:rsidRDefault="00E55BD9" w:rsidP="00E55BD9">
      <w:pPr>
        <w:spacing w:after="0" w:line="240" w:lineRule="auto"/>
        <w:ind w:firstLine="284"/>
        <w:rPr>
          <w:rFonts w:ascii="Garamond" w:hAnsi="Garamond"/>
        </w:rPr>
      </w:pPr>
      <w:r w:rsidRPr="00A90756">
        <w:rPr>
          <w:rFonts w:ascii="Garamond" w:hAnsi="Garamond"/>
        </w:rPr>
        <w:t>2. Progresin me projektet strategjike;</w:t>
      </w:r>
    </w:p>
    <w:p w14:paraId="014E48E0" w14:textId="0D645418" w:rsidR="00E55BD9" w:rsidRPr="00A90756" w:rsidRDefault="00E55BD9" w:rsidP="00E55BD9">
      <w:pPr>
        <w:spacing w:after="0" w:line="240" w:lineRule="auto"/>
        <w:ind w:firstLine="284"/>
        <w:rPr>
          <w:rFonts w:ascii="Garamond" w:hAnsi="Garamond"/>
        </w:rPr>
      </w:pPr>
      <w:r w:rsidRPr="00A90756">
        <w:rPr>
          <w:rFonts w:ascii="Garamond" w:hAnsi="Garamond"/>
        </w:rPr>
        <w:t>&lt;Sipas rastit, përfshini gjithashtu informacion lidhur me rishikimin e programit për periudhën 2021</w:t>
      </w:r>
      <w:r w:rsidR="005C3F3B" w:rsidRPr="00A90756">
        <w:rPr>
          <w:rFonts w:ascii="Garamond" w:hAnsi="Garamond"/>
        </w:rPr>
        <w:t>–</w:t>
      </w:r>
      <w:r w:rsidRPr="00A90756">
        <w:rPr>
          <w:rFonts w:ascii="Garamond" w:hAnsi="Garamond"/>
        </w:rPr>
        <w:t>2027 ose lidhur me programimin për periudhën 2028</w:t>
      </w:r>
      <w:r w:rsidR="005C3F3B" w:rsidRPr="00A90756">
        <w:rPr>
          <w:rFonts w:ascii="Garamond" w:hAnsi="Garamond"/>
        </w:rPr>
        <w:t>–</w:t>
      </w:r>
      <w:r w:rsidRPr="00A90756">
        <w:rPr>
          <w:rFonts w:ascii="Garamond" w:hAnsi="Garamond"/>
        </w:rPr>
        <w:t>2034.&gt;</w:t>
      </w:r>
    </w:p>
    <w:p w14:paraId="014E48E1" w14:textId="77777777" w:rsidR="00E55BD9" w:rsidRPr="00A90756" w:rsidRDefault="00E55BD9" w:rsidP="00E55BD9">
      <w:pPr>
        <w:spacing w:after="0" w:line="240" w:lineRule="auto"/>
        <w:ind w:firstLine="284"/>
        <w:rPr>
          <w:rFonts w:ascii="Garamond" w:hAnsi="Garamond"/>
        </w:rPr>
      </w:pPr>
    </w:p>
    <w:p w14:paraId="014E48E2" w14:textId="77777777" w:rsidR="00B33F8B" w:rsidRPr="00A90756" w:rsidRDefault="00B33F8B" w:rsidP="00E55BD9">
      <w:pPr>
        <w:spacing w:after="0" w:line="240" w:lineRule="auto"/>
        <w:ind w:firstLine="284"/>
        <w:rPr>
          <w:rFonts w:ascii="Garamond" w:hAnsi="Garamond"/>
        </w:rPr>
        <w:sectPr w:rsidR="00B33F8B" w:rsidRPr="00A90756" w:rsidSect="00E134C7">
          <w:pgSz w:w="11907" w:h="16840" w:code="9"/>
          <w:pgMar w:top="1440" w:right="1440" w:bottom="1440" w:left="1440" w:header="1304" w:footer="1134" w:gutter="0"/>
          <w:cols w:space="720"/>
          <w:noEndnote/>
        </w:sectPr>
      </w:pPr>
    </w:p>
    <w:p w14:paraId="014E48E3" w14:textId="77777777" w:rsidR="00B33F8B" w:rsidRPr="00A90756" w:rsidRDefault="00B33F8B" w:rsidP="00B33F8B">
      <w:pPr>
        <w:spacing w:after="0" w:line="240" w:lineRule="auto"/>
        <w:rPr>
          <w:rFonts w:ascii="Garamond" w:hAnsi="Garamond"/>
        </w:rPr>
      </w:pPr>
      <w:r w:rsidRPr="00A90756">
        <w:rPr>
          <w:rFonts w:ascii="Garamond" w:hAnsi="Garamond"/>
        </w:rPr>
        <w:lastRenderedPageBreak/>
        <w:t>Tabela</w:t>
      </w:r>
      <w:r w:rsidRPr="00A90756">
        <w:rPr>
          <w:rStyle w:val="FootnoteReference"/>
          <w:rFonts w:ascii="Garamond" w:hAnsi="Garamond"/>
          <w:lang w:eastAsia="ko-KR"/>
        </w:rPr>
        <w:footnoteReference w:id="35"/>
      </w:r>
      <w:r w:rsidRPr="00A90756">
        <w:rPr>
          <w:rFonts w:ascii="Garamond" w:hAnsi="Garamond"/>
        </w:rPr>
        <w:t xml:space="preserve"> nr.: &lt;XX&gt;. Lista e aplikimeve të BNK-së të marra për çdo thirrje për propozime, qoftë të përzgjedhura për financim dhe të refuzuara</w:t>
      </w:r>
    </w:p>
    <w:p w14:paraId="014E48E4" w14:textId="77777777" w:rsidR="00B33F8B" w:rsidRPr="00A90756" w:rsidRDefault="00B33F8B" w:rsidP="00B33F8B">
      <w:pPr>
        <w:spacing w:after="0" w:line="240" w:lineRule="auto"/>
        <w:rPr>
          <w:rFonts w:ascii="Garamond" w:hAnsi="Garamond"/>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187"/>
        <w:gridCol w:w="1550"/>
        <w:gridCol w:w="1550"/>
        <w:gridCol w:w="1427"/>
        <w:gridCol w:w="1427"/>
        <w:gridCol w:w="1335"/>
        <w:gridCol w:w="1042"/>
        <w:gridCol w:w="1250"/>
        <w:gridCol w:w="1919"/>
      </w:tblGrid>
      <w:tr w:rsidR="00B33F8B" w:rsidRPr="00A90756" w14:paraId="014E48EF" w14:textId="77777777" w:rsidTr="002132A6">
        <w:trPr>
          <w:trHeight w:val="20"/>
        </w:trPr>
        <w:tc>
          <w:tcPr>
            <w:tcW w:w="463" w:type="pct"/>
            <w:shd w:val="clear" w:color="auto" w:fill="auto"/>
          </w:tcPr>
          <w:p w14:paraId="014E48E5" w14:textId="77777777"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Numri i referencës së thirrjes për propozime</w:t>
            </w:r>
          </w:p>
        </w:tc>
        <w:tc>
          <w:tcPr>
            <w:tcW w:w="436" w:type="pct"/>
            <w:shd w:val="clear" w:color="auto" w:fill="auto"/>
          </w:tcPr>
          <w:p w14:paraId="014E48E6" w14:textId="77777777"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Prioriteti tematik</w:t>
            </w:r>
          </w:p>
        </w:tc>
        <w:tc>
          <w:tcPr>
            <w:tcW w:w="566" w:type="pct"/>
            <w:shd w:val="clear" w:color="auto" w:fill="auto"/>
          </w:tcPr>
          <w:p w14:paraId="014E48E7" w14:textId="77777777"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Objektivi specifik dhe rezultati i pritshëm (sipas nevojës)</w:t>
            </w:r>
          </w:p>
        </w:tc>
        <w:tc>
          <w:tcPr>
            <w:tcW w:w="566" w:type="pct"/>
            <w:shd w:val="clear" w:color="auto" w:fill="auto"/>
          </w:tcPr>
          <w:p w14:paraId="014E48E8" w14:textId="77777777"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 xml:space="preserve">Titulli </w:t>
            </w:r>
          </w:p>
        </w:tc>
        <w:tc>
          <w:tcPr>
            <w:tcW w:w="522" w:type="pct"/>
            <w:shd w:val="clear" w:color="auto" w:fill="auto"/>
          </w:tcPr>
          <w:p w14:paraId="014E48E9" w14:textId="77777777" w:rsidR="00B33F8B" w:rsidRPr="00A90756" w:rsidRDefault="00B33F8B" w:rsidP="00B33F8B">
            <w:pPr>
              <w:spacing w:after="0" w:line="240" w:lineRule="auto"/>
              <w:jc w:val="both"/>
              <w:rPr>
                <w:rFonts w:ascii="Garamond" w:hAnsi="Garamond"/>
                <w:b/>
                <w:sz w:val="20"/>
                <w:szCs w:val="20"/>
                <w:lang w:eastAsia="en-GB"/>
              </w:rPr>
            </w:pPr>
            <w:r w:rsidRPr="00A90756">
              <w:rPr>
                <w:rFonts w:ascii="Garamond" w:hAnsi="Garamond"/>
                <w:b/>
                <w:sz w:val="20"/>
                <w:szCs w:val="20"/>
                <w:lang w:eastAsia="en-GB"/>
              </w:rPr>
              <w:t xml:space="preserve">Lloji, roli dhe vendi i origjinës i të gjithë aplikantëve </w:t>
            </w:r>
          </w:p>
        </w:tc>
        <w:tc>
          <w:tcPr>
            <w:tcW w:w="522" w:type="pct"/>
            <w:shd w:val="clear" w:color="auto" w:fill="auto"/>
          </w:tcPr>
          <w:p w14:paraId="014E48EA" w14:textId="77777777"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 xml:space="preserve">Shuma e grantit të kërkuar nga BE-ja </w:t>
            </w:r>
          </w:p>
        </w:tc>
        <w:tc>
          <w:tcPr>
            <w:tcW w:w="439" w:type="pct"/>
            <w:shd w:val="clear" w:color="auto" w:fill="auto"/>
          </w:tcPr>
          <w:p w14:paraId="014E48EB" w14:textId="1D345E49"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Kontroll administrativ (</w:t>
            </w:r>
            <w:r w:rsidR="005C3F3B" w:rsidRPr="00A90756">
              <w:rPr>
                <w:rFonts w:ascii="Garamond" w:hAnsi="Garamond"/>
                <w:b/>
                <w:sz w:val="20"/>
                <w:szCs w:val="20"/>
                <w:lang w:eastAsia="en-GB"/>
              </w:rPr>
              <w:t>po/jo</w:t>
            </w:r>
            <w:r w:rsidRPr="00A90756">
              <w:rPr>
                <w:rFonts w:ascii="Garamond" w:hAnsi="Garamond"/>
                <w:b/>
                <w:sz w:val="20"/>
                <w:szCs w:val="20"/>
                <w:lang w:eastAsia="en-GB"/>
              </w:rPr>
              <w:t>)</w:t>
            </w:r>
          </w:p>
        </w:tc>
        <w:tc>
          <w:tcPr>
            <w:tcW w:w="384" w:type="pct"/>
            <w:shd w:val="clear" w:color="auto" w:fill="auto"/>
          </w:tcPr>
          <w:p w14:paraId="014E48EC" w14:textId="32841F03" w:rsidR="00B33F8B" w:rsidRPr="00A90756" w:rsidRDefault="00B33F8B" w:rsidP="00B33F8B">
            <w:pPr>
              <w:spacing w:after="0" w:line="240" w:lineRule="auto"/>
              <w:jc w:val="both"/>
              <w:rPr>
                <w:rFonts w:ascii="Garamond" w:hAnsi="Garamond"/>
                <w:b/>
                <w:sz w:val="20"/>
                <w:szCs w:val="20"/>
                <w:lang w:eastAsia="en-GB"/>
              </w:rPr>
            </w:pPr>
            <w:r w:rsidRPr="00A90756">
              <w:rPr>
                <w:rFonts w:ascii="Garamond" w:hAnsi="Garamond"/>
                <w:b/>
                <w:sz w:val="20"/>
                <w:szCs w:val="20"/>
                <w:lang w:eastAsia="en-GB"/>
              </w:rPr>
              <w:t>Vlerësim i cilësisë (</w:t>
            </w:r>
            <w:r w:rsidR="005C3F3B" w:rsidRPr="00A90756">
              <w:rPr>
                <w:rFonts w:ascii="Garamond" w:hAnsi="Garamond"/>
                <w:b/>
                <w:sz w:val="20"/>
                <w:szCs w:val="20"/>
                <w:lang w:eastAsia="en-GB"/>
              </w:rPr>
              <w:t>po/jo</w:t>
            </w:r>
            <w:r w:rsidRPr="00A90756">
              <w:rPr>
                <w:rFonts w:ascii="Garamond" w:hAnsi="Garamond"/>
                <w:b/>
                <w:sz w:val="20"/>
                <w:szCs w:val="20"/>
                <w:lang w:eastAsia="en-GB"/>
              </w:rPr>
              <w:t>)</w:t>
            </w:r>
          </w:p>
        </w:tc>
        <w:tc>
          <w:tcPr>
            <w:tcW w:w="404" w:type="pct"/>
            <w:shd w:val="clear" w:color="auto" w:fill="auto"/>
          </w:tcPr>
          <w:p w14:paraId="014E48ED" w14:textId="3B3A8E2C"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Përzgjedhur (</w:t>
            </w:r>
            <w:r w:rsidR="005C3F3B" w:rsidRPr="00A90756">
              <w:rPr>
                <w:rFonts w:ascii="Garamond" w:hAnsi="Garamond"/>
                <w:b/>
                <w:sz w:val="20"/>
                <w:szCs w:val="20"/>
                <w:lang w:eastAsia="en-GB"/>
              </w:rPr>
              <w:t>po/jo</w:t>
            </w:r>
            <w:r w:rsidRPr="00A90756">
              <w:rPr>
                <w:rFonts w:ascii="Garamond" w:hAnsi="Garamond"/>
                <w:b/>
                <w:sz w:val="20"/>
                <w:szCs w:val="20"/>
                <w:lang w:eastAsia="en-GB"/>
              </w:rPr>
              <w:t>)</w:t>
            </w:r>
          </w:p>
        </w:tc>
        <w:tc>
          <w:tcPr>
            <w:tcW w:w="700" w:type="pct"/>
            <w:shd w:val="clear" w:color="auto" w:fill="auto"/>
          </w:tcPr>
          <w:p w14:paraId="014E48EE" w14:textId="77777777"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Arsyeja për refuzim</w:t>
            </w:r>
          </w:p>
        </w:tc>
      </w:tr>
      <w:tr w:rsidR="00B33F8B" w:rsidRPr="00A90756" w14:paraId="014E48FA" w14:textId="77777777" w:rsidTr="002132A6">
        <w:trPr>
          <w:trHeight w:val="20"/>
        </w:trPr>
        <w:tc>
          <w:tcPr>
            <w:tcW w:w="463" w:type="pct"/>
            <w:shd w:val="clear" w:color="auto" w:fill="auto"/>
          </w:tcPr>
          <w:p w14:paraId="014E48F0" w14:textId="77777777" w:rsidR="00B33F8B" w:rsidRPr="00A90756" w:rsidRDefault="00B33F8B" w:rsidP="00B33F8B">
            <w:pPr>
              <w:spacing w:after="0" w:line="240" w:lineRule="auto"/>
              <w:jc w:val="both"/>
              <w:rPr>
                <w:rFonts w:ascii="Garamond" w:hAnsi="Garamond"/>
                <w:sz w:val="20"/>
                <w:szCs w:val="20"/>
                <w:lang w:eastAsia="ko-KR"/>
              </w:rPr>
            </w:pPr>
          </w:p>
        </w:tc>
        <w:tc>
          <w:tcPr>
            <w:tcW w:w="436" w:type="pct"/>
            <w:shd w:val="clear" w:color="auto" w:fill="auto"/>
          </w:tcPr>
          <w:p w14:paraId="014E48F1" w14:textId="77777777" w:rsidR="00B33F8B" w:rsidRPr="00A90756" w:rsidRDefault="00B33F8B" w:rsidP="00B33F8B">
            <w:pPr>
              <w:spacing w:after="0" w:line="240" w:lineRule="auto"/>
              <w:jc w:val="both"/>
              <w:rPr>
                <w:rFonts w:ascii="Garamond" w:hAnsi="Garamond"/>
                <w:sz w:val="20"/>
                <w:szCs w:val="20"/>
                <w:lang w:eastAsia="ko-KR"/>
              </w:rPr>
            </w:pPr>
          </w:p>
        </w:tc>
        <w:tc>
          <w:tcPr>
            <w:tcW w:w="566" w:type="pct"/>
            <w:shd w:val="clear" w:color="auto" w:fill="auto"/>
          </w:tcPr>
          <w:p w14:paraId="014E48F2" w14:textId="77777777" w:rsidR="00B33F8B" w:rsidRPr="00A90756" w:rsidRDefault="00B33F8B" w:rsidP="00B33F8B">
            <w:pPr>
              <w:spacing w:after="0" w:line="240" w:lineRule="auto"/>
              <w:jc w:val="both"/>
              <w:rPr>
                <w:rFonts w:ascii="Garamond" w:hAnsi="Garamond"/>
                <w:sz w:val="20"/>
                <w:szCs w:val="20"/>
                <w:lang w:eastAsia="ko-KR"/>
              </w:rPr>
            </w:pPr>
          </w:p>
        </w:tc>
        <w:tc>
          <w:tcPr>
            <w:tcW w:w="566" w:type="pct"/>
            <w:shd w:val="clear" w:color="auto" w:fill="auto"/>
          </w:tcPr>
          <w:p w14:paraId="014E48F3" w14:textId="77777777" w:rsidR="00B33F8B" w:rsidRPr="00A90756" w:rsidRDefault="00B33F8B" w:rsidP="00B33F8B">
            <w:pPr>
              <w:spacing w:after="0" w:line="240" w:lineRule="auto"/>
              <w:jc w:val="both"/>
              <w:rPr>
                <w:rFonts w:ascii="Garamond" w:hAnsi="Garamond"/>
                <w:sz w:val="20"/>
                <w:szCs w:val="20"/>
                <w:lang w:eastAsia="ko-KR"/>
              </w:rPr>
            </w:pPr>
          </w:p>
        </w:tc>
        <w:tc>
          <w:tcPr>
            <w:tcW w:w="522" w:type="pct"/>
            <w:shd w:val="clear" w:color="auto" w:fill="auto"/>
          </w:tcPr>
          <w:p w14:paraId="014E48F4" w14:textId="77777777" w:rsidR="00B33F8B" w:rsidRPr="00A90756" w:rsidRDefault="00B33F8B" w:rsidP="00B33F8B">
            <w:pPr>
              <w:spacing w:after="0" w:line="240" w:lineRule="auto"/>
              <w:jc w:val="both"/>
              <w:rPr>
                <w:rFonts w:ascii="Garamond" w:hAnsi="Garamond"/>
                <w:sz w:val="20"/>
                <w:szCs w:val="20"/>
                <w:lang w:eastAsia="ko-KR"/>
              </w:rPr>
            </w:pPr>
          </w:p>
        </w:tc>
        <w:tc>
          <w:tcPr>
            <w:tcW w:w="522" w:type="pct"/>
            <w:shd w:val="clear" w:color="auto" w:fill="auto"/>
          </w:tcPr>
          <w:p w14:paraId="014E48F5" w14:textId="77777777" w:rsidR="00B33F8B" w:rsidRPr="00A90756" w:rsidRDefault="00B33F8B" w:rsidP="00B33F8B">
            <w:pPr>
              <w:spacing w:after="0" w:line="240" w:lineRule="auto"/>
              <w:jc w:val="both"/>
              <w:rPr>
                <w:rFonts w:ascii="Garamond" w:hAnsi="Garamond"/>
                <w:sz w:val="20"/>
                <w:szCs w:val="20"/>
                <w:lang w:eastAsia="ko-KR"/>
              </w:rPr>
            </w:pPr>
          </w:p>
        </w:tc>
        <w:tc>
          <w:tcPr>
            <w:tcW w:w="439" w:type="pct"/>
            <w:shd w:val="clear" w:color="auto" w:fill="auto"/>
          </w:tcPr>
          <w:p w14:paraId="014E48F6" w14:textId="77777777" w:rsidR="00B33F8B" w:rsidRPr="00A90756" w:rsidRDefault="00B33F8B" w:rsidP="00B33F8B">
            <w:pPr>
              <w:spacing w:after="0" w:line="240" w:lineRule="auto"/>
              <w:jc w:val="both"/>
              <w:rPr>
                <w:rFonts w:ascii="Garamond" w:hAnsi="Garamond"/>
                <w:sz w:val="20"/>
                <w:szCs w:val="20"/>
                <w:lang w:eastAsia="ko-KR"/>
              </w:rPr>
            </w:pPr>
          </w:p>
        </w:tc>
        <w:tc>
          <w:tcPr>
            <w:tcW w:w="384" w:type="pct"/>
            <w:shd w:val="clear" w:color="auto" w:fill="auto"/>
          </w:tcPr>
          <w:p w14:paraId="014E48F7" w14:textId="77777777" w:rsidR="00B33F8B" w:rsidRPr="00A90756" w:rsidRDefault="00B33F8B" w:rsidP="00B33F8B">
            <w:pPr>
              <w:spacing w:after="0" w:line="240" w:lineRule="auto"/>
              <w:jc w:val="both"/>
              <w:rPr>
                <w:rFonts w:ascii="Garamond" w:hAnsi="Garamond"/>
                <w:sz w:val="20"/>
                <w:szCs w:val="20"/>
                <w:lang w:eastAsia="ko-KR"/>
              </w:rPr>
            </w:pPr>
          </w:p>
        </w:tc>
        <w:tc>
          <w:tcPr>
            <w:tcW w:w="404" w:type="pct"/>
            <w:shd w:val="clear" w:color="auto" w:fill="auto"/>
          </w:tcPr>
          <w:p w14:paraId="014E48F8" w14:textId="77777777" w:rsidR="00B33F8B" w:rsidRPr="00A90756" w:rsidRDefault="00B33F8B" w:rsidP="00B33F8B">
            <w:pPr>
              <w:spacing w:after="0" w:line="240" w:lineRule="auto"/>
              <w:jc w:val="both"/>
              <w:rPr>
                <w:rFonts w:ascii="Garamond" w:hAnsi="Garamond"/>
                <w:sz w:val="20"/>
                <w:szCs w:val="20"/>
                <w:lang w:eastAsia="ko-KR"/>
              </w:rPr>
            </w:pPr>
          </w:p>
        </w:tc>
        <w:tc>
          <w:tcPr>
            <w:tcW w:w="700" w:type="pct"/>
            <w:shd w:val="clear" w:color="auto" w:fill="auto"/>
          </w:tcPr>
          <w:p w14:paraId="014E48F9" w14:textId="77777777" w:rsidR="00B33F8B" w:rsidRPr="00A90756" w:rsidRDefault="00B33F8B" w:rsidP="00B33F8B">
            <w:pPr>
              <w:spacing w:after="0" w:line="240" w:lineRule="auto"/>
              <w:jc w:val="both"/>
              <w:rPr>
                <w:rFonts w:ascii="Garamond" w:hAnsi="Garamond"/>
                <w:sz w:val="20"/>
                <w:szCs w:val="20"/>
                <w:lang w:eastAsia="ko-KR"/>
              </w:rPr>
            </w:pPr>
          </w:p>
        </w:tc>
      </w:tr>
      <w:tr w:rsidR="00B33F8B" w:rsidRPr="00A90756" w14:paraId="014E4905" w14:textId="77777777" w:rsidTr="002132A6">
        <w:trPr>
          <w:trHeight w:val="20"/>
        </w:trPr>
        <w:tc>
          <w:tcPr>
            <w:tcW w:w="463" w:type="pct"/>
            <w:shd w:val="clear" w:color="auto" w:fill="auto"/>
          </w:tcPr>
          <w:p w14:paraId="014E48FB" w14:textId="77777777" w:rsidR="00B33F8B" w:rsidRPr="00A90756" w:rsidRDefault="00B33F8B" w:rsidP="00B33F8B">
            <w:pPr>
              <w:spacing w:after="0" w:line="240" w:lineRule="auto"/>
              <w:jc w:val="both"/>
              <w:rPr>
                <w:rFonts w:ascii="Garamond" w:hAnsi="Garamond"/>
                <w:sz w:val="20"/>
                <w:szCs w:val="20"/>
                <w:lang w:eastAsia="ko-KR"/>
              </w:rPr>
            </w:pPr>
          </w:p>
        </w:tc>
        <w:tc>
          <w:tcPr>
            <w:tcW w:w="436" w:type="pct"/>
            <w:shd w:val="clear" w:color="auto" w:fill="auto"/>
          </w:tcPr>
          <w:p w14:paraId="014E48FC" w14:textId="77777777" w:rsidR="00B33F8B" w:rsidRPr="00A90756" w:rsidRDefault="00B33F8B" w:rsidP="00B33F8B">
            <w:pPr>
              <w:spacing w:after="0" w:line="240" w:lineRule="auto"/>
              <w:jc w:val="both"/>
              <w:rPr>
                <w:rFonts w:ascii="Garamond" w:hAnsi="Garamond"/>
                <w:sz w:val="20"/>
                <w:szCs w:val="20"/>
                <w:lang w:eastAsia="ko-KR"/>
              </w:rPr>
            </w:pPr>
          </w:p>
        </w:tc>
        <w:tc>
          <w:tcPr>
            <w:tcW w:w="566" w:type="pct"/>
            <w:shd w:val="clear" w:color="auto" w:fill="auto"/>
          </w:tcPr>
          <w:p w14:paraId="014E48FD" w14:textId="77777777" w:rsidR="00B33F8B" w:rsidRPr="00A90756" w:rsidRDefault="00B33F8B" w:rsidP="00B33F8B">
            <w:pPr>
              <w:spacing w:after="0" w:line="240" w:lineRule="auto"/>
              <w:jc w:val="both"/>
              <w:rPr>
                <w:rFonts w:ascii="Garamond" w:hAnsi="Garamond"/>
                <w:sz w:val="20"/>
                <w:szCs w:val="20"/>
                <w:lang w:eastAsia="ko-KR"/>
              </w:rPr>
            </w:pPr>
          </w:p>
        </w:tc>
        <w:tc>
          <w:tcPr>
            <w:tcW w:w="566" w:type="pct"/>
            <w:shd w:val="clear" w:color="auto" w:fill="auto"/>
          </w:tcPr>
          <w:p w14:paraId="014E48FE" w14:textId="77777777" w:rsidR="00B33F8B" w:rsidRPr="00A90756" w:rsidRDefault="00B33F8B" w:rsidP="00B33F8B">
            <w:pPr>
              <w:spacing w:after="0" w:line="240" w:lineRule="auto"/>
              <w:jc w:val="both"/>
              <w:rPr>
                <w:rFonts w:ascii="Garamond" w:hAnsi="Garamond"/>
                <w:sz w:val="20"/>
                <w:szCs w:val="20"/>
                <w:lang w:eastAsia="ko-KR"/>
              </w:rPr>
            </w:pPr>
          </w:p>
        </w:tc>
        <w:tc>
          <w:tcPr>
            <w:tcW w:w="522" w:type="pct"/>
            <w:shd w:val="clear" w:color="auto" w:fill="auto"/>
          </w:tcPr>
          <w:p w14:paraId="014E48FF" w14:textId="77777777" w:rsidR="00B33F8B" w:rsidRPr="00A90756" w:rsidRDefault="00B33F8B" w:rsidP="00B33F8B">
            <w:pPr>
              <w:spacing w:after="0" w:line="240" w:lineRule="auto"/>
              <w:jc w:val="both"/>
              <w:rPr>
                <w:rFonts w:ascii="Garamond" w:hAnsi="Garamond"/>
                <w:sz w:val="20"/>
                <w:szCs w:val="20"/>
                <w:lang w:eastAsia="ko-KR"/>
              </w:rPr>
            </w:pPr>
          </w:p>
        </w:tc>
        <w:tc>
          <w:tcPr>
            <w:tcW w:w="522" w:type="pct"/>
            <w:shd w:val="clear" w:color="auto" w:fill="auto"/>
          </w:tcPr>
          <w:p w14:paraId="014E4900" w14:textId="77777777" w:rsidR="00B33F8B" w:rsidRPr="00A90756" w:rsidRDefault="00B33F8B" w:rsidP="00B33F8B">
            <w:pPr>
              <w:spacing w:after="0" w:line="240" w:lineRule="auto"/>
              <w:jc w:val="both"/>
              <w:rPr>
                <w:rFonts w:ascii="Garamond" w:hAnsi="Garamond"/>
                <w:sz w:val="20"/>
                <w:szCs w:val="20"/>
                <w:lang w:eastAsia="ko-KR"/>
              </w:rPr>
            </w:pPr>
          </w:p>
        </w:tc>
        <w:tc>
          <w:tcPr>
            <w:tcW w:w="439" w:type="pct"/>
            <w:shd w:val="clear" w:color="auto" w:fill="auto"/>
          </w:tcPr>
          <w:p w14:paraId="014E4901" w14:textId="77777777" w:rsidR="00B33F8B" w:rsidRPr="00A90756" w:rsidRDefault="00B33F8B" w:rsidP="00B33F8B">
            <w:pPr>
              <w:spacing w:after="0" w:line="240" w:lineRule="auto"/>
              <w:jc w:val="both"/>
              <w:rPr>
                <w:rFonts w:ascii="Garamond" w:hAnsi="Garamond"/>
                <w:sz w:val="20"/>
                <w:szCs w:val="20"/>
                <w:lang w:eastAsia="ko-KR"/>
              </w:rPr>
            </w:pPr>
          </w:p>
        </w:tc>
        <w:tc>
          <w:tcPr>
            <w:tcW w:w="384" w:type="pct"/>
            <w:shd w:val="clear" w:color="auto" w:fill="auto"/>
          </w:tcPr>
          <w:p w14:paraId="014E4902" w14:textId="77777777" w:rsidR="00B33F8B" w:rsidRPr="00A90756" w:rsidRDefault="00B33F8B" w:rsidP="00B33F8B">
            <w:pPr>
              <w:spacing w:after="0" w:line="240" w:lineRule="auto"/>
              <w:jc w:val="both"/>
              <w:rPr>
                <w:rFonts w:ascii="Garamond" w:hAnsi="Garamond"/>
                <w:sz w:val="20"/>
                <w:szCs w:val="20"/>
                <w:lang w:eastAsia="ko-KR"/>
              </w:rPr>
            </w:pPr>
          </w:p>
        </w:tc>
        <w:tc>
          <w:tcPr>
            <w:tcW w:w="404" w:type="pct"/>
            <w:shd w:val="clear" w:color="auto" w:fill="auto"/>
          </w:tcPr>
          <w:p w14:paraId="014E4903" w14:textId="77777777" w:rsidR="00B33F8B" w:rsidRPr="00A90756" w:rsidRDefault="00B33F8B" w:rsidP="00B33F8B">
            <w:pPr>
              <w:spacing w:after="0" w:line="240" w:lineRule="auto"/>
              <w:jc w:val="both"/>
              <w:rPr>
                <w:rFonts w:ascii="Garamond" w:hAnsi="Garamond"/>
                <w:sz w:val="20"/>
                <w:szCs w:val="20"/>
                <w:lang w:eastAsia="ko-KR"/>
              </w:rPr>
            </w:pPr>
          </w:p>
        </w:tc>
        <w:tc>
          <w:tcPr>
            <w:tcW w:w="700" w:type="pct"/>
            <w:shd w:val="clear" w:color="auto" w:fill="auto"/>
          </w:tcPr>
          <w:p w14:paraId="014E4904" w14:textId="77777777" w:rsidR="00B33F8B" w:rsidRPr="00A90756" w:rsidRDefault="00B33F8B" w:rsidP="00B33F8B">
            <w:pPr>
              <w:spacing w:after="0" w:line="240" w:lineRule="auto"/>
              <w:jc w:val="both"/>
              <w:rPr>
                <w:rFonts w:ascii="Garamond" w:hAnsi="Garamond"/>
                <w:sz w:val="20"/>
                <w:szCs w:val="20"/>
                <w:lang w:eastAsia="ko-KR"/>
              </w:rPr>
            </w:pPr>
          </w:p>
        </w:tc>
      </w:tr>
    </w:tbl>
    <w:p w14:paraId="014E4906" w14:textId="77777777" w:rsidR="00B33F8B" w:rsidRPr="00A90756" w:rsidRDefault="00B33F8B" w:rsidP="00B33F8B">
      <w:pPr>
        <w:spacing w:after="0" w:line="240" w:lineRule="auto"/>
        <w:rPr>
          <w:rFonts w:ascii="Garamond" w:hAnsi="Garamond"/>
          <w:lang w:eastAsia="ko-KR"/>
        </w:rPr>
      </w:pPr>
    </w:p>
    <w:p w14:paraId="014E4907" w14:textId="77777777" w:rsidR="00B33F8B" w:rsidRPr="00A90756" w:rsidRDefault="00B33F8B" w:rsidP="00B33F8B">
      <w:pPr>
        <w:spacing w:after="0" w:line="240" w:lineRule="auto"/>
        <w:rPr>
          <w:rFonts w:ascii="Garamond" w:hAnsi="Garamond"/>
        </w:rPr>
      </w:pPr>
      <w:r w:rsidRPr="00A90756">
        <w:rPr>
          <w:rFonts w:ascii="Garamond" w:hAnsi="Garamond"/>
        </w:rPr>
        <w:t>Tabela</w:t>
      </w:r>
      <w:r w:rsidRPr="00A90756">
        <w:rPr>
          <w:rStyle w:val="FootnoteReference"/>
          <w:rFonts w:ascii="Garamond" w:hAnsi="Garamond"/>
          <w:lang w:eastAsia="ko-KR"/>
        </w:rPr>
        <w:footnoteReference w:id="36"/>
      </w:r>
      <w:r w:rsidRPr="00A90756">
        <w:rPr>
          <w:rFonts w:ascii="Garamond" w:hAnsi="Garamond"/>
        </w:rPr>
        <w:t xml:space="preserve"> nr.: &lt;XX&gt;. Lista e kontratave BNK të nënshkruara për çdo thirrje për propozim dhe statusi i zbatimit të tyre</w:t>
      </w:r>
    </w:p>
    <w:p w14:paraId="014E4908" w14:textId="77777777" w:rsidR="00B33F8B" w:rsidRPr="00A90756" w:rsidRDefault="00B33F8B" w:rsidP="00B33F8B">
      <w:pPr>
        <w:spacing w:after="0" w:line="240" w:lineRule="auto"/>
        <w:rPr>
          <w:rFonts w:ascii="Garamond" w:hAnsi="Garamond"/>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538"/>
        <w:gridCol w:w="1823"/>
        <w:gridCol w:w="2305"/>
        <w:gridCol w:w="1004"/>
        <w:gridCol w:w="1538"/>
        <w:gridCol w:w="3517"/>
        <w:gridCol w:w="1221"/>
      </w:tblGrid>
      <w:tr w:rsidR="00B33F8B" w:rsidRPr="00A90756" w14:paraId="014E490A" w14:textId="77777777" w:rsidTr="002132A6">
        <w:trPr>
          <w:trHeight w:val="20"/>
        </w:trPr>
        <w:tc>
          <w:tcPr>
            <w:tcW w:w="5000" w:type="pct"/>
            <w:gridSpan w:val="8"/>
          </w:tcPr>
          <w:p w14:paraId="014E4909" w14:textId="77777777" w:rsidR="00B33F8B" w:rsidRPr="00A90756" w:rsidRDefault="00B33F8B" w:rsidP="00B33F8B">
            <w:pPr>
              <w:spacing w:after="0" w:line="240" w:lineRule="auto"/>
              <w:jc w:val="both"/>
              <w:rPr>
                <w:rFonts w:ascii="Garamond" w:hAnsi="Garamond"/>
                <w:b/>
                <w:sz w:val="20"/>
                <w:szCs w:val="20"/>
                <w:lang w:eastAsia="en-GB"/>
              </w:rPr>
            </w:pPr>
            <w:r w:rsidRPr="00A90756">
              <w:rPr>
                <w:rFonts w:ascii="Garamond" w:hAnsi="Garamond"/>
                <w:b/>
                <w:sz w:val="20"/>
                <w:szCs w:val="20"/>
                <w:lang w:eastAsia="en-GB"/>
              </w:rPr>
              <w:t>Numri i referencës së thirrjes për propozime: &lt;…&gt;</w:t>
            </w:r>
          </w:p>
        </w:tc>
      </w:tr>
      <w:tr w:rsidR="00B33F8B" w:rsidRPr="00A90756" w14:paraId="014E490C" w14:textId="77777777" w:rsidTr="002132A6">
        <w:trPr>
          <w:trHeight w:val="20"/>
        </w:trPr>
        <w:tc>
          <w:tcPr>
            <w:tcW w:w="5000" w:type="pct"/>
            <w:gridSpan w:val="8"/>
          </w:tcPr>
          <w:p w14:paraId="014E490B" w14:textId="77777777" w:rsidR="00B33F8B" w:rsidRPr="00A90756" w:rsidRDefault="00B33F8B" w:rsidP="00B33F8B">
            <w:pPr>
              <w:spacing w:after="0" w:line="240" w:lineRule="auto"/>
              <w:jc w:val="both"/>
              <w:rPr>
                <w:rFonts w:ascii="Garamond" w:hAnsi="Garamond"/>
                <w:b/>
                <w:sz w:val="20"/>
                <w:szCs w:val="20"/>
                <w:lang w:eastAsia="en-GB"/>
              </w:rPr>
            </w:pPr>
            <w:r w:rsidRPr="00A90756">
              <w:rPr>
                <w:rFonts w:ascii="Garamond" w:hAnsi="Garamond"/>
                <w:b/>
                <w:sz w:val="20"/>
                <w:szCs w:val="20"/>
                <w:lang w:eastAsia="en-GB"/>
              </w:rPr>
              <w:t>Prioriteti tematik: &lt;…&gt;</w:t>
            </w:r>
          </w:p>
        </w:tc>
      </w:tr>
      <w:tr w:rsidR="00B33F8B" w:rsidRPr="00A90756" w14:paraId="014E4915" w14:textId="77777777" w:rsidTr="002132A6">
        <w:trPr>
          <w:trHeight w:val="20"/>
        </w:trPr>
        <w:tc>
          <w:tcPr>
            <w:tcW w:w="353" w:type="pct"/>
            <w:shd w:val="clear" w:color="auto" w:fill="auto"/>
          </w:tcPr>
          <w:p w14:paraId="014E490D" w14:textId="77777777" w:rsidR="00B33F8B" w:rsidRPr="00A90756" w:rsidRDefault="00B33F8B" w:rsidP="005C3F3B">
            <w:pPr>
              <w:spacing w:after="0" w:line="240" w:lineRule="auto"/>
              <w:jc w:val="center"/>
              <w:rPr>
                <w:rFonts w:ascii="Garamond" w:hAnsi="Garamond"/>
                <w:b/>
                <w:sz w:val="20"/>
                <w:szCs w:val="20"/>
                <w:lang w:eastAsia="en-GB"/>
              </w:rPr>
            </w:pPr>
            <w:r w:rsidRPr="00A90756">
              <w:rPr>
                <w:rFonts w:ascii="Garamond" w:hAnsi="Garamond"/>
                <w:b/>
                <w:sz w:val="20"/>
                <w:szCs w:val="20"/>
                <w:lang w:eastAsia="en-GB"/>
              </w:rPr>
              <w:t>Numri i kontratës</w:t>
            </w:r>
          </w:p>
        </w:tc>
        <w:tc>
          <w:tcPr>
            <w:tcW w:w="557" w:type="pct"/>
            <w:shd w:val="clear" w:color="auto" w:fill="auto"/>
          </w:tcPr>
          <w:p w14:paraId="014E490E" w14:textId="77777777" w:rsidR="00B33F8B" w:rsidRPr="00A90756" w:rsidRDefault="00B33F8B" w:rsidP="005C3F3B">
            <w:pPr>
              <w:spacing w:after="0" w:line="240" w:lineRule="auto"/>
              <w:jc w:val="center"/>
              <w:rPr>
                <w:rFonts w:ascii="Garamond" w:hAnsi="Garamond"/>
                <w:b/>
                <w:sz w:val="20"/>
                <w:szCs w:val="20"/>
                <w:lang w:eastAsia="en-GB"/>
              </w:rPr>
            </w:pPr>
            <w:r w:rsidRPr="00A90756">
              <w:rPr>
                <w:rFonts w:ascii="Garamond" w:hAnsi="Garamond"/>
                <w:b/>
                <w:sz w:val="20"/>
                <w:szCs w:val="20"/>
                <w:lang w:eastAsia="en-GB"/>
              </w:rPr>
              <w:t>Titulli</w:t>
            </w:r>
          </w:p>
        </w:tc>
        <w:tc>
          <w:tcPr>
            <w:tcW w:w="659" w:type="pct"/>
            <w:shd w:val="clear" w:color="auto" w:fill="auto"/>
          </w:tcPr>
          <w:p w14:paraId="014E490F" w14:textId="77777777" w:rsidR="00B33F8B" w:rsidRPr="00A90756" w:rsidRDefault="00B33F8B" w:rsidP="005C3F3B">
            <w:pPr>
              <w:spacing w:after="0" w:line="240" w:lineRule="auto"/>
              <w:jc w:val="center"/>
              <w:rPr>
                <w:rFonts w:ascii="Garamond" w:hAnsi="Garamond"/>
                <w:b/>
                <w:sz w:val="20"/>
                <w:szCs w:val="20"/>
                <w:lang w:eastAsia="en-GB"/>
              </w:rPr>
            </w:pPr>
            <w:r w:rsidRPr="00A90756">
              <w:rPr>
                <w:rFonts w:ascii="Garamond" w:hAnsi="Garamond"/>
                <w:b/>
                <w:sz w:val="20"/>
                <w:szCs w:val="20"/>
                <w:lang w:eastAsia="en-GB"/>
              </w:rPr>
              <w:t>Emri, lloji dhe vendi i origjinës së koordinatorit dhe i bashkëpërfituesve</w:t>
            </w:r>
          </w:p>
        </w:tc>
        <w:tc>
          <w:tcPr>
            <w:tcW w:w="832" w:type="pct"/>
            <w:shd w:val="clear" w:color="auto" w:fill="auto"/>
          </w:tcPr>
          <w:p w14:paraId="014E4910" w14:textId="77777777" w:rsidR="00B33F8B" w:rsidRPr="00A90756" w:rsidRDefault="00B33F8B" w:rsidP="005C3F3B">
            <w:pPr>
              <w:spacing w:after="0" w:line="240" w:lineRule="auto"/>
              <w:jc w:val="center"/>
              <w:rPr>
                <w:rFonts w:ascii="Garamond" w:hAnsi="Garamond"/>
                <w:b/>
                <w:sz w:val="20"/>
                <w:szCs w:val="20"/>
                <w:lang w:eastAsia="en-GB"/>
              </w:rPr>
            </w:pPr>
            <w:r w:rsidRPr="00A90756">
              <w:rPr>
                <w:rFonts w:ascii="Garamond" w:hAnsi="Garamond"/>
                <w:b/>
                <w:sz w:val="20"/>
                <w:szCs w:val="20"/>
                <w:lang w:eastAsia="en-GB"/>
              </w:rPr>
              <w:t>Informacion i shkurtër për projektin (objektivat/rezultatet specifike dhe rezultatet/produktet e pritshme)</w:t>
            </w:r>
          </w:p>
        </w:tc>
        <w:tc>
          <w:tcPr>
            <w:tcW w:w="333" w:type="pct"/>
            <w:shd w:val="clear" w:color="auto" w:fill="auto"/>
          </w:tcPr>
          <w:p w14:paraId="014E4911" w14:textId="007ECA97" w:rsidR="00B33F8B" w:rsidRPr="00A90756" w:rsidRDefault="00B33F8B" w:rsidP="005C3F3B">
            <w:pPr>
              <w:spacing w:after="0" w:line="240" w:lineRule="auto"/>
              <w:jc w:val="center"/>
              <w:rPr>
                <w:rFonts w:ascii="Garamond" w:hAnsi="Garamond"/>
                <w:b/>
                <w:sz w:val="20"/>
                <w:szCs w:val="20"/>
                <w:lang w:eastAsia="en-GB"/>
              </w:rPr>
            </w:pPr>
            <w:r w:rsidRPr="00A90756">
              <w:rPr>
                <w:rFonts w:ascii="Garamond" w:hAnsi="Garamond"/>
                <w:b/>
                <w:sz w:val="20"/>
                <w:szCs w:val="20"/>
                <w:lang w:eastAsia="en-GB"/>
              </w:rPr>
              <w:t xml:space="preserve">Data e fillimit dhe </w:t>
            </w:r>
            <w:r w:rsidR="005C3F3B" w:rsidRPr="00A90756">
              <w:rPr>
                <w:rFonts w:ascii="Garamond" w:hAnsi="Garamond"/>
                <w:b/>
                <w:sz w:val="20"/>
                <w:szCs w:val="20"/>
                <w:lang w:eastAsia="en-GB"/>
              </w:rPr>
              <w:t xml:space="preserve">e </w:t>
            </w:r>
            <w:r w:rsidRPr="00A90756">
              <w:rPr>
                <w:rFonts w:ascii="Garamond" w:hAnsi="Garamond"/>
                <w:b/>
                <w:sz w:val="20"/>
                <w:szCs w:val="20"/>
                <w:lang w:eastAsia="en-GB"/>
              </w:rPr>
              <w:t>mbarimit</w:t>
            </w:r>
          </w:p>
        </w:tc>
        <w:tc>
          <w:tcPr>
            <w:tcW w:w="557" w:type="pct"/>
            <w:shd w:val="clear" w:color="auto" w:fill="auto"/>
          </w:tcPr>
          <w:p w14:paraId="014E4912" w14:textId="77777777" w:rsidR="00B33F8B" w:rsidRPr="00A90756" w:rsidRDefault="00B33F8B" w:rsidP="005C3F3B">
            <w:pPr>
              <w:spacing w:after="0" w:line="240" w:lineRule="auto"/>
              <w:jc w:val="center"/>
              <w:rPr>
                <w:rFonts w:ascii="Garamond" w:hAnsi="Garamond"/>
                <w:b/>
                <w:sz w:val="20"/>
                <w:szCs w:val="20"/>
                <w:lang w:eastAsia="en-GB"/>
              </w:rPr>
            </w:pPr>
            <w:r w:rsidRPr="00A90756">
              <w:rPr>
                <w:rFonts w:ascii="Garamond" w:hAnsi="Garamond"/>
                <w:b/>
                <w:sz w:val="20"/>
                <w:szCs w:val="20"/>
                <w:lang w:eastAsia="en-GB"/>
              </w:rPr>
              <w:t>Kostot totale të miratuara dhe vlera e grantit të BE-së</w:t>
            </w:r>
          </w:p>
        </w:tc>
        <w:tc>
          <w:tcPr>
            <w:tcW w:w="1266" w:type="pct"/>
            <w:shd w:val="clear" w:color="auto" w:fill="auto"/>
          </w:tcPr>
          <w:p w14:paraId="014E4913" w14:textId="77777777" w:rsidR="00B33F8B" w:rsidRPr="00A90756" w:rsidRDefault="00B33F8B" w:rsidP="005C3F3B">
            <w:pPr>
              <w:spacing w:after="0" w:line="240" w:lineRule="auto"/>
              <w:jc w:val="center"/>
              <w:rPr>
                <w:rFonts w:ascii="Garamond" w:hAnsi="Garamond"/>
                <w:b/>
                <w:sz w:val="20"/>
                <w:szCs w:val="20"/>
                <w:lang w:eastAsia="en-GB"/>
              </w:rPr>
            </w:pPr>
            <w:r w:rsidRPr="00A90756">
              <w:rPr>
                <w:rFonts w:ascii="Garamond" w:hAnsi="Garamond"/>
                <w:b/>
                <w:sz w:val="20"/>
                <w:szCs w:val="20"/>
                <w:lang w:eastAsia="en-GB"/>
              </w:rPr>
              <w:t>Arritjet kryesore deri më tani</w:t>
            </w:r>
          </w:p>
        </w:tc>
        <w:tc>
          <w:tcPr>
            <w:tcW w:w="443" w:type="pct"/>
            <w:shd w:val="clear" w:color="auto" w:fill="auto"/>
          </w:tcPr>
          <w:p w14:paraId="014E4914" w14:textId="77777777" w:rsidR="00B33F8B" w:rsidRPr="00A90756" w:rsidRDefault="00B33F8B" w:rsidP="00B33F8B">
            <w:pPr>
              <w:spacing w:after="0" w:line="240" w:lineRule="auto"/>
              <w:rPr>
                <w:rFonts w:ascii="Garamond" w:hAnsi="Garamond"/>
                <w:b/>
                <w:sz w:val="20"/>
                <w:szCs w:val="20"/>
                <w:lang w:eastAsia="en-GB"/>
              </w:rPr>
            </w:pPr>
            <w:r w:rsidRPr="00A90756">
              <w:rPr>
                <w:rFonts w:ascii="Garamond" w:hAnsi="Garamond"/>
                <w:b/>
                <w:sz w:val="20"/>
                <w:szCs w:val="20"/>
                <w:lang w:eastAsia="en-GB"/>
              </w:rPr>
              <w:t>Komente</w:t>
            </w:r>
            <w:r w:rsidRPr="00A90756">
              <w:rPr>
                <w:rStyle w:val="FootnoteReference"/>
                <w:rFonts w:ascii="Garamond" w:hAnsi="Garamond"/>
                <w:b/>
                <w:lang w:eastAsia="ko-KR"/>
              </w:rPr>
              <w:footnoteReference w:id="37"/>
            </w:r>
          </w:p>
        </w:tc>
      </w:tr>
      <w:tr w:rsidR="00B33F8B" w:rsidRPr="00A90756" w14:paraId="014E491E" w14:textId="77777777" w:rsidTr="002132A6">
        <w:trPr>
          <w:trHeight w:val="20"/>
        </w:trPr>
        <w:tc>
          <w:tcPr>
            <w:tcW w:w="353" w:type="pct"/>
            <w:shd w:val="clear" w:color="auto" w:fill="auto"/>
          </w:tcPr>
          <w:p w14:paraId="014E4916" w14:textId="77777777" w:rsidR="00B33F8B" w:rsidRPr="00A90756" w:rsidRDefault="00B33F8B" w:rsidP="00B33F8B">
            <w:pPr>
              <w:spacing w:after="0" w:line="240" w:lineRule="auto"/>
              <w:jc w:val="both"/>
              <w:rPr>
                <w:rFonts w:ascii="Garamond" w:hAnsi="Garamond"/>
                <w:sz w:val="20"/>
                <w:szCs w:val="20"/>
                <w:lang w:eastAsia="ko-KR"/>
              </w:rPr>
            </w:pPr>
          </w:p>
        </w:tc>
        <w:tc>
          <w:tcPr>
            <w:tcW w:w="557" w:type="pct"/>
            <w:shd w:val="clear" w:color="auto" w:fill="auto"/>
          </w:tcPr>
          <w:p w14:paraId="014E4917" w14:textId="77777777" w:rsidR="00B33F8B" w:rsidRPr="00A90756" w:rsidRDefault="00B33F8B" w:rsidP="00B33F8B">
            <w:pPr>
              <w:spacing w:after="0" w:line="240" w:lineRule="auto"/>
              <w:jc w:val="both"/>
              <w:rPr>
                <w:rFonts w:ascii="Garamond" w:hAnsi="Garamond"/>
                <w:sz w:val="20"/>
                <w:szCs w:val="20"/>
                <w:lang w:eastAsia="ko-KR"/>
              </w:rPr>
            </w:pPr>
          </w:p>
        </w:tc>
        <w:tc>
          <w:tcPr>
            <w:tcW w:w="659" w:type="pct"/>
            <w:shd w:val="clear" w:color="auto" w:fill="auto"/>
          </w:tcPr>
          <w:p w14:paraId="014E4918" w14:textId="77777777" w:rsidR="00B33F8B" w:rsidRPr="00A90756" w:rsidRDefault="00B33F8B" w:rsidP="00B33F8B">
            <w:pPr>
              <w:spacing w:after="0" w:line="240" w:lineRule="auto"/>
              <w:jc w:val="both"/>
              <w:rPr>
                <w:rFonts w:ascii="Garamond" w:hAnsi="Garamond"/>
                <w:sz w:val="20"/>
                <w:szCs w:val="20"/>
                <w:lang w:eastAsia="ko-KR"/>
              </w:rPr>
            </w:pPr>
          </w:p>
        </w:tc>
        <w:tc>
          <w:tcPr>
            <w:tcW w:w="832" w:type="pct"/>
            <w:shd w:val="clear" w:color="auto" w:fill="auto"/>
          </w:tcPr>
          <w:p w14:paraId="014E4919" w14:textId="77777777" w:rsidR="00B33F8B" w:rsidRPr="00A90756" w:rsidRDefault="00B33F8B" w:rsidP="00B33F8B">
            <w:pPr>
              <w:spacing w:after="0" w:line="240" w:lineRule="auto"/>
              <w:jc w:val="both"/>
              <w:rPr>
                <w:rFonts w:ascii="Garamond" w:hAnsi="Garamond"/>
                <w:sz w:val="20"/>
                <w:szCs w:val="20"/>
                <w:lang w:eastAsia="ko-KR"/>
              </w:rPr>
            </w:pPr>
          </w:p>
        </w:tc>
        <w:tc>
          <w:tcPr>
            <w:tcW w:w="333" w:type="pct"/>
            <w:shd w:val="clear" w:color="auto" w:fill="auto"/>
          </w:tcPr>
          <w:p w14:paraId="014E491A" w14:textId="77777777" w:rsidR="00B33F8B" w:rsidRPr="00A90756" w:rsidRDefault="00B33F8B" w:rsidP="00B33F8B">
            <w:pPr>
              <w:spacing w:after="0" w:line="240" w:lineRule="auto"/>
              <w:jc w:val="both"/>
              <w:rPr>
                <w:rFonts w:ascii="Garamond" w:hAnsi="Garamond"/>
                <w:sz w:val="20"/>
                <w:szCs w:val="20"/>
                <w:lang w:eastAsia="ko-KR"/>
              </w:rPr>
            </w:pPr>
          </w:p>
        </w:tc>
        <w:tc>
          <w:tcPr>
            <w:tcW w:w="557" w:type="pct"/>
            <w:shd w:val="clear" w:color="auto" w:fill="auto"/>
          </w:tcPr>
          <w:p w14:paraId="014E491B" w14:textId="77777777" w:rsidR="00B33F8B" w:rsidRPr="00A90756" w:rsidRDefault="00B33F8B" w:rsidP="00B33F8B">
            <w:pPr>
              <w:spacing w:after="0" w:line="240" w:lineRule="auto"/>
              <w:jc w:val="both"/>
              <w:rPr>
                <w:rFonts w:ascii="Garamond" w:hAnsi="Garamond"/>
                <w:sz w:val="20"/>
                <w:szCs w:val="20"/>
                <w:lang w:eastAsia="ko-KR"/>
              </w:rPr>
            </w:pPr>
          </w:p>
        </w:tc>
        <w:tc>
          <w:tcPr>
            <w:tcW w:w="1266" w:type="pct"/>
            <w:shd w:val="clear" w:color="auto" w:fill="auto"/>
          </w:tcPr>
          <w:p w14:paraId="014E491C" w14:textId="77777777" w:rsidR="00B33F8B" w:rsidRPr="00A90756" w:rsidRDefault="00B33F8B" w:rsidP="00B33F8B">
            <w:pPr>
              <w:spacing w:after="0" w:line="240" w:lineRule="auto"/>
              <w:jc w:val="both"/>
              <w:rPr>
                <w:rFonts w:ascii="Garamond" w:hAnsi="Garamond"/>
                <w:sz w:val="20"/>
                <w:szCs w:val="20"/>
                <w:lang w:eastAsia="ko-KR"/>
              </w:rPr>
            </w:pPr>
          </w:p>
        </w:tc>
        <w:tc>
          <w:tcPr>
            <w:tcW w:w="443" w:type="pct"/>
            <w:shd w:val="clear" w:color="auto" w:fill="auto"/>
          </w:tcPr>
          <w:p w14:paraId="014E491D" w14:textId="77777777" w:rsidR="00B33F8B" w:rsidRPr="00A90756" w:rsidRDefault="00B33F8B" w:rsidP="00B33F8B">
            <w:pPr>
              <w:spacing w:after="0" w:line="240" w:lineRule="auto"/>
              <w:jc w:val="both"/>
              <w:rPr>
                <w:rFonts w:ascii="Garamond" w:hAnsi="Garamond"/>
                <w:sz w:val="20"/>
                <w:szCs w:val="20"/>
                <w:lang w:eastAsia="ko-KR"/>
              </w:rPr>
            </w:pPr>
          </w:p>
        </w:tc>
      </w:tr>
      <w:tr w:rsidR="00B33F8B" w:rsidRPr="00A90756" w14:paraId="014E4927" w14:textId="77777777" w:rsidTr="002132A6">
        <w:trPr>
          <w:trHeight w:val="20"/>
        </w:trPr>
        <w:tc>
          <w:tcPr>
            <w:tcW w:w="353" w:type="pct"/>
            <w:shd w:val="clear" w:color="auto" w:fill="auto"/>
          </w:tcPr>
          <w:p w14:paraId="014E491F" w14:textId="77777777" w:rsidR="00B33F8B" w:rsidRPr="00A90756" w:rsidRDefault="00B33F8B" w:rsidP="00B33F8B">
            <w:pPr>
              <w:spacing w:after="0" w:line="240" w:lineRule="auto"/>
              <w:jc w:val="both"/>
              <w:rPr>
                <w:rFonts w:ascii="Garamond" w:hAnsi="Garamond"/>
                <w:sz w:val="20"/>
                <w:szCs w:val="20"/>
                <w:lang w:eastAsia="ko-KR"/>
              </w:rPr>
            </w:pPr>
          </w:p>
        </w:tc>
        <w:tc>
          <w:tcPr>
            <w:tcW w:w="557" w:type="pct"/>
            <w:shd w:val="clear" w:color="auto" w:fill="auto"/>
          </w:tcPr>
          <w:p w14:paraId="014E4920" w14:textId="77777777" w:rsidR="00B33F8B" w:rsidRPr="00A90756" w:rsidRDefault="00B33F8B" w:rsidP="00B33F8B">
            <w:pPr>
              <w:spacing w:after="0" w:line="240" w:lineRule="auto"/>
              <w:jc w:val="both"/>
              <w:rPr>
                <w:rFonts w:ascii="Garamond" w:hAnsi="Garamond"/>
                <w:sz w:val="20"/>
                <w:szCs w:val="20"/>
                <w:lang w:eastAsia="ko-KR"/>
              </w:rPr>
            </w:pPr>
          </w:p>
        </w:tc>
        <w:tc>
          <w:tcPr>
            <w:tcW w:w="659" w:type="pct"/>
            <w:shd w:val="clear" w:color="auto" w:fill="auto"/>
          </w:tcPr>
          <w:p w14:paraId="014E4921" w14:textId="77777777" w:rsidR="00B33F8B" w:rsidRPr="00A90756" w:rsidRDefault="00B33F8B" w:rsidP="00B33F8B">
            <w:pPr>
              <w:spacing w:after="0" w:line="240" w:lineRule="auto"/>
              <w:jc w:val="both"/>
              <w:rPr>
                <w:rFonts w:ascii="Garamond" w:hAnsi="Garamond"/>
                <w:sz w:val="20"/>
                <w:szCs w:val="20"/>
                <w:lang w:eastAsia="ko-KR"/>
              </w:rPr>
            </w:pPr>
          </w:p>
        </w:tc>
        <w:tc>
          <w:tcPr>
            <w:tcW w:w="832" w:type="pct"/>
            <w:shd w:val="clear" w:color="auto" w:fill="auto"/>
          </w:tcPr>
          <w:p w14:paraId="014E4922" w14:textId="77777777" w:rsidR="00B33F8B" w:rsidRPr="00A90756" w:rsidRDefault="00B33F8B" w:rsidP="00B33F8B">
            <w:pPr>
              <w:spacing w:after="0" w:line="240" w:lineRule="auto"/>
              <w:jc w:val="both"/>
              <w:rPr>
                <w:rFonts w:ascii="Garamond" w:hAnsi="Garamond"/>
                <w:sz w:val="20"/>
                <w:szCs w:val="20"/>
                <w:lang w:eastAsia="ko-KR"/>
              </w:rPr>
            </w:pPr>
          </w:p>
        </w:tc>
        <w:tc>
          <w:tcPr>
            <w:tcW w:w="333" w:type="pct"/>
            <w:shd w:val="clear" w:color="auto" w:fill="auto"/>
          </w:tcPr>
          <w:p w14:paraId="014E4923" w14:textId="77777777" w:rsidR="00B33F8B" w:rsidRPr="00A90756" w:rsidRDefault="00B33F8B" w:rsidP="00B33F8B">
            <w:pPr>
              <w:spacing w:after="0" w:line="240" w:lineRule="auto"/>
              <w:jc w:val="both"/>
              <w:rPr>
                <w:rFonts w:ascii="Garamond" w:hAnsi="Garamond"/>
                <w:sz w:val="20"/>
                <w:szCs w:val="20"/>
                <w:lang w:eastAsia="ko-KR"/>
              </w:rPr>
            </w:pPr>
          </w:p>
        </w:tc>
        <w:tc>
          <w:tcPr>
            <w:tcW w:w="557" w:type="pct"/>
            <w:shd w:val="clear" w:color="auto" w:fill="auto"/>
          </w:tcPr>
          <w:p w14:paraId="014E4924" w14:textId="77777777" w:rsidR="00B33F8B" w:rsidRPr="00A90756" w:rsidRDefault="00B33F8B" w:rsidP="00B33F8B">
            <w:pPr>
              <w:spacing w:after="0" w:line="240" w:lineRule="auto"/>
              <w:jc w:val="both"/>
              <w:rPr>
                <w:rFonts w:ascii="Garamond" w:hAnsi="Garamond"/>
                <w:sz w:val="20"/>
                <w:szCs w:val="20"/>
                <w:lang w:eastAsia="ko-KR"/>
              </w:rPr>
            </w:pPr>
          </w:p>
        </w:tc>
        <w:tc>
          <w:tcPr>
            <w:tcW w:w="1266" w:type="pct"/>
            <w:shd w:val="clear" w:color="auto" w:fill="auto"/>
          </w:tcPr>
          <w:p w14:paraId="014E4925" w14:textId="77777777" w:rsidR="00B33F8B" w:rsidRPr="00A90756" w:rsidRDefault="00B33F8B" w:rsidP="00B33F8B">
            <w:pPr>
              <w:spacing w:after="0" w:line="240" w:lineRule="auto"/>
              <w:jc w:val="both"/>
              <w:rPr>
                <w:rFonts w:ascii="Garamond" w:hAnsi="Garamond"/>
                <w:sz w:val="20"/>
                <w:szCs w:val="20"/>
                <w:lang w:eastAsia="ko-KR"/>
              </w:rPr>
            </w:pPr>
          </w:p>
        </w:tc>
        <w:tc>
          <w:tcPr>
            <w:tcW w:w="443" w:type="pct"/>
            <w:shd w:val="clear" w:color="auto" w:fill="auto"/>
          </w:tcPr>
          <w:p w14:paraId="014E4926" w14:textId="77777777" w:rsidR="00B33F8B" w:rsidRPr="00A90756" w:rsidRDefault="00B33F8B" w:rsidP="00B33F8B">
            <w:pPr>
              <w:spacing w:after="0" w:line="240" w:lineRule="auto"/>
              <w:jc w:val="both"/>
              <w:rPr>
                <w:rFonts w:ascii="Garamond" w:hAnsi="Garamond"/>
                <w:sz w:val="20"/>
                <w:szCs w:val="20"/>
                <w:lang w:eastAsia="ko-KR"/>
              </w:rPr>
            </w:pPr>
          </w:p>
        </w:tc>
      </w:tr>
    </w:tbl>
    <w:p w14:paraId="014E4928" w14:textId="77777777" w:rsidR="00E55BD9" w:rsidRPr="00A90756" w:rsidRDefault="00E55BD9" w:rsidP="00B33F8B">
      <w:pPr>
        <w:spacing w:after="0" w:line="240" w:lineRule="auto"/>
        <w:ind w:firstLine="284"/>
        <w:rPr>
          <w:rFonts w:ascii="Garamond" w:hAnsi="Garamond"/>
        </w:rPr>
      </w:pPr>
    </w:p>
    <w:p w14:paraId="014E4929" w14:textId="77777777" w:rsidR="00BA04A8" w:rsidRPr="00A90756" w:rsidRDefault="00BA04A8" w:rsidP="00E55BD9">
      <w:pPr>
        <w:spacing w:after="0" w:line="240" w:lineRule="auto"/>
        <w:ind w:firstLine="284"/>
        <w:rPr>
          <w:rFonts w:ascii="Garamond" w:hAnsi="Garamond"/>
        </w:rPr>
        <w:sectPr w:rsidR="00BA04A8" w:rsidRPr="00A90756" w:rsidSect="00B33F8B">
          <w:pgSz w:w="16840" w:h="11907" w:orient="landscape" w:code="9"/>
          <w:pgMar w:top="1440" w:right="1440" w:bottom="1440" w:left="1440" w:header="1304" w:footer="1134" w:gutter="0"/>
          <w:cols w:space="720"/>
          <w:noEndnote/>
        </w:sectPr>
      </w:pPr>
    </w:p>
    <w:p w14:paraId="014E492A" w14:textId="77777777" w:rsidR="00BA04A8" w:rsidRPr="00A90756" w:rsidRDefault="00BA04A8" w:rsidP="00BA04A8">
      <w:pPr>
        <w:spacing w:after="0" w:line="240" w:lineRule="auto"/>
        <w:ind w:firstLine="284"/>
        <w:rPr>
          <w:rFonts w:ascii="Garamond" w:hAnsi="Garamond"/>
          <w:b/>
          <w:sz w:val="24"/>
          <w:szCs w:val="24"/>
        </w:rPr>
      </w:pPr>
      <w:bookmarkStart w:id="100" w:name="_Toc138426958"/>
      <w:bookmarkStart w:id="101" w:name="_Toc232484856"/>
      <w:r w:rsidRPr="00A90756">
        <w:rPr>
          <w:rFonts w:ascii="Garamond" w:hAnsi="Garamond"/>
          <w:b/>
          <w:sz w:val="24"/>
          <w:szCs w:val="24"/>
        </w:rPr>
        <w:lastRenderedPageBreak/>
        <w:t>2.2 Progresi i bërë me zbatimin e programit të bashkëpunimit ndërkufitar</w:t>
      </w:r>
      <w:bookmarkEnd w:id="100"/>
      <w:r w:rsidRPr="00A90756">
        <w:rPr>
          <w:rFonts w:ascii="Garamond" w:hAnsi="Garamond"/>
          <w:b/>
          <w:sz w:val="24"/>
          <w:szCs w:val="24"/>
        </w:rPr>
        <w:t xml:space="preserve"> </w:t>
      </w:r>
      <w:bookmarkEnd w:id="101"/>
    </w:p>
    <w:p w14:paraId="014E492B" w14:textId="21F6D2AA" w:rsidR="00BA04A8" w:rsidRPr="00A90756" w:rsidRDefault="00BA04A8" w:rsidP="00BA04A8">
      <w:pPr>
        <w:tabs>
          <w:tab w:val="left" w:pos="567"/>
        </w:tabs>
        <w:autoSpaceDE w:val="0"/>
        <w:autoSpaceDN w:val="0"/>
        <w:adjustRightInd w:val="0"/>
        <w:spacing w:after="0" w:line="240" w:lineRule="auto"/>
        <w:ind w:firstLine="284"/>
        <w:jc w:val="both"/>
        <w:rPr>
          <w:rFonts w:ascii="Garamond" w:hAnsi="Garamond"/>
          <w:sz w:val="24"/>
          <w:szCs w:val="24"/>
        </w:rPr>
      </w:pPr>
      <w:bookmarkStart w:id="102" w:name="_Toc232409004"/>
      <w:bookmarkStart w:id="103" w:name="_Toc232484857"/>
      <w:r w:rsidRPr="00A90756">
        <w:rPr>
          <w:rFonts w:ascii="Garamond" w:hAnsi="Garamond"/>
          <w:sz w:val="24"/>
          <w:szCs w:val="24"/>
        </w:rPr>
        <w:t xml:space="preserve">&lt;Prezantim shumë i shkurtër i prioriteteve tematike të programit BNK, objektivave specifike dhe rezultateve të pritshme, së bashku me përshkrimin përmbledhës të progresit të bërë me zbatimin e programit të bashkëpunimit ndërkufitar dhe mbi të gjitha për arritjen e objektivave specifike dhe rezultateve të pritshme për prioritet tematik (duke përfshirë prioritetin e </w:t>
      </w:r>
      <w:r w:rsidR="005C3F3B" w:rsidRPr="00A90756">
        <w:rPr>
          <w:rFonts w:ascii="Garamond" w:hAnsi="Garamond"/>
          <w:sz w:val="24"/>
          <w:szCs w:val="24"/>
        </w:rPr>
        <w:t xml:space="preserve">asistencës teknike), </w:t>
      </w:r>
      <w:r w:rsidRPr="00A90756">
        <w:rPr>
          <w:rFonts w:ascii="Garamond" w:hAnsi="Garamond"/>
          <w:sz w:val="24"/>
          <w:szCs w:val="24"/>
        </w:rPr>
        <w:t>si nga pikëpamja sasiore ashtu edhe ajo cilësore, duke treguar progresin e bërë në raport me synimet.&gt;</w:t>
      </w:r>
      <w:bookmarkStart w:id="104" w:name="_Toc138426959"/>
    </w:p>
    <w:p w14:paraId="014E492C" w14:textId="77777777" w:rsidR="00BA04A8" w:rsidRPr="00A90756" w:rsidRDefault="00BA04A8" w:rsidP="00BA04A8">
      <w:pPr>
        <w:tabs>
          <w:tab w:val="left" w:pos="567"/>
        </w:tabs>
        <w:autoSpaceDE w:val="0"/>
        <w:autoSpaceDN w:val="0"/>
        <w:adjustRightInd w:val="0"/>
        <w:spacing w:after="0" w:line="240" w:lineRule="auto"/>
        <w:ind w:firstLine="284"/>
        <w:jc w:val="both"/>
        <w:rPr>
          <w:rFonts w:ascii="Garamond" w:hAnsi="Garamond"/>
          <w:b/>
          <w:sz w:val="24"/>
          <w:szCs w:val="24"/>
        </w:rPr>
      </w:pPr>
      <w:r w:rsidRPr="00A90756">
        <w:rPr>
          <w:rFonts w:ascii="Garamond" w:hAnsi="Garamond"/>
          <w:b/>
          <w:sz w:val="24"/>
          <w:szCs w:val="24"/>
        </w:rPr>
        <w:t>2.2.1 Analiza sasiore</w:t>
      </w:r>
      <w:bookmarkEnd w:id="102"/>
      <w:bookmarkEnd w:id="103"/>
      <w:bookmarkEnd w:id="104"/>
      <w:r w:rsidRPr="00A90756">
        <w:rPr>
          <w:rFonts w:ascii="Garamond" w:hAnsi="Garamond"/>
          <w:b/>
          <w:sz w:val="24"/>
          <w:szCs w:val="24"/>
        </w:rPr>
        <w:t xml:space="preserve"> </w:t>
      </w:r>
    </w:p>
    <w:p w14:paraId="014E492D" w14:textId="77777777" w:rsidR="00BA04A8" w:rsidRPr="00A90756" w:rsidRDefault="00BA04A8" w:rsidP="00BA04A8">
      <w:pPr>
        <w:autoSpaceDE w:val="0"/>
        <w:autoSpaceDN w:val="0"/>
        <w:adjustRightInd w:val="0"/>
        <w:spacing w:after="0" w:line="240" w:lineRule="auto"/>
        <w:ind w:firstLine="284"/>
        <w:jc w:val="both"/>
        <w:rPr>
          <w:rFonts w:ascii="Garamond" w:hAnsi="Garamond" w:cs="Arial"/>
          <w:sz w:val="24"/>
          <w:szCs w:val="24"/>
        </w:rPr>
      </w:pPr>
      <w:r w:rsidRPr="00A90756">
        <w:rPr>
          <w:rFonts w:ascii="Garamond" w:hAnsi="Garamond"/>
          <w:sz w:val="24"/>
          <w:szCs w:val="24"/>
        </w:rPr>
        <w:t>&lt;Informacion mbi progresin e bërë me zbatimin e programit ndërkufitar duke e vendosur theksin tek treguesit dhe vlerat e synuara si në nivel projekti ashtu edhe në nivel programi.</w:t>
      </w:r>
    </w:p>
    <w:p w14:paraId="014E492E" w14:textId="0E82EC11" w:rsidR="00BA04A8" w:rsidRPr="00A90756" w:rsidRDefault="00BA04A8" w:rsidP="00BA04A8">
      <w:pPr>
        <w:autoSpaceDE w:val="0"/>
        <w:autoSpaceDN w:val="0"/>
        <w:adjustRightInd w:val="0"/>
        <w:spacing w:after="0" w:line="240" w:lineRule="auto"/>
        <w:ind w:firstLine="284"/>
        <w:jc w:val="both"/>
        <w:rPr>
          <w:rFonts w:ascii="Garamond" w:hAnsi="Garamond" w:cs="Arial"/>
          <w:b/>
          <w:sz w:val="24"/>
          <w:szCs w:val="24"/>
        </w:rPr>
      </w:pPr>
      <w:r w:rsidRPr="00A90756">
        <w:rPr>
          <w:rFonts w:ascii="Garamond" w:hAnsi="Garamond"/>
          <w:sz w:val="24"/>
          <w:szCs w:val="24"/>
        </w:rPr>
        <w:t>Analiza e arritjeve e matur në bazë të produkteve, rezultateve dhe ndikimit, si edhe në formën e treguesve financiarë dhe</w:t>
      </w:r>
      <w:r w:rsidR="00C61854" w:rsidRPr="00A90756">
        <w:rPr>
          <w:rFonts w:ascii="Garamond" w:hAnsi="Garamond"/>
          <w:sz w:val="24"/>
          <w:szCs w:val="24"/>
        </w:rPr>
        <w:t xml:space="preserve"> </w:t>
      </w:r>
      <w:r w:rsidRPr="00A90756">
        <w:rPr>
          <w:rFonts w:ascii="Garamond" w:hAnsi="Garamond"/>
          <w:sz w:val="24"/>
          <w:szCs w:val="24"/>
        </w:rPr>
        <w:t>të procesit. Treguesit duhet të ndahen sipas gjinisë, grupeve të cenuara dhe moshës, kur është e mundur.</w:t>
      </w:r>
    </w:p>
    <w:p w14:paraId="014E492F" w14:textId="77777777" w:rsidR="00BA04A8" w:rsidRPr="00A90756" w:rsidRDefault="00BA04A8" w:rsidP="00BA04A8">
      <w:pPr>
        <w:autoSpaceDE w:val="0"/>
        <w:autoSpaceDN w:val="0"/>
        <w:adjustRightInd w:val="0"/>
        <w:spacing w:after="0" w:line="240" w:lineRule="auto"/>
        <w:ind w:firstLine="284"/>
        <w:jc w:val="both"/>
        <w:rPr>
          <w:rFonts w:ascii="Garamond" w:hAnsi="Garamond"/>
          <w:sz w:val="24"/>
          <w:szCs w:val="24"/>
        </w:rPr>
      </w:pPr>
      <w:r w:rsidRPr="00A90756">
        <w:rPr>
          <w:rFonts w:ascii="Garamond" w:hAnsi="Garamond"/>
          <w:sz w:val="24"/>
          <w:szCs w:val="24"/>
        </w:rPr>
        <w:t>Nëse të dhënat e performancës nuk janë akoma të disponueshme, duhet të jepet informacion për kohën se kur ato do të bëhen të disponueshme dhe do të përfshihen në raportin vjetor për zbatimin. Për më tepër, informacioni duhet të paraqitet me anë të grafikëve dhe diagrameve.</w:t>
      </w:r>
    </w:p>
    <w:p w14:paraId="014E4930" w14:textId="77777777" w:rsidR="00BA04A8" w:rsidRPr="00A90756" w:rsidRDefault="00BA04A8" w:rsidP="00BA04A8">
      <w:pPr>
        <w:autoSpaceDE w:val="0"/>
        <w:autoSpaceDN w:val="0"/>
        <w:adjustRightInd w:val="0"/>
        <w:spacing w:after="0" w:line="240" w:lineRule="auto"/>
        <w:ind w:firstLine="284"/>
        <w:jc w:val="both"/>
        <w:rPr>
          <w:rFonts w:ascii="Garamond" w:hAnsi="Garamond"/>
          <w:sz w:val="24"/>
          <w:szCs w:val="24"/>
        </w:rPr>
      </w:pPr>
      <w:r w:rsidRPr="00A90756">
        <w:rPr>
          <w:rFonts w:ascii="Garamond" w:hAnsi="Garamond"/>
          <w:sz w:val="24"/>
          <w:szCs w:val="24"/>
        </w:rPr>
        <w:t xml:space="preserve">Ju lutemi shihni më poshtë një model tabele treguesish (produkti, rezultati dhe ndikimi) ku jepet një shembull prioriteti tematik i programit, objektivi specifik dhe rezultati.&gt; </w:t>
      </w:r>
    </w:p>
    <w:p w14:paraId="014E4931" w14:textId="77777777" w:rsidR="00E55BD9" w:rsidRPr="00A90756" w:rsidRDefault="00E55BD9" w:rsidP="00E55BD9">
      <w:pPr>
        <w:spacing w:after="0" w:line="240" w:lineRule="auto"/>
        <w:ind w:firstLine="284"/>
        <w:rPr>
          <w:rFonts w:ascii="Garamond" w:hAnsi="Garamond"/>
        </w:rPr>
      </w:pPr>
    </w:p>
    <w:p w14:paraId="014E4932" w14:textId="77777777" w:rsidR="00BA04A8" w:rsidRPr="00A90756" w:rsidRDefault="00BA04A8" w:rsidP="00EC73A8">
      <w:pPr>
        <w:spacing w:after="0" w:line="240" w:lineRule="auto"/>
        <w:ind w:firstLine="284"/>
        <w:rPr>
          <w:rFonts w:ascii="Garamond" w:hAnsi="Garamond"/>
          <w:sz w:val="24"/>
          <w:szCs w:val="24"/>
        </w:rPr>
        <w:sectPr w:rsidR="00BA04A8" w:rsidRPr="00A90756" w:rsidSect="00BA04A8">
          <w:pgSz w:w="11907" w:h="16840" w:code="9"/>
          <w:pgMar w:top="1440" w:right="1440" w:bottom="1440" w:left="1440" w:header="1304" w:footer="1134" w:gutter="0"/>
          <w:cols w:space="720"/>
          <w:noEndnote/>
        </w:sectPr>
      </w:pPr>
    </w:p>
    <w:p w14:paraId="014E4933" w14:textId="77777777" w:rsidR="00BA04A8" w:rsidRPr="00A90756" w:rsidRDefault="00BA04A8" w:rsidP="00BA04A8">
      <w:pPr>
        <w:spacing w:after="0" w:line="240" w:lineRule="auto"/>
        <w:rPr>
          <w:rFonts w:ascii="Garamond" w:hAnsi="Garamond"/>
          <w:i/>
        </w:rPr>
      </w:pPr>
      <w:r w:rsidRPr="00A90756">
        <w:rPr>
          <w:rFonts w:ascii="Garamond" w:hAnsi="Garamond"/>
          <w:i/>
        </w:rPr>
        <w:lastRenderedPageBreak/>
        <w:t>Tabela nr.: &lt;XX&gt;. Të dhënat janë agreguar</w:t>
      </w:r>
      <w:r w:rsidRPr="00A90756">
        <w:rPr>
          <w:rStyle w:val="FootnoteReference"/>
          <w:rFonts w:ascii="Garamond" w:hAnsi="Garamond"/>
          <w:i/>
          <w:lang w:eastAsia="ko-KR"/>
        </w:rPr>
        <w:footnoteReference w:id="38"/>
      </w:r>
      <w:r w:rsidRPr="00A90756">
        <w:rPr>
          <w:rFonts w:ascii="Garamond" w:hAnsi="Garamond"/>
          <w:i/>
        </w:rPr>
        <w:t xml:space="preserve"> në nivel programi, bazuar në informacionin e mbledhur nga projektet</w:t>
      </w:r>
    </w:p>
    <w:p w14:paraId="014E4934" w14:textId="77777777" w:rsidR="00BA04A8" w:rsidRPr="00A90756" w:rsidRDefault="00BA04A8" w:rsidP="00BA04A8">
      <w:pPr>
        <w:autoSpaceDE w:val="0"/>
        <w:autoSpaceDN w:val="0"/>
        <w:adjustRightInd w:val="0"/>
        <w:spacing w:after="0" w:line="240" w:lineRule="auto"/>
        <w:jc w:val="both"/>
        <w:rPr>
          <w:rFonts w:ascii="Garamond" w:hAnsi="Garamond"/>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12"/>
        <w:gridCol w:w="1077"/>
        <w:gridCol w:w="681"/>
        <w:gridCol w:w="1149"/>
        <w:gridCol w:w="725"/>
        <w:gridCol w:w="965"/>
        <w:gridCol w:w="619"/>
        <w:gridCol w:w="1236"/>
        <w:gridCol w:w="904"/>
        <w:gridCol w:w="887"/>
        <w:gridCol w:w="1339"/>
        <w:gridCol w:w="1501"/>
      </w:tblGrid>
      <w:tr w:rsidR="00BA04A8" w:rsidRPr="00A90756" w14:paraId="014E4938" w14:textId="77777777" w:rsidTr="002132A6">
        <w:trPr>
          <w:trHeight w:val="20"/>
        </w:trPr>
        <w:tc>
          <w:tcPr>
            <w:tcW w:w="5000" w:type="pct"/>
            <w:gridSpan w:val="13"/>
            <w:shd w:val="clear" w:color="auto" w:fill="auto"/>
          </w:tcPr>
          <w:p w14:paraId="014E4935" w14:textId="77777777" w:rsidR="00BA04A8" w:rsidRPr="00A90756" w:rsidRDefault="00BA04A8" w:rsidP="00BA04A8">
            <w:pPr>
              <w:spacing w:after="0" w:line="240" w:lineRule="auto"/>
              <w:rPr>
                <w:rFonts w:ascii="Garamond" w:hAnsi="Garamond" w:cs="Arial"/>
                <w:b/>
                <w:sz w:val="16"/>
                <w:szCs w:val="16"/>
                <w:lang w:eastAsia="en-GB"/>
              </w:rPr>
            </w:pPr>
            <w:r w:rsidRPr="00A90756">
              <w:rPr>
                <w:rFonts w:ascii="Garamond" w:hAnsi="Garamond"/>
                <w:b/>
                <w:sz w:val="16"/>
                <w:szCs w:val="16"/>
                <w:lang w:eastAsia="en-GB"/>
              </w:rPr>
              <w:t>Prioriteti tematik: &lt;…&gt;</w:t>
            </w:r>
          </w:p>
          <w:p w14:paraId="014E4936" w14:textId="77777777" w:rsidR="00BA04A8" w:rsidRPr="00A90756" w:rsidRDefault="00BA04A8" w:rsidP="00BA04A8">
            <w:pPr>
              <w:spacing w:after="0" w:line="240" w:lineRule="auto"/>
              <w:rPr>
                <w:rFonts w:ascii="Garamond" w:hAnsi="Garamond" w:cs="Arial"/>
                <w:b/>
                <w:sz w:val="16"/>
                <w:szCs w:val="16"/>
                <w:lang w:eastAsia="en-GB"/>
              </w:rPr>
            </w:pPr>
            <w:r w:rsidRPr="00A90756">
              <w:rPr>
                <w:rFonts w:ascii="Garamond" w:hAnsi="Garamond"/>
                <w:b/>
                <w:sz w:val="16"/>
                <w:szCs w:val="16"/>
                <w:lang w:eastAsia="en-GB"/>
              </w:rPr>
              <w:t xml:space="preserve">Objektivi specifik: &lt;…&gt; </w:t>
            </w:r>
          </w:p>
          <w:p w14:paraId="014E4937" w14:textId="77777777" w:rsidR="00BA04A8" w:rsidRPr="00A90756" w:rsidRDefault="00BA04A8" w:rsidP="00BA04A8">
            <w:pPr>
              <w:spacing w:after="0" w:line="240" w:lineRule="auto"/>
              <w:rPr>
                <w:rFonts w:ascii="Garamond" w:hAnsi="Garamond" w:cs="Arial"/>
                <w:b/>
                <w:sz w:val="16"/>
                <w:szCs w:val="16"/>
                <w:lang w:eastAsia="en-GB"/>
              </w:rPr>
            </w:pPr>
            <w:r w:rsidRPr="00A90756">
              <w:rPr>
                <w:rFonts w:ascii="Garamond" w:hAnsi="Garamond"/>
                <w:b/>
                <w:sz w:val="16"/>
                <w:szCs w:val="16"/>
                <w:lang w:eastAsia="en-GB"/>
              </w:rPr>
              <w:t>Rezultati</w:t>
            </w:r>
            <w:r w:rsidRPr="00A90756">
              <w:rPr>
                <w:rStyle w:val="FootnoteReference"/>
                <w:rFonts w:ascii="Garamond" w:hAnsi="Garamond" w:cs="Arial"/>
                <w:b/>
                <w:sz w:val="16"/>
                <w:szCs w:val="16"/>
              </w:rPr>
              <w:footnoteReference w:id="39"/>
            </w:r>
            <w:r w:rsidRPr="00A90756">
              <w:rPr>
                <w:rFonts w:ascii="Garamond" w:hAnsi="Garamond"/>
                <w:b/>
                <w:sz w:val="16"/>
                <w:szCs w:val="16"/>
                <w:lang w:eastAsia="en-GB"/>
              </w:rPr>
              <w:t>: &lt;…&gt;</w:t>
            </w:r>
          </w:p>
        </w:tc>
      </w:tr>
      <w:tr w:rsidR="00BA04A8" w:rsidRPr="00A90756" w14:paraId="014E4943" w14:textId="77777777" w:rsidTr="002132A6">
        <w:trPr>
          <w:trHeight w:val="20"/>
        </w:trPr>
        <w:tc>
          <w:tcPr>
            <w:tcW w:w="557" w:type="pct"/>
            <w:vMerge w:val="restart"/>
            <w:shd w:val="clear" w:color="auto" w:fill="auto"/>
            <w:vAlign w:val="center"/>
          </w:tcPr>
          <w:p w14:paraId="014E4939" w14:textId="77777777" w:rsidR="00BA04A8" w:rsidRPr="00A90756" w:rsidRDefault="00BA04A8" w:rsidP="00BA04A8">
            <w:pPr>
              <w:spacing w:after="0" w:line="240" w:lineRule="auto"/>
              <w:jc w:val="center"/>
              <w:rPr>
                <w:rFonts w:ascii="Garamond" w:hAnsi="Garamond" w:cs="Arial"/>
                <w:b/>
                <w:sz w:val="16"/>
                <w:szCs w:val="16"/>
                <w:lang w:eastAsia="en-GB"/>
              </w:rPr>
            </w:pPr>
          </w:p>
          <w:p w14:paraId="014E493A"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Emri dhe lloji</w:t>
            </w:r>
            <w:r w:rsidRPr="00A90756">
              <w:rPr>
                <w:rStyle w:val="FootnoteReference"/>
                <w:rFonts w:ascii="Garamond" w:hAnsi="Garamond" w:cs="Arial"/>
                <w:b/>
                <w:sz w:val="16"/>
                <w:szCs w:val="16"/>
              </w:rPr>
              <w:footnoteReference w:id="40"/>
            </w:r>
          </w:p>
        </w:tc>
        <w:tc>
          <w:tcPr>
            <w:tcW w:w="470" w:type="pct"/>
            <w:vMerge w:val="restart"/>
            <w:shd w:val="clear" w:color="auto" w:fill="auto"/>
            <w:vAlign w:val="center"/>
          </w:tcPr>
          <w:p w14:paraId="014E493B" w14:textId="77777777" w:rsidR="00BA04A8" w:rsidRPr="00A90756" w:rsidRDefault="00BA04A8" w:rsidP="00BA04A8">
            <w:pPr>
              <w:spacing w:after="0" w:line="240" w:lineRule="auto"/>
              <w:jc w:val="center"/>
              <w:rPr>
                <w:rFonts w:ascii="Garamond" w:hAnsi="Garamond" w:cs="Arial"/>
                <w:b/>
                <w:sz w:val="16"/>
                <w:szCs w:val="16"/>
                <w:lang w:eastAsia="en-GB"/>
              </w:rPr>
            </w:pPr>
          </w:p>
          <w:p w14:paraId="014E493C"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Përkufizimi</w:t>
            </w:r>
          </w:p>
        </w:tc>
        <w:tc>
          <w:tcPr>
            <w:tcW w:w="630" w:type="pct"/>
            <w:gridSpan w:val="2"/>
            <w:shd w:val="clear" w:color="auto" w:fill="auto"/>
            <w:vAlign w:val="center"/>
          </w:tcPr>
          <w:p w14:paraId="014E493D"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Referenca bazë</w:t>
            </w:r>
          </w:p>
        </w:tc>
        <w:tc>
          <w:tcPr>
            <w:tcW w:w="1240" w:type="pct"/>
            <w:gridSpan w:val="4"/>
            <w:shd w:val="clear" w:color="auto" w:fill="auto"/>
            <w:vAlign w:val="center"/>
          </w:tcPr>
          <w:p w14:paraId="014E493E"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Arritjet aktuale</w:t>
            </w:r>
          </w:p>
        </w:tc>
        <w:tc>
          <w:tcPr>
            <w:tcW w:w="443" w:type="pct"/>
            <w:vMerge w:val="restart"/>
            <w:shd w:val="clear" w:color="auto" w:fill="FFFFFF"/>
            <w:vAlign w:val="center"/>
          </w:tcPr>
          <w:p w14:paraId="014E493F"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Vlera e agreguar deri më 31 dhjetor 202X</w:t>
            </w:r>
          </w:p>
        </w:tc>
        <w:tc>
          <w:tcPr>
            <w:tcW w:w="642" w:type="pct"/>
            <w:gridSpan w:val="2"/>
            <w:shd w:val="clear" w:color="auto" w:fill="auto"/>
            <w:vAlign w:val="center"/>
          </w:tcPr>
          <w:p w14:paraId="014E4940"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Synimi</w:t>
            </w:r>
          </w:p>
        </w:tc>
        <w:tc>
          <w:tcPr>
            <w:tcW w:w="480" w:type="pct"/>
            <w:vMerge w:val="restart"/>
            <w:shd w:val="clear" w:color="auto" w:fill="auto"/>
            <w:vAlign w:val="center"/>
          </w:tcPr>
          <w:p w14:paraId="014E4941"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Burimet e informacionit</w:t>
            </w:r>
          </w:p>
        </w:tc>
        <w:tc>
          <w:tcPr>
            <w:tcW w:w="538" w:type="pct"/>
            <w:vMerge w:val="restart"/>
            <w:shd w:val="clear" w:color="auto" w:fill="auto"/>
            <w:vAlign w:val="center"/>
          </w:tcPr>
          <w:p w14:paraId="014E4942" w14:textId="77777777" w:rsidR="00BA04A8" w:rsidRPr="00A90756" w:rsidRDefault="00BA04A8" w:rsidP="00BA04A8">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Përgjegjësia për mbledhjen e të dhënave dhe shpeshtësia e mbledhjes së tyre</w:t>
            </w:r>
          </w:p>
        </w:tc>
      </w:tr>
      <w:tr w:rsidR="00BA04A8" w:rsidRPr="00A90756" w14:paraId="014E4951" w14:textId="77777777" w:rsidTr="005C3F3B">
        <w:trPr>
          <w:trHeight w:val="20"/>
        </w:trPr>
        <w:tc>
          <w:tcPr>
            <w:tcW w:w="557" w:type="pct"/>
            <w:vMerge/>
            <w:shd w:val="clear" w:color="auto" w:fill="auto"/>
          </w:tcPr>
          <w:p w14:paraId="014E4944" w14:textId="77777777" w:rsidR="00BA04A8" w:rsidRPr="00A90756" w:rsidRDefault="00BA04A8" w:rsidP="00BA04A8">
            <w:pPr>
              <w:spacing w:after="0" w:line="240" w:lineRule="auto"/>
              <w:jc w:val="center"/>
              <w:rPr>
                <w:rFonts w:ascii="Garamond" w:hAnsi="Garamond" w:cs="Arial"/>
                <w:sz w:val="16"/>
                <w:szCs w:val="16"/>
                <w:lang w:eastAsia="en-GB"/>
              </w:rPr>
            </w:pPr>
          </w:p>
        </w:tc>
        <w:tc>
          <w:tcPr>
            <w:tcW w:w="470" w:type="pct"/>
            <w:vMerge/>
            <w:shd w:val="clear" w:color="auto" w:fill="auto"/>
          </w:tcPr>
          <w:p w14:paraId="014E4945" w14:textId="77777777" w:rsidR="00BA04A8" w:rsidRPr="00A90756" w:rsidRDefault="00BA04A8" w:rsidP="00BA04A8">
            <w:pPr>
              <w:spacing w:after="0" w:line="240" w:lineRule="auto"/>
              <w:jc w:val="center"/>
              <w:rPr>
                <w:rFonts w:ascii="Garamond" w:hAnsi="Garamond" w:cs="Arial"/>
                <w:sz w:val="16"/>
                <w:szCs w:val="16"/>
                <w:lang w:eastAsia="en-GB"/>
              </w:rPr>
            </w:pPr>
          </w:p>
        </w:tc>
        <w:tc>
          <w:tcPr>
            <w:tcW w:w="386" w:type="pct"/>
            <w:shd w:val="clear" w:color="auto" w:fill="auto"/>
            <w:vAlign w:val="center"/>
          </w:tcPr>
          <w:p w14:paraId="014E4946"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Vlera</w:t>
            </w:r>
          </w:p>
        </w:tc>
        <w:tc>
          <w:tcPr>
            <w:tcW w:w="244" w:type="pct"/>
            <w:shd w:val="clear" w:color="auto" w:fill="auto"/>
            <w:vAlign w:val="center"/>
          </w:tcPr>
          <w:p w14:paraId="014E4947"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Viti</w:t>
            </w:r>
          </w:p>
        </w:tc>
        <w:tc>
          <w:tcPr>
            <w:tcW w:w="412" w:type="pct"/>
            <w:shd w:val="clear" w:color="auto" w:fill="auto"/>
            <w:vAlign w:val="center"/>
          </w:tcPr>
          <w:p w14:paraId="014E4948"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Vlera</w:t>
            </w:r>
          </w:p>
        </w:tc>
        <w:tc>
          <w:tcPr>
            <w:tcW w:w="260" w:type="pct"/>
            <w:shd w:val="clear" w:color="auto" w:fill="auto"/>
            <w:vAlign w:val="center"/>
          </w:tcPr>
          <w:p w14:paraId="014E4949"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Viti</w:t>
            </w:r>
          </w:p>
        </w:tc>
        <w:tc>
          <w:tcPr>
            <w:tcW w:w="346" w:type="pct"/>
            <w:shd w:val="clear" w:color="auto" w:fill="auto"/>
            <w:vAlign w:val="center"/>
          </w:tcPr>
          <w:p w14:paraId="014E494A"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Vlera</w:t>
            </w:r>
          </w:p>
        </w:tc>
        <w:tc>
          <w:tcPr>
            <w:tcW w:w="222" w:type="pct"/>
            <w:shd w:val="clear" w:color="auto" w:fill="auto"/>
            <w:vAlign w:val="center"/>
          </w:tcPr>
          <w:p w14:paraId="014E494B"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Viti</w:t>
            </w:r>
          </w:p>
        </w:tc>
        <w:tc>
          <w:tcPr>
            <w:tcW w:w="443" w:type="pct"/>
            <w:vMerge/>
            <w:shd w:val="clear" w:color="auto" w:fill="FFFFFF"/>
          </w:tcPr>
          <w:p w14:paraId="014E494C" w14:textId="77777777" w:rsidR="00BA04A8" w:rsidRPr="00A90756" w:rsidRDefault="00BA04A8" w:rsidP="00BA04A8">
            <w:pPr>
              <w:spacing w:after="0" w:line="240" w:lineRule="auto"/>
              <w:rPr>
                <w:rFonts w:ascii="Garamond" w:hAnsi="Garamond" w:cs="Arial"/>
                <w:b/>
                <w:sz w:val="16"/>
                <w:szCs w:val="16"/>
                <w:lang w:eastAsia="en-GB"/>
              </w:rPr>
            </w:pPr>
          </w:p>
        </w:tc>
        <w:tc>
          <w:tcPr>
            <w:tcW w:w="324" w:type="pct"/>
            <w:shd w:val="clear" w:color="auto" w:fill="auto"/>
            <w:vAlign w:val="center"/>
          </w:tcPr>
          <w:p w14:paraId="014E494D"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Vlera</w:t>
            </w:r>
          </w:p>
        </w:tc>
        <w:tc>
          <w:tcPr>
            <w:tcW w:w="318" w:type="pct"/>
            <w:shd w:val="clear" w:color="auto" w:fill="auto"/>
            <w:vAlign w:val="center"/>
          </w:tcPr>
          <w:p w14:paraId="014E494E" w14:textId="77777777" w:rsidR="00BA04A8" w:rsidRPr="00A90756" w:rsidRDefault="00BA04A8" w:rsidP="005C3F3B">
            <w:pPr>
              <w:spacing w:after="0" w:line="240" w:lineRule="auto"/>
              <w:jc w:val="center"/>
              <w:rPr>
                <w:rFonts w:ascii="Garamond" w:hAnsi="Garamond" w:cs="Arial"/>
                <w:b/>
                <w:sz w:val="16"/>
                <w:szCs w:val="16"/>
                <w:lang w:eastAsia="en-GB"/>
              </w:rPr>
            </w:pPr>
            <w:r w:rsidRPr="00A90756">
              <w:rPr>
                <w:rFonts w:ascii="Garamond" w:hAnsi="Garamond"/>
                <w:b/>
                <w:sz w:val="16"/>
                <w:szCs w:val="16"/>
                <w:lang w:eastAsia="en-GB"/>
              </w:rPr>
              <w:t>Viti</w:t>
            </w:r>
          </w:p>
        </w:tc>
        <w:tc>
          <w:tcPr>
            <w:tcW w:w="480" w:type="pct"/>
            <w:vMerge/>
            <w:shd w:val="clear" w:color="auto" w:fill="auto"/>
          </w:tcPr>
          <w:p w14:paraId="014E494F" w14:textId="77777777" w:rsidR="00BA04A8" w:rsidRPr="00A90756" w:rsidRDefault="00BA04A8" w:rsidP="00BA04A8">
            <w:pPr>
              <w:spacing w:after="0" w:line="240" w:lineRule="auto"/>
              <w:jc w:val="center"/>
              <w:rPr>
                <w:rFonts w:ascii="Garamond" w:hAnsi="Garamond" w:cs="Arial"/>
                <w:sz w:val="16"/>
                <w:szCs w:val="16"/>
                <w:lang w:eastAsia="en-GB"/>
              </w:rPr>
            </w:pPr>
          </w:p>
        </w:tc>
        <w:tc>
          <w:tcPr>
            <w:tcW w:w="538" w:type="pct"/>
            <w:vMerge/>
            <w:shd w:val="clear" w:color="auto" w:fill="auto"/>
          </w:tcPr>
          <w:p w14:paraId="014E4950" w14:textId="77777777" w:rsidR="00BA04A8" w:rsidRPr="00A90756" w:rsidRDefault="00BA04A8" w:rsidP="00BA04A8">
            <w:pPr>
              <w:spacing w:after="0" w:line="240" w:lineRule="auto"/>
              <w:jc w:val="center"/>
              <w:rPr>
                <w:rFonts w:ascii="Garamond" w:hAnsi="Garamond" w:cs="Arial"/>
                <w:sz w:val="16"/>
                <w:szCs w:val="16"/>
                <w:lang w:eastAsia="en-GB"/>
              </w:rPr>
            </w:pPr>
          </w:p>
        </w:tc>
      </w:tr>
      <w:tr w:rsidR="00BA04A8" w:rsidRPr="00A90756" w14:paraId="014E4981" w14:textId="77777777" w:rsidTr="002132A6">
        <w:trPr>
          <w:trHeight w:val="20"/>
        </w:trPr>
        <w:tc>
          <w:tcPr>
            <w:tcW w:w="557" w:type="pct"/>
            <w:shd w:val="clear" w:color="auto" w:fill="auto"/>
          </w:tcPr>
          <w:p w14:paraId="014E4952"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 e studentëve (të ndarë sipas gjinisë) të punësuar (treguesi i rezultatit)</w:t>
            </w:r>
          </w:p>
          <w:p w14:paraId="014E4953" w14:textId="77777777" w:rsidR="00BA04A8" w:rsidRPr="00A90756" w:rsidRDefault="00BA04A8" w:rsidP="00BA04A8">
            <w:pPr>
              <w:spacing w:after="0" w:line="240" w:lineRule="auto"/>
              <w:rPr>
                <w:rFonts w:ascii="Garamond" w:hAnsi="Garamond" w:cs="Arial"/>
                <w:sz w:val="16"/>
                <w:szCs w:val="16"/>
                <w:lang w:eastAsia="en-GB"/>
              </w:rPr>
            </w:pPr>
          </w:p>
        </w:tc>
        <w:tc>
          <w:tcPr>
            <w:tcW w:w="470" w:type="pct"/>
            <w:shd w:val="clear" w:color="auto" w:fill="auto"/>
          </w:tcPr>
          <w:p w14:paraId="014E4954"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 e djemve dhe vajzave të reja që mbarojnë arsimin e mesëm dhe gjejnë punë brenda një viti pas përfundimit të studimeve</w:t>
            </w:r>
          </w:p>
        </w:tc>
        <w:tc>
          <w:tcPr>
            <w:tcW w:w="386" w:type="pct"/>
            <w:shd w:val="clear" w:color="auto" w:fill="auto"/>
          </w:tcPr>
          <w:p w14:paraId="014E4955" w14:textId="77777777" w:rsidR="00BA04A8" w:rsidRPr="00A90756" w:rsidRDefault="00BA04A8" w:rsidP="00BA04A8">
            <w:pPr>
              <w:spacing w:after="0" w:line="240" w:lineRule="auto"/>
              <w:jc w:val="center"/>
              <w:rPr>
                <w:rFonts w:ascii="Garamond" w:hAnsi="Garamond" w:cs="Arial"/>
                <w:sz w:val="16"/>
                <w:szCs w:val="16"/>
                <w:lang w:eastAsia="en-GB"/>
              </w:rPr>
            </w:pPr>
          </w:p>
          <w:p w14:paraId="014E4956" w14:textId="77777777" w:rsidR="00BA04A8" w:rsidRPr="00A90756" w:rsidRDefault="00BA04A8" w:rsidP="00BA04A8">
            <w:pPr>
              <w:spacing w:after="0" w:line="240" w:lineRule="auto"/>
              <w:jc w:val="center"/>
              <w:rPr>
                <w:rFonts w:ascii="Garamond" w:hAnsi="Garamond" w:cs="Arial"/>
                <w:sz w:val="16"/>
                <w:szCs w:val="16"/>
                <w:lang w:eastAsia="en-GB"/>
              </w:rPr>
            </w:pPr>
          </w:p>
          <w:p w14:paraId="014E4957" w14:textId="77777777" w:rsidR="00BA04A8" w:rsidRPr="00A90756" w:rsidRDefault="00BA04A8" w:rsidP="00BA04A8">
            <w:pPr>
              <w:spacing w:after="0" w:line="240" w:lineRule="auto"/>
              <w:jc w:val="center"/>
              <w:rPr>
                <w:rFonts w:ascii="Garamond" w:hAnsi="Garamond" w:cs="Arial"/>
                <w:sz w:val="16"/>
                <w:szCs w:val="16"/>
                <w:lang w:eastAsia="en-GB"/>
              </w:rPr>
            </w:pPr>
          </w:p>
          <w:p w14:paraId="014E4958"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50%</w:t>
            </w:r>
          </w:p>
        </w:tc>
        <w:tc>
          <w:tcPr>
            <w:tcW w:w="244" w:type="pct"/>
            <w:shd w:val="clear" w:color="auto" w:fill="auto"/>
          </w:tcPr>
          <w:p w14:paraId="014E4959" w14:textId="77777777" w:rsidR="00BA04A8" w:rsidRPr="00A90756" w:rsidRDefault="00BA04A8" w:rsidP="00BA04A8">
            <w:pPr>
              <w:spacing w:after="0" w:line="240" w:lineRule="auto"/>
              <w:jc w:val="center"/>
              <w:rPr>
                <w:rFonts w:ascii="Garamond" w:hAnsi="Garamond" w:cs="Arial"/>
                <w:sz w:val="16"/>
                <w:szCs w:val="16"/>
                <w:lang w:eastAsia="en-GB"/>
              </w:rPr>
            </w:pPr>
          </w:p>
          <w:p w14:paraId="014E495A" w14:textId="77777777" w:rsidR="00BA04A8" w:rsidRPr="00A90756" w:rsidRDefault="00BA04A8" w:rsidP="00BA04A8">
            <w:pPr>
              <w:spacing w:after="0" w:line="240" w:lineRule="auto"/>
              <w:jc w:val="center"/>
              <w:rPr>
                <w:rFonts w:ascii="Garamond" w:hAnsi="Garamond" w:cs="Arial"/>
                <w:sz w:val="16"/>
                <w:szCs w:val="16"/>
                <w:lang w:eastAsia="en-GB"/>
              </w:rPr>
            </w:pPr>
          </w:p>
          <w:p w14:paraId="014E495B" w14:textId="77777777" w:rsidR="00BA04A8" w:rsidRPr="00A90756" w:rsidRDefault="00BA04A8" w:rsidP="00BA04A8">
            <w:pPr>
              <w:spacing w:after="0" w:line="240" w:lineRule="auto"/>
              <w:jc w:val="center"/>
              <w:rPr>
                <w:rFonts w:ascii="Garamond" w:hAnsi="Garamond" w:cs="Arial"/>
                <w:sz w:val="16"/>
                <w:szCs w:val="16"/>
                <w:lang w:eastAsia="en-GB"/>
              </w:rPr>
            </w:pPr>
          </w:p>
          <w:p w14:paraId="014E495C"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2021</w:t>
            </w:r>
          </w:p>
        </w:tc>
        <w:tc>
          <w:tcPr>
            <w:tcW w:w="412" w:type="pct"/>
            <w:shd w:val="clear" w:color="auto" w:fill="auto"/>
          </w:tcPr>
          <w:p w14:paraId="014E495D" w14:textId="77777777" w:rsidR="00BA04A8" w:rsidRPr="00A90756" w:rsidRDefault="00BA04A8" w:rsidP="00BA04A8">
            <w:pPr>
              <w:spacing w:after="0" w:line="240" w:lineRule="auto"/>
              <w:jc w:val="center"/>
              <w:rPr>
                <w:rFonts w:ascii="Garamond" w:hAnsi="Garamond" w:cs="Arial"/>
                <w:sz w:val="16"/>
                <w:szCs w:val="16"/>
                <w:lang w:eastAsia="en-GB"/>
              </w:rPr>
            </w:pPr>
          </w:p>
          <w:p w14:paraId="014E495E" w14:textId="77777777" w:rsidR="00BA04A8" w:rsidRPr="00A90756" w:rsidRDefault="00BA04A8" w:rsidP="00BA04A8">
            <w:pPr>
              <w:spacing w:after="0" w:line="240" w:lineRule="auto"/>
              <w:jc w:val="center"/>
              <w:rPr>
                <w:rFonts w:ascii="Garamond" w:hAnsi="Garamond" w:cs="Arial"/>
                <w:sz w:val="16"/>
                <w:szCs w:val="16"/>
                <w:lang w:eastAsia="en-GB"/>
              </w:rPr>
            </w:pPr>
          </w:p>
          <w:p w14:paraId="014E495F" w14:textId="77777777" w:rsidR="00BA04A8" w:rsidRPr="00A90756" w:rsidRDefault="00BA04A8" w:rsidP="00BA04A8">
            <w:pPr>
              <w:spacing w:after="0" w:line="240" w:lineRule="auto"/>
              <w:jc w:val="center"/>
              <w:rPr>
                <w:rFonts w:ascii="Garamond" w:hAnsi="Garamond" w:cs="Arial"/>
                <w:sz w:val="16"/>
                <w:szCs w:val="16"/>
                <w:lang w:eastAsia="en-GB"/>
              </w:rPr>
            </w:pPr>
          </w:p>
          <w:p w14:paraId="014E4960"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60%</w:t>
            </w:r>
          </w:p>
        </w:tc>
        <w:tc>
          <w:tcPr>
            <w:tcW w:w="260" w:type="pct"/>
            <w:shd w:val="clear" w:color="auto" w:fill="auto"/>
          </w:tcPr>
          <w:p w14:paraId="014E4961" w14:textId="77777777" w:rsidR="00BA04A8" w:rsidRPr="00A90756" w:rsidRDefault="00BA04A8" w:rsidP="00BA04A8">
            <w:pPr>
              <w:spacing w:after="0" w:line="240" w:lineRule="auto"/>
              <w:jc w:val="center"/>
              <w:rPr>
                <w:rFonts w:ascii="Garamond" w:hAnsi="Garamond" w:cs="Arial"/>
                <w:sz w:val="16"/>
                <w:szCs w:val="16"/>
                <w:lang w:eastAsia="en-GB"/>
              </w:rPr>
            </w:pPr>
          </w:p>
          <w:p w14:paraId="014E4962" w14:textId="77777777" w:rsidR="00BA04A8" w:rsidRPr="00A90756" w:rsidRDefault="00BA04A8" w:rsidP="00BA04A8">
            <w:pPr>
              <w:spacing w:after="0" w:line="240" w:lineRule="auto"/>
              <w:jc w:val="center"/>
              <w:rPr>
                <w:rFonts w:ascii="Garamond" w:hAnsi="Garamond" w:cs="Arial"/>
                <w:sz w:val="16"/>
                <w:szCs w:val="16"/>
                <w:lang w:eastAsia="en-GB"/>
              </w:rPr>
            </w:pPr>
          </w:p>
          <w:p w14:paraId="014E4963" w14:textId="77777777" w:rsidR="00BA04A8" w:rsidRPr="00A90756" w:rsidRDefault="00BA04A8" w:rsidP="00BA04A8">
            <w:pPr>
              <w:spacing w:after="0" w:line="240" w:lineRule="auto"/>
              <w:jc w:val="center"/>
              <w:rPr>
                <w:rFonts w:ascii="Garamond" w:hAnsi="Garamond" w:cs="Arial"/>
                <w:sz w:val="16"/>
                <w:szCs w:val="16"/>
                <w:lang w:eastAsia="en-GB"/>
              </w:rPr>
            </w:pPr>
          </w:p>
          <w:p w14:paraId="014E4964"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2023</w:t>
            </w:r>
          </w:p>
        </w:tc>
        <w:tc>
          <w:tcPr>
            <w:tcW w:w="346" w:type="pct"/>
            <w:shd w:val="clear" w:color="auto" w:fill="auto"/>
          </w:tcPr>
          <w:p w14:paraId="014E4965" w14:textId="77777777" w:rsidR="00BA04A8" w:rsidRPr="00A90756" w:rsidRDefault="00BA04A8" w:rsidP="00BA04A8">
            <w:pPr>
              <w:spacing w:after="0" w:line="240" w:lineRule="auto"/>
              <w:jc w:val="center"/>
              <w:rPr>
                <w:rFonts w:ascii="Garamond" w:hAnsi="Garamond" w:cs="Arial"/>
                <w:sz w:val="16"/>
                <w:szCs w:val="16"/>
                <w:lang w:eastAsia="en-GB"/>
              </w:rPr>
            </w:pPr>
          </w:p>
          <w:p w14:paraId="014E4966" w14:textId="77777777" w:rsidR="00BA04A8" w:rsidRPr="00A90756" w:rsidRDefault="00BA04A8" w:rsidP="00BA04A8">
            <w:pPr>
              <w:spacing w:after="0" w:line="240" w:lineRule="auto"/>
              <w:jc w:val="center"/>
              <w:rPr>
                <w:rFonts w:ascii="Garamond" w:hAnsi="Garamond" w:cs="Arial"/>
                <w:sz w:val="16"/>
                <w:szCs w:val="16"/>
                <w:lang w:eastAsia="en-GB"/>
              </w:rPr>
            </w:pPr>
          </w:p>
          <w:p w14:paraId="014E4967" w14:textId="77777777" w:rsidR="00BA04A8" w:rsidRPr="00A90756" w:rsidRDefault="00BA04A8" w:rsidP="00BA04A8">
            <w:pPr>
              <w:spacing w:after="0" w:line="240" w:lineRule="auto"/>
              <w:jc w:val="center"/>
              <w:rPr>
                <w:rFonts w:ascii="Garamond" w:hAnsi="Garamond" w:cs="Arial"/>
                <w:sz w:val="16"/>
                <w:szCs w:val="16"/>
                <w:lang w:eastAsia="en-GB"/>
              </w:rPr>
            </w:pPr>
          </w:p>
          <w:p w14:paraId="014E4968"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65%</w:t>
            </w:r>
          </w:p>
          <w:p w14:paraId="014E4969" w14:textId="77777777" w:rsidR="00BA04A8" w:rsidRPr="00A90756" w:rsidRDefault="00BA04A8" w:rsidP="00BA04A8">
            <w:pPr>
              <w:spacing w:after="0" w:line="240" w:lineRule="auto"/>
              <w:rPr>
                <w:rFonts w:ascii="Garamond" w:hAnsi="Garamond" w:cs="Arial"/>
                <w:sz w:val="16"/>
                <w:szCs w:val="16"/>
                <w:lang w:eastAsia="en-GB"/>
              </w:rPr>
            </w:pPr>
          </w:p>
        </w:tc>
        <w:tc>
          <w:tcPr>
            <w:tcW w:w="222" w:type="pct"/>
            <w:shd w:val="clear" w:color="auto" w:fill="auto"/>
          </w:tcPr>
          <w:p w14:paraId="014E496A" w14:textId="77777777" w:rsidR="00BA04A8" w:rsidRPr="00A90756" w:rsidRDefault="00BA04A8" w:rsidP="00BA04A8">
            <w:pPr>
              <w:spacing w:after="0" w:line="240" w:lineRule="auto"/>
              <w:jc w:val="center"/>
              <w:rPr>
                <w:rFonts w:ascii="Garamond" w:hAnsi="Garamond" w:cs="Arial"/>
                <w:sz w:val="16"/>
                <w:szCs w:val="16"/>
                <w:lang w:eastAsia="en-GB"/>
              </w:rPr>
            </w:pPr>
          </w:p>
          <w:p w14:paraId="014E496B" w14:textId="77777777" w:rsidR="00BA04A8" w:rsidRPr="00A90756" w:rsidRDefault="00BA04A8" w:rsidP="00BA04A8">
            <w:pPr>
              <w:spacing w:after="0" w:line="240" w:lineRule="auto"/>
              <w:jc w:val="center"/>
              <w:rPr>
                <w:rFonts w:ascii="Garamond" w:hAnsi="Garamond" w:cs="Arial"/>
                <w:sz w:val="16"/>
                <w:szCs w:val="16"/>
                <w:lang w:eastAsia="en-GB"/>
              </w:rPr>
            </w:pPr>
          </w:p>
          <w:p w14:paraId="014E496C" w14:textId="77777777" w:rsidR="00BA04A8" w:rsidRPr="00A90756" w:rsidRDefault="00BA04A8" w:rsidP="00BA04A8">
            <w:pPr>
              <w:spacing w:after="0" w:line="240" w:lineRule="auto"/>
              <w:jc w:val="center"/>
              <w:rPr>
                <w:rFonts w:ascii="Garamond" w:hAnsi="Garamond" w:cs="Arial"/>
                <w:sz w:val="16"/>
                <w:szCs w:val="16"/>
                <w:lang w:eastAsia="en-GB"/>
              </w:rPr>
            </w:pPr>
          </w:p>
          <w:p w14:paraId="014E496D"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2027</w:t>
            </w:r>
          </w:p>
        </w:tc>
        <w:tc>
          <w:tcPr>
            <w:tcW w:w="443" w:type="pct"/>
            <w:shd w:val="clear" w:color="auto" w:fill="FFFFFF"/>
          </w:tcPr>
          <w:p w14:paraId="014E496E" w14:textId="77777777" w:rsidR="00BA04A8" w:rsidRPr="00A90756" w:rsidRDefault="00BA04A8" w:rsidP="00BA04A8">
            <w:pPr>
              <w:spacing w:after="0" w:line="240" w:lineRule="auto"/>
              <w:rPr>
                <w:rFonts w:ascii="Garamond" w:hAnsi="Garamond" w:cs="Arial"/>
                <w:b/>
                <w:sz w:val="16"/>
                <w:szCs w:val="16"/>
                <w:lang w:eastAsia="en-GB"/>
              </w:rPr>
            </w:pPr>
          </w:p>
          <w:p w14:paraId="014E496F" w14:textId="77777777" w:rsidR="00BA04A8" w:rsidRPr="00A90756" w:rsidRDefault="00BA04A8" w:rsidP="00BA04A8">
            <w:pPr>
              <w:spacing w:after="0" w:line="240" w:lineRule="auto"/>
              <w:jc w:val="center"/>
              <w:rPr>
                <w:rFonts w:ascii="Garamond" w:hAnsi="Garamond" w:cs="Arial"/>
                <w:b/>
                <w:sz w:val="16"/>
                <w:szCs w:val="16"/>
                <w:lang w:eastAsia="en-GB"/>
              </w:rPr>
            </w:pPr>
          </w:p>
        </w:tc>
        <w:tc>
          <w:tcPr>
            <w:tcW w:w="324" w:type="pct"/>
            <w:shd w:val="clear" w:color="auto" w:fill="auto"/>
          </w:tcPr>
          <w:p w14:paraId="014E4970" w14:textId="77777777" w:rsidR="00BA04A8" w:rsidRPr="00A90756" w:rsidRDefault="00BA04A8" w:rsidP="00BA04A8">
            <w:pPr>
              <w:spacing w:after="0" w:line="240" w:lineRule="auto"/>
              <w:jc w:val="center"/>
              <w:rPr>
                <w:rFonts w:ascii="Garamond" w:hAnsi="Garamond" w:cs="Arial"/>
                <w:sz w:val="16"/>
                <w:szCs w:val="16"/>
                <w:lang w:eastAsia="en-GB"/>
              </w:rPr>
            </w:pPr>
          </w:p>
          <w:p w14:paraId="014E4971" w14:textId="77777777" w:rsidR="00BA04A8" w:rsidRPr="00A90756" w:rsidRDefault="00BA04A8" w:rsidP="00BA04A8">
            <w:pPr>
              <w:spacing w:after="0" w:line="240" w:lineRule="auto"/>
              <w:jc w:val="center"/>
              <w:rPr>
                <w:rFonts w:ascii="Garamond" w:hAnsi="Garamond" w:cs="Arial"/>
                <w:sz w:val="16"/>
                <w:szCs w:val="16"/>
                <w:lang w:eastAsia="en-GB"/>
              </w:rPr>
            </w:pPr>
          </w:p>
          <w:p w14:paraId="014E4972" w14:textId="77777777" w:rsidR="00BA04A8" w:rsidRPr="00A90756" w:rsidRDefault="00BA04A8" w:rsidP="00BA04A8">
            <w:pPr>
              <w:spacing w:after="0" w:line="240" w:lineRule="auto"/>
              <w:jc w:val="center"/>
              <w:rPr>
                <w:rFonts w:ascii="Garamond" w:hAnsi="Garamond" w:cs="Arial"/>
                <w:sz w:val="16"/>
                <w:szCs w:val="16"/>
                <w:lang w:eastAsia="en-GB"/>
              </w:rPr>
            </w:pPr>
          </w:p>
          <w:p w14:paraId="014E4973"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70%</w:t>
            </w:r>
          </w:p>
        </w:tc>
        <w:tc>
          <w:tcPr>
            <w:tcW w:w="318" w:type="pct"/>
            <w:shd w:val="clear" w:color="auto" w:fill="auto"/>
          </w:tcPr>
          <w:p w14:paraId="014E4974" w14:textId="77777777" w:rsidR="00BA04A8" w:rsidRPr="00A90756" w:rsidRDefault="00BA04A8" w:rsidP="00BA04A8">
            <w:pPr>
              <w:spacing w:after="0" w:line="240" w:lineRule="auto"/>
              <w:jc w:val="center"/>
              <w:rPr>
                <w:rFonts w:ascii="Garamond" w:hAnsi="Garamond" w:cs="Arial"/>
                <w:sz w:val="16"/>
                <w:szCs w:val="16"/>
                <w:lang w:eastAsia="en-GB"/>
              </w:rPr>
            </w:pPr>
          </w:p>
          <w:p w14:paraId="014E4975" w14:textId="77777777" w:rsidR="00BA04A8" w:rsidRPr="00A90756" w:rsidRDefault="00BA04A8" w:rsidP="00BA04A8">
            <w:pPr>
              <w:spacing w:after="0" w:line="240" w:lineRule="auto"/>
              <w:jc w:val="center"/>
              <w:rPr>
                <w:rFonts w:ascii="Garamond" w:hAnsi="Garamond" w:cs="Arial"/>
                <w:sz w:val="16"/>
                <w:szCs w:val="16"/>
                <w:lang w:eastAsia="en-GB"/>
              </w:rPr>
            </w:pPr>
          </w:p>
          <w:p w14:paraId="014E4976" w14:textId="77777777" w:rsidR="00BA04A8" w:rsidRPr="00A90756" w:rsidRDefault="00BA04A8" w:rsidP="00BA04A8">
            <w:pPr>
              <w:spacing w:after="0" w:line="240" w:lineRule="auto"/>
              <w:jc w:val="center"/>
              <w:rPr>
                <w:rFonts w:ascii="Garamond" w:hAnsi="Garamond" w:cs="Arial"/>
                <w:sz w:val="16"/>
                <w:szCs w:val="16"/>
                <w:lang w:eastAsia="en-GB"/>
              </w:rPr>
            </w:pPr>
          </w:p>
          <w:p w14:paraId="014E4977"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2029</w:t>
            </w:r>
          </w:p>
        </w:tc>
        <w:tc>
          <w:tcPr>
            <w:tcW w:w="480" w:type="pct"/>
            <w:shd w:val="clear" w:color="auto" w:fill="auto"/>
          </w:tcPr>
          <w:p w14:paraId="014E4978" w14:textId="77777777" w:rsidR="00BA04A8" w:rsidRPr="00A90756" w:rsidRDefault="00BA04A8" w:rsidP="00BA04A8">
            <w:pPr>
              <w:spacing w:after="0" w:line="240" w:lineRule="auto"/>
              <w:jc w:val="center"/>
              <w:rPr>
                <w:rFonts w:ascii="Garamond" w:hAnsi="Garamond" w:cs="Arial"/>
                <w:sz w:val="16"/>
                <w:szCs w:val="16"/>
                <w:lang w:eastAsia="en-GB"/>
              </w:rPr>
            </w:pPr>
          </w:p>
          <w:p w14:paraId="014E4979" w14:textId="77777777" w:rsidR="00BA04A8" w:rsidRPr="00A90756" w:rsidRDefault="00BA04A8" w:rsidP="00BA04A8">
            <w:pPr>
              <w:spacing w:after="0" w:line="240" w:lineRule="auto"/>
              <w:jc w:val="center"/>
              <w:rPr>
                <w:rFonts w:ascii="Garamond" w:hAnsi="Garamond" w:cs="Arial"/>
                <w:sz w:val="16"/>
                <w:szCs w:val="16"/>
                <w:lang w:eastAsia="en-GB"/>
              </w:rPr>
            </w:pPr>
          </w:p>
          <w:p w14:paraId="014E497A"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Statistikat</w:t>
            </w:r>
          </w:p>
          <w:p w14:paraId="014E497B"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 xml:space="preserve">nga Shërbimi Publik </w:t>
            </w:r>
          </w:p>
          <w:p w14:paraId="014E497C"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i Punësimit</w:t>
            </w:r>
          </w:p>
        </w:tc>
        <w:tc>
          <w:tcPr>
            <w:tcW w:w="538" w:type="pct"/>
            <w:shd w:val="clear" w:color="auto" w:fill="auto"/>
          </w:tcPr>
          <w:p w14:paraId="014E497D" w14:textId="77777777" w:rsidR="00BA04A8" w:rsidRPr="00A90756" w:rsidRDefault="00BA04A8" w:rsidP="00BA04A8">
            <w:pPr>
              <w:spacing w:after="0" w:line="240" w:lineRule="auto"/>
              <w:jc w:val="center"/>
              <w:rPr>
                <w:rFonts w:ascii="Garamond" w:hAnsi="Garamond" w:cs="Arial"/>
                <w:sz w:val="16"/>
                <w:szCs w:val="16"/>
                <w:lang w:eastAsia="en-GB"/>
              </w:rPr>
            </w:pPr>
          </w:p>
          <w:p w14:paraId="014E497E" w14:textId="77777777" w:rsidR="00BA04A8" w:rsidRPr="00A90756" w:rsidRDefault="00BA04A8" w:rsidP="00BA04A8">
            <w:pPr>
              <w:spacing w:after="0" w:line="240" w:lineRule="auto"/>
              <w:jc w:val="center"/>
              <w:rPr>
                <w:rFonts w:ascii="Garamond" w:hAnsi="Garamond" w:cs="Arial"/>
                <w:sz w:val="16"/>
                <w:szCs w:val="16"/>
                <w:lang w:eastAsia="en-GB"/>
              </w:rPr>
            </w:pPr>
          </w:p>
          <w:p w14:paraId="014E497F"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 xml:space="preserve">Përfituesit e grantit </w:t>
            </w:r>
          </w:p>
          <w:p w14:paraId="014E4980"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Çdo tre muaj</w:t>
            </w:r>
          </w:p>
        </w:tc>
      </w:tr>
      <w:tr w:rsidR="00BA04A8" w:rsidRPr="00A90756" w14:paraId="014E498F" w14:textId="77777777" w:rsidTr="002132A6">
        <w:trPr>
          <w:trHeight w:val="20"/>
        </w:trPr>
        <w:tc>
          <w:tcPr>
            <w:tcW w:w="557" w:type="pct"/>
            <w:shd w:val="clear" w:color="auto" w:fill="auto"/>
          </w:tcPr>
          <w:p w14:paraId="014E4982"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w:t>
            </w:r>
          </w:p>
        </w:tc>
        <w:tc>
          <w:tcPr>
            <w:tcW w:w="470" w:type="pct"/>
            <w:shd w:val="clear" w:color="auto" w:fill="auto"/>
          </w:tcPr>
          <w:p w14:paraId="014E4983" w14:textId="77777777" w:rsidR="00BA04A8" w:rsidRPr="00A90756" w:rsidRDefault="00BA04A8" w:rsidP="00BA04A8">
            <w:pPr>
              <w:spacing w:after="0" w:line="240" w:lineRule="auto"/>
              <w:jc w:val="center"/>
              <w:rPr>
                <w:rFonts w:ascii="Garamond" w:hAnsi="Garamond" w:cs="Arial"/>
                <w:sz w:val="16"/>
                <w:szCs w:val="16"/>
                <w:lang w:eastAsia="en-GB"/>
              </w:rPr>
            </w:pPr>
          </w:p>
        </w:tc>
        <w:tc>
          <w:tcPr>
            <w:tcW w:w="386" w:type="pct"/>
            <w:shd w:val="clear" w:color="auto" w:fill="auto"/>
          </w:tcPr>
          <w:p w14:paraId="014E4984" w14:textId="77777777" w:rsidR="00BA04A8" w:rsidRPr="00A90756" w:rsidRDefault="00BA04A8" w:rsidP="00BA04A8">
            <w:pPr>
              <w:spacing w:after="0" w:line="240" w:lineRule="auto"/>
              <w:jc w:val="center"/>
              <w:rPr>
                <w:rFonts w:ascii="Garamond" w:hAnsi="Garamond" w:cs="Arial"/>
                <w:sz w:val="16"/>
                <w:szCs w:val="16"/>
                <w:lang w:eastAsia="en-GB"/>
              </w:rPr>
            </w:pPr>
          </w:p>
        </w:tc>
        <w:tc>
          <w:tcPr>
            <w:tcW w:w="244" w:type="pct"/>
            <w:shd w:val="clear" w:color="auto" w:fill="auto"/>
          </w:tcPr>
          <w:p w14:paraId="014E4985" w14:textId="77777777" w:rsidR="00BA04A8" w:rsidRPr="00A90756" w:rsidRDefault="00BA04A8" w:rsidP="00BA04A8">
            <w:pPr>
              <w:spacing w:after="0" w:line="240" w:lineRule="auto"/>
              <w:jc w:val="center"/>
              <w:rPr>
                <w:rFonts w:ascii="Garamond" w:hAnsi="Garamond" w:cs="Arial"/>
                <w:sz w:val="16"/>
                <w:szCs w:val="16"/>
                <w:lang w:eastAsia="en-GB"/>
              </w:rPr>
            </w:pPr>
          </w:p>
        </w:tc>
        <w:tc>
          <w:tcPr>
            <w:tcW w:w="412" w:type="pct"/>
            <w:shd w:val="clear" w:color="auto" w:fill="auto"/>
          </w:tcPr>
          <w:p w14:paraId="014E4986" w14:textId="77777777" w:rsidR="00BA04A8" w:rsidRPr="00A90756" w:rsidRDefault="00BA04A8" w:rsidP="00BA04A8">
            <w:pPr>
              <w:spacing w:after="0" w:line="240" w:lineRule="auto"/>
              <w:jc w:val="center"/>
              <w:rPr>
                <w:rFonts w:ascii="Garamond" w:hAnsi="Garamond" w:cs="Arial"/>
                <w:sz w:val="16"/>
                <w:szCs w:val="16"/>
                <w:lang w:eastAsia="en-GB"/>
              </w:rPr>
            </w:pPr>
          </w:p>
        </w:tc>
        <w:tc>
          <w:tcPr>
            <w:tcW w:w="260" w:type="pct"/>
            <w:shd w:val="clear" w:color="auto" w:fill="auto"/>
          </w:tcPr>
          <w:p w14:paraId="014E4987" w14:textId="77777777" w:rsidR="00BA04A8" w:rsidRPr="00A90756" w:rsidRDefault="00BA04A8" w:rsidP="00BA04A8">
            <w:pPr>
              <w:spacing w:after="0" w:line="240" w:lineRule="auto"/>
              <w:jc w:val="center"/>
              <w:rPr>
                <w:rFonts w:ascii="Garamond" w:hAnsi="Garamond" w:cs="Arial"/>
                <w:sz w:val="16"/>
                <w:szCs w:val="16"/>
                <w:lang w:eastAsia="en-GB"/>
              </w:rPr>
            </w:pPr>
          </w:p>
        </w:tc>
        <w:tc>
          <w:tcPr>
            <w:tcW w:w="346" w:type="pct"/>
            <w:shd w:val="clear" w:color="auto" w:fill="auto"/>
          </w:tcPr>
          <w:p w14:paraId="014E4988" w14:textId="77777777" w:rsidR="00BA04A8" w:rsidRPr="00A90756" w:rsidRDefault="00BA04A8" w:rsidP="00BA04A8">
            <w:pPr>
              <w:spacing w:after="0" w:line="240" w:lineRule="auto"/>
              <w:jc w:val="center"/>
              <w:rPr>
                <w:rFonts w:ascii="Garamond" w:hAnsi="Garamond" w:cs="Arial"/>
                <w:sz w:val="16"/>
                <w:szCs w:val="16"/>
                <w:lang w:eastAsia="en-GB"/>
              </w:rPr>
            </w:pPr>
          </w:p>
        </w:tc>
        <w:tc>
          <w:tcPr>
            <w:tcW w:w="222" w:type="pct"/>
            <w:shd w:val="clear" w:color="auto" w:fill="auto"/>
          </w:tcPr>
          <w:p w14:paraId="014E4989" w14:textId="77777777" w:rsidR="00BA04A8" w:rsidRPr="00A90756" w:rsidRDefault="00BA04A8" w:rsidP="00BA04A8">
            <w:pPr>
              <w:spacing w:after="0" w:line="240" w:lineRule="auto"/>
              <w:jc w:val="center"/>
              <w:rPr>
                <w:rFonts w:ascii="Garamond" w:hAnsi="Garamond" w:cs="Arial"/>
                <w:sz w:val="16"/>
                <w:szCs w:val="16"/>
                <w:lang w:eastAsia="en-GB"/>
              </w:rPr>
            </w:pPr>
          </w:p>
        </w:tc>
        <w:tc>
          <w:tcPr>
            <w:tcW w:w="443" w:type="pct"/>
            <w:shd w:val="clear" w:color="auto" w:fill="FFFFFF"/>
          </w:tcPr>
          <w:p w14:paraId="014E498A" w14:textId="77777777" w:rsidR="00BA04A8" w:rsidRPr="00A90756" w:rsidRDefault="00BA04A8" w:rsidP="00BA04A8">
            <w:pPr>
              <w:spacing w:after="0" w:line="240" w:lineRule="auto"/>
              <w:jc w:val="center"/>
              <w:rPr>
                <w:rFonts w:ascii="Garamond" w:hAnsi="Garamond" w:cs="Arial"/>
                <w:b/>
                <w:sz w:val="16"/>
                <w:szCs w:val="16"/>
                <w:lang w:eastAsia="en-GB"/>
              </w:rPr>
            </w:pPr>
          </w:p>
        </w:tc>
        <w:tc>
          <w:tcPr>
            <w:tcW w:w="324" w:type="pct"/>
            <w:shd w:val="clear" w:color="auto" w:fill="auto"/>
          </w:tcPr>
          <w:p w14:paraId="014E498B" w14:textId="77777777" w:rsidR="00BA04A8" w:rsidRPr="00A90756" w:rsidRDefault="00BA04A8" w:rsidP="00BA04A8">
            <w:pPr>
              <w:spacing w:after="0" w:line="240" w:lineRule="auto"/>
              <w:jc w:val="center"/>
              <w:rPr>
                <w:rFonts w:ascii="Garamond" w:hAnsi="Garamond" w:cs="Arial"/>
                <w:sz w:val="16"/>
                <w:szCs w:val="16"/>
                <w:lang w:eastAsia="en-GB"/>
              </w:rPr>
            </w:pPr>
          </w:p>
        </w:tc>
        <w:tc>
          <w:tcPr>
            <w:tcW w:w="318" w:type="pct"/>
            <w:shd w:val="clear" w:color="auto" w:fill="auto"/>
          </w:tcPr>
          <w:p w14:paraId="014E498C" w14:textId="77777777" w:rsidR="00BA04A8" w:rsidRPr="00A90756" w:rsidRDefault="00BA04A8" w:rsidP="00BA04A8">
            <w:pPr>
              <w:spacing w:after="0" w:line="240" w:lineRule="auto"/>
              <w:jc w:val="center"/>
              <w:rPr>
                <w:rFonts w:ascii="Garamond" w:hAnsi="Garamond" w:cs="Arial"/>
                <w:sz w:val="16"/>
                <w:szCs w:val="16"/>
                <w:lang w:eastAsia="en-GB"/>
              </w:rPr>
            </w:pPr>
          </w:p>
        </w:tc>
        <w:tc>
          <w:tcPr>
            <w:tcW w:w="480" w:type="pct"/>
            <w:shd w:val="clear" w:color="auto" w:fill="auto"/>
          </w:tcPr>
          <w:p w14:paraId="014E498D" w14:textId="77777777" w:rsidR="00BA04A8" w:rsidRPr="00A90756" w:rsidRDefault="00BA04A8" w:rsidP="00BA04A8">
            <w:pPr>
              <w:spacing w:after="0" w:line="240" w:lineRule="auto"/>
              <w:jc w:val="center"/>
              <w:rPr>
                <w:rFonts w:ascii="Garamond" w:hAnsi="Garamond" w:cs="Arial"/>
                <w:sz w:val="16"/>
                <w:szCs w:val="16"/>
                <w:lang w:eastAsia="en-GB"/>
              </w:rPr>
            </w:pPr>
          </w:p>
        </w:tc>
        <w:tc>
          <w:tcPr>
            <w:tcW w:w="538" w:type="pct"/>
            <w:shd w:val="clear" w:color="auto" w:fill="auto"/>
          </w:tcPr>
          <w:p w14:paraId="014E498E" w14:textId="77777777" w:rsidR="00BA04A8" w:rsidRPr="00A90756" w:rsidRDefault="00BA04A8" w:rsidP="00BA04A8">
            <w:pPr>
              <w:spacing w:after="0" w:line="240" w:lineRule="auto"/>
              <w:jc w:val="center"/>
              <w:rPr>
                <w:rFonts w:ascii="Garamond" w:hAnsi="Garamond" w:cs="Arial"/>
                <w:sz w:val="16"/>
                <w:szCs w:val="16"/>
                <w:lang w:eastAsia="en-GB"/>
              </w:rPr>
            </w:pPr>
          </w:p>
        </w:tc>
      </w:tr>
      <w:tr w:rsidR="00BA04A8" w:rsidRPr="00A90756" w14:paraId="014E499D" w14:textId="77777777" w:rsidTr="002132A6">
        <w:trPr>
          <w:trHeight w:val="20"/>
        </w:trPr>
        <w:tc>
          <w:tcPr>
            <w:tcW w:w="557" w:type="pct"/>
            <w:shd w:val="clear" w:color="auto" w:fill="auto"/>
          </w:tcPr>
          <w:p w14:paraId="014E4990" w14:textId="77777777" w:rsidR="00BA04A8" w:rsidRPr="00A90756" w:rsidRDefault="00BA04A8" w:rsidP="00BA04A8">
            <w:pPr>
              <w:spacing w:after="0" w:line="240" w:lineRule="auto"/>
              <w:jc w:val="center"/>
              <w:rPr>
                <w:rFonts w:ascii="Garamond" w:hAnsi="Garamond" w:cs="Arial"/>
                <w:sz w:val="16"/>
                <w:szCs w:val="16"/>
                <w:lang w:eastAsia="en-GB"/>
              </w:rPr>
            </w:pPr>
            <w:r w:rsidRPr="00A90756">
              <w:rPr>
                <w:rFonts w:ascii="Garamond" w:hAnsi="Garamond"/>
                <w:sz w:val="16"/>
                <w:szCs w:val="16"/>
                <w:lang w:eastAsia="en-GB"/>
              </w:rPr>
              <w:t>…………</w:t>
            </w:r>
          </w:p>
        </w:tc>
        <w:tc>
          <w:tcPr>
            <w:tcW w:w="470" w:type="pct"/>
            <w:shd w:val="clear" w:color="auto" w:fill="auto"/>
          </w:tcPr>
          <w:p w14:paraId="014E4991" w14:textId="77777777" w:rsidR="00BA04A8" w:rsidRPr="00A90756" w:rsidRDefault="00BA04A8" w:rsidP="00BA04A8">
            <w:pPr>
              <w:spacing w:after="0" w:line="240" w:lineRule="auto"/>
              <w:jc w:val="center"/>
              <w:rPr>
                <w:rFonts w:ascii="Garamond" w:hAnsi="Garamond" w:cs="Arial"/>
                <w:sz w:val="16"/>
                <w:szCs w:val="16"/>
                <w:lang w:eastAsia="en-GB"/>
              </w:rPr>
            </w:pPr>
          </w:p>
        </w:tc>
        <w:tc>
          <w:tcPr>
            <w:tcW w:w="386" w:type="pct"/>
            <w:shd w:val="clear" w:color="auto" w:fill="auto"/>
          </w:tcPr>
          <w:p w14:paraId="014E4992" w14:textId="77777777" w:rsidR="00BA04A8" w:rsidRPr="00A90756" w:rsidRDefault="00BA04A8" w:rsidP="00BA04A8">
            <w:pPr>
              <w:spacing w:after="0" w:line="240" w:lineRule="auto"/>
              <w:jc w:val="center"/>
              <w:rPr>
                <w:rFonts w:ascii="Garamond" w:hAnsi="Garamond" w:cs="Arial"/>
                <w:sz w:val="16"/>
                <w:szCs w:val="16"/>
                <w:lang w:eastAsia="en-GB"/>
              </w:rPr>
            </w:pPr>
          </w:p>
        </w:tc>
        <w:tc>
          <w:tcPr>
            <w:tcW w:w="244" w:type="pct"/>
            <w:shd w:val="clear" w:color="auto" w:fill="auto"/>
          </w:tcPr>
          <w:p w14:paraId="014E4993" w14:textId="77777777" w:rsidR="00BA04A8" w:rsidRPr="00A90756" w:rsidRDefault="00BA04A8" w:rsidP="00BA04A8">
            <w:pPr>
              <w:spacing w:after="0" w:line="240" w:lineRule="auto"/>
              <w:jc w:val="center"/>
              <w:rPr>
                <w:rFonts w:ascii="Garamond" w:hAnsi="Garamond" w:cs="Arial"/>
                <w:sz w:val="16"/>
                <w:szCs w:val="16"/>
                <w:lang w:eastAsia="en-GB"/>
              </w:rPr>
            </w:pPr>
          </w:p>
        </w:tc>
        <w:tc>
          <w:tcPr>
            <w:tcW w:w="412" w:type="pct"/>
            <w:shd w:val="clear" w:color="auto" w:fill="auto"/>
          </w:tcPr>
          <w:p w14:paraId="014E4994" w14:textId="77777777" w:rsidR="00BA04A8" w:rsidRPr="00A90756" w:rsidRDefault="00BA04A8" w:rsidP="00BA04A8">
            <w:pPr>
              <w:spacing w:after="0" w:line="240" w:lineRule="auto"/>
              <w:jc w:val="center"/>
              <w:rPr>
                <w:rFonts w:ascii="Garamond" w:hAnsi="Garamond" w:cs="Arial"/>
                <w:sz w:val="16"/>
                <w:szCs w:val="16"/>
                <w:lang w:eastAsia="en-GB"/>
              </w:rPr>
            </w:pPr>
          </w:p>
        </w:tc>
        <w:tc>
          <w:tcPr>
            <w:tcW w:w="260" w:type="pct"/>
            <w:shd w:val="clear" w:color="auto" w:fill="auto"/>
          </w:tcPr>
          <w:p w14:paraId="014E4995" w14:textId="77777777" w:rsidR="00BA04A8" w:rsidRPr="00A90756" w:rsidRDefault="00BA04A8" w:rsidP="00BA04A8">
            <w:pPr>
              <w:spacing w:after="0" w:line="240" w:lineRule="auto"/>
              <w:jc w:val="center"/>
              <w:rPr>
                <w:rFonts w:ascii="Garamond" w:hAnsi="Garamond" w:cs="Arial"/>
                <w:sz w:val="16"/>
                <w:szCs w:val="16"/>
                <w:lang w:eastAsia="en-GB"/>
              </w:rPr>
            </w:pPr>
          </w:p>
        </w:tc>
        <w:tc>
          <w:tcPr>
            <w:tcW w:w="346" w:type="pct"/>
            <w:shd w:val="clear" w:color="auto" w:fill="auto"/>
          </w:tcPr>
          <w:p w14:paraId="014E4996" w14:textId="77777777" w:rsidR="00BA04A8" w:rsidRPr="00A90756" w:rsidRDefault="00BA04A8" w:rsidP="00BA04A8">
            <w:pPr>
              <w:spacing w:after="0" w:line="240" w:lineRule="auto"/>
              <w:jc w:val="center"/>
              <w:rPr>
                <w:rFonts w:ascii="Garamond" w:hAnsi="Garamond" w:cs="Arial"/>
                <w:sz w:val="16"/>
                <w:szCs w:val="16"/>
                <w:lang w:eastAsia="en-GB"/>
              </w:rPr>
            </w:pPr>
          </w:p>
        </w:tc>
        <w:tc>
          <w:tcPr>
            <w:tcW w:w="222" w:type="pct"/>
            <w:shd w:val="clear" w:color="auto" w:fill="auto"/>
          </w:tcPr>
          <w:p w14:paraId="014E4997" w14:textId="77777777" w:rsidR="00BA04A8" w:rsidRPr="00A90756" w:rsidRDefault="00BA04A8" w:rsidP="00BA04A8">
            <w:pPr>
              <w:spacing w:after="0" w:line="240" w:lineRule="auto"/>
              <w:jc w:val="center"/>
              <w:rPr>
                <w:rFonts w:ascii="Garamond" w:hAnsi="Garamond" w:cs="Arial"/>
                <w:sz w:val="16"/>
                <w:szCs w:val="16"/>
                <w:lang w:eastAsia="en-GB"/>
              </w:rPr>
            </w:pPr>
          </w:p>
        </w:tc>
        <w:tc>
          <w:tcPr>
            <w:tcW w:w="443" w:type="pct"/>
            <w:shd w:val="clear" w:color="auto" w:fill="FFFFFF"/>
          </w:tcPr>
          <w:p w14:paraId="014E4998" w14:textId="77777777" w:rsidR="00BA04A8" w:rsidRPr="00A90756" w:rsidRDefault="00BA04A8" w:rsidP="00BA04A8">
            <w:pPr>
              <w:spacing w:after="0" w:line="240" w:lineRule="auto"/>
              <w:jc w:val="center"/>
              <w:rPr>
                <w:rFonts w:ascii="Garamond" w:hAnsi="Garamond" w:cs="Arial"/>
                <w:b/>
                <w:sz w:val="16"/>
                <w:szCs w:val="16"/>
                <w:lang w:eastAsia="en-GB"/>
              </w:rPr>
            </w:pPr>
          </w:p>
        </w:tc>
        <w:tc>
          <w:tcPr>
            <w:tcW w:w="324" w:type="pct"/>
            <w:shd w:val="clear" w:color="auto" w:fill="auto"/>
          </w:tcPr>
          <w:p w14:paraId="014E4999" w14:textId="77777777" w:rsidR="00BA04A8" w:rsidRPr="00A90756" w:rsidRDefault="00BA04A8" w:rsidP="00BA04A8">
            <w:pPr>
              <w:spacing w:after="0" w:line="240" w:lineRule="auto"/>
              <w:jc w:val="center"/>
              <w:rPr>
                <w:rFonts w:ascii="Garamond" w:hAnsi="Garamond" w:cs="Arial"/>
                <w:sz w:val="16"/>
                <w:szCs w:val="16"/>
                <w:lang w:eastAsia="en-GB"/>
              </w:rPr>
            </w:pPr>
          </w:p>
        </w:tc>
        <w:tc>
          <w:tcPr>
            <w:tcW w:w="318" w:type="pct"/>
            <w:shd w:val="clear" w:color="auto" w:fill="auto"/>
          </w:tcPr>
          <w:p w14:paraId="014E499A" w14:textId="77777777" w:rsidR="00BA04A8" w:rsidRPr="00A90756" w:rsidRDefault="00BA04A8" w:rsidP="00BA04A8">
            <w:pPr>
              <w:spacing w:after="0" w:line="240" w:lineRule="auto"/>
              <w:jc w:val="center"/>
              <w:rPr>
                <w:rFonts w:ascii="Garamond" w:hAnsi="Garamond" w:cs="Arial"/>
                <w:sz w:val="16"/>
                <w:szCs w:val="16"/>
                <w:lang w:eastAsia="en-GB"/>
              </w:rPr>
            </w:pPr>
          </w:p>
        </w:tc>
        <w:tc>
          <w:tcPr>
            <w:tcW w:w="480" w:type="pct"/>
            <w:shd w:val="clear" w:color="auto" w:fill="auto"/>
          </w:tcPr>
          <w:p w14:paraId="014E499B" w14:textId="77777777" w:rsidR="00BA04A8" w:rsidRPr="00A90756" w:rsidRDefault="00BA04A8" w:rsidP="00BA04A8">
            <w:pPr>
              <w:spacing w:after="0" w:line="240" w:lineRule="auto"/>
              <w:jc w:val="center"/>
              <w:rPr>
                <w:rFonts w:ascii="Garamond" w:hAnsi="Garamond" w:cs="Arial"/>
                <w:sz w:val="16"/>
                <w:szCs w:val="16"/>
                <w:lang w:eastAsia="en-GB"/>
              </w:rPr>
            </w:pPr>
          </w:p>
        </w:tc>
        <w:tc>
          <w:tcPr>
            <w:tcW w:w="538" w:type="pct"/>
            <w:shd w:val="clear" w:color="auto" w:fill="auto"/>
          </w:tcPr>
          <w:p w14:paraId="014E499C" w14:textId="77777777" w:rsidR="00BA04A8" w:rsidRPr="00A90756" w:rsidRDefault="00BA04A8" w:rsidP="00BA04A8">
            <w:pPr>
              <w:spacing w:after="0" w:line="240" w:lineRule="auto"/>
              <w:jc w:val="center"/>
              <w:rPr>
                <w:rFonts w:ascii="Garamond" w:hAnsi="Garamond" w:cs="Arial"/>
                <w:sz w:val="16"/>
                <w:szCs w:val="16"/>
                <w:lang w:eastAsia="en-GB"/>
              </w:rPr>
            </w:pPr>
          </w:p>
        </w:tc>
      </w:tr>
    </w:tbl>
    <w:p w14:paraId="014E499E" w14:textId="77777777" w:rsidR="00BA04A8" w:rsidRPr="00A90756" w:rsidRDefault="00BA04A8" w:rsidP="00BA04A8">
      <w:pPr>
        <w:autoSpaceDE w:val="0"/>
        <w:autoSpaceDN w:val="0"/>
        <w:adjustRightInd w:val="0"/>
        <w:jc w:val="both"/>
        <w:rPr>
          <w:rFonts w:ascii="Garamond" w:hAnsi="Garamond"/>
          <w:lang w:eastAsia="ko-KR"/>
        </w:rPr>
      </w:pPr>
    </w:p>
    <w:p w14:paraId="014E499F" w14:textId="77777777" w:rsidR="006F2E6B" w:rsidRPr="00A90756" w:rsidRDefault="006F2E6B" w:rsidP="00EC73A8">
      <w:pPr>
        <w:spacing w:after="0" w:line="240" w:lineRule="auto"/>
        <w:ind w:firstLine="284"/>
        <w:rPr>
          <w:rFonts w:ascii="Garamond" w:hAnsi="Garamond"/>
          <w:sz w:val="24"/>
          <w:szCs w:val="24"/>
        </w:rPr>
        <w:sectPr w:rsidR="006F2E6B" w:rsidRPr="00A90756" w:rsidSect="00BA04A8">
          <w:pgSz w:w="16840" w:h="11907" w:orient="landscape" w:code="9"/>
          <w:pgMar w:top="1440" w:right="1440" w:bottom="1440" w:left="1440" w:header="1304" w:footer="1134" w:gutter="0"/>
          <w:cols w:space="720"/>
          <w:noEndnote/>
        </w:sectPr>
      </w:pPr>
    </w:p>
    <w:p w14:paraId="014E49A0" w14:textId="309CDE35" w:rsidR="006F2E6B" w:rsidRPr="00A90756" w:rsidRDefault="006F2E6B" w:rsidP="006F2E6B">
      <w:pPr>
        <w:spacing w:after="0" w:line="240" w:lineRule="auto"/>
        <w:ind w:firstLine="284"/>
        <w:rPr>
          <w:rFonts w:ascii="Garamond" w:hAnsi="Garamond"/>
          <w:b/>
          <w:sz w:val="24"/>
          <w:szCs w:val="24"/>
        </w:rPr>
      </w:pPr>
      <w:bookmarkStart w:id="105" w:name="_Toc232409005"/>
      <w:bookmarkStart w:id="106" w:name="_Toc232484858"/>
      <w:bookmarkStart w:id="107" w:name="_Toc138426960"/>
      <w:r w:rsidRPr="00A90756">
        <w:rPr>
          <w:rFonts w:ascii="Garamond" w:hAnsi="Garamond"/>
          <w:b/>
          <w:sz w:val="24"/>
          <w:szCs w:val="24"/>
        </w:rPr>
        <w:lastRenderedPageBreak/>
        <w:t>2.2.2</w:t>
      </w:r>
      <w:r w:rsidR="00C61854" w:rsidRPr="00A90756">
        <w:rPr>
          <w:rFonts w:ascii="Garamond" w:hAnsi="Garamond"/>
          <w:b/>
        </w:rPr>
        <w:t xml:space="preserve"> </w:t>
      </w:r>
      <w:r w:rsidRPr="00A90756">
        <w:rPr>
          <w:rFonts w:ascii="Garamond" w:hAnsi="Garamond"/>
          <w:b/>
          <w:sz w:val="24"/>
          <w:szCs w:val="24"/>
        </w:rPr>
        <w:t>Analiza cilësore</w:t>
      </w:r>
      <w:bookmarkEnd w:id="105"/>
      <w:bookmarkEnd w:id="106"/>
      <w:bookmarkEnd w:id="107"/>
    </w:p>
    <w:p w14:paraId="014E49A1" w14:textId="77777777" w:rsidR="006F2E6B" w:rsidRPr="00A90756" w:rsidRDefault="006F2E6B" w:rsidP="006F2E6B">
      <w:pPr>
        <w:tabs>
          <w:tab w:val="left" w:pos="540"/>
        </w:tabs>
        <w:spacing w:after="0" w:line="240" w:lineRule="auto"/>
        <w:ind w:firstLine="284"/>
        <w:jc w:val="both"/>
        <w:rPr>
          <w:rFonts w:ascii="Garamond" w:hAnsi="Garamond" w:cs="Arial"/>
          <w:sz w:val="24"/>
          <w:szCs w:val="24"/>
        </w:rPr>
      </w:pPr>
      <w:r w:rsidRPr="00A90756">
        <w:rPr>
          <w:rFonts w:ascii="Garamond" w:hAnsi="Garamond"/>
          <w:sz w:val="24"/>
          <w:szCs w:val="24"/>
        </w:rPr>
        <w:t>&lt;Analiza cilësore e progresit (përparimet konceptuale dhe përsosja e ndërhyrjeve) të bërë gjatë zbatimit të programit të bashkëpunimit ndërkufitar, duke përfshirë analizën e ndikimit të programit në zonën e mbuluar nga programi, shoqëruar me shtrirjen gjeografike (përqendrim/shpërndarje harmonike), diferencim të vendbanimeve (rurale/urbane) dhe llojin e përfituesit (autoritete vendore</w:t>
      </w:r>
      <w:r w:rsidRPr="00A90756">
        <w:rPr>
          <w:rStyle w:val="FootnoteReference"/>
          <w:rFonts w:ascii="Garamond" w:hAnsi="Garamond" w:cs="Arial"/>
          <w:sz w:val="24"/>
          <w:szCs w:val="24"/>
        </w:rPr>
        <w:footnoteReference w:id="41"/>
      </w:r>
      <w:r w:rsidRPr="00A90756">
        <w:rPr>
          <w:rFonts w:ascii="Garamond" w:hAnsi="Garamond"/>
          <w:sz w:val="24"/>
          <w:szCs w:val="24"/>
        </w:rPr>
        <w:t>/persona të tjerë juridikë).</w:t>
      </w:r>
    </w:p>
    <w:p w14:paraId="014E49A2" w14:textId="1C096DFF" w:rsidR="006F2E6B" w:rsidRPr="00A90756" w:rsidRDefault="006F2E6B" w:rsidP="006F2E6B">
      <w:pPr>
        <w:tabs>
          <w:tab w:val="left" w:pos="540"/>
        </w:tabs>
        <w:spacing w:after="0" w:line="240" w:lineRule="auto"/>
        <w:ind w:firstLine="284"/>
        <w:jc w:val="both"/>
        <w:rPr>
          <w:rFonts w:ascii="Garamond" w:hAnsi="Garamond" w:cs="Arial"/>
          <w:sz w:val="24"/>
          <w:szCs w:val="24"/>
        </w:rPr>
      </w:pPr>
      <w:r w:rsidRPr="00A90756">
        <w:rPr>
          <w:rFonts w:ascii="Garamond" w:hAnsi="Garamond"/>
          <w:sz w:val="24"/>
          <w:szCs w:val="24"/>
        </w:rPr>
        <w:t>Shpjegoni se si programi ka kontribuuar ose do të kontribuojë në nxitjen e zhvillimit të qëndrueshëm vendor, në rritjen e prosperitetit dhe në ndërtimin e besimit midis komuniteteve, si dhe në avancimin e bashkëpunimit rajonal dhe</w:t>
      </w:r>
      <w:r w:rsidR="00C61854" w:rsidRPr="00A90756">
        <w:rPr>
          <w:rFonts w:ascii="Garamond" w:hAnsi="Garamond"/>
          <w:sz w:val="24"/>
          <w:szCs w:val="24"/>
        </w:rPr>
        <w:t xml:space="preserve"> </w:t>
      </w:r>
      <w:r w:rsidRPr="00A90756">
        <w:rPr>
          <w:rFonts w:ascii="Garamond" w:hAnsi="Garamond"/>
          <w:sz w:val="24"/>
          <w:szCs w:val="24"/>
        </w:rPr>
        <w:t xml:space="preserve">të marrëdhënieve të mira fqinjësore, po ashtu edhe mënyrën se si mund ta </w:t>
      </w:r>
      <w:r w:rsidR="00D06E61" w:rsidRPr="00A90756">
        <w:rPr>
          <w:rFonts w:ascii="Garamond" w:hAnsi="Garamond"/>
          <w:sz w:val="24"/>
          <w:szCs w:val="24"/>
        </w:rPr>
        <w:t>matni</w:t>
      </w:r>
      <w:r w:rsidRPr="00A90756">
        <w:rPr>
          <w:rFonts w:ascii="Garamond" w:hAnsi="Garamond"/>
          <w:sz w:val="24"/>
          <w:szCs w:val="24"/>
        </w:rPr>
        <w:t xml:space="preserve"> apo tregoni këtë.</w:t>
      </w:r>
    </w:p>
    <w:p w14:paraId="014E49A3" w14:textId="77777777" w:rsidR="006F2E6B" w:rsidRPr="00A90756" w:rsidRDefault="006F2E6B" w:rsidP="006F2E6B">
      <w:pPr>
        <w:tabs>
          <w:tab w:val="left" w:pos="540"/>
        </w:tabs>
        <w:spacing w:after="0" w:line="240" w:lineRule="auto"/>
        <w:ind w:firstLine="284"/>
        <w:jc w:val="both"/>
        <w:rPr>
          <w:rFonts w:ascii="Garamond" w:hAnsi="Garamond" w:cs="Arial"/>
          <w:sz w:val="24"/>
          <w:szCs w:val="24"/>
        </w:rPr>
      </w:pPr>
      <w:r w:rsidRPr="00A90756">
        <w:rPr>
          <w:rFonts w:ascii="Garamond" w:hAnsi="Garamond"/>
          <w:sz w:val="24"/>
          <w:szCs w:val="24"/>
        </w:rPr>
        <w:t>Përshkruani mënyrën se si strukturat e bashkëpunimit ndërkufitar dhe organet e përcaktuara ndërmjetëse regjistrojnë ecurinë e mësimeve të nxjerra gjatë periudhës së zbatimit të programit, si për shembull, për ngritjen dhe funksionimin e sistemeve funksionale të mbledhjes së të dhënave (si për qëllime statistikore ashtu edhe administrative).</w:t>
      </w:r>
    </w:p>
    <w:p w14:paraId="014E49A4" w14:textId="5788630C" w:rsidR="006F2E6B" w:rsidRPr="00A90756" w:rsidRDefault="006F2E6B" w:rsidP="006F2E6B">
      <w:pPr>
        <w:tabs>
          <w:tab w:val="left" w:pos="540"/>
        </w:tabs>
        <w:spacing w:after="0" w:line="240" w:lineRule="auto"/>
        <w:ind w:firstLine="284"/>
        <w:jc w:val="both"/>
        <w:rPr>
          <w:rFonts w:ascii="Garamond" w:hAnsi="Garamond"/>
          <w:i/>
        </w:rPr>
      </w:pPr>
      <w:r w:rsidRPr="00A90756">
        <w:rPr>
          <w:rFonts w:ascii="Garamond" w:hAnsi="Garamond"/>
          <w:i/>
          <w:sz w:val="24"/>
          <w:szCs w:val="24"/>
        </w:rPr>
        <w:t>Për analizën cilësore, strukturat e programit duhet</w:t>
      </w:r>
      <w:r w:rsidR="00C61854" w:rsidRPr="00A90756">
        <w:rPr>
          <w:rFonts w:ascii="Garamond" w:hAnsi="Garamond"/>
          <w:i/>
          <w:sz w:val="24"/>
          <w:szCs w:val="24"/>
        </w:rPr>
        <w:t xml:space="preserve"> t</w:t>
      </w:r>
      <w:r w:rsidR="00292D5B" w:rsidRPr="00A90756">
        <w:rPr>
          <w:rFonts w:ascii="Garamond" w:hAnsi="Garamond"/>
          <w:i/>
          <w:sz w:val="24"/>
          <w:szCs w:val="24"/>
        </w:rPr>
        <w:t>’</w:t>
      </w:r>
      <w:r w:rsidR="00C61854" w:rsidRPr="00A90756">
        <w:rPr>
          <w:rFonts w:ascii="Garamond" w:hAnsi="Garamond"/>
          <w:i/>
          <w:sz w:val="24"/>
          <w:szCs w:val="24"/>
        </w:rPr>
        <w:t xml:space="preserve">u </w:t>
      </w:r>
      <w:r w:rsidRPr="00A90756">
        <w:rPr>
          <w:rFonts w:ascii="Garamond" w:hAnsi="Garamond"/>
          <w:i/>
          <w:sz w:val="24"/>
          <w:szCs w:val="24"/>
        </w:rPr>
        <w:t>referohen të dhënave që japin informacion mbi pikëpamjet, opinionet ose konstatimet e njerëzve. Këto të dhëna mblidhen kryesisht nëpërmjet vlerësimeve, gjetjeve nga vizitat e monitorimit, intervistave, takimeve, grupeve të fokusit, sondazheve të opinionit publik, anketave etj. Së fundi, hulumtoni se si çështjet ndërsektoriale (veçanërisht ato që lidhen me politikën e kohezionit: mundësitë e barabarta, barazinë midis burrave dhe grave, zhvillimin e qëndrueshëm dhe luftën kundër diskriminimit) integrohen në hartimin e thirrjeve për propozime dhe në zbatimin e kontratave të grantit.&gt;</w:t>
      </w:r>
      <w:bookmarkStart w:id="108" w:name="_Toc138426961"/>
      <w:bookmarkStart w:id="109" w:name="_Toc232484859"/>
    </w:p>
    <w:p w14:paraId="014E49A5" w14:textId="04D518B2" w:rsidR="006F2E6B" w:rsidRPr="00A90756" w:rsidRDefault="006F2E6B" w:rsidP="006F2E6B">
      <w:pPr>
        <w:tabs>
          <w:tab w:val="left" w:pos="540"/>
        </w:tabs>
        <w:spacing w:after="0" w:line="240" w:lineRule="auto"/>
        <w:ind w:firstLine="284"/>
        <w:jc w:val="both"/>
        <w:rPr>
          <w:rFonts w:ascii="Garamond" w:hAnsi="Garamond"/>
          <w:b/>
          <w:sz w:val="24"/>
          <w:szCs w:val="24"/>
        </w:rPr>
      </w:pPr>
      <w:r w:rsidRPr="00A90756">
        <w:rPr>
          <w:rFonts w:ascii="Garamond" w:hAnsi="Garamond"/>
          <w:b/>
          <w:sz w:val="24"/>
          <w:szCs w:val="24"/>
        </w:rPr>
        <w:t>2.3 Informacion i detajuar në lidhje me ekzekutimin në nivel financiar të programit të bashkëpunimit ndërkufitar</w:t>
      </w:r>
      <w:bookmarkEnd w:id="108"/>
      <w:bookmarkEnd w:id="109"/>
    </w:p>
    <w:p w14:paraId="014E49A6" w14:textId="77777777" w:rsidR="006F2E6B" w:rsidRPr="00A90756" w:rsidRDefault="006F2E6B" w:rsidP="006F2E6B">
      <w:pPr>
        <w:autoSpaceDE w:val="0"/>
        <w:autoSpaceDN w:val="0"/>
        <w:adjustRightInd w:val="0"/>
        <w:spacing w:after="0" w:line="240" w:lineRule="auto"/>
        <w:ind w:firstLine="284"/>
        <w:jc w:val="both"/>
        <w:rPr>
          <w:rFonts w:ascii="Garamond" w:hAnsi="Garamond" w:cs="Arial"/>
          <w:sz w:val="24"/>
          <w:szCs w:val="24"/>
        </w:rPr>
      </w:pPr>
      <w:r w:rsidRPr="00A90756">
        <w:rPr>
          <w:rFonts w:ascii="Garamond" w:hAnsi="Garamond"/>
          <w:sz w:val="24"/>
          <w:szCs w:val="24"/>
        </w:rPr>
        <w:t>&lt;Informacion i detajuar mbi kontraktimin dhe, në kuadrin e menaxhimit të tërthortë, disbursimin (lëvrimin) e fondeve të miratuara vjetore për prioritet tematik dhe për llojin e përfituesit të grantit, duke përfshirë partnerët e projektit (bashkëpërfituesit).</w:t>
      </w:r>
    </w:p>
    <w:p w14:paraId="014E49A7" w14:textId="77777777" w:rsidR="006F2E6B" w:rsidRPr="00A90756" w:rsidRDefault="006F2E6B" w:rsidP="006F2E6B">
      <w:pPr>
        <w:autoSpaceDE w:val="0"/>
        <w:autoSpaceDN w:val="0"/>
        <w:adjustRightInd w:val="0"/>
        <w:spacing w:after="0" w:line="240" w:lineRule="auto"/>
        <w:ind w:firstLine="284"/>
        <w:rPr>
          <w:rFonts w:ascii="Garamond" w:hAnsi="Garamond"/>
          <w:iCs/>
        </w:rPr>
      </w:pPr>
      <w:r w:rsidRPr="00A90756">
        <w:rPr>
          <w:rFonts w:ascii="Garamond" w:hAnsi="Garamond"/>
          <w:iCs/>
          <w:sz w:val="24"/>
          <w:szCs w:val="24"/>
        </w:rPr>
        <w:t>&lt;Analiza e faktorëve të mëposhtëm:</w:t>
      </w:r>
    </w:p>
    <w:p w14:paraId="014E49A8" w14:textId="30CD958C" w:rsidR="006F2E6B" w:rsidRPr="00A90756" w:rsidRDefault="006F2E6B" w:rsidP="006F2E6B">
      <w:pPr>
        <w:autoSpaceDE w:val="0"/>
        <w:autoSpaceDN w:val="0"/>
        <w:adjustRightInd w:val="0"/>
        <w:spacing w:after="0" w:line="240" w:lineRule="auto"/>
        <w:ind w:firstLine="284"/>
        <w:rPr>
          <w:rFonts w:ascii="Garamond" w:hAnsi="Garamond"/>
        </w:rPr>
      </w:pPr>
      <w:r w:rsidRPr="00A90756">
        <w:rPr>
          <w:rFonts w:ascii="Garamond" w:hAnsi="Garamond"/>
        </w:rPr>
        <w:t xml:space="preserve">- </w:t>
      </w:r>
      <w:r w:rsidRPr="00A90756">
        <w:rPr>
          <w:rFonts w:ascii="Garamond" w:hAnsi="Garamond"/>
          <w:sz w:val="24"/>
          <w:szCs w:val="24"/>
        </w:rPr>
        <w:t>Gjendjes financiare</w:t>
      </w:r>
      <w:r w:rsidR="00D06E61" w:rsidRPr="00A90756">
        <w:rPr>
          <w:rFonts w:ascii="Garamond" w:hAnsi="Garamond"/>
          <w:sz w:val="24"/>
          <w:szCs w:val="24"/>
        </w:rPr>
        <w:t>;</w:t>
      </w:r>
    </w:p>
    <w:p w14:paraId="014E49A9" w14:textId="3C49A8BF" w:rsidR="006F2E6B" w:rsidRPr="00A90756" w:rsidRDefault="006F2E6B" w:rsidP="006F2E6B">
      <w:pPr>
        <w:autoSpaceDE w:val="0"/>
        <w:autoSpaceDN w:val="0"/>
        <w:adjustRightInd w:val="0"/>
        <w:spacing w:after="0" w:line="240" w:lineRule="auto"/>
        <w:ind w:firstLine="284"/>
        <w:rPr>
          <w:rFonts w:ascii="Garamond" w:hAnsi="Garamond"/>
        </w:rPr>
      </w:pPr>
      <w:r w:rsidRPr="00A90756">
        <w:rPr>
          <w:rFonts w:ascii="Garamond" w:hAnsi="Garamond"/>
        </w:rPr>
        <w:t xml:space="preserve">- </w:t>
      </w:r>
      <w:r w:rsidRPr="00A90756">
        <w:rPr>
          <w:rFonts w:ascii="Garamond" w:hAnsi="Garamond"/>
          <w:sz w:val="24"/>
          <w:szCs w:val="24"/>
        </w:rPr>
        <w:t>Informacionit mbi bashkëfinancimin</w:t>
      </w:r>
      <w:r w:rsidR="00D06E61" w:rsidRPr="00A90756">
        <w:rPr>
          <w:rFonts w:ascii="Garamond" w:hAnsi="Garamond"/>
          <w:sz w:val="24"/>
          <w:szCs w:val="24"/>
        </w:rPr>
        <w:t>;</w:t>
      </w:r>
    </w:p>
    <w:p w14:paraId="014E49AA" w14:textId="70DB850B" w:rsidR="006F2E6B" w:rsidRPr="00A90756" w:rsidRDefault="006F2E6B" w:rsidP="006F2E6B">
      <w:pPr>
        <w:autoSpaceDE w:val="0"/>
        <w:autoSpaceDN w:val="0"/>
        <w:adjustRightInd w:val="0"/>
        <w:spacing w:after="0" w:line="240" w:lineRule="auto"/>
        <w:ind w:firstLine="284"/>
        <w:rPr>
          <w:rFonts w:ascii="Garamond" w:hAnsi="Garamond"/>
        </w:rPr>
      </w:pPr>
      <w:r w:rsidRPr="00A90756">
        <w:rPr>
          <w:rFonts w:ascii="Garamond" w:hAnsi="Garamond"/>
        </w:rPr>
        <w:t xml:space="preserve">- </w:t>
      </w:r>
      <w:r w:rsidRPr="00A90756">
        <w:rPr>
          <w:rFonts w:ascii="Garamond" w:hAnsi="Garamond"/>
          <w:sz w:val="24"/>
          <w:szCs w:val="24"/>
        </w:rPr>
        <w:t>Faktorëve që penguan dhe/ose vonuan zbatimin financiar</w:t>
      </w:r>
      <w:r w:rsidR="00D06E61" w:rsidRPr="00A90756">
        <w:rPr>
          <w:rFonts w:ascii="Garamond" w:hAnsi="Garamond"/>
          <w:sz w:val="24"/>
          <w:szCs w:val="24"/>
        </w:rPr>
        <w:t>;</w:t>
      </w:r>
    </w:p>
    <w:p w14:paraId="014E49AB" w14:textId="77777777" w:rsidR="006F2E6B" w:rsidRPr="00A90756" w:rsidRDefault="006F2E6B" w:rsidP="006F2E6B">
      <w:pPr>
        <w:autoSpaceDE w:val="0"/>
        <w:autoSpaceDN w:val="0"/>
        <w:adjustRightInd w:val="0"/>
        <w:spacing w:after="0" w:line="240" w:lineRule="auto"/>
        <w:ind w:firstLine="284"/>
        <w:rPr>
          <w:rFonts w:ascii="Garamond" w:eastAsia="Arial Unicode MS" w:hAnsi="Garamond"/>
          <w:sz w:val="24"/>
          <w:szCs w:val="24"/>
        </w:rPr>
      </w:pPr>
      <w:r w:rsidRPr="00A90756">
        <w:rPr>
          <w:rFonts w:ascii="Garamond" w:hAnsi="Garamond"/>
        </w:rPr>
        <w:t xml:space="preserve">- </w:t>
      </w:r>
      <w:r w:rsidRPr="00A90756">
        <w:rPr>
          <w:rFonts w:ascii="Garamond" w:hAnsi="Garamond"/>
          <w:sz w:val="24"/>
          <w:szCs w:val="24"/>
        </w:rPr>
        <w:t>Faktorëve që kanë ndikuar pozitivisht në zbatimin financiar.&gt;</w:t>
      </w:r>
    </w:p>
    <w:p w14:paraId="014E49AC" w14:textId="77777777" w:rsidR="006F2E6B" w:rsidRPr="00A90756" w:rsidRDefault="006F2E6B" w:rsidP="005C3F3B">
      <w:pPr>
        <w:autoSpaceDE w:val="0"/>
        <w:autoSpaceDN w:val="0"/>
        <w:adjustRightInd w:val="0"/>
        <w:spacing w:after="0" w:line="240" w:lineRule="auto"/>
        <w:jc w:val="both"/>
        <w:rPr>
          <w:rFonts w:ascii="Garamond" w:hAnsi="Garamond" w:cs="Arial"/>
          <w:sz w:val="24"/>
          <w:szCs w:val="24"/>
          <w:lang w:eastAsia="ko-KR"/>
        </w:rPr>
      </w:pPr>
    </w:p>
    <w:p w14:paraId="014E49AD" w14:textId="77777777" w:rsidR="006F2E6B" w:rsidRPr="00A90756" w:rsidRDefault="006F2E6B" w:rsidP="006F2E6B">
      <w:pPr>
        <w:spacing w:after="0" w:line="240" w:lineRule="auto"/>
        <w:ind w:firstLine="284"/>
        <w:rPr>
          <w:rFonts w:ascii="Garamond" w:hAnsi="Garamond"/>
          <w:sz w:val="24"/>
          <w:szCs w:val="24"/>
        </w:rPr>
      </w:pPr>
      <w:r w:rsidRPr="00A90756">
        <w:rPr>
          <w:rFonts w:ascii="Garamond" w:hAnsi="Garamond"/>
          <w:sz w:val="24"/>
          <w:szCs w:val="24"/>
        </w:rPr>
        <w:t>Modeli i tabelës për ekzekutimin në nivel financiar të kontratave të BNK-së në zbatim përgjatë periudhës raportuese:</w:t>
      </w:r>
    </w:p>
    <w:p w14:paraId="014E49AE" w14:textId="77777777" w:rsidR="006F2E6B" w:rsidRPr="00A90756" w:rsidRDefault="006F2E6B" w:rsidP="006F2E6B">
      <w:pPr>
        <w:autoSpaceDE w:val="0"/>
        <w:autoSpaceDN w:val="0"/>
        <w:adjustRightInd w:val="0"/>
        <w:spacing w:after="0" w:line="240" w:lineRule="auto"/>
        <w:ind w:firstLine="284"/>
        <w:jc w:val="both"/>
        <w:rPr>
          <w:rFonts w:ascii="Garamond" w:hAnsi="Garamond" w:cs="Arial"/>
          <w:sz w:val="24"/>
          <w:szCs w:val="24"/>
          <w:lang w:eastAsia="ko-KR"/>
        </w:rPr>
      </w:pPr>
    </w:p>
    <w:p w14:paraId="014E49AF" w14:textId="77777777" w:rsidR="006F2E6B" w:rsidRPr="00A90756" w:rsidRDefault="006F2E6B" w:rsidP="006F2E6B">
      <w:pPr>
        <w:spacing w:after="0" w:line="240" w:lineRule="auto"/>
        <w:ind w:firstLine="284"/>
        <w:rPr>
          <w:rFonts w:ascii="Garamond" w:hAnsi="Garamond"/>
          <w:sz w:val="24"/>
          <w:szCs w:val="24"/>
        </w:rPr>
      </w:pPr>
      <w:r w:rsidRPr="00A90756">
        <w:rPr>
          <w:rFonts w:ascii="Garamond" w:hAnsi="Garamond"/>
          <w:sz w:val="24"/>
          <w:szCs w:val="24"/>
        </w:rPr>
        <w:t>&lt;Tabela nr.: XX&gt;</w:t>
      </w:r>
    </w:p>
    <w:p w14:paraId="014E49B0" w14:textId="77777777" w:rsidR="006F2E6B" w:rsidRPr="00A90756" w:rsidRDefault="006F2E6B" w:rsidP="006F2E6B">
      <w:pPr>
        <w:autoSpaceDE w:val="0"/>
        <w:autoSpaceDN w:val="0"/>
        <w:adjustRightInd w:val="0"/>
        <w:spacing w:after="0" w:line="240" w:lineRule="auto"/>
        <w:jc w:val="both"/>
        <w:rPr>
          <w:rFonts w:ascii="Garamond" w:hAnsi="Garamond" w:cs="Arial"/>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744"/>
        <w:gridCol w:w="1030"/>
        <w:gridCol w:w="1353"/>
        <w:gridCol w:w="1160"/>
        <w:gridCol w:w="1363"/>
        <w:gridCol w:w="1255"/>
      </w:tblGrid>
      <w:tr w:rsidR="006F2E6B" w:rsidRPr="00A90756" w14:paraId="014E49B2" w14:textId="77777777" w:rsidTr="006F2E6B">
        <w:trPr>
          <w:trHeight w:val="20"/>
        </w:trPr>
        <w:tc>
          <w:tcPr>
            <w:tcW w:w="5000" w:type="pct"/>
            <w:gridSpan w:val="7"/>
          </w:tcPr>
          <w:p w14:paraId="014E49B1" w14:textId="77777777"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Prioriteti tematik: &lt;…&gt;</w:t>
            </w:r>
          </w:p>
        </w:tc>
      </w:tr>
      <w:tr w:rsidR="006F2E6B" w:rsidRPr="00A90756" w14:paraId="014E49BA" w14:textId="77777777" w:rsidTr="005C3F3B">
        <w:trPr>
          <w:trHeight w:val="20"/>
        </w:trPr>
        <w:tc>
          <w:tcPr>
            <w:tcW w:w="617" w:type="pct"/>
            <w:shd w:val="clear" w:color="auto" w:fill="auto"/>
            <w:vAlign w:val="center"/>
          </w:tcPr>
          <w:p w14:paraId="014E49B3" w14:textId="77777777"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Numri i kontratës</w:t>
            </w:r>
          </w:p>
        </w:tc>
        <w:tc>
          <w:tcPr>
            <w:tcW w:w="967" w:type="pct"/>
            <w:shd w:val="clear" w:color="auto" w:fill="auto"/>
            <w:vAlign w:val="center"/>
          </w:tcPr>
          <w:p w14:paraId="014E49B4" w14:textId="77777777"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Emrat, lloji dhe vendet e origjinës së koordinatorit dhe i bashkëpërfituesve</w:t>
            </w:r>
          </w:p>
        </w:tc>
        <w:tc>
          <w:tcPr>
            <w:tcW w:w="571" w:type="pct"/>
            <w:shd w:val="clear" w:color="auto" w:fill="auto"/>
            <w:vAlign w:val="center"/>
          </w:tcPr>
          <w:p w14:paraId="014E49B5" w14:textId="1CF3589D"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 xml:space="preserve">Data e fillimit dhe </w:t>
            </w:r>
            <w:r w:rsidR="005C3F3B" w:rsidRPr="00A90756">
              <w:rPr>
                <w:rFonts w:ascii="Garamond" w:hAnsi="Garamond"/>
                <w:b/>
                <w:sz w:val="16"/>
                <w:szCs w:val="16"/>
                <w:lang w:eastAsia="en-GB"/>
              </w:rPr>
              <w:t xml:space="preserve">e </w:t>
            </w:r>
            <w:r w:rsidRPr="00A90756">
              <w:rPr>
                <w:rFonts w:ascii="Garamond" w:hAnsi="Garamond"/>
                <w:b/>
                <w:sz w:val="16"/>
                <w:szCs w:val="16"/>
                <w:lang w:eastAsia="en-GB"/>
              </w:rPr>
              <w:t>mbarimit</w:t>
            </w:r>
          </w:p>
        </w:tc>
        <w:tc>
          <w:tcPr>
            <w:tcW w:w="750" w:type="pct"/>
            <w:shd w:val="clear" w:color="auto" w:fill="auto"/>
            <w:vAlign w:val="center"/>
          </w:tcPr>
          <w:p w14:paraId="014E49B6" w14:textId="77777777"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Kostot totale të përllogaritura e të miratuara dhe vlera e grantit të BE-së</w:t>
            </w:r>
          </w:p>
        </w:tc>
        <w:tc>
          <w:tcPr>
            <w:tcW w:w="643" w:type="pct"/>
            <w:shd w:val="clear" w:color="auto" w:fill="auto"/>
            <w:vAlign w:val="center"/>
          </w:tcPr>
          <w:p w14:paraId="014E49B7" w14:textId="7E211DFB"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Vlera kumulative e pagesave</w:t>
            </w:r>
          </w:p>
        </w:tc>
        <w:tc>
          <w:tcPr>
            <w:tcW w:w="756" w:type="pct"/>
            <w:shd w:val="clear" w:color="auto" w:fill="auto"/>
            <w:vAlign w:val="center"/>
          </w:tcPr>
          <w:p w14:paraId="014E49B8" w14:textId="77777777"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Përqindja e pagesave të ekzekutuara</w:t>
            </w:r>
            <w:r w:rsidRPr="00A90756">
              <w:rPr>
                <w:rStyle w:val="FootnoteReference"/>
                <w:rFonts w:ascii="Garamond" w:hAnsi="Garamond"/>
                <w:b/>
                <w:sz w:val="16"/>
                <w:szCs w:val="16"/>
                <w:lang w:eastAsia="ko-KR"/>
              </w:rPr>
              <w:footnoteReference w:id="42"/>
            </w:r>
          </w:p>
        </w:tc>
        <w:tc>
          <w:tcPr>
            <w:tcW w:w="696" w:type="pct"/>
            <w:shd w:val="clear" w:color="auto" w:fill="auto"/>
            <w:vAlign w:val="center"/>
          </w:tcPr>
          <w:p w14:paraId="014E49B9" w14:textId="77777777" w:rsidR="006F2E6B" w:rsidRPr="00A90756" w:rsidRDefault="006F2E6B" w:rsidP="005C3F3B">
            <w:pPr>
              <w:spacing w:after="0" w:line="240" w:lineRule="auto"/>
              <w:jc w:val="center"/>
              <w:rPr>
                <w:rFonts w:ascii="Garamond" w:hAnsi="Garamond"/>
                <w:b/>
                <w:sz w:val="16"/>
                <w:szCs w:val="16"/>
                <w:lang w:eastAsia="en-GB"/>
              </w:rPr>
            </w:pPr>
            <w:r w:rsidRPr="00A90756">
              <w:rPr>
                <w:rFonts w:ascii="Garamond" w:hAnsi="Garamond"/>
                <w:b/>
                <w:sz w:val="16"/>
                <w:szCs w:val="16"/>
                <w:lang w:eastAsia="en-GB"/>
              </w:rPr>
              <w:t>Komente&gt;</w:t>
            </w:r>
          </w:p>
        </w:tc>
      </w:tr>
      <w:tr w:rsidR="006F2E6B" w:rsidRPr="00A90756" w14:paraId="014E49C2" w14:textId="77777777" w:rsidTr="006F2E6B">
        <w:trPr>
          <w:trHeight w:val="20"/>
        </w:trPr>
        <w:tc>
          <w:tcPr>
            <w:tcW w:w="617" w:type="pct"/>
            <w:shd w:val="clear" w:color="auto" w:fill="auto"/>
          </w:tcPr>
          <w:p w14:paraId="014E49BB" w14:textId="77777777" w:rsidR="006F2E6B" w:rsidRPr="00A90756" w:rsidRDefault="006F2E6B" w:rsidP="006F2E6B">
            <w:pPr>
              <w:spacing w:after="0" w:line="240" w:lineRule="auto"/>
              <w:jc w:val="both"/>
              <w:rPr>
                <w:rFonts w:ascii="Garamond" w:hAnsi="Garamond"/>
                <w:sz w:val="16"/>
                <w:szCs w:val="16"/>
                <w:lang w:eastAsia="ko-KR"/>
              </w:rPr>
            </w:pPr>
          </w:p>
        </w:tc>
        <w:tc>
          <w:tcPr>
            <w:tcW w:w="967" w:type="pct"/>
            <w:shd w:val="clear" w:color="auto" w:fill="auto"/>
          </w:tcPr>
          <w:p w14:paraId="014E49BC" w14:textId="77777777" w:rsidR="006F2E6B" w:rsidRPr="00A90756" w:rsidRDefault="006F2E6B" w:rsidP="006F2E6B">
            <w:pPr>
              <w:spacing w:after="0" w:line="240" w:lineRule="auto"/>
              <w:jc w:val="both"/>
              <w:rPr>
                <w:rFonts w:ascii="Garamond" w:hAnsi="Garamond"/>
                <w:sz w:val="16"/>
                <w:szCs w:val="16"/>
                <w:lang w:eastAsia="ko-KR"/>
              </w:rPr>
            </w:pPr>
          </w:p>
        </w:tc>
        <w:tc>
          <w:tcPr>
            <w:tcW w:w="571" w:type="pct"/>
            <w:shd w:val="clear" w:color="auto" w:fill="auto"/>
          </w:tcPr>
          <w:p w14:paraId="014E49BD" w14:textId="77777777" w:rsidR="006F2E6B" w:rsidRPr="00A90756" w:rsidRDefault="006F2E6B" w:rsidP="006F2E6B">
            <w:pPr>
              <w:spacing w:after="0" w:line="240" w:lineRule="auto"/>
              <w:jc w:val="both"/>
              <w:rPr>
                <w:rFonts w:ascii="Garamond" w:hAnsi="Garamond"/>
                <w:sz w:val="16"/>
                <w:szCs w:val="16"/>
                <w:lang w:eastAsia="ko-KR"/>
              </w:rPr>
            </w:pPr>
          </w:p>
        </w:tc>
        <w:tc>
          <w:tcPr>
            <w:tcW w:w="750" w:type="pct"/>
            <w:shd w:val="clear" w:color="auto" w:fill="auto"/>
          </w:tcPr>
          <w:p w14:paraId="014E49BE" w14:textId="77777777" w:rsidR="006F2E6B" w:rsidRPr="00A90756" w:rsidRDefault="006F2E6B" w:rsidP="006F2E6B">
            <w:pPr>
              <w:spacing w:after="0" w:line="240" w:lineRule="auto"/>
              <w:jc w:val="both"/>
              <w:rPr>
                <w:rFonts w:ascii="Garamond" w:hAnsi="Garamond"/>
                <w:sz w:val="16"/>
                <w:szCs w:val="16"/>
                <w:lang w:eastAsia="ko-KR"/>
              </w:rPr>
            </w:pPr>
          </w:p>
        </w:tc>
        <w:tc>
          <w:tcPr>
            <w:tcW w:w="643" w:type="pct"/>
            <w:shd w:val="clear" w:color="auto" w:fill="auto"/>
          </w:tcPr>
          <w:p w14:paraId="014E49BF" w14:textId="77777777" w:rsidR="006F2E6B" w:rsidRPr="00A90756" w:rsidRDefault="006F2E6B" w:rsidP="006F2E6B">
            <w:pPr>
              <w:spacing w:after="0" w:line="240" w:lineRule="auto"/>
              <w:jc w:val="both"/>
              <w:rPr>
                <w:rFonts w:ascii="Garamond" w:hAnsi="Garamond"/>
                <w:sz w:val="16"/>
                <w:szCs w:val="16"/>
                <w:lang w:eastAsia="ko-KR"/>
              </w:rPr>
            </w:pPr>
          </w:p>
        </w:tc>
        <w:tc>
          <w:tcPr>
            <w:tcW w:w="756" w:type="pct"/>
            <w:shd w:val="clear" w:color="auto" w:fill="auto"/>
          </w:tcPr>
          <w:p w14:paraId="014E49C0" w14:textId="77777777" w:rsidR="006F2E6B" w:rsidRPr="00A90756" w:rsidRDefault="006F2E6B" w:rsidP="006F2E6B">
            <w:pPr>
              <w:spacing w:after="0" w:line="240" w:lineRule="auto"/>
              <w:jc w:val="both"/>
              <w:rPr>
                <w:rFonts w:ascii="Garamond" w:hAnsi="Garamond"/>
                <w:sz w:val="16"/>
                <w:szCs w:val="16"/>
                <w:lang w:eastAsia="ko-KR"/>
              </w:rPr>
            </w:pPr>
          </w:p>
        </w:tc>
        <w:tc>
          <w:tcPr>
            <w:tcW w:w="696" w:type="pct"/>
            <w:shd w:val="clear" w:color="auto" w:fill="auto"/>
          </w:tcPr>
          <w:p w14:paraId="014E49C1" w14:textId="77777777" w:rsidR="006F2E6B" w:rsidRPr="00A90756" w:rsidRDefault="006F2E6B" w:rsidP="006F2E6B">
            <w:pPr>
              <w:spacing w:after="0" w:line="240" w:lineRule="auto"/>
              <w:jc w:val="both"/>
              <w:rPr>
                <w:rFonts w:ascii="Garamond" w:hAnsi="Garamond"/>
                <w:sz w:val="16"/>
                <w:szCs w:val="16"/>
                <w:lang w:eastAsia="ko-KR"/>
              </w:rPr>
            </w:pPr>
          </w:p>
        </w:tc>
      </w:tr>
    </w:tbl>
    <w:p w14:paraId="014E49C3" w14:textId="77777777" w:rsidR="006F2E6B" w:rsidRPr="00A90756" w:rsidRDefault="006F2E6B" w:rsidP="006F2E6B">
      <w:pPr>
        <w:autoSpaceDE w:val="0"/>
        <w:autoSpaceDN w:val="0"/>
        <w:adjustRightInd w:val="0"/>
        <w:spacing w:after="0" w:line="240" w:lineRule="auto"/>
        <w:jc w:val="both"/>
        <w:rPr>
          <w:rFonts w:ascii="Garamond" w:hAnsi="Garamond" w:cs="Arial"/>
          <w:lang w:eastAsia="ko-KR"/>
        </w:rPr>
      </w:pPr>
    </w:p>
    <w:p w14:paraId="014E49C4" w14:textId="308BF926" w:rsidR="006F2E6B" w:rsidRPr="00C908D9" w:rsidRDefault="006F2E6B" w:rsidP="006F2E6B">
      <w:pPr>
        <w:spacing w:after="0" w:line="240" w:lineRule="auto"/>
        <w:ind w:firstLine="284"/>
        <w:jc w:val="both"/>
        <w:rPr>
          <w:rFonts w:ascii="Garamond" w:hAnsi="Garamond"/>
          <w:b/>
        </w:rPr>
      </w:pPr>
      <w:bookmarkStart w:id="110" w:name="_Toc232484860"/>
      <w:bookmarkStart w:id="111" w:name="_Toc138426962"/>
      <w:r w:rsidRPr="00C908D9">
        <w:rPr>
          <w:rFonts w:ascii="Garamond" w:hAnsi="Garamond"/>
          <w:b/>
        </w:rPr>
        <w:t>2.4 Informacion mbi hapat e ndërmarra nga strukturat e bashkëpunimit ndërkufitar dhe/ose komiteti i përbashkët i monitorimit për të siguruar cilësinë dhe efikasitetin e zbatimit</w:t>
      </w:r>
      <w:bookmarkStart w:id="112" w:name="_Toc232484861"/>
      <w:bookmarkStart w:id="113" w:name="_Toc138426963"/>
      <w:bookmarkEnd w:id="110"/>
      <w:bookmarkEnd w:id="111"/>
    </w:p>
    <w:p w14:paraId="014E49C5" w14:textId="77777777" w:rsidR="006F2E6B" w:rsidRPr="00A90756" w:rsidRDefault="006F2E6B" w:rsidP="006F2E6B">
      <w:pPr>
        <w:spacing w:after="0" w:line="240" w:lineRule="auto"/>
        <w:ind w:firstLine="284"/>
        <w:jc w:val="both"/>
        <w:rPr>
          <w:rFonts w:ascii="Garamond" w:hAnsi="Garamond"/>
          <w:b/>
          <w:sz w:val="24"/>
          <w:szCs w:val="24"/>
        </w:rPr>
      </w:pPr>
      <w:r w:rsidRPr="00A90756">
        <w:rPr>
          <w:rFonts w:ascii="Garamond" w:hAnsi="Garamond"/>
          <w:b/>
          <w:sz w:val="24"/>
          <w:szCs w:val="24"/>
        </w:rPr>
        <w:t>2.4.1 Monitorimi dhe vlerësimi</w:t>
      </w:r>
      <w:bookmarkEnd w:id="112"/>
      <w:bookmarkEnd w:id="113"/>
      <w:r w:rsidRPr="00A90756">
        <w:rPr>
          <w:rFonts w:ascii="Garamond" w:hAnsi="Garamond"/>
          <w:b/>
          <w:sz w:val="24"/>
          <w:szCs w:val="24"/>
        </w:rPr>
        <w:t xml:space="preserve"> </w:t>
      </w:r>
    </w:p>
    <w:p w14:paraId="014E49C6" w14:textId="4ABA2A62" w:rsidR="006F2E6B" w:rsidRPr="00A90756" w:rsidRDefault="006F2E6B" w:rsidP="006F2E6B">
      <w:pPr>
        <w:autoSpaceDE w:val="0"/>
        <w:autoSpaceDN w:val="0"/>
        <w:adjustRightInd w:val="0"/>
        <w:spacing w:after="0" w:line="240" w:lineRule="auto"/>
        <w:ind w:firstLine="284"/>
        <w:jc w:val="both"/>
        <w:rPr>
          <w:rFonts w:ascii="Garamond" w:hAnsi="Garamond"/>
          <w:bCs/>
          <w:sz w:val="24"/>
          <w:szCs w:val="24"/>
        </w:rPr>
      </w:pPr>
      <w:r w:rsidRPr="00A90756">
        <w:rPr>
          <w:rFonts w:ascii="Garamond" w:hAnsi="Garamond"/>
          <w:bCs/>
          <w:sz w:val="24"/>
          <w:szCs w:val="24"/>
        </w:rPr>
        <w:t>&lt;Masat e monitorimit të marra nga strukturat e bashkëpunimit ndërkufitar ose komiteti i përbashkët i monitorimit, duke përfshirë masat për mbledhjen e të dhënave, rishikimin e raporteve të kontratave të grantit, gjetjet dhe ndjekjen e rekomandimeve nga vizitat e monitorimit.</w:t>
      </w:r>
    </w:p>
    <w:p w14:paraId="014E49C7" w14:textId="00929DD8" w:rsidR="006F2E6B" w:rsidRPr="00A90756" w:rsidRDefault="006F2E6B" w:rsidP="006F2E6B">
      <w:pPr>
        <w:autoSpaceDE w:val="0"/>
        <w:autoSpaceDN w:val="0"/>
        <w:adjustRightInd w:val="0"/>
        <w:spacing w:after="0" w:line="240" w:lineRule="auto"/>
        <w:ind w:firstLine="284"/>
        <w:jc w:val="both"/>
        <w:rPr>
          <w:rFonts w:ascii="Garamond" w:hAnsi="Garamond" w:cs="Arial"/>
          <w:sz w:val="24"/>
          <w:szCs w:val="24"/>
        </w:rPr>
      </w:pPr>
      <w:r w:rsidRPr="00A90756">
        <w:rPr>
          <w:rFonts w:ascii="Garamond" w:hAnsi="Garamond"/>
          <w:sz w:val="24"/>
          <w:szCs w:val="24"/>
        </w:rPr>
        <w:lastRenderedPageBreak/>
        <w:t xml:space="preserve">Ndërsa për sa i përket programeve të zbatuara nën </w:t>
      </w:r>
      <w:r w:rsidRPr="00A90756">
        <w:rPr>
          <w:rFonts w:ascii="Garamond" w:hAnsi="Garamond"/>
          <w:i/>
          <w:iCs/>
          <w:sz w:val="24"/>
          <w:szCs w:val="24"/>
          <w:u w:val="single"/>
        </w:rPr>
        <w:t>menaxhim të tërthortë</w:t>
      </w:r>
      <w:r w:rsidRPr="00A90756">
        <w:rPr>
          <w:rFonts w:ascii="Garamond" w:hAnsi="Garamond"/>
          <w:sz w:val="24"/>
          <w:szCs w:val="24"/>
        </w:rPr>
        <w:t>, përfshihen përgatitja, ekzekutimi, gjetjet, rekomandimet dhe ndjekja e masave të vlerësimit të ndërmarra nga autoriteti menaxhues (shihni nenin 56 të MFKP-së).</w:t>
      </w:r>
    </w:p>
    <w:p w14:paraId="014E49C8" w14:textId="13BE14F4" w:rsidR="006F2E6B" w:rsidRPr="00A90756" w:rsidRDefault="006F2E6B" w:rsidP="006F2E6B">
      <w:pPr>
        <w:autoSpaceDE w:val="0"/>
        <w:autoSpaceDN w:val="0"/>
        <w:adjustRightInd w:val="0"/>
        <w:spacing w:after="0" w:line="240" w:lineRule="auto"/>
        <w:ind w:firstLine="284"/>
        <w:jc w:val="both"/>
        <w:rPr>
          <w:rFonts w:ascii="Garamond" w:hAnsi="Garamond"/>
        </w:rPr>
      </w:pPr>
      <w:r w:rsidRPr="00A90756">
        <w:rPr>
          <w:rFonts w:ascii="Garamond" w:hAnsi="Garamond"/>
          <w:sz w:val="24"/>
          <w:szCs w:val="24"/>
        </w:rPr>
        <w:t xml:space="preserve">Në programet e zbatuara nën </w:t>
      </w:r>
      <w:r w:rsidRPr="00A90756">
        <w:rPr>
          <w:rFonts w:ascii="Garamond" w:hAnsi="Garamond"/>
          <w:i/>
          <w:iCs/>
          <w:sz w:val="24"/>
          <w:szCs w:val="24"/>
          <w:u w:val="single"/>
        </w:rPr>
        <w:t>menaxhim të drejtpërdrejtë</w:t>
      </w:r>
      <w:r w:rsidRPr="00A90756">
        <w:rPr>
          <w:rFonts w:ascii="Garamond" w:hAnsi="Garamond"/>
          <w:sz w:val="24"/>
          <w:szCs w:val="24"/>
        </w:rPr>
        <w:t>, përfshihen mbështetja, gjetjet, rekomandimet dhe ndjekja e masave të vlerësimit të ndërmarra nga Komisioni.&gt;</w:t>
      </w:r>
      <w:bookmarkStart w:id="114" w:name="_Toc232484862"/>
      <w:bookmarkStart w:id="115" w:name="_Toc138426964"/>
    </w:p>
    <w:p w14:paraId="014E49C9" w14:textId="0E895322" w:rsidR="006F2E6B" w:rsidRPr="00A90756" w:rsidRDefault="006F2E6B" w:rsidP="006F2E6B">
      <w:pPr>
        <w:autoSpaceDE w:val="0"/>
        <w:autoSpaceDN w:val="0"/>
        <w:adjustRightInd w:val="0"/>
        <w:spacing w:after="0" w:line="240" w:lineRule="auto"/>
        <w:ind w:firstLine="284"/>
        <w:jc w:val="both"/>
        <w:rPr>
          <w:rFonts w:ascii="Garamond" w:hAnsi="Garamond"/>
          <w:b/>
          <w:sz w:val="24"/>
          <w:szCs w:val="24"/>
        </w:rPr>
      </w:pPr>
      <w:r w:rsidRPr="00A90756">
        <w:rPr>
          <w:rFonts w:ascii="Garamond" w:hAnsi="Garamond"/>
          <w:b/>
          <w:sz w:val="24"/>
          <w:szCs w:val="24"/>
        </w:rPr>
        <w:t>2.4.2</w:t>
      </w:r>
      <w:bookmarkEnd w:id="114"/>
      <w:r w:rsidRPr="00A90756">
        <w:rPr>
          <w:rFonts w:ascii="Garamond" w:hAnsi="Garamond"/>
          <w:b/>
        </w:rPr>
        <w:t xml:space="preserve"> </w:t>
      </w:r>
      <w:r w:rsidRPr="00A90756">
        <w:rPr>
          <w:rFonts w:ascii="Garamond" w:hAnsi="Garamond"/>
          <w:b/>
          <w:sz w:val="24"/>
          <w:szCs w:val="24"/>
        </w:rPr>
        <w:t>Problemet e hasura dhe veprimet korrigjuese</w:t>
      </w:r>
      <w:bookmarkEnd w:id="115"/>
    </w:p>
    <w:p w14:paraId="014E49CA" w14:textId="77777777" w:rsidR="006F2E6B" w:rsidRPr="00A90756" w:rsidRDefault="006F2E6B" w:rsidP="006F2E6B">
      <w:pPr>
        <w:autoSpaceDE w:val="0"/>
        <w:autoSpaceDN w:val="0"/>
        <w:adjustRightInd w:val="0"/>
        <w:spacing w:after="0" w:line="240" w:lineRule="auto"/>
        <w:ind w:firstLine="284"/>
        <w:jc w:val="both"/>
        <w:rPr>
          <w:rFonts w:ascii="Garamond" w:hAnsi="Garamond" w:cs="Arial"/>
          <w:sz w:val="24"/>
          <w:szCs w:val="24"/>
        </w:rPr>
      </w:pPr>
      <w:r w:rsidRPr="00A90756">
        <w:rPr>
          <w:rFonts w:ascii="Garamond" w:hAnsi="Garamond"/>
          <w:sz w:val="24"/>
          <w:szCs w:val="24"/>
        </w:rPr>
        <w:t>&lt;Përmbledhje e problemeve thelbësore të hasura gjatë zbatimit të programit dhe me garantimin e qëndrueshmërisë, si edhe veprimet korrigjuese të ndërmarra dhe rekomandimet për veprime të mëtejshme.</w:t>
      </w:r>
    </w:p>
    <w:p w14:paraId="014E49CB" w14:textId="4546FE5E" w:rsidR="006F2E6B" w:rsidRPr="00A90756" w:rsidRDefault="006F2E6B" w:rsidP="006F2E6B">
      <w:pPr>
        <w:autoSpaceDE w:val="0"/>
        <w:autoSpaceDN w:val="0"/>
        <w:adjustRightInd w:val="0"/>
        <w:spacing w:after="0" w:line="240" w:lineRule="auto"/>
        <w:ind w:firstLine="284"/>
        <w:jc w:val="both"/>
        <w:rPr>
          <w:rFonts w:ascii="Garamond" w:hAnsi="Garamond" w:cs="Arial"/>
          <w:sz w:val="24"/>
          <w:szCs w:val="24"/>
        </w:rPr>
      </w:pPr>
      <w:r w:rsidRPr="00A90756">
        <w:rPr>
          <w:rFonts w:ascii="Garamond" w:hAnsi="Garamond"/>
          <w:sz w:val="24"/>
          <w:szCs w:val="24"/>
        </w:rPr>
        <w:t>Rekomandimet për veprime korrigjuese (të mëtejshme).&gt;</w:t>
      </w:r>
    </w:p>
    <w:p w14:paraId="014E49CC" w14:textId="77777777" w:rsidR="006F2E6B" w:rsidRPr="00A90756" w:rsidRDefault="006F2E6B" w:rsidP="006F2E6B">
      <w:pPr>
        <w:autoSpaceDE w:val="0"/>
        <w:autoSpaceDN w:val="0"/>
        <w:adjustRightInd w:val="0"/>
        <w:spacing w:after="0" w:line="240" w:lineRule="auto"/>
        <w:ind w:firstLine="284"/>
        <w:jc w:val="both"/>
        <w:rPr>
          <w:rFonts w:ascii="Garamond" w:hAnsi="Garamond"/>
        </w:rPr>
      </w:pPr>
      <w:r w:rsidRPr="00A90756">
        <w:rPr>
          <w:rFonts w:ascii="Garamond" w:hAnsi="Garamond"/>
          <w:sz w:val="24"/>
          <w:szCs w:val="24"/>
        </w:rPr>
        <w:t>Kur programi zbatohet nën menaxhim të tërthortë, duhet të nxirren në pah edhe problemet e mundshme në menaxhimin e programit, siç mund të jenë problemet thelbësore të hasura gjatë zbatimit të detyrave që janë deleguar, p.sh. vonesa në kontraktim, si dhe masat e marra/të planifikuara në vijimësi.</w:t>
      </w:r>
      <w:bookmarkStart w:id="116" w:name="_Toc138426965"/>
      <w:bookmarkStart w:id="117" w:name="_Toc232484864"/>
    </w:p>
    <w:p w14:paraId="014E49CD" w14:textId="4F992CC5" w:rsidR="006F2E6B" w:rsidRPr="00A90756" w:rsidRDefault="006F2E6B" w:rsidP="006F2E6B">
      <w:pPr>
        <w:autoSpaceDE w:val="0"/>
        <w:autoSpaceDN w:val="0"/>
        <w:adjustRightInd w:val="0"/>
        <w:spacing w:after="0" w:line="240" w:lineRule="auto"/>
        <w:ind w:firstLine="284"/>
        <w:jc w:val="both"/>
        <w:rPr>
          <w:rFonts w:ascii="Garamond" w:hAnsi="Garamond"/>
          <w:b/>
          <w:sz w:val="24"/>
          <w:szCs w:val="24"/>
        </w:rPr>
      </w:pPr>
      <w:r w:rsidRPr="00A90756">
        <w:rPr>
          <w:rFonts w:ascii="Garamond" w:hAnsi="Garamond"/>
          <w:b/>
          <w:sz w:val="24"/>
          <w:szCs w:val="24"/>
        </w:rPr>
        <w:t>2.5 Vizibiliteti dhe publiciteti</w:t>
      </w:r>
      <w:bookmarkEnd w:id="116"/>
      <w:bookmarkEnd w:id="117"/>
    </w:p>
    <w:p w14:paraId="014E49CE" w14:textId="42576C7D" w:rsidR="006F2E6B" w:rsidRPr="00A90756" w:rsidRDefault="006F2E6B" w:rsidP="006F2E6B">
      <w:pPr>
        <w:spacing w:after="0" w:line="240" w:lineRule="auto"/>
        <w:ind w:firstLine="284"/>
        <w:jc w:val="both"/>
        <w:rPr>
          <w:rFonts w:ascii="Garamond" w:hAnsi="Garamond"/>
        </w:rPr>
      </w:pPr>
      <w:r w:rsidRPr="00A90756">
        <w:rPr>
          <w:rFonts w:ascii="Garamond" w:hAnsi="Garamond"/>
          <w:sz w:val="24"/>
          <w:szCs w:val="24"/>
        </w:rPr>
        <w:t>&lt;Masat e ndërmarra për të siguruar vizibilitetin dhe publicitetin e programit (d.m.th. plani i komunikimit dhe vizibilitetit, shihni nenin 76 të MFKP-së), duke përfshirë artikujt promocionalë, monitorimin e pranisë në shtyp, reklamimin në median e gjerë, shembujt e praktikave më të mira, nxjerrjen në pah të ngjarjeve të rëndësishme si</w:t>
      </w:r>
      <w:r w:rsidR="00181059" w:rsidRPr="00A90756">
        <w:rPr>
          <w:rFonts w:ascii="Garamond" w:hAnsi="Garamond"/>
          <w:sz w:val="24"/>
          <w:szCs w:val="24"/>
        </w:rPr>
        <w:t>:</w:t>
      </w:r>
      <w:r w:rsidRPr="00A90756">
        <w:rPr>
          <w:rFonts w:ascii="Garamond" w:hAnsi="Garamond"/>
          <w:sz w:val="24"/>
          <w:szCs w:val="24"/>
        </w:rPr>
        <w:t xml:space="preserve"> seminaret, konferencat, tryezat e rrumbullakëta, forumet, Dita Evropiane e Bashkëpunimit, Java Evropiane e Rajoneve dhe Qyteteve dhe panairet e projektit; mirëmbajtja e bazës së të dhënave të aplikantëve të mundshëm, e faqes së internetit të programit, e faqeve të mediave sociale etj.&gt;</w:t>
      </w:r>
      <w:bookmarkStart w:id="118" w:name="_Toc138426966"/>
    </w:p>
    <w:p w14:paraId="014E49CF" w14:textId="77777777" w:rsidR="006F2E6B" w:rsidRPr="00A90756" w:rsidRDefault="006F2E6B" w:rsidP="006F2E6B">
      <w:pPr>
        <w:spacing w:after="0" w:line="240" w:lineRule="auto"/>
        <w:ind w:firstLine="284"/>
        <w:jc w:val="both"/>
        <w:rPr>
          <w:rFonts w:ascii="Garamond" w:hAnsi="Garamond"/>
          <w:b/>
          <w:sz w:val="24"/>
          <w:szCs w:val="24"/>
        </w:rPr>
      </w:pPr>
      <w:r w:rsidRPr="00A90756">
        <w:rPr>
          <w:rFonts w:ascii="Garamond" w:hAnsi="Garamond"/>
          <w:b/>
          <w:sz w:val="24"/>
          <w:szCs w:val="24"/>
        </w:rPr>
        <w:t>2.6 Përdorimi i asistencës teknike</w:t>
      </w:r>
      <w:bookmarkEnd w:id="118"/>
    </w:p>
    <w:p w14:paraId="014E49D0" w14:textId="77777777" w:rsidR="006F2E6B" w:rsidRPr="00A90756" w:rsidRDefault="006F2E6B" w:rsidP="006F2E6B">
      <w:pPr>
        <w:spacing w:after="0" w:line="240" w:lineRule="auto"/>
        <w:ind w:firstLine="284"/>
        <w:jc w:val="both"/>
        <w:rPr>
          <w:rFonts w:ascii="Garamond" w:hAnsi="Garamond"/>
        </w:rPr>
      </w:pPr>
      <w:r w:rsidRPr="00A90756">
        <w:rPr>
          <w:rFonts w:ascii="Garamond" w:hAnsi="Garamond"/>
          <w:sz w:val="24"/>
          <w:szCs w:val="24"/>
        </w:rPr>
        <w:t>&lt;Shpjegim i detajuar i përdorimit të asistencës teknike dhe i çdo problemi të qenësishëm të hasur me zbatimin e buxhetit të AT-së. Së fundmi, duhet të prezantohet analiza e treguesve të produkteve, rezultateve dhe ndikimeve të Kontratës së Grantit për Asistencë Teknike (KGAT), në një mënyrë të ngjashme si në seksionin e mësipërm 2.2.1.&gt;</w:t>
      </w:r>
      <w:bookmarkStart w:id="119" w:name="_Toc138426967"/>
    </w:p>
    <w:p w14:paraId="014E49D1" w14:textId="2EE9D8F8" w:rsidR="006F2E6B" w:rsidRPr="00A90756" w:rsidRDefault="006F2E6B" w:rsidP="006F2E6B">
      <w:pPr>
        <w:spacing w:after="0" w:line="240" w:lineRule="auto"/>
        <w:ind w:firstLine="284"/>
        <w:jc w:val="both"/>
        <w:rPr>
          <w:rFonts w:ascii="Garamond" w:hAnsi="Garamond"/>
          <w:b/>
          <w:sz w:val="24"/>
          <w:szCs w:val="24"/>
        </w:rPr>
      </w:pPr>
      <w:r w:rsidRPr="00A90756">
        <w:rPr>
          <w:rFonts w:ascii="Garamond" w:hAnsi="Garamond"/>
          <w:b/>
          <w:sz w:val="24"/>
          <w:szCs w:val="24"/>
        </w:rPr>
        <w:t>2.7 Ndryshimet në kontekstin e zbatimit të programit ndërkufitar</w:t>
      </w:r>
      <w:bookmarkEnd w:id="119"/>
    </w:p>
    <w:p w14:paraId="014E49D2" w14:textId="5C35689A" w:rsidR="006F2E6B" w:rsidRPr="00A90756" w:rsidRDefault="006F2E6B" w:rsidP="006F2E6B">
      <w:pPr>
        <w:spacing w:after="0" w:line="240" w:lineRule="auto"/>
        <w:ind w:firstLine="284"/>
        <w:jc w:val="both"/>
        <w:rPr>
          <w:rFonts w:ascii="Garamond" w:hAnsi="Garamond"/>
        </w:rPr>
      </w:pPr>
      <w:r w:rsidRPr="00A90756">
        <w:rPr>
          <w:rFonts w:ascii="Garamond" w:hAnsi="Garamond"/>
          <w:sz w:val="24"/>
          <w:szCs w:val="24"/>
        </w:rPr>
        <w:t>&lt;Sipas rastit, përshkrimi i çdo elementi që, edhe pse nuk rrjedh drejtpërdrejt nga asistenca e programit, ka një ndikim të drejtpërdrejtë në zbatimin e programit (p.sh. ndryshimet ligjore, ndryshimet përkatëse socio-ekonomike etj.)&gt;</w:t>
      </w:r>
      <w:bookmarkStart w:id="120" w:name="_Toc138426968"/>
    </w:p>
    <w:p w14:paraId="014E49D3" w14:textId="77777777" w:rsidR="006F2E6B" w:rsidRPr="00A90756" w:rsidRDefault="006F2E6B" w:rsidP="006F2E6B">
      <w:pPr>
        <w:spacing w:after="0" w:line="240" w:lineRule="auto"/>
        <w:ind w:firstLine="284"/>
        <w:jc w:val="both"/>
        <w:rPr>
          <w:rFonts w:ascii="Garamond" w:hAnsi="Garamond"/>
          <w:b/>
          <w:sz w:val="24"/>
          <w:szCs w:val="24"/>
        </w:rPr>
      </w:pPr>
      <w:r w:rsidRPr="00A90756">
        <w:rPr>
          <w:rFonts w:ascii="Garamond" w:hAnsi="Garamond"/>
          <w:b/>
          <w:sz w:val="24"/>
          <w:szCs w:val="24"/>
        </w:rPr>
        <w:t>2.8 Ndërlidhjet plotësuese me instrumente ose politika të tjera sektoriale</w:t>
      </w:r>
      <w:bookmarkEnd w:id="120"/>
    </w:p>
    <w:p w14:paraId="014E49D4" w14:textId="5F9F6C6B" w:rsidR="006F2E6B" w:rsidRPr="00A90756" w:rsidRDefault="006F2E6B" w:rsidP="006F2E6B">
      <w:pPr>
        <w:spacing w:after="0" w:line="240" w:lineRule="auto"/>
        <w:ind w:firstLine="284"/>
        <w:jc w:val="both"/>
        <w:rPr>
          <w:rFonts w:ascii="Garamond" w:hAnsi="Garamond"/>
        </w:rPr>
      </w:pPr>
      <w:r w:rsidRPr="00A90756">
        <w:rPr>
          <w:rFonts w:ascii="Garamond" w:hAnsi="Garamond"/>
          <w:sz w:val="24"/>
          <w:szCs w:val="24"/>
        </w:rPr>
        <w:t>&lt;Një përmbledhje e koordinimit dhe koherencës aktuale të programit me programe të tjera të IPA-s, programe të bashkëpunimit ndërkombëtar, programe ose iniciativa kombëtare dhe të shteteve anëtare të BE-së të cilat mund të aksesohen në zonën e mbuluar nga programi. Koordinimi dhe koherenca e programit me politika të tjera të Komunitetit Evropian dhe mbi të gjitha me strategjitë makro-rajonale të BE-së. Ndërlidhja plotësuese me instrumente të tjera financiare, asistencën ndërkombëtare dhe/ose politikat rajonale të BE-së (p.sh.</w:t>
      </w:r>
      <w:r w:rsidR="00C6569B" w:rsidRPr="00A90756">
        <w:rPr>
          <w:rFonts w:ascii="Garamond" w:hAnsi="Garamond"/>
          <w:sz w:val="24"/>
          <w:szCs w:val="24"/>
        </w:rPr>
        <w:t>:</w:t>
      </w:r>
      <w:r w:rsidRPr="00A90756">
        <w:rPr>
          <w:rFonts w:ascii="Garamond" w:hAnsi="Garamond"/>
          <w:sz w:val="24"/>
          <w:szCs w:val="24"/>
        </w:rPr>
        <w:t xml:space="preserve"> Plani Ekonomik dhe i Investimeve për Ballkanin Perëndimor, Axhenda e Gjelbër e Ballkanit Perëndimor dhe Axhenda e Ballkanit Perëndimor për Inovacionin, Kërkimin shkencor, Arsimin, Kulturën, Rininë dhe Sportin).&gt;</w:t>
      </w:r>
      <w:bookmarkStart w:id="121" w:name="_Toc138426969"/>
    </w:p>
    <w:p w14:paraId="014E49D6" w14:textId="04E1EDEA" w:rsidR="006F2E6B" w:rsidRPr="00A90756" w:rsidRDefault="006F2E6B" w:rsidP="00D06E61">
      <w:pPr>
        <w:spacing w:after="0" w:line="240" w:lineRule="auto"/>
        <w:ind w:firstLine="284"/>
        <w:jc w:val="both"/>
        <w:rPr>
          <w:rFonts w:ascii="Garamond" w:hAnsi="Garamond"/>
          <w:b/>
          <w:sz w:val="24"/>
          <w:szCs w:val="24"/>
        </w:rPr>
      </w:pPr>
      <w:r w:rsidRPr="00A90756">
        <w:rPr>
          <w:rFonts w:ascii="Garamond" w:hAnsi="Garamond"/>
          <w:b/>
          <w:sz w:val="24"/>
          <w:szCs w:val="24"/>
        </w:rPr>
        <w:t>2.9 Histori suksesi</w:t>
      </w:r>
      <w:bookmarkEnd w:id="121"/>
      <w:r w:rsidRPr="00A90756">
        <w:rPr>
          <w:rFonts w:ascii="Garamond" w:hAnsi="Garamond"/>
          <w:b/>
          <w:sz w:val="24"/>
          <w:szCs w:val="24"/>
        </w:rPr>
        <w:t xml:space="preserve"> </w:t>
      </w:r>
    </w:p>
    <w:p w14:paraId="014E49D7" w14:textId="77777777" w:rsidR="006F2E6B" w:rsidRPr="00A90756" w:rsidRDefault="006F2E6B" w:rsidP="006F2E6B">
      <w:pPr>
        <w:spacing w:after="0" w:line="240" w:lineRule="auto"/>
        <w:ind w:firstLine="284"/>
        <w:jc w:val="both"/>
        <w:rPr>
          <w:rFonts w:ascii="Garamond" w:hAnsi="Garamond"/>
        </w:rPr>
      </w:pPr>
      <w:r w:rsidRPr="00A90756">
        <w:rPr>
          <w:rFonts w:ascii="Garamond" w:hAnsi="Garamond"/>
          <w:sz w:val="24"/>
          <w:szCs w:val="24"/>
        </w:rPr>
        <w:t>&lt;Përshkruani, sipas rezultateve të arritura, të paktën një shembull (preferohet të jenë dy) të veprimtarive të BNK-së periudha e zbatimit të të cilave ka përfunduar gjatë periudhës së raportimit dhe që sipas parametrave të mëposhtëm mund të konsiderohen histori suksesi:</w:t>
      </w:r>
    </w:p>
    <w:p w14:paraId="014E49D8" w14:textId="07FAB2DE" w:rsidR="006F2E6B" w:rsidRPr="00A90756" w:rsidRDefault="006F2E6B" w:rsidP="006F2E6B">
      <w:pPr>
        <w:spacing w:after="0" w:line="240" w:lineRule="auto"/>
        <w:ind w:firstLine="284"/>
        <w:jc w:val="both"/>
        <w:rPr>
          <w:rFonts w:ascii="Garamond" w:hAnsi="Garamond"/>
        </w:rPr>
      </w:pPr>
      <w:r w:rsidRPr="00A90756">
        <w:rPr>
          <w:rFonts w:ascii="Garamond" w:hAnsi="Garamond"/>
        </w:rPr>
        <w:t xml:space="preserve">- </w:t>
      </w:r>
      <w:r w:rsidRPr="00A90756">
        <w:rPr>
          <w:rFonts w:ascii="Garamond" w:hAnsi="Garamond"/>
          <w:sz w:val="24"/>
          <w:szCs w:val="24"/>
        </w:rPr>
        <w:t xml:space="preserve">Dimension i qenësishëm i BNK-së (ju lutemi tregoni se cili përkufizim i BNK-së është përdorur për të vlerësuar propozimet e projektit, siç tregohet në udhëzimet përkatëse për aplikantët: a) </w:t>
      </w:r>
      <w:r w:rsidR="00AE64AA" w:rsidRPr="00A90756">
        <w:rPr>
          <w:rFonts w:ascii="Garamond" w:hAnsi="Garamond"/>
          <w:sz w:val="24"/>
          <w:szCs w:val="24"/>
        </w:rPr>
        <w:t>“</w:t>
      </w:r>
      <w:r w:rsidRPr="00A90756">
        <w:rPr>
          <w:rFonts w:ascii="Garamond" w:hAnsi="Garamond"/>
          <w:i/>
          <w:sz w:val="24"/>
          <w:szCs w:val="24"/>
        </w:rPr>
        <w:t>zbatimi në bashkëpunim i aktiviteteve nga partnerët, të cilat çojnë në intensifikimin e lidhjeve ndërkufitare dhe partneriteteve të qëndrueshme ndërkufitare dhe/ose në heqjen e pengesave ndërkufitare drejt një zhvillimi të qëndrueshëm</w:t>
      </w:r>
      <w:r w:rsidRPr="00A90756">
        <w:rPr>
          <w:rFonts w:ascii="Garamond" w:hAnsi="Garamond"/>
          <w:sz w:val="24"/>
          <w:szCs w:val="24"/>
        </w:rPr>
        <w:t xml:space="preserve"> socio-ekonomik</w:t>
      </w:r>
      <w:r w:rsidR="00AE64AA" w:rsidRPr="00A90756">
        <w:rPr>
          <w:rFonts w:ascii="Garamond" w:hAnsi="Garamond"/>
          <w:sz w:val="24"/>
          <w:szCs w:val="24"/>
        </w:rPr>
        <w:t>”</w:t>
      </w:r>
      <w:r w:rsidR="00181059" w:rsidRPr="00A90756">
        <w:rPr>
          <w:rFonts w:ascii="Garamond" w:hAnsi="Garamond"/>
          <w:sz w:val="24"/>
          <w:szCs w:val="24"/>
        </w:rPr>
        <w:t>;</w:t>
      </w:r>
      <w:r w:rsidRPr="00A90756">
        <w:rPr>
          <w:rFonts w:ascii="Garamond" w:hAnsi="Garamond"/>
          <w:sz w:val="24"/>
          <w:szCs w:val="24"/>
        </w:rPr>
        <w:t xml:space="preserve"> ose b) zbatimi në bashkëpunim i aktiviteteve nga partnerët </w:t>
      </w:r>
      <w:r w:rsidRPr="00A90756">
        <w:rPr>
          <w:rFonts w:ascii="Garamond" w:hAnsi="Garamond"/>
          <w:sz w:val="24"/>
          <w:szCs w:val="24"/>
        </w:rPr>
        <w:lastRenderedPageBreak/>
        <w:t xml:space="preserve">të cilat çojnë në intensifikimin e lidhjeve ndërkufitare </w:t>
      </w:r>
      <w:r w:rsidRPr="00A90756">
        <w:rPr>
          <w:rFonts w:ascii="Garamond" w:hAnsi="Garamond"/>
          <w:i/>
          <w:sz w:val="24"/>
          <w:szCs w:val="24"/>
        </w:rPr>
        <w:t>dhe/ose në heqjen e pengesave ndërkufitare drejt një zhvillimi të qëndrueshëm</w:t>
      </w:r>
      <w:r w:rsidRPr="00A90756">
        <w:rPr>
          <w:rFonts w:ascii="Garamond" w:hAnsi="Garamond"/>
          <w:sz w:val="24"/>
          <w:szCs w:val="24"/>
        </w:rPr>
        <w:t xml:space="preserve"> socio-ekonomik</w:t>
      </w:r>
      <w:r w:rsidR="00AE64AA" w:rsidRPr="00A90756">
        <w:rPr>
          <w:rFonts w:ascii="Garamond" w:hAnsi="Garamond"/>
          <w:sz w:val="24"/>
          <w:szCs w:val="24"/>
        </w:rPr>
        <w:t>”</w:t>
      </w:r>
      <w:r w:rsidRPr="00A90756">
        <w:rPr>
          <w:rFonts w:ascii="Garamond" w:hAnsi="Garamond"/>
          <w:sz w:val="24"/>
          <w:szCs w:val="24"/>
        </w:rPr>
        <w:t>).</w:t>
      </w:r>
    </w:p>
    <w:p w14:paraId="014E49D9" w14:textId="37AC96BC" w:rsidR="006F2E6B" w:rsidRPr="00A90756" w:rsidRDefault="006F2E6B" w:rsidP="006F2E6B">
      <w:pPr>
        <w:spacing w:after="0" w:line="240" w:lineRule="auto"/>
        <w:ind w:firstLine="284"/>
        <w:jc w:val="both"/>
        <w:rPr>
          <w:rFonts w:ascii="Garamond" w:hAnsi="Garamond"/>
        </w:rPr>
      </w:pPr>
      <w:r w:rsidRPr="00A90756">
        <w:rPr>
          <w:rFonts w:ascii="Garamond" w:hAnsi="Garamond"/>
        </w:rPr>
        <w:t xml:space="preserve">- </w:t>
      </w:r>
      <w:r w:rsidRPr="00A90756">
        <w:rPr>
          <w:rFonts w:ascii="Garamond" w:hAnsi="Garamond"/>
          <w:sz w:val="24"/>
          <w:szCs w:val="24"/>
        </w:rPr>
        <w:t>Ndikim i qenësishëm i BNK-së: fqinjësi më e mirë dhe përfitim për njerëzit nga të dyja anët e kufirit në një mënyrë të atillë që projekti në nivel kombëtar nuk do ta kishte arritur.</w:t>
      </w:r>
    </w:p>
    <w:p w14:paraId="014E49DA" w14:textId="731F8AF4" w:rsidR="006F2E6B" w:rsidRPr="00A90756" w:rsidRDefault="006F2E6B" w:rsidP="006F2E6B">
      <w:pPr>
        <w:spacing w:after="0" w:line="240" w:lineRule="auto"/>
        <w:ind w:firstLine="284"/>
        <w:jc w:val="both"/>
        <w:rPr>
          <w:rFonts w:ascii="Garamond" w:hAnsi="Garamond"/>
        </w:rPr>
      </w:pPr>
      <w:r w:rsidRPr="00A90756">
        <w:rPr>
          <w:rFonts w:ascii="Garamond" w:hAnsi="Garamond"/>
        </w:rPr>
        <w:t xml:space="preserve">- </w:t>
      </w:r>
      <w:r w:rsidRPr="00A90756">
        <w:rPr>
          <w:rFonts w:ascii="Garamond" w:hAnsi="Garamond"/>
          <w:sz w:val="24"/>
          <w:szCs w:val="24"/>
        </w:rPr>
        <w:t>Risiprurës: për sa i përket fushës, partnerëve të përfshirë ose aktiviteteve dhe metodave të zbatuara.</w:t>
      </w:r>
    </w:p>
    <w:p w14:paraId="014E49DB" w14:textId="1C22989F" w:rsidR="006F2E6B" w:rsidRPr="00A90756" w:rsidRDefault="006F2E6B" w:rsidP="006F2E6B">
      <w:pPr>
        <w:spacing w:after="0" w:line="240" w:lineRule="auto"/>
        <w:ind w:firstLine="284"/>
        <w:jc w:val="both"/>
        <w:rPr>
          <w:rFonts w:ascii="Garamond" w:hAnsi="Garamond"/>
        </w:rPr>
      </w:pPr>
      <w:r w:rsidRPr="00A90756">
        <w:rPr>
          <w:rFonts w:ascii="Garamond" w:hAnsi="Garamond"/>
        </w:rPr>
        <w:t xml:space="preserve">- </w:t>
      </w:r>
      <w:r w:rsidRPr="00A90756">
        <w:rPr>
          <w:rFonts w:ascii="Garamond" w:hAnsi="Garamond"/>
          <w:sz w:val="24"/>
          <w:szCs w:val="24"/>
        </w:rPr>
        <w:t>Efikas: Rezultatet janë arritur në kohë dhe në përputhje me buxhetin e planifikuar.</w:t>
      </w:r>
    </w:p>
    <w:p w14:paraId="014E49DC" w14:textId="7645C77A" w:rsidR="006F2E6B" w:rsidRPr="00A90756" w:rsidRDefault="006F2E6B" w:rsidP="006F2E6B">
      <w:pPr>
        <w:spacing w:after="0" w:line="240" w:lineRule="auto"/>
        <w:ind w:firstLine="284"/>
        <w:jc w:val="both"/>
        <w:rPr>
          <w:rFonts w:ascii="Garamond" w:hAnsi="Garamond"/>
        </w:rPr>
      </w:pPr>
      <w:r w:rsidRPr="00A90756">
        <w:rPr>
          <w:rFonts w:ascii="Garamond" w:hAnsi="Garamond"/>
        </w:rPr>
        <w:t xml:space="preserve">- </w:t>
      </w:r>
      <w:r w:rsidRPr="00A90756">
        <w:rPr>
          <w:rFonts w:ascii="Garamond" w:hAnsi="Garamond"/>
          <w:sz w:val="24"/>
          <w:szCs w:val="24"/>
        </w:rPr>
        <w:t>Shpërndarje e mirë: vizibilitet, replikim, shumëfishim dhe efekt domino.</w:t>
      </w:r>
    </w:p>
    <w:p w14:paraId="014E49DD"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rPr>
        <w:t xml:space="preserve">- </w:t>
      </w:r>
      <w:r w:rsidRPr="00A90756">
        <w:rPr>
          <w:rFonts w:ascii="Garamond" w:hAnsi="Garamond"/>
          <w:sz w:val="24"/>
          <w:szCs w:val="24"/>
        </w:rPr>
        <w:t>Perspektivë e mirë për qëndrueshmëri: përfitime të mundshme edhe përtej kohëzgjatjes së projektit dhe partneritet afatgjatë.&gt;</w:t>
      </w:r>
    </w:p>
    <w:p w14:paraId="014E49DE"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&lt;Historitë duhet të kenë strukturën e mëposhtme:</w:t>
      </w:r>
    </w:p>
    <w:p w14:paraId="014E49DF"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Fjali që tërheqin vëmendjen, të cilat përmbledhin suksesin e projektit</w:t>
      </w:r>
    </w:p>
    <w:p w14:paraId="014E49E0" w14:textId="6E028A9B"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Kontekst</w:t>
      </w:r>
    </w:p>
    <w:p w14:paraId="014E49E1"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Përshkrim të problemit specifik që është trajtuar</w:t>
      </w:r>
    </w:p>
    <w:p w14:paraId="014E49E2" w14:textId="728C3CBD"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Idenë pas projektit</w:t>
      </w:r>
    </w:p>
    <w:p w14:paraId="014E49E3"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Zgjidhjen e propozuar</w:t>
      </w:r>
    </w:p>
    <w:p w14:paraId="014E49E4"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Tre shembuj të aktiviteteve të ndërmarra</w:t>
      </w:r>
    </w:p>
    <w:p w14:paraId="014E49E5" w14:textId="0903162D"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Fakte që vërtetojnë suksesin</w:t>
      </w:r>
    </w:p>
    <w:p w14:paraId="014E49E6"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Vizionin</w:t>
      </w:r>
    </w:p>
    <w:p w14:paraId="014E49E7"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Burimet ku mund të gjendet më shumë informacion (p.sh. faqe interneti)</w:t>
      </w:r>
    </w:p>
    <w:p w14:paraId="014E49E8" w14:textId="77777777" w:rsidR="006F2E6B" w:rsidRPr="00A90756" w:rsidRDefault="006F2E6B" w:rsidP="006F2E6B">
      <w:pPr>
        <w:spacing w:after="0" w:line="240" w:lineRule="auto"/>
        <w:ind w:firstLine="284"/>
        <w:jc w:val="both"/>
        <w:rPr>
          <w:rFonts w:ascii="Garamond" w:hAnsi="Garamond"/>
          <w:sz w:val="24"/>
          <w:szCs w:val="24"/>
        </w:rPr>
      </w:pPr>
      <w:r w:rsidRPr="00A90756">
        <w:rPr>
          <w:rFonts w:ascii="Garamond" w:hAnsi="Garamond"/>
          <w:sz w:val="24"/>
          <w:szCs w:val="24"/>
        </w:rPr>
        <w:t>Të dhënat e kontaktit të partnerëve të BNK-së&gt;</w:t>
      </w:r>
    </w:p>
    <w:p w14:paraId="014E49E9" w14:textId="77777777" w:rsidR="003D4719" w:rsidRPr="00A90756" w:rsidRDefault="003D4719" w:rsidP="006F2E6B">
      <w:pPr>
        <w:spacing w:after="0" w:line="240" w:lineRule="auto"/>
        <w:ind w:firstLine="284"/>
        <w:jc w:val="both"/>
        <w:rPr>
          <w:rFonts w:ascii="Garamond" w:hAnsi="Garamond"/>
        </w:rPr>
      </w:pPr>
    </w:p>
    <w:p w14:paraId="014E49EA" w14:textId="77777777" w:rsidR="00BD733B" w:rsidRPr="00A90756" w:rsidRDefault="00BD733B" w:rsidP="006F2E6B">
      <w:pPr>
        <w:spacing w:after="0" w:line="240" w:lineRule="auto"/>
        <w:ind w:firstLine="284"/>
        <w:jc w:val="both"/>
        <w:rPr>
          <w:rFonts w:ascii="Garamond" w:hAnsi="Garamond"/>
        </w:rPr>
        <w:sectPr w:rsidR="00BD733B" w:rsidRPr="00A90756" w:rsidSect="006F2E6B">
          <w:pgSz w:w="11907" w:h="16840" w:code="9"/>
          <w:pgMar w:top="1440" w:right="1440" w:bottom="1440" w:left="1440" w:header="1304" w:footer="1134" w:gutter="0"/>
          <w:cols w:space="720"/>
          <w:noEndnote/>
        </w:sectPr>
      </w:pPr>
    </w:p>
    <w:p w14:paraId="014E49EB" w14:textId="77777777" w:rsidR="00E55BD9" w:rsidRPr="00A90756" w:rsidRDefault="00BD733B" w:rsidP="00BD733B">
      <w:pPr>
        <w:spacing w:after="0" w:line="240" w:lineRule="auto"/>
        <w:jc w:val="center"/>
        <w:rPr>
          <w:rFonts w:ascii="Garamond" w:hAnsi="Garamond"/>
          <w:sz w:val="24"/>
          <w:szCs w:val="24"/>
        </w:rPr>
      </w:pPr>
      <w:r w:rsidRPr="00A90756">
        <w:rPr>
          <w:rFonts w:ascii="Garamond" w:hAnsi="Garamond"/>
          <w:noProof/>
          <w:sz w:val="24"/>
          <w:szCs w:val="24"/>
        </w:rPr>
        <w:lastRenderedPageBreak/>
        <w:drawing>
          <wp:inline distT="0" distB="0" distL="0" distR="0" wp14:anchorId="014E4A0F" wp14:editId="014E4A10">
            <wp:extent cx="9191625" cy="142807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 plote ligji 9 PDF gati pet JPG_Page_80.jpg"/>
                    <pic:cNvPicPr/>
                  </pic:nvPicPr>
                  <pic:blipFill rotWithShape="1">
                    <a:blip r:embed="rId12" cstate="print">
                      <a:extLst>
                        <a:ext uri="{28A0092B-C50C-407E-A947-70E740481C1C}">
                          <a14:useLocalDpi xmlns:a14="http://schemas.microsoft.com/office/drawing/2010/main" val="0"/>
                        </a:ext>
                      </a:extLst>
                    </a:blip>
                    <a:srcRect l="1410" t="12281" r="1363"/>
                    <a:stretch/>
                  </pic:blipFill>
                  <pic:spPr bwMode="auto">
                    <a:xfrm>
                      <a:off x="0" y="0"/>
                      <a:ext cx="9199265" cy="1429260"/>
                    </a:xfrm>
                    <a:prstGeom prst="rect">
                      <a:avLst/>
                    </a:prstGeom>
                    <a:ln>
                      <a:noFill/>
                    </a:ln>
                    <a:extLst>
                      <a:ext uri="{53640926-AAD7-44D8-BBD7-CCE9431645EC}">
                        <a14:shadowObscured xmlns:a14="http://schemas.microsoft.com/office/drawing/2010/main"/>
                      </a:ext>
                    </a:extLst>
                  </pic:spPr>
                </pic:pic>
              </a:graphicData>
            </a:graphic>
          </wp:inline>
        </w:drawing>
      </w:r>
      <w:r w:rsidRPr="00A90756">
        <w:rPr>
          <w:rFonts w:ascii="Garamond" w:hAnsi="Garamond"/>
          <w:noProof/>
          <w:sz w:val="24"/>
          <w:szCs w:val="24"/>
        </w:rPr>
        <w:drawing>
          <wp:inline distT="0" distB="0" distL="0" distR="0" wp14:anchorId="014E4A11" wp14:editId="014E4A12">
            <wp:extent cx="8401050" cy="19532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 plote ligji 9 PDF gati pet JPG_Page_81.jpg"/>
                    <pic:cNvPicPr/>
                  </pic:nvPicPr>
                  <pic:blipFill rotWithShape="1">
                    <a:blip r:embed="rId13" cstate="print">
                      <a:extLst>
                        <a:ext uri="{28A0092B-C50C-407E-A947-70E740481C1C}">
                          <a14:useLocalDpi xmlns:a14="http://schemas.microsoft.com/office/drawing/2010/main" val="0"/>
                        </a:ext>
                      </a:extLst>
                    </a:blip>
                    <a:srcRect l="2256" t="9689" r="2973"/>
                    <a:stretch/>
                  </pic:blipFill>
                  <pic:spPr bwMode="auto">
                    <a:xfrm>
                      <a:off x="0" y="0"/>
                      <a:ext cx="8401050" cy="1953260"/>
                    </a:xfrm>
                    <a:prstGeom prst="rect">
                      <a:avLst/>
                    </a:prstGeom>
                    <a:ln>
                      <a:noFill/>
                    </a:ln>
                    <a:extLst>
                      <a:ext uri="{53640926-AAD7-44D8-BBD7-CCE9431645EC}">
                        <a14:shadowObscured xmlns:a14="http://schemas.microsoft.com/office/drawing/2010/main"/>
                      </a:ext>
                    </a:extLst>
                  </pic:spPr>
                </pic:pic>
              </a:graphicData>
            </a:graphic>
          </wp:inline>
        </w:drawing>
      </w:r>
      <w:r w:rsidRPr="00A90756">
        <w:rPr>
          <w:rFonts w:ascii="Garamond" w:hAnsi="Garamond"/>
          <w:noProof/>
          <w:sz w:val="24"/>
          <w:szCs w:val="24"/>
        </w:rPr>
        <w:drawing>
          <wp:inline distT="0" distB="0" distL="0" distR="0" wp14:anchorId="014E4A13" wp14:editId="014E4A14">
            <wp:extent cx="8696325" cy="1611630"/>
            <wp:effectExtent l="0" t="0" r="952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 plote ligji 9 PDF gati pet JPG_Page_82.jpg"/>
                    <pic:cNvPicPr/>
                  </pic:nvPicPr>
                  <pic:blipFill rotWithShape="1">
                    <a:blip r:embed="rId14" cstate="print">
                      <a:extLst>
                        <a:ext uri="{28A0092B-C50C-407E-A947-70E740481C1C}">
                          <a14:useLocalDpi xmlns:a14="http://schemas.microsoft.com/office/drawing/2010/main" val="0"/>
                        </a:ext>
                      </a:extLst>
                    </a:blip>
                    <a:srcRect t="7642" r="1899"/>
                    <a:stretch/>
                  </pic:blipFill>
                  <pic:spPr bwMode="auto">
                    <a:xfrm>
                      <a:off x="0" y="0"/>
                      <a:ext cx="8696325" cy="1611630"/>
                    </a:xfrm>
                    <a:prstGeom prst="rect">
                      <a:avLst/>
                    </a:prstGeom>
                    <a:ln>
                      <a:noFill/>
                    </a:ln>
                    <a:extLst>
                      <a:ext uri="{53640926-AAD7-44D8-BBD7-CCE9431645EC}">
                        <a14:shadowObscured xmlns:a14="http://schemas.microsoft.com/office/drawing/2010/main"/>
                      </a:ext>
                    </a:extLst>
                  </pic:spPr>
                </pic:pic>
              </a:graphicData>
            </a:graphic>
          </wp:inline>
        </w:drawing>
      </w:r>
      <w:r w:rsidRPr="00A90756">
        <w:rPr>
          <w:rFonts w:ascii="Garamond" w:hAnsi="Garamond"/>
          <w:noProof/>
          <w:sz w:val="24"/>
          <w:szCs w:val="24"/>
        </w:rPr>
        <w:lastRenderedPageBreak/>
        <w:drawing>
          <wp:inline distT="0" distB="0" distL="0" distR="0" wp14:anchorId="014E4A15" wp14:editId="014E4A16">
            <wp:extent cx="8534400" cy="1581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 plote ligji 9 PDF gati pet JPG_Page_83.jpg"/>
                    <pic:cNvPicPr/>
                  </pic:nvPicPr>
                  <pic:blipFill rotWithShape="1">
                    <a:blip r:embed="rId15" cstate="print">
                      <a:extLst>
                        <a:ext uri="{28A0092B-C50C-407E-A947-70E740481C1C}">
                          <a14:useLocalDpi xmlns:a14="http://schemas.microsoft.com/office/drawing/2010/main" val="0"/>
                        </a:ext>
                      </a:extLst>
                    </a:blip>
                    <a:srcRect l="2364" t="9272" r="1361" b="5219"/>
                    <a:stretch/>
                  </pic:blipFill>
                  <pic:spPr bwMode="auto">
                    <a:xfrm>
                      <a:off x="0" y="0"/>
                      <a:ext cx="8534400" cy="1581150"/>
                    </a:xfrm>
                    <a:prstGeom prst="rect">
                      <a:avLst/>
                    </a:prstGeom>
                    <a:ln>
                      <a:noFill/>
                    </a:ln>
                    <a:extLst>
                      <a:ext uri="{53640926-AAD7-44D8-BBD7-CCE9431645EC}">
                        <a14:shadowObscured xmlns:a14="http://schemas.microsoft.com/office/drawing/2010/main"/>
                      </a:ext>
                    </a:extLst>
                  </pic:spPr>
                </pic:pic>
              </a:graphicData>
            </a:graphic>
          </wp:inline>
        </w:drawing>
      </w:r>
      <w:r w:rsidRPr="00A90756">
        <w:rPr>
          <w:rFonts w:ascii="Garamond" w:hAnsi="Garamond"/>
          <w:noProof/>
          <w:sz w:val="24"/>
          <w:szCs w:val="24"/>
        </w:rPr>
        <w:drawing>
          <wp:inline distT="0" distB="0" distL="0" distR="0" wp14:anchorId="014E4A17" wp14:editId="014E4A18">
            <wp:extent cx="8429625" cy="2333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 plote ligji 9 PDF gati pet JPG_Page_84.jpg"/>
                    <pic:cNvPicPr/>
                  </pic:nvPicPr>
                  <pic:blipFill rotWithShape="1">
                    <a:blip r:embed="rId16" cstate="print">
                      <a:extLst>
                        <a:ext uri="{28A0092B-C50C-407E-A947-70E740481C1C}">
                          <a14:useLocalDpi xmlns:a14="http://schemas.microsoft.com/office/drawing/2010/main" val="0"/>
                        </a:ext>
                      </a:extLst>
                    </a:blip>
                    <a:srcRect l="1719" t="7124" r="3188" b="9770"/>
                    <a:stretch/>
                  </pic:blipFill>
                  <pic:spPr bwMode="auto">
                    <a:xfrm>
                      <a:off x="0" y="0"/>
                      <a:ext cx="8429625" cy="2333625"/>
                    </a:xfrm>
                    <a:prstGeom prst="rect">
                      <a:avLst/>
                    </a:prstGeom>
                    <a:ln>
                      <a:noFill/>
                    </a:ln>
                    <a:extLst>
                      <a:ext uri="{53640926-AAD7-44D8-BBD7-CCE9431645EC}">
                        <a14:shadowObscured xmlns:a14="http://schemas.microsoft.com/office/drawing/2010/main"/>
                      </a:ext>
                    </a:extLst>
                  </pic:spPr>
                </pic:pic>
              </a:graphicData>
            </a:graphic>
          </wp:inline>
        </w:drawing>
      </w:r>
    </w:p>
    <w:p w14:paraId="014E49EC" w14:textId="77777777" w:rsidR="008E52E9" w:rsidRPr="00A90756" w:rsidRDefault="008E52E9" w:rsidP="00EC73A8">
      <w:pPr>
        <w:spacing w:after="0" w:line="240" w:lineRule="auto"/>
        <w:ind w:firstLine="284"/>
        <w:rPr>
          <w:rFonts w:ascii="Garamond" w:hAnsi="Garamond"/>
          <w:sz w:val="24"/>
          <w:szCs w:val="24"/>
        </w:rPr>
      </w:pPr>
    </w:p>
    <w:p w14:paraId="014E49ED" w14:textId="77777777" w:rsidR="0003624A" w:rsidRPr="00A90756" w:rsidRDefault="0003624A" w:rsidP="00EC73A8">
      <w:pPr>
        <w:spacing w:after="0" w:line="240" w:lineRule="auto"/>
        <w:ind w:firstLine="284"/>
        <w:rPr>
          <w:rFonts w:ascii="Garamond" w:hAnsi="Garamond"/>
          <w:sz w:val="24"/>
          <w:szCs w:val="24"/>
        </w:rPr>
        <w:sectPr w:rsidR="0003624A" w:rsidRPr="00A90756" w:rsidSect="00BD733B">
          <w:pgSz w:w="16840" w:h="11907" w:orient="landscape" w:code="9"/>
          <w:pgMar w:top="1440" w:right="1440" w:bottom="1440" w:left="1440" w:header="1304" w:footer="1134" w:gutter="0"/>
          <w:cols w:space="720"/>
          <w:noEndnote/>
        </w:sectPr>
      </w:pPr>
    </w:p>
    <w:p w14:paraId="35290E23"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
          <w:bCs/>
          <w:color w:val="000000"/>
          <w:sz w:val="24"/>
          <w:szCs w:val="24"/>
        </w:rPr>
      </w:pPr>
      <w:r w:rsidRPr="00A90756">
        <w:rPr>
          <w:rFonts w:ascii="Garamond" w:eastAsia="Calibri" w:hAnsi="Garamond" w:cs="Calibri"/>
          <w:b/>
          <w:bCs/>
          <w:color w:val="000000"/>
          <w:sz w:val="24"/>
          <w:szCs w:val="24"/>
        </w:rPr>
        <w:lastRenderedPageBreak/>
        <w:t>Të dhënat kryesore</w:t>
      </w:r>
    </w:p>
    <w:p w14:paraId="03101921"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color w:val="000000"/>
          <w:sz w:val="24"/>
          <w:szCs w:val="24"/>
        </w:rPr>
      </w:pPr>
      <w:r w:rsidRPr="00A90756">
        <w:rPr>
          <w:rFonts w:ascii="Garamond" w:eastAsia="Calibri" w:hAnsi="Garamond" w:cs="Calibri"/>
          <w:color w:val="000000"/>
          <w:sz w:val="24"/>
          <w:szCs w:val="24"/>
        </w:rPr>
        <w:t>Për çdo kontratë në nivel lokal kërkohet ky informacion:</w:t>
      </w:r>
    </w:p>
    <w:p w14:paraId="1BA0B43F"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 Vendimi i BE-së</w:t>
      </w:r>
    </w:p>
    <w:p w14:paraId="7F2FA3A3"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Referenca e programit, p.sh. Programi Vjetor i Veprimit 2022</w:t>
      </w:r>
    </w:p>
    <w:p w14:paraId="61A59162"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2. Kontrata e BE-së</w:t>
      </w:r>
    </w:p>
    <w:p w14:paraId="27C74F78"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 Numri i referencës OPSYS i Marrëveshjes së Financimit, p.sh. 2014/031-878</w:t>
      </w:r>
    </w:p>
    <w:p w14:paraId="24407388"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3. Titulli</w:t>
      </w:r>
    </w:p>
    <w:p w14:paraId="579CE014" w14:textId="43DC2338"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Titulli i kontratës në nivel lokal</w:t>
      </w:r>
    </w:p>
    <w:p w14:paraId="384D3788"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4. Referenca e kontratës në nivel lokal</w:t>
      </w:r>
    </w:p>
    <w:p w14:paraId="05583533" w14:textId="340A5CD2"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5. Kontraktori/</w:t>
      </w:r>
      <w:r>
        <w:rPr>
          <w:rFonts w:ascii="Garamond" w:eastAsia="Calibri" w:hAnsi="Garamond" w:cs="Calibri"/>
          <w:bCs/>
          <w:color w:val="000000"/>
          <w:sz w:val="24"/>
          <w:szCs w:val="24"/>
        </w:rPr>
        <w:t>f</w:t>
      </w:r>
      <w:r w:rsidRPr="00A90756">
        <w:rPr>
          <w:rFonts w:ascii="Garamond" w:eastAsia="Calibri" w:hAnsi="Garamond" w:cs="Calibri"/>
          <w:bCs/>
          <w:color w:val="000000"/>
          <w:sz w:val="24"/>
          <w:szCs w:val="24"/>
        </w:rPr>
        <w:t>orma e subjektit juridik (FSJ)</w:t>
      </w:r>
    </w:p>
    <w:p w14:paraId="23FDA25F"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6. Lloji i kontratës</w:t>
      </w:r>
    </w:p>
    <w:p w14:paraId="544ADCDE"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P.sh. Granti, shërbimi, furnizimi, punimesh, binjakëzimi,...</w:t>
      </w:r>
    </w:p>
    <w:p w14:paraId="57081FFE"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7. Data e nënshkrimit të kontratës</w:t>
      </w:r>
    </w:p>
    <w:p w14:paraId="6DC029F7" w14:textId="796D1804"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Data kur kontrata nënshkruhet nga pala e fundit</w:t>
      </w:r>
      <w:r w:rsidR="00375FD9">
        <w:rPr>
          <w:rFonts w:ascii="Garamond" w:eastAsia="Calibri" w:hAnsi="Garamond" w:cs="Calibri"/>
          <w:i/>
          <w:iCs/>
          <w:color w:val="000000"/>
          <w:sz w:val="24"/>
          <w:szCs w:val="24"/>
        </w:rPr>
        <w:t>.</w:t>
      </w:r>
      <w:r w:rsidRPr="00A90756">
        <w:rPr>
          <w:rFonts w:ascii="Garamond" w:eastAsia="Calibri" w:hAnsi="Garamond" w:cs="Calibri"/>
          <w:i/>
          <w:iCs/>
          <w:color w:val="000000"/>
          <w:sz w:val="24"/>
          <w:szCs w:val="24"/>
        </w:rPr>
        <w:t xml:space="preserve"> </w:t>
      </w:r>
    </w:p>
    <w:p w14:paraId="0016C8A5"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8. Data e fillimit të zbatimit të kontratës</w:t>
      </w:r>
    </w:p>
    <w:p w14:paraId="051C023D" w14:textId="0C97B2D1"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Data e nënshkrimit për kontraktorin, data e nënshkrimit për autoritetin kontraktor, data në të cilën kontrata hyn në fuqi dhe data në të cilën fillon zbatimi i kontratës janë koncepte të ndryshme, të cilat mund të jenë të gjitha në të njëjtën ditë ose në ditë të ndryshme.</w:t>
      </w:r>
    </w:p>
    <w:p w14:paraId="1E8E9CA7" w14:textId="4952D598" w:rsidR="00A90756" w:rsidRPr="00A90756" w:rsidRDefault="00A90756" w:rsidP="00A90756">
      <w:pPr>
        <w:tabs>
          <w:tab w:val="left" w:pos="11402"/>
        </w:tabs>
        <w:autoSpaceDE w:val="0"/>
        <w:autoSpaceDN w:val="0"/>
        <w:adjustRightInd w:val="0"/>
        <w:spacing w:after="0" w:line="240" w:lineRule="auto"/>
        <w:ind w:firstLine="284"/>
        <w:jc w:val="both"/>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Më konkretisht, data e fillimit të zbatimit të kontratës (= ditën e parë kur nisin kostot legjitime sipas kontratës) mund të vendoset pasi të jetë nënshkruar kontrata përmes një klauzole përkatëse në kontratë, një </w:t>
      </w:r>
      <w:r>
        <w:rPr>
          <w:rFonts w:ascii="Garamond" w:eastAsia="Calibri" w:hAnsi="Garamond" w:cs="Calibri"/>
          <w:i/>
          <w:iCs/>
          <w:color w:val="000000"/>
          <w:sz w:val="24"/>
          <w:szCs w:val="24"/>
        </w:rPr>
        <w:t>u</w:t>
      </w:r>
      <w:r w:rsidRPr="00A90756">
        <w:rPr>
          <w:rFonts w:ascii="Garamond" w:eastAsia="Calibri" w:hAnsi="Garamond" w:cs="Calibri"/>
          <w:i/>
          <w:iCs/>
          <w:color w:val="000000"/>
          <w:sz w:val="24"/>
          <w:szCs w:val="24"/>
        </w:rPr>
        <w:t>rdhri</w:t>
      </w:r>
      <w:r>
        <w:rPr>
          <w:rFonts w:ascii="Garamond" w:eastAsia="Calibri" w:hAnsi="Garamond" w:cs="Calibri"/>
          <w:i/>
          <w:iCs/>
          <w:color w:val="000000"/>
          <w:sz w:val="24"/>
          <w:szCs w:val="24"/>
        </w:rPr>
        <w:t xml:space="preserve"> a</w:t>
      </w:r>
      <w:r w:rsidRPr="00A90756">
        <w:rPr>
          <w:rFonts w:ascii="Garamond" w:eastAsia="Calibri" w:hAnsi="Garamond" w:cs="Calibri"/>
          <w:i/>
          <w:iCs/>
          <w:color w:val="000000"/>
          <w:sz w:val="24"/>
          <w:szCs w:val="24"/>
        </w:rPr>
        <w:t>dministrativ, etj. Sistemi juaj mund t’i regjistrojë të gjitha këto data; por për qëllimet e raportit vjetor të periudhës kontabël data më e rëndësishme është data e fillimit të zbatimit.</w:t>
      </w:r>
    </w:p>
    <w:p w14:paraId="601C8688" w14:textId="4F43DC73" w:rsidR="00A90756" w:rsidRPr="00A90756" w:rsidRDefault="00A90756" w:rsidP="00A90756">
      <w:pPr>
        <w:tabs>
          <w:tab w:val="left" w:pos="11402"/>
        </w:tabs>
        <w:autoSpaceDE w:val="0"/>
        <w:autoSpaceDN w:val="0"/>
        <w:adjustRightInd w:val="0"/>
        <w:spacing w:after="0" w:line="240" w:lineRule="auto"/>
        <w:ind w:firstLine="284"/>
        <w:jc w:val="both"/>
        <w:rPr>
          <w:rFonts w:ascii="Garamond" w:eastAsia="Calibri" w:hAnsi="Garamond" w:cs="Calibri"/>
          <w:bCs/>
          <w:color w:val="000000"/>
          <w:sz w:val="24"/>
          <w:szCs w:val="24"/>
        </w:rPr>
      </w:pPr>
      <w:r w:rsidRPr="00A90756">
        <w:rPr>
          <w:rFonts w:ascii="Garamond" w:eastAsia="Calibri" w:hAnsi="Garamond" w:cs="Calibri"/>
          <w:bCs/>
          <w:color w:val="000000"/>
          <w:sz w:val="24"/>
          <w:szCs w:val="24"/>
        </w:rPr>
        <w:t>9</w:t>
      </w:r>
      <w:r w:rsidR="00375FD9">
        <w:rPr>
          <w:rFonts w:ascii="Garamond" w:eastAsia="Calibri" w:hAnsi="Garamond" w:cs="Calibri"/>
          <w:bCs/>
          <w:color w:val="000000"/>
          <w:sz w:val="24"/>
          <w:szCs w:val="24"/>
        </w:rPr>
        <w:t>.</w:t>
      </w:r>
      <w:r w:rsidRPr="00A90756">
        <w:rPr>
          <w:rFonts w:ascii="Garamond" w:eastAsia="Calibri" w:hAnsi="Garamond" w:cs="Calibri"/>
          <w:bCs/>
          <w:color w:val="000000"/>
          <w:sz w:val="24"/>
          <w:szCs w:val="24"/>
        </w:rPr>
        <w:t xml:space="preserve"> Data e përfundimit të zbatimit të kontratës</w:t>
      </w:r>
    </w:p>
    <w:p w14:paraId="4161EB32"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Rregulluar në bazë të amendimeve të saj, sipas nevojës. Kjo zakonisht nuk është e njëjtë me datën përfundimtare të realizimit, ku përfshihet koha e faturimit, periudhat e garancisë, etj. </w:t>
      </w:r>
    </w:p>
    <w:p w14:paraId="6488A432" w14:textId="09D90D9A"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Data e përfundimit të zbatimit të kontratës është dita e fundit në të cilën mund të shkaktohen kosto legjitime sipas kontratës. Kontrata mund të lejojë kohë shtesë për finalizimin e administrimit të kontratës ose një periudhë midis pranimit të përkohshëm dhe përfundimtar të punës së kryer; por kjo kohë shtesë nuk vlen për raportin përfundimtar të fundvitit.</w:t>
      </w:r>
    </w:p>
    <w:p w14:paraId="690FF37E"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10. Statusi i kontratës</w:t>
      </w:r>
    </w:p>
    <w:p w14:paraId="23FD271B"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Cs/>
          <w:color w:val="000000"/>
          <w:sz w:val="24"/>
          <w:szCs w:val="24"/>
        </w:rPr>
        <w:t>HAPUR, MBYLLUR, ZGJIDHUR, PA FILLUAR</w:t>
      </w:r>
      <w:r w:rsidRPr="00A90756">
        <w:rPr>
          <w:rFonts w:ascii="Garamond" w:eastAsia="Calibri" w:hAnsi="Garamond" w:cs="Calibri"/>
          <w:i/>
          <w:iCs/>
          <w:color w:val="000000"/>
          <w:sz w:val="24"/>
          <w:szCs w:val="24"/>
        </w:rPr>
        <w:t xml:space="preserve"> (nëse data e fillimit të aktiviteteve është pas datës së raportit përfundimtar të fundvitit)</w:t>
      </w:r>
    </w:p>
    <w:p w14:paraId="41D1F3BA"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11. IPA BE - Vlera fillestare e kontratës</w:t>
      </w:r>
    </w:p>
    <w:p w14:paraId="2E7FF3E6"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Shuma fillestare ligjore e zotuar nga ana e IPA-s (financimi i BE-së).</w:t>
      </w:r>
    </w:p>
    <w:p w14:paraId="7DBC8369"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12. IPA BE - Vlera aktuale e kontratës</w:t>
      </w:r>
    </w:p>
    <w:p w14:paraId="440A5093"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Shuma pas amendimeve (sipas rastit) </w:t>
      </w:r>
    </w:p>
    <w:p w14:paraId="5AC1F3F0"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Vlera aktuale e kontratës do të përfshijë çdo ndryshim të shumave të kontraktuara të bërë përmes një shtojce që modifikon kontratën. </w:t>
      </w:r>
    </w:p>
    <w:p w14:paraId="5DB8248A"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13. IPA BE - Shuma e paguar</w:t>
      </w:r>
    </w:p>
    <w:p w14:paraId="7C5EA09D" w14:textId="66EB7734"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Shuma totale e paguar sipas kontratës; p.sh. pagesat e financimit paraprak + shuma e faturave të paguara në mënyrë të drejtpërdrejtë - rikuperimet). </w:t>
      </w:r>
    </w:p>
    <w:p w14:paraId="5544A91C"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14. Detyrime të prapambetura (RAL)</w:t>
      </w:r>
    </w:p>
    <w:p w14:paraId="46187D99" w14:textId="693F5566"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“Reste à liquider” është “detyrimi i prapambetur”</w:t>
      </w:r>
      <w:r w:rsidR="00375FD9">
        <w:rPr>
          <w:rFonts w:ascii="Garamond" w:eastAsia="Calibri" w:hAnsi="Garamond" w:cs="Calibri"/>
          <w:i/>
          <w:iCs/>
          <w:color w:val="000000"/>
          <w:sz w:val="24"/>
          <w:szCs w:val="24"/>
        </w:rPr>
        <w:t>.</w:t>
      </w:r>
      <w:r w:rsidRPr="00A90756">
        <w:rPr>
          <w:rFonts w:ascii="Garamond" w:eastAsia="Calibri" w:hAnsi="Garamond" w:cs="Calibri"/>
          <w:i/>
          <w:iCs/>
          <w:color w:val="000000"/>
          <w:sz w:val="24"/>
          <w:szCs w:val="24"/>
        </w:rPr>
        <w:t xml:space="preserve"> </w:t>
      </w:r>
    </w:p>
    <w:p w14:paraId="34973C09"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Shuma e zotuar, por që nuk i është paguar ende përfituesve dhe kontraktorëve nga fondet e IPA BE. </w:t>
      </w:r>
    </w:p>
    <w:p w14:paraId="28E6FCDD"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15. IPA BE - Rikuperimet</w:t>
      </w:r>
    </w:p>
    <w:p w14:paraId="407F6AB9"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Vlera totale e rikuperimeve (si rikuperimet e financimeve paraprake dhe rikuperimet e shpenzimeve) të bëra sipas kontratës (sipas rastit). </w:t>
      </w:r>
    </w:p>
    <w:p w14:paraId="732E1D23" w14:textId="7248F0D0"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lastRenderedPageBreak/>
        <w:t>Zakonisht rikuperimet do të jenë nga financimet paraprake. Rikuperimet e financimeve paraprake janë tërësisht transferta në para cash, të cilat nuk kanë asnjë ndikim në koston totale. Me raste, rikuperimet do të bëhen për pagesa shpenzimesh, të cilat janë pranuar si legjitime në fillim, por më pas janë refuzuar në bazë të informacioneve të reja. Rikuperimet e shpenzimeve do të zvogëlojnë koston totale të raportuar në kontratë (ju lutemi shihni pikën 19.).</w:t>
      </w:r>
    </w:p>
    <w:p w14:paraId="4B20B110"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16. IPA BE - Financimi paraprak i paguar</w:t>
      </w:r>
    </w:p>
    <w:p w14:paraId="40359BA3" w14:textId="734B3D1E"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Vlera totale e financimit paraprak të paguar sipas kontratës (sipas rastit).</w:t>
      </w:r>
    </w:p>
    <w:p w14:paraId="63A09A79"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Financimi paraprak është një pagesë e cila ka për qëllim t’i sigurojë përfituesit një ‘’jastëk’’ financiar, d.m.th. një paradhënie në para cash. Si i tillë, ai paguhet përpara lëvrimit të mallrave dhe shërbimeve (në rastin e kontratave të prokurimit) dhe përpara se përfituesi të nisë me kostot e miratuara (në rastin e marrëveshjeve të grantit). Financimi paraprak njihet në bilanc në momentin kur bëhet transferimi i parasë cash te marrësi. </w:t>
      </w:r>
    </w:p>
    <w:p w14:paraId="23530121"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17. IPA BE - Financimi paraprak i rakorduar</w:t>
      </w:r>
    </w:p>
    <w:p w14:paraId="425F1B6A"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Vlera totale e financimit paraprak të rakorduar. </w:t>
      </w:r>
    </w:p>
    <w:p w14:paraId="55AB95D6"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Pagesa e financimit paraprak njihet si aset. Në përputhje me rregullin përkatës të kontabilitetit, aseti i financimit paraprak përgjithësisht nuk njihet më (pra, rakordohet/reduktohet) në rastet si më poshtë: </w:t>
      </w:r>
    </w:p>
    <w:p w14:paraId="32A014E6"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nëse shuma e një fature të përkohshme/përfundimtare ose pretendimi kostoje, ose një pjesë e saj, justifikon përdorimin e financimit paraprak, atëherë validimi i këtyre shpenzimeve legjitime do të çojë në rakordim të financimit paraprak;</w:t>
      </w:r>
    </w:p>
    <w:p w14:paraId="424E9372" w14:textId="79E8F3A9"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nëse përfituesi nuk e përdor financimin paraprak (një pjesë të tij), atëherë shuma e financimit paraprak do të rikuperohet pjesërisht ose plotësisht nga përfituesi.</w:t>
      </w:r>
    </w:p>
    <w:p w14:paraId="5B7B58B9"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18. IPA BE - Financimi paraprak i hapur</w:t>
      </w:r>
    </w:p>
    <w:p w14:paraId="2607A905" w14:textId="28F4AE3A"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Vlerat totale nga 16 dhe 17 do të japin totalin e financimit paraprak të hapur (të parakorduar) të paguar në kuadër të programit, pra financimi paraprak i paguar – financimi paraprak i rakorduar</w:t>
      </w:r>
      <w:r w:rsidR="00852B2C">
        <w:rPr>
          <w:rFonts w:ascii="Garamond" w:eastAsia="Calibri" w:hAnsi="Garamond" w:cs="Calibri"/>
          <w:i/>
          <w:iCs/>
          <w:color w:val="000000"/>
          <w:sz w:val="24"/>
          <w:szCs w:val="24"/>
        </w:rPr>
        <w:t>.</w:t>
      </w:r>
    </w:p>
    <w:p w14:paraId="0EEBE94E"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19. IPA BE - Kosto e njohur</w:t>
      </w:r>
    </w:p>
    <w:p w14:paraId="0B620991"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Kostot totale të shkaktuara, pranuara, paguara (pagesa direkte e kostove plus rakordimi i financimit paraprak sipas kontratës) dhe të faktuara me dokumente mbështetëse. </w:t>
      </w:r>
    </w:p>
    <w:p w14:paraId="4B15A3F1" w14:textId="4DCCB153"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Llogaritja bëhet me anë të formulës së mëposhtme: 19 = 12 (IPA BE - Vlera aktuale e kontratës) - 14 (RAL) - 18 (IPA BE - Financimi paraprak i hapur) - 15 (IPA BE - Rikuperimet). Ju lutemi përfshini në llogaritjen e “IPA BE - Kosto e njohur” vetëm rikuperime të shpenzimeve duke zbritur koston e njohur (+19 bis (IPA BE - kosto e shkaktuar dhe e pranuar por ende e papaguar) - VETËM nëse nuk mundeni të shtoni në raport një kolonë të veçantë 19 bis) </w:t>
      </w:r>
      <w:r w:rsidR="00852B2C">
        <w:rPr>
          <w:rFonts w:ascii="Garamond" w:eastAsia="Calibri" w:hAnsi="Garamond" w:cs="Calibri"/>
          <w:i/>
          <w:iCs/>
          <w:color w:val="000000"/>
          <w:sz w:val="24"/>
          <w:szCs w:val="24"/>
        </w:rPr>
        <w:t>.</w:t>
      </w:r>
    </w:p>
    <w:p w14:paraId="183F2B19"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Kostot do të përfaqësojnë vlerën e legjitime të punës që është: </w:t>
      </w:r>
    </w:p>
    <w:p w14:paraId="4A6509B1"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Ø shkaktuar sipas kontratës, pranuar, paguar nga autoriteti kontraktor (në mënyrë të drejtpërdrejtë ose nëpërmjet financimit paraprak të rakorduar) dhe është faktuar me anë të dokumenteve mbështetëse, </w:t>
      </w:r>
    </w:p>
    <w:p w14:paraId="21319A34" w14:textId="35DD4C2C"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Ø shkaktuar dhe paguar nga kontraktori (sipas rastit - për shembull, nënkontraktorëve ose nga përfituesit </w:t>
      </w:r>
      <w:r w:rsidR="00852B2C">
        <w:rPr>
          <w:rFonts w:ascii="Garamond" w:eastAsia="Calibri" w:hAnsi="Garamond" w:cs="Calibri"/>
          <w:i/>
          <w:iCs/>
          <w:color w:val="000000"/>
          <w:sz w:val="24"/>
          <w:szCs w:val="24"/>
        </w:rPr>
        <w:t xml:space="preserve">e </w:t>
      </w:r>
      <w:r w:rsidRPr="00A90756">
        <w:rPr>
          <w:rFonts w:ascii="Garamond" w:eastAsia="Calibri" w:hAnsi="Garamond" w:cs="Calibri"/>
          <w:i/>
          <w:iCs/>
          <w:color w:val="000000"/>
          <w:sz w:val="24"/>
          <w:szCs w:val="24"/>
        </w:rPr>
        <w:t xml:space="preserve">grantit) dhe pranuar dhe paguar nga autoriteti kontraktor; </w:t>
      </w:r>
      <w:r w:rsidR="00852B2C">
        <w:rPr>
          <w:rFonts w:ascii="Garamond" w:eastAsia="Calibri" w:hAnsi="Garamond" w:cs="Calibri"/>
          <w:i/>
          <w:iCs/>
          <w:color w:val="000000"/>
          <w:sz w:val="24"/>
          <w:szCs w:val="24"/>
        </w:rPr>
        <w:t>n</w:t>
      </w:r>
      <w:r w:rsidRPr="00A90756">
        <w:rPr>
          <w:rFonts w:ascii="Garamond" w:eastAsia="Calibri" w:hAnsi="Garamond" w:cs="Calibri"/>
          <w:i/>
          <w:iCs/>
          <w:color w:val="000000"/>
          <w:sz w:val="24"/>
          <w:szCs w:val="24"/>
        </w:rPr>
        <w:t>ë rastin e kostove të përkohshme, pranimi përfundimtar cilësohet se varet nga rezultati final i kontratës.</w:t>
      </w:r>
    </w:p>
    <w:p w14:paraId="06F57AA3"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Vini re se: </w:t>
      </w:r>
    </w:p>
    <w:p w14:paraId="126E661B"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Kostot e konstatuara (vlera e përllogaritur e punës së bërë, por që është ende e pafaturuar) nuk kërkohen.</w:t>
      </w:r>
    </w:p>
    <w:p w14:paraId="304FD7B3"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Për qëllime të këtij raporti, shumat e zotuara por të papaguara nuk janë kosto.</w:t>
      </w:r>
    </w:p>
    <w:p w14:paraId="0212C938"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Financimi paraprak i paguar nga autoriteti kontraktor ose nga kontraktori (sipas rastit) nuk është kosto.</w:t>
      </w:r>
    </w:p>
    <w:p w14:paraId="25BE1EFF"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19 bis. IPA BE - Kosto e shkaktuar dhe e pranuar, por ende e papaguar</w:t>
      </w:r>
    </w:p>
    <w:p w14:paraId="09B7D237" w14:textId="605B4420"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Shembuj të tillë janë:</w:t>
      </w:r>
    </w:p>
    <w:p w14:paraId="6C084D96" w14:textId="28515E1D"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faturat në fluksin e punës që janë vërtetuar të sakta (të shkaktuara dhe të pranuara), por që do të paguhen vetëm në periudhën vijuese të raportimit</w:t>
      </w:r>
      <w:r w:rsidR="00852B2C">
        <w:rPr>
          <w:rFonts w:ascii="Garamond" w:eastAsia="Calibri" w:hAnsi="Garamond" w:cs="Calibri"/>
          <w:i/>
          <w:iCs/>
          <w:color w:val="000000"/>
          <w:sz w:val="24"/>
          <w:szCs w:val="24"/>
        </w:rPr>
        <w:t>;</w:t>
      </w:r>
      <w:r w:rsidRPr="00A90756">
        <w:rPr>
          <w:rFonts w:ascii="Garamond" w:eastAsia="Calibri" w:hAnsi="Garamond" w:cs="Calibri"/>
          <w:i/>
          <w:iCs/>
          <w:color w:val="000000"/>
          <w:sz w:val="24"/>
          <w:szCs w:val="24"/>
        </w:rPr>
        <w:t xml:space="preserve"> ose</w:t>
      </w:r>
    </w:p>
    <w:p w14:paraId="159569E2"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garancitë.</w:t>
      </w:r>
    </w:p>
    <w:p w14:paraId="200BB648"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Ju lutemi, kini parasysh: Nëse ju, p.sh. për arsye teknike - nuk mund ta shtoni këtë kolonë në raportin tuaj, ju lutemi shtojini shumat përkatëse posaçërisht direkt në kolonën 19 dhe tregoni arsyen e përfshirjes së tyre duke </w:t>
      </w:r>
      <w:r w:rsidRPr="00A90756">
        <w:rPr>
          <w:rFonts w:ascii="Garamond" w:eastAsia="Calibri" w:hAnsi="Garamond" w:cs="Calibri"/>
          <w:i/>
          <w:iCs/>
          <w:color w:val="000000"/>
          <w:sz w:val="24"/>
          <w:szCs w:val="24"/>
        </w:rPr>
        <w:lastRenderedPageBreak/>
        <w:t xml:space="preserve">specifikuar se: ‘Kolona 19 përfshin kostot e shkaktuara, të pranuara, por ende të papaguara, në shumën prej ‘(…)’, për këtë arsye:’(…)’ ose na vini në dijeni me anë të një shkrese në formë shtojce për shumat përkatëse sipas kontratës. </w:t>
      </w:r>
    </w:p>
    <w:p w14:paraId="7C5C9DF4" w14:textId="7D05605E"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Ju lutemi të kini parasysh gjithashtu se shumat e vendosura në këtë kolonë konsiderohen si kosto të shkaktuara dhe të pranuara vetëm për qëllime të raportit përfundimtar për këtë fundvit dhe jo për qëllime të </w:t>
      </w:r>
      <w:r w:rsidR="00852B2C" w:rsidRPr="00A90756">
        <w:rPr>
          <w:rFonts w:ascii="Garamond" w:eastAsia="Calibri" w:hAnsi="Garamond" w:cs="Calibri"/>
          <w:i/>
          <w:iCs/>
          <w:color w:val="000000"/>
          <w:sz w:val="24"/>
          <w:szCs w:val="24"/>
        </w:rPr>
        <w:t xml:space="preserve">raportit financiar vjetor ose të kërkesës për fonde, </w:t>
      </w:r>
      <w:r w:rsidRPr="00A90756">
        <w:rPr>
          <w:rFonts w:ascii="Garamond" w:eastAsia="Calibri" w:hAnsi="Garamond" w:cs="Calibri"/>
          <w:i/>
          <w:iCs/>
          <w:color w:val="000000"/>
          <w:sz w:val="24"/>
          <w:szCs w:val="24"/>
        </w:rPr>
        <w:t>ku duhet të merren në konsideratë vetëm kostot e njohura (të shkaktuara, pranuara, paguara dhe të faktuara me dokumente mbështetëse).</w:t>
      </w:r>
    </w:p>
    <w:p w14:paraId="08248385" w14:textId="524EFE71"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Rastet kur kostot raportohen me faturë (zakonisht prokurimet)</w:t>
      </w:r>
    </w:p>
    <w:p w14:paraId="7BD62BC0"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20. Kosto në fluksin e punës - Shuma e faturës (para vlerësimit të shumës legjitime)</w:t>
      </w:r>
    </w:p>
    <w:p w14:paraId="62596BEB"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 xml:space="preserve">Faturat dhe raportet janë marrë, por ende nuk janë miratuar. </w:t>
      </w:r>
    </w:p>
    <w:p w14:paraId="1B8E0A4A" w14:textId="3B841E7A"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Rastet kur nuk ka faturë dhe kostot identifikohen nga një raport financiar (zakonisht grantet)</w:t>
      </w:r>
    </w:p>
    <w:p w14:paraId="332D6C49" w14:textId="77777777" w:rsidR="00A90756" w:rsidRPr="00A90756" w:rsidRDefault="00A90756" w:rsidP="00A90756">
      <w:pPr>
        <w:tabs>
          <w:tab w:val="left" w:pos="11402"/>
        </w:tabs>
        <w:autoSpaceDE w:val="0"/>
        <w:autoSpaceDN w:val="0"/>
        <w:adjustRightInd w:val="0"/>
        <w:spacing w:after="0" w:line="240" w:lineRule="auto"/>
        <w:ind w:firstLine="284"/>
        <w:rPr>
          <w:rFonts w:ascii="Garamond" w:eastAsia="Calibri" w:hAnsi="Garamond" w:cs="Calibri"/>
          <w:bCs/>
          <w:color w:val="000000"/>
          <w:sz w:val="24"/>
          <w:szCs w:val="24"/>
        </w:rPr>
      </w:pPr>
      <w:r w:rsidRPr="00A90756">
        <w:rPr>
          <w:rFonts w:ascii="Garamond" w:eastAsia="Calibri" w:hAnsi="Garamond" w:cs="Calibri"/>
          <w:bCs/>
          <w:color w:val="000000"/>
          <w:sz w:val="24"/>
          <w:szCs w:val="24"/>
        </w:rPr>
        <w:t>20. Kosto në fluksin e punës - Shuma e raportit financiar (para vlerësimit të shumës legjitime)</w:t>
      </w:r>
    </w:p>
    <w:p w14:paraId="709FF738" w14:textId="2A175438" w:rsidR="00A90756" w:rsidRDefault="00A90756" w:rsidP="00A90756">
      <w:pPr>
        <w:tabs>
          <w:tab w:val="left" w:pos="11402"/>
        </w:tabs>
        <w:autoSpaceDE w:val="0"/>
        <w:autoSpaceDN w:val="0"/>
        <w:adjustRightInd w:val="0"/>
        <w:spacing w:after="0" w:line="240" w:lineRule="auto"/>
        <w:ind w:firstLine="284"/>
        <w:rPr>
          <w:rFonts w:ascii="Garamond" w:eastAsia="Calibri" w:hAnsi="Garamond" w:cs="Calibri"/>
          <w:i/>
          <w:iCs/>
          <w:color w:val="000000"/>
          <w:sz w:val="24"/>
          <w:szCs w:val="24"/>
        </w:rPr>
      </w:pPr>
      <w:r w:rsidRPr="00A90756">
        <w:rPr>
          <w:rFonts w:ascii="Garamond" w:eastAsia="Calibri" w:hAnsi="Garamond" w:cs="Calibri"/>
          <w:i/>
          <w:iCs/>
          <w:color w:val="000000"/>
          <w:sz w:val="24"/>
          <w:szCs w:val="24"/>
        </w:rPr>
        <w:t>Raportet janë marrë, por ende nuk janë miratuar.</w:t>
      </w:r>
    </w:p>
    <w:p w14:paraId="5C06C3FB" w14:textId="77777777" w:rsidR="00E83321" w:rsidRPr="00A90756" w:rsidRDefault="00E83321" w:rsidP="00A90756">
      <w:pPr>
        <w:tabs>
          <w:tab w:val="left" w:pos="11402"/>
        </w:tabs>
        <w:autoSpaceDE w:val="0"/>
        <w:autoSpaceDN w:val="0"/>
        <w:adjustRightInd w:val="0"/>
        <w:spacing w:after="0" w:line="240" w:lineRule="auto"/>
        <w:ind w:firstLine="284"/>
        <w:rPr>
          <w:rFonts w:ascii="Garamond" w:eastAsia="Calibri" w:hAnsi="Garamond" w:cs="Times New Roman"/>
          <w:sz w:val="24"/>
          <w:szCs w:val="24"/>
        </w:rPr>
      </w:pPr>
    </w:p>
    <w:p w14:paraId="06A2126B" w14:textId="77777777" w:rsidR="00E83321" w:rsidRDefault="00E83321" w:rsidP="0062262A">
      <w:pPr>
        <w:tabs>
          <w:tab w:val="center" w:pos="4520"/>
          <w:tab w:val="right" w:pos="9060"/>
        </w:tabs>
        <w:autoSpaceDE w:val="0"/>
        <w:autoSpaceDN w:val="0"/>
        <w:adjustRightInd w:val="0"/>
        <w:spacing w:after="0" w:line="240" w:lineRule="auto"/>
        <w:ind w:firstLine="284"/>
        <w:jc w:val="center"/>
        <w:rPr>
          <w:rFonts w:ascii="Garamond" w:hAnsi="Garamond" w:cs="Times New Roman"/>
          <w:color w:val="000000"/>
          <w:sz w:val="24"/>
          <w:szCs w:val="24"/>
        </w:rPr>
      </w:pPr>
      <w:r w:rsidRPr="00A90756">
        <w:rPr>
          <w:rFonts w:ascii="Garamond" w:hAnsi="Garamond" w:cs="Times New Roman"/>
          <w:color w:val="000000"/>
          <w:sz w:val="24"/>
          <w:szCs w:val="24"/>
        </w:rPr>
        <w:t xml:space="preserve">MARRËVESHJE FINANCIMI BNK, NË KUADËR TË IPA III </w:t>
      </w:r>
      <w:r>
        <w:rPr>
          <w:rFonts w:ascii="Garamond" w:hAnsi="Garamond" w:cs="Times New Roman"/>
          <w:color w:val="000000"/>
          <w:sz w:val="24"/>
          <w:szCs w:val="24"/>
        </w:rPr>
        <w:t>–</w:t>
      </w:r>
      <w:r w:rsidRPr="00A90756">
        <w:rPr>
          <w:rFonts w:ascii="Garamond" w:hAnsi="Garamond" w:cs="Times New Roman"/>
          <w:color w:val="000000"/>
          <w:sz w:val="24"/>
          <w:szCs w:val="24"/>
        </w:rPr>
        <w:t xml:space="preserve"> SHTOJCA</w:t>
      </w:r>
      <w:r>
        <w:rPr>
          <w:rFonts w:ascii="Garamond" w:hAnsi="Garamond" w:cs="Times New Roman"/>
          <w:color w:val="000000"/>
          <w:sz w:val="24"/>
          <w:szCs w:val="24"/>
        </w:rPr>
        <w:t xml:space="preserve"> IV</w:t>
      </w:r>
    </w:p>
    <w:p w14:paraId="621734C6" w14:textId="3AC08459" w:rsidR="00A90756" w:rsidRDefault="00E83321" w:rsidP="0062262A">
      <w:pPr>
        <w:tabs>
          <w:tab w:val="center" w:pos="4520"/>
          <w:tab w:val="right" w:pos="9060"/>
        </w:tabs>
        <w:autoSpaceDE w:val="0"/>
        <w:autoSpaceDN w:val="0"/>
        <w:adjustRightInd w:val="0"/>
        <w:spacing w:after="0" w:line="240" w:lineRule="auto"/>
        <w:ind w:firstLine="284"/>
        <w:jc w:val="center"/>
        <w:rPr>
          <w:rFonts w:ascii="Garamond" w:hAnsi="Garamond" w:cs="Times New Roman"/>
          <w:color w:val="000000"/>
          <w:sz w:val="24"/>
          <w:szCs w:val="24"/>
        </w:rPr>
      </w:pPr>
      <w:r>
        <w:rPr>
          <w:rFonts w:ascii="Garamond" w:hAnsi="Garamond" w:cs="Times New Roman"/>
          <w:color w:val="000000"/>
          <w:sz w:val="24"/>
          <w:szCs w:val="24"/>
        </w:rPr>
        <w:t xml:space="preserve"> RAPORTI FINANCIAR (V. KORRIK 2022)</w:t>
      </w:r>
    </w:p>
    <w:p w14:paraId="37B807FD" w14:textId="77777777" w:rsidR="00E83321" w:rsidRDefault="00E83321" w:rsidP="0062262A">
      <w:pPr>
        <w:tabs>
          <w:tab w:val="center" w:pos="4520"/>
          <w:tab w:val="right" w:pos="9060"/>
        </w:tabs>
        <w:autoSpaceDE w:val="0"/>
        <w:autoSpaceDN w:val="0"/>
        <w:adjustRightInd w:val="0"/>
        <w:spacing w:after="0" w:line="240" w:lineRule="auto"/>
        <w:ind w:firstLine="284"/>
        <w:jc w:val="center"/>
        <w:rPr>
          <w:rFonts w:ascii="Garamond" w:hAnsi="Garamond" w:cs="Times New Roman"/>
          <w:color w:val="000000"/>
          <w:sz w:val="24"/>
          <w:szCs w:val="24"/>
        </w:rPr>
      </w:pPr>
    </w:p>
    <w:p w14:paraId="405A3E2A" w14:textId="77777777" w:rsidR="00A90756" w:rsidRPr="00A90756" w:rsidRDefault="00A90756" w:rsidP="0062262A">
      <w:pPr>
        <w:tabs>
          <w:tab w:val="center" w:pos="4520"/>
          <w:tab w:val="right" w:pos="9060"/>
        </w:tabs>
        <w:autoSpaceDE w:val="0"/>
        <w:autoSpaceDN w:val="0"/>
        <w:adjustRightInd w:val="0"/>
        <w:spacing w:after="0" w:line="240" w:lineRule="auto"/>
        <w:ind w:firstLine="284"/>
        <w:jc w:val="center"/>
        <w:rPr>
          <w:rFonts w:ascii="Garamond" w:hAnsi="Garamond" w:cs="Times New Roman"/>
          <w:color w:val="000000"/>
          <w:sz w:val="24"/>
          <w:szCs w:val="24"/>
        </w:rPr>
      </w:pPr>
      <w:bookmarkStart w:id="122" w:name="_GoBack"/>
      <w:bookmarkEnd w:id="122"/>
    </w:p>
    <w:p w14:paraId="014E49EE" w14:textId="2F508DBC" w:rsidR="0062262A" w:rsidRPr="00A90756" w:rsidRDefault="00181059" w:rsidP="0062262A">
      <w:pPr>
        <w:tabs>
          <w:tab w:val="center" w:pos="4520"/>
          <w:tab w:val="right" w:pos="9060"/>
        </w:tabs>
        <w:autoSpaceDE w:val="0"/>
        <w:autoSpaceDN w:val="0"/>
        <w:adjustRightInd w:val="0"/>
        <w:spacing w:after="0" w:line="240" w:lineRule="auto"/>
        <w:ind w:firstLine="284"/>
        <w:jc w:val="center"/>
        <w:rPr>
          <w:rFonts w:ascii="Garamond" w:hAnsi="Garamond" w:cs="Times New Roman"/>
          <w:color w:val="000000"/>
          <w:sz w:val="24"/>
          <w:szCs w:val="24"/>
        </w:rPr>
      </w:pPr>
      <w:r w:rsidRPr="00A90756">
        <w:rPr>
          <w:rFonts w:ascii="Garamond" w:hAnsi="Garamond" w:cs="Times New Roman"/>
          <w:color w:val="000000"/>
          <w:sz w:val="24"/>
          <w:szCs w:val="24"/>
        </w:rPr>
        <w:t>MARRËVESHJE FINANCIMI BNK, NË KUADËR TË IPA III - SHTOJCA V SPECIFIKIMET MINIMALE TË SISTEMIT TË KONTABILITETIT ME TË DREJTA DHE DETYRIME TË KONSTATUARA (V. KORRIK 2022)</w:t>
      </w:r>
    </w:p>
    <w:p w14:paraId="014E49EF" w14:textId="77777777" w:rsidR="0062262A" w:rsidRPr="00A90756" w:rsidRDefault="0062262A" w:rsidP="0062262A">
      <w:pPr>
        <w:tabs>
          <w:tab w:val="center" w:pos="4520"/>
          <w:tab w:val="right" w:pos="9060"/>
        </w:tabs>
        <w:autoSpaceDE w:val="0"/>
        <w:autoSpaceDN w:val="0"/>
        <w:adjustRightInd w:val="0"/>
        <w:spacing w:after="0" w:line="240" w:lineRule="auto"/>
        <w:ind w:firstLine="284"/>
        <w:jc w:val="center"/>
        <w:rPr>
          <w:rFonts w:ascii="Garamond" w:hAnsi="Garamond" w:cs="Times New Roman"/>
          <w:color w:val="000000"/>
          <w:sz w:val="24"/>
          <w:szCs w:val="24"/>
        </w:rPr>
      </w:pPr>
    </w:p>
    <w:p w14:paraId="014E49F0" w14:textId="77777777" w:rsidR="0062262A" w:rsidRPr="00A90756" w:rsidRDefault="0062262A" w:rsidP="0062262A">
      <w:pPr>
        <w:tabs>
          <w:tab w:val="center" w:pos="4520"/>
          <w:tab w:val="right" w:pos="9060"/>
        </w:tabs>
        <w:autoSpaceDE w:val="0"/>
        <w:autoSpaceDN w:val="0"/>
        <w:adjustRightInd w:val="0"/>
        <w:spacing w:after="0" w:line="240" w:lineRule="auto"/>
        <w:ind w:firstLine="284"/>
        <w:jc w:val="center"/>
        <w:rPr>
          <w:rFonts w:ascii="Garamond" w:hAnsi="Garamond" w:cs="Times New Roman"/>
          <w:b/>
          <w:color w:val="000000"/>
          <w:sz w:val="24"/>
          <w:szCs w:val="24"/>
        </w:rPr>
      </w:pPr>
      <w:r w:rsidRPr="00A90756">
        <w:rPr>
          <w:rFonts w:ascii="Garamond" w:hAnsi="Garamond" w:cs="Times New Roman"/>
          <w:b/>
          <w:color w:val="000000"/>
          <w:sz w:val="24"/>
          <w:szCs w:val="24"/>
        </w:rPr>
        <w:t>Shtojca V e Marrëveshjes së Financimit</w:t>
      </w:r>
    </w:p>
    <w:p w14:paraId="014E49F1" w14:textId="77777777" w:rsidR="0062262A" w:rsidRPr="00A90756" w:rsidRDefault="0062262A" w:rsidP="0062262A">
      <w:pPr>
        <w:autoSpaceDE w:val="0"/>
        <w:autoSpaceDN w:val="0"/>
        <w:adjustRightInd w:val="0"/>
        <w:spacing w:after="0" w:line="240" w:lineRule="auto"/>
        <w:ind w:firstLine="284"/>
        <w:jc w:val="center"/>
        <w:rPr>
          <w:rFonts w:ascii="Garamond" w:hAnsi="Garamond" w:cs="Times New Roman"/>
          <w:b/>
          <w:color w:val="000000"/>
          <w:sz w:val="24"/>
          <w:szCs w:val="24"/>
        </w:rPr>
      </w:pPr>
      <w:r w:rsidRPr="00A90756">
        <w:rPr>
          <w:rFonts w:ascii="Garamond" w:hAnsi="Garamond" w:cs="Times New Roman"/>
          <w:b/>
          <w:color w:val="000000"/>
          <w:sz w:val="24"/>
          <w:szCs w:val="24"/>
        </w:rPr>
        <w:t>Specifikimet minimale të sistemit të kontabilitetit me të drejta dhe detyrime të konstatuara</w:t>
      </w:r>
    </w:p>
    <w:p w14:paraId="014E49F2"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p>
    <w:p w14:paraId="014E49F3"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Sistemi i kontabilitetit të përfituesit të IPA III duhet të plotësojë kërkesat e mëposhtme:</w:t>
      </w:r>
    </w:p>
    <w:p w14:paraId="014E49F4"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1. Të pasqyrojë strukturën organizative që është krijuar për sistemet e kontrollit të brendshëm të përshtatur me realizimin e detyrave. Më konkretisht, përpara autorizimit të një operacioni, të gjithë aspektet (si operacionale dhe financiare) e operacionit duhet të verifikohen nga anëtarë të stafit krahas atyre që janë përgjegjës për nisjen e operacionit. Personi që do të merret me verifikimin nuk mund të jetë në varësi të atij që e ka filluar transaksionin.</w:t>
      </w:r>
    </w:p>
    <w:p w14:paraId="014E49F5"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2. Të përfshijë një gjurmim të auditimit për të gjitha transaksionet dhe amendimet.</w:t>
      </w:r>
    </w:p>
    <w:p w14:paraId="014E49F6"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3. Të ketë siguri fizike dhe elektronike të përshtatshme, duke përfshirë sistemet mbështetëse dhe ato të rikuperimit.</w:t>
      </w:r>
    </w:p>
    <w:p w14:paraId="014E49F7"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4. Sistemi i kontabilitetit duhet të ruajë të paktën informacionin e mëposhtëm për kontratat në nivel lokal nën menaxhimin e secilit program:</w:t>
      </w:r>
    </w:p>
    <w:p w14:paraId="014E49F8"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a) Numrin e referencës së kontratës;</w:t>
      </w:r>
    </w:p>
    <w:p w14:paraId="014E49F9"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b) Vlerën e kontratës duke përfshirë çdo amendim;</w:t>
      </w:r>
    </w:p>
    <w:p w14:paraId="014E49FA"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c) Datat e nënshkrimit të kontratës (për të dyja palët);</w:t>
      </w:r>
    </w:p>
    <w:p w14:paraId="014E49FB" w14:textId="26C490AE"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d) Datën e fillimit të zbatimit të kontratës</w:t>
      </w:r>
      <w:r w:rsidR="00181059" w:rsidRPr="00A90756">
        <w:rPr>
          <w:rFonts w:ascii="Garamond" w:hAnsi="Garamond" w:cs="Times New Roman"/>
          <w:color w:val="000000"/>
          <w:sz w:val="24"/>
          <w:szCs w:val="24"/>
        </w:rPr>
        <w:t>,</w:t>
      </w:r>
    </w:p>
    <w:p w14:paraId="014E49FC" w14:textId="6CC54070"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 xml:space="preserve">Kjo është krahas datës së nënshkrimit të kontratës dhe mund të ndryshojë prej saj, pasi data e fillimit të punimeve të kontratës jepet përmes një </w:t>
      </w:r>
      <w:r w:rsidR="00181059" w:rsidRPr="00A90756">
        <w:rPr>
          <w:rFonts w:ascii="Garamond" w:hAnsi="Garamond" w:cs="Times New Roman"/>
          <w:color w:val="000000"/>
          <w:sz w:val="24"/>
          <w:szCs w:val="24"/>
        </w:rPr>
        <w:t xml:space="preserve">urdhri administrativ </w:t>
      </w:r>
      <w:r w:rsidRPr="00A90756">
        <w:rPr>
          <w:rFonts w:ascii="Garamond" w:hAnsi="Garamond" w:cs="Times New Roman"/>
          <w:color w:val="000000"/>
          <w:sz w:val="24"/>
          <w:szCs w:val="24"/>
        </w:rPr>
        <w:t>pas nënshkrimit të kontratës</w:t>
      </w:r>
      <w:r w:rsidR="00181059" w:rsidRPr="00A90756">
        <w:rPr>
          <w:rFonts w:ascii="Garamond" w:hAnsi="Garamond" w:cs="Times New Roman"/>
          <w:color w:val="000000"/>
          <w:sz w:val="24"/>
          <w:szCs w:val="24"/>
        </w:rPr>
        <w:t>;</w:t>
      </w:r>
    </w:p>
    <w:p w14:paraId="014E49FD" w14:textId="3A3D38FA"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e) Datën e përfundimit të zbatimit të kontratës, duke përfshirë çdo amendim</w:t>
      </w:r>
      <w:r w:rsidR="00181059" w:rsidRPr="00A90756">
        <w:rPr>
          <w:rFonts w:ascii="Garamond" w:hAnsi="Garamond" w:cs="Times New Roman"/>
          <w:color w:val="000000"/>
          <w:sz w:val="24"/>
          <w:szCs w:val="24"/>
        </w:rPr>
        <w:t>,</w:t>
      </w:r>
    </w:p>
    <w:p w14:paraId="014E49FE" w14:textId="29CD0086"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Kjo është data e fundit në të cilën mund të shkaktohen kosto legjitime.</w:t>
      </w:r>
      <w:r w:rsidR="00C61854"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Ajo nuk përfshin asnjë periudhë garancie ose kohë në dispozicion për përgatitjen e raportit nga kontraktori</w:t>
      </w:r>
      <w:r w:rsidR="00181059" w:rsidRPr="00A90756">
        <w:rPr>
          <w:rFonts w:ascii="Garamond" w:hAnsi="Garamond" w:cs="Times New Roman"/>
          <w:color w:val="000000"/>
          <w:sz w:val="24"/>
          <w:szCs w:val="24"/>
        </w:rPr>
        <w:t>;</w:t>
      </w:r>
    </w:p>
    <w:p w14:paraId="014E49FF"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f) Totalin e paguar (kesh) sipas kontratës;</w:t>
      </w:r>
    </w:p>
    <w:p w14:paraId="014E4A00" w14:textId="01E4F293"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g) Financimin paraprak të paguar sipas kontratës</w:t>
      </w:r>
      <w:r w:rsidR="00181059" w:rsidRPr="00A90756">
        <w:rPr>
          <w:rFonts w:ascii="Garamond" w:hAnsi="Garamond" w:cs="Times New Roman"/>
          <w:color w:val="000000"/>
          <w:sz w:val="24"/>
          <w:szCs w:val="24"/>
        </w:rPr>
        <w:t>,</w:t>
      </w:r>
    </w:p>
    <w:p w14:paraId="014E4A01" w14:textId="2E448F64"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Njohja shprehimisht dhe regjistrimi në bilanc i financimit paraprak të kërkuar sipas kontratës</w:t>
      </w:r>
      <w:r w:rsidR="00181059" w:rsidRPr="00A90756">
        <w:rPr>
          <w:rFonts w:ascii="Garamond" w:hAnsi="Garamond" w:cs="Times New Roman"/>
          <w:color w:val="000000"/>
          <w:sz w:val="24"/>
          <w:szCs w:val="24"/>
        </w:rPr>
        <w:t>;</w:t>
      </w:r>
    </w:p>
    <w:p w14:paraId="014E4A02" w14:textId="3598281C"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lastRenderedPageBreak/>
        <w:t>h) Koston e njohur - të drejtpërdrejtë (sipas kontratës)</w:t>
      </w:r>
      <w:r w:rsidR="00181059" w:rsidRPr="00A90756">
        <w:rPr>
          <w:rFonts w:ascii="Garamond" w:hAnsi="Garamond" w:cs="Times New Roman"/>
          <w:color w:val="000000"/>
          <w:sz w:val="24"/>
          <w:szCs w:val="24"/>
        </w:rPr>
        <w:t>,</w:t>
      </w:r>
    </w:p>
    <w:p w14:paraId="014E4A03" w14:textId="36A7AF8F"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Njohja shprehimisht e kostos si shpenzim për vitin fiskal.</w:t>
      </w:r>
      <w:r w:rsidR="00C61854"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Disa pagesa do të bëjnë mbulim të drejtpërdrejtë të kostove që janë shkaktuar tashmë. Nuk ka asnjë financim paraprak të përfshirë. Ato mund të jenë pagesa përfundimtare ku tashmë është rakorduar çdo financim paraprak ose pagesa të ndërmjetme ku është rakorduar financimi paraprak, ose në rastet kur kontrata nuk përfshin dispozitën e financimit paraprak</w:t>
      </w:r>
      <w:r w:rsidR="00181059" w:rsidRPr="00A90756">
        <w:rPr>
          <w:rFonts w:ascii="Garamond" w:hAnsi="Garamond" w:cs="Times New Roman"/>
          <w:color w:val="000000"/>
          <w:sz w:val="24"/>
          <w:szCs w:val="24"/>
        </w:rPr>
        <w:t>,</w:t>
      </w:r>
    </w:p>
    <w:p w14:paraId="014E4A04"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i) Koston e njohur - të tërthortë (sipas kontratës);</w:t>
      </w:r>
    </w:p>
    <w:p w14:paraId="014E4A05" w14:textId="25B4F773"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Njohja shprehimisht e kostos si shpenzim për vitin fiskal.</w:t>
      </w:r>
      <w:r w:rsidR="00C61854"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Disa fatura apo pretendime kostosh të cilat janë dorëzuar nga përfituesi i grantit apo kontraktori, do të lidhen me kosto të cilat mbulohen nga financimi paraprak i paguar më herët gjatë periudhës së zbatimit të marrëveshjes ose kontratës së grantit. Në këto ras</w:t>
      </w:r>
      <w:r w:rsidR="00181059" w:rsidRPr="00A90756">
        <w:rPr>
          <w:rFonts w:ascii="Garamond" w:hAnsi="Garamond" w:cs="Times New Roman"/>
          <w:color w:val="000000"/>
          <w:sz w:val="24"/>
          <w:szCs w:val="24"/>
        </w:rPr>
        <w:t>t</w:t>
      </w:r>
      <w:r w:rsidRPr="00A90756">
        <w:rPr>
          <w:rFonts w:ascii="Garamond" w:hAnsi="Garamond" w:cs="Times New Roman"/>
          <w:color w:val="000000"/>
          <w:sz w:val="24"/>
          <w:szCs w:val="24"/>
        </w:rPr>
        <w:t>e, pagesa e bërë do të jetë më e vogël se kosto që është raportuar. Mund të jetë edhe zero nëse të gjitha kostot janë mbuluar nga financimi paraprak. (me siguri do të jetë zero nëse kostot e raportuara nuk mjaftojnë për të përthithur financimin paraprak dhe nëse është lëshuar një urdhër rikuperimi për bilancin e papërdorur nga financimi paraprak)</w:t>
      </w:r>
      <w:r w:rsidR="00181059" w:rsidRPr="00A90756">
        <w:rPr>
          <w:rFonts w:ascii="Garamond" w:hAnsi="Garamond" w:cs="Times New Roman"/>
          <w:color w:val="000000"/>
          <w:sz w:val="24"/>
          <w:szCs w:val="24"/>
        </w:rPr>
        <w:t>.</w:t>
      </w:r>
      <w:r w:rsidRPr="00A90756">
        <w:rPr>
          <w:rFonts w:ascii="Garamond" w:hAnsi="Garamond" w:cs="Times New Roman"/>
          <w:color w:val="000000"/>
          <w:sz w:val="24"/>
          <w:szCs w:val="24"/>
        </w:rPr>
        <w:t xml:space="preserve"> Në të gjitha këto raste sistemi duhet të regjistrojë si shpenzim vlerën e plotë të kostos legjitime të raportuar për vitin fiskal dhe të zbresë nga bilanci i financimit paraprak shumën e kostove që janë kompensuar nga financimi paraprak, në momentin që përcakton shumën që duhet të paguhet.</w:t>
      </w:r>
    </w:p>
    <w:p w14:paraId="014E4A06"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j) Urdhrat e rikuperimit për të zbritur financimin paraprak (sipas kontratës);</w:t>
      </w:r>
    </w:p>
    <w:p w14:paraId="014E4A07" w14:textId="332501CD"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Njohja e zbritjes së financimit paraprak në bilanc, pas rikuperimit të financimit paraprak që nuk është përdorur</w:t>
      </w:r>
      <w:r w:rsidR="00C6569B" w:rsidRPr="00A90756">
        <w:rPr>
          <w:rFonts w:ascii="Garamond" w:hAnsi="Garamond" w:cs="Times New Roman"/>
          <w:color w:val="000000"/>
          <w:sz w:val="24"/>
          <w:szCs w:val="24"/>
        </w:rPr>
        <w:t>;</w:t>
      </w:r>
    </w:p>
    <w:p w14:paraId="014E4A08" w14:textId="29F0A6E9"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 Urdhrat e rikuperimit për të zbritur koston (sipas kontratës)</w:t>
      </w:r>
      <w:r w:rsidR="00C6569B" w:rsidRPr="00A90756">
        <w:rPr>
          <w:rFonts w:ascii="Garamond" w:hAnsi="Garamond" w:cs="Times New Roman"/>
          <w:color w:val="000000"/>
          <w:sz w:val="24"/>
          <w:szCs w:val="24"/>
        </w:rPr>
        <w:t>,</w:t>
      </w:r>
    </w:p>
    <w:p w14:paraId="014E4A09" w14:textId="00F5E00E"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Kur bëhet rikuperim kundrejt kostove që janë pranuar më parë - me gjasa pas një hetimi për mashtrim. Në të tilla raste kostot e regjistruara për atë vit duhet të zbriten në rast se kostot janë pranuar në po të njëjtin vit kur ka ndodhur rikuperimi; ose regjistrohen të ardhurat (hyrjet) në rastin kur kostot janë pranuar një vit përpara atij kur ka ndodhur rikuperimi</w:t>
      </w:r>
      <w:r w:rsidR="00C6569B" w:rsidRPr="00A90756">
        <w:rPr>
          <w:rFonts w:ascii="Garamond" w:hAnsi="Garamond" w:cs="Times New Roman"/>
          <w:color w:val="000000"/>
          <w:sz w:val="24"/>
          <w:szCs w:val="24"/>
        </w:rPr>
        <w:t>;</w:t>
      </w:r>
    </w:p>
    <w:p w14:paraId="014E4A0A" w14:textId="77777777"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l) Datën e faturës së furnizuesit për çdo faturë ose dokument tjetër të shoqëruar nga një raport financiar që reflekton kostot e njohura;</w:t>
      </w:r>
    </w:p>
    <w:p w14:paraId="014E4A0B" w14:textId="09CAC923" w:rsidR="0062262A" w:rsidRPr="00A90756" w:rsidRDefault="0062262A" w:rsidP="0062262A">
      <w:pPr>
        <w:autoSpaceDE w:val="0"/>
        <w:autoSpaceDN w:val="0"/>
        <w:adjustRightInd w:val="0"/>
        <w:spacing w:after="0" w:line="240" w:lineRule="auto"/>
        <w:ind w:firstLine="284"/>
        <w:jc w:val="both"/>
        <w:rPr>
          <w:rFonts w:ascii="Garamond" w:hAnsi="Garamond" w:cs="Times New Roman"/>
          <w:color w:val="000000"/>
          <w:sz w:val="24"/>
          <w:szCs w:val="24"/>
        </w:rPr>
      </w:pPr>
      <w:r w:rsidRPr="00A90756">
        <w:rPr>
          <w:rFonts w:ascii="Garamond" w:hAnsi="Garamond" w:cs="Times New Roman"/>
          <w:color w:val="000000"/>
          <w:sz w:val="24"/>
          <w:szCs w:val="24"/>
        </w:rPr>
        <w:t>m)</w:t>
      </w:r>
      <w:r w:rsidR="00C61854" w:rsidRPr="00A90756">
        <w:rPr>
          <w:rFonts w:ascii="Garamond" w:hAnsi="Garamond" w:cs="Times New Roman"/>
          <w:color w:val="000000"/>
          <w:sz w:val="24"/>
          <w:szCs w:val="24"/>
        </w:rPr>
        <w:t xml:space="preserve"> </w:t>
      </w:r>
      <w:r w:rsidRPr="00A90756">
        <w:rPr>
          <w:rFonts w:ascii="Garamond" w:hAnsi="Garamond" w:cs="Times New Roman"/>
          <w:color w:val="000000"/>
          <w:sz w:val="24"/>
          <w:szCs w:val="24"/>
        </w:rPr>
        <w:t>Informacion kontekstual rreth rikuperimit për kostot jolegjitime dhe rikuperimet.</w:t>
      </w:r>
    </w:p>
    <w:p w14:paraId="014E4A0C" w14:textId="77777777" w:rsidR="008E52E9" w:rsidRPr="00A90756" w:rsidRDefault="008E52E9" w:rsidP="00EC73A8">
      <w:pPr>
        <w:spacing w:after="0" w:line="240" w:lineRule="auto"/>
        <w:ind w:firstLine="284"/>
        <w:rPr>
          <w:rFonts w:ascii="Garamond" w:hAnsi="Garamond"/>
          <w:sz w:val="24"/>
          <w:szCs w:val="24"/>
        </w:rPr>
      </w:pPr>
    </w:p>
    <w:sectPr w:rsidR="008E52E9" w:rsidRPr="00A90756" w:rsidSect="002132A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DF319" w14:textId="77777777" w:rsidR="00665BD2" w:rsidRDefault="00665BD2" w:rsidP="00EC73A8">
      <w:pPr>
        <w:spacing w:after="0" w:line="240" w:lineRule="auto"/>
      </w:pPr>
      <w:r>
        <w:separator/>
      </w:r>
    </w:p>
  </w:endnote>
  <w:endnote w:type="continuationSeparator" w:id="0">
    <w:p w14:paraId="4723D74E" w14:textId="77777777" w:rsidR="00665BD2" w:rsidRDefault="00665BD2" w:rsidP="00EC73A8">
      <w:pPr>
        <w:spacing w:after="0" w:line="240" w:lineRule="auto"/>
      </w:pPr>
      <w:r>
        <w:continuationSeparator/>
      </w:r>
    </w:p>
  </w:endnote>
  <w:endnote w:type="continuationNotice" w:id="1">
    <w:p w14:paraId="50C027E0" w14:textId="77777777" w:rsidR="00665BD2" w:rsidRDefault="00665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68574" w14:textId="77777777" w:rsidR="00665BD2" w:rsidRDefault="00665BD2" w:rsidP="00EC73A8">
      <w:pPr>
        <w:spacing w:after="0" w:line="240" w:lineRule="auto"/>
      </w:pPr>
      <w:r>
        <w:separator/>
      </w:r>
    </w:p>
  </w:footnote>
  <w:footnote w:type="continuationSeparator" w:id="0">
    <w:p w14:paraId="46E3E654" w14:textId="77777777" w:rsidR="00665BD2" w:rsidRDefault="00665BD2" w:rsidP="00EC73A8">
      <w:pPr>
        <w:spacing w:after="0" w:line="240" w:lineRule="auto"/>
      </w:pPr>
      <w:r>
        <w:continuationSeparator/>
      </w:r>
    </w:p>
  </w:footnote>
  <w:footnote w:type="continuationNotice" w:id="1">
    <w:p w14:paraId="3F060B9A" w14:textId="77777777" w:rsidR="00665BD2" w:rsidRDefault="00665BD2">
      <w:pPr>
        <w:spacing w:after="0" w:line="240" w:lineRule="auto"/>
      </w:pPr>
    </w:p>
  </w:footnote>
  <w:footnote w:id="2">
    <w:p w14:paraId="014E4A1D" w14:textId="04A15E82" w:rsidR="00665BD2" w:rsidRPr="00D06E61" w:rsidRDefault="00665BD2" w:rsidP="006F2E6B">
      <w:pPr>
        <w:autoSpaceDE w:val="0"/>
        <w:autoSpaceDN w:val="0"/>
        <w:adjustRightInd w:val="0"/>
        <w:spacing w:after="0" w:line="240" w:lineRule="auto"/>
        <w:jc w:val="both"/>
        <w:rPr>
          <w:rFonts w:ascii="Garamond" w:hAnsi="Garamond" w:cs="Times New Roman"/>
          <w:color w:val="000000"/>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Fonts w:ascii="Garamond" w:hAnsi="Garamond" w:cs="Times New Roman"/>
          <w:color w:val="000000"/>
          <w:sz w:val="18"/>
          <w:szCs w:val="18"/>
        </w:rPr>
        <w:t>Rregullorja (BE) 2021/1529 e Parlamentit Evropian dhe e Këshillit, datë 15 shtator 2021, “Për krijimin e Instrumentit për Asistencën e Paraanëtarësimit (IPA III)”, Gazeta Zyrtare L 330, 20.9.2021, f. 1.</w:t>
      </w:r>
    </w:p>
    <w:p w14:paraId="014E4A1E" w14:textId="77777777" w:rsidR="00665BD2" w:rsidRPr="00D06E61" w:rsidRDefault="00665BD2" w:rsidP="006F2E6B">
      <w:pPr>
        <w:pStyle w:val="FootnoteText"/>
        <w:spacing w:after="0" w:line="240" w:lineRule="auto"/>
        <w:ind w:left="0" w:firstLine="0"/>
        <w:rPr>
          <w:sz w:val="18"/>
          <w:szCs w:val="18"/>
        </w:rPr>
      </w:pPr>
    </w:p>
  </w:footnote>
  <w:footnote w:id="3">
    <w:p w14:paraId="014E4A1F" w14:textId="77777777" w:rsidR="00665BD2" w:rsidRPr="00930B35" w:rsidRDefault="00665BD2" w:rsidP="006F2E6B">
      <w:pPr>
        <w:pStyle w:val="FootnoteText"/>
        <w:spacing w:after="0" w:line="240" w:lineRule="auto"/>
        <w:ind w:left="0" w:firstLine="0"/>
        <w:rPr>
          <w:rFonts w:ascii="Garamond" w:hAnsi="Garamond"/>
          <w:sz w:val="18"/>
          <w:szCs w:val="18"/>
        </w:rPr>
      </w:pPr>
      <w:r w:rsidRPr="00930B35">
        <w:rPr>
          <w:rStyle w:val="FootnoteReference"/>
          <w:rFonts w:ascii="Garamond" w:hAnsi="Garamond"/>
          <w:sz w:val="18"/>
          <w:szCs w:val="18"/>
        </w:rPr>
        <w:footnoteRef/>
      </w:r>
      <w:r w:rsidRPr="00930B35">
        <w:rPr>
          <w:rFonts w:ascii="Garamond" w:hAnsi="Garamond"/>
          <w:sz w:val="18"/>
          <w:szCs w:val="18"/>
        </w:rPr>
        <w:t xml:space="preserve"> </w:t>
      </w:r>
      <w:r w:rsidRPr="00930B35">
        <w:rPr>
          <w:rStyle w:val="Tablecaption1"/>
          <w:rFonts w:ascii="Garamond" w:hAnsi="Garamond"/>
        </w:rPr>
        <w:t>Sektorët e DAC (kodet dhe përshkrimet) paraqiten në kolonën e parë dhe të katërt të skedës 'kodet e qëllimit' në dokumentin vijues:</w:t>
      </w:r>
      <w:hyperlink w:history="1">
        <w:r w:rsidRPr="00930B35">
          <w:rPr>
            <w:rStyle w:val="Hyperlink"/>
            <w:rFonts w:ascii="Garamond" w:hAnsi="Garamond"/>
            <w:sz w:val="18"/>
            <w:szCs w:val="18"/>
          </w:rPr>
          <w:t xml:space="preserve"> http://www.oecd.org/dac/financing-sustainable-development/development-</w:t>
        </w:r>
      </w:hyperlink>
      <w:hyperlink r:id="rId1" w:history="1">
        <w:r w:rsidRPr="00930B35">
          <w:rPr>
            <w:rStyle w:val="Tablecaption1"/>
            <w:rFonts w:ascii="Garamond" w:hAnsi="Garamond"/>
            <w:color w:val="0000FF"/>
            <w:u w:val="single"/>
          </w:rPr>
          <w:t>financestandards/dacandcrscodelists.htm</w:t>
        </w:r>
      </w:hyperlink>
    </w:p>
  </w:footnote>
  <w:footnote w:id="4">
    <w:p w14:paraId="014E4A20" w14:textId="6C43AA98" w:rsidR="00665BD2" w:rsidRPr="00930B35" w:rsidRDefault="00665BD2" w:rsidP="006F2E6B">
      <w:pPr>
        <w:pStyle w:val="FootnoteText"/>
        <w:spacing w:after="0" w:line="240" w:lineRule="auto"/>
        <w:ind w:left="0" w:firstLine="0"/>
        <w:rPr>
          <w:rFonts w:ascii="Garamond" w:hAnsi="Garamond"/>
          <w:sz w:val="18"/>
          <w:szCs w:val="18"/>
        </w:rPr>
      </w:pPr>
      <w:r w:rsidRPr="00930B35">
        <w:rPr>
          <w:rStyle w:val="FootnoteReference"/>
          <w:rFonts w:ascii="Garamond" w:hAnsi="Garamond"/>
          <w:sz w:val="18"/>
          <w:szCs w:val="18"/>
        </w:rPr>
        <w:footnoteRef/>
      </w:r>
      <w:r w:rsidRPr="00930B35">
        <w:rPr>
          <w:rFonts w:ascii="Garamond" w:hAnsi="Garamond"/>
          <w:sz w:val="18"/>
          <w:szCs w:val="18"/>
        </w:rPr>
        <w:t xml:space="preserve"> Strukturat dhe përgjegjësitë përkatëse do të përcaktohen në përputhje me kuadrin legjislativ për IPA III, me Marrëveshjen korresponduese të partneritetit kuadër dhe me Marrëveshjen Financiare</w:t>
      </w:r>
    </w:p>
  </w:footnote>
  <w:footnote w:id="5">
    <w:p w14:paraId="014E4A21" w14:textId="37DA1D63" w:rsidR="00665BD2" w:rsidRPr="00D06E61" w:rsidRDefault="00665BD2" w:rsidP="006F2E6B">
      <w:pPr>
        <w:pStyle w:val="Footnote10"/>
        <w:ind w:left="0"/>
        <w:rPr>
          <w:rFonts w:ascii="Garamond" w:hAnsi="Garamond"/>
        </w:rPr>
      </w:pPr>
      <w:r w:rsidRPr="00D06E61">
        <w:rPr>
          <w:rStyle w:val="Footnote1"/>
          <w:rFonts w:ascii="Garamond" w:eastAsia="Times New Roman" w:hAnsi="Garamond" w:cs="Times New Roman"/>
          <w:vertAlign w:val="superscript"/>
        </w:rPr>
        <w:footnoteRef/>
      </w:r>
      <w:r w:rsidRPr="00D06E61">
        <w:rPr>
          <w:rStyle w:val="Footnote1"/>
          <w:rFonts w:ascii="Garamond" w:eastAsia="Times New Roman" w:hAnsi="Garamond" w:cs="Times New Roman"/>
        </w:rPr>
        <w:t xml:space="preserve"> COM(2020) 641, 6.10.2020.</w:t>
      </w:r>
    </w:p>
  </w:footnote>
  <w:footnote w:id="6">
    <w:p w14:paraId="014E4A22" w14:textId="45A63C07" w:rsidR="00665BD2" w:rsidRPr="00D06E61" w:rsidRDefault="00665BD2" w:rsidP="006F2E6B">
      <w:pPr>
        <w:pStyle w:val="Footnote10"/>
        <w:ind w:left="0"/>
        <w:rPr>
          <w:rFonts w:ascii="Garamond" w:hAnsi="Garamond"/>
        </w:rPr>
      </w:pPr>
      <w:r w:rsidRPr="00D06E61">
        <w:rPr>
          <w:rStyle w:val="Footnote1"/>
          <w:rFonts w:ascii="Garamond" w:eastAsia="Times New Roman" w:hAnsi="Garamond" w:cs="Times New Roman"/>
          <w:vertAlign w:val="superscript"/>
        </w:rPr>
        <w:footnoteRef/>
      </w:r>
      <w:r w:rsidRPr="00D06E61">
        <w:rPr>
          <w:rStyle w:val="Footnote1"/>
          <w:rFonts w:ascii="Garamond" w:eastAsia="Times New Roman" w:hAnsi="Garamond" w:cs="Times New Roman"/>
        </w:rPr>
        <w:t xml:space="preserve"> SWD(2020) 223, 6.10.2020.</w:t>
      </w:r>
    </w:p>
  </w:footnote>
  <w:footnote w:id="7">
    <w:p w14:paraId="014E4A23" w14:textId="43BFAC7F"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Fonts w:ascii="Garamond" w:hAnsi="Garamond"/>
          <w:color w:val="0000FF"/>
          <w:sz w:val="18"/>
          <w:szCs w:val="18"/>
        </w:rPr>
        <w:t>https://ec.europa.eu/neighbourhood-enlargement/sites/near/files/20180817-revised-indicative-strategy-paper-2014-2020-for-montenegro.pdf</w:t>
      </w:r>
      <w:r w:rsidRPr="00D06E61">
        <w:rPr>
          <w:rFonts w:ascii="Garamond" w:hAnsi="Garamond"/>
          <w:sz w:val="18"/>
          <w:szCs w:val="18"/>
        </w:rPr>
        <w:t>.</w:t>
      </w:r>
      <w:r>
        <w:rPr>
          <w:rFonts w:ascii="Garamond" w:hAnsi="Garamond"/>
          <w:sz w:val="18"/>
          <w:szCs w:val="18"/>
        </w:rPr>
        <w:t xml:space="preserve"> </w:t>
      </w:r>
    </w:p>
  </w:footnote>
  <w:footnote w:id="8">
    <w:p w14:paraId="014E4A24" w14:textId="3AB239F5"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Fonts w:ascii="Garamond" w:hAnsi="Garamond"/>
          <w:color w:val="0000FF"/>
          <w:sz w:val="18"/>
          <w:szCs w:val="18"/>
        </w:rPr>
        <w:t>https://ec.europa.eu/neighbourhood-enlargement/sites/near/files/20180817-revised-indicative-strategy-paper-2014-2020-for-albania.pdf</w:t>
      </w:r>
      <w:r w:rsidRPr="00D06E61">
        <w:rPr>
          <w:rFonts w:ascii="Garamond" w:hAnsi="Garamond"/>
          <w:sz w:val="18"/>
          <w:szCs w:val="18"/>
        </w:rPr>
        <w:t>.</w:t>
      </w:r>
      <w:r>
        <w:rPr>
          <w:rFonts w:ascii="Garamond" w:hAnsi="Garamond"/>
          <w:sz w:val="18"/>
          <w:szCs w:val="18"/>
        </w:rPr>
        <w:t xml:space="preserve"> </w:t>
      </w:r>
    </w:p>
  </w:footnote>
  <w:footnote w:id="9">
    <w:p w14:paraId="014E4A25" w14:textId="58B0305E"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Burimi: Plani Zhvillimor Strategjik i Komunës Kolashin 2018</w:t>
      </w:r>
      <w:r w:rsidRPr="00D06E61">
        <w:rPr>
          <w:rStyle w:val="SubtleEmphasis"/>
          <w:rFonts w:ascii="Garamond" w:hAnsi="Garamond"/>
          <w:i w:val="0"/>
          <w:iCs w:val="0"/>
        </w:rPr>
        <w:t>–</w:t>
      </w:r>
      <w:r w:rsidRPr="00D06E61">
        <w:rPr>
          <w:rStyle w:val="Footnote1"/>
          <w:rFonts w:ascii="Garamond" w:hAnsi="Garamond"/>
        </w:rPr>
        <w:t>2022.</w:t>
      </w:r>
    </w:p>
  </w:footnote>
  <w:footnote w:id="10">
    <w:p w14:paraId="014E4A26" w14:textId="35D29F66" w:rsidR="00665BD2" w:rsidRPr="00B5407B" w:rsidRDefault="00665BD2" w:rsidP="006F2E6B">
      <w:pPr>
        <w:pStyle w:val="Footnote10"/>
        <w:ind w:left="0"/>
        <w:rPr>
          <w:rFonts w:ascii="Garamond" w:hAnsi="Garamond"/>
        </w:rPr>
      </w:pPr>
      <w:r w:rsidRPr="00B5407B">
        <w:rPr>
          <w:rStyle w:val="Footnote1"/>
          <w:rFonts w:ascii="Garamond" w:hAnsi="Garamond"/>
          <w:vertAlign w:val="superscript"/>
        </w:rPr>
        <w:footnoteRef/>
      </w:r>
      <w:r w:rsidRPr="00B5407B">
        <w:rPr>
          <w:rStyle w:val="Footnote1"/>
          <w:rFonts w:ascii="Garamond" w:hAnsi="Garamond"/>
        </w:rPr>
        <w:t xml:space="preserve"> Grupi i Bankës Botërore, Raporti Ekonomik nr. 17 i Ballkanit Perëndimor, Pranverë 2020, Ndikimi Ekonomik dhe Social i COVID-19, Përmbledhje.</w:t>
      </w:r>
    </w:p>
  </w:footnote>
  <w:footnote w:id="11">
    <w:p w14:paraId="014E4A27" w14:textId="4234BAE7"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Llojet e iniciativave: Iniciativa duhet kuptuar si një grup aktivitetesh të dakordësuara dhe të zbatuara në mënyrë të koordinuar për të arritur një rezultat të caktuar. Në shumicën e rasteve, mund të ketë vetëm 1 iniciativë të përbashkët që synon të arrijë të njëjtin rezultat në 1 projekt NBK.</w:t>
      </w:r>
    </w:p>
  </w:footnote>
  <w:footnote w:id="12">
    <w:p w14:paraId="014E4A28" w14:textId="77777777" w:rsidR="00665BD2" w:rsidRPr="00D06E61" w:rsidRDefault="00665BD2" w:rsidP="006F2E6B">
      <w:pPr>
        <w:pStyle w:val="Footnote10"/>
        <w:ind w:left="0"/>
        <w:jc w:val="both"/>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Personat juridikë që pritet të zbatojnë operacionet e BNK-së sipas këtij prioriteti tematik.</w:t>
      </w:r>
    </w:p>
  </w:footnote>
  <w:footnote w:id="13">
    <w:p w14:paraId="014E4A29" w14:textId="419C1507"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Si bazë do të merret viti 2020 për të kapur efektet e COVID-19. Të dhënat nuk janë publikuar ende në momentin e dorëzimit të dokumentit të programit.</w:t>
      </w:r>
    </w:p>
  </w:footnote>
  <w:footnote w:id="14">
    <w:p w14:paraId="014E4A2A" w14:textId="77777777" w:rsidR="00665BD2" w:rsidRPr="00D06E61" w:rsidRDefault="00665BD2" w:rsidP="006F2E6B">
      <w:pPr>
        <w:pStyle w:val="Footnote10"/>
        <w:ind w:left="0"/>
        <w:jc w:val="both"/>
        <w:rPr>
          <w:rFonts w:ascii="Garamond" w:hAnsi="Garamond"/>
        </w:rPr>
      </w:pPr>
      <w:r w:rsidRPr="001418CE">
        <w:rPr>
          <w:rStyle w:val="Footnote1"/>
          <w:rFonts w:ascii="Garamond" w:hAnsi="Garamond"/>
          <w:color w:val="222222"/>
          <w:vertAlign w:val="superscript"/>
        </w:rPr>
        <w:footnoteRef/>
      </w:r>
      <w:r w:rsidRPr="001418CE">
        <w:rPr>
          <w:rStyle w:val="Footnote1"/>
          <w:rFonts w:ascii="Garamond" w:hAnsi="Garamond"/>
          <w:color w:val="222222"/>
          <w:vertAlign w:val="superscript"/>
        </w:rPr>
        <w:t xml:space="preserve"> </w:t>
      </w:r>
      <w:r w:rsidRPr="00D06E61">
        <w:rPr>
          <w:rStyle w:val="Footnote1"/>
          <w:rFonts w:ascii="Garamond" w:hAnsi="Garamond"/>
          <w:color w:val="222222"/>
        </w:rPr>
        <w:t>Ju lutem vini re se subjektet juridike që zbatojnë operacione që përfshijnë zona të trashëgimisë natyrore dhe kulturore dhe që aspirojnë të rrisin numrin e vizitorëve në ato vende duhet të përfshijnë midis aktiviteteve të projektit të tyre një plan veprimi për menaxhimin e vizitorëve. Një kërkesë e tillë do të duhet të pasqyrohet në udhëzimet përkatëse për aplikantët e thirrjes për propozime.</w:t>
      </w:r>
    </w:p>
  </w:footnote>
  <w:footnote w:id="15">
    <w:p w14:paraId="014E4A2B" w14:textId="77777777" w:rsidR="00665BD2" w:rsidRPr="00D06E61" w:rsidRDefault="00665BD2" w:rsidP="006F2E6B">
      <w:pPr>
        <w:pStyle w:val="Footnote10"/>
        <w:ind w:left="0"/>
        <w:rPr>
          <w:rFonts w:ascii="Garamond" w:hAnsi="Garamond"/>
        </w:rPr>
      </w:pPr>
      <w:r w:rsidRPr="001418CE">
        <w:rPr>
          <w:rStyle w:val="Footnote1"/>
          <w:rFonts w:ascii="Garamond" w:hAnsi="Garamond"/>
          <w:color w:val="222222"/>
          <w:vertAlign w:val="superscript"/>
        </w:rPr>
        <w:footnoteRef/>
      </w:r>
      <w:r w:rsidRPr="00D06E61">
        <w:rPr>
          <w:rStyle w:val="Footnote1"/>
          <w:rFonts w:ascii="Garamond" w:hAnsi="Garamond"/>
          <w:color w:val="222222"/>
        </w:rPr>
        <w:t xml:space="preserve"> Produkte turistike me kuptim të komercializuar të bëra të dukshme dhe të njohura si për tregun kombëtar, ndërkufitar, rajonal dhe ndërkombëtar dhe, mbi të gjitha, të ofruara në këto tregje nga operatorë turistikë aktivë në zonë.</w:t>
      </w:r>
    </w:p>
  </w:footnote>
  <w:footnote w:id="16">
    <w:p w14:paraId="014E4A2C" w14:textId="1BDF7819"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Style w:val="Footnote1"/>
          <w:rFonts w:ascii="Garamond" w:hAnsi="Garamond"/>
        </w:rPr>
        <w:t>Qëndrueshmëria i referohet ndikimit që do të kenë edhe veprimet si në turizëm ashtu edhe në mjedis</w:t>
      </w:r>
      <w:r>
        <w:rPr>
          <w:rStyle w:val="Footnote1"/>
          <w:rFonts w:ascii="Garamond" w:hAnsi="Garamond"/>
        </w:rPr>
        <w:t>.</w:t>
      </w:r>
    </w:p>
  </w:footnote>
  <w:footnote w:id="17">
    <w:p w14:paraId="014E4A2D" w14:textId="565EA46E" w:rsidR="00665BD2" w:rsidRPr="00D06E61" w:rsidRDefault="00665BD2" w:rsidP="006F2E6B">
      <w:pPr>
        <w:pStyle w:val="Footnote10"/>
        <w:ind w:left="0"/>
        <w:jc w:val="both"/>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w:t>
      </w:r>
      <w:r w:rsidRPr="00D06E61">
        <w:rPr>
          <w:rFonts w:ascii="Garamond" w:hAnsi="Garamond"/>
        </w:rPr>
        <w:t>Një produkt turistik është një kombinim i elementeve të prekshme dhe të paprekshme, të tilla si natyrore, kulturore dhe të krijuara nga njeriu</w:t>
      </w:r>
      <w:r>
        <w:rPr>
          <w:rFonts w:ascii="Garamond" w:hAnsi="Garamond"/>
        </w:rPr>
        <w:t>,</w:t>
      </w:r>
      <w:r w:rsidRPr="00D06E61">
        <w:rPr>
          <w:rFonts w:ascii="Garamond" w:hAnsi="Garamond"/>
        </w:rPr>
        <w:t xml:space="preserve"> burimet, atraksionet, objektet, shërbimet dhe aktivitetet rreth një qendre specifike interesi e cila përfaqëson thelbin e përzierjen e marketingut të destinacionit dhe krijon një përvojë të përgjithshme të vizitorit duke përfshirë aspektet emocionale për </w:t>
      </w:r>
      <w:r w:rsidRPr="00601BD3">
        <w:rPr>
          <w:rFonts w:ascii="Garamond" w:hAnsi="Garamond"/>
        </w:rPr>
        <w:t>potencialin klientët.</w:t>
      </w:r>
      <w:r w:rsidRPr="00D06E61">
        <w:rPr>
          <w:rFonts w:ascii="Garamond" w:hAnsi="Garamond"/>
        </w:rPr>
        <w:t xml:space="preserve"> Një produkt turistik vlerësohet dhe shitet përmes kanaleve të shpërndarjes dhe ka një cikël jetësor”, Burimi: UNWTO. Në ai respekt si produkt turistik i ri ose i përmirësuar i BK-së duhet të konsiderohet çdo kombinim i prekshëm dhe i paprekshëm</w:t>
      </w:r>
      <w:r>
        <w:rPr>
          <w:rFonts w:ascii="Garamond" w:hAnsi="Garamond"/>
        </w:rPr>
        <w:t>,</w:t>
      </w:r>
      <w:r w:rsidRPr="00D06E61">
        <w:rPr>
          <w:rFonts w:ascii="Garamond" w:hAnsi="Garamond"/>
        </w:rPr>
        <w:t xml:space="preserve"> elemente si</w:t>
      </w:r>
      <w:r>
        <w:rPr>
          <w:rFonts w:ascii="Garamond" w:hAnsi="Garamond"/>
        </w:rPr>
        <w:t>:</w:t>
      </w:r>
      <w:r w:rsidRPr="00D06E61">
        <w:rPr>
          <w:rFonts w:ascii="Garamond" w:hAnsi="Garamond"/>
        </w:rPr>
        <w:t xml:space="preserve"> burimet natyrore, kulturore dhe të krijuara nga njeriu, atraksionet, objektet, shërbimet dhe aktivitetet nga të dyja anët e kufirit rreth një qendre specifike interesi, të zhvilluar ose përmirësuar nga përfituesit e këtij programi dhe të ofruara në treg.</w:t>
      </w:r>
    </w:p>
  </w:footnote>
  <w:footnote w:id="18">
    <w:p w14:paraId="014E4A2E" w14:textId="77777777" w:rsidR="00665BD2" w:rsidRPr="00D06E61" w:rsidRDefault="00665BD2" w:rsidP="006F2E6B">
      <w:pPr>
        <w:pStyle w:val="Footnote10"/>
        <w:ind w:left="0"/>
        <w:jc w:val="both"/>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Personat juridikë që pritet të zbatojnë operacionet e BNK-së sipas këtij prioriteti tematik.</w:t>
      </w:r>
    </w:p>
  </w:footnote>
  <w:footnote w:id="19">
    <w:p w14:paraId="014E4A2F" w14:textId="3BF84235"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Qofshin ato që janë ofrues të licencuar të arsimit praktik të AFP-së, qoftë institucione partnere të përfshira në aktivitete shkollore/jashtëshkollore dhe në projekte shkollore.</w:t>
      </w:r>
    </w:p>
  </w:footnote>
  <w:footnote w:id="20">
    <w:p w14:paraId="014E4A30" w14:textId="5DF2B375"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w:t>
      </w:r>
      <w:r w:rsidRPr="00D06E61">
        <w:rPr>
          <w:rFonts w:ascii="Garamond" w:eastAsia="Times New Roman" w:hAnsi="Garamond" w:cs="Times New Roman"/>
        </w:rPr>
        <w:t>Qeveria e Malit të Zi, Strategjia Kombëtare për Zhvillim të Qëndrueshëm 2030, 2017, f. 297.</w:t>
      </w:r>
    </w:p>
  </w:footnote>
  <w:footnote w:id="21">
    <w:p w14:paraId="014E4A31" w14:textId="2D054E1C" w:rsidR="00665BD2" w:rsidRPr="00D06E61" w:rsidRDefault="00665BD2" w:rsidP="006F2E6B">
      <w:pPr>
        <w:pStyle w:val="Footnote10"/>
        <w:tabs>
          <w:tab w:val="left" w:pos="6547"/>
        </w:tabs>
        <w:ind w:left="0"/>
        <w:rPr>
          <w:rStyle w:val="Hyperlink"/>
          <w:rFonts w:ascii="Garamond" w:hAnsi="Garamond"/>
        </w:rPr>
      </w:pPr>
      <w:r w:rsidRPr="00D06E61">
        <w:rPr>
          <w:rStyle w:val="Footnote1"/>
          <w:rFonts w:ascii="Garamond" w:hAnsi="Garamond"/>
          <w:i/>
          <w:iCs/>
          <w:vertAlign w:val="superscript"/>
        </w:rPr>
        <w:footnoteRef/>
      </w:r>
      <w:r w:rsidRPr="00D06E61">
        <w:rPr>
          <w:rStyle w:val="Footnote1"/>
          <w:rFonts w:ascii="Garamond" w:hAnsi="Garamond"/>
        </w:rPr>
        <w:t xml:space="preserve"> </w:t>
      </w:r>
      <w:r w:rsidRPr="00D06E61">
        <w:rPr>
          <w:rFonts w:ascii="Garamond" w:eastAsia="Times New Roman" w:hAnsi="Garamond" w:cs="Times New Roman"/>
        </w:rPr>
        <w:t>Strategjia Kombëtare dhe Plani i Veprimit për Barazinë Gjinore 2016</w:t>
      </w:r>
      <w:r w:rsidRPr="00D06E61">
        <w:rPr>
          <w:rStyle w:val="SubtleEmphasis"/>
          <w:rFonts w:ascii="Garamond" w:hAnsi="Garamond"/>
          <w:i w:val="0"/>
          <w:iCs w:val="0"/>
        </w:rPr>
        <w:t>–</w:t>
      </w:r>
      <w:r w:rsidRPr="00D06E61">
        <w:rPr>
          <w:rFonts w:ascii="Garamond" w:eastAsia="Times New Roman" w:hAnsi="Garamond" w:cs="Times New Roman"/>
        </w:rPr>
        <w:t>2020.</w:t>
      </w:r>
      <w:r w:rsidRPr="00D06E61">
        <w:rPr>
          <w:rStyle w:val="Footnote1"/>
          <w:rFonts w:ascii="Garamond" w:hAnsi="Garamond"/>
        </w:rPr>
        <w:t xml:space="preserve"> </w:t>
      </w:r>
      <w:hyperlink r:id="rId2" w:history="1">
        <w:r w:rsidRPr="00D06E61">
          <w:rPr>
            <w:rStyle w:val="Hyperlink"/>
            <w:rFonts w:ascii="Garamond" w:hAnsi="Garamond"/>
          </w:rPr>
          <w:t>https://awenetwork.org/wp-</w:t>
        </w:r>
      </w:hyperlink>
      <w:r w:rsidRPr="00D06E61">
        <w:rPr>
          <w:rStyle w:val="Hyperlink"/>
          <w:rFonts w:ascii="Garamond" w:hAnsi="Garamond"/>
        </w:rPr>
        <w:t>content/uploads/2017/01/SKGJB-EN-web.pdf.</w:t>
      </w:r>
    </w:p>
  </w:footnote>
  <w:footnote w:id="22">
    <w:p w14:paraId="014E4A32" w14:textId="1C382ED3"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Kjo mund të rregullohet me zbatimin e një përqindjeje maksimale për këtë qëllim nga kostot totale të pranueshme të masës.</w:t>
      </w:r>
    </w:p>
  </w:footnote>
  <w:footnote w:id="23">
    <w:p w14:paraId="014E4A33" w14:textId="4C13184A"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COM</w:t>
      </w:r>
      <w:r>
        <w:rPr>
          <w:rFonts w:ascii="Garamond" w:hAnsi="Garamond"/>
          <w:sz w:val="18"/>
          <w:szCs w:val="18"/>
        </w:rPr>
        <w:t xml:space="preserve"> </w:t>
      </w:r>
      <w:r w:rsidRPr="00D06E61">
        <w:rPr>
          <w:rFonts w:ascii="Garamond" w:hAnsi="Garamond"/>
          <w:sz w:val="18"/>
          <w:szCs w:val="18"/>
        </w:rPr>
        <w:t>(2019) 640 final.</w:t>
      </w:r>
    </w:p>
  </w:footnote>
  <w:footnote w:id="24">
    <w:p w14:paraId="014E4A34" w14:textId="1397AB6C"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Pr>
          <w:rFonts w:ascii="Garamond" w:hAnsi="Garamond"/>
          <w:sz w:val="18"/>
          <w:szCs w:val="18"/>
        </w:rPr>
        <w:t xml:space="preserve"> </w:t>
      </w:r>
      <w:r w:rsidRPr="00D06E61">
        <w:rPr>
          <w:rFonts w:ascii="Garamond" w:hAnsi="Garamond"/>
          <w:sz w:val="18"/>
          <w:szCs w:val="18"/>
        </w:rPr>
        <w:t>COM</w:t>
      </w:r>
      <w:r>
        <w:rPr>
          <w:rFonts w:ascii="Garamond" w:hAnsi="Garamond"/>
          <w:sz w:val="18"/>
          <w:szCs w:val="18"/>
        </w:rPr>
        <w:t xml:space="preserve"> </w:t>
      </w:r>
      <w:r w:rsidRPr="00D06E61">
        <w:rPr>
          <w:rFonts w:ascii="Garamond" w:hAnsi="Garamond"/>
          <w:sz w:val="18"/>
          <w:szCs w:val="18"/>
        </w:rPr>
        <w:t>(2019) 640, versioni final.</w:t>
      </w:r>
    </w:p>
  </w:footnote>
  <w:footnote w:id="25">
    <w:p w14:paraId="014E4A35" w14:textId="3AD2A8B8" w:rsidR="00665BD2" w:rsidRPr="00D06E61" w:rsidRDefault="00665BD2" w:rsidP="006F2E6B">
      <w:pPr>
        <w:pStyle w:val="Footnote10"/>
        <w:ind w:left="0"/>
        <w:jc w:val="both"/>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Programi Rajonal i Eficiencës së Energjisë për Ballkanin Perëndimor (“Rimbushja REEP Plus”); Mbështetja e BE-së për veprimin ndaj klimës në përfituesit e IPA II – Tranzicioni drejt ekonomisë me emetime të ulëta dhe rezistente ndaj klimës; Mbështetja e BE-së për parandalimin e përmbytjeve dhe menaxhimin e rrezikut të zjarreve në pyje në Ballkanin Perëndimor dhe Turqi; BE për një mjedis më të pastër – Mbështetje për trajtimin e ujërave të zeza; EU4 </w:t>
      </w:r>
      <w:r w:rsidRPr="00D06E61">
        <w:rPr>
          <w:rStyle w:val="Footnote1"/>
          <w:rFonts w:ascii="Garamond" w:hAnsi="Garamond"/>
          <w:i/>
        </w:rPr>
        <w:t>Green Recovery Albania</w:t>
      </w:r>
      <w:r w:rsidRPr="00D06E61">
        <w:rPr>
          <w:rStyle w:val="Footnote1"/>
          <w:rFonts w:ascii="Garamond" w:hAnsi="Garamond"/>
        </w:rPr>
        <w:t xml:space="preserve">; BE për ekonominë qarkore dhe Rritjen e Gjelbër në Shqipëri; Ngritja e kapaciteteve dhe aktivitetet e lidhura me </w:t>
      </w:r>
      <w:r w:rsidRPr="00D06E61">
        <w:rPr>
          <w:rStyle w:val="Footnote1"/>
          <w:rFonts w:ascii="Garamond" w:hAnsi="Garamond"/>
          <w:i/>
        </w:rPr>
        <w:t>Acquis</w:t>
      </w:r>
      <w:r w:rsidRPr="00D06E61">
        <w:rPr>
          <w:rStyle w:val="Footnote1"/>
          <w:rFonts w:ascii="Garamond" w:hAnsi="Garamond"/>
        </w:rPr>
        <w:t xml:space="preserve"> për sektorin e mjedisit dhe veprimit për klimën; Vlerësimi i rrezikut dhe hartëzimi i fatkeqësive natyrore në Mal të Zi.</w:t>
      </w:r>
    </w:p>
  </w:footnote>
  <w:footnote w:id="26">
    <w:p w14:paraId="014E4A36" w14:textId="6B6C95EA" w:rsidR="00665BD2" w:rsidRPr="00D06E61" w:rsidRDefault="00665BD2" w:rsidP="006F2E6B">
      <w:pPr>
        <w:pStyle w:val="Footnote10"/>
        <w:ind w:left="0"/>
        <w:jc w:val="both"/>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BE për Zhvillimin Ekonomik - Zhvillimi ekonomik vendor i udhëhequr nga turizmi me fokus në trashëgiminë kulturore në Shqipëri; Turizmi rajonal konkurrues dhe i qëndrueshëm në Ballkanin Perëndimor; BE për Inovacionin II në Shqipëri; Mbështetja e mbrojtjes së natyrës së pazëvendësueshme – SPIN (</w:t>
      </w:r>
      <w:r>
        <w:rPr>
          <w:rStyle w:val="Footnote1"/>
          <w:rFonts w:ascii="Garamond" w:hAnsi="Garamond"/>
        </w:rPr>
        <w:t>r</w:t>
      </w:r>
      <w:r w:rsidRPr="00D06E61">
        <w:rPr>
          <w:rStyle w:val="Footnote1"/>
          <w:rFonts w:ascii="Garamond" w:hAnsi="Garamond"/>
        </w:rPr>
        <w:t>ritja e përpjekjeve kombëtare për mbrojtjen e natyrës), Shqipëri; Mbështetja e BE-së për programin rajonal për kulturën dhe krijimtarinë në Ballkanin Perëndimor; BE për forcimin e aftësisë konkurruese dhe inovative të sektorit privat në Mal të Zi; Turizmi Triple-P në SEE: Promovimi, Politika dhe Pilotët. Për të rritur punësimin dhe qëndrueshmërinë e ekonomive të EJL përmes zhvillimit rajonal të turizmit.</w:t>
      </w:r>
    </w:p>
  </w:footnote>
  <w:footnote w:id="27">
    <w:p w14:paraId="014E4A37" w14:textId="0C239AB7"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BE për përfshirjen sociale.</w:t>
      </w:r>
    </w:p>
  </w:footnote>
  <w:footnote w:id="28">
    <w:p w14:paraId="014E4A38" w14:textId="77777777"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Në rast se kjo zyrë vlerësohet e nevojshme të ngrihet.</w:t>
      </w:r>
    </w:p>
  </w:footnote>
  <w:footnote w:id="29">
    <w:p w14:paraId="014E4A39" w14:textId="05566664" w:rsidR="00665BD2" w:rsidRPr="00D06E61" w:rsidRDefault="00665BD2" w:rsidP="006F2E6B">
      <w:pPr>
        <w:pStyle w:val="Footnote10"/>
        <w:ind w:left="0"/>
        <w:rPr>
          <w:rFonts w:ascii="Garamond" w:hAnsi="Garamond"/>
        </w:rPr>
      </w:pPr>
      <w:r w:rsidRPr="00D06E61">
        <w:rPr>
          <w:rStyle w:val="Footnote1"/>
          <w:rFonts w:ascii="Garamond" w:hAnsi="Garamond"/>
          <w:vertAlign w:val="superscript"/>
        </w:rPr>
        <w:footnoteRef/>
      </w:r>
      <w:r w:rsidRPr="00D06E61">
        <w:rPr>
          <w:rStyle w:val="Footnote1"/>
          <w:rFonts w:ascii="Garamond" w:hAnsi="Garamond"/>
        </w:rPr>
        <w:t xml:space="preserve"> Totali</w:t>
      </w:r>
      <w:r>
        <w:rPr>
          <w:rStyle w:val="Footnote1"/>
          <w:rFonts w:ascii="Garamond" w:hAnsi="Garamond"/>
        </w:rPr>
        <w:t xml:space="preserve"> </w:t>
      </w:r>
      <w:r w:rsidRPr="00D06E61">
        <w:rPr>
          <w:rStyle w:val="Footnote1"/>
          <w:rFonts w:ascii="Garamond" w:hAnsi="Garamond"/>
        </w:rPr>
        <w:t>i përgjithshëm nga tabelat 3 dhe 4 duhet të jetë i barabartë.</w:t>
      </w:r>
    </w:p>
  </w:footnote>
  <w:footnote w:id="30">
    <w:p w14:paraId="014E4A3A" w14:textId="18A1CF91" w:rsidR="00665BD2" w:rsidRPr="00D06E61" w:rsidRDefault="00665BD2" w:rsidP="006F2E6B">
      <w:pPr>
        <w:pStyle w:val="Footnote10"/>
        <w:ind w:left="0"/>
        <w:jc w:val="both"/>
        <w:rPr>
          <w:rFonts w:ascii="Garamond" w:hAnsi="Garamond"/>
        </w:rPr>
      </w:pPr>
      <w:r w:rsidRPr="00D06E61">
        <w:rPr>
          <w:rStyle w:val="Footnote1"/>
          <w:rFonts w:ascii="Garamond" w:eastAsia="Times New Roman" w:hAnsi="Garamond" w:cs="Times New Roman"/>
          <w:vertAlign w:val="superscript"/>
        </w:rPr>
        <w:footnoteRef/>
      </w:r>
      <w:r>
        <w:rPr>
          <w:rFonts w:ascii="Garamond" w:hAnsi="Garamond"/>
        </w:rPr>
        <w:t xml:space="preserve"> </w:t>
      </w:r>
      <w:hyperlink r:id="rId3" w:history="1">
        <w:r w:rsidRPr="00D06E61">
          <w:rPr>
            <w:rStyle w:val="Hyperlink"/>
            <w:rFonts w:ascii="Garamond" w:hAnsi="Garamond"/>
          </w:rPr>
          <w:t>www.sanctionsmap.eu</w:t>
        </w:r>
      </w:hyperlink>
      <w:r w:rsidRPr="00D06E61">
        <w:rPr>
          <w:rStyle w:val="Footnote1"/>
          <w:rFonts w:ascii="Garamond" w:hAnsi="Garamond"/>
        </w:rPr>
        <w:t xml:space="preserve"> Ju lutem vini re se harta e sanksioneve është një mjet TI për identifikimin e regjimeve të sanksioneve. Burimi i sanksioneve buron nga aktet ligjore të botuara në Fletoren Zyrtare (FZ). Në rast mospërputhjeje ndërmjet akteve ligjore të publikuara dhe përditësimeve në faqen e internetit, mbizotëron versioni i OJ.</w:t>
      </w:r>
    </w:p>
  </w:footnote>
  <w:footnote w:id="31">
    <w:p w14:paraId="014E4A3B" w14:textId="77777777" w:rsidR="00665BD2" w:rsidRPr="00D06E61" w:rsidRDefault="00665BD2" w:rsidP="006F2E6B">
      <w:pPr>
        <w:tabs>
          <w:tab w:val="left" w:pos="220"/>
        </w:tabs>
        <w:autoSpaceDE w:val="0"/>
        <w:autoSpaceDN w:val="0"/>
        <w:adjustRightInd w:val="0"/>
        <w:spacing w:after="0" w:line="240" w:lineRule="auto"/>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Fonts w:ascii="Garamond" w:hAnsi="Garamond" w:cs="Times New Roman"/>
          <w:color w:val="000000"/>
          <w:sz w:val="18"/>
          <w:szCs w:val="18"/>
        </w:rPr>
        <w:t>Ofertat e pasuksesshme do të asgjësohen pesë vite pas mbylljes së procedurës së prokurimit.</w:t>
      </w:r>
    </w:p>
  </w:footnote>
  <w:footnote w:id="32">
    <w:p w14:paraId="014E4A3C" w14:textId="77777777" w:rsidR="00665BD2" w:rsidRPr="00D06E61" w:rsidRDefault="00665BD2" w:rsidP="006F2E6B">
      <w:pPr>
        <w:tabs>
          <w:tab w:val="left" w:pos="220"/>
        </w:tabs>
        <w:autoSpaceDE w:val="0"/>
        <w:autoSpaceDN w:val="0"/>
        <w:adjustRightInd w:val="0"/>
        <w:spacing w:after="0" w:line="240" w:lineRule="auto"/>
        <w:rPr>
          <w:rFonts w:ascii="Garamond" w:hAnsi="Garamond" w:cs="Times New Roman"/>
          <w:color w:val="000000"/>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Fonts w:ascii="Garamond" w:hAnsi="Garamond" w:cs="Times New Roman"/>
          <w:color w:val="000000"/>
          <w:sz w:val="18"/>
          <w:szCs w:val="18"/>
        </w:rPr>
        <w:t>Aplikimet e pasuksesshme do të asgjësohen tre vite pas mbylljes së procedurës së grantit.</w:t>
      </w:r>
    </w:p>
    <w:p w14:paraId="014E4A3D" w14:textId="77777777" w:rsidR="00665BD2" w:rsidRPr="00D06E61" w:rsidRDefault="00665BD2" w:rsidP="006F2E6B">
      <w:pPr>
        <w:pStyle w:val="FootnoteText"/>
        <w:spacing w:after="0" w:line="240" w:lineRule="auto"/>
        <w:ind w:left="0" w:firstLine="0"/>
        <w:rPr>
          <w:rFonts w:ascii="Garamond" w:hAnsi="Garamond"/>
          <w:sz w:val="18"/>
          <w:szCs w:val="18"/>
        </w:rPr>
      </w:pPr>
    </w:p>
  </w:footnote>
  <w:footnote w:id="33">
    <w:p w14:paraId="014E4A3E" w14:textId="77777777" w:rsidR="00665BD2" w:rsidRPr="00D06E61" w:rsidRDefault="00665BD2" w:rsidP="006F2E6B">
      <w:pPr>
        <w:tabs>
          <w:tab w:val="left" w:pos="220"/>
        </w:tabs>
        <w:autoSpaceDE w:val="0"/>
        <w:autoSpaceDN w:val="0"/>
        <w:adjustRightInd w:val="0"/>
        <w:spacing w:after="0" w:line="240" w:lineRule="auto"/>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Fonts w:ascii="Garamond" w:hAnsi="Garamond" w:cs="Times New Roman"/>
          <w:color w:val="000000"/>
          <w:sz w:val="18"/>
          <w:szCs w:val="18"/>
        </w:rPr>
        <w:t xml:space="preserve">Për kontratat e shërbimit, ky hap përfshin kontrollet </w:t>
      </w:r>
      <w:r w:rsidRPr="00D06E61">
        <w:rPr>
          <w:rFonts w:ascii="Garamond" w:hAnsi="Garamond" w:cs="Times New Roman"/>
          <w:i/>
          <w:color w:val="000000"/>
          <w:sz w:val="18"/>
          <w:szCs w:val="18"/>
        </w:rPr>
        <w:t>ex-ante</w:t>
      </w:r>
      <w:r w:rsidRPr="00D06E61">
        <w:rPr>
          <w:rFonts w:ascii="Garamond" w:hAnsi="Garamond" w:cs="Times New Roman"/>
          <w:color w:val="000000"/>
          <w:sz w:val="18"/>
          <w:szCs w:val="18"/>
        </w:rPr>
        <w:t xml:space="preserve"> lidhur me miratimin e listës së të përzgjedhurve.</w:t>
      </w:r>
    </w:p>
  </w:footnote>
  <w:footnote w:id="34">
    <w:p w14:paraId="014E4A3F" w14:textId="77777777" w:rsidR="00665BD2" w:rsidRPr="00D06E61" w:rsidRDefault="00665BD2" w:rsidP="00FE72C5">
      <w:pPr>
        <w:autoSpaceDE w:val="0"/>
        <w:autoSpaceDN w:val="0"/>
        <w:adjustRightInd w:val="0"/>
        <w:spacing w:after="0" w:line="240" w:lineRule="auto"/>
        <w:jc w:val="both"/>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w:t>
      </w:r>
      <w:r w:rsidRPr="00D06E61">
        <w:rPr>
          <w:rFonts w:ascii="Garamond" w:hAnsi="Garamond" w:cs="Times New Roman"/>
          <w:color w:val="0000FF"/>
          <w:sz w:val="18"/>
          <w:szCs w:val="18"/>
          <w:u w:val="single"/>
        </w:rPr>
        <w:t>www.sanctionsmap.eu</w:t>
      </w:r>
      <w:r w:rsidRPr="00D06E61">
        <w:rPr>
          <w:rFonts w:ascii="Garamond" w:hAnsi="Garamond" w:cs="Times New Roman"/>
          <w:color w:val="000000"/>
          <w:sz w:val="18"/>
          <w:szCs w:val="18"/>
        </w:rPr>
        <w:t>. Harta e sanksioneve është një instrument TI-je për identifikimin e regjimeve të sanksioneve. Burimi i sanksioneve rrjedh nga aktet ligjore të publikuara në Gazetën Zyrtare të Bashkimit Evropian. Në rastin e mospërputhjeve ndërmjet akteve ligjore të publikuara dhe përditësimeve në faqen e internetit, përparësi ka versioni i Gazetës Zyrtare.</w:t>
      </w:r>
    </w:p>
  </w:footnote>
  <w:footnote w:id="35">
    <w:p w14:paraId="014E4A40" w14:textId="77777777"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Një tabelë për çdo thirrje për propozime.</w:t>
      </w:r>
    </w:p>
  </w:footnote>
  <w:footnote w:id="36">
    <w:p w14:paraId="014E4A41" w14:textId="77777777"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Një tabelë për çdo thirrje për propozime.</w:t>
      </w:r>
    </w:p>
  </w:footnote>
  <w:footnote w:id="37">
    <w:p w14:paraId="014E4A42" w14:textId="602A4468"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Në këtë kolonë duhet të përfshihet një referencë për statusin e zbatimit si </w:t>
      </w:r>
      <w:r>
        <w:rPr>
          <w:rFonts w:ascii="Garamond" w:hAnsi="Garamond"/>
          <w:sz w:val="18"/>
          <w:szCs w:val="18"/>
        </w:rPr>
        <w:t>“</w:t>
      </w:r>
      <w:r w:rsidRPr="00D06E61">
        <w:rPr>
          <w:rFonts w:ascii="Garamond" w:hAnsi="Garamond"/>
          <w:sz w:val="18"/>
          <w:szCs w:val="18"/>
        </w:rPr>
        <w:t>përfunduar</w:t>
      </w:r>
      <w:r>
        <w:rPr>
          <w:rFonts w:ascii="Garamond" w:hAnsi="Garamond"/>
          <w:sz w:val="18"/>
          <w:szCs w:val="18"/>
        </w:rPr>
        <w:t>”</w:t>
      </w:r>
      <w:r w:rsidRPr="00D06E61">
        <w:rPr>
          <w:rFonts w:ascii="Garamond" w:hAnsi="Garamond"/>
          <w:sz w:val="18"/>
          <w:szCs w:val="18"/>
        </w:rPr>
        <w:t xml:space="preserve">, </w:t>
      </w:r>
      <w:r>
        <w:rPr>
          <w:rFonts w:ascii="Garamond" w:hAnsi="Garamond"/>
          <w:sz w:val="18"/>
          <w:szCs w:val="18"/>
        </w:rPr>
        <w:t>“</w:t>
      </w:r>
      <w:r w:rsidRPr="00D06E61">
        <w:rPr>
          <w:rFonts w:ascii="Garamond" w:hAnsi="Garamond"/>
          <w:sz w:val="18"/>
          <w:szCs w:val="18"/>
        </w:rPr>
        <w:t>në vazhdim</w:t>
      </w:r>
      <w:r>
        <w:rPr>
          <w:rFonts w:ascii="Garamond" w:hAnsi="Garamond"/>
          <w:sz w:val="18"/>
          <w:szCs w:val="18"/>
        </w:rPr>
        <w:t>”</w:t>
      </w:r>
      <w:r w:rsidRPr="00D06E61">
        <w:rPr>
          <w:rFonts w:ascii="Garamond" w:hAnsi="Garamond"/>
          <w:sz w:val="18"/>
          <w:szCs w:val="18"/>
        </w:rPr>
        <w:t xml:space="preserve"> ose </w:t>
      </w:r>
      <w:r>
        <w:rPr>
          <w:rFonts w:ascii="Garamond" w:hAnsi="Garamond"/>
          <w:sz w:val="18"/>
          <w:szCs w:val="18"/>
        </w:rPr>
        <w:t>“</w:t>
      </w:r>
      <w:r w:rsidRPr="00D06E61">
        <w:rPr>
          <w:rFonts w:ascii="Garamond" w:hAnsi="Garamond"/>
          <w:sz w:val="18"/>
          <w:szCs w:val="18"/>
        </w:rPr>
        <w:t>për të filluar</w:t>
      </w:r>
      <w:r>
        <w:rPr>
          <w:rFonts w:ascii="Garamond" w:hAnsi="Garamond"/>
          <w:sz w:val="18"/>
          <w:szCs w:val="18"/>
        </w:rPr>
        <w:t>”</w:t>
      </w:r>
      <w:r w:rsidRPr="00D06E61">
        <w:rPr>
          <w:rFonts w:ascii="Garamond" w:hAnsi="Garamond"/>
          <w:sz w:val="18"/>
          <w:szCs w:val="18"/>
        </w:rPr>
        <w:t>.</w:t>
      </w:r>
    </w:p>
  </w:footnote>
  <w:footnote w:id="38">
    <w:p w14:paraId="014E4A43" w14:textId="77777777"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Shumica e të dhënave duhet të nxirren nga sistemi rajonal i monitorimit.</w:t>
      </w:r>
    </w:p>
  </w:footnote>
  <w:footnote w:id="39">
    <w:p w14:paraId="014E4A44" w14:textId="14FC8267"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Në disa raste, fusha e politikës së sistemit rajonal të monitorimit mund të jetë më e përshtatshme.</w:t>
      </w:r>
    </w:p>
  </w:footnote>
  <w:footnote w:id="40">
    <w:p w14:paraId="014E4A45" w14:textId="36235733"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Çdo tregues duhet të identifikohet si tregues i ndikimit, rezultatit ose produktit.</w:t>
      </w:r>
    </w:p>
  </w:footnote>
  <w:footnote w:id="41">
    <w:p w14:paraId="014E4A46" w14:textId="77777777"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Ky seksion duhet të përshkruajë gjithashtu gjithçka që strukturat e bashkëpunimit ndërkufitar apo autoriteti menaxhues ka kryer ose ndërmarrë për të integruar grupin (klasterin) tematik nr. 5 (d.m.th., përforcimin e kapaciteteve të autoriteteve vendore që marrin pjesë në zbatimin e programit).</w:t>
      </w:r>
    </w:p>
  </w:footnote>
  <w:footnote w:id="42">
    <w:p w14:paraId="014E4A47" w14:textId="62F8DF12" w:rsidR="00665BD2" w:rsidRPr="00D06E61" w:rsidRDefault="00665BD2" w:rsidP="006F2E6B">
      <w:pPr>
        <w:pStyle w:val="FootnoteText"/>
        <w:spacing w:after="0" w:line="240" w:lineRule="auto"/>
        <w:ind w:left="0" w:firstLine="0"/>
        <w:rPr>
          <w:rFonts w:ascii="Garamond" w:hAnsi="Garamond"/>
          <w:sz w:val="18"/>
          <w:szCs w:val="18"/>
        </w:rPr>
      </w:pPr>
      <w:r w:rsidRPr="00D06E61">
        <w:rPr>
          <w:rStyle w:val="FootnoteReference"/>
          <w:rFonts w:ascii="Garamond" w:hAnsi="Garamond"/>
          <w:sz w:val="18"/>
          <w:szCs w:val="18"/>
        </w:rPr>
        <w:footnoteRef/>
      </w:r>
      <w:r w:rsidRPr="00D06E61">
        <w:rPr>
          <w:rFonts w:ascii="Garamond" w:hAnsi="Garamond"/>
          <w:sz w:val="18"/>
          <w:szCs w:val="18"/>
        </w:rPr>
        <w:t xml:space="preserve"> [Vlera kumulative e pagesave/vlera e grantit të BE-së] x 100</w:t>
      </w:r>
      <w:r>
        <w:rPr>
          <w:rFonts w:ascii="Garamond" w:hAnsi="Garamond"/>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F7F81"/>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17285FFF"/>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75C4F74"/>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1A1A0261"/>
    <w:multiLevelType w:val="hybridMultilevel"/>
    <w:tmpl w:val="D212B788"/>
    <w:lvl w:ilvl="0" w:tplc="FFFFFFFF">
      <w:start w:val="1"/>
      <w:numFmt w:val="bullet"/>
      <w:lvlText w:val=""/>
      <w:lvlJc w:val="left"/>
      <w:pPr>
        <w:tabs>
          <w:tab w:val="num" w:pos="709"/>
        </w:tabs>
        <w:ind w:left="709" w:hanging="709"/>
      </w:pPr>
      <w:rPr>
        <w:rFonts w:ascii="Wingdings" w:hAnsi="Wingdings" w:hint="default"/>
      </w:rPr>
    </w:lvl>
    <w:lvl w:ilvl="1" w:tplc="FFFFFFFF" w:tentative="1">
      <w:start w:val="1"/>
      <w:numFmt w:val="bullet"/>
      <w:lvlText w:val="o"/>
      <w:lvlJc w:val="left"/>
      <w:pPr>
        <w:tabs>
          <w:tab w:val="num" w:pos="731"/>
        </w:tabs>
        <w:ind w:left="731" w:hanging="360"/>
      </w:pPr>
      <w:rPr>
        <w:rFonts w:ascii="Courier New" w:hAnsi="Courier New" w:cs="Courier New" w:hint="default"/>
      </w:rPr>
    </w:lvl>
    <w:lvl w:ilvl="2" w:tplc="FFFFFFFF" w:tentative="1">
      <w:start w:val="1"/>
      <w:numFmt w:val="bullet"/>
      <w:lvlText w:val=""/>
      <w:lvlJc w:val="left"/>
      <w:pPr>
        <w:tabs>
          <w:tab w:val="num" w:pos="1451"/>
        </w:tabs>
        <w:ind w:left="1451" w:hanging="360"/>
      </w:pPr>
      <w:rPr>
        <w:rFonts w:ascii="Wingdings" w:hAnsi="Wingdings" w:hint="default"/>
      </w:rPr>
    </w:lvl>
    <w:lvl w:ilvl="3" w:tplc="FFFFFFFF" w:tentative="1">
      <w:start w:val="1"/>
      <w:numFmt w:val="bullet"/>
      <w:lvlText w:val=""/>
      <w:lvlJc w:val="left"/>
      <w:pPr>
        <w:tabs>
          <w:tab w:val="num" w:pos="2171"/>
        </w:tabs>
        <w:ind w:left="2171" w:hanging="360"/>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cs="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cs="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4" w15:restartNumberingAfterBreak="0">
    <w:nsid w:val="1D7DED94"/>
    <w:multiLevelType w:val="multilevel"/>
    <w:tmpl w:val="00000000"/>
    <w:lvl w:ilvl="0">
      <w:start w:val="1"/>
      <w:numFmt w:val="decimal"/>
      <w:lvlText w:val="%1."/>
      <w:lvlJc w:val="left"/>
      <w:rPr>
        <w:rFonts w:ascii="Verdana" w:eastAsia="Verdana" w:hAnsi="Verdana" w:cs="Verdana"/>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en-US" w:eastAsia="en-US" w:bidi="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1E4859E2"/>
    <w:multiLevelType w:val="multilevel"/>
    <w:tmpl w:val="1CEAA560"/>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0AA706"/>
    <w:multiLevelType w:val="multilevel"/>
    <w:tmpl w:val="00000000"/>
    <w:lvl w:ilvl="0">
      <w:start w:val="1"/>
      <w:numFmt w:val="lowerLetter"/>
      <w:lvlText w:val="%1)"/>
      <w:lvlJc w:val="left"/>
      <w:rPr>
        <w:rFonts w:ascii="Verdana" w:eastAsia="Verdana" w:hAnsi="Verdana" w:cs="Verdana"/>
        <w:b w:val="0"/>
        <w:bCs w:val="0"/>
        <w:i/>
        <w:iCs/>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216C62F6"/>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245DBDB5"/>
    <w:multiLevelType w:val="multilevel"/>
    <w:tmpl w:val="00000000"/>
    <w:lvl w:ilvl="0">
      <w:start w:val="2"/>
      <w:numFmt w:val="decimal"/>
      <w:lvlText w:val="%1"/>
      <w:lvlJc w:val="left"/>
      <w:rPr>
        <w:rFonts w:ascii="Verdana" w:eastAsia="Verdana" w:hAnsi="Verdana" w:cs="Verdana"/>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2644D8D3"/>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29803B79"/>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rPr>
        <w:b/>
        <w:bCs/>
        <w:i w:val="0"/>
        <w:iCs w:val="0"/>
        <w:smallCaps w:val="0"/>
        <w:strike w:val="0"/>
        <w:color w:val="000000"/>
        <w:spacing w:val="0"/>
        <w:w w:val="100"/>
        <w:position w:val="0"/>
        <w:sz w:val="22"/>
        <w:szCs w:val="22"/>
        <w:u w:val="none"/>
        <w:shd w:val="clear" w:color="auto" w:fill="auto"/>
        <w:lang w:val="en-US" w:eastAsia="en-US" w:bidi="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2CFC6AB9"/>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2D6D5DBE"/>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2FADEECB"/>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3168298E"/>
    <w:multiLevelType w:val="multilevel"/>
    <w:tmpl w:val="00000000"/>
    <w:lvl w:ilvl="0">
      <w:start w:val="3"/>
      <w:numFmt w:val="decimal"/>
      <w:lvlText w:val="%1."/>
      <w:lvlJc w:val="left"/>
    </w:lvl>
    <w:lvl w:ilvl="1">
      <w:start w:val="2"/>
      <w:numFmt w:val="decimal"/>
      <w:lvlText w:val="%1.%2."/>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en-US" w:eastAsia="en-US" w:bidi="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33404ADB"/>
    <w:multiLevelType w:val="multilevel"/>
    <w:tmpl w:val="00000000"/>
    <w:lvl w:ilvl="0">
      <w:start w:val="1"/>
      <w:numFmt w:val="decimal"/>
      <w:lvlText w:val="%1."/>
      <w:lvlJc w:val="left"/>
      <w:rPr>
        <w:rFonts w:ascii="Verdana" w:eastAsia="Verdana" w:hAnsi="Verdana" w:cs="Verdana"/>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Verdana" w:eastAsia="Verdana" w:hAnsi="Verdana" w:cs="Verdana"/>
        <w:b/>
        <w:bCs/>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Verdana" w:eastAsia="Verdana" w:hAnsi="Verdana" w:cs="Verdana"/>
        <w:b/>
        <w:bCs/>
        <w:i/>
        <w:iCs/>
        <w:smallCaps w:val="0"/>
        <w:strike w:val="0"/>
        <w:color w:val="000000"/>
        <w:spacing w:val="0"/>
        <w:w w:val="100"/>
        <w:position w:val="0"/>
        <w:sz w:val="22"/>
        <w:szCs w:val="22"/>
        <w:u w:val="none"/>
        <w:shd w:val="clear" w:color="auto" w:fill="auto"/>
        <w:lang w:val="en-US" w:eastAsia="en-US" w:bidi="en-US"/>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3395F698"/>
    <w:multiLevelType w:val="multilevel"/>
    <w:tmpl w:val="00000000"/>
    <w:lvl w:ilvl="0">
      <w:start w:val="501"/>
      <w:numFmt w:val="decimal"/>
      <w:lvlText w:val="%1:"/>
      <w:lvlJc w:val="left"/>
      <w:rPr>
        <w:rFonts w:ascii="Verdana" w:eastAsia="Verdana" w:hAnsi="Verdana" w:cs="Verdana"/>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349EF5F3"/>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371711CA"/>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3CF57187"/>
    <w:multiLevelType w:val="multilevel"/>
    <w:tmpl w:val="00000000"/>
    <w:lvl w:ilvl="0">
      <w:start w:val="5"/>
      <w:numFmt w:val="decimal"/>
      <w:lvlText w:val="%1"/>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vertAlign w:val="superscript"/>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15:restartNumberingAfterBreak="0">
    <w:nsid w:val="42041271"/>
    <w:multiLevelType w:val="multilevel"/>
    <w:tmpl w:val="00000000"/>
    <w:lvl w:ilvl="0">
      <w:start w:val="1"/>
      <w:numFmt w:val="bullet"/>
      <w:lvlText w:val="-"/>
      <w:lvlJc w:val="left"/>
      <w:rPr>
        <w:rFonts w:ascii="Verdana" w:eastAsia="Verdana" w:hAnsi="Verdana" w:cs="Verdana"/>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15:restartNumberingAfterBreak="0">
    <w:nsid w:val="445FCC77"/>
    <w:multiLevelType w:val="multilevel"/>
    <w:tmpl w:val="00000000"/>
    <w:lvl w:ilvl="0">
      <w:start w:val="2"/>
      <w:numFmt w:val="decimal"/>
      <w:lvlText w:val="%1."/>
      <w:lvlJc w:val="left"/>
    </w:lvl>
    <w:lvl w:ilvl="1">
      <w:start w:val="2"/>
      <w:numFmt w:val="decimal"/>
      <w:lvlText w:val="%1.%2."/>
      <w:lvlJc w:val="left"/>
      <w:rPr>
        <w:rFonts w:ascii="Verdana" w:eastAsia="Verdana" w:hAnsi="Verdana" w:cs="Verdana"/>
        <w:b/>
        <w:bCs/>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15:restartNumberingAfterBreak="0">
    <w:nsid w:val="447E6D00"/>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15:restartNumberingAfterBreak="0">
    <w:nsid w:val="479CC4D8"/>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15:restartNumberingAfterBreak="0">
    <w:nsid w:val="4899E4B9"/>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5" w15:restartNumberingAfterBreak="0">
    <w:nsid w:val="4954FDE2"/>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15:restartNumberingAfterBreak="0">
    <w:nsid w:val="4C8D7CC8"/>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15:restartNumberingAfterBreak="0">
    <w:nsid w:val="4D2A8A67"/>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15:restartNumberingAfterBreak="0">
    <w:nsid w:val="50801AE4"/>
    <w:multiLevelType w:val="multilevel"/>
    <w:tmpl w:val="00000000"/>
    <w:lvl w:ilvl="0">
      <w:start w:val="2"/>
      <w:numFmt w:val="decimal"/>
      <w:lvlText w:val="%1"/>
      <w:lvlJc w:val="left"/>
      <w:rPr>
        <w:rFonts w:ascii="Verdana" w:eastAsia="Verdana" w:hAnsi="Verdana" w:cs="Verdana"/>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15:restartNumberingAfterBreak="0">
    <w:nsid w:val="57BC1021"/>
    <w:multiLevelType w:val="multilevel"/>
    <w:tmpl w:val="CE508540"/>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1F9070"/>
    <w:multiLevelType w:val="multilevel"/>
    <w:tmpl w:val="0000000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en-US" w:eastAsia="en-US" w:bidi="en-US"/>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en-US" w:eastAsia="en-US" w:bidi="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1" w15:restartNumberingAfterBreak="0">
    <w:nsid w:val="67AF9CCD"/>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2" w15:restartNumberingAfterBreak="0">
    <w:nsid w:val="76469E3B"/>
    <w:multiLevelType w:val="multilevel"/>
    <w:tmpl w:val="0000000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3" w15:restartNumberingAfterBreak="0">
    <w:nsid w:val="7BC17E00"/>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30"/>
  </w:num>
  <w:num w:numId="2">
    <w:abstractNumId w:val="1"/>
  </w:num>
  <w:num w:numId="3">
    <w:abstractNumId w:val="16"/>
  </w:num>
  <w:num w:numId="4">
    <w:abstractNumId w:val="4"/>
  </w:num>
  <w:num w:numId="5">
    <w:abstractNumId w:val="19"/>
  </w:num>
  <w:num w:numId="6">
    <w:abstractNumId w:val="21"/>
  </w:num>
  <w:num w:numId="7">
    <w:abstractNumId w:val="7"/>
  </w:num>
  <w:num w:numId="8">
    <w:abstractNumId w:val="10"/>
  </w:num>
  <w:num w:numId="9">
    <w:abstractNumId w:val="25"/>
  </w:num>
  <w:num w:numId="10">
    <w:abstractNumId w:val="28"/>
  </w:num>
  <w:num w:numId="11">
    <w:abstractNumId w:val="12"/>
  </w:num>
  <w:num w:numId="12">
    <w:abstractNumId w:val="17"/>
  </w:num>
  <w:num w:numId="13">
    <w:abstractNumId w:val="31"/>
  </w:num>
  <w:num w:numId="14">
    <w:abstractNumId w:val="14"/>
  </w:num>
  <w:num w:numId="15">
    <w:abstractNumId w:val="18"/>
  </w:num>
  <w:num w:numId="16">
    <w:abstractNumId w:val="9"/>
  </w:num>
  <w:num w:numId="17">
    <w:abstractNumId w:val="27"/>
  </w:num>
  <w:num w:numId="18">
    <w:abstractNumId w:val="0"/>
  </w:num>
  <w:num w:numId="19">
    <w:abstractNumId w:val="32"/>
  </w:num>
  <w:num w:numId="20">
    <w:abstractNumId w:val="8"/>
  </w:num>
  <w:num w:numId="21">
    <w:abstractNumId w:val="24"/>
  </w:num>
  <w:num w:numId="22">
    <w:abstractNumId w:val="22"/>
  </w:num>
  <w:num w:numId="23">
    <w:abstractNumId w:val="13"/>
  </w:num>
  <w:num w:numId="24">
    <w:abstractNumId w:val="26"/>
  </w:num>
  <w:num w:numId="25">
    <w:abstractNumId w:val="15"/>
  </w:num>
  <w:num w:numId="26">
    <w:abstractNumId w:val="20"/>
  </w:num>
  <w:num w:numId="27">
    <w:abstractNumId w:val="2"/>
  </w:num>
  <w:num w:numId="28">
    <w:abstractNumId w:val="23"/>
  </w:num>
  <w:num w:numId="29">
    <w:abstractNumId w:val="6"/>
  </w:num>
  <w:num w:numId="30">
    <w:abstractNumId w:val="33"/>
  </w:num>
  <w:num w:numId="31">
    <w:abstractNumId w:val="11"/>
  </w:num>
  <w:num w:numId="32">
    <w:abstractNumId w:val="5"/>
  </w:num>
  <w:num w:numId="33">
    <w:abstractNumId w:val="29"/>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3A8"/>
    <w:rsid w:val="0003624A"/>
    <w:rsid w:val="00053D8A"/>
    <w:rsid w:val="000934A9"/>
    <w:rsid w:val="000B6756"/>
    <w:rsid w:val="000D17E3"/>
    <w:rsid w:val="000D306C"/>
    <w:rsid w:val="00120735"/>
    <w:rsid w:val="001418CE"/>
    <w:rsid w:val="00152A61"/>
    <w:rsid w:val="00153520"/>
    <w:rsid w:val="00181059"/>
    <w:rsid w:val="0018539D"/>
    <w:rsid w:val="002132A6"/>
    <w:rsid w:val="00216F19"/>
    <w:rsid w:val="00236B0B"/>
    <w:rsid w:val="00263F70"/>
    <w:rsid w:val="0028354B"/>
    <w:rsid w:val="00292D5B"/>
    <w:rsid w:val="002937CA"/>
    <w:rsid w:val="002A1614"/>
    <w:rsid w:val="002C3D59"/>
    <w:rsid w:val="003148D8"/>
    <w:rsid w:val="00330C89"/>
    <w:rsid w:val="003644C0"/>
    <w:rsid w:val="00375FD9"/>
    <w:rsid w:val="003817DB"/>
    <w:rsid w:val="00382449"/>
    <w:rsid w:val="00391B5E"/>
    <w:rsid w:val="003C3138"/>
    <w:rsid w:val="003D4719"/>
    <w:rsid w:val="004051B3"/>
    <w:rsid w:val="0040697B"/>
    <w:rsid w:val="00420834"/>
    <w:rsid w:val="004231A2"/>
    <w:rsid w:val="00433626"/>
    <w:rsid w:val="004429C3"/>
    <w:rsid w:val="00451AB3"/>
    <w:rsid w:val="00453BBB"/>
    <w:rsid w:val="0046042E"/>
    <w:rsid w:val="004670C5"/>
    <w:rsid w:val="00485131"/>
    <w:rsid w:val="004D3979"/>
    <w:rsid w:val="005447F2"/>
    <w:rsid w:val="005C194A"/>
    <w:rsid w:val="005C3F3B"/>
    <w:rsid w:val="006016EC"/>
    <w:rsid w:val="00601BD3"/>
    <w:rsid w:val="00606134"/>
    <w:rsid w:val="006202B9"/>
    <w:rsid w:val="0062262A"/>
    <w:rsid w:val="00644EFB"/>
    <w:rsid w:val="00665BD2"/>
    <w:rsid w:val="00665CCE"/>
    <w:rsid w:val="00695949"/>
    <w:rsid w:val="00696948"/>
    <w:rsid w:val="006C3399"/>
    <w:rsid w:val="006F2E6B"/>
    <w:rsid w:val="007305FA"/>
    <w:rsid w:val="00733DD6"/>
    <w:rsid w:val="007D39B1"/>
    <w:rsid w:val="008009BB"/>
    <w:rsid w:val="0083681A"/>
    <w:rsid w:val="00852B2C"/>
    <w:rsid w:val="008731D7"/>
    <w:rsid w:val="00890CAB"/>
    <w:rsid w:val="008A4550"/>
    <w:rsid w:val="008E52E9"/>
    <w:rsid w:val="009012CF"/>
    <w:rsid w:val="00930B35"/>
    <w:rsid w:val="00935B5F"/>
    <w:rsid w:val="0093663C"/>
    <w:rsid w:val="00943AA4"/>
    <w:rsid w:val="009442B6"/>
    <w:rsid w:val="00953638"/>
    <w:rsid w:val="00966B65"/>
    <w:rsid w:val="0098098F"/>
    <w:rsid w:val="009902AC"/>
    <w:rsid w:val="009A6A22"/>
    <w:rsid w:val="009F06FA"/>
    <w:rsid w:val="00A06793"/>
    <w:rsid w:val="00A1390E"/>
    <w:rsid w:val="00A27A51"/>
    <w:rsid w:val="00A53702"/>
    <w:rsid w:val="00A823DA"/>
    <w:rsid w:val="00A90756"/>
    <w:rsid w:val="00AA13DB"/>
    <w:rsid w:val="00AE64AA"/>
    <w:rsid w:val="00B01717"/>
    <w:rsid w:val="00B33F8B"/>
    <w:rsid w:val="00B51742"/>
    <w:rsid w:val="00B5407B"/>
    <w:rsid w:val="00B925C9"/>
    <w:rsid w:val="00B965D6"/>
    <w:rsid w:val="00BA04A8"/>
    <w:rsid w:val="00BC0C8F"/>
    <w:rsid w:val="00BD733B"/>
    <w:rsid w:val="00C03162"/>
    <w:rsid w:val="00C10B7D"/>
    <w:rsid w:val="00C213F4"/>
    <w:rsid w:val="00C46A27"/>
    <w:rsid w:val="00C579F8"/>
    <w:rsid w:val="00C61854"/>
    <w:rsid w:val="00C6569B"/>
    <w:rsid w:val="00C73CCE"/>
    <w:rsid w:val="00C908D9"/>
    <w:rsid w:val="00C953C5"/>
    <w:rsid w:val="00CA5463"/>
    <w:rsid w:val="00CC2406"/>
    <w:rsid w:val="00CD3EED"/>
    <w:rsid w:val="00CF479A"/>
    <w:rsid w:val="00CF5E62"/>
    <w:rsid w:val="00D06E61"/>
    <w:rsid w:val="00D102AF"/>
    <w:rsid w:val="00D3143D"/>
    <w:rsid w:val="00D75C5A"/>
    <w:rsid w:val="00D93C5F"/>
    <w:rsid w:val="00DA1E96"/>
    <w:rsid w:val="00DC0722"/>
    <w:rsid w:val="00DF3984"/>
    <w:rsid w:val="00E134C7"/>
    <w:rsid w:val="00E322EB"/>
    <w:rsid w:val="00E55BD9"/>
    <w:rsid w:val="00E83321"/>
    <w:rsid w:val="00EB5550"/>
    <w:rsid w:val="00EC1A7F"/>
    <w:rsid w:val="00EC5F4D"/>
    <w:rsid w:val="00EC73A8"/>
    <w:rsid w:val="00EC73A9"/>
    <w:rsid w:val="00F156EB"/>
    <w:rsid w:val="00F83C22"/>
    <w:rsid w:val="00F90F5C"/>
    <w:rsid w:val="00FB4F81"/>
    <w:rsid w:val="00FE72C5"/>
    <w:rsid w:val="00FF7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E4023"/>
  <w15:chartTrackingRefBased/>
  <w15:docId w15:val="{CEAA79F5-F79D-40E4-A91B-BFCAA81F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1 Char,FOOTNOTES,Footnote,Footnote Char1,Footnote Text Char Char,Footnote1,Footnote2,Footnote3,Footnote4,Footnote5,Footnote6,Footnote7,Footnote8,Footnote9,Fußnote,fn,footnote text,single space,stile 1"/>
    <w:basedOn w:val="Normal"/>
    <w:link w:val="FootnoteTextChar"/>
    <w:rsid w:val="00EC73A8"/>
    <w:pPr>
      <w:autoSpaceDE w:val="0"/>
      <w:autoSpaceDN w:val="0"/>
      <w:adjustRightInd w:val="0"/>
      <w:spacing w:line="276" w:lineRule="atLeast"/>
      <w:ind w:left="720" w:hanging="720"/>
      <w:jc w:val="both"/>
    </w:pPr>
    <w:rPr>
      <w:rFonts w:ascii="Calibri" w:hAnsi="Calibri" w:cs="Calibri"/>
      <w:color w:val="000000"/>
      <w:sz w:val="20"/>
      <w:szCs w:val="20"/>
    </w:rPr>
  </w:style>
  <w:style w:type="character" w:customStyle="1" w:styleId="FootnoteTextChar">
    <w:name w:val="Footnote Text Char"/>
    <w:aliases w:val=" Char1 Char Char,FOOTNOTES Char,Footnote Char,Footnote Char1 Char,Footnote Text Char Char Char,Footnote1 Char,Footnote2 Char,Footnote3 Char,Footnote4 Char,Footnote5 Char,Footnote6 Char,Footnote7 Char,Footnote8 Char,Footnote9 Char"/>
    <w:basedOn w:val="DefaultParagraphFont"/>
    <w:link w:val="FootnoteText"/>
    <w:uiPriority w:val="99"/>
    <w:rsid w:val="00EC73A8"/>
    <w:rPr>
      <w:rFonts w:ascii="Calibri" w:hAnsi="Calibri" w:cs="Calibri"/>
      <w:color w:val="000000"/>
      <w:sz w:val="20"/>
      <w:szCs w:val="20"/>
    </w:rPr>
  </w:style>
  <w:style w:type="paragraph" w:styleId="ListParagraph">
    <w:name w:val="List Paragraph"/>
    <w:basedOn w:val="Normal"/>
    <w:uiPriority w:val="99"/>
    <w:qFormat/>
    <w:rsid w:val="00EC73A8"/>
    <w:pPr>
      <w:autoSpaceDE w:val="0"/>
      <w:autoSpaceDN w:val="0"/>
      <w:adjustRightInd w:val="0"/>
      <w:spacing w:line="302" w:lineRule="atLeast"/>
      <w:ind w:left="720"/>
    </w:pPr>
    <w:rPr>
      <w:rFonts w:ascii="Calibri" w:hAnsi="Calibri" w:cs="Calibri"/>
      <w:color w:val="000000"/>
    </w:rPr>
  </w:style>
  <w:style w:type="character" w:styleId="FootnoteReference">
    <w:name w:val="footnote reference"/>
    <w:basedOn w:val="DefaultParagraphFont"/>
    <w:semiHidden/>
    <w:unhideWhenUsed/>
    <w:rsid w:val="00EC73A8"/>
    <w:rPr>
      <w:vertAlign w:val="superscript"/>
    </w:rPr>
  </w:style>
  <w:style w:type="table" w:styleId="TableGrid">
    <w:name w:val="Table Grid"/>
    <w:basedOn w:val="TableNormal"/>
    <w:uiPriority w:val="59"/>
    <w:unhideWhenUsed/>
    <w:rsid w:val="008E5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1">
    <w:name w:val="Footnote|1_"/>
    <w:basedOn w:val="DefaultParagraphFont"/>
    <w:link w:val="Footnote10"/>
    <w:rsid w:val="000D306C"/>
    <w:rPr>
      <w:rFonts w:ascii="Verdana" w:eastAsia="Verdana" w:hAnsi="Verdana" w:cs="Verdana"/>
      <w:sz w:val="18"/>
      <w:szCs w:val="18"/>
    </w:rPr>
  </w:style>
  <w:style w:type="paragraph" w:customStyle="1" w:styleId="Footnote10">
    <w:name w:val="Footnote|1"/>
    <w:basedOn w:val="Normal"/>
    <w:link w:val="Footnote1"/>
    <w:rsid w:val="000D306C"/>
    <w:pPr>
      <w:widowControl w:val="0"/>
      <w:spacing w:after="0" w:line="240" w:lineRule="auto"/>
      <w:ind w:left="260"/>
    </w:pPr>
    <w:rPr>
      <w:rFonts w:ascii="Verdana" w:eastAsia="Verdana" w:hAnsi="Verdana" w:cs="Verdana"/>
      <w:sz w:val="18"/>
      <w:szCs w:val="18"/>
    </w:rPr>
  </w:style>
  <w:style w:type="character" w:customStyle="1" w:styleId="Bodytext2">
    <w:name w:val="Body text|2_"/>
    <w:basedOn w:val="DefaultParagraphFont"/>
    <w:link w:val="Bodytext20"/>
    <w:rsid w:val="000D306C"/>
    <w:rPr>
      <w:b/>
      <w:bCs/>
    </w:rPr>
  </w:style>
  <w:style w:type="paragraph" w:customStyle="1" w:styleId="Bodytext20">
    <w:name w:val="Body text|2"/>
    <w:basedOn w:val="Normal"/>
    <w:link w:val="Bodytext2"/>
    <w:rsid w:val="000D306C"/>
    <w:pPr>
      <w:widowControl w:val="0"/>
      <w:spacing w:after="490" w:line="240" w:lineRule="auto"/>
      <w:ind w:left="250"/>
    </w:pPr>
    <w:rPr>
      <w:b/>
      <w:bCs/>
    </w:rPr>
  </w:style>
  <w:style w:type="character" w:customStyle="1" w:styleId="Bodytext4">
    <w:name w:val="Body text|4_"/>
    <w:basedOn w:val="DefaultParagraphFont"/>
    <w:link w:val="Bodytext40"/>
    <w:rsid w:val="000D306C"/>
    <w:rPr>
      <w:b/>
      <w:bCs/>
      <w:smallCaps/>
      <w:sz w:val="20"/>
      <w:szCs w:val="20"/>
    </w:rPr>
  </w:style>
  <w:style w:type="paragraph" w:customStyle="1" w:styleId="Bodytext40">
    <w:name w:val="Body text|4"/>
    <w:basedOn w:val="Normal"/>
    <w:link w:val="Bodytext4"/>
    <w:rsid w:val="000D306C"/>
    <w:pPr>
      <w:widowControl w:val="0"/>
      <w:spacing w:after="460" w:line="288" w:lineRule="auto"/>
      <w:jc w:val="center"/>
    </w:pPr>
    <w:rPr>
      <w:b/>
      <w:bCs/>
      <w:smallCaps/>
      <w:sz w:val="20"/>
      <w:szCs w:val="20"/>
    </w:rPr>
  </w:style>
  <w:style w:type="character" w:customStyle="1" w:styleId="Bodytext3">
    <w:name w:val="Body text|3_"/>
    <w:basedOn w:val="DefaultParagraphFont"/>
    <w:link w:val="Bodytext30"/>
    <w:rsid w:val="000D306C"/>
    <w:rPr>
      <w:rFonts w:ascii="Verdana" w:eastAsia="Verdana" w:hAnsi="Verdana" w:cs="Verdana"/>
      <w:b/>
      <w:bCs/>
      <w:sz w:val="28"/>
      <w:szCs w:val="28"/>
      <w:u w:val="single"/>
    </w:rPr>
  </w:style>
  <w:style w:type="paragraph" w:customStyle="1" w:styleId="Bodytext30">
    <w:name w:val="Body text|3"/>
    <w:basedOn w:val="Normal"/>
    <w:link w:val="Bodytext3"/>
    <w:rsid w:val="000D306C"/>
    <w:pPr>
      <w:widowControl w:val="0"/>
      <w:spacing w:after="460" w:line="240" w:lineRule="auto"/>
    </w:pPr>
    <w:rPr>
      <w:rFonts w:ascii="Verdana" w:eastAsia="Verdana" w:hAnsi="Verdana" w:cs="Verdana"/>
      <w:b/>
      <w:bCs/>
      <w:sz w:val="28"/>
      <w:szCs w:val="28"/>
      <w:u w:val="single"/>
    </w:rPr>
  </w:style>
  <w:style w:type="character" w:customStyle="1" w:styleId="Headerorfooter2">
    <w:name w:val="Header or footer|2_"/>
    <w:basedOn w:val="DefaultParagraphFont"/>
    <w:link w:val="Headerorfooter20"/>
    <w:rsid w:val="000D306C"/>
    <w:rPr>
      <w:sz w:val="20"/>
      <w:szCs w:val="20"/>
    </w:rPr>
  </w:style>
  <w:style w:type="paragraph" w:customStyle="1" w:styleId="Headerorfooter20">
    <w:name w:val="Header or footer|2"/>
    <w:basedOn w:val="Normal"/>
    <w:link w:val="Headerorfooter2"/>
    <w:rsid w:val="000D306C"/>
    <w:pPr>
      <w:widowControl w:val="0"/>
      <w:spacing w:after="0" w:line="240" w:lineRule="auto"/>
    </w:pPr>
    <w:rPr>
      <w:sz w:val="20"/>
      <w:szCs w:val="20"/>
    </w:rPr>
  </w:style>
  <w:style w:type="character" w:customStyle="1" w:styleId="Tableofcontents1">
    <w:name w:val="Table of contents|1_"/>
    <w:basedOn w:val="DefaultParagraphFont"/>
    <w:link w:val="Tableofcontents10"/>
    <w:rsid w:val="000D306C"/>
    <w:rPr>
      <w:rFonts w:ascii="Verdana" w:eastAsia="Verdana" w:hAnsi="Verdana" w:cs="Verdana"/>
      <w:sz w:val="18"/>
      <w:szCs w:val="18"/>
    </w:rPr>
  </w:style>
  <w:style w:type="paragraph" w:customStyle="1" w:styleId="Tableofcontents10">
    <w:name w:val="Table of contents|1"/>
    <w:basedOn w:val="Normal"/>
    <w:link w:val="Tableofcontents1"/>
    <w:rsid w:val="000D306C"/>
    <w:pPr>
      <w:widowControl w:val="0"/>
      <w:spacing w:after="100" w:line="240" w:lineRule="auto"/>
    </w:pPr>
    <w:rPr>
      <w:rFonts w:ascii="Verdana" w:eastAsia="Verdana" w:hAnsi="Verdana" w:cs="Verdana"/>
      <w:sz w:val="18"/>
      <w:szCs w:val="18"/>
    </w:rPr>
  </w:style>
  <w:style w:type="character" w:customStyle="1" w:styleId="Tablecaption1">
    <w:name w:val="Table caption|1_"/>
    <w:basedOn w:val="DefaultParagraphFont"/>
    <w:link w:val="Tablecaption10"/>
    <w:rsid w:val="000D306C"/>
    <w:rPr>
      <w:rFonts w:ascii="Verdana" w:eastAsia="Verdana" w:hAnsi="Verdana" w:cs="Verdana"/>
      <w:i/>
      <w:iCs/>
      <w:sz w:val="18"/>
      <w:szCs w:val="18"/>
    </w:rPr>
  </w:style>
  <w:style w:type="paragraph" w:customStyle="1" w:styleId="Tablecaption10">
    <w:name w:val="Table caption|1"/>
    <w:basedOn w:val="Normal"/>
    <w:link w:val="Tablecaption1"/>
    <w:rsid w:val="000D306C"/>
    <w:pPr>
      <w:widowControl w:val="0"/>
      <w:spacing w:after="0" w:line="240" w:lineRule="auto"/>
    </w:pPr>
    <w:rPr>
      <w:rFonts w:ascii="Verdana" w:eastAsia="Verdana" w:hAnsi="Verdana" w:cs="Verdana"/>
      <w:i/>
      <w:iCs/>
      <w:sz w:val="18"/>
      <w:szCs w:val="18"/>
    </w:rPr>
  </w:style>
  <w:style w:type="character" w:customStyle="1" w:styleId="Other1">
    <w:name w:val="Other|1_"/>
    <w:basedOn w:val="DefaultParagraphFont"/>
    <w:link w:val="Other10"/>
    <w:rsid w:val="000D306C"/>
    <w:rPr>
      <w:rFonts w:ascii="Verdana" w:eastAsia="Verdana" w:hAnsi="Verdana" w:cs="Verdana"/>
      <w:sz w:val="20"/>
      <w:szCs w:val="20"/>
    </w:rPr>
  </w:style>
  <w:style w:type="paragraph" w:customStyle="1" w:styleId="Other10">
    <w:name w:val="Other|1"/>
    <w:basedOn w:val="Normal"/>
    <w:link w:val="Other1"/>
    <w:rsid w:val="000D306C"/>
    <w:pPr>
      <w:widowControl w:val="0"/>
      <w:spacing w:after="240" w:line="240" w:lineRule="auto"/>
    </w:pPr>
    <w:rPr>
      <w:rFonts w:ascii="Verdana" w:eastAsia="Verdana" w:hAnsi="Verdana" w:cs="Verdana"/>
      <w:sz w:val="20"/>
      <w:szCs w:val="20"/>
    </w:rPr>
  </w:style>
  <w:style w:type="character" w:customStyle="1" w:styleId="Heading11">
    <w:name w:val="Heading #1|1_"/>
    <w:basedOn w:val="DefaultParagraphFont"/>
    <w:link w:val="Heading110"/>
    <w:rsid w:val="000D306C"/>
    <w:rPr>
      <w:rFonts w:ascii="Verdana" w:eastAsia="Verdana" w:hAnsi="Verdana" w:cs="Verdana"/>
      <w:b/>
      <w:bCs/>
      <w:smallCaps/>
      <w:sz w:val="20"/>
      <w:szCs w:val="20"/>
    </w:rPr>
  </w:style>
  <w:style w:type="paragraph" w:customStyle="1" w:styleId="Heading110">
    <w:name w:val="Heading #1|1"/>
    <w:basedOn w:val="Normal"/>
    <w:link w:val="Heading11"/>
    <w:rsid w:val="000D306C"/>
    <w:pPr>
      <w:widowControl w:val="0"/>
      <w:spacing w:after="240" w:line="202" w:lineRule="auto"/>
      <w:outlineLvl w:val="0"/>
    </w:pPr>
    <w:rPr>
      <w:rFonts w:ascii="Verdana" w:eastAsia="Verdana" w:hAnsi="Verdana" w:cs="Verdana"/>
      <w:b/>
      <w:bCs/>
      <w:smallCaps/>
      <w:sz w:val="20"/>
      <w:szCs w:val="20"/>
    </w:rPr>
  </w:style>
  <w:style w:type="character" w:customStyle="1" w:styleId="Bodytext1">
    <w:name w:val="Body text|1_"/>
    <w:basedOn w:val="DefaultParagraphFont"/>
    <w:link w:val="Bodytext10"/>
    <w:rsid w:val="000D306C"/>
    <w:rPr>
      <w:rFonts w:ascii="Verdana" w:eastAsia="Verdana" w:hAnsi="Verdana" w:cs="Verdana"/>
      <w:sz w:val="20"/>
      <w:szCs w:val="20"/>
    </w:rPr>
  </w:style>
  <w:style w:type="paragraph" w:customStyle="1" w:styleId="Bodytext10">
    <w:name w:val="Body text|1"/>
    <w:basedOn w:val="Normal"/>
    <w:link w:val="Bodytext1"/>
    <w:rsid w:val="000D306C"/>
    <w:pPr>
      <w:widowControl w:val="0"/>
      <w:spacing w:after="240" w:line="240" w:lineRule="auto"/>
    </w:pPr>
    <w:rPr>
      <w:rFonts w:ascii="Verdana" w:eastAsia="Verdana" w:hAnsi="Verdana" w:cs="Verdana"/>
      <w:sz w:val="20"/>
      <w:szCs w:val="20"/>
    </w:rPr>
  </w:style>
  <w:style w:type="character" w:customStyle="1" w:styleId="Heading21">
    <w:name w:val="Heading #2|1_"/>
    <w:basedOn w:val="DefaultParagraphFont"/>
    <w:link w:val="Heading210"/>
    <w:rsid w:val="000D306C"/>
    <w:rPr>
      <w:rFonts w:ascii="Verdana" w:eastAsia="Verdana" w:hAnsi="Verdana" w:cs="Verdana"/>
      <w:b/>
      <w:bCs/>
    </w:rPr>
  </w:style>
  <w:style w:type="paragraph" w:customStyle="1" w:styleId="Heading210">
    <w:name w:val="Heading #2|1"/>
    <w:basedOn w:val="Normal"/>
    <w:link w:val="Heading21"/>
    <w:rsid w:val="000D306C"/>
    <w:pPr>
      <w:widowControl w:val="0"/>
      <w:spacing w:after="240" w:line="240" w:lineRule="auto"/>
      <w:outlineLvl w:val="1"/>
    </w:pPr>
    <w:rPr>
      <w:rFonts w:ascii="Verdana" w:eastAsia="Verdana" w:hAnsi="Verdana" w:cs="Verdana"/>
      <w:b/>
      <w:bCs/>
    </w:rPr>
  </w:style>
  <w:style w:type="character" w:customStyle="1" w:styleId="Picturecaption1">
    <w:name w:val="Picture caption|1_"/>
    <w:basedOn w:val="DefaultParagraphFont"/>
    <w:link w:val="Picturecaption10"/>
    <w:rsid w:val="000D306C"/>
    <w:rPr>
      <w:rFonts w:ascii="Verdana" w:eastAsia="Verdana" w:hAnsi="Verdana" w:cs="Verdana"/>
      <w:b/>
      <w:bCs/>
    </w:rPr>
  </w:style>
  <w:style w:type="paragraph" w:customStyle="1" w:styleId="Picturecaption10">
    <w:name w:val="Picture caption|1"/>
    <w:basedOn w:val="Normal"/>
    <w:link w:val="Picturecaption1"/>
    <w:rsid w:val="000D306C"/>
    <w:pPr>
      <w:widowControl w:val="0"/>
      <w:spacing w:after="0" w:line="240" w:lineRule="auto"/>
    </w:pPr>
    <w:rPr>
      <w:rFonts w:ascii="Verdana" w:eastAsia="Verdana" w:hAnsi="Verdana" w:cs="Verdana"/>
      <w:b/>
      <w:bCs/>
    </w:rPr>
  </w:style>
  <w:style w:type="character" w:customStyle="1" w:styleId="Heading31">
    <w:name w:val="Heading #3|1_"/>
    <w:basedOn w:val="DefaultParagraphFont"/>
    <w:link w:val="Heading310"/>
    <w:rsid w:val="000D306C"/>
    <w:rPr>
      <w:rFonts w:ascii="Verdana" w:eastAsia="Verdana" w:hAnsi="Verdana" w:cs="Verdana"/>
      <w:b/>
      <w:bCs/>
      <w:sz w:val="20"/>
      <w:szCs w:val="20"/>
    </w:rPr>
  </w:style>
  <w:style w:type="paragraph" w:customStyle="1" w:styleId="Heading310">
    <w:name w:val="Heading #3|1"/>
    <w:basedOn w:val="Normal"/>
    <w:link w:val="Heading31"/>
    <w:rsid w:val="000D306C"/>
    <w:pPr>
      <w:widowControl w:val="0"/>
      <w:spacing w:after="220" w:line="240" w:lineRule="auto"/>
      <w:outlineLvl w:val="2"/>
    </w:pPr>
    <w:rPr>
      <w:rFonts w:ascii="Verdana" w:eastAsia="Verdana" w:hAnsi="Verdana" w:cs="Verdana"/>
      <w:b/>
      <w:bCs/>
      <w:sz w:val="20"/>
      <w:szCs w:val="20"/>
    </w:rPr>
  </w:style>
  <w:style w:type="character" w:customStyle="1" w:styleId="Heading41">
    <w:name w:val="Heading #4|1_"/>
    <w:basedOn w:val="DefaultParagraphFont"/>
    <w:link w:val="Heading410"/>
    <w:rsid w:val="000D306C"/>
    <w:rPr>
      <w:rFonts w:ascii="Verdana" w:eastAsia="Verdana" w:hAnsi="Verdana" w:cs="Verdana"/>
      <w:i/>
      <w:iCs/>
      <w:sz w:val="20"/>
      <w:szCs w:val="20"/>
    </w:rPr>
  </w:style>
  <w:style w:type="paragraph" w:customStyle="1" w:styleId="Heading410">
    <w:name w:val="Heading #4|1"/>
    <w:basedOn w:val="Normal"/>
    <w:link w:val="Heading41"/>
    <w:rsid w:val="000D306C"/>
    <w:pPr>
      <w:widowControl w:val="0"/>
      <w:spacing w:after="240" w:line="240" w:lineRule="auto"/>
      <w:outlineLvl w:val="3"/>
    </w:pPr>
    <w:rPr>
      <w:rFonts w:ascii="Verdana" w:eastAsia="Verdana" w:hAnsi="Verdana" w:cs="Verdana"/>
      <w:i/>
      <w:iCs/>
      <w:sz w:val="20"/>
      <w:szCs w:val="20"/>
    </w:rPr>
  </w:style>
  <w:style w:type="character" w:customStyle="1" w:styleId="Headerorfooter1">
    <w:name w:val="Header or footer|1_"/>
    <w:basedOn w:val="DefaultParagraphFont"/>
    <w:link w:val="Headerorfooter10"/>
    <w:rsid w:val="000D306C"/>
    <w:rPr>
      <w:rFonts w:ascii="Arial" w:eastAsia="Arial" w:hAnsi="Arial" w:cs="Arial"/>
      <w:sz w:val="16"/>
      <w:szCs w:val="16"/>
    </w:rPr>
  </w:style>
  <w:style w:type="paragraph" w:customStyle="1" w:styleId="Headerorfooter10">
    <w:name w:val="Header or footer|1"/>
    <w:basedOn w:val="Normal"/>
    <w:link w:val="Headerorfooter1"/>
    <w:rsid w:val="000D306C"/>
    <w:pPr>
      <w:widowControl w:val="0"/>
      <w:spacing w:after="0" w:line="240" w:lineRule="auto"/>
    </w:pPr>
    <w:rPr>
      <w:rFonts w:ascii="Arial" w:eastAsia="Arial" w:hAnsi="Arial" w:cs="Arial"/>
      <w:sz w:val="16"/>
      <w:szCs w:val="16"/>
    </w:rPr>
  </w:style>
  <w:style w:type="paragraph" w:styleId="TOC1">
    <w:name w:val="toc 1"/>
    <w:basedOn w:val="Normal"/>
    <w:next w:val="Normal"/>
    <w:autoRedefine/>
    <w:uiPriority w:val="39"/>
    <w:rsid w:val="00930B35"/>
    <w:pPr>
      <w:widowControl w:val="0"/>
      <w:tabs>
        <w:tab w:val="right" w:leader="dot" w:pos="10440"/>
      </w:tabs>
      <w:spacing w:after="0" w:line="240" w:lineRule="auto"/>
      <w:ind w:firstLine="284"/>
      <w:jc w:val="both"/>
    </w:pPr>
    <w:rPr>
      <w:rFonts w:ascii="Garamond" w:eastAsia="Verdana" w:hAnsi="Garamond" w:cs="Times New Roman"/>
      <w:color w:val="000000"/>
      <w:lang w:bidi="en-US"/>
    </w:rPr>
  </w:style>
  <w:style w:type="character" w:styleId="Hyperlink">
    <w:name w:val="Hyperlink"/>
    <w:basedOn w:val="DefaultParagraphFont"/>
    <w:uiPriority w:val="99"/>
    <w:rsid w:val="000D306C"/>
    <w:rPr>
      <w:color w:val="0563C1"/>
      <w:u w:val="single"/>
    </w:rPr>
  </w:style>
  <w:style w:type="paragraph" w:styleId="TOC2">
    <w:name w:val="toc 2"/>
    <w:basedOn w:val="Normal"/>
    <w:next w:val="Normal"/>
    <w:autoRedefine/>
    <w:uiPriority w:val="39"/>
    <w:rsid w:val="000D306C"/>
    <w:pPr>
      <w:widowControl w:val="0"/>
      <w:spacing w:after="100" w:line="240" w:lineRule="auto"/>
      <w:ind w:left="220"/>
    </w:pPr>
    <w:rPr>
      <w:rFonts w:ascii="Times New Roman" w:eastAsia="Times New Roman" w:hAnsi="Times New Roman" w:cs="Times New Roman"/>
      <w:color w:val="000000"/>
      <w:sz w:val="24"/>
      <w:szCs w:val="24"/>
      <w:lang w:bidi="en-US"/>
    </w:rPr>
  </w:style>
  <w:style w:type="paragraph" w:styleId="TOC3">
    <w:name w:val="toc 3"/>
    <w:basedOn w:val="Normal"/>
    <w:next w:val="Normal"/>
    <w:autoRedefine/>
    <w:uiPriority w:val="39"/>
    <w:rsid w:val="000D306C"/>
    <w:pPr>
      <w:widowControl w:val="0"/>
      <w:spacing w:after="100" w:line="240" w:lineRule="auto"/>
      <w:ind w:left="440"/>
    </w:pPr>
    <w:rPr>
      <w:rFonts w:ascii="Times New Roman" w:eastAsia="Times New Roman" w:hAnsi="Times New Roman" w:cs="Times New Roman"/>
      <w:color w:val="000000"/>
      <w:sz w:val="24"/>
      <w:szCs w:val="24"/>
      <w:lang w:bidi="en-US"/>
    </w:rPr>
  </w:style>
  <w:style w:type="paragraph" w:styleId="TOC4">
    <w:name w:val="toc 4"/>
    <w:basedOn w:val="Normal"/>
    <w:next w:val="Normal"/>
    <w:autoRedefine/>
    <w:uiPriority w:val="39"/>
    <w:rsid w:val="000D306C"/>
    <w:pPr>
      <w:widowControl w:val="0"/>
      <w:spacing w:after="100" w:line="240" w:lineRule="auto"/>
      <w:ind w:left="660"/>
    </w:pPr>
    <w:rPr>
      <w:rFonts w:ascii="Times New Roman" w:eastAsia="Times New Roman" w:hAnsi="Times New Roman" w:cs="Times New Roman"/>
      <w:color w:val="000000"/>
      <w:sz w:val="24"/>
      <w:szCs w:val="24"/>
      <w:lang w:bidi="en-US"/>
    </w:rPr>
  </w:style>
  <w:style w:type="character" w:styleId="SubtleEmphasis">
    <w:name w:val="Subtle Emphasis"/>
    <w:basedOn w:val="DefaultParagraphFont"/>
    <w:uiPriority w:val="19"/>
    <w:qFormat/>
    <w:rsid w:val="000D306C"/>
    <w:rPr>
      <w:i/>
      <w:iCs/>
      <w:color w:val="404040" w:themeColor="text1" w:themeTint="BF"/>
    </w:rPr>
  </w:style>
  <w:style w:type="character" w:styleId="Emphasis">
    <w:name w:val="Emphasis"/>
    <w:basedOn w:val="DefaultParagraphFont"/>
    <w:uiPriority w:val="20"/>
    <w:qFormat/>
    <w:rsid w:val="000D306C"/>
    <w:rPr>
      <w:i/>
      <w:iCs/>
    </w:rPr>
  </w:style>
  <w:style w:type="character" w:styleId="IntenseEmphasis">
    <w:name w:val="Intense Emphasis"/>
    <w:basedOn w:val="DefaultParagraphFont"/>
    <w:uiPriority w:val="21"/>
    <w:qFormat/>
    <w:rsid w:val="000D306C"/>
    <w:rPr>
      <w:i/>
      <w:iCs/>
      <w:color w:val="4F81BD" w:themeColor="accent1"/>
    </w:rPr>
  </w:style>
  <w:style w:type="character" w:styleId="BookTitle">
    <w:name w:val="Book Title"/>
    <w:basedOn w:val="DefaultParagraphFont"/>
    <w:uiPriority w:val="33"/>
    <w:qFormat/>
    <w:rsid w:val="000D306C"/>
    <w:rPr>
      <w:b/>
      <w:bCs/>
      <w:i/>
      <w:iCs/>
      <w:spacing w:val="5"/>
    </w:rPr>
  </w:style>
  <w:style w:type="paragraph" w:styleId="NoSpacing">
    <w:name w:val="No Spacing"/>
    <w:uiPriority w:val="1"/>
    <w:qFormat/>
    <w:rsid w:val="000D306C"/>
    <w:pPr>
      <w:widowControl w:val="0"/>
      <w:spacing w:after="0" w:line="240" w:lineRule="auto"/>
    </w:pPr>
    <w:rPr>
      <w:rFonts w:ascii="Times New Roman" w:eastAsia="Times New Roman" w:hAnsi="Times New Roman" w:cs="Times New Roman"/>
      <w:color w:val="000000"/>
      <w:sz w:val="24"/>
      <w:szCs w:val="24"/>
      <w:lang w:bidi="en-US"/>
    </w:rPr>
  </w:style>
  <w:style w:type="character" w:customStyle="1" w:styleId="CommentTextChar">
    <w:name w:val="Comment Text Char"/>
    <w:basedOn w:val="DefaultParagraphFont"/>
    <w:link w:val="CommentText"/>
    <w:uiPriority w:val="99"/>
    <w:semiHidden/>
    <w:rsid w:val="000D306C"/>
    <w:rPr>
      <w:rFonts w:ascii="Times New Roman" w:eastAsia="Times New Roman" w:hAnsi="Times New Roman" w:cs="Times New Roman"/>
      <w:color w:val="000000"/>
      <w:sz w:val="20"/>
      <w:szCs w:val="20"/>
      <w:lang w:bidi="en-US"/>
    </w:rPr>
  </w:style>
  <w:style w:type="paragraph" w:styleId="CommentText">
    <w:name w:val="annotation text"/>
    <w:basedOn w:val="Normal"/>
    <w:link w:val="CommentTextChar"/>
    <w:uiPriority w:val="99"/>
    <w:semiHidden/>
    <w:unhideWhenUsed/>
    <w:rsid w:val="000D306C"/>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SubjectChar">
    <w:name w:val="Comment Subject Char"/>
    <w:basedOn w:val="CommentTextChar"/>
    <w:link w:val="CommentSubject"/>
    <w:uiPriority w:val="99"/>
    <w:semiHidden/>
    <w:rsid w:val="000D306C"/>
    <w:rPr>
      <w:rFonts w:ascii="Times New Roman" w:eastAsia="Times New Roman" w:hAnsi="Times New Roman" w:cs="Times New Roman"/>
      <w:b/>
      <w:bCs/>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0D306C"/>
    <w:rPr>
      <w:b/>
      <w:bCs/>
    </w:rPr>
  </w:style>
  <w:style w:type="paragraph" w:styleId="Header">
    <w:name w:val="header"/>
    <w:basedOn w:val="Normal"/>
    <w:link w:val="HeaderChar"/>
    <w:uiPriority w:val="99"/>
    <w:unhideWhenUsed/>
    <w:rsid w:val="000D306C"/>
    <w:pPr>
      <w:widowControl w:val="0"/>
      <w:tabs>
        <w:tab w:val="center" w:pos="4513"/>
        <w:tab w:val="right" w:pos="9026"/>
      </w:tabs>
      <w:spacing w:after="0" w:line="240" w:lineRule="auto"/>
    </w:pPr>
    <w:rPr>
      <w:rFonts w:ascii="Times New Roman" w:eastAsia="Times New Roman" w:hAnsi="Times New Roman" w:cs="Times New Roman"/>
      <w:color w:val="000000"/>
      <w:sz w:val="24"/>
      <w:szCs w:val="24"/>
      <w:lang w:bidi="en-US"/>
    </w:rPr>
  </w:style>
  <w:style w:type="character" w:customStyle="1" w:styleId="HeaderChar">
    <w:name w:val="Header Char"/>
    <w:basedOn w:val="DefaultParagraphFont"/>
    <w:link w:val="Header"/>
    <w:uiPriority w:val="99"/>
    <w:rsid w:val="000D306C"/>
    <w:rPr>
      <w:rFonts w:ascii="Times New Roman" w:eastAsia="Times New Roman" w:hAnsi="Times New Roman" w:cs="Times New Roman"/>
      <w:color w:val="000000"/>
      <w:sz w:val="24"/>
      <w:szCs w:val="24"/>
      <w:lang w:bidi="en-US"/>
    </w:rPr>
  </w:style>
  <w:style w:type="paragraph" w:styleId="Footer">
    <w:name w:val="footer"/>
    <w:basedOn w:val="Normal"/>
    <w:link w:val="FooterChar"/>
    <w:uiPriority w:val="99"/>
    <w:unhideWhenUsed/>
    <w:rsid w:val="000D306C"/>
    <w:pPr>
      <w:widowControl w:val="0"/>
      <w:tabs>
        <w:tab w:val="center" w:pos="4513"/>
        <w:tab w:val="right" w:pos="9026"/>
      </w:tabs>
      <w:spacing w:after="0" w:line="240" w:lineRule="auto"/>
    </w:pPr>
    <w:rPr>
      <w:rFonts w:ascii="Times New Roman" w:eastAsia="Times New Roman" w:hAnsi="Times New Roman" w:cs="Times New Roman"/>
      <w:color w:val="000000"/>
      <w:sz w:val="24"/>
      <w:szCs w:val="24"/>
      <w:lang w:bidi="en-US"/>
    </w:rPr>
  </w:style>
  <w:style w:type="character" w:customStyle="1" w:styleId="FooterChar">
    <w:name w:val="Footer Char"/>
    <w:basedOn w:val="DefaultParagraphFont"/>
    <w:link w:val="Footer"/>
    <w:uiPriority w:val="99"/>
    <w:rsid w:val="000D306C"/>
    <w:rPr>
      <w:rFonts w:ascii="Times New Roman" w:eastAsia="Times New Roman" w:hAnsi="Times New Roman" w:cs="Times New Roman"/>
      <w:color w:val="000000"/>
      <w:sz w:val="24"/>
      <w:szCs w:val="24"/>
      <w:lang w:bidi="en-US"/>
    </w:rPr>
  </w:style>
  <w:style w:type="paragraph" w:styleId="BalloonText">
    <w:name w:val="Balloon Text"/>
    <w:basedOn w:val="Normal"/>
    <w:link w:val="BalloonTextChar"/>
    <w:uiPriority w:val="99"/>
    <w:semiHidden/>
    <w:unhideWhenUsed/>
    <w:rsid w:val="000D306C"/>
    <w:pPr>
      <w:widowControl w:val="0"/>
      <w:spacing w:after="0" w:line="240" w:lineRule="auto"/>
    </w:pPr>
    <w:rPr>
      <w:rFonts w:ascii="Segoe UI" w:eastAsia="Times New Roman" w:hAnsi="Segoe UI" w:cs="Segoe UI"/>
      <w:color w:val="000000"/>
      <w:sz w:val="18"/>
      <w:szCs w:val="18"/>
      <w:lang w:bidi="en-US"/>
    </w:rPr>
  </w:style>
  <w:style w:type="character" w:customStyle="1" w:styleId="BalloonTextChar">
    <w:name w:val="Balloon Text Char"/>
    <w:basedOn w:val="DefaultParagraphFont"/>
    <w:link w:val="BalloonText"/>
    <w:uiPriority w:val="99"/>
    <w:semiHidden/>
    <w:rsid w:val="000D306C"/>
    <w:rPr>
      <w:rFonts w:ascii="Segoe UI" w:eastAsia="Times New Roman" w:hAnsi="Segoe UI" w:cs="Segoe UI"/>
      <w:color w:val="000000"/>
      <w:sz w:val="18"/>
      <w:szCs w:val="18"/>
      <w:lang w:bidi="en-US"/>
    </w:rPr>
  </w:style>
  <w:style w:type="paragraph" w:customStyle="1" w:styleId="AAAATEXXX">
    <w:name w:val="AAAATEXXX"/>
    <w:basedOn w:val="Bodytext10"/>
    <w:rsid w:val="000D306C"/>
    <w:pPr>
      <w:tabs>
        <w:tab w:val="left" w:pos="735"/>
        <w:tab w:val="left" w:pos="7878"/>
      </w:tabs>
      <w:spacing w:after="0"/>
      <w:ind w:firstLine="284"/>
      <w:jc w:val="both"/>
    </w:pPr>
    <w:rPr>
      <w:rFonts w:ascii="Garamond" w:hAnsi="Garamond"/>
      <w:sz w:val="24"/>
      <w:szCs w:val="24"/>
    </w:rPr>
  </w:style>
  <w:style w:type="paragraph" w:customStyle="1" w:styleId="AAATEXBUKUR">
    <w:name w:val="AAATEX BUKUR"/>
    <w:basedOn w:val="AAAATEXXX"/>
    <w:rsid w:val="000D306C"/>
  </w:style>
  <w:style w:type="paragraph" w:customStyle="1" w:styleId="Style2">
    <w:name w:val="Style2"/>
    <w:basedOn w:val="Normal"/>
    <w:qFormat/>
    <w:rsid w:val="00E55BD9"/>
    <w:pPr>
      <w:spacing w:after="0" w:line="240" w:lineRule="auto"/>
    </w:pPr>
    <w:rPr>
      <w:rFonts w:ascii="Arial Narrow" w:eastAsia="Times New Roman" w:hAnsi="Arial Narro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720834">
      <w:bodyDiv w:val="1"/>
      <w:marLeft w:val="0"/>
      <w:marRight w:val="0"/>
      <w:marTop w:val="0"/>
      <w:marBottom w:val="0"/>
      <w:divBdr>
        <w:top w:val="none" w:sz="0" w:space="0" w:color="auto"/>
        <w:left w:val="none" w:sz="0" w:space="0" w:color="auto"/>
        <w:bottom w:val="none" w:sz="0" w:space="0" w:color="auto"/>
        <w:right w:val="none" w:sz="0" w:space="0" w:color="auto"/>
      </w:divBdr>
    </w:div>
    <w:div w:id="11335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www.sanctionsmap.eu" TargetMode="External"/><Relationship Id="rId2" Type="http://schemas.openxmlformats.org/officeDocument/2006/relationships/hyperlink" Target="https://awenetwork.org/wp-" TargetMode="External"/><Relationship Id="rId1" Type="http://schemas.openxmlformats.org/officeDocument/2006/relationships/hyperlink" Target="http://www.oecd.org/dac/financing-sustainable-development/development-financestandards/dacandcrscodelist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166F07D4A16491C95BF8107655D03E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Nr_x002e__x0020_akti>
    <Data_x0020_e_x0020_Krijimit xmlns="0e656187-b300-4fb0-8bf4-3a50f872073c">2024-02-29T10:10:02Z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2024-02-28T00:00:00Z</Date_x0020_protokolli>
    <Titulli xmlns="0e656187-b300-4fb0-8bf4-3a50f872073c">Për ratifikimin e marrëveshjes së financimit ndërmjet Republikës së Shqipërisë, përfaqësuar nga Këshilli i Ministrave i Republikës së Shqipërisë, Malit të Zi dhe Komisionit Evropian për programin IPA të bashkëpunimit ndërkufitar Mali i Zi-Shqipëri 2021-2027</Titulli>
    <Modifikuesi xmlns="0e656187-b300-4fb0-8bf4-3a50f872073c">Fjora.Cahani</Modifikuesi>
    <Nr_x002e__x0020_prot_x0020_QBZ xmlns="0e656187-b300-4fb0-8bf4-3a50f872073c">381/1</Nr_x002e__x0020_prot_x0020_QBZ>
    <Data_x0020_e_x0020_Modifikimit xmlns="0e656187-b300-4fb0-8bf4-3a50f872073c">2024-03-05T12:56:34Z</Data_x0020_e_x0020_Modifikimit>
    <Dekretuar xmlns="0e656187-b300-4fb0-8bf4-3a50f872073c">false</Dekretuar>
    <Data xmlns="0e656187-b300-4fb0-8bf4-3a50f872073c">2024-02-08T00:00:00Z</Data>
    <Nr_x002e__x0020_protokolli_x0020_i_x0020_aktit xmlns="0e656187-b300-4fb0-8bf4-3a50f872073c">634/4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6DE0-747B-4E6C-9777-538AC8FE097E}">
  <ds:schemaRefs>
    <ds:schemaRef ds:uri="http://schemas.microsoft.com/sharepoint/v3/contenttype/forms"/>
  </ds:schemaRefs>
</ds:datastoreItem>
</file>

<file path=customXml/itemProps2.xml><?xml version="1.0" encoding="utf-8"?>
<ds:datastoreItem xmlns:ds="http://schemas.openxmlformats.org/officeDocument/2006/customXml" ds:itemID="{928BA6B7-18E9-432F-9AED-335DF9173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F430C77-C94F-45C4-9640-0AA2219F1552}">
  <ds:schemaRefs>
    <ds:schemaRef ds:uri="http://schemas.microsoft.com/office/2006/documentManagement/types"/>
    <ds:schemaRef ds:uri="0e656187-b300-4fb0-8bf4-3a50f872073c"/>
    <ds:schemaRef ds:uri="http://purl.org/dc/dcmitype/"/>
    <ds:schemaRef ds:uri="http://www.w3.org/XML/1998/namespace"/>
    <ds:schemaRef ds:uri="http://schemas.openxmlformats.org/package/2006/metadata/core-properties"/>
    <ds:schemaRef ds:uri="http://purl.org/dc/terms/"/>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6F0A22AF-C2BD-499C-9824-A6B21001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68</Pages>
  <Words>34030</Words>
  <Characters>193972</Characters>
  <Application>Microsoft Office Word</Application>
  <DocSecurity>0</DocSecurity>
  <Lines>1616</Lines>
  <Paragraphs>455</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i Republikës së Shqipërisë, Malit të Zi dhe Komisionit Evropian për programin IPA të bashkëpunimit ndërkufitar Mali i Zi-Shqipëri 2021-20</vt:lpstr>
    </vt:vector>
  </TitlesOfParts>
  <Company/>
  <LinksUpToDate>false</LinksUpToDate>
  <CharactersWithSpaces>227547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i Republikës së Shqipërisë, Malit të Zi dhe Komisionit Evropian për programin IPA të bashkëpunimit ndërkufitar Mali i Zi-Shqipëri 2021-2027</dc:title>
  <dc:creator>Nevila Samarxhi</dc:creator>
  <cp:lastModifiedBy>Fjora Cahani</cp:lastModifiedBy>
  <cp:revision>78</cp:revision>
  <dcterms:created xsi:type="dcterms:W3CDTF">2024-03-01T10:31:00Z</dcterms:created>
  <dcterms:modified xsi:type="dcterms:W3CDTF">2024-03-05T12:05:00Z</dcterms:modified>
</cp:coreProperties>
</file>