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768DB" w14:textId="77777777" w:rsidR="00420682" w:rsidRPr="008B261D" w:rsidRDefault="00420682"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LIGJ</w:t>
      </w:r>
    </w:p>
    <w:p w14:paraId="659E8F1E" w14:textId="77777777" w:rsidR="00024790" w:rsidRPr="008B261D" w:rsidRDefault="002009A1"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Nr.</w:t>
      </w:r>
      <w:r w:rsidR="00F62A46" w:rsidRPr="008B261D">
        <w:rPr>
          <w:rFonts w:ascii="Garamond" w:hAnsi="Garamond" w:cs="Times New Roman"/>
          <w:b/>
          <w:color w:val="000000" w:themeColor="text1"/>
          <w:sz w:val="24"/>
          <w:szCs w:val="24"/>
        </w:rPr>
        <w:t xml:space="preserve"> </w:t>
      </w:r>
      <w:r w:rsidR="00C4613D" w:rsidRPr="008B261D">
        <w:rPr>
          <w:rFonts w:ascii="Garamond" w:hAnsi="Garamond" w:cs="Times New Roman"/>
          <w:b/>
          <w:color w:val="000000" w:themeColor="text1"/>
          <w:sz w:val="24"/>
          <w:szCs w:val="24"/>
        </w:rPr>
        <w:t>33</w:t>
      </w:r>
      <w:r w:rsidR="007748A2" w:rsidRPr="008B261D">
        <w:rPr>
          <w:rFonts w:ascii="Garamond" w:hAnsi="Garamond" w:cs="Times New Roman"/>
          <w:b/>
          <w:color w:val="000000" w:themeColor="text1"/>
          <w:sz w:val="24"/>
          <w:szCs w:val="24"/>
        </w:rPr>
        <w:t>/202</w:t>
      </w:r>
      <w:r w:rsidR="00F86F45" w:rsidRPr="008B261D">
        <w:rPr>
          <w:rFonts w:ascii="Garamond" w:hAnsi="Garamond" w:cs="Times New Roman"/>
          <w:b/>
          <w:color w:val="000000" w:themeColor="text1"/>
          <w:sz w:val="24"/>
          <w:szCs w:val="24"/>
        </w:rPr>
        <w:t>4</w:t>
      </w:r>
      <w:r w:rsidRPr="008B261D">
        <w:rPr>
          <w:rFonts w:ascii="Garamond" w:hAnsi="Garamond" w:cs="Times New Roman"/>
          <w:b/>
          <w:color w:val="000000" w:themeColor="text1"/>
          <w:sz w:val="24"/>
          <w:szCs w:val="24"/>
        </w:rPr>
        <w:t xml:space="preserve"> </w:t>
      </w:r>
    </w:p>
    <w:p w14:paraId="0EE571E1"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134E8182" w14:textId="77777777"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PËR DHËNIE AMNISTIE</w:t>
      </w:r>
    </w:p>
    <w:p w14:paraId="45CB179E"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 </w:t>
      </w:r>
    </w:p>
    <w:p w14:paraId="1B55D581"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Në mbështetje të neneve 81, pikat 1 e 2, shkronja “ë”, dhe 83, pika 1, të Kushtetutës, me propozimin e Këshillit të Ministrave, </w:t>
      </w:r>
    </w:p>
    <w:p w14:paraId="46EC65D1"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760AE65A" w14:textId="77777777" w:rsidR="00C4613D" w:rsidRPr="008B261D" w:rsidRDefault="000F2CF6"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KUVENDI</w:t>
      </w:r>
    </w:p>
    <w:p w14:paraId="1B340C53"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I REPUBLIKËS SË SHQIPËRISË</w:t>
      </w:r>
    </w:p>
    <w:p w14:paraId="36C988EC" w14:textId="77777777" w:rsidR="00C4613D" w:rsidRPr="008B261D" w:rsidRDefault="00C4613D" w:rsidP="000B1BBA">
      <w:pPr>
        <w:spacing w:after="0" w:line="240" w:lineRule="auto"/>
        <w:ind w:firstLine="284"/>
        <w:rPr>
          <w:rFonts w:ascii="Garamond" w:hAnsi="Garamond" w:cs="Times New Roman"/>
          <w:color w:val="000000" w:themeColor="text1"/>
          <w:sz w:val="24"/>
          <w:szCs w:val="24"/>
        </w:rPr>
      </w:pPr>
    </w:p>
    <w:p w14:paraId="6C96851F" w14:textId="77777777" w:rsidR="00C4613D" w:rsidRPr="008B261D" w:rsidRDefault="000F2CF6"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VENDOSI:</w:t>
      </w:r>
    </w:p>
    <w:p w14:paraId="657DE9B9"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2A7C5AF7"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Neni 1</w:t>
      </w:r>
    </w:p>
    <w:p w14:paraId="7FBA79C3" w14:textId="77777777"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Qëllimi dhe parimet e ligjit</w:t>
      </w:r>
    </w:p>
    <w:p w14:paraId="2FDE2B59"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p>
    <w:p w14:paraId="7931B265"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1. Qëllimi i këtij ligji është të përjashtojë nga vuajtja e dënimit dhe ndjekja penale, tërësisht ose pjesërisht, të gjithë personat që plotësojnë kriteret sipas dispozitave të këtij ligji.</w:t>
      </w:r>
    </w:p>
    <w:p w14:paraId="0295CE52"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2.</w:t>
      </w:r>
      <w:r w:rsidR="00AD7AD5"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Dhënia e amnistisë, sipas këtij ligji, udhëhiqet nga:</w:t>
      </w:r>
    </w:p>
    <w:p w14:paraId="4818DC8E"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a) parimi i humanizmit;</w:t>
      </w:r>
    </w:p>
    <w:p w14:paraId="7CD21956"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b) arritja e qëllimit të dënimit;</w:t>
      </w:r>
    </w:p>
    <w:p w14:paraId="232302B6" w14:textId="4DAC0E0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c) rrezikshmëria e ulët e personave që amnistohen;</w:t>
      </w:r>
    </w:p>
    <w:p w14:paraId="112BCD5F" w14:textId="15DC56F9"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ç) edukimi dhe rehabilitimi;</w:t>
      </w:r>
      <w:r w:rsidR="008B261D">
        <w:rPr>
          <w:rFonts w:ascii="Garamond" w:hAnsi="Garamond" w:cs="Times New Roman"/>
          <w:color w:val="000000" w:themeColor="text1"/>
          <w:sz w:val="24"/>
          <w:szCs w:val="24"/>
        </w:rPr>
        <w:t xml:space="preserve"> </w:t>
      </w:r>
    </w:p>
    <w:p w14:paraId="58727367"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d) mbrojtja e interesit publik; </w:t>
      </w:r>
    </w:p>
    <w:p w14:paraId="39C2119B"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dh) dhënia e mundësisë së integrimit më të lehtë dhe më të shpejtë të </w:t>
      </w:r>
      <w:proofErr w:type="spellStart"/>
      <w:r w:rsidRPr="008B261D">
        <w:rPr>
          <w:rFonts w:ascii="Garamond" w:hAnsi="Garamond" w:cs="Times New Roman"/>
          <w:color w:val="000000" w:themeColor="text1"/>
          <w:sz w:val="24"/>
          <w:szCs w:val="24"/>
        </w:rPr>
        <w:t>të</w:t>
      </w:r>
      <w:proofErr w:type="spellEnd"/>
      <w:r w:rsidRPr="008B261D">
        <w:rPr>
          <w:rFonts w:ascii="Garamond" w:hAnsi="Garamond" w:cs="Times New Roman"/>
          <w:color w:val="000000" w:themeColor="text1"/>
          <w:sz w:val="24"/>
          <w:szCs w:val="24"/>
        </w:rPr>
        <w:t xml:space="preserve"> dënuarve të mitur dhe femra;</w:t>
      </w:r>
    </w:p>
    <w:p w14:paraId="652A4352" w14:textId="6C436E5D"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e) rritja e </w:t>
      </w:r>
      <w:proofErr w:type="spellStart"/>
      <w:r w:rsidRPr="008B261D">
        <w:rPr>
          <w:rFonts w:ascii="Garamond" w:hAnsi="Garamond" w:cs="Times New Roman"/>
          <w:color w:val="000000" w:themeColor="text1"/>
          <w:sz w:val="24"/>
          <w:szCs w:val="24"/>
        </w:rPr>
        <w:t>efi</w:t>
      </w:r>
      <w:r w:rsidR="008B261D">
        <w:rPr>
          <w:rFonts w:ascii="Garamond" w:hAnsi="Garamond" w:cs="Times New Roman"/>
          <w:color w:val="000000" w:themeColor="text1"/>
          <w:sz w:val="24"/>
          <w:szCs w:val="24"/>
        </w:rPr>
        <w:t>ci</w:t>
      </w:r>
      <w:r w:rsidRPr="008B261D">
        <w:rPr>
          <w:rFonts w:ascii="Garamond" w:hAnsi="Garamond" w:cs="Times New Roman"/>
          <w:color w:val="000000" w:themeColor="text1"/>
          <w:sz w:val="24"/>
          <w:szCs w:val="24"/>
        </w:rPr>
        <w:t>encës</w:t>
      </w:r>
      <w:proofErr w:type="spellEnd"/>
      <w:r w:rsidRPr="008B261D">
        <w:rPr>
          <w:rFonts w:ascii="Garamond" w:hAnsi="Garamond" w:cs="Times New Roman"/>
          <w:color w:val="000000" w:themeColor="text1"/>
          <w:sz w:val="24"/>
          <w:szCs w:val="24"/>
        </w:rPr>
        <w:t xml:space="preserve"> në sistemin e drejtësisë;</w:t>
      </w:r>
    </w:p>
    <w:p w14:paraId="21657CBA"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ë) mbrojtja e interesit më të lartë të fëmijës.</w:t>
      </w:r>
    </w:p>
    <w:p w14:paraId="4D6EC08A"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2CDD4739"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Neni 2</w:t>
      </w:r>
    </w:p>
    <w:p w14:paraId="40022E6C" w14:textId="77777777"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Përkufizime</w:t>
      </w:r>
    </w:p>
    <w:p w14:paraId="2EBBC179"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73FA096F"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Në këtë ligj termat e mëposhtëm kanë këto kuptime:</w:t>
      </w:r>
    </w:p>
    <w:p w14:paraId="5A48D64B" w14:textId="77777777"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1. </w:t>
      </w:r>
      <w:r w:rsidR="00C4613D" w:rsidRPr="008B261D">
        <w:rPr>
          <w:rFonts w:ascii="Garamond" w:hAnsi="Garamond" w:cs="Times New Roman"/>
          <w:color w:val="000000" w:themeColor="text1"/>
          <w:sz w:val="24"/>
          <w:szCs w:val="24"/>
        </w:rPr>
        <w:t>“I dënuar” konsiderohet:</w:t>
      </w:r>
    </w:p>
    <w:p w14:paraId="3751D589" w14:textId="4B0DB5BA"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a) </w:t>
      </w:r>
      <w:r w:rsidR="00C4613D" w:rsidRPr="008B261D">
        <w:rPr>
          <w:rFonts w:ascii="Garamond" w:hAnsi="Garamond" w:cs="Times New Roman"/>
          <w:color w:val="000000" w:themeColor="text1"/>
          <w:sz w:val="24"/>
          <w:szCs w:val="24"/>
        </w:rPr>
        <w:t xml:space="preserve">personi i dënuar nga gjykatat e shkallës së parë të juridiksionit të përgjithshëm dhe gjykatat e shkallës së parë kundër korrupsionit </w:t>
      </w:r>
      <w:r w:rsidRPr="008B261D">
        <w:rPr>
          <w:rFonts w:ascii="Garamond" w:hAnsi="Garamond" w:cs="Times New Roman"/>
          <w:color w:val="000000" w:themeColor="text1"/>
          <w:sz w:val="24"/>
          <w:szCs w:val="24"/>
        </w:rPr>
        <w:t>dhe krimit të organizuar dhe që brenda afatit ligjor</w:t>
      </w:r>
      <w:r w:rsidR="00C4613D" w:rsidRPr="008B261D">
        <w:rPr>
          <w:rFonts w:ascii="Garamond" w:hAnsi="Garamond" w:cs="Times New Roman"/>
          <w:color w:val="000000" w:themeColor="text1"/>
          <w:sz w:val="24"/>
          <w:szCs w:val="24"/>
        </w:rPr>
        <w:t xml:space="preserve"> nuk është bërë ankim në gjykatat përkatëse të apelit, duke marrë formë të prerë brenda datës </w:t>
      </w:r>
      <w:r w:rsidRPr="008B261D">
        <w:rPr>
          <w:rFonts w:ascii="Garamond" w:hAnsi="Garamond" w:cs="Times New Roman"/>
          <w:color w:val="000000" w:themeColor="text1"/>
          <w:sz w:val="24"/>
          <w:szCs w:val="24"/>
        </w:rPr>
        <w:t>31.</w:t>
      </w:r>
      <w:r w:rsidR="00C4613D" w:rsidRPr="008B261D">
        <w:rPr>
          <w:rFonts w:ascii="Garamond" w:hAnsi="Garamond" w:cs="Times New Roman"/>
          <w:color w:val="000000" w:themeColor="text1"/>
          <w:sz w:val="24"/>
          <w:szCs w:val="24"/>
        </w:rPr>
        <w:t>3.2024;</w:t>
      </w:r>
    </w:p>
    <w:p w14:paraId="5979BDE3" w14:textId="77777777"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b) </w:t>
      </w:r>
      <w:r w:rsidR="00C4613D" w:rsidRPr="008B261D">
        <w:rPr>
          <w:rFonts w:ascii="Garamond" w:hAnsi="Garamond" w:cs="Times New Roman"/>
          <w:color w:val="000000" w:themeColor="text1"/>
          <w:sz w:val="24"/>
          <w:szCs w:val="24"/>
        </w:rPr>
        <w:t xml:space="preserve">personi i dënuar deri në datën </w:t>
      </w:r>
      <w:r w:rsidRPr="008B261D">
        <w:rPr>
          <w:rFonts w:ascii="Garamond" w:hAnsi="Garamond" w:cs="Times New Roman"/>
          <w:color w:val="000000" w:themeColor="text1"/>
          <w:sz w:val="24"/>
          <w:szCs w:val="24"/>
        </w:rPr>
        <w:t>31.</w:t>
      </w:r>
      <w:r w:rsidR="00C4613D" w:rsidRPr="008B261D">
        <w:rPr>
          <w:rFonts w:ascii="Garamond" w:hAnsi="Garamond" w:cs="Times New Roman"/>
          <w:color w:val="000000" w:themeColor="text1"/>
          <w:sz w:val="24"/>
          <w:szCs w:val="24"/>
        </w:rPr>
        <w:t>3.2024 nga gjykatat e apelit të juridiksionit të përgjithshëm dhe gjykata e apelit kundër korrupsionit dhe krimit të organizuar;</w:t>
      </w:r>
    </w:p>
    <w:p w14:paraId="2E76947E" w14:textId="1E17C4EB"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c) </w:t>
      </w:r>
      <w:r w:rsidR="00C4613D" w:rsidRPr="008B261D">
        <w:rPr>
          <w:rFonts w:ascii="Garamond" w:hAnsi="Garamond" w:cs="Times New Roman"/>
          <w:color w:val="000000" w:themeColor="text1"/>
          <w:sz w:val="24"/>
          <w:szCs w:val="24"/>
        </w:rPr>
        <w:t xml:space="preserve">personi i dënuar deri në datën </w:t>
      </w:r>
      <w:r w:rsidRPr="008B261D">
        <w:rPr>
          <w:rFonts w:ascii="Garamond" w:hAnsi="Garamond" w:cs="Times New Roman"/>
          <w:color w:val="000000" w:themeColor="text1"/>
          <w:sz w:val="24"/>
          <w:szCs w:val="24"/>
        </w:rPr>
        <w:t>31.</w:t>
      </w:r>
      <w:r w:rsidR="00C4613D" w:rsidRPr="008B261D">
        <w:rPr>
          <w:rFonts w:ascii="Garamond" w:hAnsi="Garamond" w:cs="Times New Roman"/>
          <w:color w:val="000000" w:themeColor="text1"/>
          <w:sz w:val="24"/>
          <w:szCs w:val="24"/>
        </w:rPr>
        <w:t xml:space="preserve">3.2024 kur Gjykata e Lartë ka vendosur prishjen e vendimit të gjykatës së apelit dhe lënien në fuqi të vendimit të gjykatës së shkallës së parë, si dhe personi i dënuar nga Gjykata e Lartë, kur kjo gjykatë ka vendosur ndryshimin e vendimeve të gjykatës së apelit dhe </w:t>
      </w:r>
      <w:r w:rsidRPr="008B261D">
        <w:rPr>
          <w:rFonts w:ascii="Garamond" w:hAnsi="Garamond" w:cs="Times New Roman"/>
          <w:color w:val="000000" w:themeColor="text1"/>
          <w:sz w:val="24"/>
          <w:szCs w:val="24"/>
        </w:rPr>
        <w:t>të gjykatës së shkallës së parë</w:t>
      </w:r>
      <w:r w:rsidR="00C4613D" w:rsidRPr="008B261D">
        <w:rPr>
          <w:rFonts w:ascii="Garamond" w:hAnsi="Garamond" w:cs="Times New Roman"/>
          <w:color w:val="000000" w:themeColor="text1"/>
          <w:sz w:val="24"/>
          <w:szCs w:val="24"/>
        </w:rPr>
        <w:t xml:space="preserve"> deri në datën </w:t>
      </w:r>
      <w:r w:rsidRPr="008B261D">
        <w:rPr>
          <w:rFonts w:ascii="Garamond" w:hAnsi="Garamond" w:cs="Times New Roman"/>
          <w:color w:val="000000" w:themeColor="text1"/>
          <w:sz w:val="24"/>
          <w:szCs w:val="24"/>
        </w:rPr>
        <w:t>31.</w:t>
      </w:r>
      <w:r w:rsidR="00C4613D" w:rsidRPr="008B261D">
        <w:rPr>
          <w:rFonts w:ascii="Garamond" w:hAnsi="Garamond" w:cs="Times New Roman"/>
          <w:color w:val="000000" w:themeColor="text1"/>
          <w:sz w:val="24"/>
          <w:szCs w:val="24"/>
        </w:rPr>
        <w:t>3.2024.</w:t>
      </w:r>
    </w:p>
    <w:p w14:paraId="162B7640" w14:textId="77777777"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2. </w:t>
      </w:r>
      <w:r w:rsidR="00C4613D" w:rsidRPr="008B261D">
        <w:rPr>
          <w:rFonts w:ascii="Garamond" w:hAnsi="Garamond" w:cs="Times New Roman"/>
          <w:color w:val="000000" w:themeColor="text1"/>
          <w:sz w:val="24"/>
          <w:szCs w:val="24"/>
        </w:rPr>
        <w:t>“Person që i është shmangur drejtësisë” është personi i fshehur, i arratisur ose i ikur, i cili, megjithëse ka dijeni, i shmanget me vullnet procedimit penal, zbatimit të masave të sigurimit ose ekzekutimit të vendimit gjyqësor të formës së prerë të dënimit.</w:t>
      </w:r>
    </w:p>
    <w:p w14:paraId="1C642BE0"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49F3F3CF"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Neni 3</w:t>
      </w:r>
    </w:p>
    <w:p w14:paraId="2EDD3852" w14:textId="77777777"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Kriteret për përfitimin e amnistisë nga vuajtja e dënimit</w:t>
      </w:r>
    </w:p>
    <w:p w14:paraId="77C67FBF"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151FBA0D" w14:textId="77777777"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1. </w:t>
      </w:r>
      <w:r w:rsidR="00C4613D" w:rsidRPr="008B261D">
        <w:rPr>
          <w:rFonts w:ascii="Garamond" w:hAnsi="Garamond" w:cs="Times New Roman"/>
          <w:color w:val="000000" w:themeColor="text1"/>
          <w:sz w:val="24"/>
          <w:szCs w:val="24"/>
        </w:rPr>
        <w:t>Përjashtohen nga vuajtja e dënimit:</w:t>
      </w:r>
    </w:p>
    <w:p w14:paraId="7D313B58" w14:textId="69F78C39"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ab/>
      </w:r>
      <w:r w:rsidR="00AD7AD5" w:rsidRPr="008B261D">
        <w:rPr>
          <w:rFonts w:ascii="Garamond" w:hAnsi="Garamond" w:cs="Times New Roman"/>
          <w:color w:val="000000" w:themeColor="text1"/>
          <w:sz w:val="24"/>
          <w:szCs w:val="24"/>
        </w:rPr>
        <w:t xml:space="preserve">a) </w:t>
      </w:r>
      <w:r w:rsidRPr="008B261D">
        <w:rPr>
          <w:rFonts w:ascii="Garamond" w:hAnsi="Garamond" w:cs="Times New Roman"/>
          <w:color w:val="000000" w:themeColor="text1"/>
          <w:sz w:val="24"/>
          <w:szCs w:val="24"/>
        </w:rPr>
        <w:t xml:space="preserve">personat meshkuj, dënuar me vendim gjyqësor të formës së prerë, me burgim deri në 4 vjet ose çdo lloj dënimi tjetër më të butë, duke përfshirë gjobën ose një nga llojet e alternativave të dënimit me burgim, për dënime të dhëna deri në datën </w:t>
      </w:r>
      <w:r w:rsidR="00AD7AD5" w:rsidRPr="008B261D">
        <w:rPr>
          <w:rFonts w:ascii="Garamond" w:hAnsi="Garamond" w:cs="Times New Roman"/>
          <w:color w:val="000000" w:themeColor="text1"/>
          <w:sz w:val="24"/>
          <w:szCs w:val="24"/>
        </w:rPr>
        <w:t>31.</w:t>
      </w:r>
      <w:r w:rsidRPr="008B261D">
        <w:rPr>
          <w:rFonts w:ascii="Garamond" w:hAnsi="Garamond" w:cs="Times New Roman"/>
          <w:color w:val="000000" w:themeColor="text1"/>
          <w:sz w:val="24"/>
          <w:szCs w:val="24"/>
        </w:rPr>
        <w:t>3.2024, pavarësisht nga koha e mbetur nga dënimi;</w:t>
      </w:r>
      <w:r w:rsidR="008B261D">
        <w:rPr>
          <w:rFonts w:ascii="Garamond" w:hAnsi="Garamond" w:cs="Times New Roman"/>
          <w:color w:val="000000" w:themeColor="text1"/>
          <w:sz w:val="24"/>
          <w:szCs w:val="24"/>
        </w:rPr>
        <w:t xml:space="preserve"> </w:t>
      </w:r>
    </w:p>
    <w:p w14:paraId="64BE88C4" w14:textId="77777777"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lastRenderedPageBreak/>
        <w:t xml:space="preserve">b) </w:t>
      </w:r>
      <w:r w:rsidR="00C4613D" w:rsidRPr="008B261D">
        <w:rPr>
          <w:rFonts w:ascii="Garamond" w:hAnsi="Garamond" w:cs="Times New Roman"/>
          <w:color w:val="000000" w:themeColor="text1"/>
          <w:sz w:val="24"/>
          <w:szCs w:val="24"/>
        </w:rPr>
        <w:t xml:space="preserve">personat femra, dënuar me vendim gjyqësor të formës së prerë, me burgim deri në 5 vjet ose çdo lloj dënimi tjetër më të butë, duke përfshirë gjobën ose një nga llojet e alternativave të dënimit me burgim, për dënime të dhëna deri në datën </w:t>
      </w:r>
      <w:r w:rsidR="00E030E4" w:rsidRPr="008B261D">
        <w:rPr>
          <w:rFonts w:ascii="Garamond" w:hAnsi="Garamond" w:cs="Times New Roman"/>
          <w:color w:val="000000" w:themeColor="text1"/>
          <w:sz w:val="24"/>
          <w:szCs w:val="24"/>
        </w:rPr>
        <w:t>31.</w:t>
      </w:r>
      <w:r w:rsidR="00C4613D" w:rsidRPr="008B261D">
        <w:rPr>
          <w:rFonts w:ascii="Garamond" w:hAnsi="Garamond" w:cs="Times New Roman"/>
          <w:color w:val="000000" w:themeColor="text1"/>
          <w:sz w:val="24"/>
          <w:szCs w:val="24"/>
        </w:rPr>
        <w:t xml:space="preserve">3.2024, pavarësisht nga koha e mbetur nga dënimi; </w:t>
      </w:r>
    </w:p>
    <w:p w14:paraId="7C91B352" w14:textId="0E1DEB7C"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c) </w:t>
      </w:r>
      <w:r w:rsidR="00C4613D" w:rsidRPr="008B261D">
        <w:rPr>
          <w:rFonts w:ascii="Garamond" w:hAnsi="Garamond" w:cs="Times New Roman"/>
          <w:color w:val="000000" w:themeColor="text1"/>
          <w:sz w:val="24"/>
          <w:szCs w:val="24"/>
        </w:rPr>
        <w:t>personat meshk</w:t>
      </w:r>
      <w:r w:rsidR="00E030E4" w:rsidRPr="008B261D">
        <w:rPr>
          <w:rFonts w:ascii="Garamond" w:hAnsi="Garamond" w:cs="Times New Roman"/>
          <w:color w:val="000000" w:themeColor="text1"/>
          <w:sz w:val="24"/>
          <w:szCs w:val="24"/>
        </w:rPr>
        <w:t>uj, dënuar me burgim, të cilëve</w:t>
      </w:r>
      <w:r w:rsidR="00C4613D" w:rsidRPr="008B261D">
        <w:rPr>
          <w:rFonts w:ascii="Garamond" w:hAnsi="Garamond" w:cs="Times New Roman"/>
          <w:color w:val="000000" w:themeColor="text1"/>
          <w:sz w:val="24"/>
          <w:szCs w:val="24"/>
        </w:rPr>
        <w:t xml:space="preserve"> deri në datën e hyrjes në fuqi të këtij ligji, u ka mbetur pa vuajtur nga ky dënim deri në 4 vjet;</w:t>
      </w:r>
      <w:r w:rsidR="008B261D">
        <w:rPr>
          <w:rFonts w:ascii="Garamond" w:hAnsi="Garamond" w:cs="Times New Roman"/>
          <w:color w:val="000000" w:themeColor="text1"/>
          <w:sz w:val="24"/>
          <w:szCs w:val="24"/>
        </w:rPr>
        <w:t xml:space="preserve"> </w:t>
      </w:r>
    </w:p>
    <w:p w14:paraId="7C99551C" w14:textId="1AE87454"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ç) </w:t>
      </w:r>
      <w:r w:rsidR="00C4613D" w:rsidRPr="008B261D">
        <w:rPr>
          <w:rFonts w:ascii="Garamond" w:hAnsi="Garamond" w:cs="Times New Roman"/>
          <w:color w:val="000000" w:themeColor="text1"/>
          <w:sz w:val="24"/>
          <w:szCs w:val="24"/>
        </w:rPr>
        <w:t>personat femra, dënuar me burgim, të cilave, deri në datën e hyrjes në fuqi të këtij ligji, u ka mbetur pa vuajtur nga ky dënim deri në 5 vjet;</w:t>
      </w:r>
      <w:r w:rsidR="008B261D">
        <w:rPr>
          <w:rFonts w:ascii="Garamond" w:hAnsi="Garamond" w:cs="Times New Roman"/>
          <w:color w:val="000000" w:themeColor="text1"/>
          <w:sz w:val="24"/>
          <w:szCs w:val="24"/>
        </w:rPr>
        <w:t xml:space="preserve"> </w:t>
      </w:r>
    </w:p>
    <w:p w14:paraId="21630AFC" w14:textId="0102FC8F" w:rsidR="00C4613D" w:rsidRPr="008B261D" w:rsidRDefault="00AD7A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d) </w:t>
      </w:r>
      <w:r w:rsidR="00C4613D" w:rsidRPr="008B261D">
        <w:rPr>
          <w:rFonts w:ascii="Garamond" w:hAnsi="Garamond" w:cs="Times New Roman"/>
          <w:color w:val="000000" w:themeColor="text1"/>
          <w:sz w:val="24"/>
          <w:szCs w:val="24"/>
        </w:rPr>
        <w:t>personat e dënuar meshkuj, të cilët në datën e hyrjes në fuqi të këtij ligji janë baras ose mbi moshën 60 vjeç;</w:t>
      </w:r>
      <w:r w:rsidR="008B261D">
        <w:rPr>
          <w:rFonts w:ascii="Garamond" w:hAnsi="Garamond" w:cs="Times New Roman"/>
          <w:color w:val="000000" w:themeColor="text1"/>
          <w:sz w:val="24"/>
          <w:szCs w:val="24"/>
        </w:rPr>
        <w:t xml:space="preserve"> </w:t>
      </w:r>
    </w:p>
    <w:p w14:paraId="6FA92A1B"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dh)</w:t>
      </w:r>
      <w:r w:rsidR="000F2CF6"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pe</w:t>
      </w:r>
      <w:r w:rsidR="00E030E4" w:rsidRPr="008B261D">
        <w:rPr>
          <w:rFonts w:ascii="Garamond" w:hAnsi="Garamond" w:cs="Times New Roman"/>
          <w:color w:val="000000" w:themeColor="text1"/>
          <w:sz w:val="24"/>
          <w:szCs w:val="24"/>
        </w:rPr>
        <w:t>rsonat e dënuar femra, të cilat</w:t>
      </w:r>
      <w:r w:rsidRPr="008B261D">
        <w:rPr>
          <w:rFonts w:ascii="Garamond" w:hAnsi="Garamond" w:cs="Times New Roman"/>
          <w:color w:val="000000" w:themeColor="text1"/>
          <w:sz w:val="24"/>
          <w:szCs w:val="24"/>
        </w:rPr>
        <w:t xml:space="preserve"> në datën e hyrjes</w:t>
      </w:r>
      <w:r w:rsidR="00E030E4" w:rsidRPr="008B261D">
        <w:rPr>
          <w:rFonts w:ascii="Garamond" w:hAnsi="Garamond" w:cs="Times New Roman"/>
          <w:color w:val="000000" w:themeColor="text1"/>
          <w:sz w:val="24"/>
          <w:szCs w:val="24"/>
        </w:rPr>
        <w:t xml:space="preserve"> në fuqi të këtij ligji</w:t>
      </w:r>
      <w:r w:rsidRPr="008B261D">
        <w:rPr>
          <w:rFonts w:ascii="Garamond" w:hAnsi="Garamond" w:cs="Times New Roman"/>
          <w:color w:val="000000" w:themeColor="text1"/>
          <w:sz w:val="24"/>
          <w:szCs w:val="24"/>
        </w:rPr>
        <w:t xml:space="preserve"> janë baras ose mbi moshën 50 vjeç; </w:t>
      </w:r>
    </w:p>
    <w:p w14:paraId="47C12F5D"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e)</w:t>
      </w:r>
      <w:r w:rsidR="000F2CF6"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persona</w:t>
      </w:r>
      <w:r w:rsidR="00E030E4" w:rsidRPr="008B261D">
        <w:rPr>
          <w:rFonts w:ascii="Garamond" w:hAnsi="Garamond" w:cs="Times New Roman"/>
          <w:color w:val="000000" w:themeColor="text1"/>
          <w:sz w:val="24"/>
          <w:szCs w:val="24"/>
        </w:rPr>
        <w:t xml:space="preserve">t e dënuar me burgim, të cilët </w:t>
      </w:r>
      <w:r w:rsidRPr="008B261D">
        <w:rPr>
          <w:rFonts w:ascii="Garamond" w:hAnsi="Garamond" w:cs="Times New Roman"/>
          <w:color w:val="000000" w:themeColor="text1"/>
          <w:sz w:val="24"/>
          <w:szCs w:val="24"/>
        </w:rPr>
        <w:t>në ko</w:t>
      </w:r>
      <w:r w:rsidR="00E030E4" w:rsidRPr="008B261D">
        <w:rPr>
          <w:rFonts w:ascii="Garamond" w:hAnsi="Garamond" w:cs="Times New Roman"/>
          <w:color w:val="000000" w:themeColor="text1"/>
          <w:sz w:val="24"/>
          <w:szCs w:val="24"/>
        </w:rPr>
        <w:t>hën e kryerjes së veprës penale</w:t>
      </w:r>
      <w:r w:rsidRPr="008B261D">
        <w:rPr>
          <w:rFonts w:ascii="Garamond" w:hAnsi="Garamond" w:cs="Times New Roman"/>
          <w:color w:val="000000" w:themeColor="text1"/>
          <w:sz w:val="24"/>
          <w:szCs w:val="24"/>
        </w:rPr>
        <w:t xml:space="preserve"> kanë qenë baras ose nën moshën 18 vjeç. </w:t>
      </w:r>
    </w:p>
    <w:p w14:paraId="5942EFCE" w14:textId="1A22D326" w:rsidR="00C4613D" w:rsidRPr="008B261D" w:rsidRDefault="00482E9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1/</w:t>
      </w:r>
      <w:r w:rsidR="00C4613D" w:rsidRPr="008B261D">
        <w:rPr>
          <w:rFonts w:ascii="Garamond" w:hAnsi="Garamond" w:cs="Times New Roman"/>
          <w:color w:val="000000" w:themeColor="text1"/>
          <w:sz w:val="24"/>
          <w:szCs w:val="24"/>
        </w:rPr>
        <w:t>1</w:t>
      </w:r>
      <w:r w:rsidR="008135E9">
        <w:rPr>
          <w:rFonts w:ascii="Garamond" w:hAnsi="Garamond" w:cs="Times New Roman"/>
          <w:color w:val="000000" w:themeColor="text1"/>
          <w:sz w:val="24"/>
          <w:szCs w:val="24"/>
        </w:rPr>
        <w:t>.</w:t>
      </w:r>
      <w:bookmarkStart w:id="0" w:name="_GoBack"/>
      <w:bookmarkEnd w:id="0"/>
      <w:r w:rsidR="00C4613D" w:rsidRPr="008B261D">
        <w:rPr>
          <w:rFonts w:ascii="Garamond" w:hAnsi="Garamond" w:cs="Times New Roman"/>
          <w:color w:val="000000" w:themeColor="text1"/>
          <w:sz w:val="24"/>
          <w:szCs w:val="24"/>
        </w:rPr>
        <w:t xml:space="preserve"> Përjashtohen nga vuajtja e </w:t>
      </w:r>
      <w:r w:rsidR="00E030E4" w:rsidRPr="008B261D">
        <w:rPr>
          <w:rFonts w:ascii="Garamond" w:hAnsi="Garamond" w:cs="Times New Roman"/>
          <w:color w:val="000000" w:themeColor="text1"/>
          <w:sz w:val="24"/>
          <w:szCs w:val="24"/>
        </w:rPr>
        <w:t>dënimit,</w:t>
      </w:r>
      <w:r w:rsidR="00C4613D" w:rsidRPr="008B261D">
        <w:rPr>
          <w:rFonts w:ascii="Garamond" w:hAnsi="Garamond" w:cs="Times New Roman"/>
          <w:color w:val="000000" w:themeColor="text1"/>
          <w:sz w:val="24"/>
          <w:szCs w:val="24"/>
        </w:rPr>
        <w:t xml:space="preserve"> pavarësisht masës së dënimit, personat e dënuar </w:t>
      </w:r>
      <w:r w:rsidR="00E030E4" w:rsidRPr="008B261D">
        <w:rPr>
          <w:rFonts w:ascii="Garamond" w:hAnsi="Garamond" w:cs="Times New Roman"/>
          <w:color w:val="000000" w:themeColor="text1"/>
          <w:sz w:val="24"/>
          <w:szCs w:val="24"/>
        </w:rPr>
        <w:t>për</w:t>
      </w:r>
      <w:r w:rsidR="00C4613D" w:rsidRPr="008B261D">
        <w:rPr>
          <w:rFonts w:ascii="Garamond" w:hAnsi="Garamond" w:cs="Times New Roman"/>
          <w:color w:val="000000" w:themeColor="text1"/>
          <w:sz w:val="24"/>
          <w:szCs w:val="24"/>
        </w:rPr>
        <w:t xml:space="preserve"> veprat penale të kryera gjatë grumbullimeve dhe manifestime</w:t>
      </w:r>
      <w:r w:rsidR="00E030E4" w:rsidRPr="008B261D">
        <w:rPr>
          <w:rFonts w:ascii="Garamond" w:hAnsi="Garamond" w:cs="Times New Roman"/>
          <w:color w:val="000000" w:themeColor="text1"/>
          <w:sz w:val="24"/>
          <w:szCs w:val="24"/>
        </w:rPr>
        <w:t>ve të zhvilluara deri në datën 31.</w:t>
      </w:r>
      <w:r w:rsidR="00C4613D" w:rsidRPr="008B261D">
        <w:rPr>
          <w:rFonts w:ascii="Garamond" w:hAnsi="Garamond" w:cs="Times New Roman"/>
          <w:color w:val="000000" w:themeColor="text1"/>
          <w:sz w:val="24"/>
          <w:szCs w:val="24"/>
        </w:rPr>
        <w:t xml:space="preserve">3.2024, pavarësisht nga data e </w:t>
      </w:r>
      <w:r w:rsidR="00E030E4" w:rsidRPr="008B261D">
        <w:rPr>
          <w:rFonts w:ascii="Garamond" w:hAnsi="Garamond" w:cs="Times New Roman"/>
          <w:color w:val="000000" w:themeColor="text1"/>
          <w:sz w:val="24"/>
          <w:szCs w:val="24"/>
        </w:rPr>
        <w:t>regjistrimit</w:t>
      </w:r>
      <w:r w:rsidR="00C4613D" w:rsidRPr="008B261D">
        <w:rPr>
          <w:rFonts w:ascii="Garamond" w:hAnsi="Garamond" w:cs="Times New Roman"/>
          <w:color w:val="000000" w:themeColor="text1"/>
          <w:sz w:val="24"/>
          <w:szCs w:val="24"/>
        </w:rPr>
        <w:t xml:space="preserve"> të tyre, të parashikuara në nenin 150, në paragrafin e parë të nenit 151, në paragrafin e parë të nenit 235, në paragrafin e parë të nenit 236, në paragrafin e parë të nenit 237, në paragrafin e p</w:t>
      </w:r>
      <w:r w:rsidR="00E030E4" w:rsidRPr="008B261D">
        <w:rPr>
          <w:rFonts w:ascii="Garamond" w:hAnsi="Garamond" w:cs="Times New Roman"/>
          <w:color w:val="000000" w:themeColor="text1"/>
          <w:sz w:val="24"/>
          <w:szCs w:val="24"/>
        </w:rPr>
        <w:t xml:space="preserve">arë të nenit 282, në nenin 293 </w:t>
      </w:r>
      <w:r w:rsidR="00C4613D" w:rsidRPr="008B261D">
        <w:rPr>
          <w:rFonts w:ascii="Garamond" w:hAnsi="Garamond" w:cs="Times New Roman"/>
          <w:color w:val="000000" w:themeColor="text1"/>
          <w:sz w:val="24"/>
          <w:szCs w:val="24"/>
        </w:rPr>
        <w:t>dhe nenin 325 të Kodit Penal.</w:t>
      </w:r>
    </w:p>
    <w:p w14:paraId="77F696B0" w14:textId="77777777" w:rsidR="00C4613D" w:rsidRPr="008B261D" w:rsidRDefault="00E030E4"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2.</w:t>
      </w:r>
      <w:r w:rsidR="00EB2D76" w:rsidRP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Pavarësisht nga parashikimet e pikës 1 të këtij neni, nuk përjashtohen nga vuajtja e dënimit:</w:t>
      </w:r>
    </w:p>
    <w:p w14:paraId="49FFCA82" w14:textId="5E187A2C" w:rsidR="00C4613D" w:rsidRPr="008B261D" w:rsidRDefault="00E030E4"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a) </w:t>
      </w:r>
      <w:r w:rsidR="00C4613D" w:rsidRPr="008B261D">
        <w:rPr>
          <w:rFonts w:ascii="Garamond" w:hAnsi="Garamond" w:cs="Times New Roman"/>
          <w:color w:val="000000" w:themeColor="text1"/>
          <w:sz w:val="24"/>
          <w:szCs w:val="24"/>
        </w:rPr>
        <w:t>personat e dënuar, akuzat penale ndaj të cil</w:t>
      </w:r>
      <w:r w:rsidR="00EB2D76" w:rsidRPr="008B261D">
        <w:rPr>
          <w:rFonts w:ascii="Garamond" w:hAnsi="Garamond" w:cs="Times New Roman"/>
          <w:color w:val="000000" w:themeColor="text1"/>
          <w:sz w:val="24"/>
          <w:szCs w:val="24"/>
        </w:rPr>
        <w:t>ë</w:t>
      </w:r>
      <w:r w:rsidR="00C4613D" w:rsidRPr="008B261D">
        <w:rPr>
          <w:rFonts w:ascii="Garamond" w:hAnsi="Garamond" w:cs="Times New Roman"/>
          <w:color w:val="000000" w:themeColor="text1"/>
          <w:sz w:val="24"/>
          <w:szCs w:val="24"/>
        </w:rPr>
        <w:t xml:space="preserve">ve </w:t>
      </w:r>
      <w:r w:rsidR="00482E95" w:rsidRPr="008B261D">
        <w:rPr>
          <w:rFonts w:ascii="Garamond" w:hAnsi="Garamond" w:cs="Times New Roman"/>
          <w:color w:val="000000" w:themeColor="text1"/>
          <w:sz w:val="24"/>
          <w:szCs w:val="24"/>
        </w:rPr>
        <w:t>janë gjykuar</w:t>
      </w:r>
      <w:r w:rsidR="00C4613D" w:rsidRPr="008B261D">
        <w:rPr>
          <w:rFonts w:ascii="Garamond" w:hAnsi="Garamond" w:cs="Times New Roman"/>
          <w:color w:val="000000" w:themeColor="text1"/>
          <w:sz w:val="24"/>
          <w:szCs w:val="24"/>
        </w:rPr>
        <w:t xml:space="preserve"> nga Gjykata kundër Korrupsionit dhe Krimit të Organizuar sipas përcaktimev</w:t>
      </w:r>
      <w:r w:rsidRPr="008B261D">
        <w:rPr>
          <w:rFonts w:ascii="Garamond" w:hAnsi="Garamond" w:cs="Times New Roman"/>
          <w:color w:val="000000" w:themeColor="text1"/>
          <w:sz w:val="24"/>
          <w:szCs w:val="24"/>
        </w:rPr>
        <w:t>e të shkronjave “b”</w:t>
      </w:r>
      <w:r w:rsidR="008B261D">
        <w:rPr>
          <w:rFonts w:ascii="Garamond" w:hAnsi="Garamond" w:cs="Times New Roman"/>
          <w:color w:val="000000" w:themeColor="text1"/>
          <w:sz w:val="24"/>
          <w:szCs w:val="24"/>
        </w:rPr>
        <w:t>,</w:t>
      </w:r>
      <w:r w:rsidRPr="008B261D">
        <w:rPr>
          <w:rFonts w:ascii="Garamond" w:hAnsi="Garamond" w:cs="Times New Roman"/>
          <w:color w:val="000000" w:themeColor="text1"/>
          <w:sz w:val="24"/>
          <w:szCs w:val="24"/>
        </w:rPr>
        <w:t xml:space="preserve"> “c” dhe “ç”</w:t>
      </w:r>
      <w:r w:rsidR="008B261D">
        <w:rPr>
          <w:rFonts w:ascii="Garamond" w:hAnsi="Garamond" w:cs="Times New Roman"/>
          <w:color w:val="000000" w:themeColor="text1"/>
          <w:sz w:val="24"/>
          <w:szCs w:val="24"/>
        </w:rPr>
        <w:t>,</w:t>
      </w:r>
      <w:r w:rsidR="00C4613D" w:rsidRPr="008B261D">
        <w:rPr>
          <w:rFonts w:ascii="Garamond" w:hAnsi="Garamond" w:cs="Times New Roman"/>
          <w:color w:val="000000" w:themeColor="text1"/>
          <w:sz w:val="24"/>
          <w:szCs w:val="24"/>
        </w:rPr>
        <w:t xml:space="preserve"> të nenit 75/a të Kodit të Procedurës Penale;</w:t>
      </w:r>
    </w:p>
    <w:p w14:paraId="7508BEB5" w14:textId="6C13C0C0" w:rsidR="00C4613D" w:rsidRPr="008B261D" w:rsidRDefault="003D0A6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b)</w:t>
      </w:r>
      <w:r w:rsidR="000F2CF6" w:rsidRP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personat të cilët i janë shmangur drejtësis</w:t>
      </w:r>
      <w:r w:rsidR="00EB2D76" w:rsidRPr="008B261D">
        <w:rPr>
          <w:rFonts w:ascii="Garamond" w:hAnsi="Garamond" w:cs="Times New Roman"/>
          <w:color w:val="000000" w:themeColor="text1"/>
          <w:sz w:val="24"/>
          <w:szCs w:val="24"/>
        </w:rPr>
        <w:t>ë,</w:t>
      </w:r>
      <w:r w:rsidR="00AE59BA" w:rsidRPr="008B261D">
        <w:rPr>
          <w:rFonts w:ascii="Garamond" w:hAnsi="Garamond" w:cs="Times New Roman"/>
          <w:color w:val="000000" w:themeColor="text1"/>
          <w:sz w:val="24"/>
          <w:szCs w:val="24"/>
        </w:rPr>
        <w:t xml:space="preserve"> sipas përcaktimit të pikës 2</w:t>
      </w:r>
      <w:r w:rsidR="008B261D">
        <w:rPr>
          <w:rFonts w:ascii="Garamond" w:hAnsi="Garamond" w:cs="Times New Roman"/>
          <w:color w:val="000000" w:themeColor="text1"/>
          <w:sz w:val="24"/>
          <w:szCs w:val="24"/>
        </w:rPr>
        <w:t>,</w:t>
      </w:r>
      <w:r w:rsidR="00AE59BA" w:rsidRPr="008B261D">
        <w:rPr>
          <w:rFonts w:ascii="Garamond" w:hAnsi="Garamond" w:cs="Times New Roman"/>
          <w:color w:val="000000" w:themeColor="text1"/>
          <w:sz w:val="24"/>
          <w:szCs w:val="24"/>
        </w:rPr>
        <w:t xml:space="preserve"> të nenit 2</w:t>
      </w:r>
      <w:r w:rsidR="00C4613D" w:rsidRPr="008B261D">
        <w:rPr>
          <w:rFonts w:ascii="Garamond" w:hAnsi="Garamond" w:cs="Times New Roman"/>
          <w:color w:val="000000" w:themeColor="text1"/>
          <w:sz w:val="24"/>
          <w:szCs w:val="24"/>
        </w:rPr>
        <w:t xml:space="preserve"> të këtij ligji.</w:t>
      </w:r>
    </w:p>
    <w:p w14:paraId="6B890BA7"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03910713"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Neni 4</w:t>
      </w:r>
    </w:p>
    <w:p w14:paraId="6DC90BB0" w14:textId="77777777"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Kriteri ndalues për përfitimin e amnistisë</w:t>
      </w:r>
    </w:p>
    <w:p w14:paraId="54D24A16"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2270FE3E" w14:textId="4CD66CA0"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1. </w:t>
      </w:r>
      <w:r w:rsidR="00C4613D" w:rsidRPr="008B261D">
        <w:rPr>
          <w:rFonts w:ascii="Garamond" w:hAnsi="Garamond" w:cs="Times New Roman"/>
          <w:color w:val="000000" w:themeColor="text1"/>
          <w:sz w:val="24"/>
          <w:szCs w:val="24"/>
        </w:rPr>
        <w:t>Pavarësisht nga parashikime</w:t>
      </w:r>
      <w:r w:rsidRPr="008B261D">
        <w:rPr>
          <w:rFonts w:ascii="Garamond" w:hAnsi="Garamond" w:cs="Times New Roman"/>
          <w:color w:val="000000" w:themeColor="text1"/>
          <w:sz w:val="24"/>
          <w:szCs w:val="24"/>
        </w:rPr>
        <w:t>t e shkronjave “a”, “c” dhe “d”</w:t>
      </w:r>
      <w:r w:rsidR="008B261D">
        <w:rPr>
          <w:rFonts w:ascii="Garamond" w:hAnsi="Garamond" w:cs="Times New Roman"/>
          <w:color w:val="000000" w:themeColor="text1"/>
          <w:sz w:val="24"/>
          <w:szCs w:val="24"/>
        </w:rPr>
        <w:t>,</w:t>
      </w:r>
      <w:r w:rsidRPr="008B261D">
        <w:rPr>
          <w:rFonts w:ascii="Garamond" w:hAnsi="Garamond" w:cs="Times New Roman"/>
          <w:color w:val="000000" w:themeColor="text1"/>
          <w:sz w:val="24"/>
          <w:szCs w:val="24"/>
        </w:rPr>
        <w:t xml:space="preserve"> të nenit 3</w:t>
      </w:r>
      <w:r w:rsidR="00C4613D" w:rsidRPr="008B261D">
        <w:rPr>
          <w:rFonts w:ascii="Garamond" w:hAnsi="Garamond" w:cs="Times New Roman"/>
          <w:color w:val="000000" w:themeColor="text1"/>
          <w:sz w:val="24"/>
          <w:szCs w:val="24"/>
        </w:rPr>
        <w:t xml:space="preserve"> të këtij ligji, nuk përjashtohen nga vuajtja e dënimit personat e dënuar për:</w:t>
      </w:r>
    </w:p>
    <w:p w14:paraId="63D6589A" w14:textId="0954713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a) </w:t>
      </w:r>
      <w:r w:rsidR="00C4613D" w:rsidRPr="008B261D">
        <w:rPr>
          <w:rFonts w:ascii="Garamond" w:hAnsi="Garamond" w:cs="Times New Roman"/>
          <w:color w:val="000000" w:themeColor="text1"/>
          <w:sz w:val="24"/>
          <w:szCs w:val="24"/>
        </w:rPr>
        <w:t>krime kundër njerëzimit, të parashikuara në nenet 73, 74, 74/a dhe 75 të Kodit Penal;</w:t>
      </w:r>
      <w:r w:rsidR="008B261D">
        <w:rPr>
          <w:rFonts w:ascii="Garamond" w:hAnsi="Garamond" w:cs="Times New Roman"/>
          <w:color w:val="000000" w:themeColor="text1"/>
          <w:sz w:val="24"/>
          <w:szCs w:val="24"/>
        </w:rPr>
        <w:t xml:space="preserve"> </w:t>
      </w:r>
    </w:p>
    <w:p w14:paraId="3112021C" w14:textId="79C9A8E2"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b) </w:t>
      </w:r>
      <w:r w:rsidR="00C4613D" w:rsidRPr="008B261D">
        <w:rPr>
          <w:rFonts w:ascii="Garamond" w:hAnsi="Garamond" w:cs="Times New Roman"/>
          <w:color w:val="000000" w:themeColor="text1"/>
          <w:sz w:val="24"/>
          <w:szCs w:val="24"/>
        </w:rPr>
        <w:t>krime kundër jetës, të kryera me dashje, të parashikuara në nenet 76, 77, 78, 78/a, 79, 79/a, 79/b, 79/c, 80, 81, 82, 83, 83/a, 83/b dhe 84/a të Kodit Penal, si dhe në nenin 77 të Kodit Penal Ushtarak;</w:t>
      </w:r>
    </w:p>
    <w:p w14:paraId="1AE7B0CF" w14:textId="06CCCC63"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c) </w:t>
      </w:r>
      <w:r w:rsidR="00C4613D" w:rsidRPr="008B261D">
        <w:rPr>
          <w:rFonts w:ascii="Garamond" w:hAnsi="Garamond" w:cs="Times New Roman"/>
          <w:color w:val="000000" w:themeColor="text1"/>
          <w:sz w:val="24"/>
          <w:szCs w:val="24"/>
        </w:rPr>
        <w:t>vepra penale të kryera me dashje kundër shëndetit, të parashikuara në nenet 86, 87, 88, 89/a, 93, 96 dhe 99 të Kodit Penal;</w:t>
      </w:r>
    </w:p>
    <w:p w14:paraId="4576B75C" w14:textId="273FEE48"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ç) </w:t>
      </w:r>
      <w:r w:rsidR="00C4613D" w:rsidRPr="008B261D">
        <w:rPr>
          <w:rFonts w:ascii="Garamond" w:hAnsi="Garamond" w:cs="Times New Roman"/>
          <w:color w:val="000000" w:themeColor="text1"/>
          <w:sz w:val="24"/>
          <w:szCs w:val="24"/>
        </w:rPr>
        <w:t>krime seksuale, të parashikuara në nenet 100, 101, 102, 102/a, 103, 104, 105, 106, 107/a, 108 dhe 108/a të Kodit Penal;</w:t>
      </w:r>
    </w:p>
    <w:p w14:paraId="76652D2B" w14:textId="4941E691"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d) </w:t>
      </w:r>
      <w:r w:rsidR="00C4613D" w:rsidRPr="008B261D">
        <w:rPr>
          <w:rFonts w:ascii="Garamond" w:hAnsi="Garamond" w:cs="Times New Roman"/>
          <w:color w:val="000000" w:themeColor="text1"/>
          <w:sz w:val="24"/>
          <w:szCs w:val="24"/>
        </w:rPr>
        <w:t>vepra penale kundër lirisë së personit, të parashikuara në nenet 109, 109/a, 109/b, 109/c, në paragrafin e dytë të nenit 110, në nenet 110/a, 110/b, 110/c dhe 111 të Kodit Penal;</w:t>
      </w:r>
    </w:p>
    <w:p w14:paraId="2282C847" w14:textId="5F0B89ED"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dh)</w:t>
      </w:r>
      <w:r w:rsidR="005B36E8"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vepra penale kundër moralit dhe dinjitetit, të parashikuara në nenin 114, në paragrafët e dytë dhe të tretë të nenit 117, në nenet 119, 120, 121 dhe 121/a të Kodit Penal;</w:t>
      </w:r>
    </w:p>
    <w:p w14:paraId="0E4A16CD" w14:textId="094A8862"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e) </w:t>
      </w:r>
      <w:r w:rsidR="00C4613D" w:rsidRPr="008B261D">
        <w:rPr>
          <w:rFonts w:ascii="Garamond" w:hAnsi="Garamond" w:cs="Times New Roman"/>
          <w:color w:val="000000" w:themeColor="text1"/>
          <w:sz w:val="24"/>
          <w:szCs w:val="24"/>
        </w:rPr>
        <w:t>vepra penale kundër fëmijëve, martesës dhe familjes, të parashikuara në paragrafin e dytë të nenit 124, në nenin 124/a, në paragrafët e dytë e të tretë të nenit 124/b, në nenet 128/a, 128/b, 129 dhe 130/a të Kodit Penal;</w:t>
      </w:r>
      <w:r w:rsidR="008B261D">
        <w:rPr>
          <w:rFonts w:ascii="Garamond" w:hAnsi="Garamond" w:cs="Times New Roman"/>
          <w:color w:val="000000" w:themeColor="text1"/>
          <w:sz w:val="24"/>
          <w:szCs w:val="24"/>
        </w:rPr>
        <w:t xml:space="preserve"> </w:t>
      </w:r>
    </w:p>
    <w:p w14:paraId="4B596321" w14:textId="6201984E"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ë) </w:t>
      </w:r>
      <w:r w:rsidR="00C4613D" w:rsidRPr="008B261D">
        <w:rPr>
          <w:rFonts w:ascii="Garamond" w:hAnsi="Garamond" w:cs="Times New Roman"/>
          <w:color w:val="000000" w:themeColor="text1"/>
          <w:sz w:val="24"/>
          <w:szCs w:val="24"/>
        </w:rPr>
        <w:t>vepra penale kundër pasurisë dhe në sferën ekonomike, të parashikuara në paragrafin e tretë të nenit 134, në nenet 135, 136, në paragrafin e dytë të nenit 137/a, në paragrafin e dytë të nenit 138, në nenet 138/a, 139, 140, 141, 141/a, në nenet 143/a, 143/b, 144/a, 151, 152, 153, 154, 154/a, në paragrafin e dytë dhe të tretë të nenit 155, në paragrafin e dytë të nenit 159, në paragrafin e dytë të nenit 160, në nenet 164/a, 164/b, 175, në paragrafët e dytë dhe të tretë të nenit 180 dhe në nenin 181/a të Kodit Penal, si dhe në paragrafët e dytë dhe të tretë të nenit 59 të Kodit Penal Ushtarak;</w:t>
      </w:r>
    </w:p>
    <w:p w14:paraId="3F3CCCB8"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f) </w:t>
      </w:r>
      <w:r w:rsidR="00C4613D" w:rsidRPr="008B261D">
        <w:rPr>
          <w:rFonts w:ascii="Garamond" w:hAnsi="Garamond" w:cs="Times New Roman"/>
          <w:color w:val="000000" w:themeColor="text1"/>
          <w:sz w:val="24"/>
          <w:szCs w:val="24"/>
        </w:rPr>
        <w:t>vepra penale kundër falsifikimit të dokumenteve, të parashikuara në paragrafin e dytë të nenit 186/a, në paragrafin e dytë të nenit 187, në paragrafin e dytë të nenit 188, në nenet 190, 191, 192 dhe në paragrafin e dytë të nenit 192/b të Kodit Penal;</w:t>
      </w:r>
    </w:p>
    <w:p w14:paraId="1A867F9E"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lastRenderedPageBreak/>
        <w:t xml:space="preserve">g) </w:t>
      </w:r>
      <w:r w:rsidR="00C4613D" w:rsidRPr="008B261D">
        <w:rPr>
          <w:rFonts w:ascii="Garamond" w:hAnsi="Garamond" w:cs="Times New Roman"/>
          <w:color w:val="000000" w:themeColor="text1"/>
          <w:sz w:val="24"/>
          <w:szCs w:val="24"/>
        </w:rPr>
        <w:t>vepra penale që cenojnë regjimin juridik të tokës dhe të ndërtimeve, të parashikuara në paragrafët e tretë dhe të katërt të nenit 199/a dhe në nenin 199/b të Kodit Penal;</w:t>
      </w:r>
    </w:p>
    <w:p w14:paraId="34DAA2E5" w14:textId="242519A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gj) </w:t>
      </w:r>
      <w:r w:rsidR="00C4613D" w:rsidRPr="008B261D">
        <w:rPr>
          <w:rFonts w:ascii="Garamond" w:hAnsi="Garamond" w:cs="Times New Roman"/>
          <w:color w:val="000000" w:themeColor="text1"/>
          <w:sz w:val="24"/>
          <w:szCs w:val="24"/>
        </w:rPr>
        <w:t>vepra penale kundër mjedisit, të parashikuara në paragr</w:t>
      </w:r>
      <w:r w:rsidR="00184330" w:rsidRPr="008B261D">
        <w:rPr>
          <w:rFonts w:ascii="Garamond" w:hAnsi="Garamond" w:cs="Times New Roman"/>
          <w:color w:val="000000" w:themeColor="text1"/>
          <w:sz w:val="24"/>
          <w:szCs w:val="24"/>
        </w:rPr>
        <w:t>afët</w:t>
      </w:r>
      <w:r w:rsidR="00C4613D" w:rsidRPr="008B261D">
        <w:rPr>
          <w:rFonts w:ascii="Garamond" w:hAnsi="Garamond" w:cs="Times New Roman"/>
          <w:color w:val="000000" w:themeColor="text1"/>
          <w:sz w:val="24"/>
          <w:szCs w:val="24"/>
        </w:rPr>
        <w:t xml:space="preserve"> e dytë, të tretë, të katërt dhe të pestë të nenit 201, në nenet 201/a, 201/b, 201/c, 201/ç, 202, 202/b, 203, 206/a dhe 206/b të Kodit Penal;</w:t>
      </w:r>
    </w:p>
    <w:p w14:paraId="42A80482" w14:textId="3E55EE50"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h) </w:t>
      </w:r>
      <w:r w:rsidR="00C4613D" w:rsidRPr="008B261D">
        <w:rPr>
          <w:rFonts w:ascii="Garamond" w:hAnsi="Garamond" w:cs="Times New Roman"/>
          <w:color w:val="000000" w:themeColor="text1"/>
          <w:sz w:val="24"/>
          <w:szCs w:val="24"/>
        </w:rPr>
        <w:t>krime kundër pavarësisë dhe rendit kushtetues, të parashikuara në nenet 208, 209, 210, 211, 212, 213, 214, 215, 216, 217, 218, 219, 220, 221, 222, 223, 224 dhe 225 të Kodit Penal;</w:t>
      </w:r>
    </w:p>
    <w:p w14:paraId="42C1B67C" w14:textId="19299471"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i) </w:t>
      </w:r>
      <w:r w:rsidR="00C4613D" w:rsidRPr="008B261D">
        <w:rPr>
          <w:rFonts w:ascii="Garamond" w:hAnsi="Garamond" w:cs="Times New Roman"/>
          <w:color w:val="000000" w:themeColor="text1"/>
          <w:sz w:val="24"/>
          <w:szCs w:val="24"/>
        </w:rPr>
        <w:t>krime që cenojnë marrëdhëniet me shtetet e tjera, të parashikuara në nenet 226 dhe 228 të Kodit Penal;</w:t>
      </w:r>
    </w:p>
    <w:p w14:paraId="1C8282EC"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j) </w:t>
      </w:r>
      <w:r w:rsidR="00C4613D" w:rsidRPr="008B261D">
        <w:rPr>
          <w:rFonts w:ascii="Garamond" w:hAnsi="Garamond" w:cs="Times New Roman"/>
          <w:color w:val="000000" w:themeColor="text1"/>
          <w:sz w:val="24"/>
          <w:szCs w:val="24"/>
        </w:rPr>
        <w:t>vepra me qëllime terroriste, të parashikuara në nenet 230, 230/a, 230/b, 230/c, 230/ç, 231, 232, 232/a, 232/b, 233, 234, 234/a dhe 234/b të Kodit Penal;</w:t>
      </w:r>
    </w:p>
    <w:p w14:paraId="55E56356" w14:textId="6B3083AC"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k) </w:t>
      </w:r>
      <w:r w:rsidR="00C4613D" w:rsidRPr="008B261D">
        <w:rPr>
          <w:rFonts w:ascii="Garamond" w:hAnsi="Garamond" w:cs="Times New Roman"/>
          <w:color w:val="000000" w:themeColor="text1"/>
          <w:sz w:val="24"/>
          <w:szCs w:val="24"/>
        </w:rPr>
        <w:t>krime kundër autoritetit të shtetit, të parashikuara në nenet 237, 243, 244, 244/a, 245, në paragrafin e dytë të nenit 247, në nenet 248, 248/a, 250, 252, 253, 257, 257/a, 258, 259, 259/a, 260, paragrafin e parë të nenit 263, 265, 265/a, 265/b, 265/c, 266, 267, 268, 270, 271, në paragrafët e parë, të dytë, të gjashtë, të shtatë dhe të tetë të nenit 278, në nenet 278/a, 278/b, në paragrafin e dytë të nenit 281, në paragrafin e dytë të nenit 282, në nenet 282/a, 282/b, 282/c, 283, 283/a, 284, 284/a, 284/c, 284/ç, 284/d, 285, 286, 287, 287/a, 287/b, 288, 288/a, 288/b, 288/c, 288/ç, në paragrafin e dytë të nenit 289, në paragrafët e dytë, të tretë dhe të katërt të nenit 290, në paragrafin e dytë të nenit 292, në nenet 293/a, 293/b, 293/c, 293/ç, 294, 295, në paragrafët e parë, të tretë, të katërt, të pestë dhe të gjash</w:t>
      </w:r>
      <w:r w:rsidR="00184330" w:rsidRPr="008B261D">
        <w:rPr>
          <w:rFonts w:ascii="Garamond" w:hAnsi="Garamond" w:cs="Times New Roman"/>
          <w:color w:val="000000" w:themeColor="text1"/>
          <w:sz w:val="24"/>
          <w:szCs w:val="24"/>
        </w:rPr>
        <w:t>të të nenit 295/a, në paragrafët</w:t>
      </w:r>
      <w:r w:rsidR="00C4613D" w:rsidRPr="008B261D">
        <w:rPr>
          <w:rFonts w:ascii="Garamond" w:hAnsi="Garamond" w:cs="Times New Roman"/>
          <w:color w:val="000000" w:themeColor="text1"/>
          <w:sz w:val="24"/>
          <w:szCs w:val="24"/>
        </w:rPr>
        <w:t xml:space="preserve"> e katërt dhe të pestë të nenit 298, në nenin 299 të Kodit Penal, si dhe në nen</w:t>
      </w:r>
      <w:r w:rsidR="00184330" w:rsidRPr="008B261D">
        <w:rPr>
          <w:rFonts w:ascii="Garamond" w:hAnsi="Garamond" w:cs="Times New Roman"/>
          <w:color w:val="000000" w:themeColor="text1"/>
          <w:sz w:val="24"/>
          <w:szCs w:val="24"/>
        </w:rPr>
        <w:t>in 70 të Kodit Penal Ushtarak;</w:t>
      </w:r>
    </w:p>
    <w:p w14:paraId="5C20BEA5" w14:textId="4FE94132"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l) </w:t>
      </w:r>
      <w:r w:rsidR="00C4613D" w:rsidRPr="008B261D">
        <w:rPr>
          <w:rFonts w:ascii="Garamond" w:hAnsi="Garamond" w:cs="Times New Roman"/>
          <w:color w:val="000000" w:themeColor="text1"/>
          <w:sz w:val="24"/>
          <w:szCs w:val="24"/>
        </w:rPr>
        <w:t>vepra penale kundër drejtësisë, të parashikuara në nenet 302, 303, 305,</w:t>
      </w:r>
      <w:r w:rsid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 xml:space="preserve">311, 312, 312/a, 313, 313/a, 313/b, 314, 316, 317, 318, 319, 319/a, 319/b, 319/c, 319/ç, 319/d, 319/dh, 319/e, në paragrafin e dytë të nenit 323, në nenin 324 dhe në paragrafin e dytë të nenit 324/a të Kodit Penal; </w:t>
      </w:r>
    </w:p>
    <w:p w14:paraId="6F3EA910" w14:textId="6EF7DB99"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ab/>
      </w:r>
      <w:r w:rsidR="005B36E8" w:rsidRPr="008B261D">
        <w:rPr>
          <w:rFonts w:ascii="Garamond" w:hAnsi="Garamond" w:cs="Times New Roman"/>
          <w:color w:val="000000" w:themeColor="text1"/>
          <w:sz w:val="24"/>
          <w:szCs w:val="24"/>
        </w:rPr>
        <w:t xml:space="preserve">ll) </w:t>
      </w:r>
      <w:r w:rsidRPr="008B261D">
        <w:rPr>
          <w:rFonts w:ascii="Garamond" w:hAnsi="Garamond" w:cs="Times New Roman"/>
          <w:color w:val="000000" w:themeColor="text1"/>
          <w:sz w:val="24"/>
          <w:szCs w:val="24"/>
        </w:rPr>
        <w:t>vepra penale që prekin zgjedhjet e lira dhe sistemin demokratik të zgjedhjeve, të parashikuara në nenet 325, 326, 326/a, 327, 327/a, 328, 328/a, 328/b, 329, 330, 330/a, 331, 331/a, 332 dhe 332/a të Kodit Penal;</w:t>
      </w:r>
    </w:p>
    <w:p w14:paraId="51E8C4F2" w14:textId="35B06123"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m)</w:t>
      </w:r>
      <w:r w:rsidRPr="008B261D">
        <w:rPr>
          <w:rFonts w:ascii="Garamond" w:hAnsi="Garamond" w:cs="Times New Roman"/>
          <w:color w:val="000000" w:themeColor="text1"/>
          <w:sz w:val="24"/>
          <w:szCs w:val="24"/>
        </w:rPr>
        <w:tab/>
        <w:t>vepra penale të kryera nga banda të armatosura dhe organizata kriminale, të parashikuara në nenet 333, 333/a dhe 334 të Kodit Penal.</w:t>
      </w:r>
    </w:p>
    <w:p w14:paraId="69D854BF"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2. </w:t>
      </w:r>
      <w:r w:rsidR="00C4613D" w:rsidRPr="008B261D">
        <w:rPr>
          <w:rFonts w:ascii="Garamond" w:hAnsi="Garamond" w:cs="Times New Roman"/>
          <w:color w:val="000000" w:themeColor="text1"/>
          <w:sz w:val="24"/>
          <w:szCs w:val="24"/>
        </w:rPr>
        <w:t xml:space="preserve">Pavarësisht nga parashikimet e shkronjave “b”, “ç”, “dh” dhe “e” të nenit 3 të këtij ligji, nuk përjashtohen nga vuajtja e dënimit personat e dënuar për: </w:t>
      </w:r>
    </w:p>
    <w:p w14:paraId="2B38259D" w14:textId="2554EC7D"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ab/>
      </w:r>
      <w:r w:rsidR="005B36E8" w:rsidRPr="008B261D">
        <w:rPr>
          <w:rFonts w:ascii="Garamond" w:hAnsi="Garamond" w:cs="Times New Roman"/>
          <w:color w:val="000000" w:themeColor="text1"/>
          <w:sz w:val="24"/>
          <w:szCs w:val="24"/>
        </w:rPr>
        <w:t xml:space="preserve">a) </w:t>
      </w:r>
      <w:r w:rsidRPr="008B261D">
        <w:rPr>
          <w:rFonts w:ascii="Garamond" w:hAnsi="Garamond" w:cs="Times New Roman"/>
          <w:color w:val="000000" w:themeColor="text1"/>
          <w:sz w:val="24"/>
          <w:szCs w:val="24"/>
        </w:rPr>
        <w:t>krime kundër njerëzimit, të parashikuara në nenet 73, 74, 74/a dhe 75 të Kodit Penal;</w:t>
      </w:r>
    </w:p>
    <w:p w14:paraId="2407C60A" w14:textId="4A8B4C90"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b)</w:t>
      </w:r>
      <w:r w:rsidR="00184330" w:rsidRP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krime kundër jetës, të kryera me dashje, të parashikuara në nenet 76, 77, 78, 78/a, 79, 79/a, 79/b, 79/c,</w:t>
      </w:r>
      <w:r w:rsidR="00184330" w:rsidRP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81 dhe 83/b të Kodit Penal;</w:t>
      </w:r>
    </w:p>
    <w:p w14:paraId="5945247B" w14:textId="46013F0B"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c) </w:t>
      </w:r>
      <w:r w:rsidR="00C4613D" w:rsidRPr="008B261D">
        <w:rPr>
          <w:rFonts w:ascii="Garamond" w:hAnsi="Garamond" w:cs="Times New Roman"/>
          <w:color w:val="000000" w:themeColor="text1"/>
          <w:sz w:val="24"/>
          <w:szCs w:val="24"/>
        </w:rPr>
        <w:t>vepra penale të kryera me dashje kundër shëndetit, të para</w:t>
      </w:r>
      <w:r w:rsidR="00184330" w:rsidRPr="008B261D">
        <w:rPr>
          <w:rFonts w:ascii="Garamond" w:hAnsi="Garamond" w:cs="Times New Roman"/>
          <w:color w:val="000000" w:themeColor="text1"/>
          <w:sz w:val="24"/>
          <w:szCs w:val="24"/>
        </w:rPr>
        <w:t>shikuara në nenet 86, 87, 88,</w:t>
      </w:r>
      <w:r w:rsidR="00C4613D" w:rsidRPr="008B261D">
        <w:rPr>
          <w:rFonts w:ascii="Garamond" w:hAnsi="Garamond" w:cs="Times New Roman"/>
          <w:color w:val="000000" w:themeColor="text1"/>
          <w:sz w:val="24"/>
          <w:szCs w:val="24"/>
        </w:rPr>
        <w:t xml:space="preserve"> 89/a dhe 93 të Kodit Penal;</w:t>
      </w:r>
    </w:p>
    <w:p w14:paraId="4C955B06" w14:textId="67268A1B"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ç) </w:t>
      </w:r>
      <w:r w:rsidR="00C4613D" w:rsidRPr="008B261D">
        <w:rPr>
          <w:rFonts w:ascii="Garamond" w:hAnsi="Garamond" w:cs="Times New Roman"/>
          <w:color w:val="000000" w:themeColor="text1"/>
          <w:sz w:val="24"/>
          <w:szCs w:val="24"/>
        </w:rPr>
        <w:t>krime seksuale, të parashikuara në nenet 100, 101, 103, 104, 105, 106, 107/a</w:t>
      </w:r>
      <w:r w:rsid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108 dhe në paragrafin e dytë të nenit 108/a të Kodit Penal;</w:t>
      </w:r>
    </w:p>
    <w:p w14:paraId="18D1D4F1"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d) </w:t>
      </w:r>
      <w:r w:rsidR="00C4613D" w:rsidRPr="008B261D">
        <w:rPr>
          <w:rFonts w:ascii="Garamond" w:hAnsi="Garamond" w:cs="Times New Roman"/>
          <w:color w:val="000000" w:themeColor="text1"/>
          <w:sz w:val="24"/>
          <w:szCs w:val="24"/>
        </w:rPr>
        <w:t>vepra penale kundër lirisë së personit, të parashikuara në nenet 109, 109/b, 109/c, në paragrafin e dytë të nenit 110, në nenet 110/a, 110/b, 110/c dhe 111 të Kodit Penal;</w:t>
      </w:r>
    </w:p>
    <w:p w14:paraId="44E2DA46" w14:textId="5A6271DA"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dh) </w:t>
      </w:r>
      <w:r w:rsidR="00C4613D" w:rsidRPr="008B261D">
        <w:rPr>
          <w:rFonts w:ascii="Garamond" w:hAnsi="Garamond" w:cs="Times New Roman"/>
          <w:color w:val="000000" w:themeColor="text1"/>
          <w:sz w:val="24"/>
          <w:szCs w:val="24"/>
        </w:rPr>
        <w:t>vepra penale kundër moralit dhe dinjitetit, të parashikuara në paragrafin e dytë të nenit 114, në paragrafët e dytë dhe të tretë të nenit 117 dhe në nenin 121 të Kodit Penal;</w:t>
      </w:r>
      <w:r w:rsidR="008B261D">
        <w:rPr>
          <w:rFonts w:ascii="Garamond" w:hAnsi="Garamond" w:cs="Times New Roman"/>
          <w:color w:val="000000" w:themeColor="text1"/>
          <w:sz w:val="24"/>
          <w:szCs w:val="24"/>
        </w:rPr>
        <w:t xml:space="preserve"> </w:t>
      </w:r>
    </w:p>
    <w:p w14:paraId="4DDC7629"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e) </w:t>
      </w:r>
      <w:r w:rsidR="00C4613D" w:rsidRPr="008B261D">
        <w:rPr>
          <w:rFonts w:ascii="Garamond" w:hAnsi="Garamond" w:cs="Times New Roman"/>
          <w:color w:val="000000" w:themeColor="text1"/>
          <w:sz w:val="24"/>
          <w:szCs w:val="24"/>
        </w:rPr>
        <w:t xml:space="preserve">vepra penale kundër fëmijëve, martesës dhe familjes, të parashikuara në paragrafin e dytë të nenit 124, në nenin 124/a, në paragrafin e dytë dhe të tretë të nenit 124/b, në nenet 128/a e 128/b dhe 129 të Kodit Penal; </w:t>
      </w:r>
    </w:p>
    <w:p w14:paraId="1DADEEB8" w14:textId="345D0348"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ë) </w:t>
      </w:r>
      <w:r w:rsidR="00C4613D" w:rsidRPr="008B261D">
        <w:rPr>
          <w:rFonts w:ascii="Garamond" w:hAnsi="Garamond" w:cs="Times New Roman"/>
          <w:color w:val="000000" w:themeColor="text1"/>
          <w:sz w:val="24"/>
          <w:szCs w:val="24"/>
        </w:rPr>
        <w:t>vepra penale kundër pasurisë dhe në sferën ekonomike, të parashikuara në nenet 135, 136, në paragrafin e dytë të nenit 137/a, në paragrafin e dytë të nenit 138,</w:t>
      </w:r>
      <w:r w:rsid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në nenet 139, 140, 141, 143/a, 143/b, 144/a, 151, 152</w:t>
      </w:r>
      <w:r w:rsidR="00184330" w:rsidRPr="008B261D">
        <w:rPr>
          <w:rFonts w:ascii="Garamond" w:hAnsi="Garamond" w:cs="Times New Roman"/>
          <w:color w:val="000000" w:themeColor="text1"/>
          <w:sz w:val="24"/>
          <w:szCs w:val="24"/>
        </w:rPr>
        <w:t>, 153, 154, 154/a, në paragrafët</w:t>
      </w:r>
      <w:r w:rsidR="00C4613D" w:rsidRPr="008B261D">
        <w:rPr>
          <w:rFonts w:ascii="Garamond" w:hAnsi="Garamond" w:cs="Times New Roman"/>
          <w:color w:val="000000" w:themeColor="text1"/>
          <w:sz w:val="24"/>
          <w:szCs w:val="24"/>
        </w:rPr>
        <w:t xml:space="preserve"> e dytë dhe të tretë të nenit 155, në paragrafin e dytë të nenit 159, në nenet </w:t>
      </w:r>
      <w:r w:rsidR="00184330" w:rsidRPr="008B261D">
        <w:rPr>
          <w:rFonts w:ascii="Garamond" w:hAnsi="Garamond" w:cs="Times New Roman"/>
          <w:color w:val="000000" w:themeColor="text1"/>
          <w:sz w:val="24"/>
          <w:szCs w:val="24"/>
        </w:rPr>
        <w:t>164/a, 164/b, 175, në paragrafët</w:t>
      </w:r>
      <w:r w:rsidR="00C4613D" w:rsidRPr="008B261D">
        <w:rPr>
          <w:rFonts w:ascii="Garamond" w:hAnsi="Garamond" w:cs="Times New Roman"/>
          <w:color w:val="000000" w:themeColor="text1"/>
          <w:sz w:val="24"/>
          <w:szCs w:val="24"/>
        </w:rPr>
        <w:t xml:space="preserve"> e dytë dhe të tretë të nenit 180 dhe nenin 181/a të Kodit Penal; </w:t>
      </w:r>
    </w:p>
    <w:p w14:paraId="34ABCAEE" w14:textId="78B86BA3"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f) </w:t>
      </w:r>
      <w:r w:rsidR="00C4613D" w:rsidRPr="008B261D">
        <w:rPr>
          <w:rFonts w:ascii="Garamond" w:hAnsi="Garamond" w:cs="Times New Roman"/>
          <w:color w:val="000000" w:themeColor="text1"/>
          <w:sz w:val="24"/>
          <w:szCs w:val="24"/>
        </w:rPr>
        <w:t>vepra penale kundër falsifikimit të dokumenteve, të parashikuara në paragrafin e dytë të nenit 186/a, në paragrafin e dytë të nenit 187, në paragrafin e dytë të nenit 188, në nenet 190, 191 dhe 192 dhe në paragrafin e dytë të nenit 192/b të Kodit Penal;</w:t>
      </w:r>
      <w:r w:rsidR="008B261D">
        <w:rPr>
          <w:rFonts w:ascii="Garamond" w:hAnsi="Garamond" w:cs="Times New Roman"/>
          <w:color w:val="000000" w:themeColor="text1"/>
          <w:sz w:val="24"/>
          <w:szCs w:val="24"/>
        </w:rPr>
        <w:t xml:space="preserve"> </w:t>
      </w:r>
    </w:p>
    <w:p w14:paraId="3D94EE3E" w14:textId="47221F7C"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lastRenderedPageBreak/>
        <w:t>g)</w:t>
      </w:r>
      <w:r w:rsidR="00184330" w:rsidRP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vepra penale kundër mjedisi</w:t>
      </w:r>
      <w:r w:rsidR="00184330" w:rsidRPr="008B261D">
        <w:rPr>
          <w:rFonts w:ascii="Garamond" w:hAnsi="Garamond" w:cs="Times New Roman"/>
          <w:color w:val="000000" w:themeColor="text1"/>
          <w:sz w:val="24"/>
          <w:szCs w:val="24"/>
        </w:rPr>
        <w:t>t, të parashikuara në paragrafët</w:t>
      </w:r>
      <w:r w:rsidR="00C4613D" w:rsidRPr="008B261D">
        <w:rPr>
          <w:rFonts w:ascii="Garamond" w:hAnsi="Garamond" w:cs="Times New Roman"/>
          <w:color w:val="000000" w:themeColor="text1"/>
          <w:sz w:val="24"/>
          <w:szCs w:val="24"/>
        </w:rPr>
        <w:t xml:space="preserve"> e dytë, të tretë, të katërt dhe të pestë të nenit 201, 201/a, 201/b, 201/c, 201/ç</w:t>
      </w:r>
      <w:r w:rsidR="00184330" w:rsidRPr="008B261D">
        <w:rPr>
          <w:rFonts w:ascii="Garamond" w:hAnsi="Garamond" w:cs="Times New Roman"/>
          <w:color w:val="000000" w:themeColor="text1"/>
          <w:sz w:val="24"/>
          <w:szCs w:val="24"/>
        </w:rPr>
        <w:t>, 202, 202/b, 203, 206/a, 206/b</w:t>
      </w:r>
      <w:r w:rsidR="00C4613D" w:rsidRPr="008B261D">
        <w:rPr>
          <w:rFonts w:ascii="Garamond" w:hAnsi="Garamond" w:cs="Times New Roman"/>
          <w:color w:val="000000" w:themeColor="text1"/>
          <w:sz w:val="24"/>
          <w:szCs w:val="24"/>
        </w:rPr>
        <w:t xml:space="preserve"> të Kodit Penal;</w:t>
      </w:r>
      <w:r w:rsidR="008B261D">
        <w:rPr>
          <w:rFonts w:ascii="Garamond" w:hAnsi="Garamond" w:cs="Times New Roman"/>
          <w:color w:val="000000" w:themeColor="text1"/>
          <w:sz w:val="24"/>
          <w:szCs w:val="24"/>
        </w:rPr>
        <w:t xml:space="preserve"> </w:t>
      </w:r>
    </w:p>
    <w:p w14:paraId="15849BF0"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gj) krime kundër pavarësisë dhe rendit kushtetues, të parashikuara në nenet 208, 209, 210, 211, 212, 213, 214, 215, 216, 217, 218, 219, 220, 221, 222, 223, 224 dhe 225 të Kodit Penal; </w:t>
      </w:r>
    </w:p>
    <w:p w14:paraId="1B5F10BE"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h) </w:t>
      </w:r>
      <w:r w:rsidR="00C4613D" w:rsidRPr="008B261D">
        <w:rPr>
          <w:rFonts w:ascii="Garamond" w:hAnsi="Garamond" w:cs="Times New Roman"/>
          <w:color w:val="000000" w:themeColor="text1"/>
          <w:sz w:val="24"/>
          <w:szCs w:val="24"/>
        </w:rPr>
        <w:t>krime që cenojnë marrëdhëniet me shtetet e tjera, të parashikuara në nenet 226 dhe 228 të Kodit Penal;</w:t>
      </w:r>
    </w:p>
    <w:p w14:paraId="29121899" w14:textId="4C44BB82"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i) </w:t>
      </w:r>
      <w:r w:rsidR="00C4613D" w:rsidRPr="008B261D">
        <w:rPr>
          <w:rFonts w:ascii="Garamond" w:hAnsi="Garamond" w:cs="Times New Roman"/>
          <w:color w:val="000000" w:themeColor="text1"/>
          <w:sz w:val="24"/>
          <w:szCs w:val="24"/>
        </w:rPr>
        <w:t>vepra me qëllime terroriste, të parashikuara në nenet 230, 230/a, 230/b, 230/c, 230/ç,</w:t>
      </w:r>
      <w:r w:rsid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231, 232, 232/a, 232/b, 233, 234, 234/a dhe 234/b të Kodit Penal;</w:t>
      </w:r>
    </w:p>
    <w:p w14:paraId="36467BAD" w14:textId="656F9FFF"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j) </w:t>
      </w:r>
      <w:r w:rsidR="00C4613D" w:rsidRPr="008B261D">
        <w:rPr>
          <w:rFonts w:ascii="Garamond" w:hAnsi="Garamond" w:cs="Times New Roman"/>
          <w:color w:val="000000" w:themeColor="text1"/>
          <w:sz w:val="24"/>
          <w:szCs w:val="24"/>
        </w:rPr>
        <w:t>krime kundër autoritetit të shtetit, të parashikuara në nenet 243, 244, 244/a, 245, 248, 248/a, 250,</w:t>
      </w:r>
      <w:r w:rsidR="00551DD5" w:rsidRP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253, 257, 257/a, 258, 259, 259/a, 260, paragrafin e parë të nenit 263, 265, 265/a, 265/b, 265/c, 266, 267,</w:t>
      </w:r>
      <w:r w:rsidR="00551DD5" w:rsidRPr="008B261D">
        <w:rPr>
          <w:rFonts w:ascii="Garamond" w:hAnsi="Garamond" w:cs="Times New Roman"/>
          <w:color w:val="000000" w:themeColor="text1"/>
          <w:sz w:val="24"/>
          <w:szCs w:val="24"/>
        </w:rPr>
        <w:t xml:space="preserve"> 268,</w:t>
      </w:r>
      <w:r w:rsidR="008B261D">
        <w:rPr>
          <w:rFonts w:ascii="Garamond" w:hAnsi="Garamond" w:cs="Times New Roman"/>
          <w:color w:val="000000" w:themeColor="text1"/>
          <w:sz w:val="24"/>
          <w:szCs w:val="24"/>
        </w:rPr>
        <w:t xml:space="preserve"> </w:t>
      </w:r>
      <w:r w:rsidR="00551DD5" w:rsidRPr="008B261D">
        <w:rPr>
          <w:rFonts w:ascii="Garamond" w:hAnsi="Garamond" w:cs="Times New Roman"/>
          <w:color w:val="000000" w:themeColor="text1"/>
          <w:sz w:val="24"/>
          <w:szCs w:val="24"/>
        </w:rPr>
        <w:t>në paragrafët</w:t>
      </w:r>
      <w:r w:rsidR="00C4613D" w:rsidRPr="008B261D">
        <w:rPr>
          <w:rFonts w:ascii="Garamond" w:hAnsi="Garamond" w:cs="Times New Roman"/>
          <w:color w:val="000000" w:themeColor="text1"/>
          <w:sz w:val="24"/>
          <w:szCs w:val="24"/>
        </w:rPr>
        <w:t xml:space="preserve"> e pestë, të gjashtë, të shtatë dhe të tetë të nenit 278, në nenet 278/a e 278/b, në paragrafin e dytë të nenit 281, në paragrafin e dytë të nenit 282, në nenet 282/a, 282/b, 282/c, 283, 283/a, 284, 284/a, 284/c, 284/ç, 284/d, 285, 286, 287, 287/a, 287/b, 288, 288/a, 288/b, 288/c, 288/ç, në paragrafin e </w:t>
      </w:r>
      <w:r w:rsidR="00551DD5" w:rsidRPr="008B261D">
        <w:rPr>
          <w:rFonts w:ascii="Garamond" w:hAnsi="Garamond" w:cs="Times New Roman"/>
          <w:color w:val="000000" w:themeColor="text1"/>
          <w:sz w:val="24"/>
          <w:szCs w:val="24"/>
        </w:rPr>
        <w:t>dytë të nenit 289, në paragrafët</w:t>
      </w:r>
      <w:r w:rsidR="00C4613D" w:rsidRPr="008B261D">
        <w:rPr>
          <w:rFonts w:ascii="Garamond" w:hAnsi="Garamond" w:cs="Times New Roman"/>
          <w:color w:val="000000" w:themeColor="text1"/>
          <w:sz w:val="24"/>
          <w:szCs w:val="24"/>
        </w:rPr>
        <w:t xml:space="preserve"> e dytë, të tretë dhe të katërt të nenit 290, në paragrafin e dytë të nenit 292, në nenet 293/a, 293/b, 293/c</w:t>
      </w:r>
      <w:r w:rsidR="00551DD5" w:rsidRPr="008B261D">
        <w:rPr>
          <w:rFonts w:ascii="Garamond" w:hAnsi="Garamond" w:cs="Times New Roman"/>
          <w:color w:val="000000" w:themeColor="text1"/>
          <w:sz w:val="24"/>
          <w:szCs w:val="24"/>
        </w:rPr>
        <w:t>, 293/ç, 294, 295, në paragrafët</w:t>
      </w:r>
      <w:r w:rsidR="00C4613D" w:rsidRPr="008B261D">
        <w:rPr>
          <w:rFonts w:ascii="Garamond" w:hAnsi="Garamond" w:cs="Times New Roman"/>
          <w:color w:val="000000" w:themeColor="text1"/>
          <w:sz w:val="24"/>
          <w:szCs w:val="24"/>
        </w:rPr>
        <w:t xml:space="preserve"> e parë, të tretë, të katërt, të pestë dhe të gjasht</w:t>
      </w:r>
      <w:r w:rsidR="00551DD5" w:rsidRPr="008B261D">
        <w:rPr>
          <w:rFonts w:ascii="Garamond" w:hAnsi="Garamond" w:cs="Times New Roman"/>
          <w:color w:val="000000" w:themeColor="text1"/>
          <w:sz w:val="24"/>
          <w:szCs w:val="24"/>
        </w:rPr>
        <w:t xml:space="preserve">ë të nenit 295/a, në paragrafët </w:t>
      </w:r>
      <w:r w:rsidR="00C4613D" w:rsidRPr="008B261D">
        <w:rPr>
          <w:rFonts w:ascii="Garamond" w:hAnsi="Garamond" w:cs="Times New Roman"/>
          <w:color w:val="000000" w:themeColor="text1"/>
          <w:sz w:val="24"/>
          <w:szCs w:val="24"/>
        </w:rPr>
        <w:t>e katërt dhe të pestë të nenit 298 dhe në nenin 299 të Kodit Penal, si dhe në n</w:t>
      </w:r>
      <w:r w:rsidR="00551DD5" w:rsidRPr="008B261D">
        <w:rPr>
          <w:rFonts w:ascii="Garamond" w:hAnsi="Garamond" w:cs="Times New Roman"/>
          <w:color w:val="000000" w:themeColor="text1"/>
          <w:sz w:val="24"/>
          <w:szCs w:val="24"/>
        </w:rPr>
        <w:t>enin 70 të Kodit Penal Ushtarak</w:t>
      </w:r>
      <w:r w:rsidR="00C4613D" w:rsidRPr="008B261D">
        <w:rPr>
          <w:rFonts w:ascii="Garamond" w:hAnsi="Garamond" w:cs="Times New Roman"/>
          <w:color w:val="000000" w:themeColor="text1"/>
          <w:sz w:val="24"/>
          <w:szCs w:val="24"/>
        </w:rPr>
        <w:t>;</w:t>
      </w:r>
    </w:p>
    <w:p w14:paraId="49036A5F"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k) </w:t>
      </w:r>
      <w:r w:rsidR="00C4613D" w:rsidRPr="008B261D">
        <w:rPr>
          <w:rFonts w:ascii="Garamond" w:hAnsi="Garamond" w:cs="Times New Roman"/>
          <w:color w:val="000000" w:themeColor="text1"/>
          <w:sz w:val="24"/>
          <w:szCs w:val="24"/>
        </w:rPr>
        <w:t xml:space="preserve">vepra penale kundër drejtësisë, të parashikuara në nenet 302, 303, 311, 312, 312/a, 313, 313/a, 313/b, 314, 316, 317, 318, 319, 319/a, 319/b, 319/c, 319/ç, 319/d, 319/dh, 319/e, në paragrafin e dytë të nenit 323, në nenin 324 dhe në paragrafin e dytë të nenit 324/a të Kodit Penal; </w:t>
      </w:r>
    </w:p>
    <w:p w14:paraId="2314A624"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l) </w:t>
      </w:r>
      <w:r w:rsidR="00C4613D" w:rsidRPr="008B261D">
        <w:rPr>
          <w:rFonts w:ascii="Garamond" w:hAnsi="Garamond" w:cs="Times New Roman"/>
          <w:color w:val="000000" w:themeColor="text1"/>
          <w:sz w:val="24"/>
          <w:szCs w:val="24"/>
        </w:rPr>
        <w:t>vepra penale që prekin zgjedhjet e lira dhe sistemin demokratik të zgjedhjeve, të parashikuara në nenet 325, 326, 326/a, 327, 327/a, 328, 328/a, 328/b, 329, 330, 330/a, 331, 331/a, 332 dhe 332/a të Kodit Penal;</w:t>
      </w:r>
    </w:p>
    <w:p w14:paraId="6A366E92" w14:textId="77777777" w:rsidR="00C4613D" w:rsidRPr="008B261D" w:rsidRDefault="005B36E8"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ll) </w:t>
      </w:r>
      <w:r w:rsidR="00C4613D" w:rsidRPr="008B261D">
        <w:rPr>
          <w:rFonts w:ascii="Garamond" w:hAnsi="Garamond" w:cs="Times New Roman"/>
          <w:color w:val="000000" w:themeColor="text1"/>
          <w:sz w:val="24"/>
          <w:szCs w:val="24"/>
        </w:rPr>
        <w:t>vepra penale të kryera nga banda e armatosur dhe organizata kriminale, të parashikuara në nenet 333, 333/a dhe 334 të Kodit Penal.</w:t>
      </w:r>
    </w:p>
    <w:p w14:paraId="453CB96B"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45A22AAB"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Neni 5</w:t>
      </w:r>
    </w:p>
    <w:p w14:paraId="794BB211" w14:textId="77777777"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Kriteret për përfitimin e amnistisë nga zbritja e dënimit</w:t>
      </w:r>
    </w:p>
    <w:p w14:paraId="67FB2F1C"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2A4B259B" w14:textId="77C314B1" w:rsidR="00C4613D" w:rsidRPr="008B261D" w:rsidRDefault="00551D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1. </w:t>
      </w:r>
      <w:r w:rsidR="00C4613D" w:rsidRPr="008B261D">
        <w:rPr>
          <w:rFonts w:ascii="Garamond" w:hAnsi="Garamond" w:cs="Times New Roman"/>
          <w:color w:val="000000" w:themeColor="text1"/>
          <w:sz w:val="24"/>
          <w:szCs w:val="24"/>
        </w:rPr>
        <w:t>Të gjithë personave të dënuar, të cilët nuk plotësojnë kriteret për t’u përjashtuar nga vuajtja e dënimit, sipas nenit 3 të këtij ligji</w:t>
      </w:r>
      <w:r w:rsidRPr="008B261D">
        <w:rPr>
          <w:rFonts w:ascii="Garamond" w:hAnsi="Garamond" w:cs="Times New Roman"/>
          <w:color w:val="000000" w:themeColor="text1"/>
          <w:sz w:val="24"/>
          <w:szCs w:val="24"/>
        </w:rPr>
        <w:t>,</w:t>
      </w:r>
      <w:r w:rsidR="00C4613D" w:rsidRPr="008B261D">
        <w:rPr>
          <w:rFonts w:ascii="Garamond" w:hAnsi="Garamond" w:cs="Times New Roman"/>
          <w:color w:val="000000" w:themeColor="text1"/>
          <w:sz w:val="24"/>
          <w:szCs w:val="24"/>
        </w:rPr>
        <w:t xml:space="preserve"> ose, edhe pse plotësojnë kriteret për përfitimin e amnistisë sipas këtij neni, nuk përjashtohen nga vuajtja e dënimit për shkak të kritereve ndaluese t</w:t>
      </w:r>
      <w:r w:rsidRPr="008B261D">
        <w:rPr>
          <w:rFonts w:ascii="Garamond" w:hAnsi="Garamond" w:cs="Times New Roman"/>
          <w:color w:val="000000" w:themeColor="text1"/>
          <w:sz w:val="24"/>
          <w:szCs w:val="24"/>
        </w:rPr>
        <w:t>ë përcaktuara në pikat 1 dhe 2</w:t>
      </w:r>
      <w:r w:rsidR="008B261D">
        <w:rPr>
          <w:rFonts w:ascii="Garamond" w:hAnsi="Garamond" w:cs="Times New Roman"/>
          <w:color w:val="000000" w:themeColor="text1"/>
          <w:sz w:val="24"/>
          <w:szCs w:val="24"/>
        </w:rPr>
        <w:t>,</w:t>
      </w:r>
      <w:r w:rsidRP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të nenit 4 të këtij ligji, u zbritet:</w:t>
      </w:r>
    </w:p>
    <w:p w14:paraId="1FEE7C62" w14:textId="77777777" w:rsidR="00C4613D" w:rsidRPr="008B261D" w:rsidRDefault="00551D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a) 2 vjet nga dënimi i mbetur për personat e dënuar gra</w:t>
      </w:r>
      <w:r w:rsidR="00C4613D" w:rsidRPr="008B261D">
        <w:rPr>
          <w:rFonts w:ascii="Garamond" w:hAnsi="Garamond" w:cs="Times New Roman"/>
          <w:color w:val="000000" w:themeColor="text1"/>
          <w:sz w:val="24"/>
          <w:szCs w:val="24"/>
        </w:rPr>
        <w:t xml:space="preserve"> dhe të mitur;</w:t>
      </w:r>
    </w:p>
    <w:p w14:paraId="1B26839C" w14:textId="77777777" w:rsidR="00C4613D" w:rsidRPr="008B261D" w:rsidRDefault="00551D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b) </w:t>
      </w:r>
      <w:r w:rsidR="00C4613D" w:rsidRPr="008B261D">
        <w:rPr>
          <w:rFonts w:ascii="Garamond" w:hAnsi="Garamond" w:cs="Times New Roman"/>
          <w:color w:val="000000" w:themeColor="text1"/>
          <w:sz w:val="24"/>
          <w:szCs w:val="24"/>
        </w:rPr>
        <w:t xml:space="preserve">1 vit e </w:t>
      </w:r>
      <w:r w:rsidRPr="008B261D">
        <w:rPr>
          <w:rFonts w:ascii="Garamond" w:hAnsi="Garamond" w:cs="Times New Roman"/>
          <w:color w:val="000000" w:themeColor="text1"/>
          <w:sz w:val="24"/>
          <w:szCs w:val="24"/>
        </w:rPr>
        <w:t>gjysmë nga dënimi i mbetur për personat e dënuar</w:t>
      </w:r>
      <w:r w:rsidR="00C4613D" w:rsidRPr="008B261D">
        <w:rPr>
          <w:rFonts w:ascii="Garamond" w:hAnsi="Garamond" w:cs="Times New Roman"/>
          <w:color w:val="000000" w:themeColor="text1"/>
          <w:sz w:val="24"/>
          <w:szCs w:val="24"/>
        </w:rPr>
        <w:t xml:space="preserve"> burra.</w:t>
      </w:r>
    </w:p>
    <w:p w14:paraId="2F93C081" w14:textId="77777777" w:rsidR="00C4613D" w:rsidRPr="008B261D" w:rsidRDefault="00551D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2. </w:t>
      </w:r>
      <w:r w:rsidR="00C4613D" w:rsidRPr="008B261D">
        <w:rPr>
          <w:rFonts w:ascii="Garamond" w:hAnsi="Garamond" w:cs="Times New Roman"/>
          <w:color w:val="000000" w:themeColor="text1"/>
          <w:sz w:val="24"/>
          <w:szCs w:val="24"/>
        </w:rPr>
        <w:t>Pavarës</w:t>
      </w:r>
      <w:r w:rsidRPr="008B261D">
        <w:rPr>
          <w:rFonts w:ascii="Garamond" w:hAnsi="Garamond" w:cs="Times New Roman"/>
          <w:color w:val="000000" w:themeColor="text1"/>
          <w:sz w:val="24"/>
          <w:szCs w:val="24"/>
        </w:rPr>
        <w:t>isht nga parashikimet e pikës 1</w:t>
      </w:r>
      <w:r w:rsidR="00C4613D" w:rsidRPr="008B261D">
        <w:rPr>
          <w:rFonts w:ascii="Garamond" w:hAnsi="Garamond" w:cs="Times New Roman"/>
          <w:color w:val="000000" w:themeColor="text1"/>
          <w:sz w:val="24"/>
          <w:szCs w:val="24"/>
        </w:rPr>
        <w:t xml:space="preserve"> të këtij neni, nuk përfitojnë zbritje të dënimit:</w:t>
      </w:r>
    </w:p>
    <w:p w14:paraId="524CDD9E" w14:textId="41CABF89"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 </w:t>
      </w:r>
      <w:r w:rsidR="00551DD5" w:rsidRPr="008B261D">
        <w:rPr>
          <w:rFonts w:ascii="Garamond" w:hAnsi="Garamond" w:cs="Times New Roman"/>
          <w:color w:val="000000" w:themeColor="text1"/>
          <w:sz w:val="24"/>
          <w:szCs w:val="24"/>
        </w:rPr>
        <w:t xml:space="preserve">a) </w:t>
      </w:r>
      <w:r w:rsidRPr="008B261D">
        <w:rPr>
          <w:rFonts w:ascii="Garamond" w:hAnsi="Garamond" w:cs="Times New Roman"/>
          <w:color w:val="000000" w:themeColor="text1"/>
          <w:sz w:val="24"/>
          <w:szCs w:val="24"/>
        </w:rPr>
        <w:t>personat e dënuar me burgim për veprat penale të parashikuara në nenet 79, 79/a, 79/b dhe 79/c</w:t>
      </w:r>
      <w:r w:rsid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të Kodit Penal;</w:t>
      </w:r>
    </w:p>
    <w:p w14:paraId="69DEDE8C" w14:textId="77777777" w:rsidR="00C4613D" w:rsidRPr="008B261D" w:rsidRDefault="00551D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b) </w:t>
      </w:r>
      <w:r w:rsidR="00C4613D" w:rsidRPr="008B261D">
        <w:rPr>
          <w:rFonts w:ascii="Garamond" w:hAnsi="Garamond" w:cs="Times New Roman"/>
          <w:color w:val="000000" w:themeColor="text1"/>
          <w:sz w:val="24"/>
          <w:szCs w:val="24"/>
        </w:rPr>
        <w:t>personat e dënuar me burgim të përjetshëm;</w:t>
      </w:r>
    </w:p>
    <w:p w14:paraId="260C8D22" w14:textId="77777777" w:rsidR="00C4613D" w:rsidRPr="008B261D" w:rsidRDefault="00551D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c) </w:t>
      </w:r>
      <w:r w:rsidR="00C4613D" w:rsidRPr="008B261D">
        <w:rPr>
          <w:rFonts w:ascii="Garamond" w:hAnsi="Garamond" w:cs="Times New Roman"/>
          <w:color w:val="000000" w:themeColor="text1"/>
          <w:sz w:val="24"/>
          <w:szCs w:val="24"/>
        </w:rPr>
        <w:t>personat e dënuar, akuzat penale ndaj të cilëve janë gjykuar nga Gjykata kundër Korrupsionit dhe Krimit të Organizuar, sipas përcaktimeve</w:t>
      </w:r>
      <w:r w:rsidR="006B7E6A" w:rsidRPr="008B261D">
        <w:rPr>
          <w:rFonts w:ascii="Garamond" w:hAnsi="Garamond" w:cs="Times New Roman"/>
          <w:color w:val="000000" w:themeColor="text1"/>
          <w:sz w:val="24"/>
          <w:szCs w:val="24"/>
        </w:rPr>
        <w:t xml:space="preserve"> të shkronjave “b” , “c” dhe </w:t>
      </w:r>
      <w:r w:rsidRPr="008B261D">
        <w:rPr>
          <w:rFonts w:ascii="Garamond" w:hAnsi="Garamond" w:cs="Times New Roman"/>
          <w:color w:val="000000" w:themeColor="text1"/>
          <w:sz w:val="24"/>
          <w:szCs w:val="24"/>
        </w:rPr>
        <w:t>“ç”</w:t>
      </w:r>
      <w:r w:rsidR="00C4613D" w:rsidRPr="008B261D">
        <w:rPr>
          <w:rFonts w:ascii="Garamond" w:hAnsi="Garamond" w:cs="Times New Roman"/>
          <w:color w:val="000000" w:themeColor="text1"/>
          <w:sz w:val="24"/>
          <w:szCs w:val="24"/>
        </w:rPr>
        <w:t xml:space="preserve"> të nenit 75/a të Kodit të Procedurës Penale.</w:t>
      </w:r>
    </w:p>
    <w:p w14:paraId="4A8F16E2" w14:textId="11FDB095" w:rsidR="00C4613D" w:rsidRPr="008B261D" w:rsidRDefault="00551DD5"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3. </w:t>
      </w:r>
      <w:r w:rsidR="00C4613D" w:rsidRPr="008B261D">
        <w:rPr>
          <w:rFonts w:ascii="Garamond" w:hAnsi="Garamond" w:cs="Times New Roman"/>
          <w:color w:val="000000" w:themeColor="text1"/>
          <w:sz w:val="24"/>
          <w:szCs w:val="24"/>
        </w:rPr>
        <w:t>Nuk përfitojnë</w:t>
      </w:r>
      <w:r w:rsidR="006B7E6A" w:rsidRPr="008B261D">
        <w:rPr>
          <w:rFonts w:ascii="Garamond" w:hAnsi="Garamond" w:cs="Times New Roman"/>
          <w:color w:val="000000" w:themeColor="text1"/>
          <w:sz w:val="24"/>
          <w:szCs w:val="24"/>
        </w:rPr>
        <w:t xml:space="preserve"> nga zbritja e dënimit personat</w:t>
      </w:r>
      <w:r w:rsidR="00C4613D" w:rsidRPr="008B261D">
        <w:rPr>
          <w:rFonts w:ascii="Garamond" w:hAnsi="Garamond" w:cs="Times New Roman"/>
          <w:color w:val="000000" w:themeColor="text1"/>
          <w:sz w:val="24"/>
          <w:szCs w:val="24"/>
        </w:rPr>
        <w:t xml:space="preserve"> të cilët i janë shmangur drejtësis</w:t>
      </w:r>
      <w:r w:rsidR="005E3E3B" w:rsidRPr="008B261D">
        <w:rPr>
          <w:rFonts w:ascii="Garamond" w:hAnsi="Garamond" w:cs="Times New Roman"/>
          <w:color w:val="000000" w:themeColor="text1"/>
          <w:sz w:val="24"/>
          <w:szCs w:val="24"/>
        </w:rPr>
        <w:t>ë, sipas përcaktimit të pikës 2</w:t>
      </w:r>
      <w:r w:rsidR="008B261D">
        <w:rPr>
          <w:rFonts w:ascii="Garamond" w:hAnsi="Garamond" w:cs="Times New Roman"/>
          <w:color w:val="000000" w:themeColor="text1"/>
          <w:sz w:val="24"/>
          <w:szCs w:val="24"/>
        </w:rPr>
        <w:t>,</w:t>
      </w:r>
      <w:r w:rsidR="005E3E3B" w:rsidRPr="008B261D">
        <w:rPr>
          <w:rFonts w:ascii="Garamond" w:hAnsi="Garamond" w:cs="Times New Roman"/>
          <w:color w:val="000000" w:themeColor="text1"/>
          <w:sz w:val="24"/>
          <w:szCs w:val="24"/>
        </w:rPr>
        <w:t xml:space="preserve"> të nenit 2</w:t>
      </w:r>
      <w:r w:rsidR="00C4613D" w:rsidRPr="008B261D">
        <w:rPr>
          <w:rFonts w:ascii="Garamond" w:hAnsi="Garamond" w:cs="Times New Roman"/>
          <w:color w:val="000000" w:themeColor="text1"/>
          <w:sz w:val="24"/>
          <w:szCs w:val="24"/>
        </w:rPr>
        <w:t xml:space="preserve"> të këtij ligji.</w:t>
      </w:r>
    </w:p>
    <w:p w14:paraId="6E6DCB84"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05258AFB"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Neni 6</w:t>
      </w:r>
    </w:p>
    <w:p w14:paraId="0C5174C3" w14:textId="2058F2C6"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Kriteret</w:t>
      </w:r>
      <w:r w:rsidR="008B261D">
        <w:rPr>
          <w:rFonts w:ascii="Garamond" w:hAnsi="Garamond" w:cs="Times New Roman"/>
          <w:b/>
          <w:color w:val="000000" w:themeColor="text1"/>
          <w:sz w:val="24"/>
          <w:szCs w:val="24"/>
        </w:rPr>
        <w:t xml:space="preserve"> </w:t>
      </w:r>
      <w:r w:rsidRPr="008B261D">
        <w:rPr>
          <w:rFonts w:ascii="Garamond" w:hAnsi="Garamond" w:cs="Times New Roman"/>
          <w:b/>
          <w:color w:val="000000" w:themeColor="text1"/>
          <w:sz w:val="24"/>
          <w:szCs w:val="24"/>
        </w:rPr>
        <w:t>për përfitimin e amnistisë nga ndjekja penale</w:t>
      </w:r>
    </w:p>
    <w:p w14:paraId="2BF90B72"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0C38ED82" w14:textId="77777777" w:rsidR="00C4613D" w:rsidRPr="008B261D" w:rsidRDefault="002027FA"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1. </w:t>
      </w:r>
      <w:r w:rsidR="00C4613D" w:rsidRPr="008B261D">
        <w:rPr>
          <w:rFonts w:ascii="Garamond" w:hAnsi="Garamond" w:cs="Times New Roman"/>
          <w:color w:val="000000" w:themeColor="text1"/>
          <w:sz w:val="24"/>
          <w:szCs w:val="24"/>
        </w:rPr>
        <w:t xml:space="preserve">Përjashtohen nga ndjekja penale të gjithë personat që kanë çështje penale në hetim, çështje të pashqyrtuara ose në proces shqyrtimi nga gjykatat, si dhe kallëzimet që ndodhen në këto organe, pavarësisht nga data e regjistrimit të tyre, për veprat penale të kryera deri në datën </w:t>
      </w:r>
      <w:r w:rsidRPr="008B261D">
        <w:rPr>
          <w:rFonts w:ascii="Garamond" w:hAnsi="Garamond" w:cs="Times New Roman"/>
          <w:color w:val="000000" w:themeColor="text1"/>
          <w:sz w:val="24"/>
          <w:szCs w:val="24"/>
        </w:rPr>
        <w:t>31.</w:t>
      </w:r>
      <w:r w:rsidR="00C4613D" w:rsidRPr="008B261D">
        <w:rPr>
          <w:rFonts w:ascii="Garamond" w:hAnsi="Garamond" w:cs="Times New Roman"/>
          <w:color w:val="000000" w:themeColor="text1"/>
          <w:sz w:val="24"/>
          <w:szCs w:val="24"/>
        </w:rPr>
        <w:t xml:space="preserve">3.2024, për të cilat Kodi Penal dhe Kodi Penal Ushtarak parashikon një dënim me burgim në maksimum deri në 2 vjet ose çdo lloj dënimi tjetër më të butë, me përjashtim të veprave të parashikuara nga nenet 91, 96, në paragrafin </w:t>
      </w:r>
      <w:r w:rsidR="00C4613D" w:rsidRPr="008B261D">
        <w:rPr>
          <w:rFonts w:ascii="Garamond" w:hAnsi="Garamond" w:cs="Times New Roman"/>
          <w:color w:val="000000" w:themeColor="text1"/>
          <w:sz w:val="24"/>
          <w:szCs w:val="24"/>
        </w:rPr>
        <w:lastRenderedPageBreak/>
        <w:t>e dytë të nenit 112, në nenet 119, 119/a, 119/b, 120, 121, 122, në paragrafin e parë të nenit 124/b, në nenet 125, 127, 204, 205, 206, 207, në paragrafin e parë të nenit 257/a, në nenet 269 dhe 318 të Kodit Penal.”.</w:t>
      </w:r>
    </w:p>
    <w:p w14:paraId="7EFC4693" w14:textId="4A4BFDE7" w:rsidR="00C4613D" w:rsidRPr="008B261D" w:rsidRDefault="00AA773A"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1/</w:t>
      </w:r>
      <w:r w:rsidR="00C4613D" w:rsidRPr="008B261D">
        <w:rPr>
          <w:rFonts w:ascii="Garamond" w:hAnsi="Garamond" w:cs="Times New Roman"/>
          <w:color w:val="000000" w:themeColor="text1"/>
          <w:sz w:val="24"/>
          <w:szCs w:val="24"/>
        </w:rPr>
        <w:t>1</w:t>
      </w:r>
      <w:r w:rsid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 xml:space="preserve">Përjashtohen nga ndjekja penale </w:t>
      </w:r>
      <w:r w:rsidRPr="008B261D">
        <w:rPr>
          <w:rFonts w:ascii="Garamond" w:hAnsi="Garamond" w:cs="Times New Roman"/>
          <w:color w:val="000000" w:themeColor="text1"/>
          <w:sz w:val="24"/>
          <w:szCs w:val="24"/>
        </w:rPr>
        <w:t>të gjithë personat që kanë</w:t>
      </w:r>
      <w:r w:rsidR="00C4613D"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çështje</w:t>
      </w:r>
      <w:r w:rsidR="00C4613D" w:rsidRPr="008B261D">
        <w:rPr>
          <w:rFonts w:ascii="Garamond" w:hAnsi="Garamond" w:cs="Times New Roman"/>
          <w:color w:val="000000" w:themeColor="text1"/>
          <w:sz w:val="24"/>
          <w:szCs w:val="24"/>
        </w:rPr>
        <w:t xml:space="preserve"> penale në hetim, </w:t>
      </w:r>
      <w:r w:rsidR="00F16679" w:rsidRPr="008B261D">
        <w:rPr>
          <w:rFonts w:ascii="Garamond" w:hAnsi="Garamond" w:cs="Times New Roman"/>
          <w:color w:val="000000" w:themeColor="text1"/>
          <w:sz w:val="24"/>
          <w:szCs w:val="24"/>
        </w:rPr>
        <w:t>çështjet</w:t>
      </w:r>
      <w:r w:rsidR="00C4613D" w:rsidRPr="008B261D">
        <w:rPr>
          <w:rFonts w:ascii="Garamond" w:hAnsi="Garamond" w:cs="Times New Roman"/>
          <w:color w:val="000000" w:themeColor="text1"/>
          <w:sz w:val="24"/>
          <w:szCs w:val="24"/>
        </w:rPr>
        <w:t xml:space="preserve"> e pashqyrtuara ose n</w:t>
      </w:r>
      <w:r w:rsidR="00F16679" w:rsidRPr="008B261D">
        <w:rPr>
          <w:rFonts w:ascii="Garamond" w:hAnsi="Garamond" w:cs="Times New Roman"/>
          <w:color w:val="000000" w:themeColor="text1"/>
          <w:sz w:val="24"/>
          <w:szCs w:val="24"/>
        </w:rPr>
        <w:t>ë</w:t>
      </w:r>
      <w:r w:rsidR="00C4613D" w:rsidRPr="008B261D">
        <w:rPr>
          <w:rFonts w:ascii="Garamond" w:hAnsi="Garamond" w:cs="Times New Roman"/>
          <w:color w:val="000000" w:themeColor="text1"/>
          <w:sz w:val="24"/>
          <w:szCs w:val="24"/>
        </w:rPr>
        <w:t xml:space="preserve"> proces shqyrtimi nga gjykatat, si dhe kallëzimet që ndodhen në organet </w:t>
      </w:r>
      <w:r w:rsidR="00F16679" w:rsidRPr="008B261D">
        <w:rPr>
          <w:rFonts w:ascii="Garamond" w:hAnsi="Garamond" w:cs="Times New Roman"/>
          <w:color w:val="000000" w:themeColor="text1"/>
          <w:sz w:val="24"/>
          <w:szCs w:val="24"/>
        </w:rPr>
        <w:t>përkatëse</w:t>
      </w:r>
      <w:r w:rsidR="00C4613D" w:rsidRPr="008B261D">
        <w:rPr>
          <w:rFonts w:ascii="Garamond" w:hAnsi="Garamond" w:cs="Times New Roman"/>
          <w:color w:val="000000" w:themeColor="text1"/>
          <w:sz w:val="24"/>
          <w:szCs w:val="24"/>
        </w:rPr>
        <w:t xml:space="preserve">, </w:t>
      </w:r>
      <w:r w:rsidR="00F16679" w:rsidRPr="008B261D">
        <w:rPr>
          <w:rFonts w:ascii="Garamond" w:hAnsi="Garamond" w:cs="Times New Roman"/>
          <w:color w:val="000000" w:themeColor="text1"/>
          <w:sz w:val="24"/>
          <w:szCs w:val="24"/>
        </w:rPr>
        <w:t>për</w:t>
      </w:r>
      <w:r w:rsidR="00C4613D" w:rsidRPr="008B261D">
        <w:rPr>
          <w:rFonts w:ascii="Garamond" w:hAnsi="Garamond" w:cs="Times New Roman"/>
          <w:color w:val="000000" w:themeColor="text1"/>
          <w:sz w:val="24"/>
          <w:szCs w:val="24"/>
        </w:rPr>
        <w:t xml:space="preserve"> veprat penale të kryera gjatë grumbullimeve dhe manifestimeve t</w:t>
      </w:r>
      <w:r w:rsidR="00F16679" w:rsidRPr="008B261D">
        <w:rPr>
          <w:rFonts w:ascii="Garamond" w:hAnsi="Garamond" w:cs="Times New Roman"/>
          <w:color w:val="000000" w:themeColor="text1"/>
          <w:sz w:val="24"/>
          <w:szCs w:val="24"/>
        </w:rPr>
        <w:t>ë zhvilluara deri në datën</w:t>
      </w:r>
      <w:r w:rsidR="008B261D">
        <w:rPr>
          <w:rFonts w:ascii="Garamond" w:hAnsi="Garamond" w:cs="Times New Roman"/>
          <w:color w:val="000000" w:themeColor="text1"/>
          <w:sz w:val="24"/>
          <w:szCs w:val="24"/>
        </w:rPr>
        <w:t xml:space="preserve"> </w:t>
      </w:r>
      <w:r w:rsidR="00F16679" w:rsidRPr="008B261D">
        <w:rPr>
          <w:rFonts w:ascii="Garamond" w:hAnsi="Garamond" w:cs="Times New Roman"/>
          <w:color w:val="000000" w:themeColor="text1"/>
          <w:sz w:val="24"/>
          <w:szCs w:val="24"/>
        </w:rPr>
        <w:t>31.</w:t>
      </w:r>
      <w:r w:rsidR="00C4613D" w:rsidRPr="008B261D">
        <w:rPr>
          <w:rFonts w:ascii="Garamond" w:hAnsi="Garamond" w:cs="Times New Roman"/>
          <w:color w:val="000000" w:themeColor="text1"/>
          <w:sz w:val="24"/>
          <w:szCs w:val="24"/>
        </w:rPr>
        <w:t xml:space="preserve">3.2024, pavarësisht nga data e </w:t>
      </w:r>
      <w:r w:rsidR="00F16679" w:rsidRPr="008B261D">
        <w:rPr>
          <w:rFonts w:ascii="Garamond" w:hAnsi="Garamond" w:cs="Times New Roman"/>
          <w:color w:val="000000" w:themeColor="text1"/>
          <w:sz w:val="24"/>
          <w:szCs w:val="24"/>
        </w:rPr>
        <w:t>regjistrimit</w:t>
      </w:r>
      <w:r w:rsidR="00C4613D" w:rsidRPr="008B261D">
        <w:rPr>
          <w:rFonts w:ascii="Garamond" w:hAnsi="Garamond" w:cs="Times New Roman"/>
          <w:color w:val="000000" w:themeColor="text1"/>
          <w:sz w:val="24"/>
          <w:szCs w:val="24"/>
        </w:rPr>
        <w:t xml:space="preserve"> të tyre, të parashikuara nga nenet 150,</w:t>
      </w:r>
      <w:r w:rsid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paragrafi i parë i nenit 151, paragrafi i parë i nenit 235, paragrafi i parë i nenit 236, paragrafi i parë i nenit 237, paragrafi i parë i nenit 282,</w:t>
      </w:r>
      <w:r w:rsidR="008B261D">
        <w:rPr>
          <w:rFonts w:ascii="Garamond" w:hAnsi="Garamond" w:cs="Times New Roman"/>
          <w:color w:val="000000" w:themeColor="text1"/>
          <w:sz w:val="24"/>
          <w:szCs w:val="24"/>
        </w:rPr>
        <w:t xml:space="preserve"> </w:t>
      </w:r>
      <w:r w:rsidR="00C4613D" w:rsidRPr="008B261D">
        <w:rPr>
          <w:rFonts w:ascii="Garamond" w:hAnsi="Garamond" w:cs="Times New Roman"/>
          <w:color w:val="000000" w:themeColor="text1"/>
          <w:sz w:val="24"/>
          <w:szCs w:val="24"/>
        </w:rPr>
        <w:t>neni 293 dhe neni 325 të Kodit Penal.</w:t>
      </w:r>
    </w:p>
    <w:p w14:paraId="2F2C7801"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2. Nuk përfitojnë nga ky nen personat të cilët i janë shmangur drejtësisë.</w:t>
      </w:r>
    </w:p>
    <w:p w14:paraId="580488EA" w14:textId="2389C38C"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3.</w:t>
      </w:r>
      <w:r w:rsidR="000F2CF6"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Nuk përfitojnë nga pika 1 e këtij neni subjektet që kanë detyrimin për të deklaruar sipas ligjit nr.</w:t>
      </w:r>
      <w:r w:rsidR="00F16679" w:rsidRPr="008B261D">
        <w:rPr>
          <w:rFonts w:ascii="Garamond" w:hAnsi="Garamond" w:cs="Times New Roman"/>
          <w:color w:val="000000" w:themeColor="text1"/>
          <w:sz w:val="24"/>
          <w:szCs w:val="24"/>
        </w:rPr>
        <w:t xml:space="preserve"> </w:t>
      </w:r>
      <w:r w:rsidRPr="008B261D">
        <w:rPr>
          <w:rFonts w:ascii="Garamond" w:hAnsi="Garamond" w:cs="Times New Roman"/>
          <w:color w:val="000000" w:themeColor="text1"/>
          <w:sz w:val="24"/>
          <w:szCs w:val="24"/>
        </w:rPr>
        <w:t xml:space="preserve">9049, datë 10.4.2003, “Për deklarimin dhe kontrollin e pasurive, të detyrimeve financiare të </w:t>
      </w:r>
      <w:proofErr w:type="spellStart"/>
      <w:r w:rsidRPr="008B261D">
        <w:rPr>
          <w:rFonts w:ascii="Garamond" w:hAnsi="Garamond" w:cs="Times New Roman"/>
          <w:color w:val="000000" w:themeColor="text1"/>
          <w:sz w:val="24"/>
          <w:szCs w:val="24"/>
        </w:rPr>
        <w:t>të</w:t>
      </w:r>
      <w:proofErr w:type="spellEnd"/>
      <w:r w:rsidRPr="008B261D">
        <w:rPr>
          <w:rFonts w:ascii="Garamond" w:hAnsi="Garamond" w:cs="Times New Roman"/>
          <w:color w:val="000000" w:themeColor="text1"/>
          <w:sz w:val="24"/>
          <w:szCs w:val="24"/>
        </w:rPr>
        <w:t xml:space="preserve"> zgjedhurve dhe të disa nëpunësve publikë”, si dhe subjektet e posaçme, akuzat penale ndaj të cilave gjykohen nga Gjykata kundër Korrupsionit dhe Krimit të Organizuar sipas përcaktimeve</w:t>
      </w:r>
      <w:r w:rsidR="00F16679" w:rsidRPr="008B261D">
        <w:rPr>
          <w:rFonts w:ascii="Garamond" w:hAnsi="Garamond" w:cs="Times New Roman"/>
          <w:color w:val="000000" w:themeColor="text1"/>
          <w:sz w:val="24"/>
          <w:szCs w:val="24"/>
        </w:rPr>
        <w:t xml:space="preserve"> të shkronjave “b”, “c” dhe “ç”</w:t>
      </w:r>
      <w:r w:rsidR="008B261D">
        <w:rPr>
          <w:rFonts w:ascii="Garamond" w:hAnsi="Garamond" w:cs="Times New Roman"/>
          <w:color w:val="000000" w:themeColor="text1"/>
          <w:sz w:val="24"/>
          <w:szCs w:val="24"/>
        </w:rPr>
        <w:t>,</w:t>
      </w:r>
      <w:r w:rsidRPr="008B261D">
        <w:rPr>
          <w:rFonts w:ascii="Garamond" w:hAnsi="Garamond" w:cs="Times New Roman"/>
          <w:color w:val="000000" w:themeColor="text1"/>
          <w:sz w:val="24"/>
          <w:szCs w:val="24"/>
        </w:rPr>
        <w:t xml:space="preserve"> të nenit 75/a të Kodit të Procedurës Penale.</w:t>
      </w:r>
    </w:p>
    <w:p w14:paraId="41056EF2"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087E1003"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Neni 7</w:t>
      </w:r>
    </w:p>
    <w:p w14:paraId="6738EB40" w14:textId="77777777"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Të drejtat civile në procesin penal</w:t>
      </w:r>
    </w:p>
    <w:p w14:paraId="0DA5DDE1"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 xml:space="preserve"> </w:t>
      </w:r>
    </w:p>
    <w:p w14:paraId="2F3DBC3C"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Nga zbatimi i këtij ligji nuk cenohen të drejtat civile në procesin penal dhe as shpenzimet gjyqësore të kryera gjatë gjykimit deri në momentin e hyrjes në fuqi të këtij ligji.</w:t>
      </w:r>
    </w:p>
    <w:p w14:paraId="6E6B05D0" w14:textId="77777777" w:rsidR="00C4613D" w:rsidRPr="008B261D" w:rsidRDefault="00C4613D" w:rsidP="000B1BBA">
      <w:pPr>
        <w:spacing w:after="0" w:line="240" w:lineRule="auto"/>
        <w:ind w:firstLine="284"/>
        <w:jc w:val="both"/>
        <w:rPr>
          <w:rFonts w:ascii="Garamond" w:hAnsi="Garamond" w:cs="Times New Roman"/>
          <w:color w:val="000000" w:themeColor="text1"/>
          <w:sz w:val="24"/>
          <w:szCs w:val="24"/>
        </w:rPr>
      </w:pPr>
    </w:p>
    <w:p w14:paraId="1ACAE95C" w14:textId="77777777" w:rsidR="00C4613D" w:rsidRPr="008B261D" w:rsidRDefault="00C4613D" w:rsidP="000B1BBA">
      <w:pPr>
        <w:spacing w:after="0" w:line="240" w:lineRule="auto"/>
        <w:ind w:firstLine="284"/>
        <w:jc w:val="center"/>
        <w:rPr>
          <w:rFonts w:ascii="Garamond" w:hAnsi="Garamond" w:cs="Times New Roman"/>
          <w:color w:val="000000" w:themeColor="text1"/>
          <w:sz w:val="24"/>
          <w:szCs w:val="24"/>
        </w:rPr>
      </w:pPr>
      <w:r w:rsidRPr="008B261D">
        <w:rPr>
          <w:rFonts w:ascii="Garamond" w:hAnsi="Garamond" w:cs="Times New Roman"/>
          <w:color w:val="000000" w:themeColor="text1"/>
          <w:sz w:val="24"/>
          <w:szCs w:val="24"/>
        </w:rPr>
        <w:t>Neni 8</w:t>
      </w:r>
    </w:p>
    <w:p w14:paraId="75673E5E" w14:textId="77777777" w:rsidR="00C4613D" w:rsidRPr="008B261D" w:rsidRDefault="00C4613D" w:rsidP="000B1BBA">
      <w:pPr>
        <w:spacing w:after="0" w:line="240" w:lineRule="auto"/>
        <w:ind w:firstLine="284"/>
        <w:jc w:val="center"/>
        <w:rPr>
          <w:rFonts w:ascii="Garamond" w:hAnsi="Garamond" w:cs="Times New Roman"/>
          <w:b/>
          <w:color w:val="000000" w:themeColor="text1"/>
          <w:sz w:val="24"/>
          <w:szCs w:val="24"/>
        </w:rPr>
      </w:pPr>
      <w:r w:rsidRPr="008B261D">
        <w:rPr>
          <w:rFonts w:ascii="Garamond" w:hAnsi="Garamond" w:cs="Times New Roman"/>
          <w:b/>
          <w:color w:val="000000" w:themeColor="text1"/>
          <w:sz w:val="24"/>
          <w:szCs w:val="24"/>
        </w:rPr>
        <w:t>Hyrja në fuqi</w:t>
      </w:r>
    </w:p>
    <w:p w14:paraId="14D09516" w14:textId="77777777" w:rsidR="00C4613D" w:rsidRPr="008B261D" w:rsidRDefault="00C4613D" w:rsidP="000B1BBA">
      <w:pPr>
        <w:spacing w:after="0" w:line="240" w:lineRule="auto"/>
        <w:ind w:firstLine="284"/>
        <w:jc w:val="both"/>
        <w:rPr>
          <w:rFonts w:ascii="Garamond" w:hAnsi="Garamond" w:cs="Times New Roman"/>
          <w:b/>
          <w:color w:val="000000" w:themeColor="text1"/>
          <w:sz w:val="24"/>
          <w:szCs w:val="24"/>
        </w:rPr>
      </w:pPr>
    </w:p>
    <w:p w14:paraId="20F42710" w14:textId="77777777" w:rsidR="00190BC7" w:rsidRPr="008B261D" w:rsidRDefault="00C4613D" w:rsidP="00190BC7">
      <w:pPr>
        <w:spacing w:after="0" w:line="240" w:lineRule="auto"/>
        <w:ind w:firstLine="284"/>
        <w:jc w:val="both"/>
        <w:rPr>
          <w:rFonts w:ascii="Garamond" w:hAnsi="Garamond" w:cs="Times New Roman"/>
          <w:bCs/>
          <w:color w:val="000000" w:themeColor="text1"/>
          <w:sz w:val="24"/>
          <w:szCs w:val="24"/>
        </w:rPr>
      </w:pPr>
      <w:r w:rsidRPr="008B261D">
        <w:rPr>
          <w:rFonts w:ascii="Garamond" w:hAnsi="Garamond" w:cs="Times New Roman"/>
          <w:color w:val="000000" w:themeColor="text1"/>
          <w:sz w:val="24"/>
          <w:szCs w:val="24"/>
        </w:rPr>
        <w:t>Ky ligj hyn në fuqi 15 ditë pas botimit në Fletoren Zyrtare.</w:t>
      </w:r>
    </w:p>
    <w:p w14:paraId="518B61E2" w14:textId="77777777" w:rsidR="00190BC7" w:rsidRPr="008B261D" w:rsidRDefault="00190BC7" w:rsidP="00190BC7">
      <w:pPr>
        <w:spacing w:after="0" w:line="240" w:lineRule="auto"/>
        <w:ind w:firstLine="284"/>
        <w:jc w:val="both"/>
        <w:rPr>
          <w:rFonts w:ascii="Garamond" w:hAnsi="Garamond" w:cs="Times New Roman"/>
          <w:bCs/>
          <w:color w:val="000000" w:themeColor="text1"/>
          <w:sz w:val="24"/>
          <w:szCs w:val="24"/>
        </w:rPr>
      </w:pPr>
    </w:p>
    <w:p w14:paraId="39732FCA" w14:textId="771F942B" w:rsidR="00C4613D" w:rsidRPr="008B261D" w:rsidRDefault="00190BC7" w:rsidP="008B261D">
      <w:pPr>
        <w:spacing w:after="0" w:line="240" w:lineRule="auto"/>
        <w:ind w:firstLine="284"/>
        <w:jc w:val="both"/>
        <w:rPr>
          <w:rFonts w:ascii="Garamond" w:hAnsi="Garamond" w:cs="Times New Roman"/>
          <w:bCs/>
          <w:color w:val="000000" w:themeColor="text1"/>
          <w:sz w:val="24"/>
          <w:szCs w:val="24"/>
        </w:rPr>
      </w:pPr>
      <w:r w:rsidRPr="008B261D">
        <w:rPr>
          <w:rFonts w:ascii="Garamond" w:hAnsi="Garamond" w:cs="Times New Roman"/>
          <w:bCs/>
          <w:color w:val="000000" w:themeColor="text1"/>
          <w:sz w:val="24"/>
          <w:szCs w:val="24"/>
        </w:rPr>
        <w:t>Miratuar në datën 4.4.2024.</w:t>
      </w:r>
    </w:p>
    <w:p w14:paraId="12FD2124" w14:textId="77777777" w:rsidR="009F7779" w:rsidRPr="008B261D" w:rsidRDefault="009F7779" w:rsidP="000B1BBA">
      <w:pPr>
        <w:spacing w:after="0" w:line="240" w:lineRule="auto"/>
        <w:ind w:firstLine="284"/>
        <w:jc w:val="right"/>
        <w:rPr>
          <w:rFonts w:ascii="Garamond" w:hAnsi="Garamond" w:cs="Times New Roman"/>
          <w:color w:val="000000" w:themeColor="text1"/>
          <w:sz w:val="24"/>
          <w:szCs w:val="24"/>
        </w:rPr>
      </w:pPr>
    </w:p>
    <w:p w14:paraId="13ED23DE" w14:textId="393FC741" w:rsidR="00213234" w:rsidRPr="008B261D" w:rsidRDefault="00360F9B" w:rsidP="000B1BBA">
      <w:pPr>
        <w:spacing w:after="0" w:line="240" w:lineRule="auto"/>
        <w:ind w:firstLine="284"/>
        <w:jc w:val="both"/>
        <w:rPr>
          <w:rFonts w:ascii="Garamond" w:hAnsi="Garamond" w:cs="Times New Roman"/>
          <w:bCs/>
          <w:color w:val="000000" w:themeColor="text1"/>
          <w:sz w:val="24"/>
          <w:szCs w:val="24"/>
        </w:rPr>
      </w:pPr>
      <w:r w:rsidRPr="008B261D">
        <w:rPr>
          <w:rFonts w:ascii="Garamond" w:hAnsi="Garamond"/>
          <w:b/>
          <w:sz w:val="24"/>
          <w:szCs w:val="24"/>
        </w:rPr>
        <w:t xml:space="preserve">Shpallur me dekretin nr. 139, datë </w:t>
      </w:r>
      <w:r w:rsidR="00190BC7" w:rsidRPr="008B261D">
        <w:rPr>
          <w:rFonts w:ascii="Garamond" w:hAnsi="Garamond" w:cs="Times New Roman"/>
          <w:b/>
          <w:bCs/>
          <w:color w:val="000000" w:themeColor="text1"/>
          <w:sz w:val="24"/>
          <w:szCs w:val="24"/>
        </w:rPr>
        <w:t>9</w:t>
      </w:r>
      <w:r w:rsidRPr="008B261D">
        <w:rPr>
          <w:rFonts w:ascii="Garamond" w:hAnsi="Garamond" w:cs="Times New Roman"/>
          <w:b/>
          <w:bCs/>
          <w:color w:val="000000" w:themeColor="text1"/>
          <w:sz w:val="24"/>
          <w:szCs w:val="24"/>
        </w:rPr>
        <w:t>.4.2024</w:t>
      </w:r>
      <w:r w:rsidRPr="008B261D">
        <w:rPr>
          <w:rFonts w:ascii="Garamond" w:hAnsi="Garamond"/>
          <w:b/>
          <w:sz w:val="24"/>
          <w:szCs w:val="24"/>
        </w:rPr>
        <w:t xml:space="preserve">, të Presidentit të Republikës së Shqipërisë, Bajram </w:t>
      </w:r>
      <w:proofErr w:type="spellStart"/>
      <w:r w:rsidRPr="008B261D">
        <w:rPr>
          <w:rFonts w:ascii="Garamond" w:hAnsi="Garamond"/>
          <w:b/>
          <w:sz w:val="24"/>
          <w:szCs w:val="24"/>
        </w:rPr>
        <w:t>Begaj</w:t>
      </w:r>
      <w:proofErr w:type="spellEnd"/>
      <w:r w:rsidRPr="008B261D">
        <w:rPr>
          <w:rFonts w:ascii="Garamond" w:hAnsi="Garamond"/>
          <w:b/>
          <w:sz w:val="24"/>
          <w:szCs w:val="24"/>
        </w:rPr>
        <w:t>.</w:t>
      </w:r>
      <w:r w:rsidR="008B261D">
        <w:rPr>
          <w:rFonts w:ascii="Garamond" w:hAnsi="Garamond" w:cs="Times New Roman"/>
          <w:b/>
          <w:bCs/>
          <w:color w:val="000000" w:themeColor="text1"/>
          <w:sz w:val="24"/>
          <w:szCs w:val="24"/>
        </w:rPr>
        <w:t xml:space="preserve"> </w:t>
      </w:r>
    </w:p>
    <w:p w14:paraId="0B85C18F" w14:textId="77777777" w:rsidR="00FD48ED" w:rsidRPr="008B261D" w:rsidRDefault="00FD48ED" w:rsidP="000B1BBA">
      <w:pPr>
        <w:spacing w:after="0" w:line="240" w:lineRule="auto"/>
        <w:ind w:firstLine="284"/>
        <w:jc w:val="both"/>
        <w:rPr>
          <w:rFonts w:ascii="Garamond" w:hAnsi="Garamond" w:cs="Times New Roman"/>
          <w:bCs/>
          <w:color w:val="000000" w:themeColor="text1"/>
          <w:sz w:val="24"/>
          <w:szCs w:val="24"/>
        </w:rPr>
      </w:pPr>
    </w:p>
    <w:p w14:paraId="1E594B4F" w14:textId="77777777" w:rsidR="00190BC7" w:rsidRPr="008B261D" w:rsidRDefault="00190BC7">
      <w:pPr>
        <w:spacing w:after="0" w:line="240" w:lineRule="auto"/>
        <w:ind w:firstLine="284"/>
        <w:jc w:val="both"/>
        <w:rPr>
          <w:rFonts w:ascii="Garamond" w:hAnsi="Garamond" w:cs="Times New Roman"/>
          <w:bCs/>
          <w:color w:val="000000" w:themeColor="text1"/>
          <w:sz w:val="24"/>
          <w:szCs w:val="24"/>
        </w:rPr>
      </w:pPr>
    </w:p>
    <w:sectPr w:rsidR="00190BC7" w:rsidRPr="008B261D" w:rsidSect="00AE5B81">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92038" w14:textId="77777777" w:rsidR="00190BC7" w:rsidRDefault="00190BC7" w:rsidP="00420682">
      <w:pPr>
        <w:spacing w:after="0" w:line="240" w:lineRule="auto"/>
      </w:pPr>
      <w:r>
        <w:separator/>
      </w:r>
    </w:p>
  </w:endnote>
  <w:endnote w:type="continuationSeparator" w:id="0">
    <w:p w14:paraId="58929455" w14:textId="77777777" w:rsidR="00190BC7" w:rsidRDefault="00190BC7" w:rsidP="00420682">
      <w:pPr>
        <w:spacing w:after="0" w:line="240" w:lineRule="auto"/>
      </w:pPr>
      <w:r>
        <w:continuationSeparator/>
      </w:r>
    </w:p>
  </w:endnote>
  <w:endnote w:type="continuationNotice" w:id="1">
    <w:p w14:paraId="2C0F9FCF" w14:textId="77777777" w:rsidR="00057F42" w:rsidRDefault="00057F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DFD68" w14:textId="77777777" w:rsidR="00190BC7" w:rsidRDefault="00190BC7" w:rsidP="00420682">
      <w:pPr>
        <w:spacing w:after="0" w:line="240" w:lineRule="auto"/>
      </w:pPr>
      <w:r>
        <w:separator/>
      </w:r>
    </w:p>
  </w:footnote>
  <w:footnote w:type="continuationSeparator" w:id="0">
    <w:p w14:paraId="548B2972" w14:textId="77777777" w:rsidR="00190BC7" w:rsidRDefault="00190BC7" w:rsidP="00420682">
      <w:pPr>
        <w:spacing w:after="0" w:line="240" w:lineRule="auto"/>
      </w:pPr>
      <w:r>
        <w:continuationSeparator/>
      </w:r>
    </w:p>
  </w:footnote>
  <w:footnote w:type="continuationNotice" w:id="1">
    <w:p w14:paraId="47D10AB9" w14:textId="77777777" w:rsidR="00057F42" w:rsidRDefault="00057F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013A"/>
    <w:rsid w:val="00011558"/>
    <w:rsid w:val="000115A2"/>
    <w:rsid w:val="000141A5"/>
    <w:rsid w:val="00024790"/>
    <w:rsid w:val="00040D8C"/>
    <w:rsid w:val="00043C57"/>
    <w:rsid w:val="000514F1"/>
    <w:rsid w:val="00054966"/>
    <w:rsid w:val="00055AB5"/>
    <w:rsid w:val="00057F42"/>
    <w:rsid w:val="00060376"/>
    <w:rsid w:val="00072080"/>
    <w:rsid w:val="000765C2"/>
    <w:rsid w:val="00091A46"/>
    <w:rsid w:val="0009415D"/>
    <w:rsid w:val="00096985"/>
    <w:rsid w:val="00097617"/>
    <w:rsid w:val="000A1E47"/>
    <w:rsid w:val="000A3B4D"/>
    <w:rsid w:val="000A6B3D"/>
    <w:rsid w:val="000B1BBA"/>
    <w:rsid w:val="000B3F8E"/>
    <w:rsid w:val="000D199E"/>
    <w:rsid w:val="000E268C"/>
    <w:rsid w:val="000E32F6"/>
    <w:rsid w:val="000E5BA6"/>
    <w:rsid w:val="000F2CF6"/>
    <w:rsid w:val="000F482E"/>
    <w:rsid w:val="00106F6D"/>
    <w:rsid w:val="0011415C"/>
    <w:rsid w:val="00117D28"/>
    <w:rsid w:val="00121E29"/>
    <w:rsid w:val="00122D1F"/>
    <w:rsid w:val="0012550D"/>
    <w:rsid w:val="00130958"/>
    <w:rsid w:val="00132CEC"/>
    <w:rsid w:val="00135A36"/>
    <w:rsid w:val="00136EC9"/>
    <w:rsid w:val="00146D52"/>
    <w:rsid w:val="00153CC5"/>
    <w:rsid w:val="00154CFD"/>
    <w:rsid w:val="00155BCF"/>
    <w:rsid w:val="00155EBC"/>
    <w:rsid w:val="00166898"/>
    <w:rsid w:val="00167D1D"/>
    <w:rsid w:val="00176471"/>
    <w:rsid w:val="001816AF"/>
    <w:rsid w:val="00184330"/>
    <w:rsid w:val="00190BC7"/>
    <w:rsid w:val="00191A00"/>
    <w:rsid w:val="001942D4"/>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654C"/>
    <w:rsid w:val="001F78C3"/>
    <w:rsid w:val="001F797D"/>
    <w:rsid w:val="0020004E"/>
    <w:rsid w:val="002009A1"/>
    <w:rsid w:val="0020160E"/>
    <w:rsid w:val="0020170B"/>
    <w:rsid w:val="002027FA"/>
    <w:rsid w:val="00204052"/>
    <w:rsid w:val="002044B0"/>
    <w:rsid w:val="0020507F"/>
    <w:rsid w:val="002101FE"/>
    <w:rsid w:val="00212E52"/>
    <w:rsid w:val="00213234"/>
    <w:rsid w:val="00214854"/>
    <w:rsid w:val="0021715D"/>
    <w:rsid w:val="00223F53"/>
    <w:rsid w:val="00223FF5"/>
    <w:rsid w:val="00224329"/>
    <w:rsid w:val="00225DD1"/>
    <w:rsid w:val="00233280"/>
    <w:rsid w:val="00234BD8"/>
    <w:rsid w:val="0024206A"/>
    <w:rsid w:val="00243B60"/>
    <w:rsid w:val="00247DF1"/>
    <w:rsid w:val="00250F7F"/>
    <w:rsid w:val="00264FD5"/>
    <w:rsid w:val="00266C06"/>
    <w:rsid w:val="00267E57"/>
    <w:rsid w:val="0027350F"/>
    <w:rsid w:val="00274D4C"/>
    <w:rsid w:val="002753F6"/>
    <w:rsid w:val="00277C89"/>
    <w:rsid w:val="00282145"/>
    <w:rsid w:val="00284AC7"/>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EED"/>
    <w:rsid w:val="003403C8"/>
    <w:rsid w:val="003547D6"/>
    <w:rsid w:val="00360F9B"/>
    <w:rsid w:val="0036273A"/>
    <w:rsid w:val="00363075"/>
    <w:rsid w:val="00365BF7"/>
    <w:rsid w:val="003745EF"/>
    <w:rsid w:val="00375597"/>
    <w:rsid w:val="0038331D"/>
    <w:rsid w:val="00395396"/>
    <w:rsid w:val="003953EE"/>
    <w:rsid w:val="00397541"/>
    <w:rsid w:val="003A135F"/>
    <w:rsid w:val="003A38DC"/>
    <w:rsid w:val="003A63A5"/>
    <w:rsid w:val="003C118D"/>
    <w:rsid w:val="003C400C"/>
    <w:rsid w:val="003C48FF"/>
    <w:rsid w:val="003C610E"/>
    <w:rsid w:val="003D0A65"/>
    <w:rsid w:val="003D5049"/>
    <w:rsid w:val="003D59B2"/>
    <w:rsid w:val="003D5ED0"/>
    <w:rsid w:val="003E72F7"/>
    <w:rsid w:val="003F29A8"/>
    <w:rsid w:val="003F398D"/>
    <w:rsid w:val="0040042E"/>
    <w:rsid w:val="00403430"/>
    <w:rsid w:val="00403A89"/>
    <w:rsid w:val="0041300C"/>
    <w:rsid w:val="00420682"/>
    <w:rsid w:val="00433BCD"/>
    <w:rsid w:val="00436717"/>
    <w:rsid w:val="00437B33"/>
    <w:rsid w:val="00445610"/>
    <w:rsid w:val="0045538C"/>
    <w:rsid w:val="004555DB"/>
    <w:rsid w:val="00455BBA"/>
    <w:rsid w:val="00460BC4"/>
    <w:rsid w:val="004647DB"/>
    <w:rsid w:val="004670D5"/>
    <w:rsid w:val="00471609"/>
    <w:rsid w:val="004771A5"/>
    <w:rsid w:val="00477804"/>
    <w:rsid w:val="00482E95"/>
    <w:rsid w:val="0048341A"/>
    <w:rsid w:val="004866A8"/>
    <w:rsid w:val="00486954"/>
    <w:rsid w:val="00496497"/>
    <w:rsid w:val="004A5884"/>
    <w:rsid w:val="004A5DE6"/>
    <w:rsid w:val="004B12D2"/>
    <w:rsid w:val="004B6ED9"/>
    <w:rsid w:val="004C20B0"/>
    <w:rsid w:val="004C2DFD"/>
    <w:rsid w:val="004D3CFC"/>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27E5F"/>
    <w:rsid w:val="00531970"/>
    <w:rsid w:val="00531A97"/>
    <w:rsid w:val="00533AC7"/>
    <w:rsid w:val="00536F06"/>
    <w:rsid w:val="00540426"/>
    <w:rsid w:val="00542102"/>
    <w:rsid w:val="00550FA3"/>
    <w:rsid w:val="00551DD5"/>
    <w:rsid w:val="0055575B"/>
    <w:rsid w:val="00556AD2"/>
    <w:rsid w:val="0055707F"/>
    <w:rsid w:val="005611EC"/>
    <w:rsid w:val="005661F9"/>
    <w:rsid w:val="00570DA2"/>
    <w:rsid w:val="005726F2"/>
    <w:rsid w:val="00573EE3"/>
    <w:rsid w:val="00575ADC"/>
    <w:rsid w:val="005767F6"/>
    <w:rsid w:val="005841D1"/>
    <w:rsid w:val="005908D6"/>
    <w:rsid w:val="00591503"/>
    <w:rsid w:val="00591A3B"/>
    <w:rsid w:val="0059248B"/>
    <w:rsid w:val="0059342C"/>
    <w:rsid w:val="00596BF3"/>
    <w:rsid w:val="005A0D53"/>
    <w:rsid w:val="005A345B"/>
    <w:rsid w:val="005A7379"/>
    <w:rsid w:val="005B1D69"/>
    <w:rsid w:val="005B36E8"/>
    <w:rsid w:val="005B5423"/>
    <w:rsid w:val="005B6E3F"/>
    <w:rsid w:val="005C1F7E"/>
    <w:rsid w:val="005D05F3"/>
    <w:rsid w:val="005E3E3B"/>
    <w:rsid w:val="005F00A8"/>
    <w:rsid w:val="005F010E"/>
    <w:rsid w:val="00602FB4"/>
    <w:rsid w:val="0060535D"/>
    <w:rsid w:val="006066FA"/>
    <w:rsid w:val="0061141E"/>
    <w:rsid w:val="00614273"/>
    <w:rsid w:val="0062077A"/>
    <w:rsid w:val="00621A17"/>
    <w:rsid w:val="006465EF"/>
    <w:rsid w:val="00646924"/>
    <w:rsid w:val="00647466"/>
    <w:rsid w:val="00654305"/>
    <w:rsid w:val="00663243"/>
    <w:rsid w:val="00670AA2"/>
    <w:rsid w:val="0067406E"/>
    <w:rsid w:val="00677E6C"/>
    <w:rsid w:val="00677E79"/>
    <w:rsid w:val="00683C22"/>
    <w:rsid w:val="0068478A"/>
    <w:rsid w:val="00694869"/>
    <w:rsid w:val="00696D19"/>
    <w:rsid w:val="006A2688"/>
    <w:rsid w:val="006B3074"/>
    <w:rsid w:val="006B3952"/>
    <w:rsid w:val="006B7E6A"/>
    <w:rsid w:val="006C2C78"/>
    <w:rsid w:val="006C3818"/>
    <w:rsid w:val="006C54E5"/>
    <w:rsid w:val="006C6D22"/>
    <w:rsid w:val="006C7476"/>
    <w:rsid w:val="006E2494"/>
    <w:rsid w:val="006F4D55"/>
    <w:rsid w:val="006F5C30"/>
    <w:rsid w:val="007031E5"/>
    <w:rsid w:val="00707B70"/>
    <w:rsid w:val="007140D9"/>
    <w:rsid w:val="007217C2"/>
    <w:rsid w:val="007243F1"/>
    <w:rsid w:val="00726525"/>
    <w:rsid w:val="0073064D"/>
    <w:rsid w:val="00736DC8"/>
    <w:rsid w:val="007403CF"/>
    <w:rsid w:val="00740D48"/>
    <w:rsid w:val="00742442"/>
    <w:rsid w:val="00750246"/>
    <w:rsid w:val="00750AED"/>
    <w:rsid w:val="007654B3"/>
    <w:rsid w:val="00770CEF"/>
    <w:rsid w:val="00770FAD"/>
    <w:rsid w:val="00774741"/>
    <w:rsid w:val="007748A2"/>
    <w:rsid w:val="007749AC"/>
    <w:rsid w:val="00781CCC"/>
    <w:rsid w:val="0078321A"/>
    <w:rsid w:val="00783B0B"/>
    <w:rsid w:val="007A2A36"/>
    <w:rsid w:val="007A2E0E"/>
    <w:rsid w:val="007A460E"/>
    <w:rsid w:val="007B4156"/>
    <w:rsid w:val="007C083E"/>
    <w:rsid w:val="007D6440"/>
    <w:rsid w:val="007D742E"/>
    <w:rsid w:val="007D76F7"/>
    <w:rsid w:val="007E2515"/>
    <w:rsid w:val="007E6D9E"/>
    <w:rsid w:val="007F2AAA"/>
    <w:rsid w:val="007F46B2"/>
    <w:rsid w:val="007F5841"/>
    <w:rsid w:val="008030D2"/>
    <w:rsid w:val="00811138"/>
    <w:rsid w:val="008135E9"/>
    <w:rsid w:val="0081405B"/>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B261D"/>
    <w:rsid w:val="008B3FAE"/>
    <w:rsid w:val="008C15C7"/>
    <w:rsid w:val="008C1C92"/>
    <w:rsid w:val="008C3427"/>
    <w:rsid w:val="008D12D7"/>
    <w:rsid w:val="008D3FB7"/>
    <w:rsid w:val="008D4F14"/>
    <w:rsid w:val="008E125A"/>
    <w:rsid w:val="008F59E0"/>
    <w:rsid w:val="00900D7B"/>
    <w:rsid w:val="0090583C"/>
    <w:rsid w:val="0091014E"/>
    <w:rsid w:val="009104DF"/>
    <w:rsid w:val="00925F09"/>
    <w:rsid w:val="00944D6B"/>
    <w:rsid w:val="00954FD3"/>
    <w:rsid w:val="00957A39"/>
    <w:rsid w:val="0096096B"/>
    <w:rsid w:val="0096575A"/>
    <w:rsid w:val="00970D95"/>
    <w:rsid w:val="00974717"/>
    <w:rsid w:val="00976A3C"/>
    <w:rsid w:val="00991D86"/>
    <w:rsid w:val="00993777"/>
    <w:rsid w:val="0099741A"/>
    <w:rsid w:val="009A2331"/>
    <w:rsid w:val="009A4870"/>
    <w:rsid w:val="009A6F98"/>
    <w:rsid w:val="009A789B"/>
    <w:rsid w:val="009B1183"/>
    <w:rsid w:val="009B61B1"/>
    <w:rsid w:val="009C0ABA"/>
    <w:rsid w:val="009C12D6"/>
    <w:rsid w:val="009C52A4"/>
    <w:rsid w:val="009D36E7"/>
    <w:rsid w:val="009D6903"/>
    <w:rsid w:val="009E259E"/>
    <w:rsid w:val="009F7779"/>
    <w:rsid w:val="00A01F1A"/>
    <w:rsid w:val="00A06D12"/>
    <w:rsid w:val="00A10B5D"/>
    <w:rsid w:val="00A15DE9"/>
    <w:rsid w:val="00A27C1F"/>
    <w:rsid w:val="00A34D9D"/>
    <w:rsid w:val="00A35A3F"/>
    <w:rsid w:val="00A36786"/>
    <w:rsid w:val="00A431DD"/>
    <w:rsid w:val="00A5415E"/>
    <w:rsid w:val="00A645A6"/>
    <w:rsid w:val="00A75385"/>
    <w:rsid w:val="00A7761C"/>
    <w:rsid w:val="00A97B73"/>
    <w:rsid w:val="00AA32E0"/>
    <w:rsid w:val="00AA5367"/>
    <w:rsid w:val="00AA545E"/>
    <w:rsid w:val="00AA7433"/>
    <w:rsid w:val="00AA773A"/>
    <w:rsid w:val="00AB18EF"/>
    <w:rsid w:val="00AC2686"/>
    <w:rsid w:val="00AD1072"/>
    <w:rsid w:val="00AD2AD0"/>
    <w:rsid w:val="00AD4C52"/>
    <w:rsid w:val="00AD7AD5"/>
    <w:rsid w:val="00AE59BA"/>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6672"/>
    <w:rsid w:val="00B3200A"/>
    <w:rsid w:val="00B46B49"/>
    <w:rsid w:val="00B51F9D"/>
    <w:rsid w:val="00B54D96"/>
    <w:rsid w:val="00B6099E"/>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2D48"/>
    <w:rsid w:val="00BE4BA2"/>
    <w:rsid w:val="00BF2791"/>
    <w:rsid w:val="00C1023D"/>
    <w:rsid w:val="00C10624"/>
    <w:rsid w:val="00C17A6D"/>
    <w:rsid w:val="00C23E2C"/>
    <w:rsid w:val="00C31328"/>
    <w:rsid w:val="00C33585"/>
    <w:rsid w:val="00C40B28"/>
    <w:rsid w:val="00C4191B"/>
    <w:rsid w:val="00C446ED"/>
    <w:rsid w:val="00C4613D"/>
    <w:rsid w:val="00C5239D"/>
    <w:rsid w:val="00C53EBB"/>
    <w:rsid w:val="00C60CAD"/>
    <w:rsid w:val="00C6446D"/>
    <w:rsid w:val="00C6573D"/>
    <w:rsid w:val="00C70D94"/>
    <w:rsid w:val="00C71734"/>
    <w:rsid w:val="00C74B4C"/>
    <w:rsid w:val="00C751AA"/>
    <w:rsid w:val="00C85BBF"/>
    <w:rsid w:val="00C86CD9"/>
    <w:rsid w:val="00C90FD7"/>
    <w:rsid w:val="00C92C5B"/>
    <w:rsid w:val="00CA0828"/>
    <w:rsid w:val="00CB0B77"/>
    <w:rsid w:val="00CB1B8E"/>
    <w:rsid w:val="00CC15A1"/>
    <w:rsid w:val="00CC7CA2"/>
    <w:rsid w:val="00CE2478"/>
    <w:rsid w:val="00CE42A7"/>
    <w:rsid w:val="00CF5B26"/>
    <w:rsid w:val="00CF6D0A"/>
    <w:rsid w:val="00D05472"/>
    <w:rsid w:val="00D127E2"/>
    <w:rsid w:val="00D14768"/>
    <w:rsid w:val="00D23C4B"/>
    <w:rsid w:val="00D24B56"/>
    <w:rsid w:val="00D3649D"/>
    <w:rsid w:val="00D41916"/>
    <w:rsid w:val="00D45AC2"/>
    <w:rsid w:val="00D50CA0"/>
    <w:rsid w:val="00D51772"/>
    <w:rsid w:val="00D52992"/>
    <w:rsid w:val="00D56C48"/>
    <w:rsid w:val="00D60C6B"/>
    <w:rsid w:val="00D77F1A"/>
    <w:rsid w:val="00D82126"/>
    <w:rsid w:val="00D87B52"/>
    <w:rsid w:val="00DA2B84"/>
    <w:rsid w:val="00DA56D4"/>
    <w:rsid w:val="00DB5847"/>
    <w:rsid w:val="00DC03DB"/>
    <w:rsid w:val="00DC0BDC"/>
    <w:rsid w:val="00DC1137"/>
    <w:rsid w:val="00DC34E0"/>
    <w:rsid w:val="00DD492E"/>
    <w:rsid w:val="00DD596F"/>
    <w:rsid w:val="00DD7DEF"/>
    <w:rsid w:val="00DE163B"/>
    <w:rsid w:val="00DE6FC0"/>
    <w:rsid w:val="00DF2019"/>
    <w:rsid w:val="00DF295D"/>
    <w:rsid w:val="00DF729A"/>
    <w:rsid w:val="00DF7D66"/>
    <w:rsid w:val="00E02F28"/>
    <w:rsid w:val="00E030E4"/>
    <w:rsid w:val="00E04303"/>
    <w:rsid w:val="00E07E8C"/>
    <w:rsid w:val="00E20095"/>
    <w:rsid w:val="00E208F9"/>
    <w:rsid w:val="00E32B8C"/>
    <w:rsid w:val="00E33812"/>
    <w:rsid w:val="00E370B3"/>
    <w:rsid w:val="00E452DA"/>
    <w:rsid w:val="00E60B3E"/>
    <w:rsid w:val="00E611BD"/>
    <w:rsid w:val="00E6234F"/>
    <w:rsid w:val="00E64795"/>
    <w:rsid w:val="00E72BC5"/>
    <w:rsid w:val="00E76B9D"/>
    <w:rsid w:val="00E7782A"/>
    <w:rsid w:val="00E82905"/>
    <w:rsid w:val="00EB262A"/>
    <w:rsid w:val="00EB2D76"/>
    <w:rsid w:val="00EC47A4"/>
    <w:rsid w:val="00EC55E7"/>
    <w:rsid w:val="00EC57E8"/>
    <w:rsid w:val="00EC5AA5"/>
    <w:rsid w:val="00EC5B31"/>
    <w:rsid w:val="00ED2418"/>
    <w:rsid w:val="00ED7107"/>
    <w:rsid w:val="00EE7E5D"/>
    <w:rsid w:val="00EF4CCD"/>
    <w:rsid w:val="00EF7E55"/>
    <w:rsid w:val="00F03AA2"/>
    <w:rsid w:val="00F03F03"/>
    <w:rsid w:val="00F07F7F"/>
    <w:rsid w:val="00F16679"/>
    <w:rsid w:val="00F234B6"/>
    <w:rsid w:val="00F30C68"/>
    <w:rsid w:val="00F320F6"/>
    <w:rsid w:val="00F321FF"/>
    <w:rsid w:val="00F32C43"/>
    <w:rsid w:val="00F34229"/>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C0E"/>
    <w:rsid w:val="00FB4F69"/>
    <w:rsid w:val="00FB5CED"/>
    <w:rsid w:val="00FC484A"/>
    <w:rsid w:val="00FC631E"/>
    <w:rsid w:val="00FC6BDD"/>
    <w:rsid w:val="00FD3EA6"/>
    <w:rsid w:val="00FD4130"/>
    <w:rsid w:val="00FD48ED"/>
    <w:rsid w:val="00FE32E6"/>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EB6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Revision">
    <w:name w:val="Revision"/>
    <w:hidden/>
    <w:uiPriority w:val="99"/>
    <w:semiHidden/>
    <w:rsid w:val="003627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33</Nr_x002e__x0020_akti>
    <Data_x0020_e_x0020_Krijimit xmlns="0e656187-b300-4fb0-8bf4-3a50f872073c">2024-04-09T15:05:51Z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2024-04-09T00:00:00Z</Date_x0020_protokolli>
    <Titulli xmlns="0e656187-b300-4fb0-8bf4-3a50f872073c">Për dhënie amnistie</Titulli>
    <Modifikuesi xmlns="0e656187-b300-4fb0-8bf4-3a50f872073c">nevila.samarxhi</Modifikuesi>
    <Nr_x002e__x0020_prot_x0020_QBZ xmlns="0e656187-b300-4fb0-8bf4-3a50f872073c">644/1</Nr_x002e__x0020_prot_x0020_QBZ>
    <Data_x0020_e_x0020_Modifikimit xmlns="0e656187-b300-4fb0-8bf4-3a50f872073c">2024-04-09T15:06:55Z</Data_x0020_e_x0020_Modifikimit>
    <Dekretuar xmlns="0e656187-b300-4fb0-8bf4-3a50f872073c">false</Dekretuar>
    <Data xmlns="0e656187-b300-4fb0-8bf4-3a50f872073c">2024-04-04T00:00:00Z</Data>
    <Nr_x002e__x0020_protokolli_x0020_i_x0020_aktit xmlns="0e656187-b300-4fb0-8bf4-3a50f872073c">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E9DF0170EC34CC988247B185487E0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E9DF0170EC34CC988247B185487E0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4DE1E-C175-4E61-AE64-D98D9122D6E4}">
  <ds:schemaRefs>
    <ds:schemaRef ds:uri="http://schemas.microsoft.com/office/2006/documentManagement/types"/>
    <ds:schemaRef ds:uri="http://schemas.microsoft.com/office/2006/metadata/properties"/>
    <ds:schemaRef ds:uri="0e656187-b300-4fb0-8bf4-3a50f872073c"/>
    <ds:schemaRef ds:uri="http://www.w3.org/XML/1998/namespace"/>
    <ds:schemaRef ds:uri="http://purl.org/dc/elements/1.1/"/>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64DB6BEF-6850-4E9A-B5AD-7534134816D2}">
  <ds:schemaRefs>
    <ds:schemaRef ds:uri="http://schemas.microsoft.com/sharepoint/v3/contenttype/forms"/>
  </ds:schemaRefs>
</ds:datastoreItem>
</file>

<file path=customXml/itemProps3.xml><?xml version="1.0" encoding="utf-8"?>
<ds:datastoreItem xmlns:ds="http://schemas.openxmlformats.org/officeDocument/2006/customXml" ds:itemID="{396EA09E-1B76-4851-A4C7-519CCFDB0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95A1921-4962-44E1-A4DC-54F5EA5CE973}">
  <ds:schemaRefs>
    <ds:schemaRef ds:uri="http://schemas.microsoft.com/sharepoint/v3/contenttype/forms"/>
  </ds:schemaRefs>
</ds:datastoreItem>
</file>

<file path=customXml/itemProps5.xml><?xml version="1.0" encoding="utf-8"?>
<ds:datastoreItem xmlns:ds="http://schemas.openxmlformats.org/officeDocument/2006/customXml" ds:itemID="{90B6D0DB-7F3C-43BC-8951-3687FE3BD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AAC07F7-2334-4D65-98FB-CDDFDA6E7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5</Pages>
  <Words>2468</Words>
  <Characters>14072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gazmend.hanku</dc:creator>
  <cp:lastModifiedBy>Fjora Cahani</cp:lastModifiedBy>
  <cp:revision>85</cp:revision>
  <cp:lastPrinted>2024-04-09T13:56:00Z</cp:lastPrinted>
  <dcterms:created xsi:type="dcterms:W3CDTF">2024-03-05T14:35:00Z</dcterms:created>
  <dcterms:modified xsi:type="dcterms:W3CDTF">2024-04-09T14:22:00Z</dcterms:modified>
</cp:coreProperties>
</file>