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F18B6" w14:textId="77777777" w:rsidR="00420682" w:rsidRPr="00DA09D1" w:rsidRDefault="00420682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A09D1">
        <w:rPr>
          <w:rFonts w:ascii="Garamond" w:hAnsi="Garamond" w:cs="Times New Roman"/>
          <w:b/>
          <w:sz w:val="24"/>
          <w:szCs w:val="24"/>
        </w:rPr>
        <w:t>LIGJ</w:t>
      </w:r>
    </w:p>
    <w:p w14:paraId="0F4F18B8" w14:textId="66FB143D" w:rsidR="00024790" w:rsidRPr="00DA09D1" w:rsidRDefault="002009A1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A09D1">
        <w:rPr>
          <w:rFonts w:ascii="Garamond" w:hAnsi="Garamond" w:cs="Times New Roman"/>
          <w:b/>
          <w:sz w:val="24"/>
          <w:szCs w:val="24"/>
        </w:rPr>
        <w:t>Nr.</w:t>
      </w:r>
      <w:r w:rsidR="00F62A46" w:rsidRPr="00DA09D1">
        <w:rPr>
          <w:rFonts w:ascii="Garamond" w:hAnsi="Garamond" w:cs="Times New Roman"/>
          <w:b/>
          <w:sz w:val="24"/>
          <w:szCs w:val="24"/>
        </w:rPr>
        <w:t xml:space="preserve"> </w:t>
      </w:r>
      <w:r w:rsidR="00BA3818" w:rsidRPr="00DA09D1">
        <w:rPr>
          <w:rFonts w:ascii="Garamond" w:hAnsi="Garamond" w:cs="Times New Roman"/>
          <w:b/>
          <w:sz w:val="24"/>
          <w:szCs w:val="24"/>
        </w:rPr>
        <w:t>38</w:t>
      </w:r>
      <w:r w:rsidR="007748A2" w:rsidRPr="00DA09D1">
        <w:rPr>
          <w:rFonts w:ascii="Garamond" w:hAnsi="Garamond" w:cs="Times New Roman"/>
          <w:b/>
          <w:sz w:val="24"/>
          <w:szCs w:val="24"/>
        </w:rPr>
        <w:t>/202</w:t>
      </w:r>
      <w:r w:rsidR="00F86F45" w:rsidRPr="00DA09D1">
        <w:rPr>
          <w:rFonts w:ascii="Garamond" w:hAnsi="Garamond" w:cs="Times New Roman"/>
          <w:b/>
          <w:sz w:val="24"/>
          <w:szCs w:val="24"/>
        </w:rPr>
        <w:t>4</w:t>
      </w:r>
    </w:p>
    <w:p w14:paraId="0F4F18B9" w14:textId="77777777" w:rsidR="0059341A" w:rsidRPr="00DA09D1" w:rsidRDefault="0059341A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F4F18BA" w14:textId="73A94003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A09D1">
        <w:rPr>
          <w:rFonts w:ascii="Garamond" w:hAnsi="Garamond" w:cs="Times New Roman"/>
          <w:b/>
          <w:bCs/>
          <w:sz w:val="24"/>
          <w:szCs w:val="24"/>
        </w:rPr>
        <w:t>PËR DISA SHTESA DHE NDRYSHIME NË LIGJIN NR. 82/2021</w:t>
      </w:r>
      <w:r w:rsidR="00B85DC1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0F4F18BB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A09D1">
        <w:rPr>
          <w:rFonts w:ascii="Garamond" w:hAnsi="Garamond" w:cs="Times New Roman"/>
          <w:b/>
          <w:bCs/>
          <w:sz w:val="24"/>
          <w:szCs w:val="24"/>
        </w:rPr>
        <w:t>“PËR PËRKTHIMIN ZYRTAR DHE PROFESIONIN E PËRKTHYESIT ZYRTAR”</w:t>
      </w:r>
    </w:p>
    <w:p w14:paraId="0F4F18BC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BD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0F4F18BE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BF" w14:textId="46744905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KUVENDI</w:t>
      </w:r>
    </w:p>
    <w:p w14:paraId="0F4F18C1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F4F18C2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F4F18C3" w14:textId="55CE7E63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VENDOSI:</w:t>
      </w:r>
    </w:p>
    <w:p w14:paraId="0F4F18C4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C5" w14:textId="71ABDBF0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Në ligjin nr. 82/2021</w:t>
      </w:r>
      <w:r w:rsidR="00B85DC1">
        <w:rPr>
          <w:rFonts w:ascii="Garamond" w:hAnsi="Garamond" w:cs="Times New Roman"/>
          <w:bCs/>
          <w:sz w:val="24"/>
          <w:szCs w:val="24"/>
        </w:rPr>
        <w:t>,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“Për përkthimin zyrtar dhe profesionin e përkthyesit zyrtar”</w:t>
      </w:r>
      <w:r w:rsidR="00B85DC1">
        <w:rPr>
          <w:rFonts w:ascii="Garamond" w:hAnsi="Garamond" w:cs="Times New Roman"/>
          <w:bCs/>
          <w:sz w:val="24"/>
          <w:szCs w:val="24"/>
        </w:rPr>
        <w:t>,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bëhen këto shtesa dhe ndryshime:</w:t>
      </w:r>
    </w:p>
    <w:p w14:paraId="0F4F18C6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C7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1</w:t>
      </w:r>
    </w:p>
    <w:p w14:paraId="0F4F18C8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C9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Pas nenit 7 shtohet neni 7/1 me këtë përmbajtje:</w:t>
      </w:r>
    </w:p>
    <w:p w14:paraId="0F4F18CA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CB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“Neni 7/1</w:t>
      </w:r>
    </w:p>
    <w:p w14:paraId="0F4F18CD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A09D1">
        <w:rPr>
          <w:rFonts w:ascii="Garamond" w:hAnsi="Garamond" w:cs="Times New Roman"/>
          <w:b/>
          <w:bCs/>
          <w:sz w:val="24"/>
          <w:szCs w:val="24"/>
        </w:rPr>
        <w:t>Përjashtime për raste të veçanta</w:t>
      </w:r>
    </w:p>
    <w:p w14:paraId="0F4F18CE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CF" w14:textId="4A15365F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1. Përjashtimisht, përkthimi zyrtar mund të kryhet nga një person që nuk është certifikuar për ushtrimin e profesionit të përkthyesit zyrtar</w:t>
      </w:r>
      <w:r w:rsidR="00A7453C">
        <w:rPr>
          <w:rFonts w:ascii="Garamond" w:hAnsi="Garamond" w:cs="Times New Roman"/>
          <w:bCs/>
          <w:sz w:val="24"/>
          <w:szCs w:val="24"/>
        </w:rPr>
        <w:t>,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kur:</w:t>
      </w:r>
    </w:p>
    <w:p w14:paraId="0F4F18D0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a) </w:t>
      </w:r>
      <w:r w:rsidR="00465569" w:rsidRPr="00DA09D1">
        <w:rPr>
          <w:rFonts w:ascii="Garamond" w:hAnsi="Garamond" w:cs="Times New Roman"/>
          <w:bCs/>
          <w:sz w:val="24"/>
          <w:szCs w:val="24"/>
        </w:rPr>
        <w:t>për shkak të ligjit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përkthimi nuk mund të kryhet nga përkthyes zyrtarë të certifikuar;</w:t>
      </w:r>
    </w:p>
    <w:p w14:paraId="0F4F18D1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b) gjuha e synuar ose gjuha e burimit nuk përfshihet në listën e gjuhëve të huaja të miratuar nga ministri i Drejtësisë, sipas shkronjës </w:t>
      </w:r>
      <w:r w:rsidR="00465569" w:rsidRPr="00DA09D1">
        <w:rPr>
          <w:rFonts w:ascii="Garamond" w:hAnsi="Garamond" w:cs="Times New Roman"/>
          <w:bCs/>
          <w:sz w:val="24"/>
          <w:szCs w:val="24"/>
        </w:rPr>
        <w:t xml:space="preserve">“ë” të pikës 1 të nenit 12 </w:t>
      </w:r>
      <w:r w:rsidRPr="00DA09D1">
        <w:rPr>
          <w:rFonts w:ascii="Garamond" w:hAnsi="Garamond" w:cs="Times New Roman"/>
          <w:bCs/>
          <w:sz w:val="24"/>
          <w:szCs w:val="24"/>
        </w:rPr>
        <w:t>të këtij ligji; ose</w:t>
      </w:r>
    </w:p>
    <w:p w14:paraId="0F4F18D2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c) shtetasi nuk mund të certifikohet ose nuk ka shprehje interesi për t’u certifikuar sipas parashikimeve të pikës 3 të nenit 14 të këtij ligji.</w:t>
      </w:r>
    </w:p>
    <w:p w14:paraId="0F4F18D3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 </w:t>
      </w:r>
      <w:r w:rsidRPr="00DA09D1">
        <w:rPr>
          <w:rFonts w:ascii="Garamond" w:hAnsi="Garamond" w:cs="Times New Roman"/>
          <w:bCs/>
          <w:sz w:val="24"/>
          <w:szCs w:val="24"/>
        </w:rPr>
        <w:tab/>
        <w:t>2. Në rastet e parashikuara në pikën 1 të këtij neni, ministria, për nevoja të ushtrimit të kompetencave, sipas pikës 2 të nenit 12 të këtij ligji, si dhe organet që ligji u ka njohur të drejtën për përkthimin zyrtar të akteve ose të dokumenteve, sipas këtij ligji, për kryerjen e përkthimit zy</w:t>
      </w:r>
      <w:r w:rsidR="00B0292D" w:rsidRPr="00DA09D1">
        <w:rPr>
          <w:rFonts w:ascii="Garamond" w:hAnsi="Garamond" w:cs="Times New Roman"/>
          <w:bCs/>
          <w:sz w:val="24"/>
          <w:szCs w:val="24"/>
        </w:rPr>
        <w:t>rtar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mund të kërkojnë ndihmën e:</w:t>
      </w:r>
    </w:p>
    <w:p w14:paraId="0F4F18D4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a) misioneve diplomatike ose të posteve konsullore; </w:t>
      </w:r>
    </w:p>
    <w:p w14:paraId="0F4F18D5" w14:textId="16F7D3CB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b) organizatave ndërkombëtare që ushtrojnë veprimtarinë në Republikën e Shqipërisë ose institucioneve të Bashkimit Evropian</w:t>
      </w:r>
      <w:r w:rsidR="00A7453C">
        <w:rPr>
          <w:rFonts w:ascii="Garamond" w:hAnsi="Garamond" w:cs="Times New Roman"/>
          <w:bCs/>
          <w:sz w:val="24"/>
          <w:szCs w:val="24"/>
        </w:rPr>
        <w:t xml:space="preserve">; </w:t>
      </w:r>
      <w:r w:rsidRPr="00DA09D1">
        <w:rPr>
          <w:rFonts w:ascii="Garamond" w:hAnsi="Garamond" w:cs="Times New Roman"/>
          <w:bCs/>
          <w:sz w:val="24"/>
          <w:szCs w:val="24"/>
        </w:rPr>
        <w:t>ose</w:t>
      </w:r>
    </w:p>
    <w:p w14:paraId="0F4F18D6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c) autoriteteve të tjera të huaja. </w:t>
      </w:r>
    </w:p>
    <w:p w14:paraId="0F4F18D7" w14:textId="0CC3C6E4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3. Përkthimi zyrtar sipas këtij neni kryhet rast pas rasti dhe me shpërblim, i cili përcaktohet në marrëveshje me subjektin që do të kryejë përkthimin zyrtar. Ministria dhe organet që ligji u ka njohur të drejtën për përkthimin zyrtar të akteve ose të dokumenteve, sipas këtij ligji, mund të lidhin marrëveshje me subjektet e përcaktuara në pikën 2 të këtij neni, që zbatohet sa herë që përmbushet njëri nga kushtet e parashikuara në pikën 1 të këtij neni, dhe lidhja e marrëveshjeve rast pas rasti nuk është efi</w:t>
      </w:r>
      <w:r w:rsidR="00A7453C">
        <w:rPr>
          <w:rFonts w:ascii="Garamond" w:hAnsi="Garamond" w:cs="Times New Roman"/>
          <w:bCs/>
          <w:sz w:val="24"/>
          <w:szCs w:val="24"/>
        </w:rPr>
        <w:t>ci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ente. </w:t>
      </w:r>
    </w:p>
    <w:p w14:paraId="0F4F18D8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4. Marrëveshja e përcaktuar në pikën 2 përmban parashikime për:</w:t>
      </w:r>
    </w:p>
    <w:p w14:paraId="0F4F18D9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a) kryerjen e përkthimit zyrtar, duke vepruar me kujdesin e duhur, si dhe duke zbatuar kodin e etikës </w:t>
      </w:r>
      <w:r w:rsidR="000F2AA4" w:rsidRPr="00DA09D1">
        <w:rPr>
          <w:rFonts w:ascii="Garamond" w:hAnsi="Garamond" w:cs="Times New Roman"/>
          <w:bCs/>
          <w:sz w:val="24"/>
          <w:szCs w:val="24"/>
        </w:rPr>
        <w:t>dh</w:t>
      </w:r>
      <w:r w:rsidRPr="00DA09D1">
        <w:rPr>
          <w:rFonts w:ascii="Garamond" w:hAnsi="Garamond" w:cs="Times New Roman"/>
          <w:bCs/>
          <w:sz w:val="24"/>
          <w:szCs w:val="24"/>
        </w:rPr>
        <w:t>e rregullat e ushtrimit të profesionit;</w:t>
      </w:r>
    </w:p>
    <w:p w14:paraId="0F4F18DA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b) zbatimin e detyrimeve të përcaktuara në shkronjat “a”, “b” dhe “ç”</w:t>
      </w:r>
      <w:r w:rsidR="000F2AA4" w:rsidRPr="00DA09D1">
        <w:rPr>
          <w:rFonts w:ascii="Garamond" w:hAnsi="Garamond" w:cs="Times New Roman"/>
          <w:bCs/>
          <w:sz w:val="24"/>
          <w:szCs w:val="24"/>
        </w:rPr>
        <w:t xml:space="preserve"> të nenit 24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të këtij ligji; </w:t>
      </w:r>
    </w:p>
    <w:p w14:paraId="0F4F18DB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c) masën e shpërblimit për përkthimin e kryer. Në përcaktimin e masës së shpërblimit mbahen parasysh, për aq sa është e mundur:</w:t>
      </w:r>
    </w:p>
    <w:p w14:paraId="0F4F18DC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tarifat e përkthimit të përcaktuara me udhëzim të përbashkët të ministrit dhe të ministrit përgjegj</w:t>
      </w:r>
      <w:r w:rsidRPr="00DA09D1">
        <w:rPr>
          <w:rFonts w:ascii="Garamond" w:hAnsi="Garamond" w:cs="Times New Roman"/>
          <w:bCs/>
          <w:sz w:val="24"/>
          <w:szCs w:val="24"/>
        </w:rPr>
        <w:t>ës për financat, sipas nenit 11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të këtij ligji;</w:t>
      </w:r>
    </w:p>
    <w:p w14:paraId="0F4F18DD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tarifat e përkthimit që zbatohen në shtetin përkatës nga organizata ndërkombëtare ose autoritetet e tjera të huaja; dhe</w:t>
      </w:r>
    </w:p>
    <w:p w14:paraId="0F4F18DE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lastRenderedPageBreak/>
        <w:t>iii. kostot për kryerjen e përkthimit.”.</w:t>
      </w:r>
    </w:p>
    <w:p w14:paraId="0F4F18DF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E0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2</w:t>
      </w:r>
    </w:p>
    <w:p w14:paraId="0F4F18E1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E2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Në nenin 12 bëhen ndryshimet dhe shtesat </w:t>
      </w:r>
      <w:r w:rsidR="000F2AA4" w:rsidRPr="00DA09D1">
        <w:rPr>
          <w:rFonts w:ascii="Garamond" w:hAnsi="Garamond" w:cs="Times New Roman"/>
          <w:bCs/>
          <w:sz w:val="24"/>
          <w:szCs w:val="24"/>
        </w:rPr>
        <w:t>si më poshtë</w:t>
      </w:r>
      <w:r w:rsidRPr="00DA09D1">
        <w:rPr>
          <w:rFonts w:ascii="Garamond" w:hAnsi="Garamond" w:cs="Times New Roman"/>
          <w:bCs/>
          <w:sz w:val="24"/>
          <w:szCs w:val="24"/>
        </w:rPr>
        <w:t>:</w:t>
      </w:r>
    </w:p>
    <w:p w14:paraId="0F4F18E3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1. Në pikën 2 bëhen shtesa dhe ndryshimi i mëposhtëm:</w:t>
      </w:r>
    </w:p>
    <w:p w14:paraId="0F4F18E4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a) në shkronjën “a” fjalët “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s</w:t>
      </w:r>
      <w:r w:rsidRPr="00DA09D1">
        <w:rPr>
          <w:rFonts w:ascii="Garamond" w:hAnsi="Garamond" w:cs="Times New Roman"/>
          <w:bCs/>
          <w:sz w:val="24"/>
          <w:szCs w:val="24"/>
        </w:rPr>
        <w:t>hqiptarë nga shtetet e huaja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B0292D" w:rsidRPr="00DA09D1">
        <w:rPr>
          <w:rFonts w:ascii="Garamond" w:hAnsi="Garamond" w:cs="Times New Roman"/>
          <w:bCs/>
          <w:sz w:val="24"/>
          <w:szCs w:val="24"/>
        </w:rPr>
        <w:t>fjalët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“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sipas legji</w:t>
      </w:r>
      <w:r w:rsidRPr="00DA09D1">
        <w:rPr>
          <w:rFonts w:ascii="Garamond" w:hAnsi="Garamond" w:cs="Times New Roman"/>
          <w:bCs/>
          <w:sz w:val="24"/>
          <w:szCs w:val="24"/>
        </w:rPr>
        <w:t>slacionit procedural në fuqi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”;</w:t>
      </w:r>
    </w:p>
    <w:p w14:paraId="0F4F18E5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b) në shkronjën “dh” pas fjalëve “tekstit të përkthyer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” shtohen </w:t>
      </w:r>
      <w:r w:rsidRPr="00DA09D1">
        <w:rPr>
          <w:rFonts w:ascii="Garamond" w:hAnsi="Garamond" w:cs="Times New Roman"/>
          <w:bCs/>
          <w:sz w:val="24"/>
          <w:szCs w:val="24"/>
        </w:rPr>
        <w:t>fjalët “në gjuhën shqipe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”.</w:t>
      </w:r>
    </w:p>
    <w:p w14:paraId="0F4F18E6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2. Në pikën 3 në fund të fjalisë shtohet togfjalëshi “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dhe, kur është r</w:t>
      </w:r>
      <w:r w:rsidRPr="00DA09D1">
        <w:rPr>
          <w:rFonts w:ascii="Garamond" w:hAnsi="Garamond" w:cs="Times New Roman"/>
          <w:bCs/>
          <w:sz w:val="24"/>
          <w:szCs w:val="24"/>
        </w:rPr>
        <w:t>asti, në përputhje me nenin 7/1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të këtij ligji.”. </w:t>
      </w:r>
    </w:p>
    <w:p w14:paraId="0F4F18E7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E8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3</w:t>
      </w:r>
    </w:p>
    <w:p w14:paraId="0F4F18E9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EA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Në pikën 4 të nenit 16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bëhen ndryshimet e mëposhtme:</w:t>
      </w:r>
    </w:p>
    <w:p w14:paraId="0F4F18EB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1. Në shkronjat “a” dhe “b”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fjala “dy” zëvendësohet me fjalën “një”.</w:t>
      </w:r>
    </w:p>
    <w:p w14:paraId="0F4F18EC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2. Shkronja “c” ndryshohet si më poshtë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:</w:t>
      </w:r>
    </w:p>
    <w:p w14:paraId="0F4F18ED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 </w:t>
      </w:r>
      <w:r w:rsidRPr="00DA09D1">
        <w:rPr>
          <w:rFonts w:ascii="Garamond" w:hAnsi="Garamond" w:cs="Times New Roman"/>
          <w:bCs/>
          <w:sz w:val="24"/>
          <w:szCs w:val="24"/>
        </w:rPr>
        <w:tab/>
        <w:t xml:space="preserve">“c) një përfaqësues nga institucionet e arsimit të lartë, që ofrojnë programe studimi në </w:t>
      </w:r>
      <w:r w:rsidR="000F2AA4" w:rsidRPr="00DA09D1">
        <w:rPr>
          <w:rFonts w:ascii="Garamond" w:hAnsi="Garamond" w:cs="Times New Roman"/>
          <w:bCs/>
          <w:sz w:val="24"/>
          <w:szCs w:val="24"/>
        </w:rPr>
        <w:t>gjuhë të huaja. Nëse për gjuhën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për të cilën do të zhvillohet provimi, institucionet e arsimit të lartë nuk ofrojnë programe studimi ose kur asnjë përfaqësues nuk shpreh interesin ose nuk plotëson kriteret për përzgjedhje në komisionin e posaçëm, ministria u dërgon ftesën për shprehje interesi: </w:t>
      </w:r>
    </w:p>
    <w:p w14:paraId="0F4F18EE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misioneve diplomatike ose posteve konsullore; </w:t>
      </w:r>
    </w:p>
    <w:p w14:paraId="0F4F18EF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organizatave ndërkombëtare, që ushtrojnë veprimtarinë në Republikën e Shqipërisë;</w:t>
      </w:r>
    </w:p>
    <w:p w14:paraId="0F4F18F0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iii.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autoriteteve të tjera të huaja; ose</w:t>
      </w:r>
    </w:p>
    <w:p w14:paraId="0F4F18F1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iv.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përkthyesve zyrtarë të certifikuar për gjuhën përkatëse.”. </w:t>
      </w:r>
    </w:p>
    <w:p w14:paraId="0F4F18F2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F3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4</w:t>
      </w:r>
    </w:p>
    <w:p w14:paraId="0F4F18F4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F5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Në nenin 18 bëhen ndryshimet e mëposhtme:</w:t>
      </w:r>
    </w:p>
    <w:p w14:paraId="0F4F18F6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1. Në pikën 1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fjalët “Minist</w:t>
      </w:r>
      <w:r w:rsidRPr="00DA09D1">
        <w:rPr>
          <w:rFonts w:ascii="Garamond" w:hAnsi="Garamond" w:cs="Times New Roman"/>
          <w:bCs/>
          <w:sz w:val="24"/>
          <w:szCs w:val="24"/>
        </w:rPr>
        <w:t>ria pajis përkthyesin zyrtar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“Përkthyesi zyrtar dhe interpreti i gjuhës së shenjave pajis</w:t>
      </w:r>
      <w:r w:rsidRPr="00DA09D1">
        <w:rPr>
          <w:rFonts w:ascii="Garamond" w:hAnsi="Garamond" w:cs="Times New Roman"/>
          <w:bCs/>
          <w:sz w:val="24"/>
          <w:szCs w:val="24"/>
        </w:rPr>
        <w:t>et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”;</w:t>
      </w:r>
    </w:p>
    <w:p w14:paraId="0F4F18F7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2. Në pikën 2 fjalët “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e cila lëshohe</w:t>
      </w:r>
      <w:r w:rsidRPr="00DA09D1">
        <w:rPr>
          <w:rFonts w:ascii="Garamond" w:hAnsi="Garamond" w:cs="Times New Roman"/>
          <w:bCs/>
          <w:sz w:val="24"/>
          <w:szCs w:val="24"/>
        </w:rPr>
        <w:t>t nga Ministria e Drejtësisë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” hiqen.</w:t>
      </w:r>
    </w:p>
    <w:p w14:paraId="0F4F18F8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3. Pika 3 ndryshohet si më poshtë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:</w:t>
      </w:r>
    </w:p>
    <w:p w14:paraId="0F4F18F9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“3. Forma, përmbajtja dhe karakteristikat e tjera të vulës dhe të kartës së identifikimit, si dhe rregullat për pajisjen e administrimin e tyre përcaktohen me urdhër të ministrit.”.</w:t>
      </w:r>
    </w:p>
    <w:p w14:paraId="0F4F18FA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FB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5</w:t>
      </w:r>
    </w:p>
    <w:p w14:paraId="0F4F18FC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8FD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Në nenin 29 bëhen këto ndryshime:</w:t>
      </w:r>
    </w:p>
    <w:p w14:paraId="0F4F18FF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1.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Në pikën 4 bëhen ndryshimet e mëposhtme:</w:t>
      </w:r>
    </w:p>
    <w:p w14:paraId="0F4F1900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a) f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jalia e parë shfuqizohet;</w:t>
      </w:r>
    </w:p>
    <w:p w14:paraId="0F4F1901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b) në fjalinë e dytë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togfjalëshi “15 (pes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ëmbëdhjetë)” zëvendësohet me togfjalëshin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“5 (pesë)”.</w:t>
      </w:r>
    </w:p>
    <w:p w14:paraId="0F4F1902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2.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Pika 6 shfuqizohet.</w:t>
      </w:r>
    </w:p>
    <w:p w14:paraId="0F4F1903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04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6</w:t>
      </w:r>
    </w:p>
    <w:p w14:paraId="0F4F1905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06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Shkronja “c” e pikës 1 të nenit 35 ndryshohet si më poshtë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:</w:t>
      </w:r>
    </w:p>
    <w:p w14:paraId="0F4F1907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“c) një përfaqësues nga institucionet e arsimit të lartë, që ofrojnë programe studimi në </w:t>
      </w:r>
      <w:r w:rsidR="000F2AA4" w:rsidRPr="00DA09D1">
        <w:rPr>
          <w:rFonts w:ascii="Garamond" w:hAnsi="Garamond" w:cs="Times New Roman"/>
          <w:bCs/>
          <w:sz w:val="24"/>
          <w:szCs w:val="24"/>
        </w:rPr>
        <w:t>gjuhë të huaja. Nëse për gjuhën</w:t>
      </w:r>
      <w:r w:rsidRPr="00DA09D1">
        <w:rPr>
          <w:rFonts w:ascii="Garamond" w:hAnsi="Garamond" w:cs="Times New Roman"/>
          <w:bCs/>
          <w:sz w:val="24"/>
          <w:szCs w:val="24"/>
        </w:rPr>
        <w:t xml:space="preserve"> për të cilën është certifikuar përkthyesi zyrtar, institucionet e arsimit të lartë nuk ofrojnë programe studimi ose kur asnjë përfaqësues nuk shpreh interesin ose nuk plotëson kriteret për përzgjedhje në komisionin disiplinor, ministria u dërgon ftesën për shprehje interesi: </w:t>
      </w:r>
    </w:p>
    <w:p w14:paraId="0F4F1908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misioneve diplomatike ose posteve konsullore; </w:t>
      </w:r>
    </w:p>
    <w:p w14:paraId="0F4F1909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organizatave ndërkombëtare, që ushtrojnë veprimtarinë në Republikën e Shqipërisë;</w:t>
      </w:r>
    </w:p>
    <w:p w14:paraId="0F4F190A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lastRenderedPageBreak/>
        <w:t xml:space="preserve">iii.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autoriteteve të tjera të huaja; ose</w:t>
      </w:r>
    </w:p>
    <w:p w14:paraId="0F4F190B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 xml:space="preserve">iv.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përkthyesve zyrtarë të certifikuar për gjuhën përkatëse.”.</w:t>
      </w:r>
    </w:p>
    <w:p w14:paraId="0F4F190C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0D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7</w:t>
      </w:r>
    </w:p>
    <w:p w14:paraId="0F4F190E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0F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Në nenin 39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pika 2 shfuqizohet.</w:t>
      </w:r>
    </w:p>
    <w:p w14:paraId="0F4F1910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11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8</w:t>
      </w:r>
    </w:p>
    <w:p w14:paraId="0F4F1913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A09D1">
        <w:rPr>
          <w:rFonts w:ascii="Garamond" w:hAnsi="Garamond" w:cs="Times New Roman"/>
          <w:b/>
          <w:bCs/>
          <w:sz w:val="24"/>
          <w:szCs w:val="24"/>
        </w:rPr>
        <w:t>Aktet nënligjore</w:t>
      </w:r>
    </w:p>
    <w:p w14:paraId="0F4F1914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15" w14:textId="77777777" w:rsidR="00BA3818" w:rsidRPr="00DA09D1" w:rsidRDefault="000F2AA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Ngarkohet ministri që</w:t>
      </w:r>
      <w:r w:rsidR="007C1D33" w:rsidRPr="00DA09D1">
        <w:rPr>
          <w:rFonts w:ascii="Garamond" w:hAnsi="Garamond" w:cs="Times New Roman"/>
          <w:bCs/>
          <w:sz w:val="24"/>
          <w:szCs w:val="24"/>
        </w:rPr>
        <w:t xml:space="preserve"> brenda 6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muajve nga hyrja n</w:t>
      </w:r>
      <w:r w:rsidRPr="00DA09D1">
        <w:rPr>
          <w:rFonts w:ascii="Garamond" w:hAnsi="Garamond" w:cs="Times New Roman"/>
          <w:bCs/>
          <w:sz w:val="24"/>
          <w:szCs w:val="24"/>
        </w:rPr>
        <w:t>ë fuqi e këtij ligji të miratojë aktet nënligjore në zbatim të pikës 3 të nenit 4</w:t>
      </w:r>
      <w:r w:rsidR="00BA3818" w:rsidRPr="00DA09D1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0F4F1916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17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Neni 9</w:t>
      </w:r>
    </w:p>
    <w:p w14:paraId="0F4F1919" w14:textId="77777777" w:rsidR="00BA3818" w:rsidRPr="00DA09D1" w:rsidRDefault="00BA3818" w:rsidP="000A392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A09D1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0F4F191A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1B" w14:textId="77777777" w:rsidR="008535CB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0F4F191C" w14:textId="77777777" w:rsidR="00BA3818" w:rsidRPr="00DA09D1" w:rsidRDefault="00BA3818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4F1923" w14:textId="74442F9B" w:rsidR="00976A3C" w:rsidRPr="00DA09D1" w:rsidRDefault="00976A3C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A09D1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DA09D1">
        <w:rPr>
          <w:rFonts w:ascii="Garamond" w:hAnsi="Garamond" w:cs="Times New Roman"/>
          <w:bCs/>
          <w:sz w:val="24"/>
          <w:szCs w:val="24"/>
        </w:rPr>
        <w:t xml:space="preserve"> </w:t>
      </w:r>
      <w:r w:rsidR="00BA3818" w:rsidRPr="00DA09D1">
        <w:rPr>
          <w:rFonts w:ascii="Garamond" w:hAnsi="Garamond" w:cs="Times New Roman"/>
          <w:bCs/>
          <w:sz w:val="24"/>
          <w:szCs w:val="24"/>
        </w:rPr>
        <w:t>18</w:t>
      </w:r>
      <w:r w:rsidR="00E611BD" w:rsidRPr="00DA09D1">
        <w:rPr>
          <w:rFonts w:ascii="Garamond" w:hAnsi="Garamond" w:cs="Times New Roman"/>
          <w:bCs/>
          <w:sz w:val="24"/>
          <w:szCs w:val="24"/>
        </w:rPr>
        <w:t>.</w:t>
      </w:r>
      <w:r w:rsidR="00740D48" w:rsidRPr="00DA09D1">
        <w:rPr>
          <w:rFonts w:ascii="Garamond" w:hAnsi="Garamond" w:cs="Times New Roman"/>
          <w:bCs/>
          <w:sz w:val="24"/>
          <w:szCs w:val="24"/>
        </w:rPr>
        <w:t>4</w:t>
      </w:r>
      <w:r w:rsidR="00E611BD" w:rsidRPr="00DA09D1">
        <w:rPr>
          <w:rFonts w:ascii="Garamond" w:hAnsi="Garamond" w:cs="Times New Roman"/>
          <w:bCs/>
          <w:sz w:val="24"/>
          <w:szCs w:val="24"/>
        </w:rPr>
        <w:t>.</w:t>
      </w:r>
      <w:r w:rsidR="007748A2" w:rsidRPr="00DA09D1">
        <w:rPr>
          <w:rFonts w:ascii="Garamond" w:hAnsi="Garamond" w:cs="Times New Roman"/>
          <w:bCs/>
          <w:sz w:val="24"/>
          <w:szCs w:val="24"/>
        </w:rPr>
        <w:t>202</w:t>
      </w:r>
      <w:r w:rsidR="00F86F45" w:rsidRPr="00DA09D1">
        <w:rPr>
          <w:rFonts w:ascii="Garamond" w:hAnsi="Garamond" w:cs="Times New Roman"/>
          <w:bCs/>
          <w:sz w:val="24"/>
          <w:szCs w:val="24"/>
        </w:rPr>
        <w:t>4</w:t>
      </w:r>
      <w:r w:rsidR="00DA09D1">
        <w:rPr>
          <w:rFonts w:ascii="Garamond" w:hAnsi="Garamond" w:cs="Times New Roman"/>
          <w:bCs/>
          <w:sz w:val="24"/>
          <w:szCs w:val="24"/>
        </w:rPr>
        <w:t>.</w:t>
      </w:r>
    </w:p>
    <w:p w14:paraId="002B1D45" w14:textId="77777777" w:rsidR="00DA09D1" w:rsidRDefault="00DA09D1" w:rsidP="00DA09D1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50116D05" w14:textId="6BBF5C1D" w:rsidR="00DA09D1" w:rsidRDefault="00DA09D1" w:rsidP="00DA09D1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 w:rsidR="00A26B06">
        <w:rPr>
          <w:rFonts w:ascii="Garamond" w:hAnsi="Garamond" w:cstheme="majorBidi"/>
          <w:b/>
          <w:sz w:val="24"/>
          <w:szCs w:val="24"/>
        </w:rPr>
        <w:t xml:space="preserve"> 168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datë </w:t>
      </w:r>
      <w:r w:rsidR="00A26B06">
        <w:rPr>
          <w:rFonts w:ascii="Garamond" w:hAnsi="Garamond" w:cstheme="majorBidi"/>
          <w:b/>
          <w:sz w:val="24"/>
          <w:szCs w:val="24"/>
        </w:rPr>
        <w:t>8.5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>.2024, të Presidentit të Republikës së Shqipërisë, Bajram Begaj.</w:t>
      </w:r>
    </w:p>
    <w:p w14:paraId="0F4F1924" w14:textId="77777777" w:rsidR="009A2331" w:rsidRPr="00DA09D1" w:rsidRDefault="009A2331" w:rsidP="000A3922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0F4F1925" w14:textId="77777777" w:rsidR="00213234" w:rsidRPr="00DA09D1" w:rsidRDefault="00213234" w:rsidP="000A392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DA09D1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34EDB" w14:textId="77777777" w:rsidR="00A26B06" w:rsidRDefault="00A26B06" w:rsidP="00420682">
      <w:pPr>
        <w:spacing w:after="0" w:line="240" w:lineRule="auto"/>
      </w:pPr>
      <w:r>
        <w:separator/>
      </w:r>
    </w:p>
  </w:endnote>
  <w:endnote w:type="continuationSeparator" w:id="0">
    <w:p w14:paraId="2997100B" w14:textId="77777777" w:rsidR="00A26B06" w:rsidRDefault="00A26B06" w:rsidP="00420682">
      <w:pPr>
        <w:spacing w:after="0" w:line="240" w:lineRule="auto"/>
      </w:pPr>
      <w:r>
        <w:continuationSeparator/>
      </w:r>
    </w:p>
  </w:endnote>
  <w:endnote w:type="continuationNotice" w:id="1">
    <w:p w14:paraId="30050C79" w14:textId="77777777" w:rsidR="00A26B06" w:rsidRDefault="00A26B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192A" w14:textId="7E938035" w:rsidR="00A26B06" w:rsidRDefault="00A26B06">
    <w:pPr>
      <w:pStyle w:val="Footer"/>
      <w:jc w:val="center"/>
    </w:pPr>
  </w:p>
  <w:p w14:paraId="0F4F192B" w14:textId="77777777" w:rsidR="00A26B06" w:rsidRDefault="00A26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C24F4" w14:textId="77777777" w:rsidR="00A26B06" w:rsidRDefault="00A26B06" w:rsidP="00420682">
      <w:pPr>
        <w:spacing w:after="0" w:line="240" w:lineRule="auto"/>
      </w:pPr>
      <w:r>
        <w:separator/>
      </w:r>
    </w:p>
  </w:footnote>
  <w:footnote w:type="continuationSeparator" w:id="0">
    <w:p w14:paraId="48722AAE" w14:textId="77777777" w:rsidR="00A26B06" w:rsidRDefault="00A26B06" w:rsidP="00420682">
      <w:pPr>
        <w:spacing w:after="0" w:line="240" w:lineRule="auto"/>
      </w:pPr>
      <w:r>
        <w:continuationSeparator/>
      </w:r>
    </w:p>
  </w:footnote>
  <w:footnote w:type="continuationNotice" w:id="1">
    <w:p w14:paraId="4005D765" w14:textId="77777777" w:rsidR="00A26B06" w:rsidRDefault="00A26B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7617"/>
    <w:rsid w:val="000A1E47"/>
    <w:rsid w:val="000A3922"/>
    <w:rsid w:val="000A3B4D"/>
    <w:rsid w:val="000A6B3D"/>
    <w:rsid w:val="000B3F8E"/>
    <w:rsid w:val="000B5AFE"/>
    <w:rsid w:val="000D199E"/>
    <w:rsid w:val="000E268C"/>
    <w:rsid w:val="000E32F6"/>
    <w:rsid w:val="000E5BA6"/>
    <w:rsid w:val="000F2AA4"/>
    <w:rsid w:val="000F482E"/>
    <w:rsid w:val="00106F6D"/>
    <w:rsid w:val="0011415C"/>
    <w:rsid w:val="00117D28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660C"/>
    <w:rsid w:val="001F194A"/>
    <w:rsid w:val="001F78C3"/>
    <w:rsid w:val="001F797D"/>
    <w:rsid w:val="0020004E"/>
    <w:rsid w:val="002009A1"/>
    <w:rsid w:val="0020160E"/>
    <w:rsid w:val="0020170B"/>
    <w:rsid w:val="00202732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53E0"/>
    <w:rsid w:val="00247DF1"/>
    <w:rsid w:val="00250F7F"/>
    <w:rsid w:val="0026200B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2381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65569"/>
    <w:rsid w:val="00471609"/>
    <w:rsid w:val="004771A5"/>
    <w:rsid w:val="00477804"/>
    <w:rsid w:val="0048341A"/>
    <w:rsid w:val="004866A8"/>
    <w:rsid w:val="00486954"/>
    <w:rsid w:val="004960A3"/>
    <w:rsid w:val="00496497"/>
    <w:rsid w:val="004A5884"/>
    <w:rsid w:val="004A5DE6"/>
    <w:rsid w:val="004B12D2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A1622"/>
    <w:rsid w:val="007A2A36"/>
    <w:rsid w:val="007A2E0E"/>
    <w:rsid w:val="007A460E"/>
    <w:rsid w:val="007B4156"/>
    <w:rsid w:val="007C083E"/>
    <w:rsid w:val="007C1D33"/>
    <w:rsid w:val="007D6440"/>
    <w:rsid w:val="007D742E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583C"/>
    <w:rsid w:val="0091014E"/>
    <w:rsid w:val="00910169"/>
    <w:rsid w:val="009104DF"/>
    <w:rsid w:val="00925F09"/>
    <w:rsid w:val="00944D6B"/>
    <w:rsid w:val="00953D0B"/>
    <w:rsid w:val="00954FD3"/>
    <w:rsid w:val="00957A39"/>
    <w:rsid w:val="0096096B"/>
    <w:rsid w:val="0096575A"/>
    <w:rsid w:val="00970D95"/>
    <w:rsid w:val="00974717"/>
    <w:rsid w:val="00976A3C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DE9"/>
    <w:rsid w:val="00A26B06"/>
    <w:rsid w:val="00A27C1F"/>
    <w:rsid w:val="00A34D9D"/>
    <w:rsid w:val="00A35A3F"/>
    <w:rsid w:val="00A36786"/>
    <w:rsid w:val="00A431DD"/>
    <w:rsid w:val="00A5415E"/>
    <w:rsid w:val="00A645A6"/>
    <w:rsid w:val="00A7453C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292D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5DC1"/>
    <w:rsid w:val="00B8668D"/>
    <w:rsid w:val="00B9783F"/>
    <w:rsid w:val="00BA1706"/>
    <w:rsid w:val="00BA1CAD"/>
    <w:rsid w:val="00BA2B6E"/>
    <w:rsid w:val="00BA3818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C1023D"/>
    <w:rsid w:val="00C10624"/>
    <w:rsid w:val="00C17A6D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E2478"/>
    <w:rsid w:val="00CE42A7"/>
    <w:rsid w:val="00CF5B26"/>
    <w:rsid w:val="00CF6D0A"/>
    <w:rsid w:val="00D127E2"/>
    <w:rsid w:val="00D23C4B"/>
    <w:rsid w:val="00D24B56"/>
    <w:rsid w:val="00D3649D"/>
    <w:rsid w:val="00D41916"/>
    <w:rsid w:val="00D45AC2"/>
    <w:rsid w:val="00D50CA0"/>
    <w:rsid w:val="00D51772"/>
    <w:rsid w:val="00D52992"/>
    <w:rsid w:val="00D5660B"/>
    <w:rsid w:val="00D56C48"/>
    <w:rsid w:val="00D60C6B"/>
    <w:rsid w:val="00D77F1A"/>
    <w:rsid w:val="00D87B52"/>
    <w:rsid w:val="00D9774D"/>
    <w:rsid w:val="00DA09D1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6480D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C0E"/>
    <w:rsid w:val="00FB0B45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F18A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8D089AA7FE4A5FAA5861DEDB66797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38</Nr_x002e__x0020_akti>
    <Data_x0020_e_x0020_Krijimit xmlns="0e656187-b300-4fb0-8bf4-3a50f872073c">2024-05-09T14:09:50Z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2024-05-09T00:00:00Z</Date_x0020_protokolli>
    <Titulli xmlns="0e656187-b300-4fb0-8bf4-3a50f872073c">Për disa shtesa dhe ndryshime në ligjin nr. 82/2021, “Për përkthimin zyrtar dhe profesionin e përkthyesit zyrtar”</Titulli>
    <Modifikuesi xmlns="0e656187-b300-4fb0-8bf4-3a50f872073c">alma.lisaku</Modifikuesi>
    <Nr_x002e__x0020_prot_x0020_QBZ xmlns="0e656187-b300-4fb0-8bf4-3a50f872073c">820/2</Nr_x002e__x0020_prot_x0020_QBZ>
    <Data_x0020_e_x0020_Modifikimit xmlns="0e656187-b300-4fb0-8bf4-3a50f872073c">2024-05-09T14:44:17Z</Data_x0020_e_x0020_Modifikimit>
    <Dekretuar xmlns="0e656187-b300-4fb0-8bf4-3a50f872073c">false</Dekretuar>
    <Data xmlns="0e656187-b300-4fb0-8bf4-3a50f872073c">2024-04-18T00:00:00Z</Data>
    <Nr_x002e__x0020_protokolli_x0020_i_x0020_aktit xmlns="0e656187-b300-4fb0-8bf4-3a50f872073c">1597/4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88D089AA7FE4A5FAA5861DEDB66797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C1111-37C8-4298-AE0F-0FAB5EA4E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2FE8D2E-592A-4CFF-9DB5-85AF7CF1A554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0e656187-b300-4fb0-8bf4-3a50f872073c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050F978-9E37-43ED-BB1C-CA80167A26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ACEEA0-8A00-45B8-AC67-F85960648F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29BED0-31B5-44F9-B4A0-D7B02B406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0E88B4C-28BF-4E36-BC89-A8997FDA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82/2021, “Për përkthimin zyrtar dhe profesionin e përkthyesit zyrtar”</vt:lpstr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82/2021, “Për përkthimin zyrtar dhe profesionin e përkthyesit zyrtar”</dc:title>
  <dc:creator>gazmend.hanku</dc:creator>
  <cp:lastModifiedBy>Amarilda Muja</cp:lastModifiedBy>
  <cp:revision>9</cp:revision>
  <cp:lastPrinted>2024-04-23T08:15:00Z</cp:lastPrinted>
  <dcterms:created xsi:type="dcterms:W3CDTF">2024-05-09T12:22:00Z</dcterms:created>
  <dcterms:modified xsi:type="dcterms:W3CDTF">2024-05-10T07:29:00Z</dcterms:modified>
</cp:coreProperties>
</file>