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3C5EA" w14:textId="77777777" w:rsidR="00420682" w:rsidRPr="00127CA4" w:rsidRDefault="00420682" w:rsidP="000378D6">
      <w:pPr>
        <w:spacing w:after="0" w:line="240" w:lineRule="auto"/>
        <w:ind w:firstLine="284"/>
        <w:jc w:val="center"/>
        <w:rPr>
          <w:rFonts w:ascii="Garamond" w:hAnsi="Garamond" w:cs="Times New Roman"/>
          <w:b/>
          <w:sz w:val="24"/>
          <w:szCs w:val="24"/>
        </w:rPr>
      </w:pPr>
      <w:r w:rsidRPr="00127CA4">
        <w:rPr>
          <w:rFonts w:ascii="Garamond" w:hAnsi="Garamond" w:cs="Times New Roman"/>
          <w:b/>
          <w:sz w:val="24"/>
          <w:szCs w:val="24"/>
        </w:rPr>
        <w:t>LIGJ</w:t>
      </w:r>
    </w:p>
    <w:p w14:paraId="397C4ED1" w14:textId="77777777" w:rsidR="00024790" w:rsidRPr="00127CA4" w:rsidRDefault="002009A1" w:rsidP="000378D6">
      <w:pPr>
        <w:spacing w:after="0" w:line="240" w:lineRule="auto"/>
        <w:ind w:firstLine="284"/>
        <w:jc w:val="center"/>
        <w:rPr>
          <w:rFonts w:ascii="Garamond" w:hAnsi="Garamond" w:cs="Times New Roman"/>
          <w:b/>
          <w:sz w:val="24"/>
          <w:szCs w:val="24"/>
        </w:rPr>
      </w:pPr>
      <w:r w:rsidRPr="00127CA4">
        <w:rPr>
          <w:rFonts w:ascii="Garamond" w:hAnsi="Garamond" w:cs="Times New Roman"/>
          <w:b/>
          <w:sz w:val="24"/>
          <w:szCs w:val="24"/>
        </w:rPr>
        <w:t>Nr.</w:t>
      </w:r>
      <w:r w:rsidR="00F62A46" w:rsidRPr="00127CA4">
        <w:rPr>
          <w:rFonts w:ascii="Garamond" w:hAnsi="Garamond" w:cs="Times New Roman"/>
          <w:b/>
          <w:sz w:val="24"/>
          <w:szCs w:val="24"/>
        </w:rPr>
        <w:t xml:space="preserve"> </w:t>
      </w:r>
      <w:r w:rsidR="00BC0A30" w:rsidRPr="00127CA4">
        <w:rPr>
          <w:rFonts w:ascii="Garamond" w:hAnsi="Garamond" w:cs="Times New Roman"/>
          <w:b/>
          <w:sz w:val="24"/>
          <w:szCs w:val="24"/>
        </w:rPr>
        <w:t>122</w:t>
      </w:r>
      <w:r w:rsidR="007748A2" w:rsidRPr="00127CA4">
        <w:rPr>
          <w:rFonts w:ascii="Garamond" w:hAnsi="Garamond" w:cs="Times New Roman"/>
          <w:b/>
          <w:sz w:val="24"/>
          <w:szCs w:val="24"/>
        </w:rPr>
        <w:t>/202</w:t>
      </w:r>
      <w:r w:rsidR="00F86F45" w:rsidRPr="00127CA4">
        <w:rPr>
          <w:rFonts w:ascii="Garamond" w:hAnsi="Garamond" w:cs="Times New Roman"/>
          <w:b/>
          <w:sz w:val="24"/>
          <w:szCs w:val="24"/>
        </w:rPr>
        <w:t>4</w:t>
      </w:r>
      <w:r w:rsidRPr="00127CA4">
        <w:rPr>
          <w:rFonts w:ascii="Garamond" w:hAnsi="Garamond" w:cs="Times New Roman"/>
          <w:b/>
          <w:sz w:val="24"/>
          <w:szCs w:val="24"/>
        </w:rPr>
        <w:t xml:space="preserve"> </w:t>
      </w:r>
    </w:p>
    <w:p w14:paraId="70E8733A" w14:textId="77777777" w:rsidR="00811A14" w:rsidRPr="00127CA4" w:rsidRDefault="00811A14" w:rsidP="000378D6">
      <w:pPr>
        <w:spacing w:after="0" w:line="240" w:lineRule="auto"/>
        <w:ind w:firstLine="284"/>
        <w:jc w:val="center"/>
        <w:rPr>
          <w:rFonts w:ascii="Garamond" w:hAnsi="Garamond" w:cs="Times New Roman"/>
          <w:b/>
          <w:sz w:val="24"/>
          <w:szCs w:val="24"/>
        </w:rPr>
      </w:pPr>
    </w:p>
    <w:p w14:paraId="209966F7" w14:textId="77777777" w:rsidR="006F41A5" w:rsidRPr="00127CA4" w:rsidRDefault="00811A14" w:rsidP="000378D6">
      <w:pPr>
        <w:spacing w:after="0" w:line="240" w:lineRule="auto"/>
        <w:ind w:firstLine="284"/>
        <w:jc w:val="center"/>
        <w:rPr>
          <w:rFonts w:ascii="Garamond" w:hAnsi="Garamond" w:cs="Times New Roman"/>
          <w:b/>
          <w:sz w:val="24"/>
          <w:szCs w:val="24"/>
        </w:rPr>
      </w:pPr>
      <w:r w:rsidRPr="00127CA4">
        <w:rPr>
          <w:rFonts w:ascii="Garamond" w:hAnsi="Garamond" w:cs="Times New Roman"/>
          <w:b/>
          <w:sz w:val="24"/>
          <w:szCs w:val="24"/>
        </w:rPr>
        <w:t xml:space="preserve">PËR RATIFIKIMIN E KONVENTËS PËR NJOHJEN DHE EKZEKUTIMIN </w:t>
      </w:r>
    </w:p>
    <w:p w14:paraId="380FE4FA" w14:textId="0DD2FF9A" w:rsidR="00811A14" w:rsidRPr="00127CA4" w:rsidRDefault="00811A14" w:rsidP="000378D6">
      <w:pPr>
        <w:spacing w:after="0" w:line="240" w:lineRule="auto"/>
        <w:ind w:firstLine="284"/>
        <w:jc w:val="center"/>
        <w:rPr>
          <w:rFonts w:ascii="Garamond" w:hAnsi="Garamond" w:cs="Times New Roman"/>
          <w:b/>
          <w:sz w:val="24"/>
          <w:szCs w:val="24"/>
        </w:rPr>
      </w:pPr>
      <w:r w:rsidRPr="00127CA4">
        <w:rPr>
          <w:rFonts w:ascii="Garamond" w:hAnsi="Garamond" w:cs="Times New Roman"/>
          <w:b/>
          <w:sz w:val="24"/>
          <w:szCs w:val="24"/>
        </w:rPr>
        <w:t>E VENDIMEVE GJYQËSORE TË HUAJA NË ÇËSHTJET CIVILE</w:t>
      </w:r>
      <w:r w:rsidR="00A730CA" w:rsidRPr="00127CA4">
        <w:rPr>
          <w:rFonts w:ascii="Garamond" w:hAnsi="Garamond" w:cs="Times New Roman"/>
          <w:b/>
          <w:sz w:val="24"/>
          <w:szCs w:val="24"/>
        </w:rPr>
        <w:t xml:space="preserve"> </w:t>
      </w:r>
      <w:r w:rsidRPr="00127CA4">
        <w:rPr>
          <w:rFonts w:ascii="Garamond" w:hAnsi="Garamond" w:cs="Times New Roman"/>
          <w:b/>
          <w:sz w:val="24"/>
          <w:szCs w:val="24"/>
        </w:rPr>
        <w:t>OSE TREGTARE</w:t>
      </w:r>
    </w:p>
    <w:p w14:paraId="54D01D17" w14:textId="77777777" w:rsidR="00811A14" w:rsidRPr="00127CA4" w:rsidRDefault="00811A14" w:rsidP="000378D6">
      <w:pPr>
        <w:spacing w:after="0" w:line="240" w:lineRule="auto"/>
        <w:ind w:firstLine="284"/>
        <w:jc w:val="both"/>
        <w:rPr>
          <w:rFonts w:ascii="Garamond" w:hAnsi="Garamond" w:cs="Times New Roman"/>
          <w:b/>
          <w:sz w:val="24"/>
          <w:szCs w:val="24"/>
        </w:rPr>
      </w:pPr>
    </w:p>
    <w:p w14:paraId="4EF8E621" w14:textId="77777777" w:rsidR="00811A14" w:rsidRPr="00127CA4" w:rsidRDefault="00811A14" w:rsidP="000378D6">
      <w:pPr>
        <w:spacing w:after="0" w:line="240" w:lineRule="auto"/>
        <w:ind w:firstLine="284"/>
        <w:jc w:val="both"/>
        <w:rPr>
          <w:rFonts w:ascii="Garamond" w:hAnsi="Garamond" w:cs="Times New Roman"/>
          <w:sz w:val="24"/>
          <w:szCs w:val="24"/>
        </w:rPr>
      </w:pPr>
      <w:r w:rsidRPr="00127CA4">
        <w:rPr>
          <w:rFonts w:ascii="Garamond" w:hAnsi="Garamond" w:cs="Times New Roman"/>
          <w:sz w:val="24"/>
          <w:szCs w:val="24"/>
        </w:rPr>
        <w:t xml:space="preserve">Në mbështetje të neneve 78, 81, pika 1, 83, pika 1, dhe të nenit 121, pika 1, të Kushtetutës, me propozimin e Këshillit të Ministrave, </w:t>
      </w:r>
    </w:p>
    <w:p w14:paraId="3DA1539C" w14:textId="77777777" w:rsidR="00811A14" w:rsidRPr="00127CA4" w:rsidRDefault="00811A14" w:rsidP="000378D6">
      <w:pPr>
        <w:spacing w:after="0" w:line="240" w:lineRule="auto"/>
        <w:ind w:firstLine="284"/>
        <w:jc w:val="both"/>
        <w:rPr>
          <w:rFonts w:ascii="Garamond" w:hAnsi="Garamond" w:cs="Times New Roman"/>
          <w:sz w:val="24"/>
          <w:szCs w:val="24"/>
        </w:rPr>
      </w:pPr>
    </w:p>
    <w:p w14:paraId="7111566B" w14:textId="77777777" w:rsidR="00811A14" w:rsidRPr="00127CA4" w:rsidRDefault="00811A14" w:rsidP="000378D6">
      <w:pPr>
        <w:spacing w:after="0" w:line="240" w:lineRule="auto"/>
        <w:ind w:firstLine="284"/>
        <w:jc w:val="center"/>
        <w:rPr>
          <w:rFonts w:ascii="Garamond" w:hAnsi="Garamond" w:cs="Times New Roman"/>
          <w:sz w:val="24"/>
          <w:szCs w:val="24"/>
        </w:rPr>
      </w:pPr>
      <w:r w:rsidRPr="00127CA4">
        <w:rPr>
          <w:rFonts w:ascii="Garamond" w:hAnsi="Garamond" w:cs="Times New Roman"/>
          <w:sz w:val="24"/>
          <w:szCs w:val="24"/>
        </w:rPr>
        <w:t>KUVEN</w:t>
      </w:r>
      <w:r w:rsidR="00AE7CF4" w:rsidRPr="00127CA4">
        <w:rPr>
          <w:rFonts w:ascii="Garamond" w:hAnsi="Garamond" w:cs="Times New Roman"/>
          <w:sz w:val="24"/>
          <w:szCs w:val="24"/>
        </w:rPr>
        <w:t>D</w:t>
      </w:r>
      <w:r w:rsidRPr="00127CA4">
        <w:rPr>
          <w:rFonts w:ascii="Garamond" w:hAnsi="Garamond" w:cs="Times New Roman"/>
          <w:sz w:val="24"/>
          <w:szCs w:val="24"/>
        </w:rPr>
        <w:t>I</w:t>
      </w:r>
    </w:p>
    <w:p w14:paraId="412D4367" w14:textId="77777777" w:rsidR="00811A14" w:rsidRPr="00127CA4" w:rsidRDefault="00811A14" w:rsidP="000378D6">
      <w:pPr>
        <w:spacing w:after="0" w:line="240" w:lineRule="auto"/>
        <w:ind w:firstLine="284"/>
        <w:jc w:val="center"/>
        <w:rPr>
          <w:rFonts w:ascii="Garamond" w:hAnsi="Garamond" w:cs="Times New Roman"/>
          <w:sz w:val="24"/>
          <w:szCs w:val="24"/>
        </w:rPr>
      </w:pPr>
      <w:r w:rsidRPr="00127CA4">
        <w:rPr>
          <w:rFonts w:ascii="Garamond" w:hAnsi="Garamond" w:cs="Times New Roman"/>
          <w:sz w:val="24"/>
          <w:szCs w:val="24"/>
        </w:rPr>
        <w:t>I REPUBLIKËS SË SHQIPËRISË</w:t>
      </w:r>
    </w:p>
    <w:p w14:paraId="007F9C11" w14:textId="77777777" w:rsidR="00811A14" w:rsidRPr="00127CA4" w:rsidRDefault="00811A14" w:rsidP="000378D6">
      <w:pPr>
        <w:spacing w:after="0" w:line="240" w:lineRule="auto"/>
        <w:ind w:firstLine="284"/>
        <w:jc w:val="center"/>
        <w:rPr>
          <w:rFonts w:ascii="Garamond" w:hAnsi="Garamond" w:cs="Times New Roman"/>
          <w:sz w:val="24"/>
          <w:szCs w:val="24"/>
        </w:rPr>
      </w:pPr>
    </w:p>
    <w:p w14:paraId="3A92DCE4" w14:textId="77777777" w:rsidR="00811A14" w:rsidRPr="00127CA4" w:rsidRDefault="00AE7CF4" w:rsidP="000378D6">
      <w:pPr>
        <w:spacing w:after="0" w:line="240" w:lineRule="auto"/>
        <w:ind w:firstLine="284"/>
        <w:jc w:val="center"/>
        <w:rPr>
          <w:rFonts w:ascii="Garamond" w:hAnsi="Garamond" w:cs="Times New Roman"/>
          <w:sz w:val="24"/>
          <w:szCs w:val="24"/>
        </w:rPr>
      </w:pPr>
      <w:r w:rsidRPr="00127CA4">
        <w:rPr>
          <w:rFonts w:ascii="Garamond" w:hAnsi="Garamond" w:cs="Times New Roman"/>
          <w:sz w:val="24"/>
          <w:szCs w:val="24"/>
        </w:rPr>
        <w:t>VENDOSI:</w:t>
      </w:r>
    </w:p>
    <w:p w14:paraId="2F30F0D2" w14:textId="77777777" w:rsidR="00811A14" w:rsidRPr="00127CA4" w:rsidRDefault="00811A14" w:rsidP="000378D6">
      <w:pPr>
        <w:spacing w:after="0" w:line="240" w:lineRule="auto"/>
        <w:ind w:firstLine="284"/>
        <w:jc w:val="center"/>
        <w:rPr>
          <w:rFonts w:ascii="Garamond" w:hAnsi="Garamond" w:cs="Times New Roman"/>
          <w:sz w:val="24"/>
          <w:szCs w:val="24"/>
        </w:rPr>
      </w:pPr>
    </w:p>
    <w:p w14:paraId="03936D01" w14:textId="77777777" w:rsidR="00811A14" w:rsidRPr="00127CA4" w:rsidRDefault="00811A14" w:rsidP="000378D6">
      <w:pPr>
        <w:spacing w:after="0" w:line="240" w:lineRule="auto"/>
        <w:ind w:firstLine="284"/>
        <w:jc w:val="center"/>
        <w:rPr>
          <w:rFonts w:ascii="Garamond" w:hAnsi="Garamond" w:cs="Times New Roman"/>
          <w:sz w:val="24"/>
          <w:szCs w:val="24"/>
        </w:rPr>
      </w:pPr>
      <w:r w:rsidRPr="00127CA4">
        <w:rPr>
          <w:rFonts w:ascii="Garamond" w:hAnsi="Garamond" w:cs="Times New Roman"/>
          <w:sz w:val="24"/>
          <w:szCs w:val="24"/>
        </w:rPr>
        <w:t>Neni 1</w:t>
      </w:r>
    </w:p>
    <w:p w14:paraId="49C96221" w14:textId="77777777" w:rsidR="00811A14" w:rsidRPr="00127CA4" w:rsidRDefault="00811A14" w:rsidP="000378D6">
      <w:pPr>
        <w:spacing w:after="0" w:line="240" w:lineRule="auto"/>
        <w:ind w:firstLine="284"/>
        <w:jc w:val="both"/>
        <w:rPr>
          <w:rFonts w:ascii="Garamond" w:hAnsi="Garamond" w:cs="Times New Roman"/>
          <w:sz w:val="24"/>
          <w:szCs w:val="24"/>
        </w:rPr>
      </w:pPr>
    </w:p>
    <w:p w14:paraId="4DC6709E" w14:textId="77777777" w:rsidR="00811A14" w:rsidRPr="00127CA4" w:rsidRDefault="00811A14" w:rsidP="000378D6">
      <w:pPr>
        <w:spacing w:after="0" w:line="240" w:lineRule="auto"/>
        <w:ind w:firstLine="284"/>
        <w:jc w:val="both"/>
        <w:rPr>
          <w:rFonts w:ascii="Garamond" w:hAnsi="Garamond" w:cs="Times New Roman"/>
          <w:sz w:val="24"/>
          <w:szCs w:val="24"/>
        </w:rPr>
      </w:pPr>
      <w:r w:rsidRPr="00127CA4">
        <w:rPr>
          <w:rFonts w:ascii="Garamond" w:hAnsi="Garamond" w:cs="Times New Roman"/>
          <w:sz w:val="24"/>
          <w:szCs w:val="24"/>
        </w:rPr>
        <w:t>Ratifikohet Konventa për Njohjen dhe Ekzekutimin e Vendimeve Gjyqësore të Huaja në Çështjet Civile ose Tregtare, bërë në Hagë më 2 korrik 2019, sipas tekstit që i bashkëlidhet këtij ligji dhe është pjesë përbërëse e tij.</w:t>
      </w:r>
    </w:p>
    <w:p w14:paraId="50DB3510" w14:textId="77777777" w:rsidR="00811A14" w:rsidRPr="00127CA4" w:rsidRDefault="00811A14" w:rsidP="000378D6">
      <w:pPr>
        <w:spacing w:after="0" w:line="240" w:lineRule="auto"/>
        <w:ind w:firstLine="284"/>
        <w:jc w:val="both"/>
        <w:rPr>
          <w:rFonts w:ascii="Garamond" w:hAnsi="Garamond" w:cs="Times New Roman"/>
          <w:sz w:val="24"/>
          <w:szCs w:val="24"/>
        </w:rPr>
      </w:pPr>
    </w:p>
    <w:p w14:paraId="048F9496" w14:textId="77777777" w:rsidR="00811A14" w:rsidRPr="00127CA4" w:rsidRDefault="00811A14" w:rsidP="000378D6">
      <w:pPr>
        <w:spacing w:after="0" w:line="240" w:lineRule="auto"/>
        <w:ind w:firstLine="284"/>
        <w:jc w:val="center"/>
        <w:rPr>
          <w:rFonts w:ascii="Garamond" w:hAnsi="Garamond" w:cs="Times New Roman"/>
          <w:sz w:val="24"/>
          <w:szCs w:val="24"/>
        </w:rPr>
      </w:pPr>
      <w:r w:rsidRPr="00127CA4">
        <w:rPr>
          <w:rFonts w:ascii="Garamond" w:hAnsi="Garamond" w:cs="Times New Roman"/>
          <w:sz w:val="24"/>
          <w:szCs w:val="24"/>
        </w:rPr>
        <w:t>Neni 2</w:t>
      </w:r>
    </w:p>
    <w:p w14:paraId="1343F5F1" w14:textId="77777777" w:rsidR="00811A14" w:rsidRPr="00127CA4" w:rsidRDefault="00811A14" w:rsidP="000378D6">
      <w:pPr>
        <w:spacing w:after="0" w:line="240" w:lineRule="auto"/>
        <w:ind w:firstLine="284"/>
        <w:jc w:val="both"/>
        <w:rPr>
          <w:rFonts w:ascii="Garamond" w:hAnsi="Garamond" w:cs="Times New Roman"/>
          <w:sz w:val="24"/>
          <w:szCs w:val="24"/>
        </w:rPr>
      </w:pPr>
    </w:p>
    <w:p w14:paraId="313EE1EA" w14:textId="77777777" w:rsidR="00ED3463" w:rsidRPr="00127CA4" w:rsidRDefault="00811A14" w:rsidP="000378D6">
      <w:pPr>
        <w:spacing w:after="0" w:line="240" w:lineRule="auto"/>
        <w:ind w:firstLine="284"/>
        <w:jc w:val="both"/>
        <w:rPr>
          <w:rFonts w:ascii="Garamond" w:hAnsi="Garamond" w:cs="Times New Roman"/>
          <w:sz w:val="24"/>
          <w:szCs w:val="24"/>
        </w:rPr>
      </w:pPr>
      <w:r w:rsidRPr="00127CA4">
        <w:rPr>
          <w:rFonts w:ascii="Garamond" w:hAnsi="Garamond" w:cs="Times New Roman"/>
          <w:sz w:val="24"/>
          <w:szCs w:val="24"/>
        </w:rPr>
        <w:t>Ky ligj hyn në fuqi 15 ditë pas botimit në Fletoren Zyrtare.</w:t>
      </w:r>
    </w:p>
    <w:p w14:paraId="546D8CCC" w14:textId="77777777" w:rsidR="0052203F" w:rsidRPr="00127CA4" w:rsidRDefault="0052203F" w:rsidP="000378D6">
      <w:pPr>
        <w:spacing w:after="0" w:line="240" w:lineRule="auto"/>
        <w:ind w:firstLine="284"/>
        <w:rPr>
          <w:rFonts w:ascii="Garamond" w:hAnsi="Garamond" w:cs="Times New Roman"/>
          <w:bCs/>
          <w:sz w:val="24"/>
          <w:szCs w:val="24"/>
        </w:rPr>
      </w:pPr>
    </w:p>
    <w:p w14:paraId="09BF5032" w14:textId="77777777" w:rsidR="00976A3C" w:rsidRPr="00127CA4" w:rsidRDefault="00976A3C" w:rsidP="000378D6">
      <w:pPr>
        <w:spacing w:after="0" w:line="240" w:lineRule="auto"/>
        <w:ind w:firstLine="284"/>
        <w:jc w:val="both"/>
        <w:rPr>
          <w:rFonts w:ascii="Garamond" w:hAnsi="Garamond" w:cs="Times New Roman"/>
          <w:bCs/>
          <w:sz w:val="24"/>
          <w:szCs w:val="24"/>
        </w:rPr>
      </w:pPr>
      <w:r w:rsidRPr="00127CA4">
        <w:rPr>
          <w:rFonts w:ascii="Garamond" w:hAnsi="Garamond" w:cs="Times New Roman"/>
          <w:bCs/>
          <w:sz w:val="24"/>
          <w:szCs w:val="24"/>
        </w:rPr>
        <w:t>Miratuar në datën</w:t>
      </w:r>
      <w:r w:rsidR="00FC6BDD" w:rsidRPr="00127CA4">
        <w:rPr>
          <w:rFonts w:ascii="Garamond" w:hAnsi="Garamond" w:cs="Times New Roman"/>
          <w:bCs/>
          <w:sz w:val="24"/>
          <w:szCs w:val="24"/>
        </w:rPr>
        <w:t xml:space="preserve"> </w:t>
      </w:r>
      <w:r w:rsidR="00A829B7" w:rsidRPr="00127CA4">
        <w:rPr>
          <w:rFonts w:ascii="Garamond" w:hAnsi="Garamond" w:cs="Times New Roman"/>
          <w:bCs/>
          <w:sz w:val="24"/>
          <w:szCs w:val="24"/>
        </w:rPr>
        <w:t>19.12</w:t>
      </w:r>
      <w:r w:rsidR="00E611BD" w:rsidRPr="00127CA4">
        <w:rPr>
          <w:rFonts w:ascii="Garamond" w:hAnsi="Garamond" w:cs="Times New Roman"/>
          <w:bCs/>
          <w:sz w:val="24"/>
          <w:szCs w:val="24"/>
        </w:rPr>
        <w:t>.</w:t>
      </w:r>
      <w:r w:rsidR="007748A2" w:rsidRPr="00127CA4">
        <w:rPr>
          <w:rFonts w:ascii="Garamond" w:hAnsi="Garamond" w:cs="Times New Roman"/>
          <w:bCs/>
          <w:sz w:val="24"/>
          <w:szCs w:val="24"/>
        </w:rPr>
        <w:t>202</w:t>
      </w:r>
      <w:r w:rsidR="00F86F45" w:rsidRPr="00127CA4">
        <w:rPr>
          <w:rFonts w:ascii="Garamond" w:hAnsi="Garamond" w:cs="Times New Roman"/>
          <w:bCs/>
          <w:sz w:val="24"/>
          <w:szCs w:val="24"/>
        </w:rPr>
        <w:t>4</w:t>
      </w:r>
      <w:r w:rsidR="008C6F6C" w:rsidRPr="00127CA4">
        <w:rPr>
          <w:rFonts w:ascii="Garamond" w:hAnsi="Garamond" w:cs="Times New Roman"/>
          <w:bCs/>
          <w:sz w:val="24"/>
          <w:szCs w:val="24"/>
        </w:rPr>
        <w:t>.</w:t>
      </w:r>
    </w:p>
    <w:p w14:paraId="0B7438BA" w14:textId="77777777" w:rsidR="00BC0A30" w:rsidRPr="00127CA4" w:rsidRDefault="00BC0A30" w:rsidP="000378D6">
      <w:pPr>
        <w:spacing w:after="0" w:line="240" w:lineRule="auto"/>
        <w:ind w:firstLine="284"/>
        <w:jc w:val="both"/>
        <w:rPr>
          <w:rFonts w:ascii="Garamond" w:hAnsi="Garamond" w:cs="Times New Roman"/>
          <w:bCs/>
          <w:sz w:val="24"/>
          <w:szCs w:val="24"/>
        </w:rPr>
      </w:pPr>
    </w:p>
    <w:p w14:paraId="04B0F1A5" w14:textId="00AF60A4" w:rsidR="00200D3D" w:rsidRPr="00127CA4" w:rsidRDefault="008C6F6C" w:rsidP="00A730CA">
      <w:pPr>
        <w:spacing w:after="0" w:line="240" w:lineRule="auto"/>
        <w:jc w:val="both"/>
        <w:rPr>
          <w:rFonts w:ascii="Garamond" w:hAnsi="Garamond"/>
          <w:b/>
          <w:sz w:val="24"/>
          <w:szCs w:val="24"/>
        </w:rPr>
      </w:pPr>
      <w:r w:rsidRPr="00127CA4">
        <w:rPr>
          <w:rFonts w:ascii="Garamond" w:hAnsi="Garamond" w:cstheme="majorBidi"/>
          <w:b/>
          <w:sz w:val="24"/>
          <w:szCs w:val="24"/>
        </w:rPr>
        <w:t>Shpallur me dekretin nr.</w:t>
      </w:r>
      <w:r w:rsidR="00BA284A">
        <w:rPr>
          <w:rFonts w:ascii="Garamond" w:hAnsi="Garamond" w:cstheme="majorBidi"/>
          <w:b/>
          <w:sz w:val="24"/>
          <w:szCs w:val="24"/>
        </w:rPr>
        <w:t xml:space="preserve"> 431</w:t>
      </w:r>
      <w:r w:rsidRPr="00127CA4">
        <w:rPr>
          <w:rFonts w:ascii="Garamond" w:hAnsi="Garamond" w:cstheme="majorBidi"/>
          <w:b/>
          <w:sz w:val="24"/>
          <w:szCs w:val="24"/>
        </w:rPr>
        <w:t xml:space="preserve">, datë </w:t>
      </w:r>
      <w:r w:rsidR="00BA284A">
        <w:rPr>
          <w:rFonts w:ascii="Garamond" w:hAnsi="Garamond" w:cstheme="majorBidi"/>
          <w:b/>
          <w:sz w:val="24"/>
          <w:szCs w:val="24"/>
        </w:rPr>
        <w:t>27.12</w:t>
      </w:r>
      <w:bookmarkStart w:id="0" w:name="_GoBack"/>
      <w:bookmarkEnd w:id="0"/>
      <w:r w:rsidRPr="00127CA4">
        <w:rPr>
          <w:rFonts w:ascii="Garamond" w:hAnsi="Garamond" w:cstheme="majorBidi"/>
          <w:b/>
          <w:sz w:val="24"/>
          <w:szCs w:val="24"/>
        </w:rPr>
        <w:t>.2024, të Presidentit të Republikës së Shqipërisë, Bajram Begaj.</w:t>
      </w:r>
    </w:p>
    <w:p w14:paraId="1332F1A7" w14:textId="77777777" w:rsidR="00CE5517" w:rsidRPr="00127CA4" w:rsidRDefault="00CE5517" w:rsidP="000378D6">
      <w:pPr>
        <w:spacing w:after="0" w:line="240" w:lineRule="auto"/>
        <w:ind w:firstLine="284"/>
        <w:rPr>
          <w:rFonts w:ascii="Garamond" w:eastAsia="Times New Roman" w:hAnsi="Garamond" w:cs="Times New Roman"/>
          <w:sz w:val="24"/>
          <w:szCs w:val="24"/>
        </w:rPr>
      </w:pPr>
    </w:p>
    <w:p w14:paraId="246D5BAD"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bCs/>
          <w:color w:val="000000"/>
          <w:sz w:val="24"/>
          <w:szCs w:val="24"/>
        </w:rPr>
      </w:pPr>
      <w:r w:rsidRPr="00127CA4">
        <w:rPr>
          <w:rFonts w:ascii="Garamond" w:hAnsi="Garamond" w:cs="Times New Roman"/>
          <w:b/>
          <w:bCs/>
          <w:color w:val="000000"/>
          <w:sz w:val="24"/>
          <w:szCs w:val="24"/>
        </w:rPr>
        <w:t xml:space="preserve">KONVENTA PËR NJOHJEN DHE EKZEKUTIMIN E </w:t>
      </w:r>
    </w:p>
    <w:p w14:paraId="1262C4AE"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bCs/>
          <w:color w:val="000000"/>
          <w:sz w:val="24"/>
          <w:szCs w:val="24"/>
        </w:rPr>
      </w:pPr>
      <w:r w:rsidRPr="00127CA4">
        <w:rPr>
          <w:rFonts w:ascii="Garamond" w:hAnsi="Garamond" w:cs="Times New Roman"/>
          <w:b/>
          <w:bCs/>
          <w:color w:val="000000"/>
          <w:sz w:val="24"/>
          <w:szCs w:val="24"/>
        </w:rPr>
        <w:t>VENDIMEVE GJYQËSORE TË HUAJA NË ÇËSHTJET CIVILE OSE TREGTARE</w:t>
      </w:r>
    </w:p>
    <w:p w14:paraId="72200FF7" w14:textId="77777777" w:rsidR="000378D6" w:rsidRPr="00127CA4" w:rsidRDefault="000378D6" w:rsidP="000378D6">
      <w:pPr>
        <w:autoSpaceDE w:val="0"/>
        <w:autoSpaceDN w:val="0"/>
        <w:adjustRightInd w:val="0"/>
        <w:spacing w:after="0" w:line="240" w:lineRule="auto"/>
        <w:ind w:firstLine="284"/>
        <w:rPr>
          <w:rFonts w:ascii="Garamond" w:hAnsi="Garamond" w:cs="Times New Roman"/>
          <w:b/>
          <w:bCs/>
          <w:color w:val="000000"/>
          <w:sz w:val="24"/>
          <w:szCs w:val="24"/>
        </w:rPr>
      </w:pPr>
    </w:p>
    <w:p w14:paraId="53115EE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i/>
          <w:iCs/>
          <w:color w:val="000000"/>
          <w:sz w:val="24"/>
          <w:szCs w:val="24"/>
        </w:rPr>
      </w:pPr>
      <w:r w:rsidRPr="00127CA4">
        <w:rPr>
          <w:rFonts w:ascii="Garamond" w:hAnsi="Garamond" w:cs="Times New Roman"/>
          <w:i/>
          <w:iCs/>
          <w:color w:val="000000"/>
          <w:sz w:val="24"/>
          <w:szCs w:val="24"/>
        </w:rPr>
        <w:t>(nënshkruar më 2 korrik 2019)</w:t>
      </w:r>
    </w:p>
    <w:p w14:paraId="5C71CA28"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14655A5E" w14:textId="25B5322E"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 xml:space="preserve">Palët </w:t>
      </w:r>
      <w:r w:rsidR="00A24D2E" w:rsidRPr="00127CA4">
        <w:rPr>
          <w:rFonts w:ascii="Garamond" w:hAnsi="Garamond" w:cs="Times New Roman"/>
          <w:color w:val="000000"/>
          <w:sz w:val="24"/>
          <w:szCs w:val="24"/>
        </w:rPr>
        <w:t xml:space="preserve">kontraktuese </w:t>
      </w:r>
      <w:r w:rsidRPr="00127CA4">
        <w:rPr>
          <w:rFonts w:ascii="Garamond" w:hAnsi="Garamond" w:cs="Times New Roman"/>
          <w:color w:val="000000"/>
          <w:sz w:val="24"/>
          <w:szCs w:val="24"/>
        </w:rPr>
        <w:t>të kësaj Konvente,</w:t>
      </w:r>
    </w:p>
    <w:p w14:paraId="0F4888F7" w14:textId="66E43494" w:rsidR="000378D6" w:rsidRPr="00127CA4" w:rsidRDefault="00537530"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i/>
          <w:iCs/>
          <w:color w:val="000000"/>
          <w:sz w:val="24"/>
          <w:szCs w:val="24"/>
        </w:rPr>
        <w:t xml:space="preserve">duke </w:t>
      </w:r>
      <w:r w:rsidR="000378D6" w:rsidRPr="00127CA4">
        <w:rPr>
          <w:rFonts w:ascii="Garamond" w:hAnsi="Garamond" w:cs="Times New Roman"/>
          <w:i/>
          <w:iCs/>
          <w:color w:val="000000"/>
          <w:sz w:val="24"/>
          <w:szCs w:val="24"/>
        </w:rPr>
        <w:t>synuar</w:t>
      </w:r>
      <w:r w:rsidR="000378D6" w:rsidRPr="00127CA4">
        <w:rPr>
          <w:rFonts w:ascii="Garamond" w:hAnsi="Garamond" w:cs="Times New Roman"/>
          <w:color w:val="000000"/>
          <w:sz w:val="24"/>
          <w:szCs w:val="24"/>
        </w:rPr>
        <w:t xml:space="preserve"> promovimin e aksesit efektiv në drejtësi për të gjithë dhe lehtësimin e</w:t>
      </w:r>
      <w:r w:rsidR="00A730CA" w:rsidRPr="00127CA4">
        <w:rPr>
          <w:rFonts w:ascii="Garamond" w:hAnsi="Garamond" w:cs="Times New Roman"/>
          <w:color w:val="000000"/>
          <w:sz w:val="24"/>
          <w:szCs w:val="24"/>
        </w:rPr>
        <w:t xml:space="preserve"> </w:t>
      </w:r>
      <w:r w:rsidR="000378D6" w:rsidRPr="00127CA4">
        <w:rPr>
          <w:rFonts w:ascii="Garamond" w:hAnsi="Garamond" w:cs="Times New Roman"/>
          <w:color w:val="000000"/>
          <w:sz w:val="24"/>
          <w:szCs w:val="24"/>
        </w:rPr>
        <w:t>tregtisë dhe investimeve shumëpalëshe të bazuara në rregulla, si edhe të lëvizjes, nëpërmjet bashkëpunimit gjyqësor</w:t>
      </w:r>
      <w:r w:rsidRPr="00127CA4">
        <w:rPr>
          <w:rFonts w:ascii="Garamond" w:hAnsi="Garamond" w:cs="Times New Roman"/>
          <w:color w:val="000000"/>
          <w:sz w:val="24"/>
          <w:szCs w:val="24"/>
        </w:rPr>
        <w:t>;</w:t>
      </w:r>
    </w:p>
    <w:p w14:paraId="6CBB23C6" w14:textId="4CB87152" w:rsidR="000378D6" w:rsidRPr="00127CA4" w:rsidRDefault="00537530"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i/>
          <w:iCs/>
          <w:color w:val="000000"/>
          <w:sz w:val="24"/>
          <w:szCs w:val="24"/>
        </w:rPr>
        <w:t xml:space="preserve">duke </w:t>
      </w:r>
      <w:r w:rsidR="000378D6" w:rsidRPr="00127CA4">
        <w:rPr>
          <w:rFonts w:ascii="Garamond" w:hAnsi="Garamond" w:cs="Times New Roman"/>
          <w:i/>
          <w:iCs/>
          <w:color w:val="000000"/>
          <w:sz w:val="24"/>
          <w:szCs w:val="24"/>
        </w:rPr>
        <w:t xml:space="preserve">besuar se </w:t>
      </w:r>
      <w:r w:rsidR="000378D6" w:rsidRPr="00127CA4">
        <w:rPr>
          <w:rFonts w:ascii="Garamond" w:hAnsi="Garamond" w:cs="Times New Roman"/>
          <w:color w:val="000000"/>
          <w:sz w:val="24"/>
          <w:szCs w:val="24"/>
        </w:rPr>
        <w:t>ky bashkëpunim mund të rritet me krijimin e një grupi të unifikuar rregullash themelore për njohjen dhe ekzekutimin e vendimeve gjyqësore të huaja në çështjet civile ose tregtare, me qëllim lehtësimin e njohjes dhe ekzekutimit të efektshëm të këtyre vendimeve gjyqësore</w:t>
      </w:r>
      <w:r w:rsidRPr="00127CA4">
        <w:rPr>
          <w:rFonts w:ascii="Garamond" w:hAnsi="Garamond" w:cs="Times New Roman"/>
          <w:color w:val="000000"/>
          <w:sz w:val="24"/>
          <w:szCs w:val="24"/>
        </w:rPr>
        <w:t>;</w:t>
      </w:r>
    </w:p>
    <w:p w14:paraId="62585E09" w14:textId="3E626830" w:rsidR="000378D6" w:rsidRPr="00127CA4" w:rsidRDefault="00537530"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i/>
          <w:iCs/>
          <w:color w:val="000000"/>
          <w:sz w:val="24"/>
          <w:szCs w:val="24"/>
        </w:rPr>
        <w:t>duke qenë</w:t>
      </w:r>
      <w:r w:rsidRPr="00127CA4">
        <w:rPr>
          <w:rFonts w:ascii="Garamond" w:hAnsi="Garamond" w:cs="Times New Roman"/>
          <w:color w:val="000000"/>
          <w:sz w:val="24"/>
          <w:szCs w:val="24"/>
        </w:rPr>
        <w:t xml:space="preserve"> </w:t>
      </w:r>
      <w:r w:rsidR="000378D6" w:rsidRPr="00127CA4">
        <w:rPr>
          <w:rFonts w:ascii="Garamond" w:hAnsi="Garamond" w:cs="Times New Roman"/>
          <w:color w:val="000000"/>
          <w:sz w:val="24"/>
          <w:szCs w:val="24"/>
        </w:rPr>
        <w:t>të bindura se ky bashkëpunim</w:t>
      </w:r>
      <w:r w:rsidR="00A730CA" w:rsidRPr="00127CA4">
        <w:rPr>
          <w:rFonts w:ascii="Garamond" w:hAnsi="Garamond" w:cs="Times New Roman"/>
          <w:color w:val="000000"/>
          <w:sz w:val="24"/>
          <w:szCs w:val="24"/>
        </w:rPr>
        <w:t xml:space="preserve"> </w:t>
      </w:r>
      <w:r w:rsidR="000378D6" w:rsidRPr="00127CA4">
        <w:rPr>
          <w:rFonts w:ascii="Garamond" w:hAnsi="Garamond" w:cs="Times New Roman"/>
          <w:color w:val="000000"/>
          <w:sz w:val="24"/>
          <w:szCs w:val="24"/>
        </w:rPr>
        <w:t>i shtuar gjyqësor kërkon, në veçanti, një regjim juridik ndërkombëtar që ofron parashikueshmëri dhe siguri më të madhe</w:t>
      </w:r>
      <w:r w:rsidR="008442FE" w:rsidRPr="00127CA4">
        <w:rPr>
          <w:rFonts w:ascii="Garamond" w:hAnsi="Garamond" w:cs="Times New Roman"/>
          <w:color w:val="000000"/>
          <w:sz w:val="24"/>
          <w:szCs w:val="24"/>
        </w:rPr>
        <w:t>,</w:t>
      </w:r>
      <w:r w:rsidR="000378D6" w:rsidRPr="00127CA4">
        <w:rPr>
          <w:rFonts w:ascii="Garamond" w:hAnsi="Garamond" w:cs="Times New Roman"/>
          <w:color w:val="000000"/>
          <w:sz w:val="24"/>
          <w:szCs w:val="24"/>
        </w:rPr>
        <w:t xml:space="preserve"> në lidhje me qarkullimin global të vendimeve gjyqësore të huaja, dhe që është bashkëplotësues me </w:t>
      </w:r>
      <w:r w:rsidR="000378D6" w:rsidRPr="00127CA4">
        <w:rPr>
          <w:rFonts w:ascii="Garamond" w:hAnsi="Garamond" w:cs="Times New Roman"/>
          <w:i/>
          <w:iCs/>
          <w:color w:val="000000"/>
          <w:sz w:val="24"/>
          <w:szCs w:val="24"/>
        </w:rPr>
        <w:t>Konventën e datës 30 qershor 2005 për Marrëveshjet për Zgjedhjen e Gjykatës</w:t>
      </w:r>
      <w:r w:rsidR="000378D6" w:rsidRPr="00127CA4">
        <w:rPr>
          <w:rFonts w:ascii="Garamond" w:hAnsi="Garamond" w:cs="Times New Roman"/>
          <w:color w:val="000000"/>
          <w:sz w:val="24"/>
          <w:szCs w:val="24"/>
        </w:rPr>
        <w:t>,</w:t>
      </w:r>
    </w:p>
    <w:p w14:paraId="731C69E4" w14:textId="5EFFBDF7" w:rsidR="000378D6" w:rsidRPr="00127CA4" w:rsidRDefault="00537530"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 xml:space="preserve">kanë </w:t>
      </w:r>
      <w:r w:rsidR="000378D6" w:rsidRPr="00127CA4">
        <w:rPr>
          <w:rFonts w:ascii="Garamond" w:hAnsi="Garamond" w:cs="Times New Roman"/>
          <w:color w:val="000000"/>
          <w:sz w:val="24"/>
          <w:szCs w:val="24"/>
        </w:rPr>
        <w:t>vendosur të nënshkruajnë Konventën për këtë qëllim dhe kanë rënë dakord për dispozitat e mëposhtme:</w:t>
      </w:r>
    </w:p>
    <w:p w14:paraId="24173BE0"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2A60D785"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 xml:space="preserve">KAPITULLI I </w:t>
      </w:r>
    </w:p>
    <w:p w14:paraId="6038C64E"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FUSHA E VEPRIMIT DHE PËRKUFIZIMET</w:t>
      </w:r>
    </w:p>
    <w:p w14:paraId="7D1C98FD"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4D262F60"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w:t>
      </w:r>
    </w:p>
    <w:p w14:paraId="4CF44D5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Fusha e veprimit</w:t>
      </w:r>
    </w:p>
    <w:p w14:paraId="5346F54A"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643D020E" w14:textId="4A3A9FCB"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lastRenderedPageBreak/>
        <w:t xml:space="preserve">1. </w:t>
      </w:r>
      <w:r w:rsidRPr="00127CA4">
        <w:rPr>
          <w:rFonts w:ascii="Garamond" w:hAnsi="Garamond" w:cs="Times New Roman"/>
          <w:color w:val="000000"/>
          <w:sz w:val="24"/>
          <w:szCs w:val="24"/>
        </w:rPr>
        <w:t>Kjo Konventë zbatohet për njohjen dhe ekzekutimin e vendimeve gjyqësore në çështjet civile ose tregtare. Fusha e saj e veprimit nuk shtrihet në mënyrë të veçantë te çështjet tatimore, çështjet doganore ose çështjet administrative.</w:t>
      </w:r>
    </w:p>
    <w:p w14:paraId="1384BBB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Kjo Konventë zbatohet për njohjen dhe ekzekutimin në një shtet palë kontraktues të vendimit gjyqësor të dhënë nga gjykata e një shteti tjetër palë kontraktues.</w:t>
      </w:r>
    </w:p>
    <w:p w14:paraId="6621184A"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1EADC86B"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w:t>
      </w:r>
    </w:p>
    <w:p w14:paraId="0BEE7C2D"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Përjashtimet nga fusha e veprimit</w:t>
      </w:r>
    </w:p>
    <w:p w14:paraId="571E92E1"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4AF594FC"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Kjo Konventë nuk zbatohet për çështjet e mëposhtme:</w:t>
      </w:r>
    </w:p>
    <w:p w14:paraId="4A6159D1"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statusi dhe zotësia juridike e personave fizikë;</w:t>
      </w:r>
    </w:p>
    <w:p w14:paraId="13BF91B4"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detyrimet për ushqim;</w:t>
      </w:r>
    </w:p>
    <w:p w14:paraId="374553A6"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c) </w:t>
      </w:r>
      <w:r w:rsidRPr="00127CA4">
        <w:rPr>
          <w:rFonts w:ascii="Garamond" w:hAnsi="Garamond" w:cs="Times New Roman"/>
          <w:color w:val="000000"/>
          <w:sz w:val="24"/>
          <w:szCs w:val="24"/>
        </w:rPr>
        <w:t>çështjet e tjera të së drejtës familjare, përfshirë regjimet pasurore martesore dhe të drejtat ose detyrimet e tjera që lindin nga martesa apo marrëdhëniet e ngjashme;</w:t>
      </w:r>
    </w:p>
    <w:p w14:paraId="79A6D60D"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d) </w:t>
      </w:r>
      <w:r w:rsidRPr="00127CA4">
        <w:rPr>
          <w:rFonts w:ascii="Garamond" w:hAnsi="Garamond" w:cs="Times New Roman"/>
          <w:color w:val="000000"/>
          <w:sz w:val="24"/>
          <w:szCs w:val="24"/>
        </w:rPr>
        <w:t>testamentet dhe trashëgimia;</w:t>
      </w:r>
    </w:p>
    <w:p w14:paraId="106EAD42"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e) </w:t>
      </w:r>
      <w:r w:rsidRPr="00127CA4">
        <w:rPr>
          <w:rFonts w:ascii="Garamond" w:hAnsi="Garamond" w:cs="Times New Roman"/>
          <w:color w:val="000000"/>
          <w:sz w:val="24"/>
          <w:szCs w:val="24"/>
        </w:rPr>
        <w:t>paaftësia paguese, përbërja, veprimet e institucioneve financiare në rast procesi falimentimi të menjëhershëm dhe çështjet e ngjashme;</w:t>
      </w:r>
    </w:p>
    <w:p w14:paraId="00F96C43"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f) </w:t>
      </w:r>
      <w:r w:rsidRPr="00127CA4">
        <w:rPr>
          <w:rFonts w:ascii="Garamond" w:hAnsi="Garamond" w:cs="Times New Roman"/>
          <w:color w:val="000000"/>
          <w:sz w:val="24"/>
          <w:szCs w:val="24"/>
        </w:rPr>
        <w:t>transporti i udhëtarëve dhe i mallrave;</w:t>
      </w:r>
    </w:p>
    <w:p w14:paraId="7BBAEB0D"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g) </w:t>
      </w:r>
      <w:r w:rsidRPr="00127CA4">
        <w:rPr>
          <w:rFonts w:ascii="Garamond" w:hAnsi="Garamond" w:cs="Times New Roman"/>
          <w:color w:val="000000"/>
          <w:sz w:val="24"/>
          <w:szCs w:val="24"/>
        </w:rPr>
        <w:t>ndotja detare ndërkufitare, ndotja detare në zonat përtej juridiksionit kombëtar, ndotja detare nga anijet, kufizimi i përgjegjësisë për pretendimet detare dhe mesatarja e përgjithshme;</w:t>
      </w:r>
    </w:p>
    <w:p w14:paraId="4CD85213"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h) </w:t>
      </w:r>
      <w:r w:rsidRPr="00127CA4">
        <w:rPr>
          <w:rFonts w:ascii="Garamond" w:hAnsi="Garamond" w:cs="Times New Roman"/>
          <w:color w:val="000000"/>
          <w:sz w:val="24"/>
          <w:szCs w:val="24"/>
        </w:rPr>
        <w:t>përgjegjësia për dëmet bërthamore;</w:t>
      </w:r>
    </w:p>
    <w:p w14:paraId="21D18E2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i) </w:t>
      </w:r>
      <w:r w:rsidRPr="00127CA4">
        <w:rPr>
          <w:rFonts w:ascii="Garamond" w:hAnsi="Garamond" w:cs="Times New Roman"/>
          <w:color w:val="000000"/>
          <w:sz w:val="24"/>
          <w:szCs w:val="24"/>
        </w:rPr>
        <w:t>vlefshmëria, pavlefshmëria, shpërbërja e personave juridikë ose e shoqatave të personave fizikë ose juridikë, si dhe vlefshmëria e vendimeve të organeve të tyre;</w:t>
      </w:r>
    </w:p>
    <w:p w14:paraId="7F4638B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j) </w:t>
      </w:r>
      <w:r w:rsidRPr="00127CA4">
        <w:rPr>
          <w:rFonts w:ascii="Garamond" w:hAnsi="Garamond" w:cs="Times New Roman"/>
          <w:color w:val="000000"/>
          <w:sz w:val="24"/>
          <w:szCs w:val="24"/>
        </w:rPr>
        <w:t>vlefshmëria e regjistrimeve në regjistrat publikë;</w:t>
      </w:r>
    </w:p>
    <w:p w14:paraId="43F9BAB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k) </w:t>
      </w:r>
      <w:r w:rsidRPr="00127CA4">
        <w:rPr>
          <w:rFonts w:ascii="Garamond" w:hAnsi="Garamond" w:cs="Times New Roman"/>
          <w:color w:val="000000"/>
          <w:sz w:val="24"/>
          <w:szCs w:val="24"/>
        </w:rPr>
        <w:t>shpifja;</w:t>
      </w:r>
    </w:p>
    <w:p w14:paraId="5E7BCA6D"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l) </w:t>
      </w:r>
      <w:r w:rsidRPr="00127CA4">
        <w:rPr>
          <w:rFonts w:ascii="Garamond" w:hAnsi="Garamond" w:cs="Times New Roman"/>
          <w:color w:val="000000"/>
          <w:sz w:val="24"/>
          <w:szCs w:val="24"/>
        </w:rPr>
        <w:t>privatësia;</w:t>
      </w:r>
    </w:p>
    <w:p w14:paraId="4E11A54B"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m) </w:t>
      </w:r>
      <w:r w:rsidRPr="00127CA4">
        <w:rPr>
          <w:rFonts w:ascii="Garamond" w:hAnsi="Garamond" w:cs="Times New Roman"/>
          <w:color w:val="000000"/>
          <w:sz w:val="24"/>
          <w:szCs w:val="24"/>
        </w:rPr>
        <w:t>pronësia intelektuale;</w:t>
      </w:r>
    </w:p>
    <w:p w14:paraId="15FF051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n) </w:t>
      </w:r>
      <w:r w:rsidRPr="00127CA4">
        <w:rPr>
          <w:rFonts w:ascii="Garamond" w:hAnsi="Garamond" w:cs="Times New Roman"/>
          <w:color w:val="000000"/>
          <w:sz w:val="24"/>
          <w:szCs w:val="24"/>
        </w:rPr>
        <w:t>veprimtaritë e forcave të armatosura, përfshirë veprimtaritë e personelit të tyre gjatë ushtrimit të detyrave të tyre zyrtare;</w:t>
      </w:r>
    </w:p>
    <w:p w14:paraId="73730AD6"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o) </w:t>
      </w:r>
      <w:r w:rsidRPr="00127CA4">
        <w:rPr>
          <w:rFonts w:ascii="Garamond" w:hAnsi="Garamond" w:cs="Times New Roman"/>
          <w:color w:val="000000"/>
          <w:sz w:val="24"/>
          <w:szCs w:val="24"/>
        </w:rPr>
        <w:t>veprimtaritë ligjzbatuese, përfshirë veprimtaritë e personelit ligjzbatues gjatë ushtrimit të detyrave të tyre zyrtare;</w:t>
      </w:r>
    </w:p>
    <w:p w14:paraId="1F739886" w14:textId="154142A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p) </w:t>
      </w:r>
      <w:r w:rsidRPr="00127CA4">
        <w:rPr>
          <w:rFonts w:ascii="Garamond" w:hAnsi="Garamond" w:cs="Times New Roman"/>
          <w:color w:val="000000"/>
          <w:sz w:val="24"/>
          <w:szCs w:val="24"/>
        </w:rPr>
        <w:t>çështjet anti</w:t>
      </w:r>
      <w:r w:rsidR="004558A7" w:rsidRPr="00127CA4">
        <w:rPr>
          <w:rFonts w:ascii="Garamond" w:hAnsi="Garamond" w:cs="Times New Roman"/>
          <w:color w:val="000000"/>
          <w:sz w:val="24"/>
          <w:szCs w:val="24"/>
        </w:rPr>
        <w:t>-</w:t>
      </w:r>
      <w:r w:rsidRPr="00127CA4">
        <w:rPr>
          <w:rFonts w:ascii="Garamond" w:hAnsi="Garamond" w:cs="Times New Roman"/>
          <w:color w:val="000000"/>
          <w:sz w:val="24"/>
          <w:szCs w:val="24"/>
        </w:rPr>
        <w:t>trust (çështjet e konkurrencës), përveç rasteve kur vendimi gjyqësor bazohet në veprime që përbëjnë marrëveshje të ndaluara ose praktikë të bashkërenduar mes konkurrentëve aktualë ose potencialë për të përcaktuar çmimet, për të bërë oferta të manipuluara, për të vendosur kufizime të produkteve ose kuota, ose për të ndarë tregjet duke caktuar konsumatorët, furnitorët, territoret ose linjat e tregtisë, dhe kur edhe këto veprime edhe efekti i tyre kanë ndodhur në shtetin e origjinës;</w:t>
      </w:r>
    </w:p>
    <w:p w14:paraId="30AF0BFF"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q) </w:t>
      </w:r>
      <w:r w:rsidRPr="00127CA4">
        <w:rPr>
          <w:rFonts w:ascii="Garamond" w:hAnsi="Garamond" w:cs="Times New Roman"/>
          <w:color w:val="000000"/>
          <w:sz w:val="24"/>
          <w:szCs w:val="24"/>
        </w:rPr>
        <w:t>ristrukturimi i borxhit shtetëror nëpërmjet masave të njëanshme të shtetit.</w:t>
      </w:r>
    </w:p>
    <w:p w14:paraId="466BFBC5"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Vendimi gjyqësor nuk përjashtohet nga fusha e veprimit të kësaj Konvente, kur një çështje për të cilën kjo Konventë nuk zbatohet, është ngritur thjesht si kërkesë paraprake gjatë procedurës që çoi në vendimin gjyqësor, dhe jo si objekt i procedurës. Në veçanti, vetë fakti që një çështje e tillë është ngritur nga mbrojtja, nuk e përjashton vendimin gjyqësor nga Konventa, nëse kjo çështje nuk ka qenë objekt i procedimit.</w:t>
      </w:r>
    </w:p>
    <w:p w14:paraId="37A68F01"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Kjo Konventë nuk zbatohet në rastin e arbitrazhit dhe procedimeve përkatëse.</w:t>
      </w:r>
    </w:p>
    <w:p w14:paraId="0BC8FC6C"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4. </w:t>
      </w:r>
      <w:r w:rsidRPr="00127CA4">
        <w:rPr>
          <w:rFonts w:ascii="Garamond" w:hAnsi="Garamond" w:cs="Times New Roman"/>
          <w:color w:val="000000"/>
          <w:sz w:val="24"/>
          <w:szCs w:val="24"/>
        </w:rPr>
        <w:t>Vendimi gjyqësor nuk përjashtohet nga fusha e veprimit të kësaj Konvente për faktin e thjeshtë se shteti, ku përfshihen qeveria, agjencia qeveritare ose çdo person që vepron për shtetin, ka qenë palë në procedim.</w:t>
      </w:r>
    </w:p>
    <w:p w14:paraId="388873A8"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5. </w:t>
      </w:r>
      <w:r w:rsidRPr="00127CA4">
        <w:rPr>
          <w:rFonts w:ascii="Garamond" w:hAnsi="Garamond" w:cs="Times New Roman"/>
          <w:color w:val="000000"/>
          <w:sz w:val="24"/>
          <w:szCs w:val="24"/>
        </w:rPr>
        <w:t>Asgjë në këtë Konventë nuk prek privilegjet dhe imunitetet e shteteve ose organizatave ndërkombëtare, në lidhje me to dhe pronën e tyre.</w:t>
      </w:r>
    </w:p>
    <w:p w14:paraId="65C9C540" w14:textId="7777777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p>
    <w:p w14:paraId="08A1248F"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3</w:t>
      </w:r>
    </w:p>
    <w:p w14:paraId="2904428A"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Përkufizimet</w:t>
      </w:r>
    </w:p>
    <w:p w14:paraId="237971A4"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05095B53"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Në këtë Konventë:</w:t>
      </w:r>
    </w:p>
    <w:p w14:paraId="53014236"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lastRenderedPageBreak/>
        <w:t xml:space="preserve">a) </w:t>
      </w:r>
      <w:r w:rsidRPr="00127CA4">
        <w:rPr>
          <w:rFonts w:ascii="Garamond" w:hAnsi="Garamond" w:cs="Times New Roman"/>
          <w:color w:val="000000"/>
          <w:sz w:val="24"/>
          <w:szCs w:val="24"/>
        </w:rPr>
        <w:t>“i paditur” do të thotë person ndaj të cilit është ngritur padia ose kundërpadia në shtetin e origjinës;</w:t>
      </w:r>
    </w:p>
    <w:p w14:paraId="72560142" w14:textId="3E9ED920"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“vendim gjyqësor” do të thotë</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 xml:space="preserve">çdo vendim i gjykimit në themel, i dhënë nga gjykata, pa marrë parasysh emërtimin e vendimit, përfshirë një dekret apo një urdhër, dhe përcaktimi i kostove ose i shpenzimeve të procedurës nga gjykata (përfshirë punonjësin e gjykatës), me kusht që përcaktimi të ketë të bëjë me vendimin e gjykimit në themel, i cili mund të njihet ose </w:t>
      </w:r>
      <w:r w:rsidR="00837499">
        <w:rPr>
          <w:rFonts w:ascii="Garamond" w:hAnsi="Garamond" w:cs="Times New Roman"/>
          <w:color w:val="000000"/>
          <w:sz w:val="24"/>
          <w:szCs w:val="24"/>
        </w:rPr>
        <w:t xml:space="preserve">të </w:t>
      </w:r>
      <w:r w:rsidRPr="00127CA4">
        <w:rPr>
          <w:rFonts w:ascii="Garamond" w:hAnsi="Garamond" w:cs="Times New Roman"/>
          <w:color w:val="000000"/>
          <w:sz w:val="24"/>
          <w:szCs w:val="24"/>
        </w:rPr>
        <w:t>ekzekutohet sipas kësaj Konvente. Masat e sigurimit nuk janë vendime gjyqësore.</w:t>
      </w:r>
    </w:p>
    <w:p w14:paraId="687B338A" w14:textId="4C1A8008"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2.</w:t>
      </w:r>
      <w:r w:rsidR="00A730CA" w:rsidRPr="00127CA4">
        <w:rPr>
          <w:rFonts w:ascii="Garamond" w:hAnsi="Garamond" w:cs="Calibri"/>
          <w:color w:val="000000"/>
          <w:sz w:val="24"/>
          <w:szCs w:val="24"/>
        </w:rPr>
        <w:t xml:space="preserve"> </w:t>
      </w:r>
      <w:r w:rsidRPr="00127CA4">
        <w:rPr>
          <w:rFonts w:ascii="Garamond" w:hAnsi="Garamond" w:cs="Times New Roman"/>
          <w:color w:val="000000"/>
          <w:sz w:val="24"/>
          <w:szCs w:val="24"/>
        </w:rPr>
        <w:t>Subjekti i ndryshëm nga personi fizik konsiderohet se ka vendqëndrimin e zakonshëm në një shtet:</w:t>
      </w:r>
    </w:p>
    <w:p w14:paraId="59752AFE"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ku ka selinë statutore;</w:t>
      </w:r>
    </w:p>
    <w:p w14:paraId="7EFF47C2"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sipas ligjit të të cilit është themeluar ose formuar;</w:t>
      </w:r>
    </w:p>
    <w:p w14:paraId="2270D67D" w14:textId="53DE07DF"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c) </w:t>
      </w:r>
      <w:r w:rsidRPr="00127CA4">
        <w:rPr>
          <w:rFonts w:ascii="Garamond" w:hAnsi="Garamond" w:cs="Times New Roman"/>
          <w:color w:val="000000"/>
          <w:sz w:val="24"/>
          <w:szCs w:val="24"/>
        </w:rPr>
        <w:t xml:space="preserve">ku ka administratën </w:t>
      </w:r>
      <w:r w:rsidR="00991988" w:rsidRPr="00127CA4">
        <w:rPr>
          <w:rFonts w:ascii="Garamond" w:hAnsi="Garamond" w:cs="Times New Roman"/>
          <w:color w:val="000000"/>
          <w:sz w:val="24"/>
          <w:szCs w:val="24"/>
        </w:rPr>
        <w:t>qendrore</w:t>
      </w:r>
      <w:r w:rsidRPr="00127CA4">
        <w:rPr>
          <w:rFonts w:ascii="Garamond" w:hAnsi="Garamond" w:cs="Times New Roman"/>
          <w:color w:val="000000"/>
          <w:sz w:val="24"/>
          <w:szCs w:val="24"/>
        </w:rPr>
        <w:t>; ose</w:t>
      </w:r>
    </w:p>
    <w:p w14:paraId="5DE13A5F"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d) </w:t>
      </w:r>
      <w:r w:rsidRPr="00127CA4">
        <w:rPr>
          <w:rFonts w:ascii="Garamond" w:hAnsi="Garamond" w:cs="Times New Roman"/>
          <w:color w:val="000000"/>
          <w:sz w:val="24"/>
          <w:szCs w:val="24"/>
        </w:rPr>
        <w:t>ku ka vendin kryesor të ushtrimit të biznesit.</w:t>
      </w:r>
    </w:p>
    <w:p w14:paraId="24893ADC"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6E434BD4" w14:textId="77777777" w:rsidR="00991988"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KAPITULLI II</w:t>
      </w:r>
    </w:p>
    <w:p w14:paraId="3FA3D66D" w14:textId="55425EFF"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 xml:space="preserve">NJOHJA DHE EKZEKUTIMI </w:t>
      </w:r>
    </w:p>
    <w:p w14:paraId="0B65D889"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5D30B77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4</w:t>
      </w:r>
    </w:p>
    <w:p w14:paraId="30FA425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Dispozita të përgjithshme</w:t>
      </w:r>
    </w:p>
    <w:p w14:paraId="0BCEF638"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1DC87F30" w14:textId="6F0F188D"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Vendimi gjyqësor i dhënë nga gjykata e një Shteti Kontraktues (Shteti i origjinës) njihet dhe ekzekutohet në Shtetin Kontraktues tjetër (Shteti i kërkuar)</w:t>
      </w:r>
      <w:r w:rsidR="00927BB4">
        <w:rPr>
          <w:rFonts w:ascii="Garamond" w:hAnsi="Garamond" w:cs="Times New Roman"/>
          <w:color w:val="000000"/>
          <w:sz w:val="24"/>
          <w:szCs w:val="24"/>
        </w:rPr>
        <w:t>,</w:t>
      </w:r>
      <w:r w:rsidRPr="00127CA4">
        <w:rPr>
          <w:rFonts w:ascii="Garamond" w:hAnsi="Garamond" w:cs="Times New Roman"/>
          <w:color w:val="000000"/>
          <w:sz w:val="24"/>
          <w:szCs w:val="24"/>
        </w:rPr>
        <w:t xml:space="preserve"> në përputhje me dispozitat e këtij </w:t>
      </w:r>
      <w:r w:rsidR="00927BB4" w:rsidRPr="00127CA4">
        <w:rPr>
          <w:rFonts w:ascii="Garamond" w:hAnsi="Garamond" w:cs="Times New Roman"/>
          <w:color w:val="000000"/>
          <w:sz w:val="24"/>
          <w:szCs w:val="24"/>
        </w:rPr>
        <w:t>kapitulli</w:t>
      </w:r>
      <w:r w:rsidRPr="00127CA4">
        <w:rPr>
          <w:rFonts w:ascii="Garamond" w:hAnsi="Garamond" w:cs="Times New Roman"/>
          <w:color w:val="000000"/>
          <w:sz w:val="24"/>
          <w:szCs w:val="24"/>
        </w:rPr>
        <w:t>. Njohja ose ekzekutimi mund të refuzohet vetëm për arsyet e bazuara, të specifikuara në këtë Konventë.</w:t>
      </w:r>
    </w:p>
    <w:p w14:paraId="2FC41ACC"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Në Shtetin e kërkuar nuk bëhet shqyrtimi i çështjes në themel. Mund të ketë një shqyrtim të tillë vetëm për aq sa është i nevojshëm për zbatimin e kësaj Konvente.</w:t>
      </w:r>
    </w:p>
    <w:p w14:paraId="1144CD18" w14:textId="312DBDA1"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Vendimi gjyqësor njihet vetëm nëse ai ka hyrë në fuqi në shtetin e origjinës dhe ekzekutohet vetëm nëse ai është i ekzekutueshëm në shtetin e origjinës.</w:t>
      </w:r>
    </w:p>
    <w:p w14:paraId="282D2645"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4. </w:t>
      </w:r>
      <w:r w:rsidRPr="00127CA4">
        <w:rPr>
          <w:rFonts w:ascii="Garamond" w:hAnsi="Garamond" w:cs="Times New Roman"/>
          <w:color w:val="000000"/>
          <w:sz w:val="24"/>
          <w:szCs w:val="24"/>
        </w:rPr>
        <w:t>Njohja ose ekzekutimi mund të shtyhet ose të refuzohet nëse vendimi gjyqësor i përmendur në paragrafin 3, është objekt rishikimi në shtetin e origjinës, ose nëse nuk ka kaluar afati kohor për të kërkuar ankimimin. Refuzimi nuk ndalon paraqitjen e një kërkese tjetër për njohjen ose ekzekutimin e vendimit gjyqësor.</w:t>
      </w:r>
    </w:p>
    <w:p w14:paraId="6721EBB9"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1B5CFD10"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5</w:t>
      </w:r>
    </w:p>
    <w:p w14:paraId="59651505"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Bazat për njohjen dhe ekzekutimin</w:t>
      </w:r>
    </w:p>
    <w:p w14:paraId="15E4423A"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70CD63A3" w14:textId="42D08C40"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Vendimi gjyqësor është i përshtatshëm për njohje dhe ekzekutim</w:t>
      </w:r>
      <w:r w:rsidR="00927BB4">
        <w:rPr>
          <w:rFonts w:ascii="Garamond" w:hAnsi="Garamond" w:cs="Times New Roman"/>
          <w:color w:val="000000"/>
          <w:sz w:val="24"/>
          <w:szCs w:val="24"/>
        </w:rPr>
        <w:t>,</w:t>
      </w:r>
      <w:r w:rsidRPr="00127CA4">
        <w:rPr>
          <w:rFonts w:ascii="Garamond" w:hAnsi="Garamond" w:cs="Times New Roman"/>
          <w:color w:val="000000"/>
          <w:sz w:val="24"/>
          <w:szCs w:val="24"/>
        </w:rPr>
        <w:t xml:space="preserve"> nëse plotësohet një nga kushtet, si më poshtë:</w:t>
      </w:r>
    </w:p>
    <w:p w14:paraId="127469BD"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personi ndaj të cilit kërkohet njohja ose ekzekutimi kishte vendqëndrimin e zakonshëm në shtetin e origjinës, në kohën, kur ai person u bë palë në procedurë në gjykatën e origjinës;</w:t>
      </w:r>
    </w:p>
    <w:p w14:paraId="17094583"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personi fizik ndaj të cilit kërkohet njohja ose ekzekutimi kishte vendin kryesor të ushtrimit të biznesit në shtetin e origjinës, në kohën kur personi u bë palë në procedurë në gjykatën e origjinës dhe padia mbi të cilën bazohet vendimi gjyqësor, lindi si pasojë e aktiviteteve të këtij biznesi;</w:t>
      </w:r>
    </w:p>
    <w:p w14:paraId="59BC81DD"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c) </w:t>
      </w:r>
      <w:r w:rsidRPr="00127CA4">
        <w:rPr>
          <w:rFonts w:ascii="Garamond" w:hAnsi="Garamond" w:cs="Times New Roman"/>
          <w:color w:val="000000"/>
          <w:sz w:val="24"/>
          <w:szCs w:val="24"/>
        </w:rPr>
        <w:t>personi ndaj të cilit kërkohet njohja ose ekzekutimi është personi që e ka paraqitur padinë, të ndryshme nga kundërpadia, mbi të cilën bazohet vendimi gjyqësor;</w:t>
      </w:r>
    </w:p>
    <w:p w14:paraId="2FCEDBDE"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d) </w:t>
      </w:r>
      <w:r w:rsidRPr="00127CA4">
        <w:rPr>
          <w:rFonts w:ascii="Garamond" w:hAnsi="Garamond" w:cs="Times New Roman"/>
          <w:color w:val="000000"/>
          <w:sz w:val="24"/>
          <w:szCs w:val="24"/>
        </w:rPr>
        <w:t>i padituri zotëronte një degë, agjenci ose ndërmarrje tjetër pa personalitet juridik të veçantë, në shtetin e origjinës, në kohën kur personi u bë palë në procedurë në gjykatën e origjinës, dhe padia mbi të cilën bazohet vendimi gjyqësor lindi si pasojë e aktiviteteve të asaj dege, agjencie ose ndërmarrjeje;</w:t>
      </w:r>
    </w:p>
    <w:p w14:paraId="2DD5B2A9"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e) </w:t>
      </w:r>
      <w:r w:rsidRPr="00127CA4">
        <w:rPr>
          <w:rFonts w:ascii="Garamond" w:hAnsi="Garamond" w:cs="Times New Roman"/>
          <w:color w:val="000000"/>
          <w:sz w:val="24"/>
          <w:szCs w:val="24"/>
        </w:rPr>
        <w:t>i padituri kishte dhënë pëlqimin shprehimisht për juridiksionin e gjykatës së origjinës, gjatë procedurës në të cilën u dha vendimi gjyqësor;</w:t>
      </w:r>
    </w:p>
    <w:p w14:paraId="7A33BD28"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f) </w:t>
      </w:r>
      <w:r w:rsidRPr="00127CA4">
        <w:rPr>
          <w:rFonts w:ascii="Garamond" w:hAnsi="Garamond" w:cs="Times New Roman"/>
          <w:color w:val="000000"/>
          <w:sz w:val="24"/>
          <w:szCs w:val="24"/>
        </w:rPr>
        <w:t>i padituri kishte parashtruar çështjen në themel para gjykatës së origjinës, pa kundërshtuar juridiksionin, brenda afatit të parashikuar me ligj në shtetin e origjinës, përveç nëse është e qartë se kundërshtimi i juridiksionit ose i ushtrimit të juridiksionit nuk do të kishte qenë e suksesshme sipas atij ligji;</w:t>
      </w:r>
    </w:p>
    <w:p w14:paraId="2DEC977A" w14:textId="5942CB90"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g) </w:t>
      </w:r>
      <w:r w:rsidRPr="00127CA4">
        <w:rPr>
          <w:rFonts w:ascii="Garamond" w:hAnsi="Garamond" w:cs="Times New Roman"/>
          <w:color w:val="000000"/>
          <w:sz w:val="24"/>
          <w:szCs w:val="24"/>
        </w:rPr>
        <w:t>vendimi gjyqësor shprehet për</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një detyrim kontraktor dhe është dhënë nga gjykata e shtetit në të cilin detyrimi është përmbushur ose duhej të ishte përmbushur, në përputhje me:</w:t>
      </w:r>
    </w:p>
    <w:p w14:paraId="687BE52E" w14:textId="3A458DCA" w:rsidR="000378D6" w:rsidRPr="00127CA4" w:rsidRDefault="000378D6" w:rsidP="000378D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lastRenderedPageBreak/>
        <w:t>i</w:t>
      </w:r>
      <w:r w:rsidR="00927BB4">
        <w:rPr>
          <w:rFonts w:ascii="Garamond" w:hAnsi="Garamond" w:cs="Calibri"/>
          <w:color w:val="000000"/>
          <w:sz w:val="24"/>
          <w:szCs w:val="24"/>
        </w:rPr>
        <w:t>.</w:t>
      </w:r>
      <w:r w:rsidRPr="00127CA4">
        <w:rPr>
          <w:rFonts w:ascii="Garamond" w:hAnsi="Garamond" w:cs="Calibri"/>
          <w:color w:val="000000"/>
          <w:sz w:val="24"/>
          <w:szCs w:val="24"/>
        </w:rPr>
        <w:t xml:space="preserve"> </w:t>
      </w:r>
      <w:r w:rsidRPr="00127CA4">
        <w:rPr>
          <w:rFonts w:ascii="Garamond" w:hAnsi="Garamond" w:cs="Times New Roman"/>
          <w:color w:val="000000"/>
          <w:sz w:val="24"/>
          <w:szCs w:val="24"/>
        </w:rPr>
        <w:t>marrëveshjen mes palëve; ose</w:t>
      </w:r>
    </w:p>
    <w:p w14:paraId="741408F3" w14:textId="6C940BE0" w:rsidR="000378D6" w:rsidRPr="00127CA4" w:rsidRDefault="000378D6" w:rsidP="000378D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ii</w:t>
      </w:r>
      <w:r w:rsidR="00927BB4">
        <w:rPr>
          <w:rFonts w:ascii="Garamond" w:hAnsi="Garamond" w:cs="Calibri"/>
          <w:color w:val="000000"/>
          <w:sz w:val="24"/>
          <w:szCs w:val="24"/>
        </w:rPr>
        <w:t>.</w:t>
      </w:r>
      <w:r w:rsidRPr="00127CA4">
        <w:rPr>
          <w:rFonts w:ascii="Garamond" w:hAnsi="Garamond" w:cs="Calibri"/>
          <w:color w:val="000000"/>
          <w:sz w:val="24"/>
          <w:szCs w:val="24"/>
        </w:rPr>
        <w:t xml:space="preserve"> </w:t>
      </w:r>
      <w:r w:rsidRPr="00127CA4">
        <w:rPr>
          <w:rFonts w:ascii="Garamond" w:hAnsi="Garamond" w:cs="Times New Roman"/>
          <w:color w:val="000000"/>
          <w:sz w:val="24"/>
          <w:szCs w:val="24"/>
        </w:rPr>
        <w:t>ligjin e zbatueshëm për kontratën, në mungesë të marrëveshjes për vendin e përmbushjes së tij,</w:t>
      </w:r>
    </w:p>
    <w:p w14:paraId="3FA83A0E" w14:textId="77777777" w:rsidR="000378D6" w:rsidRPr="00127CA4" w:rsidRDefault="000378D6" w:rsidP="00602594">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me përjashtim të rastit kur aktivitetet e të paditurit në lidhje me transaksionin, nuk përbënin në mënyrë të qartë një lidhje të qëllimshme dhe thelbësore me atë shtet;</w:t>
      </w:r>
    </w:p>
    <w:p w14:paraId="33C7F49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h) </w:t>
      </w:r>
      <w:r w:rsidRPr="00127CA4">
        <w:rPr>
          <w:rFonts w:ascii="Garamond" w:hAnsi="Garamond" w:cs="Times New Roman"/>
          <w:color w:val="000000"/>
          <w:sz w:val="24"/>
          <w:szCs w:val="24"/>
        </w:rPr>
        <w:t>vendimi gjyqësor shprehet për kontratën e qirasë së sendit të paluajtshëm (qiramarrjen) dhe është dhënë nga gjykata e shtetit në të cilin ndodhet sendi;</w:t>
      </w:r>
    </w:p>
    <w:p w14:paraId="18FF25F7" w14:textId="6E2D57D8"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i) </w:t>
      </w:r>
      <w:r w:rsidRPr="00127CA4">
        <w:rPr>
          <w:rFonts w:ascii="Garamond" w:hAnsi="Garamond" w:cs="Times New Roman"/>
          <w:color w:val="000000"/>
          <w:sz w:val="24"/>
          <w:szCs w:val="24"/>
        </w:rPr>
        <w:t>vendimi gjyqësor shprehet</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 xml:space="preserve">kundër të paditurit për detyrimin kontraktor, detyrimi që është i garantuar nga e drejta reale , </w:t>
      </w:r>
      <w:r w:rsidRPr="00127CA4">
        <w:rPr>
          <w:rFonts w:ascii="Garamond" w:hAnsi="Garamond" w:cs="Times New Roman"/>
          <w:i/>
          <w:iCs/>
          <w:color w:val="000000"/>
          <w:sz w:val="24"/>
          <w:szCs w:val="24"/>
        </w:rPr>
        <w:t>in rem</w:t>
      </w:r>
      <w:r w:rsidRPr="00127CA4">
        <w:rPr>
          <w:rFonts w:ascii="Garamond" w:hAnsi="Garamond" w:cs="Times New Roman"/>
          <w:color w:val="000000"/>
          <w:sz w:val="24"/>
          <w:szCs w:val="24"/>
        </w:rPr>
        <w:t>,</w:t>
      </w:r>
      <w:r w:rsidRPr="00127CA4">
        <w:rPr>
          <w:rFonts w:ascii="Garamond" w:hAnsi="Garamond" w:cs="Times New Roman"/>
          <w:i/>
          <w:iCs/>
          <w:color w:val="000000"/>
          <w:sz w:val="24"/>
          <w:szCs w:val="24"/>
        </w:rPr>
        <w:t xml:space="preserve"> </w:t>
      </w:r>
      <w:r w:rsidRPr="00127CA4">
        <w:rPr>
          <w:rFonts w:ascii="Garamond" w:hAnsi="Garamond" w:cs="Times New Roman"/>
          <w:color w:val="000000"/>
          <w:sz w:val="24"/>
          <w:szCs w:val="24"/>
        </w:rPr>
        <w:t xml:space="preserve">mbi një send të paluajtshëm, që ndodhet në shtetin e origjinës, nëse padia lidhur me kontratën është paraqitur së bashku me padinë ndaj të njëjtit të paditur në lidhje me atë të drejtë reale, </w:t>
      </w:r>
      <w:r w:rsidRPr="00127CA4">
        <w:rPr>
          <w:rFonts w:ascii="Garamond" w:hAnsi="Garamond" w:cs="Times New Roman"/>
          <w:i/>
          <w:iCs/>
          <w:color w:val="000000"/>
          <w:sz w:val="24"/>
          <w:szCs w:val="24"/>
        </w:rPr>
        <w:t>in rem</w:t>
      </w:r>
      <w:r w:rsidRPr="00127CA4">
        <w:rPr>
          <w:rFonts w:ascii="Garamond" w:hAnsi="Garamond" w:cs="Times New Roman"/>
          <w:color w:val="000000"/>
          <w:sz w:val="24"/>
          <w:szCs w:val="24"/>
        </w:rPr>
        <w:t>;</w:t>
      </w:r>
    </w:p>
    <w:p w14:paraId="0F6037CB" w14:textId="6A10E9B0"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j) </w:t>
      </w:r>
      <w:r w:rsidRPr="00127CA4">
        <w:rPr>
          <w:rFonts w:ascii="Garamond" w:hAnsi="Garamond" w:cs="Times New Roman"/>
          <w:color w:val="000000"/>
          <w:sz w:val="24"/>
          <w:szCs w:val="24"/>
        </w:rPr>
        <w:t>vendimi gjyqësor shprehet për detyrimin jashtëkontraktor që lind nga vdekja, dëmtimi fizik, dëmi ose humbja e pasurisë e luajtshme</w:t>
      </w:r>
      <w:r w:rsidR="00602594">
        <w:rPr>
          <w:rFonts w:ascii="Garamond" w:hAnsi="Garamond" w:cs="Times New Roman"/>
          <w:color w:val="000000"/>
          <w:sz w:val="24"/>
          <w:szCs w:val="24"/>
        </w:rPr>
        <w:t>,</w:t>
      </w:r>
      <w:r w:rsidRPr="00127CA4">
        <w:rPr>
          <w:rFonts w:ascii="Garamond" w:hAnsi="Garamond" w:cs="Times New Roman"/>
          <w:color w:val="000000"/>
          <w:sz w:val="24"/>
          <w:szCs w:val="24"/>
        </w:rPr>
        <w:t xml:space="preserve"> si dhe nga veprimi ose mosveprimi që shkaktoi drejtpërdrejt këtë lloj dëmi për shtetin e origjinës, pavarësisht se ku ka ndodhur ai dëm;</w:t>
      </w:r>
    </w:p>
    <w:p w14:paraId="79493006" w14:textId="6617FF5C"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k) </w:t>
      </w:r>
      <w:r w:rsidRPr="00127CA4">
        <w:rPr>
          <w:rFonts w:ascii="Garamond" w:hAnsi="Garamond" w:cs="Times New Roman"/>
          <w:color w:val="000000"/>
          <w:sz w:val="24"/>
          <w:szCs w:val="24"/>
        </w:rPr>
        <w:t>vendimi gjyqësor ka të bëjë me vlefshmërinë, interpretimin, efektet, administrimin ose ndryshimin e instrumentit të trustit, të krijuar vullnetarisht dhe të dokumentuar me shkrim, dhe</w:t>
      </w:r>
      <w:r w:rsidR="00602594">
        <w:rPr>
          <w:rFonts w:ascii="Garamond" w:hAnsi="Garamond" w:cs="Times New Roman"/>
          <w:color w:val="000000"/>
          <w:sz w:val="24"/>
          <w:szCs w:val="24"/>
        </w:rPr>
        <w:t>:</w:t>
      </w:r>
    </w:p>
    <w:p w14:paraId="07C448C0" w14:textId="72423C6B" w:rsidR="000378D6" w:rsidRPr="00127CA4" w:rsidRDefault="000378D6" w:rsidP="000378D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i</w:t>
      </w:r>
      <w:r w:rsidR="00602594">
        <w:rPr>
          <w:rFonts w:ascii="Garamond" w:hAnsi="Garamond" w:cs="Calibri"/>
          <w:color w:val="000000"/>
          <w:sz w:val="24"/>
          <w:szCs w:val="24"/>
        </w:rPr>
        <w:t>.</w:t>
      </w:r>
      <w:r w:rsidRPr="00127CA4">
        <w:rPr>
          <w:rFonts w:ascii="Garamond" w:hAnsi="Garamond" w:cs="Calibri"/>
          <w:color w:val="000000"/>
          <w:sz w:val="24"/>
          <w:szCs w:val="24"/>
        </w:rPr>
        <w:t xml:space="preserve"> </w:t>
      </w:r>
      <w:r w:rsidRPr="00127CA4">
        <w:rPr>
          <w:rFonts w:ascii="Garamond" w:hAnsi="Garamond" w:cs="Times New Roman"/>
          <w:color w:val="000000"/>
          <w:sz w:val="24"/>
          <w:szCs w:val="24"/>
        </w:rPr>
        <w:t>në kohën e fillimit të procedurës, shteti i origjinës ishte përcaktuar në instrumentin e trustit si shteti, në gjykatat e të cilit do të zgjidheshin mosmarrëveshjet në lidhje me çështje të tilla; ose</w:t>
      </w:r>
    </w:p>
    <w:p w14:paraId="102796E4" w14:textId="76BC407F" w:rsidR="000378D6" w:rsidRPr="00127CA4" w:rsidRDefault="000378D6" w:rsidP="000378D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ii</w:t>
      </w:r>
      <w:r w:rsidR="00602594">
        <w:rPr>
          <w:rFonts w:ascii="Garamond" w:hAnsi="Garamond" w:cs="Calibri"/>
          <w:color w:val="000000"/>
          <w:sz w:val="24"/>
          <w:szCs w:val="24"/>
        </w:rPr>
        <w:t>.</w:t>
      </w:r>
      <w:r w:rsidRPr="00127CA4">
        <w:rPr>
          <w:rFonts w:ascii="Garamond" w:hAnsi="Garamond" w:cs="Calibri"/>
          <w:color w:val="000000"/>
          <w:sz w:val="24"/>
          <w:szCs w:val="24"/>
        </w:rPr>
        <w:t xml:space="preserve"> </w:t>
      </w:r>
      <w:r w:rsidRPr="00127CA4">
        <w:rPr>
          <w:rFonts w:ascii="Garamond" w:hAnsi="Garamond" w:cs="Times New Roman"/>
          <w:color w:val="000000"/>
          <w:sz w:val="24"/>
          <w:szCs w:val="24"/>
        </w:rPr>
        <w:t>në kohën e fillimit të procedurës, shteti i origjinës ishte përcaktuar shprehimisht ose në mënyrë të nënkuptuar në instrumentin e trustit si shteti në të cilin ndodhet vendi kryesor i administrimit të trustit.</w:t>
      </w:r>
    </w:p>
    <w:p w14:paraId="59D45196" w14:textId="55389531"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Ky nënparagraf zbatohet vetëm për vendimet gjyqësore që kanë të bëjnë me aspektet e brendshme të një trusti mes personave, që janë ose ishin të përfshirë brenda marrëdhënieve të trustit;</w:t>
      </w:r>
    </w:p>
    <w:p w14:paraId="414AE08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l) </w:t>
      </w:r>
      <w:r w:rsidRPr="00127CA4">
        <w:rPr>
          <w:rFonts w:ascii="Garamond" w:hAnsi="Garamond" w:cs="Times New Roman"/>
          <w:color w:val="000000"/>
          <w:sz w:val="24"/>
          <w:szCs w:val="24"/>
        </w:rPr>
        <w:t>vendimi gjyqësor shprehet për kundërpadinë:</w:t>
      </w:r>
    </w:p>
    <w:p w14:paraId="709375C0" w14:textId="2BC53D84" w:rsidR="000378D6" w:rsidRPr="00127CA4" w:rsidRDefault="000378D6" w:rsidP="000378D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i</w:t>
      </w:r>
      <w:r w:rsidR="00AA713F">
        <w:rPr>
          <w:rFonts w:ascii="Garamond" w:hAnsi="Garamond" w:cs="Calibri"/>
          <w:color w:val="000000"/>
          <w:sz w:val="24"/>
          <w:szCs w:val="24"/>
        </w:rPr>
        <w:t>.</w:t>
      </w:r>
      <w:r w:rsidRPr="00127CA4">
        <w:rPr>
          <w:rFonts w:ascii="Garamond" w:hAnsi="Garamond" w:cs="Calibri"/>
          <w:color w:val="000000"/>
          <w:sz w:val="24"/>
          <w:szCs w:val="24"/>
        </w:rPr>
        <w:t xml:space="preserve"> </w:t>
      </w:r>
      <w:r w:rsidRPr="00127CA4">
        <w:rPr>
          <w:rFonts w:ascii="Garamond" w:hAnsi="Garamond" w:cs="Times New Roman"/>
          <w:color w:val="000000"/>
          <w:sz w:val="24"/>
          <w:szCs w:val="24"/>
        </w:rPr>
        <w:t>në masën që ishte në favor të kundërpaditësit, me kushtin që kundërpadia të paraqitej për të njëjtin transaksion ose të njëjtën ngjarje</w:t>
      </w:r>
      <w:r w:rsidR="00AA713F">
        <w:rPr>
          <w:rFonts w:ascii="Garamond" w:hAnsi="Garamond" w:cs="Times New Roman"/>
          <w:color w:val="000000"/>
          <w:sz w:val="24"/>
          <w:szCs w:val="24"/>
        </w:rPr>
        <w:t>,</w:t>
      </w:r>
      <w:r w:rsidRPr="00127CA4">
        <w:rPr>
          <w:rFonts w:ascii="Garamond" w:hAnsi="Garamond" w:cs="Times New Roman"/>
          <w:color w:val="000000"/>
          <w:sz w:val="24"/>
          <w:szCs w:val="24"/>
        </w:rPr>
        <w:t xml:space="preserve"> si edhe padia; ose</w:t>
      </w:r>
    </w:p>
    <w:p w14:paraId="64192C20" w14:textId="07FA636F" w:rsidR="000378D6" w:rsidRPr="00127CA4" w:rsidRDefault="000378D6" w:rsidP="000378D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ii</w:t>
      </w:r>
      <w:r w:rsidR="00AA713F">
        <w:rPr>
          <w:rFonts w:ascii="Garamond" w:hAnsi="Garamond" w:cs="Calibri"/>
          <w:color w:val="000000"/>
          <w:sz w:val="24"/>
          <w:szCs w:val="24"/>
        </w:rPr>
        <w:t>.</w:t>
      </w:r>
      <w:r w:rsidRPr="00127CA4">
        <w:rPr>
          <w:rFonts w:ascii="Garamond" w:hAnsi="Garamond" w:cs="Calibri"/>
          <w:color w:val="000000"/>
          <w:sz w:val="24"/>
          <w:szCs w:val="24"/>
        </w:rPr>
        <w:t xml:space="preserve"> </w:t>
      </w:r>
      <w:r w:rsidRPr="00127CA4">
        <w:rPr>
          <w:rFonts w:ascii="Garamond" w:hAnsi="Garamond" w:cs="Times New Roman"/>
          <w:color w:val="000000"/>
          <w:sz w:val="24"/>
          <w:szCs w:val="24"/>
        </w:rPr>
        <w:t>në masën që ishte kundër kundërpaditësit, me përjashtim të rastit kur ligji i shtetit të origjinës kërkonte që kundërpadia të paraqitej për të shmangur prekluzivitetin;</w:t>
      </w:r>
    </w:p>
    <w:p w14:paraId="34BEBEB0" w14:textId="7E5206C2"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m) </w:t>
      </w:r>
      <w:r w:rsidRPr="00127CA4">
        <w:rPr>
          <w:rFonts w:ascii="Garamond" w:hAnsi="Garamond" w:cs="Times New Roman"/>
          <w:color w:val="000000"/>
          <w:sz w:val="24"/>
          <w:szCs w:val="24"/>
        </w:rPr>
        <w:t>vendimi gjyqësor është dhënë nga gjykata e përcaktuar në një marrëveshje të lidhur ose të dokumentuar me shkrim ose me anë të ndonjë mjeti tjetër të komunikimit, që e bën informacionin të arritshëm</w:t>
      </w:r>
      <w:r w:rsidR="002B4C1B">
        <w:rPr>
          <w:rFonts w:ascii="Garamond" w:hAnsi="Garamond" w:cs="Times New Roman"/>
          <w:color w:val="000000"/>
          <w:sz w:val="24"/>
          <w:szCs w:val="24"/>
        </w:rPr>
        <w:t>,</w:t>
      </w:r>
      <w:r w:rsidRPr="00127CA4">
        <w:rPr>
          <w:rFonts w:ascii="Garamond" w:hAnsi="Garamond" w:cs="Times New Roman"/>
          <w:color w:val="000000"/>
          <w:sz w:val="24"/>
          <w:szCs w:val="24"/>
        </w:rPr>
        <w:t xml:space="preserve"> në mënyrë që të jetë i përdorshëm për referim të mëvonshëm, të ndryshme nga një marrëveshje ekskluzive për zgjedhjen e gjykatës.</w:t>
      </w:r>
    </w:p>
    <w:p w14:paraId="14A63178" w14:textId="15B7E636"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 xml:space="preserve">Për qëllimet e këtij </w:t>
      </w:r>
      <w:r w:rsidR="002B4C1B">
        <w:rPr>
          <w:rFonts w:ascii="Garamond" w:hAnsi="Garamond" w:cs="Times New Roman"/>
          <w:color w:val="000000"/>
          <w:sz w:val="24"/>
          <w:szCs w:val="24"/>
        </w:rPr>
        <w:t>nën</w:t>
      </w:r>
      <w:r w:rsidRPr="00127CA4">
        <w:rPr>
          <w:rFonts w:ascii="Garamond" w:hAnsi="Garamond" w:cs="Times New Roman"/>
          <w:color w:val="000000"/>
          <w:sz w:val="24"/>
          <w:szCs w:val="24"/>
        </w:rPr>
        <w:t>paragrafi, “marrëveshje ekskluzive për zgjedhjen e gjykatës” do të thotë një marrëveshje e lidhur nga dy a më shumë palë, që përcakton, gjykatat e një shteti ose një a më shumë gjykata specifike të një shteti, duke përjashtuar juridiksionin e gjykatave të tjera, me qëllim zgjidhjen e mosmarrëveshjeve që kanë lindur ose që mund të lindin në lidhje me një marrëdhënie të veçantë juridike.</w:t>
      </w:r>
    </w:p>
    <w:p w14:paraId="46C47FAA" w14:textId="75984C60"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Nëse kërkohet njohja ose ekzekutimi ndaj një personi fizik që vepron kryesisht për qëllime personale, familjare ose shtëpiake (pra, konsumator) për çështje që lidhen me një kontratë konsumatore, ose ndaj një punëmarrësi për çështje që lidhen me kontratën e tij të punës</w:t>
      </w:r>
      <w:r w:rsidR="002B4C1B">
        <w:rPr>
          <w:rFonts w:ascii="Garamond" w:hAnsi="Garamond" w:cs="Times New Roman"/>
          <w:color w:val="000000"/>
          <w:sz w:val="24"/>
          <w:szCs w:val="24"/>
        </w:rPr>
        <w:t>:</w:t>
      </w:r>
    </w:p>
    <w:p w14:paraId="7B628A0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paragrafi 1(e) zbatohet vetëm nëse palët kanë shprehur pëlqimin e tyre, me gojë ose me shkrim, pranë gjykatës;</w:t>
      </w:r>
    </w:p>
    <w:p w14:paraId="0E551BC3"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pikat (f), (g) dhe (m) të paragrafit 1 nuk zbatohen.</w:t>
      </w:r>
    </w:p>
    <w:p w14:paraId="7216C1C2" w14:textId="199B168C"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Paragrafi 1 nuk zbatohet për vendimin gjyqësor që shprehet për kontratën e qirasë së banimit mbi sende të paluajtshme (qiramarrjen) ose shprehet për regjistrimin e sendit</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të paluajtshëm. Një vendim gjyqësor i tillë është i pranueshëm për njohjen dhe ekzekutim vetëm nëse është dhënë nga gjykata e shtetit ku ndodhet sendi.</w:t>
      </w:r>
    </w:p>
    <w:p w14:paraId="6E1418F9"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140EFF12"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6</w:t>
      </w:r>
    </w:p>
    <w:p w14:paraId="1E5C1DB3" w14:textId="6582E596"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 xml:space="preserve">Baza ekskluzive për njohjen dhe </w:t>
      </w:r>
      <w:r w:rsidR="006C2696">
        <w:rPr>
          <w:rFonts w:ascii="Garamond" w:hAnsi="Garamond" w:cs="Times New Roman"/>
          <w:b/>
          <w:iCs/>
          <w:color w:val="000000"/>
          <w:sz w:val="24"/>
          <w:szCs w:val="24"/>
        </w:rPr>
        <w:t xml:space="preserve">për </w:t>
      </w:r>
      <w:r w:rsidRPr="00127CA4">
        <w:rPr>
          <w:rFonts w:ascii="Garamond" w:hAnsi="Garamond" w:cs="Times New Roman"/>
          <w:b/>
          <w:iCs/>
          <w:color w:val="000000"/>
          <w:sz w:val="24"/>
          <w:szCs w:val="24"/>
        </w:rPr>
        <w:t>ekz</w:t>
      </w:r>
      <w:r w:rsidR="008871A1">
        <w:rPr>
          <w:rFonts w:ascii="Garamond" w:hAnsi="Garamond" w:cs="Times New Roman"/>
          <w:b/>
          <w:iCs/>
          <w:color w:val="000000"/>
          <w:sz w:val="24"/>
          <w:szCs w:val="24"/>
        </w:rPr>
        <w:t>e</w:t>
      </w:r>
      <w:r w:rsidRPr="00127CA4">
        <w:rPr>
          <w:rFonts w:ascii="Garamond" w:hAnsi="Garamond" w:cs="Times New Roman"/>
          <w:b/>
          <w:iCs/>
          <w:color w:val="000000"/>
          <w:sz w:val="24"/>
          <w:szCs w:val="24"/>
        </w:rPr>
        <w:t>kutimin</w:t>
      </w:r>
    </w:p>
    <w:p w14:paraId="4EEC0C6E"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50A5BED6" w14:textId="7777777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 xml:space="preserve">Pavarësisht nga neni 5, vendimi gjyqësor që shprehet për të drejtat reale, </w:t>
      </w:r>
      <w:r w:rsidRPr="00127CA4">
        <w:rPr>
          <w:rFonts w:ascii="Garamond" w:hAnsi="Garamond" w:cs="Times New Roman"/>
          <w:i/>
          <w:iCs/>
          <w:color w:val="000000"/>
          <w:sz w:val="24"/>
          <w:szCs w:val="24"/>
        </w:rPr>
        <w:t xml:space="preserve">in rem </w:t>
      </w:r>
      <w:r w:rsidRPr="00127CA4">
        <w:rPr>
          <w:rFonts w:ascii="Garamond" w:hAnsi="Garamond" w:cs="Times New Roman"/>
          <w:color w:val="000000"/>
          <w:sz w:val="24"/>
          <w:szCs w:val="24"/>
        </w:rPr>
        <w:t>të sendit të paluajtshëm njihet dhe ekzekutohet nëse dhe vetëm kur sendi ndodhet në shtetin e origjinës.</w:t>
      </w:r>
    </w:p>
    <w:p w14:paraId="3978E830" w14:textId="77777777" w:rsidR="008871A1" w:rsidRDefault="008871A1" w:rsidP="000378D6">
      <w:pPr>
        <w:autoSpaceDE w:val="0"/>
        <w:autoSpaceDN w:val="0"/>
        <w:adjustRightInd w:val="0"/>
        <w:spacing w:after="0" w:line="240" w:lineRule="auto"/>
        <w:ind w:firstLine="284"/>
        <w:jc w:val="center"/>
        <w:rPr>
          <w:rFonts w:ascii="Garamond" w:hAnsi="Garamond" w:cs="Times New Roman"/>
          <w:color w:val="000000"/>
          <w:sz w:val="24"/>
          <w:szCs w:val="24"/>
        </w:rPr>
      </w:pPr>
    </w:p>
    <w:p w14:paraId="019700A5" w14:textId="359BEA51"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7</w:t>
      </w:r>
    </w:p>
    <w:p w14:paraId="190078CF" w14:textId="053F0CA4"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 xml:space="preserve">Refuzimi i njohjes dhe </w:t>
      </w:r>
      <w:r w:rsidR="006C2696">
        <w:rPr>
          <w:rFonts w:ascii="Garamond" w:hAnsi="Garamond" w:cs="Times New Roman"/>
          <w:b/>
          <w:iCs/>
          <w:color w:val="000000"/>
          <w:sz w:val="24"/>
          <w:szCs w:val="24"/>
        </w:rPr>
        <w:t xml:space="preserve">i </w:t>
      </w:r>
      <w:r w:rsidRPr="00127CA4">
        <w:rPr>
          <w:rFonts w:ascii="Garamond" w:hAnsi="Garamond" w:cs="Times New Roman"/>
          <w:b/>
          <w:iCs/>
          <w:color w:val="000000"/>
          <w:sz w:val="24"/>
          <w:szCs w:val="24"/>
        </w:rPr>
        <w:t>ekzekutimit</w:t>
      </w:r>
    </w:p>
    <w:p w14:paraId="42275FE3"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7B965FC4" w14:textId="1D83427F"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Njohja ose ekzekutimi mund të refuzohet nëse</w:t>
      </w:r>
      <w:r w:rsidR="008E1DD3">
        <w:rPr>
          <w:rFonts w:ascii="Garamond" w:hAnsi="Garamond" w:cs="Times New Roman"/>
          <w:color w:val="000000"/>
          <w:sz w:val="24"/>
          <w:szCs w:val="24"/>
        </w:rPr>
        <w:t>:</w:t>
      </w:r>
    </w:p>
    <w:p w14:paraId="52E4D1B2" w14:textId="7D1F1ABD"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dokumenti me të cilin u fillua procedura, ose një dokument ekuivalent, përfshirë një deklaratë që përmban elementet thelbësore të padisë</w:t>
      </w:r>
      <w:r w:rsidR="008E1DD3">
        <w:rPr>
          <w:rFonts w:ascii="Garamond" w:hAnsi="Garamond" w:cs="Times New Roman"/>
          <w:color w:val="000000"/>
          <w:sz w:val="24"/>
          <w:szCs w:val="24"/>
        </w:rPr>
        <w:t>:</w:t>
      </w:r>
    </w:p>
    <w:p w14:paraId="2F4D7E4B" w14:textId="25BFB5FE" w:rsidR="000378D6" w:rsidRPr="00127CA4" w:rsidRDefault="000378D6" w:rsidP="000378D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i</w:t>
      </w:r>
      <w:r w:rsidR="008E1DD3">
        <w:rPr>
          <w:rFonts w:ascii="Garamond" w:hAnsi="Garamond" w:cs="Calibri"/>
          <w:color w:val="000000"/>
          <w:sz w:val="24"/>
          <w:szCs w:val="24"/>
        </w:rPr>
        <w:t>.</w:t>
      </w:r>
      <w:r w:rsidRPr="00127CA4">
        <w:rPr>
          <w:rFonts w:ascii="Garamond" w:hAnsi="Garamond" w:cs="Calibri"/>
          <w:color w:val="000000"/>
          <w:sz w:val="24"/>
          <w:szCs w:val="24"/>
        </w:rPr>
        <w:t xml:space="preserve"> </w:t>
      </w:r>
      <w:r w:rsidRPr="00127CA4">
        <w:rPr>
          <w:rFonts w:ascii="Garamond" w:hAnsi="Garamond" w:cs="Times New Roman"/>
          <w:color w:val="000000"/>
          <w:sz w:val="24"/>
          <w:szCs w:val="24"/>
        </w:rPr>
        <w:t>nuk i është bërë e ditur të paditurit përmes njoftimit në kohë të mjaftueshme dhe në mënyrën që do t’ia mundësonte palës së paditur që të merrte masa për mbrojtje, përveç nëse i padituri është paraqitur në gjykatë dhe ka dhënë argumentet e veta pa kundërshtuar njoftimin në gjykatën e origjinës, me kushtin që ligji i shtetit të origjinës lejon kundërshtimin e njoftimit; ose</w:t>
      </w:r>
    </w:p>
    <w:p w14:paraId="4AF2DAE9" w14:textId="414FF645" w:rsidR="000378D6" w:rsidRPr="00127CA4" w:rsidRDefault="000378D6" w:rsidP="000378D6">
      <w:pPr>
        <w:tabs>
          <w:tab w:val="left" w:pos="12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ii</w:t>
      </w:r>
      <w:r w:rsidR="008E1DD3">
        <w:rPr>
          <w:rFonts w:ascii="Garamond" w:hAnsi="Garamond" w:cs="Calibri"/>
          <w:color w:val="000000"/>
          <w:sz w:val="24"/>
          <w:szCs w:val="24"/>
        </w:rPr>
        <w:t>.</w:t>
      </w:r>
      <w:r w:rsidRPr="00127CA4">
        <w:rPr>
          <w:rFonts w:ascii="Garamond" w:hAnsi="Garamond" w:cs="Calibri"/>
          <w:color w:val="000000"/>
          <w:sz w:val="24"/>
          <w:szCs w:val="24"/>
        </w:rPr>
        <w:t xml:space="preserve"> </w:t>
      </w:r>
      <w:r w:rsidRPr="00127CA4">
        <w:rPr>
          <w:rFonts w:ascii="Garamond" w:hAnsi="Garamond" w:cs="Times New Roman"/>
          <w:color w:val="000000"/>
          <w:sz w:val="24"/>
          <w:szCs w:val="24"/>
        </w:rPr>
        <w:t>i është bërë e ditur të paditurit përmes njoftimit në Shtetin e kërkuar në formën që nuk përputhet me parimet themelore të Shtetit të kërkuar sa i takon dorëzimit të dokumenteve;</w:t>
      </w:r>
    </w:p>
    <w:p w14:paraId="61C50A6A"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vendimi gjyqësor është marrë me mashtrim;</w:t>
      </w:r>
    </w:p>
    <w:p w14:paraId="5F2D6251" w14:textId="3229BA7B"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c) </w:t>
      </w:r>
      <w:r w:rsidRPr="00127CA4">
        <w:rPr>
          <w:rFonts w:ascii="Garamond" w:hAnsi="Garamond" w:cs="Times New Roman"/>
          <w:color w:val="000000"/>
          <w:sz w:val="24"/>
          <w:szCs w:val="24"/>
        </w:rPr>
        <w:t xml:space="preserve">njohja ose ekzekutimi është haptazi në mospërputhje me politikën publike të Shtetit të kërkuar, përfshirë situatat kur procedurat specifike që çuan te vendimi gjyqësor, ishin në mospërputhje me parimet themelore të procesit të rregullt të atij shteti, si dhe me situata që kanë të bëjnë me cenimet e sigurisë ose </w:t>
      </w:r>
      <w:r w:rsidR="00275791">
        <w:rPr>
          <w:rFonts w:ascii="Garamond" w:hAnsi="Garamond" w:cs="Times New Roman"/>
          <w:color w:val="000000"/>
          <w:sz w:val="24"/>
          <w:szCs w:val="24"/>
        </w:rPr>
        <w:t xml:space="preserve">të </w:t>
      </w:r>
      <w:r w:rsidRPr="00127CA4">
        <w:rPr>
          <w:rFonts w:ascii="Garamond" w:hAnsi="Garamond" w:cs="Times New Roman"/>
          <w:color w:val="000000"/>
          <w:sz w:val="24"/>
          <w:szCs w:val="24"/>
        </w:rPr>
        <w:t>sovranitetit të tij;</w:t>
      </w:r>
    </w:p>
    <w:p w14:paraId="6B21A726" w14:textId="09E1E74D"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d) </w:t>
      </w:r>
      <w:r w:rsidRPr="00127CA4">
        <w:rPr>
          <w:rFonts w:ascii="Garamond" w:hAnsi="Garamond" w:cs="Times New Roman"/>
          <w:color w:val="000000"/>
          <w:sz w:val="24"/>
          <w:szCs w:val="24"/>
        </w:rPr>
        <w:t xml:space="preserve">procedurat në gjykatën e origjinës kanë qenë në kundërshtim me marrëveshjen, ose </w:t>
      </w:r>
      <w:r w:rsidR="00271573">
        <w:rPr>
          <w:rFonts w:ascii="Garamond" w:hAnsi="Garamond" w:cs="Times New Roman"/>
          <w:color w:val="000000"/>
          <w:sz w:val="24"/>
          <w:szCs w:val="24"/>
        </w:rPr>
        <w:t xml:space="preserve">me </w:t>
      </w:r>
      <w:r w:rsidRPr="00127CA4">
        <w:rPr>
          <w:rFonts w:ascii="Garamond" w:hAnsi="Garamond" w:cs="Times New Roman"/>
          <w:color w:val="000000"/>
          <w:sz w:val="24"/>
          <w:szCs w:val="24"/>
        </w:rPr>
        <w:t>përcaktimin e bërë në instrumentin e trustit, sipas të cilit vendimi për mosmarrëveshjen në fjalë do të merrej nga një gjykatë e një shteti të ndryshëm nga shteti i origjinës;</w:t>
      </w:r>
    </w:p>
    <w:p w14:paraId="051641F6"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e) </w:t>
      </w:r>
      <w:r w:rsidRPr="00127CA4">
        <w:rPr>
          <w:rFonts w:ascii="Garamond" w:hAnsi="Garamond" w:cs="Times New Roman"/>
          <w:color w:val="000000"/>
          <w:sz w:val="24"/>
          <w:szCs w:val="24"/>
        </w:rPr>
        <w:t>vendimi gjyqësor është në mospërputhje me vendimin gjyqësor të dhënë nga gjykata e Shtetit të kërkuar në mosmarrëveshjen mes të njëjtave palë; ose</w:t>
      </w:r>
    </w:p>
    <w:p w14:paraId="41ED363C"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f) </w:t>
      </w:r>
      <w:r w:rsidRPr="00127CA4">
        <w:rPr>
          <w:rFonts w:ascii="Garamond" w:hAnsi="Garamond" w:cs="Times New Roman"/>
          <w:color w:val="000000"/>
          <w:sz w:val="24"/>
          <w:szCs w:val="24"/>
        </w:rPr>
        <w:t>vendimi gjyqësor është në mospërputhje me vendimin gjyqësor të mëparshëm të dhënë nga gjykata e një shteti tjetër mes të njëjtave palë, për të njëjtin objekt, me kushtin që vendimi gjyqësor i mëparshëm plotëson kushtet e nevojshme për njohjen e tij në Shtetin e kërkuar.</w:t>
      </w:r>
    </w:p>
    <w:p w14:paraId="44467AA8"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Njohja ose ekzekutimi mund të shtyhet ose të refuzohet nëse procedurat mes të njëjtave palë, për të njëjtin objekt, janë në pritje për shqyrtim para një gjykate të Shtetit të kërkuar, kur:</w:t>
      </w:r>
    </w:p>
    <w:p w14:paraId="5EDC5738"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gjykata e Shtetit të kërkuar është vënë në lëvizje para gjykatës së origjinës; dhe</w:t>
      </w:r>
    </w:p>
    <w:p w14:paraId="460AF78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ekziston një lidhje e ngushtë mes mosmarrëveshjes dhe Shtetit të kërkuar.</w:t>
      </w:r>
    </w:p>
    <w:p w14:paraId="2DC6DD5F" w14:textId="4F3E624B"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Refuzimi sipas këtij paragrafi nuk</w:t>
      </w:r>
      <w:r w:rsidR="00935EF9">
        <w:rPr>
          <w:rFonts w:ascii="Garamond" w:hAnsi="Garamond" w:cs="Times New Roman"/>
          <w:color w:val="000000"/>
          <w:sz w:val="24"/>
          <w:szCs w:val="24"/>
        </w:rPr>
        <w:t xml:space="preserve"> </w:t>
      </w:r>
      <w:r w:rsidRPr="00127CA4">
        <w:rPr>
          <w:rFonts w:ascii="Garamond" w:hAnsi="Garamond" w:cs="Times New Roman"/>
          <w:color w:val="000000"/>
          <w:sz w:val="24"/>
          <w:szCs w:val="24"/>
        </w:rPr>
        <w:t>ndalon paraqitjen e mëvonshme të kërkesës për njohjen ose ekzekutimin</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e vendimit gjyqësor.</w:t>
      </w:r>
    </w:p>
    <w:p w14:paraId="41274B7F"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1B8813A4"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8</w:t>
      </w:r>
    </w:p>
    <w:p w14:paraId="4E663F83"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Kërkesat paraprake</w:t>
      </w:r>
    </w:p>
    <w:p w14:paraId="439F62A0" w14:textId="77777777" w:rsidR="000378D6" w:rsidRPr="004B2613"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54976C64"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Vendimi për kërkesat paraprake nuk njihet ose nuk ekzekutohet sipas kësaj Konvente nëse vendimi lidhet me një çështje për të cilën kjo Konventë nuk zbatohet, ose me një çështje të përmendur në nenin 6, për të cilën është shprehur një gjykatë e një shteti të ndryshëm nga shteti i përmendur në atë nen.</w:t>
      </w:r>
    </w:p>
    <w:p w14:paraId="5026111E" w14:textId="77777777" w:rsidR="000378D6" w:rsidRPr="00127CA4" w:rsidRDefault="000378D6" w:rsidP="009E079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2. Njohja ose ekzekutimi i një vendimi gjyqësor mund të refuzohet nëse, dhe deri në masën që, vendimi gjyqësor është bazuar në një vendim lidhur me një çështje për të cilën kjo Konventë nuk zbatohet, ose lidhur me një çështje, që përmendet në nenin 6, për të cilën është shprehur një gjykatë e një shteti të ndryshëm nga shteti i përmendur në atë nen.</w:t>
      </w:r>
    </w:p>
    <w:p w14:paraId="5F6B8F1A"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3C5DC52B"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9</w:t>
      </w:r>
    </w:p>
    <w:p w14:paraId="7461CB99"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Veçimi</w:t>
      </w:r>
    </w:p>
    <w:p w14:paraId="66CCA9A3"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5494B232" w14:textId="7777777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Njohja ose ekzekutimi i pjesës së vendimit gjyqësor që mund të veçohet, është i lejuar kur bëhet kërkesë për njohjen ose ekzekutimin e asaj pjese, ose kur vetëm një pjesë e vendimit gjyqësor mund të njihet ose të ekzekutohet sipas kësaj Konvente.</w:t>
      </w:r>
    </w:p>
    <w:p w14:paraId="67851C27"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7895E4E6"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10</w:t>
      </w:r>
    </w:p>
    <w:p w14:paraId="297B388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 xml:space="preserve">Dëmshpërblimi </w:t>
      </w:r>
    </w:p>
    <w:p w14:paraId="77336488"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09A4B40A" w14:textId="0FE607AA"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lastRenderedPageBreak/>
        <w:t xml:space="preserve">1. </w:t>
      </w:r>
      <w:r w:rsidRPr="00127CA4">
        <w:rPr>
          <w:rFonts w:ascii="Garamond" w:hAnsi="Garamond" w:cs="Times New Roman"/>
          <w:color w:val="000000"/>
          <w:sz w:val="24"/>
          <w:szCs w:val="24"/>
        </w:rPr>
        <w:t xml:space="preserve">Njohja ose ekzekutimi i një vendimi gjyqësor mund të refuzohet nëse, dhe deri në masën që, vendimi gjyqësor cakton një dëmshpërblimin, përfshirë edhe dëmshpërblimin me </w:t>
      </w:r>
      <w:r w:rsidR="00C006C1" w:rsidRPr="00127CA4">
        <w:rPr>
          <w:rFonts w:ascii="Garamond" w:hAnsi="Garamond" w:cs="Times New Roman"/>
          <w:color w:val="000000"/>
          <w:sz w:val="24"/>
          <w:szCs w:val="24"/>
        </w:rPr>
        <w:t>karakter</w:t>
      </w:r>
      <w:r w:rsidRPr="00127CA4">
        <w:rPr>
          <w:rFonts w:ascii="Garamond" w:hAnsi="Garamond" w:cs="Times New Roman"/>
          <w:color w:val="000000"/>
          <w:sz w:val="24"/>
          <w:szCs w:val="24"/>
        </w:rPr>
        <w:t xml:space="preserve"> ndëshkues, që nuk e kompenson palën për humbjen ose dëmin e pësuar në të vërtetë.</w:t>
      </w:r>
    </w:p>
    <w:p w14:paraId="0E9B9636" w14:textId="2AEA01A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 xml:space="preserve">Gjykata, </w:t>
      </w:r>
      <w:r w:rsidR="00C006C1">
        <w:rPr>
          <w:rFonts w:ascii="Garamond" w:hAnsi="Garamond" w:cs="Times New Roman"/>
          <w:color w:val="000000"/>
          <w:sz w:val="24"/>
          <w:szCs w:val="24"/>
        </w:rPr>
        <w:t>s</w:t>
      </w:r>
      <w:r w:rsidRPr="00127CA4">
        <w:rPr>
          <w:rFonts w:ascii="Garamond" w:hAnsi="Garamond" w:cs="Times New Roman"/>
          <w:color w:val="000000"/>
          <w:sz w:val="24"/>
          <w:szCs w:val="24"/>
        </w:rPr>
        <w:t>ë cilës i është drejtuar pala, merr parasysh nëse, dhe deri në çfarë mase, dëmshpërblimi i caktuar nga gjykata e origjinës, shërben për të mbuluar kostot dhe shpenzimet në lidhje me procedurat.</w:t>
      </w:r>
    </w:p>
    <w:p w14:paraId="01DE6066"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4B24E72B"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11</w:t>
      </w:r>
    </w:p>
    <w:p w14:paraId="61C54CB7" w14:textId="52C94F4A" w:rsidR="000378D6" w:rsidRPr="00127CA4" w:rsidRDefault="000378D6" w:rsidP="000378D6">
      <w:pPr>
        <w:autoSpaceDE w:val="0"/>
        <w:autoSpaceDN w:val="0"/>
        <w:adjustRightInd w:val="0"/>
        <w:spacing w:after="0" w:line="240" w:lineRule="auto"/>
        <w:ind w:firstLine="284"/>
        <w:jc w:val="center"/>
        <w:rPr>
          <w:rFonts w:ascii="Garamond" w:hAnsi="Garamond" w:cs="Times New Roman"/>
          <w:b/>
          <w:color w:val="000000"/>
          <w:sz w:val="24"/>
          <w:szCs w:val="24"/>
        </w:rPr>
      </w:pPr>
      <w:r w:rsidRPr="00127CA4">
        <w:rPr>
          <w:rFonts w:ascii="Garamond" w:hAnsi="Garamond" w:cs="Times New Roman"/>
          <w:b/>
          <w:iCs/>
          <w:color w:val="000000"/>
          <w:sz w:val="24"/>
          <w:szCs w:val="24"/>
        </w:rPr>
        <w:t>Zgjidhjet gjyqësore me pajtim</w:t>
      </w:r>
      <w:r w:rsidR="00A730CA" w:rsidRPr="00127CA4">
        <w:rPr>
          <w:rFonts w:ascii="Garamond" w:hAnsi="Garamond" w:cs="Times New Roman"/>
          <w:b/>
          <w:i/>
          <w:iCs/>
          <w:color w:val="000000"/>
          <w:sz w:val="24"/>
          <w:szCs w:val="24"/>
        </w:rPr>
        <w:t xml:space="preserve"> </w:t>
      </w:r>
      <w:r w:rsidRPr="009053D6">
        <w:rPr>
          <w:rFonts w:ascii="Garamond" w:hAnsi="Garamond" w:cs="Times New Roman"/>
          <w:b/>
          <w:i/>
          <w:iCs/>
          <w:color w:val="000000"/>
          <w:sz w:val="24"/>
          <w:szCs w:val="24"/>
        </w:rPr>
        <w:t>(transactions judiciaires)</w:t>
      </w:r>
    </w:p>
    <w:p w14:paraId="691CEF21"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160EBF59" w14:textId="7777777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 xml:space="preserve">Zgjidhjet gjyqësore me pajtim </w:t>
      </w:r>
      <w:r w:rsidRPr="00817138">
        <w:rPr>
          <w:rFonts w:ascii="Garamond" w:hAnsi="Garamond" w:cs="Times New Roman"/>
          <w:i/>
          <w:iCs/>
          <w:color w:val="000000"/>
          <w:sz w:val="24"/>
          <w:szCs w:val="24"/>
        </w:rPr>
        <w:t xml:space="preserve">(transactions judiciaires) </w:t>
      </w:r>
      <w:r w:rsidRPr="00127CA4">
        <w:rPr>
          <w:rFonts w:ascii="Garamond" w:hAnsi="Garamond" w:cs="Times New Roman"/>
          <w:color w:val="000000"/>
          <w:sz w:val="24"/>
          <w:szCs w:val="24"/>
        </w:rPr>
        <w:t>që i ka miratuar gjykata e Shtetit Kontraktues, ose të cilat janë lidhur gjatë zhvillimit të procedurës para gjykatës së Shtetit Kontraktues, dhe që janë të zbatueshme në të njëjtën mënyrë si vendimi gjyqësor në shtetin e origjinës, zbatohen sipas kësaj Konvente, në të njëjtën mënyrë si vendimi gjyqësor.</w:t>
      </w:r>
    </w:p>
    <w:p w14:paraId="4ECF848F"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0A1D49E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12</w:t>
      </w:r>
    </w:p>
    <w:p w14:paraId="20A7EDBE"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Dokumentet që duhet të paraqiten</w:t>
      </w:r>
    </w:p>
    <w:p w14:paraId="655863EB"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0AFE1CAB"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Pala që kërkon njohje ose që paraqet kërkesën për ekzekutim, duhet të paraqesë dokumentet e mëposhtme:</w:t>
      </w:r>
    </w:p>
    <w:p w14:paraId="519E8DFB"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kopje të plotë dhe të noterizuar të vendimit gjyqësor;</w:t>
      </w:r>
    </w:p>
    <w:p w14:paraId="4AB9C96C"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nëse vendimi gjyqësor është dhënë në mungesë, origjinali ose kopje e noterizuar e dokumentit, që përcakton se dokumenti me të cilin ka filluar procedura, ose dokumenti i njëvlershëm, i është bërë i ditur përmes njoftimit palës që nuk ka qenë e pranishme në gjykim;</w:t>
      </w:r>
    </w:p>
    <w:p w14:paraId="54711C02" w14:textId="4064BA63"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c) </w:t>
      </w:r>
      <w:r w:rsidRPr="00127CA4">
        <w:rPr>
          <w:rFonts w:ascii="Garamond" w:hAnsi="Garamond" w:cs="Times New Roman"/>
          <w:color w:val="000000"/>
          <w:sz w:val="24"/>
          <w:szCs w:val="24"/>
        </w:rPr>
        <w:t>çdo dokument i nevojshëm për të vërtetuar se vendimi gjyqësor ka hyrë në fuqi ose, në është e nevojshme</w:t>
      </w:r>
      <w:r w:rsidR="005A4C6D">
        <w:rPr>
          <w:rFonts w:ascii="Garamond" w:hAnsi="Garamond" w:cs="Times New Roman"/>
          <w:color w:val="000000"/>
          <w:sz w:val="24"/>
          <w:szCs w:val="24"/>
        </w:rPr>
        <w:t>,</w:t>
      </w:r>
      <w:r w:rsidRPr="00127CA4">
        <w:rPr>
          <w:rFonts w:ascii="Garamond" w:hAnsi="Garamond" w:cs="Times New Roman"/>
          <w:color w:val="000000"/>
          <w:sz w:val="24"/>
          <w:szCs w:val="24"/>
        </w:rPr>
        <w:t xml:space="preserve"> është i ekzekutueshëm në shtetin e origjinës;</w:t>
      </w:r>
    </w:p>
    <w:p w14:paraId="124C6886"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d) </w:t>
      </w:r>
      <w:r w:rsidRPr="00127CA4">
        <w:rPr>
          <w:rFonts w:ascii="Garamond" w:hAnsi="Garamond" w:cs="Times New Roman"/>
          <w:color w:val="000000"/>
          <w:sz w:val="24"/>
          <w:szCs w:val="24"/>
        </w:rPr>
        <w:t>në rastin e përmendur në nenin 11, vërtetimi i gjykatës (lëshuar dhe nga një punonjës i gjykatës) së shtetit të origjinës ku deklarohet se marrëveshja gjyqësore, ose një pjesë e saj, është e ekzekutueshme në të njëjtën mënyrë si vendimi gjyqësor në shtetin e origjinës.</w:t>
      </w:r>
    </w:p>
    <w:p w14:paraId="18529075" w14:textId="6A0DDECD"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 xml:space="preserve">Nëse kushtet e vendimit gjyqësor nuk lejojnë që gjykata, së cilës i është drejtuar pala, të verifikojë nëse janë përmbushur kushtet e këtij </w:t>
      </w:r>
      <w:r w:rsidR="00394621" w:rsidRPr="00127CA4">
        <w:rPr>
          <w:rFonts w:ascii="Garamond" w:hAnsi="Garamond" w:cs="Times New Roman"/>
          <w:color w:val="000000"/>
          <w:sz w:val="24"/>
          <w:szCs w:val="24"/>
        </w:rPr>
        <w:t>kapitulli</w:t>
      </w:r>
      <w:r w:rsidRPr="00127CA4">
        <w:rPr>
          <w:rFonts w:ascii="Garamond" w:hAnsi="Garamond" w:cs="Times New Roman"/>
          <w:color w:val="000000"/>
          <w:sz w:val="24"/>
          <w:szCs w:val="24"/>
        </w:rPr>
        <w:t>, ajo gjykatë mund të kërkojë çdo dokument të nevojshëm.</w:t>
      </w:r>
    </w:p>
    <w:p w14:paraId="327C9FB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Kërkesa për njohjen ose ekzekutimin mund të shoqërohet me dokumentin që ka të bëjë me vendimin gjyqësor, të nxjerrë nga gjykata (lëshuar dhe nga një punonjës i gjykatës) e shtetit të origjinës, në formën e rekomanduar dhe të botuar nga Konferenca e Hagës për të Drejtën Ndërkombëtare Private.</w:t>
      </w:r>
    </w:p>
    <w:p w14:paraId="7206EBD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4. </w:t>
      </w:r>
      <w:r w:rsidRPr="00127CA4">
        <w:rPr>
          <w:rFonts w:ascii="Garamond" w:hAnsi="Garamond" w:cs="Times New Roman"/>
          <w:color w:val="000000"/>
          <w:sz w:val="24"/>
          <w:szCs w:val="24"/>
        </w:rPr>
        <w:t>Nëse dokumentet e përmendura në këtë nen nuk janë në një gjuhë zyrtare të Shtetit të kërkuar, ato shoqërohen me përkthimin e noterizuar në një gjuhë zyrtare, përveç rasteve kur parashikohet ndryshe në ligjin e Shtetit të kërkuar.</w:t>
      </w:r>
    </w:p>
    <w:p w14:paraId="0E928D32"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273F74D5"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13</w:t>
      </w:r>
    </w:p>
    <w:p w14:paraId="4871D5A9"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Procedura</w:t>
      </w:r>
    </w:p>
    <w:p w14:paraId="521E9CC5"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7B710C60" w14:textId="6660D353"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Procedura për njohjen, deklarimin e ekzekutueshmërisë</w:t>
      </w:r>
      <w:r w:rsidR="00883F5C">
        <w:rPr>
          <w:rFonts w:ascii="Garamond" w:hAnsi="Garamond" w:cs="Times New Roman"/>
          <w:color w:val="000000"/>
          <w:sz w:val="24"/>
          <w:szCs w:val="24"/>
        </w:rPr>
        <w:t>,</w:t>
      </w:r>
      <w:r w:rsidRPr="00127CA4">
        <w:rPr>
          <w:rFonts w:ascii="Garamond" w:hAnsi="Garamond" w:cs="Times New Roman"/>
          <w:color w:val="000000"/>
          <w:sz w:val="24"/>
          <w:szCs w:val="24"/>
        </w:rPr>
        <w:t xml:space="preserve"> ose regjistrimin për ekzekutim, dhe ekzekutimin e vendimit gjyqësor rregullohet nga ligji i Shtetit të kërkuar, përveç rasteve kur parashikohet ndryshe në këtë Konventë. Gjykata e Shtetit të kërkuar vepron me shpejtësi.</w:t>
      </w:r>
    </w:p>
    <w:p w14:paraId="3AF4C4C6" w14:textId="77777777" w:rsidR="000378D6" w:rsidRPr="00127CA4" w:rsidRDefault="000378D6" w:rsidP="000378D6">
      <w:pPr>
        <w:tabs>
          <w:tab w:val="left" w:pos="82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Gjykata e Shtetit të kërkuar nuk e refuzon njohjen ose ekzekutimin e vendimit gjyqësor sipas kësaj Konvente, me arsyetimin se njohja ose ekzekutimi do të duhet të kërkohet në një shtet tjetër.</w:t>
      </w:r>
    </w:p>
    <w:p w14:paraId="5B2DAA2F" w14:textId="7777777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p>
    <w:p w14:paraId="01E6A724"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14</w:t>
      </w:r>
    </w:p>
    <w:p w14:paraId="08A6D04C"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Kostot e procedurës</w:t>
      </w:r>
    </w:p>
    <w:p w14:paraId="02919A47"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26D855C6" w14:textId="7FE547DB"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Asnjë garanci, obligacion ose depozitë, sido që të përshkruhet, nuk kërkohet nga një palë që aplikon në një Shtet Kontraktues për ekzekutimin e vendimit gjyqësor, të dhënë nga gjykata e një Shteti tjetër Kontraktues me arsyetimin e vetëm se pala e tillë ka shtetësi të huaj, ose nuk është me vendbanim</w:t>
      </w:r>
      <w:r w:rsidR="00883F5C">
        <w:rPr>
          <w:rFonts w:ascii="Garamond" w:hAnsi="Garamond" w:cs="Times New Roman"/>
          <w:color w:val="000000"/>
          <w:sz w:val="24"/>
          <w:szCs w:val="24"/>
        </w:rPr>
        <w:t>,</w:t>
      </w:r>
      <w:r w:rsidRPr="00127CA4">
        <w:rPr>
          <w:rFonts w:ascii="Garamond" w:hAnsi="Garamond" w:cs="Times New Roman"/>
          <w:color w:val="000000"/>
          <w:sz w:val="24"/>
          <w:szCs w:val="24"/>
        </w:rPr>
        <w:t xml:space="preserve"> ose me vendqëndrim</w:t>
      </w:r>
      <w:r w:rsidR="00883F5C">
        <w:rPr>
          <w:rFonts w:ascii="Garamond" w:hAnsi="Garamond" w:cs="Times New Roman"/>
          <w:color w:val="000000"/>
          <w:sz w:val="24"/>
          <w:szCs w:val="24"/>
        </w:rPr>
        <w:t>,</w:t>
      </w:r>
      <w:r w:rsidRPr="00127CA4">
        <w:rPr>
          <w:rFonts w:ascii="Garamond" w:hAnsi="Garamond" w:cs="Times New Roman"/>
          <w:color w:val="000000"/>
          <w:sz w:val="24"/>
          <w:szCs w:val="24"/>
        </w:rPr>
        <w:t xml:space="preserve"> në shtetin në të cilin kërkohet ekzekutimi.</w:t>
      </w:r>
    </w:p>
    <w:p w14:paraId="545F5C29" w14:textId="01128D0C"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lastRenderedPageBreak/>
        <w:t xml:space="preserve">2. </w:t>
      </w:r>
      <w:r w:rsidRPr="00127CA4">
        <w:rPr>
          <w:rFonts w:ascii="Garamond" w:hAnsi="Garamond" w:cs="Times New Roman"/>
          <w:color w:val="000000"/>
          <w:sz w:val="24"/>
          <w:szCs w:val="24"/>
        </w:rPr>
        <w:t xml:space="preserve">Urdhri për pagesën e kostove ose </w:t>
      </w:r>
      <w:r w:rsidR="00883F5C">
        <w:rPr>
          <w:rFonts w:ascii="Garamond" w:hAnsi="Garamond" w:cs="Times New Roman"/>
          <w:color w:val="000000"/>
          <w:sz w:val="24"/>
          <w:szCs w:val="24"/>
        </w:rPr>
        <w:t xml:space="preserve">të </w:t>
      </w:r>
      <w:r w:rsidRPr="00127CA4">
        <w:rPr>
          <w:rFonts w:ascii="Garamond" w:hAnsi="Garamond" w:cs="Times New Roman"/>
          <w:color w:val="000000"/>
          <w:sz w:val="24"/>
          <w:szCs w:val="24"/>
        </w:rPr>
        <w:t>shpenzimeve të procedurës, i lëshuar në Shtetin Kontraktues ndaj çdo personi të përjashtuar nga kërkesat për garancinë, obligacionin ose depozitën, në bazë të paragrafit 1, ose në bazë të ligjit të shtetit ku janë filluar procedurat, bëhet i ekzekutueshëm në çdo Shtet Kontraktues tjetër, me paraqitjen e kërkesës nga personi që ka të drejtë të përfitojë nga urdhri.</w:t>
      </w:r>
    </w:p>
    <w:p w14:paraId="695F629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Shteti mund të deklarojë se nuk e zbaton paragrafin 1 ose të përcaktojë përmes një deklarimi se cila nga gjykatat e tij nuk e zbaton paragrafin 1.</w:t>
      </w:r>
    </w:p>
    <w:p w14:paraId="0B552E12"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5DD51066"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15</w:t>
      </w:r>
    </w:p>
    <w:p w14:paraId="51E30B2B" w14:textId="0DC43C16"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 xml:space="preserve">Njohja dhe ekzekutimi sipas </w:t>
      </w:r>
      <w:r w:rsidR="001E6FBE">
        <w:rPr>
          <w:rFonts w:ascii="Garamond" w:hAnsi="Garamond" w:cs="Times New Roman"/>
          <w:b/>
          <w:iCs/>
          <w:color w:val="000000"/>
          <w:sz w:val="24"/>
          <w:szCs w:val="24"/>
        </w:rPr>
        <w:t>s</w:t>
      </w:r>
      <w:r w:rsidRPr="00127CA4">
        <w:rPr>
          <w:rFonts w:ascii="Garamond" w:hAnsi="Garamond" w:cs="Times New Roman"/>
          <w:b/>
          <w:iCs/>
          <w:color w:val="000000"/>
          <w:sz w:val="24"/>
          <w:szCs w:val="24"/>
        </w:rPr>
        <w:t>ë drejtës kombëtare</w:t>
      </w:r>
    </w:p>
    <w:p w14:paraId="0E3062F7"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p>
    <w:p w14:paraId="7151583F" w14:textId="5AC51B38"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 xml:space="preserve">Me përjashtim të nenit 6, kjo Konventë nuk ndalon njohjen ose ekzekutimin e vendimeve gjyqësore sipas </w:t>
      </w:r>
      <w:r w:rsidR="00770CAF">
        <w:rPr>
          <w:rFonts w:ascii="Garamond" w:hAnsi="Garamond" w:cs="Times New Roman"/>
          <w:color w:val="000000"/>
          <w:sz w:val="24"/>
          <w:szCs w:val="24"/>
        </w:rPr>
        <w:t>s</w:t>
      </w:r>
      <w:r w:rsidRPr="00127CA4">
        <w:rPr>
          <w:rFonts w:ascii="Garamond" w:hAnsi="Garamond" w:cs="Times New Roman"/>
          <w:color w:val="000000"/>
          <w:sz w:val="24"/>
          <w:szCs w:val="24"/>
        </w:rPr>
        <w:t>ë drejtës kombëtare.</w:t>
      </w:r>
    </w:p>
    <w:p w14:paraId="58B363C5"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75075235"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 xml:space="preserve">KAPITULLI III </w:t>
      </w:r>
    </w:p>
    <w:p w14:paraId="34E9ACB2"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KLAUZOLA TË PËRGJITHSHME</w:t>
      </w:r>
    </w:p>
    <w:p w14:paraId="039302CF"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39DF6005"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16</w:t>
      </w:r>
    </w:p>
    <w:p w14:paraId="497368B9"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Dispozita kalimtare</w:t>
      </w:r>
    </w:p>
    <w:p w14:paraId="6B8550EE"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747E9E7D" w14:textId="7777777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Kjo Konventë zbatohet për njohjen dhe ekzekutimin e vendimeve gjyqësore nëse, në kohën e fillimit të procedurave në shtetin e origjinës, Konventa kishte hyrë në fuqi mes atij shteti dhe Shtetit të kërkuar.</w:t>
      </w:r>
    </w:p>
    <w:p w14:paraId="38930E22"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7C91F767"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17</w:t>
      </w:r>
    </w:p>
    <w:p w14:paraId="06CD2E72" w14:textId="77777777" w:rsidR="000378D6" w:rsidRPr="0066164B" w:rsidRDefault="000378D6" w:rsidP="000378D6">
      <w:pPr>
        <w:autoSpaceDE w:val="0"/>
        <w:autoSpaceDN w:val="0"/>
        <w:adjustRightInd w:val="0"/>
        <w:spacing w:after="0" w:line="240" w:lineRule="auto"/>
        <w:ind w:firstLine="284"/>
        <w:jc w:val="center"/>
        <w:rPr>
          <w:rFonts w:ascii="Garamond" w:hAnsi="Garamond" w:cs="Times New Roman"/>
          <w:b/>
          <w:bCs/>
          <w:color w:val="000000"/>
          <w:sz w:val="24"/>
          <w:szCs w:val="24"/>
        </w:rPr>
      </w:pPr>
      <w:r w:rsidRPr="0066164B">
        <w:rPr>
          <w:rFonts w:ascii="Garamond" w:hAnsi="Garamond" w:cs="Times New Roman"/>
          <w:b/>
          <w:bCs/>
          <w:color w:val="000000"/>
          <w:sz w:val="24"/>
          <w:szCs w:val="24"/>
        </w:rPr>
        <w:t>Deklarimet që kufizojnë njohjen dhe ekzekutimin</w:t>
      </w:r>
    </w:p>
    <w:p w14:paraId="087B80FE"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05103EE2" w14:textId="717C87C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Një shtet mund të deklarojë se gjykatat e tij mund të refuzojnë të njohin ose të ekzekutojnë një vendim gjyqësor, të dhënë nga një gjykatë e një Shteti tjetër Kontraktues, nëse palët kanë pa</w:t>
      </w:r>
      <w:r w:rsidR="003916B5">
        <w:rPr>
          <w:rFonts w:ascii="Garamond" w:hAnsi="Garamond" w:cs="Times New Roman"/>
          <w:color w:val="000000"/>
          <w:sz w:val="24"/>
          <w:szCs w:val="24"/>
        </w:rPr>
        <w:t>s</w:t>
      </w:r>
      <w:r w:rsidRPr="00127CA4">
        <w:rPr>
          <w:rFonts w:ascii="Garamond" w:hAnsi="Garamond" w:cs="Times New Roman"/>
          <w:color w:val="000000"/>
          <w:sz w:val="24"/>
          <w:szCs w:val="24"/>
        </w:rPr>
        <w:t>ur vendqëndrimin e zakonshëm në Shtetin e kërkuar, dhe marrëdhëniet e palëve dhe të gjithë elementet e tjera të rëndësishme për mosmarrëveshjen, të ndryshme nga vendndodhja e gjykatës së origjinës, kanë qenë të lidhura vetëm me Shtetin e kërkuar.</w:t>
      </w:r>
    </w:p>
    <w:p w14:paraId="5B4916D4"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1DFD9BBC"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18</w:t>
      </w:r>
    </w:p>
    <w:p w14:paraId="254C312C"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Deklarimet lidhur me çështje specifike</w:t>
      </w:r>
    </w:p>
    <w:p w14:paraId="77072F76"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69B4B0D5" w14:textId="120D742C"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Kur një shtet ka interes të fortë për të mos e zbatuar këtë Konventë për një çështje specifike, ai shtet mund të deklarojë se nuk do ta zbatojë Konventën për atë çështje. Shteti që bën një deklarim të tillë</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siguron që deklarimi nuk është më i gjerë sesa është e nevojshme, dhe se çështja specifike e përjashtuar, është përkufizuar qartë dhe me përpikëri.</w:t>
      </w:r>
    </w:p>
    <w:p w14:paraId="53F0DC08"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Në lidhje me atë çështje, Konventa nuk aplikohet:</w:t>
      </w:r>
    </w:p>
    <w:p w14:paraId="5A35F406"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në Shtetin Kontraktues që ka bërë deklarimin;</w:t>
      </w:r>
    </w:p>
    <w:p w14:paraId="62DF7134"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në Shtetet e tjera Kontraktuese, ku kërkohet njohja ose ekzekutimi i vendimit gjyqësor, të dhënë nga një gjykatë e një Shteti Kontraktues që ka bërë deklarimin.</w:t>
      </w:r>
    </w:p>
    <w:p w14:paraId="3106CEBA"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6D35928E"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19</w:t>
      </w:r>
    </w:p>
    <w:p w14:paraId="3B443B63"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Deklarimet në lidhje me vendimet gjyqësore që i përkasin shtetit</w:t>
      </w:r>
    </w:p>
    <w:p w14:paraId="43A70AB9"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7A53392A"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Një shtet mund të deklarojë se nuk e zbaton këtë Konventë për vendimet gjyqësore që lindin nga procedurat në të cilat është palë cilado nga palët e mëposhtme:</w:t>
      </w:r>
    </w:p>
    <w:p w14:paraId="65C4F7EB"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ai shtet, ose personi fizik që vepron për atë shtet; ose</w:t>
      </w:r>
    </w:p>
    <w:p w14:paraId="5067CF5B"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një agjenci qeveritare e atij shteti, ose një person fizik që vepron për një agjenci të tillë qeveritare.</w:t>
      </w:r>
    </w:p>
    <w:p w14:paraId="398ABFDC" w14:textId="7777777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 xml:space="preserve">Shteti që bën një deklarim të tillë siguron që deklarimi nuk është më i gjerë sesa është e nevojshme dhe që përjashtimi nga fusha e veprimit është përkufizuar qartë dhe me përpikëri. Deklarimi nuk bën </w:t>
      </w:r>
      <w:r w:rsidRPr="00127CA4">
        <w:rPr>
          <w:rFonts w:ascii="Garamond" w:hAnsi="Garamond" w:cs="Times New Roman"/>
          <w:color w:val="000000"/>
          <w:sz w:val="24"/>
          <w:szCs w:val="24"/>
        </w:rPr>
        <w:lastRenderedPageBreak/>
        <w:t>dallimin midis vendimeve gjyqësore kur shteti, një agjenci qeveritare e atij shteti, ose një person fizik që vepron për cilindo prej tyre, është i paditur ose paditës në procedurat para gjykatës së origjinës.</w:t>
      </w:r>
    </w:p>
    <w:p w14:paraId="62C5912B" w14:textId="493C176E"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Njohja ose ekzekutimi</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i një vendimi gjyqësor, të dhënë nga një gjykatë e një shteti që ka bërë deklarimin, në pajtim me paragrafin 1, mund të refuzohet nëse vendimi gjyqësor ka lindur</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si pasojë e procedurave në të cilat është palë qoftë shteti që ka bërë deklarimin, ose Shteti i kërkuar, një nga agjencitë e tyre qeveritare, ose një person fizik që vepron për cilindo prej tyre, në të njëjtën masë, siç specifikohet në deklarim.</w:t>
      </w:r>
    </w:p>
    <w:p w14:paraId="505F1648"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6AE6A51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20</w:t>
      </w:r>
    </w:p>
    <w:p w14:paraId="2D576002"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Interpretimi i unifikuar</w:t>
      </w:r>
    </w:p>
    <w:p w14:paraId="0C0AF6AF" w14:textId="77777777" w:rsidR="000378D6" w:rsidRPr="00127CA4" w:rsidRDefault="000378D6" w:rsidP="000378D6">
      <w:pPr>
        <w:autoSpaceDE w:val="0"/>
        <w:autoSpaceDN w:val="0"/>
        <w:adjustRightInd w:val="0"/>
        <w:spacing w:after="0" w:line="240" w:lineRule="auto"/>
        <w:ind w:firstLine="284"/>
        <w:rPr>
          <w:rFonts w:ascii="Garamond" w:hAnsi="Garamond" w:cs="Times New Roman"/>
          <w:b/>
          <w:iCs/>
          <w:color w:val="000000"/>
          <w:sz w:val="24"/>
          <w:szCs w:val="24"/>
        </w:rPr>
      </w:pPr>
    </w:p>
    <w:p w14:paraId="1BA655C4" w14:textId="7777777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Në interpretimin e kësaj Konvente i kushtohet vëmendje karakterit të saj ndërkombëtar dhe nevojës për të nxitur zbatimin e unifikuar të saj.</w:t>
      </w:r>
    </w:p>
    <w:p w14:paraId="573510E6"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29D63973"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21</w:t>
      </w:r>
    </w:p>
    <w:p w14:paraId="1A66A7DA"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Rishikimi i funksionimit praktik të Konventës</w:t>
      </w:r>
    </w:p>
    <w:p w14:paraId="6F421D13"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56625BA9" w14:textId="77777777"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Sekretari i Përgjithshëm i Konferencës së Hagës për të Drejtën Ndërkombëtare Private organizon rishikimin në intervale të rregullta të funksionimit të kësaj Konvente, përfshirë çdo deklarim, dhe i raporton Këshillit për Çështjet e Përgjithshme dhe Politikat.</w:t>
      </w:r>
    </w:p>
    <w:p w14:paraId="166342AE"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7901D058"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22</w:t>
      </w:r>
    </w:p>
    <w:p w14:paraId="55A2B694"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Sistemet ligjore të paunifikuara</w:t>
      </w:r>
    </w:p>
    <w:p w14:paraId="5E433A49" w14:textId="77777777" w:rsidR="000378D6" w:rsidRPr="00127CA4" w:rsidRDefault="000378D6" w:rsidP="000378D6">
      <w:pPr>
        <w:autoSpaceDE w:val="0"/>
        <w:autoSpaceDN w:val="0"/>
        <w:adjustRightInd w:val="0"/>
        <w:spacing w:after="0" w:line="240" w:lineRule="auto"/>
        <w:ind w:firstLine="284"/>
        <w:rPr>
          <w:rFonts w:ascii="Garamond" w:hAnsi="Garamond" w:cs="Times New Roman"/>
          <w:b/>
          <w:iCs/>
          <w:color w:val="000000"/>
          <w:sz w:val="24"/>
          <w:szCs w:val="24"/>
        </w:rPr>
      </w:pPr>
    </w:p>
    <w:p w14:paraId="541FD949"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Në lidhje me Shtetin Kontraktues në të cilin zbatohen dy ose më shumë sisteme ligjore në njësi të ndryshme territoriale lidhur me çdo çështje që trajtohet në këtë Konventë:</w:t>
      </w:r>
    </w:p>
    <w:p w14:paraId="64DFAC65"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çdo referim ndaj ligjit ose procedurës së një shteti interpretohet se i referohet, kur është e përshtatshme, ligjit ose procedurës në fuqi, në njësinë territoriale përkatëse;</w:t>
      </w:r>
    </w:p>
    <w:p w14:paraId="73E5879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çdo referim ndaj gjykatës ose gjykatave të një shteti interpretohet se i referohet, kur është e përshtatshme, gjykatës ose gjykatave në njësinë territoriale përkatëse;</w:t>
      </w:r>
    </w:p>
    <w:p w14:paraId="478F9115"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c) </w:t>
      </w:r>
      <w:r w:rsidRPr="00127CA4">
        <w:rPr>
          <w:rFonts w:ascii="Garamond" w:hAnsi="Garamond" w:cs="Times New Roman"/>
          <w:color w:val="000000"/>
          <w:sz w:val="24"/>
          <w:szCs w:val="24"/>
        </w:rPr>
        <w:t>çdo referim ndaj lidhjes me një shtet interpretohet se i referohet, kur është e përshtatshme, lidhjes me njësinë territoriale përkatëse;</w:t>
      </w:r>
    </w:p>
    <w:p w14:paraId="69BDBBC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d) </w:t>
      </w:r>
      <w:r w:rsidRPr="00127CA4">
        <w:rPr>
          <w:rFonts w:ascii="Garamond" w:hAnsi="Garamond" w:cs="Times New Roman"/>
          <w:color w:val="000000"/>
          <w:sz w:val="24"/>
          <w:szCs w:val="24"/>
        </w:rPr>
        <w:t>çdo referim ndaj një kriteri të lidhjes në raport me një shtet interpretohet se i referohet, kur është e përshtatshme, atij kriteri të lidhjes në raport me njësinë territoriale përkatëse.</w:t>
      </w:r>
    </w:p>
    <w:p w14:paraId="2ED8AEE2"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Pavarësisht nga paragrafi 1, një Shtet Kontraktues me dy ose më shumë njësi territoriale, në të cilat aplikohen sisteme të ndryshme ligjore, nuk është i detyruar ta zbatojë këtë Konventë për situatat që kanë të bëjnë vetëm me këto njësi territoriale të ndryshme.</w:t>
      </w:r>
    </w:p>
    <w:p w14:paraId="49B9F0CA" w14:textId="58B6B652"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Gjykata në një njësi territoriale të një Shteti Kontraktues me dy ose më shumë njësi territoriale, në të cilat zbatohen sisteme të ndryshme ligjore, nuk është e detyruar të njohë ose të zbatojë vendimin gjyqësor të një Shteti Kontraktues tjetër vetëm për arsye se vendimi gjyqësor</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është njohur ose zbatuar në njësinë tjetër territoriale të të njëjtit Shtet Kontraktues sipas kësaj Konvente.</w:t>
      </w:r>
    </w:p>
    <w:p w14:paraId="7D57434E" w14:textId="614F6E8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4. </w:t>
      </w:r>
      <w:r w:rsidRPr="00127CA4">
        <w:rPr>
          <w:rFonts w:ascii="Garamond" w:hAnsi="Garamond" w:cs="Times New Roman"/>
          <w:color w:val="000000"/>
          <w:sz w:val="24"/>
          <w:szCs w:val="24"/>
        </w:rPr>
        <w:t xml:space="preserve">Ky nen nuk zbatohet për </w:t>
      </w:r>
      <w:r w:rsidR="006949FB" w:rsidRPr="006949FB">
        <w:rPr>
          <w:rFonts w:ascii="Garamond" w:hAnsi="Garamond" w:cs="Times New Roman"/>
          <w:color w:val="000000"/>
          <w:sz w:val="24"/>
          <w:szCs w:val="24"/>
        </w:rPr>
        <w:t>organizatat rajonale të integrimit ekonomik</w:t>
      </w:r>
      <w:r w:rsidRPr="00127CA4">
        <w:rPr>
          <w:rFonts w:ascii="Garamond" w:hAnsi="Garamond" w:cs="Times New Roman"/>
          <w:color w:val="000000"/>
          <w:sz w:val="24"/>
          <w:szCs w:val="24"/>
        </w:rPr>
        <w:t>.</w:t>
      </w:r>
    </w:p>
    <w:p w14:paraId="17BE03F2"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6FAA1116"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23</w:t>
      </w:r>
    </w:p>
    <w:p w14:paraId="6A5E5F58"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Marrëdhënia me instrumentet e tjera ndërkombëtare</w:t>
      </w:r>
    </w:p>
    <w:p w14:paraId="417C919A"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62EAAA98"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Kjo Konventë interpretohet aq sa është e mundur në përputhje me traktatet e tjera në fuqi për Shtetet Kontraktuese, pavarësisht nëse janë lidhur përpara ose pas kësaj Konvente.</w:t>
      </w:r>
    </w:p>
    <w:p w14:paraId="5F9F676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Kjo Konventë nuk ndikon në zbatimin nga ana e një Shteti Kontraktues të një traktati që është lidhur përpara kësaj Konvente.</w:t>
      </w:r>
    </w:p>
    <w:p w14:paraId="014EC0A0" w14:textId="59EF83EB"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 xml:space="preserve">Kjo Konventë nuk ndikon në zbatimin nga ana e një Shteti Kontraktues të një traktati që është lidhur pas kësaj Konvente në lidhje me njohjen ose ekzekutimin e vendimit gjyqësor, të dhënë nga një </w:t>
      </w:r>
      <w:r w:rsidRPr="00127CA4">
        <w:rPr>
          <w:rFonts w:ascii="Garamond" w:hAnsi="Garamond" w:cs="Times New Roman"/>
          <w:color w:val="000000"/>
          <w:sz w:val="24"/>
          <w:szCs w:val="24"/>
        </w:rPr>
        <w:lastRenderedPageBreak/>
        <w:t>gjykatë e një Shteti Kontraktues që është</w:t>
      </w:r>
      <w:r w:rsidR="00720B52">
        <w:rPr>
          <w:rFonts w:ascii="Garamond" w:hAnsi="Garamond" w:cs="Times New Roman"/>
          <w:color w:val="000000"/>
          <w:sz w:val="24"/>
          <w:szCs w:val="24"/>
        </w:rPr>
        <w:t>,</w:t>
      </w:r>
      <w:r w:rsidRPr="00127CA4">
        <w:rPr>
          <w:rFonts w:ascii="Garamond" w:hAnsi="Garamond" w:cs="Times New Roman"/>
          <w:color w:val="000000"/>
          <w:sz w:val="24"/>
          <w:szCs w:val="24"/>
        </w:rPr>
        <w:t xml:space="preserve"> gjithashtu</w:t>
      </w:r>
      <w:r w:rsidR="00720B52">
        <w:rPr>
          <w:rFonts w:ascii="Garamond" w:hAnsi="Garamond" w:cs="Times New Roman"/>
          <w:color w:val="000000"/>
          <w:sz w:val="24"/>
          <w:szCs w:val="24"/>
        </w:rPr>
        <w:t>,</w:t>
      </w:r>
      <w:r w:rsidRPr="00127CA4">
        <w:rPr>
          <w:rFonts w:ascii="Garamond" w:hAnsi="Garamond" w:cs="Times New Roman"/>
          <w:color w:val="000000"/>
          <w:sz w:val="24"/>
          <w:szCs w:val="24"/>
        </w:rPr>
        <w:t xml:space="preserve"> palë e atij traktati. Asgjë në traktatin tjetër nuk ndikon në detyrimet, sipas nenit 6, ndaj Shteteve Kontraktuese që nuk janë palë të atij traktati.</w:t>
      </w:r>
    </w:p>
    <w:p w14:paraId="52550EA7" w14:textId="73FA6B24"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4. </w:t>
      </w:r>
      <w:r w:rsidRPr="00127CA4">
        <w:rPr>
          <w:rFonts w:ascii="Garamond" w:hAnsi="Garamond" w:cs="Times New Roman"/>
          <w:color w:val="000000"/>
          <w:sz w:val="24"/>
          <w:szCs w:val="24"/>
        </w:rPr>
        <w:t>Kjo Konventë nuk ndikon në zbatimin e rregullave të Organizatës Rajonale të Integrimit Ekonomik, që është palë e kësaj Konvente për sa i përket njohjes ose ekzekutimit të një vendimi gjyqësor, të dhënë nga një gjykatë e një Shteti Kontraktues që është</w:t>
      </w:r>
      <w:r w:rsidR="00171B0C">
        <w:rPr>
          <w:rFonts w:ascii="Garamond" w:hAnsi="Garamond" w:cs="Times New Roman"/>
          <w:color w:val="000000"/>
          <w:sz w:val="24"/>
          <w:szCs w:val="24"/>
        </w:rPr>
        <w:t>,</w:t>
      </w:r>
      <w:r w:rsidRPr="00127CA4">
        <w:rPr>
          <w:rFonts w:ascii="Garamond" w:hAnsi="Garamond" w:cs="Times New Roman"/>
          <w:color w:val="000000"/>
          <w:sz w:val="24"/>
          <w:szCs w:val="24"/>
        </w:rPr>
        <w:t xml:space="preserve"> gjithashtu</w:t>
      </w:r>
      <w:r w:rsidR="00171B0C">
        <w:rPr>
          <w:rFonts w:ascii="Garamond" w:hAnsi="Garamond" w:cs="Times New Roman"/>
          <w:color w:val="000000"/>
          <w:sz w:val="24"/>
          <w:szCs w:val="24"/>
        </w:rPr>
        <w:t>,</w:t>
      </w:r>
      <w:r w:rsidRPr="00127CA4">
        <w:rPr>
          <w:rFonts w:ascii="Garamond" w:hAnsi="Garamond" w:cs="Times New Roman"/>
          <w:color w:val="000000"/>
          <w:sz w:val="24"/>
          <w:szCs w:val="24"/>
        </w:rPr>
        <w:t xml:space="preserve"> shtet anëtar i Organizatës Rajonale të Integrimit Ekonomik</w:t>
      </w:r>
      <w:r w:rsidR="00171B0C">
        <w:rPr>
          <w:rFonts w:ascii="Garamond" w:hAnsi="Garamond" w:cs="Times New Roman"/>
          <w:color w:val="000000"/>
          <w:sz w:val="24"/>
          <w:szCs w:val="24"/>
        </w:rPr>
        <w:t>,</w:t>
      </w:r>
      <w:r w:rsidRPr="00127CA4">
        <w:rPr>
          <w:rFonts w:ascii="Garamond" w:hAnsi="Garamond" w:cs="Times New Roman"/>
          <w:color w:val="000000"/>
          <w:sz w:val="24"/>
          <w:szCs w:val="24"/>
        </w:rPr>
        <w:t xml:space="preserve"> kur:</w:t>
      </w:r>
    </w:p>
    <w:p w14:paraId="24200DD0" w14:textId="77777777" w:rsidR="000378D6" w:rsidRPr="00127CA4" w:rsidRDefault="000378D6" w:rsidP="000378D6">
      <w:pPr>
        <w:tabs>
          <w:tab w:val="left" w:pos="6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rregullat janë miratuar përpara nënshkrimit të kësaj Konvente; ose</w:t>
      </w:r>
    </w:p>
    <w:p w14:paraId="7CBEA2AD"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rregullat janë miratuar pas nënshkrimit të kësaj Konvente, në masën që ato nuk ndikojnë në detyrimet, sipas nenit 6, ndaj Shteteve Kontraktuese që nuk janë shtete anëtare të Organizatës Rajonale të Integrimit Ekonomik.</w:t>
      </w:r>
    </w:p>
    <w:p w14:paraId="3873B6F1"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4A3E0B33"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 xml:space="preserve">KAPITULLI IV </w:t>
      </w:r>
    </w:p>
    <w:p w14:paraId="49408097"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KLAUZOLAT PËRFUNDIMTARE</w:t>
      </w:r>
    </w:p>
    <w:p w14:paraId="4A91EB42" w14:textId="77777777" w:rsidR="000378D6" w:rsidRPr="00127CA4" w:rsidRDefault="000378D6" w:rsidP="000378D6">
      <w:pPr>
        <w:autoSpaceDE w:val="0"/>
        <w:autoSpaceDN w:val="0"/>
        <w:adjustRightInd w:val="0"/>
        <w:spacing w:after="0" w:line="240" w:lineRule="auto"/>
        <w:rPr>
          <w:rFonts w:ascii="Garamond" w:hAnsi="Garamond" w:cs="Times New Roman"/>
          <w:color w:val="000000"/>
          <w:sz w:val="24"/>
          <w:szCs w:val="24"/>
        </w:rPr>
      </w:pPr>
    </w:p>
    <w:p w14:paraId="5AFB2AFA"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24</w:t>
      </w:r>
    </w:p>
    <w:p w14:paraId="70AC9727"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Nënshkrimi, ratifikimi, pranimi, miratimi ose aderimi</w:t>
      </w:r>
    </w:p>
    <w:p w14:paraId="282FA74F" w14:textId="77777777" w:rsidR="000378D6" w:rsidRPr="00127CA4" w:rsidRDefault="000378D6" w:rsidP="000378D6">
      <w:pPr>
        <w:autoSpaceDE w:val="0"/>
        <w:autoSpaceDN w:val="0"/>
        <w:adjustRightInd w:val="0"/>
        <w:spacing w:after="0" w:line="240" w:lineRule="auto"/>
        <w:ind w:firstLine="284"/>
        <w:rPr>
          <w:rFonts w:ascii="Garamond" w:hAnsi="Garamond" w:cs="Times New Roman"/>
          <w:b/>
          <w:iCs/>
          <w:color w:val="000000"/>
          <w:sz w:val="24"/>
          <w:szCs w:val="24"/>
        </w:rPr>
      </w:pPr>
    </w:p>
    <w:p w14:paraId="47324A28"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Kjo Konventë është e hapur për nënshkrim nga të gjitha shtetet.</w:t>
      </w:r>
    </w:p>
    <w:p w14:paraId="6F53ACCE"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Kjo Konventë është subjekt i ratifikimit, pranimit ose miratimit nga shtetet nënshkruese.</w:t>
      </w:r>
    </w:p>
    <w:p w14:paraId="7819579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Kjo Konventë është e hapur për aderim nga të gjitha shtetet.</w:t>
      </w:r>
    </w:p>
    <w:p w14:paraId="7F422653"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4. </w:t>
      </w:r>
      <w:r w:rsidRPr="00127CA4">
        <w:rPr>
          <w:rFonts w:ascii="Garamond" w:hAnsi="Garamond" w:cs="Times New Roman"/>
          <w:color w:val="000000"/>
          <w:sz w:val="24"/>
          <w:szCs w:val="24"/>
        </w:rPr>
        <w:t>Instrumentet e ratifikimit, pranimit, miratimit ose aderimit depozitohen pranë Ministrisë së Punëve të Jashtme të Mbretërisë së Vendeve të Ulëta, që është Depozitari i Konventës.</w:t>
      </w:r>
    </w:p>
    <w:p w14:paraId="27C542B4"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559CB34E"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25</w:t>
      </w:r>
    </w:p>
    <w:p w14:paraId="77978ED9"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Deklarimet në lidhje me sistemet ligjore të paunifikuara</w:t>
      </w:r>
    </w:p>
    <w:p w14:paraId="0C502108" w14:textId="77777777" w:rsidR="000378D6" w:rsidRPr="00127CA4" w:rsidRDefault="000378D6" w:rsidP="000378D6">
      <w:pPr>
        <w:autoSpaceDE w:val="0"/>
        <w:autoSpaceDN w:val="0"/>
        <w:adjustRightInd w:val="0"/>
        <w:spacing w:after="0" w:line="240" w:lineRule="auto"/>
        <w:ind w:firstLine="284"/>
        <w:rPr>
          <w:rFonts w:ascii="Garamond" w:hAnsi="Garamond" w:cs="Times New Roman"/>
          <w:b/>
          <w:iCs/>
          <w:color w:val="000000"/>
          <w:sz w:val="24"/>
          <w:szCs w:val="24"/>
        </w:rPr>
      </w:pPr>
    </w:p>
    <w:p w14:paraId="790FEFAB" w14:textId="0B2F58AD"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Nëse një shtet ka dy ose më shumë njësi territoriale, në të cilat zbatohen sisteme të ndryshme ligjore</w:t>
      </w:r>
      <w:r w:rsidR="006949FB">
        <w:rPr>
          <w:rFonts w:ascii="Garamond" w:hAnsi="Garamond" w:cs="Times New Roman"/>
          <w:color w:val="000000"/>
          <w:sz w:val="24"/>
          <w:szCs w:val="24"/>
        </w:rPr>
        <w:t>,</w:t>
      </w:r>
      <w:r w:rsidRPr="00127CA4">
        <w:rPr>
          <w:rFonts w:ascii="Garamond" w:hAnsi="Garamond" w:cs="Times New Roman"/>
          <w:color w:val="000000"/>
          <w:sz w:val="24"/>
          <w:szCs w:val="24"/>
        </w:rPr>
        <w:t xml:space="preserve"> në lidhje me çështjet e trajtuara në këtë Konventë, ai mund të deklarojë se fusha e veprimit të Konventës shtrihet në të gjitha njësitë e tij territoriale, ose vetëm në një a më shumë prej tyre. Një deklarim i tillë thekson shprehimisht njësitë territoriale në të cilat zbatohet Konventa.</w:t>
      </w:r>
    </w:p>
    <w:p w14:paraId="736A6310"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Nëse një shtet nuk bën asnjë deklarim sipas këtij neni, fusha e veprimit të Konventës shtrihet në të gjitha njësitë territoriale të atij shteti.</w:t>
      </w:r>
    </w:p>
    <w:p w14:paraId="53674509"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Ky nen nuk zbatohet për organizatat rajonale të integrimit ekonomik.</w:t>
      </w:r>
    </w:p>
    <w:p w14:paraId="3BD05D96"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43A30BDF"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26</w:t>
      </w:r>
    </w:p>
    <w:p w14:paraId="610B55AF"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Organizatat rajonale të integrimit ekonomik</w:t>
      </w:r>
    </w:p>
    <w:p w14:paraId="0AE2F517"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3FE13704"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Organizata Rajonale e Integrimit Ekonomik, e cila përbëhet vetëm nga shtete sovrane dhe ka kompetencë mbi disa ose mbi të gjitha çështjet e rregulluara me këtë Konventë, mund të nënshkruajë, pranojë, miratojë ose aderojë në këtë Konventë. Në këtë rast, Organizata Rajonale e Integrimit Ekonomik ka të drejtat dhe detyrimet e një Shteti Kontraktues, në masën që Organizata ka kompetencë mbi çështjet e rregulluara me këtë Konventë.</w:t>
      </w:r>
    </w:p>
    <w:p w14:paraId="3E086F1E" w14:textId="3269950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Në momentin e nënshkrimit, pranimit, miratimit ose aderimit, Organizata Rajonale e Integrimit Ekonomik njofton me shkrim Depozitarin për çështjet që rregullohen me këtë Konventë</w:t>
      </w:r>
      <w:r w:rsidR="006949FB">
        <w:rPr>
          <w:rFonts w:ascii="Garamond" w:hAnsi="Garamond" w:cs="Times New Roman"/>
          <w:color w:val="000000"/>
          <w:sz w:val="24"/>
          <w:szCs w:val="24"/>
        </w:rPr>
        <w:t>,</w:t>
      </w:r>
      <w:r w:rsidRPr="00127CA4">
        <w:rPr>
          <w:rFonts w:ascii="Garamond" w:hAnsi="Garamond" w:cs="Times New Roman"/>
          <w:color w:val="000000"/>
          <w:sz w:val="24"/>
          <w:szCs w:val="24"/>
        </w:rPr>
        <w:t xml:space="preserve"> në lidhje me kompetencat që shtetet anëtare i kanë transferuar kësaj Organizate. Organizata njofton menjëherë me shkrim Depozitarin, për çdo ndryshim në kompetencat e saj, siç specifikohet në njoftimin më të fundit, të dhënë sipas këtij paragrafi.</w:t>
      </w:r>
    </w:p>
    <w:p w14:paraId="649BA37E"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Për qëllimet e hyrjes në fuqi të kësaj Konvente, çdo instrument i depozituar nga një organizatë rajonale e integrimit ekonomik nuk llogaritet nëse Organizata Rajonale e Integrimit Ekonomik nuk deklaron në përputhje me nenin 27(1) se shtetet anëtare të saj nuk do të jenë palë në këtë Konventë.</w:t>
      </w:r>
    </w:p>
    <w:p w14:paraId="41DC118F"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4. </w:t>
      </w:r>
      <w:r w:rsidRPr="00127CA4">
        <w:rPr>
          <w:rFonts w:ascii="Garamond" w:hAnsi="Garamond" w:cs="Times New Roman"/>
          <w:color w:val="000000"/>
          <w:sz w:val="24"/>
          <w:szCs w:val="24"/>
        </w:rPr>
        <w:t>Çdo referim ndaj një “Shteti Kontraktues” ose “Shteti” në këtë Konventë zbatohet në mënyrë të barabartë, kur është e përshtatshme, për Organizatën Rajonale të Integrimit Ekonomik.</w:t>
      </w:r>
    </w:p>
    <w:p w14:paraId="329A6D4C"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695FC7FC"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lastRenderedPageBreak/>
        <w:t>Neni 27</w:t>
      </w:r>
    </w:p>
    <w:p w14:paraId="1A880469"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Organizata Rajonale e Integrimit Ekonomik si palë kontraktuese pa Shtetet Anëtare të saj</w:t>
      </w:r>
    </w:p>
    <w:p w14:paraId="6F1DFF44"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6CD6CCB6"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Në momentin e nënshkrimit, pranimit, miratimit ose aderimit, një organizatë rajonale e integrimit ekonomik mund të deklarojë se ushtron kompetencën mbi të gjitha çështjet e rregulluara me këtë Konventë dhe se shtetet anëtare të saj nuk do të jenë palë në këtë Konventë, por do të kenë detyrime si pasojë e nënshkrimit, pranimit, miratimit ose aderimit të Organizatës.</w:t>
      </w:r>
    </w:p>
    <w:p w14:paraId="07784972" w14:textId="1B15304B"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Në rast të deklarimit të bërë nga një organizatë rajonale e integrimit ekonomik</w:t>
      </w:r>
      <w:r w:rsidR="004A6C0E">
        <w:rPr>
          <w:rFonts w:ascii="Garamond" w:hAnsi="Garamond" w:cs="Times New Roman"/>
          <w:color w:val="000000"/>
          <w:sz w:val="24"/>
          <w:szCs w:val="24"/>
        </w:rPr>
        <w:t>,</w:t>
      </w:r>
      <w:r w:rsidRPr="00127CA4">
        <w:rPr>
          <w:rFonts w:ascii="Garamond" w:hAnsi="Garamond" w:cs="Times New Roman"/>
          <w:color w:val="000000"/>
          <w:sz w:val="24"/>
          <w:szCs w:val="24"/>
        </w:rPr>
        <w:t xml:space="preserve"> në përputhje me paragrafin 1, çdo referim ndaj një “Shteti Kontraktues” ose një “Shteti” në këtë Konventë zbatohet në mënyrë të barabartë, kur është e përshtatshme, për shtetet anëtare të Organizatës.</w:t>
      </w:r>
    </w:p>
    <w:p w14:paraId="2CA66079"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05CFD56E"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28</w:t>
      </w:r>
    </w:p>
    <w:p w14:paraId="113B9DC7"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Hyrja në fuqi</w:t>
      </w:r>
    </w:p>
    <w:p w14:paraId="37209357"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77C14559"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Kjo Konventë hyn në fuqi në ditën e parë të muajit, në përfundim të periudhës gjatë së cilës mund të jetë bërë njoftimi, në përputhje me nenin 29(2) që ka të bëjë me shtetin e dytë që ka depozituar instrumentin e tij të ratifikimit, pranimit, miratimit ose aderimit, të përmendur në nenin 24.</w:t>
      </w:r>
    </w:p>
    <w:p w14:paraId="4C8E51E1"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Pas kësaj, kjo Konventë hyn në fuqi:</w:t>
      </w:r>
    </w:p>
    <w:p w14:paraId="0AE809F8" w14:textId="05A19FC6"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për çdo</w:t>
      </w:r>
      <w:r w:rsidR="00A730CA" w:rsidRPr="00127CA4">
        <w:rPr>
          <w:rFonts w:ascii="Garamond" w:hAnsi="Garamond" w:cs="Times New Roman"/>
          <w:color w:val="000000"/>
          <w:sz w:val="24"/>
          <w:szCs w:val="24"/>
        </w:rPr>
        <w:t xml:space="preserve"> </w:t>
      </w:r>
      <w:r w:rsidRPr="00127CA4">
        <w:rPr>
          <w:rFonts w:ascii="Garamond" w:hAnsi="Garamond" w:cs="Times New Roman"/>
          <w:color w:val="000000"/>
          <w:sz w:val="24"/>
          <w:szCs w:val="24"/>
        </w:rPr>
        <w:t>shtet që në vijim do të ratifikojë, pranojë, miratojë ose aderojë në të, në ditën e parë të muajit në përfundim të periudhës gjatë së cilës mund të bëhen njoftimet, në përputhje me nenin 29(2) që ka të bëjë me atë shtet;</w:t>
      </w:r>
    </w:p>
    <w:p w14:paraId="02D331C9"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për njësinë territoriale në të cilën është shtrirë fusha e veprimit të kësaj Konvente, në përputhje me nenin 25, pasi Konventa të ketë hyrë në fuqi për shtetin që bën deklarimin, në ditën e parë të muajit në përfundim të tre muajve, pas njoftimit të deklarimit të referuar në atë nen.</w:t>
      </w:r>
    </w:p>
    <w:p w14:paraId="7B299274"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04E4735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29</w:t>
      </w:r>
    </w:p>
    <w:p w14:paraId="4B28A8B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Vendosja e marrëdhënieve në përputhje me Konventën</w:t>
      </w:r>
    </w:p>
    <w:p w14:paraId="71DC65F7"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2F40A280" w14:textId="180E6DD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Kjo Konventë do jetë e zbatueshme nga të dy</w:t>
      </w:r>
      <w:r w:rsidR="008C3F5C">
        <w:rPr>
          <w:rFonts w:ascii="Garamond" w:hAnsi="Garamond" w:cs="Times New Roman"/>
          <w:color w:val="000000"/>
          <w:sz w:val="24"/>
          <w:szCs w:val="24"/>
        </w:rPr>
        <w:t>ja</w:t>
      </w:r>
      <w:r w:rsidRPr="00127CA4">
        <w:rPr>
          <w:rFonts w:ascii="Garamond" w:hAnsi="Garamond" w:cs="Times New Roman"/>
          <w:color w:val="000000"/>
          <w:sz w:val="24"/>
          <w:szCs w:val="24"/>
        </w:rPr>
        <w:t xml:space="preserve"> Shtetet Kontraktuese</w:t>
      </w:r>
      <w:r w:rsidR="008C3F5C">
        <w:rPr>
          <w:rFonts w:ascii="Garamond" w:hAnsi="Garamond" w:cs="Times New Roman"/>
          <w:color w:val="000000"/>
          <w:sz w:val="24"/>
          <w:szCs w:val="24"/>
        </w:rPr>
        <w:t>,</w:t>
      </w:r>
      <w:r w:rsidRPr="00127CA4">
        <w:rPr>
          <w:rFonts w:ascii="Garamond" w:hAnsi="Garamond" w:cs="Times New Roman"/>
          <w:color w:val="000000"/>
          <w:sz w:val="24"/>
          <w:szCs w:val="24"/>
        </w:rPr>
        <w:t xml:space="preserve"> përveç rasteve kur njëri prej tyre ka njoftuar Depozitarin në lidhje me shtetin tjetrin, në përputhje me paragrafin 2 ose 3. Në mungesë të një njoftimi të tillë, Konventa ka efekt mes dy Shteteve Kontraktuese nga dita e parë e muajit, në përfundim të periudhës gjatë së cilës mund të bëhen njoftimet.</w:t>
      </w:r>
    </w:p>
    <w:p w14:paraId="5DA6E662"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Një shtet kontraktues mund të njoftojë Depozitarin, brenda 12 muajve nga data e njoftimit nga Depozitari, që përmendet në nenin 32(a), se ratifikimi, pranimi, miratimi ose aderimi i një shteti tjetër nuk ka efekt për vendosjen e marrëdhënieve mes të dy shteteve në përputhje me këtë Konventë.</w:t>
      </w:r>
    </w:p>
    <w:p w14:paraId="66E12E4B" w14:textId="6CF83AC0"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Një shtet mund të njoftojë Depozitarin, me depozitimin e instrumentit të tij</w:t>
      </w:r>
      <w:r w:rsidR="008C3F5C">
        <w:rPr>
          <w:rFonts w:ascii="Garamond" w:hAnsi="Garamond" w:cs="Times New Roman"/>
          <w:color w:val="000000"/>
          <w:sz w:val="24"/>
          <w:szCs w:val="24"/>
        </w:rPr>
        <w:t xml:space="preserve">, </w:t>
      </w:r>
      <w:r w:rsidRPr="00127CA4">
        <w:rPr>
          <w:rFonts w:ascii="Garamond" w:hAnsi="Garamond" w:cs="Times New Roman"/>
          <w:color w:val="000000"/>
          <w:sz w:val="24"/>
          <w:szCs w:val="24"/>
        </w:rPr>
        <w:t>në përputhje me nenin 24(4), se ratifikimi, pranimi, miratimi ose aderimi i tij nuk ka efekt për vendosjen e marrëdhënieve me një Shtet Kontraktues në përputhje me këtë Konventë.</w:t>
      </w:r>
    </w:p>
    <w:p w14:paraId="67B9D44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4. </w:t>
      </w:r>
      <w:r w:rsidRPr="00127CA4">
        <w:rPr>
          <w:rFonts w:ascii="Garamond" w:hAnsi="Garamond" w:cs="Times New Roman"/>
          <w:color w:val="000000"/>
          <w:sz w:val="24"/>
          <w:szCs w:val="24"/>
        </w:rPr>
        <w:t>Një Shteti Kontraktues mund të tërheqë në çdo kohë njoftimin që ka bërë sipas paragrafit 2 ose 3. Një tërheqje e tillë hyn në fuqi në ditën e parë të muajit, në përfundim të tre muajve nga data e njoftimit.</w:t>
      </w:r>
    </w:p>
    <w:p w14:paraId="5F118A3F"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3EF186A7"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30</w:t>
      </w:r>
    </w:p>
    <w:p w14:paraId="52C7807F"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Deklarimet</w:t>
      </w:r>
    </w:p>
    <w:p w14:paraId="4A995B15"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78481163" w14:textId="77777777" w:rsidR="000378D6" w:rsidRPr="00127CA4" w:rsidRDefault="000378D6" w:rsidP="000378D6">
      <w:pPr>
        <w:tabs>
          <w:tab w:val="left" w:pos="6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Deklarimet e përmendura në nenet 14, 17, 18, 19 dhe 25 mund të bëhen me nënshkrimin, ratifikimin, pranimin, miratimin ose aderimin, ose në çdo kohë pas kësaj, dhe mund të ndryshohen ose të tërhiqen në çdo kohë.</w:t>
      </w:r>
    </w:p>
    <w:p w14:paraId="7FCFFE38" w14:textId="77777777" w:rsidR="000378D6" w:rsidRPr="00127CA4" w:rsidRDefault="000378D6" w:rsidP="000378D6">
      <w:pPr>
        <w:tabs>
          <w:tab w:val="left" w:pos="64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Deklarimet, ndryshimet dhe tërheqjet i njoftohen Depozitarit.</w:t>
      </w:r>
    </w:p>
    <w:p w14:paraId="6958A2E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3. </w:t>
      </w:r>
      <w:r w:rsidRPr="00127CA4">
        <w:rPr>
          <w:rFonts w:ascii="Garamond" w:hAnsi="Garamond" w:cs="Times New Roman"/>
          <w:color w:val="000000"/>
          <w:sz w:val="24"/>
          <w:szCs w:val="24"/>
        </w:rPr>
        <w:t>Deklarimi i bërë në kohën e nënshkrimit, ratifikimit, pranimit, miratimit ose aderimit hyn në fuqi njëkohësisht me hyrjen në fuqi të kësaj Konvente për shtetin në fjalë.</w:t>
      </w:r>
    </w:p>
    <w:p w14:paraId="086E5BCD" w14:textId="3C95100A"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4. </w:t>
      </w:r>
      <w:r w:rsidRPr="00127CA4">
        <w:rPr>
          <w:rFonts w:ascii="Garamond" w:hAnsi="Garamond" w:cs="Times New Roman"/>
          <w:color w:val="000000"/>
          <w:sz w:val="24"/>
          <w:szCs w:val="24"/>
        </w:rPr>
        <w:t>Deklarimi i bërë në një kohë të mëvonshme dhe çdo ndryshim</w:t>
      </w:r>
      <w:r w:rsidR="00760895">
        <w:rPr>
          <w:rFonts w:ascii="Garamond" w:hAnsi="Garamond" w:cs="Times New Roman"/>
          <w:color w:val="000000"/>
          <w:sz w:val="24"/>
          <w:szCs w:val="24"/>
        </w:rPr>
        <w:t>,</w:t>
      </w:r>
      <w:r w:rsidRPr="00127CA4">
        <w:rPr>
          <w:rFonts w:ascii="Garamond" w:hAnsi="Garamond" w:cs="Times New Roman"/>
          <w:color w:val="000000"/>
          <w:sz w:val="24"/>
          <w:szCs w:val="24"/>
        </w:rPr>
        <w:t xml:space="preserve"> ose tërheqje e deklarimit, hyn në fuqi në ditën e parë të muajit, në përfundim të tre muajve, pas datës në të cilën njoftimi pranohet nga Depozitari.</w:t>
      </w:r>
    </w:p>
    <w:p w14:paraId="0CC47FD2"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6968658A" w14:textId="4EC37CBC"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5. </w:t>
      </w:r>
      <w:r w:rsidRPr="00127CA4">
        <w:rPr>
          <w:rFonts w:ascii="Garamond" w:hAnsi="Garamond" w:cs="Times New Roman"/>
          <w:color w:val="000000"/>
          <w:sz w:val="24"/>
          <w:szCs w:val="24"/>
        </w:rPr>
        <w:t>Deklarimi i bërë në një kohë të mëvonshme dhe çdo ndryshim</w:t>
      </w:r>
      <w:r w:rsidR="00760895">
        <w:rPr>
          <w:rFonts w:ascii="Garamond" w:hAnsi="Garamond" w:cs="Times New Roman"/>
          <w:color w:val="000000"/>
          <w:sz w:val="24"/>
          <w:szCs w:val="24"/>
        </w:rPr>
        <w:t>,</w:t>
      </w:r>
      <w:r w:rsidRPr="00127CA4">
        <w:rPr>
          <w:rFonts w:ascii="Garamond" w:hAnsi="Garamond" w:cs="Times New Roman"/>
          <w:color w:val="000000"/>
          <w:sz w:val="24"/>
          <w:szCs w:val="24"/>
        </w:rPr>
        <w:t xml:space="preserve"> ose tërheqje e deklarimit, nuk zbatohen për vendime gjyqësore që rezultojnë nga procedura, që tashmë kanë filluar pranë gjykatës së origjinës, kur deklarata hyn në fuqi.</w:t>
      </w:r>
    </w:p>
    <w:p w14:paraId="650C5F8F"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26BAD787"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31</w:t>
      </w:r>
    </w:p>
    <w:p w14:paraId="68EB2311"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Denoncimi</w:t>
      </w:r>
    </w:p>
    <w:p w14:paraId="1FAD38E4"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536C4404" w14:textId="75E8BBFF"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1. </w:t>
      </w:r>
      <w:r w:rsidRPr="00127CA4">
        <w:rPr>
          <w:rFonts w:ascii="Garamond" w:hAnsi="Garamond" w:cs="Times New Roman"/>
          <w:color w:val="000000"/>
          <w:sz w:val="24"/>
          <w:szCs w:val="24"/>
        </w:rPr>
        <w:t xml:space="preserve">Një </w:t>
      </w:r>
      <w:r w:rsidR="00873FD3" w:rsidRPr="00127CA4">
        <w:rPr>
          <w:rFonts w:ascii="Garamond" w:hAnsi="Garamond" w:cs="Times New Roman"/>
          <w:color w:val="000000"/>
          <w:sz w:val="24"/>
          <w:szCs w:val="24"/>
        </w:rPr>
        <w:t xml:space="preserve">Shtet Kontraktues </w:t>
      </w:r>
      <w:r w:rsidRPr="00127CA4">
        <w:rPr>
          <w:rFonts w:ascii="Garamond" w:hAnsi="Garamond" w:cs="Times New Roman"/>
          <w:color w:val="000000"/>
          <w:sz w:val="24"/>
          <w:szCs w:val="24"/>
        </w:rPr>
        <w:t>i kësaj Konvente mund ta denoncojë atë përmes njoftimit me shkrim, drejtuar Depozitarit. Denoncimi mund të kufizohet në njësi të caktuara territoriale të një sistemi ligjor të paunifikuar, për të cilin zbatohet kjo Konventë.</w:t>
      </w:r>
    </w:p>
    <w:p w14:paraId="7B7A2856"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2. </w:t>
      </w:r>
      <w:r w:rsidRPr="00127CA4">
        <w:rPr>
          <w:rFonts w:ascii="Garamond" w:hAnsi="Garamond" w:cs="Times New Roman"/>
          <w:color w:val="000000"/>
          <w:sz w:val="24"/>
          <w:szCs w:val="24"/>
        </w:rPr>
        <w:t>Denoncimi hyn në fuqi në ditën e parë të muajit, në përfundim të 12 muajve, pas datës në të cilën njoftimi merret nga Depozitari. Kur në njoftim specifikohet një periudhë më e gjatë derisa denoncimi të hyjë në fuqi, denoncimi hyn në fuqi në përfundim të kësaj periudhe, pas datës në të cilën njoftimi merret nga Depozitari.</w:t>
      </w:r>
    </w:p>
    <w:p w14:paraId="186A781C" w14:textId="77777777" w:rsidR="000378D6" w:rsidRPr="00127CA4" w:rsidRDefault="000378D6" w:rsidP="000378D6">
      <w:pPr>
        <w:autoSpaceDE w:val="0"/>
        <w:autoSpaceDN w:val="0"/>
        <w:adjustRightInd w:val="0"/>
        <w:spacing w:after="0" w:line="240" w:lineRule="auto"/>
        <w:ind w:firstLine="284"/>
        <w:rPr>
          <w:rFonts w:ascii="Garamond" w:hAnsi="Garamond" w:cs="Times New Roman"/>
          <w:color w:val="000000"/>
          <w:sz w:val="24"/>
          <w:szCs w:val="24"/>
        </w:rPr>
      </w:pPr>
    </w:p>
    <w:p w14:paraId="478E903B"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color w:val="000000"/>
          <w:sz w:val="24"/>
          <w:szCs w:val="24"/>
        </w:rPr>
      </w:pPr>
      <w:r w:rsidRPr="00127CA4">
        <w:rPr>
          <w:rFonts w:ascii="Garamond" w:hAnsi="Garamond" w:cs="Times New Roman"/>
          <w:color w:val="000000"/>
          <w:sz w:val="24"/>
          <w:szCs w:val="24"/>
        </w:rPr>
        <w:t>Neni 32</w:t>
      </w:r>
    </w:p>
    <w:p w14:paraId="433FFAE7" w14:textId="77777777" w:rsidR="000378D6" w:rsidRPr="00127CA4" w:rsidRDefault="000378D6" w:rsidP="000378D6">
      <w:pPr>
        <w:autoSpaceDE w:val="0"/>
        <w:autoSpaceDN w:val="0"/>
        <w:adjustRightInd w:val="0"/>
        <w:spacing w:after="0" w:line="240" w:lineRule="auto"/>
        <w:ind w:firstLine="284"/>
        <w:jc w:val="center"/>
        <w:rPr>
          <w:rFonts w:ascii="Garamond" w:hAnsi="Garamond" w:cs="Times New Roman"/>
          <w:b/>
          <w:iCs/>
          <w:color w:val="000000"/>
          <w:sz w:val="24"/>
          <w:szCs w:val="24"/>
        </w:rPr>
      </w:pPr>
      <w:r w:rsidRPr="00127CA4">
        <w:rPr>
          <w:rFonts w:ascii="Garamond" w:hAnsi="Garamond" w:cs="Times New Roman"/>
          <w:b/>
          <w:iCs/>
          <w:color w:val="000000"/>
          <w:sz w:val="24"/>
          <w:szCs w:val="24"/>
        </w:rPr>
        <w:t>Njoftimet nga Depozitari</w:t>
      </w:r>
    </w:p>
    <w:p w14:paraId="08895719" w14:textId="77777777" w:rsidR="000378D6" w:rsidRPr="00127CA4" w:rsidRDefault="000378D6" w:rsidP="000378D6">
      <w:pPr>
        <w:autoSpaceDE w:val="0"/>
        <w:autoSpaceDN w:val="0"/>
        <w:adjustRightInd w:val="0"/>
        <w:spacing w:after="0" w:line="240" w:lineRule="auto"/>
        <w:ind w:firstLine="284"/>
        <w:rPr>
          <w:rFonts w:ascii="Garamond" w:hAnsi="Garamond" w:cs="Times New Roman"/>
          <w:i/>
          <w:iCs/>
          <w:color w:val="000000"/>
          <w:sz w:val="24"/>
          <w:szCs w:val="24"/>
        </w:rPr>
      </w:pPr>
    </w:p>
    <w:p w14:paraId="17DF1222" w14:textId="77237C56" w:rsidR="000378D6" w:rsidRPr="00127CA4" w:rsidRDefault="000378D6"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 xml:space="preserve">Depozitari njofton </w:t>
      </w:r>
      <w:r w:rsidR="00760895" w:rsidRPr="00127CA4">
        <w:rPr>
          <w:rFonts w:ascii="Garamond" w:hAnsi="Garamond" w:cs="Times New Roman"/>
          <w:color w:val="000000"/>
          <w:sz w:val="24"/>
          <w:szCs w:val="24"/>
        </w:rPr>
        <w:t xml:space="preserve">anëtarët </w:t>
      </w:r>
      <w:r w:rsidRPr="00127CA4">
        <w:rPr>
          <w:rFonts w:ascii="Garamond" w:hAnsi="Garamond" w:cs="Times New Roman"/>
          <w:color w:val="000000"/>
          <w:sz w:val="24"/>
          <w:szCs w:val="24"/>
        </w:rPr>
        <w:t>e Konferencës së Hagës për të Drejtën Ndërkombëtare Private, shtetet tjera dhe organizatat rajonale të integrimit ekonomik që kanë nënshkruar, ratifikuar, pranuar, miratuar ose aderuar në këtë Konventë</w:t>
      </w:r>
      <w:r w:rsidR="00A70CFC">
        <w:rPr>
          <w:rFonts w:ascii="Garamond" w:hAnsi="Garamond" w:cs="Times New Roman"/>
          <w:color w:val="000000"/>
          <w:sz w:val="24"/>
          <w:szCs w:val="24"/>
        </w:rPr>
        <w:t>,</w:t>
      </w:r>
      <w:r w:rsidRPr="00127CA4">
        <w:rPr>
          <w:rFonts w:ascii="Garamond" w:hAnsi="Garamond" w:cs="Times New Roman"/>
          <w:color w:val="000000"/>
          <w:sz w:val="24"/>
          <w:szCs w:val="24"/>
        </w:rPr>
        <w:t xml:space="preserve"> në përputhje me nenet 24, 26 dhe 27</w:t>
      </w:r>
      <w:r w:rsidR="00A70CFC">
        <w:rPr>
          <w:rFonts w:ascii="Garamond" w:hAnsi="Garamond" w:cs="Times New Roman"/>
          <w:color w:val="000000"/>
          <w:sz w:val="24"/>
          <w:szCs w:val="24"/>
        </w:rPr>
        <w:t>,</w:t>
      </w:r>
      <w:r w:rsidRPr="00127CA4">
        <w:rPr>
          <w:rFonts w:ascii="Garamond" w:hAnsi="Garamond" w:cs="Times New Roman"/>
          <w:color w:val="000000"/>
          <w:sz w:val="24"/>
          <w:szCs w:val="24"/>
        </w:rPr>
        <w:t xml:space="preserve"> për sa më poshtë:</w:t>
      </w:r>
    </w:p>
    <w:p w14:paraId="63C750BB"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a) </w:t>
      </w:r>
      <w:r w:rsidRPr="00127CA4">
        <w:rPr>
          <w:rFonts w:ascii="Garamond" w:hAnsi="Garamond" w:cs="Times New Roman"/>
          <w:color w:val="000000"/>
          <w:sz w:val="24"/>
          <w:szCs w:val="24"/>
        </w:rPr>
        <w:t>nënshkrimet, ratifikimet, pranimet, miratimet dhe aderimet e përmendura në nenet 24, 26 dhe 27;</w:t>
      </w:r>
    </w:p>
    <w:p w14:paraId="7071007B"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b) </w:t>
      </w:r>
      <w:r w:rsidRPr="00127CA4">
        <w:rPr>
          <w:rFonts w:ascii="Garamond" w:hAnsi="Garamond" w:cs="Times New Roman"/>
          <w:color w:val="000000"/>
          <w:sz w:val="24"/>
          <w:szCs w:val="24"/>
        </w:rPr>
        <w:t>datën në të cilën kjo Konventë hyn në fuqi sipas nenit 28;</w:t>
      </w:r>
    </w:p>
    <w:p w14:paraId="3A2C53C3"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c) </w:t>
      </w:r>
      <w:r w:rsidRPr="00127CA4">
        <w:rPr>
          <w:rFonts w:ascii="Garamond" w:hAnsi="Garamond" w:cs="Times New Roman"/>
          <w:color w:val="000000"/>
          <w:sz w:val="24"/>
          <w:szCs w:val="24"/>
        </w:rPr>
        <w:t>njoftimet, deklarimet, ndryshimet dhe tërheqjet e përmendura në nenet 26, 27, 29 dhe 30; dhe</w:t>
      </w:r>
    </w:p>
    <w:p w14:paraId="51963B07" w14:textId="77777777" w:rsidR="000378D6" w:rsidRPr="00127CA4" w:rsidRDefault="000378D6" w:rsidP="000378D6">
      <w:pPr>
        <w:tabs>
          <w:tab w:val="left" w:pos="6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Calibri"/>
          <w:color w:val="000000"/>
          <w:sz w:val="24"/>
          <w:szCs w:val="24"/>
        </w:rPr>
        <w:t xml:space="preserve">d) </w:t>
      </w:r>
      <w:r w:rsidRPr="00127CA4">
        <w:rPr>
          <w:rFonts w:ascii="Garamond" w:hAnsi="Garamond" w:cs="Times New Roman"/>
          <w:color w:val="000000"/>
          <w:sz w:val="24"/>
          <w:szCs w:val="24"/>
        </w:rPr>
        <w:t>denoncimet e përmendura në nenin 31.</w:t>
      </w:r>
    </w:p>
    <w:p w14:paraId="0B63578F" w14:textId="2C990610" w:rsidR="000378D6" w:rsidRPr="00127CA4" w:rsidRDefault="003F565E" w:rsidP="000378D6">
      <w:pPr>
        <w:autoSpaceDE w:val="0"/>
        <w:autoSpaceDN w:val="0"/>
        <w:adjustRightInd w:val="0"/>
        <w:spacing w:after="0" w:line="240" w:lineRule="auto"/>
        <w:ind w:firstLine="284"/>
        <w:jc w:val="both"/>
        <w:rPr>
          <w:rFonts w:ascii="Garamond" w:hAnsi="Garamond" w:cs="Times New Roman"/>
          <w:color w:val="000000"/>
          <w:sz w:val="24"/>
          <w:szCs w:val="24"/>
        </w:rPr>
      </w:pPr>
      <w:r w:rsidRPr="003F565E">
        <w:rPr>
          <w:rFonts w:ascii="Garamond" w:hAnsi="Garamond" w:cs="Times New Roman"/>
          <w:color w:val="000000"/>
          <w:sz w:val="24"/>
          <w:szCs w:val="24"/>
        </w:rPr>
        <w:t>Në dëshmi të kësaj</w:t>
      </w:r>
      <w:r w:rsidR="000378D6" w:rsidRPr="003F565E">
        <w:rPr>
          <w:rFonts w:ascii="Garamond" w:hAnsi="Garamond" w:cs="Times New Roman"/>
          <w:color w:val="000000"/>
          <w:sz w:val="24"/>
          <w:szCs w:val="24"/>
        </w:rPr>
        <w:t>, të</w:t>
      </w:r>
      <w:r w:rsidR="000378D6" w:rsidRPr="00127CA4">
        <w:rPr>
          <w:rFonts w:ascii="Garamond" w:hAnsi="Garamond" w:cs="Times New Roman"/>
          <w:color w:val="000000"/>
          <w:sz w:val="24"/>
          <w:szCs w:val="24"/>
        </w:rPr>
        <w:t xml:space="preserve"> poshtëshënuarit të autorizuar rregullisht, kanë nënshkruar këtë Konventë.</w:t>
      </w:r>
    </w:p>
    <w:p w14:paraId="7D22BE85" w14:textId="683D678F" w:rsidR="000378D6" w:rsidRPr="00127CA4" w:rsidRDefault="000378D6" w:rsidP="000378D6">
      <w:pPr>
        <w:tabs>
          <w:tab w:val="left" w:pos="9180"/>
        </w:tabs>
        <w:autoSpaceDE w:val="0"/>
        <w:autoSpaceDN w:val="0"/>
        <w:adjustRightInd w:val="0"/>
        <w:spacing w:after="0" w:line="240" w:lineRule="auto"/>
        <w:ind w:firstLine="284"/>
        <w:jc w:val="both"/>
        <w:rPr>
          <w:rFonts w:ascii="Garamond" w:hAnsi="Garamond" w:cs="Times New Roman"/>
          <w:color w:val="000000"/>
          <w:sz w:val="24"/>
          <w:szCs w:val="24"/>
        </w:rPr>
      </w:pPr>
      <w:r w:rsidRPr="00127CA4">
        <w:rPr>
          <w:rFonts w:ascii="Garamond" w:hAnsi="Garamond" w:cs="Times New Roman"/>
          <w:color w:val="000000"/>
          <w:sz w:val="24"/>
          <w:szCs w:val="24"/>
        </w:rPr>
        <w:t>Hartuar në Hagë, më 2 korrik 2019, në gjuhë</w:t>
      </w:r>
      <w:r w:rsidR="009522BC">
        <w:rPr>
          <w:rFonts w:ascii="Garamond" w:hAnsi="Garamond" w:cs="Times New Roman"/>
          <w:color w:val="000000"/>
          <w:sz w:val="24"/>
          <w:szCs w:val="24"/>
        </w:rPr>
        <w:t>t</w:t>
      </w:r>
      <w:r w:rsidRPr="00127CA4">
        <w:rPr>
          <w:rFonts w:ascii="Garamond" w:hAnsi="Garamond" w:cs="Times New Roman"/>
          <w:color w:val="000000"/>
          <w:sz w:val="24"/>
          <w:szCs w:val="24"/>
        </w:rPr>
        <w:t xml:space="preserve"> angleze dhe frënge, ku të dy</w:t>
      </w:r>
      <w:r w:rsidR="00DD247B">
        <w:rPr>
          <w:rFonts w:ascii="Garamond" w:hAnsi="Garamond" w:cs="Times New Roman"/>
          <w:color w:val="000000"/>
          <w:sz w:val="24"/>
          <w:szCs w:val="24"/>
        </w:rPr>
        <w:t>ja</w:t>
      </w:r>
      <w:r w:rsidRPr="00127CA4">
        <w:rPr>
          <w:rFonts w:ascii="Garamond" w:hAnsi="Garamond" w:cs="Times New Roman"/>
          <w:color w:val="000000"/>
          <w:sz w:val="24"/>
          <w:szCs w:val="24"/>
        </w:rPr>
        <w:t xml:space="preserve"> tekstet janë njëlloj autentike, në një kopje të vetme, e cila depozitohet në arkivat e Qeverisë së Mbretërisë së Vendeve të Ulëta, që i dërgon nëpërmjet kanaleve diplomatike një kopje të noterizuar secilit anëtar të Konferencës së Hagës për të Drejtën Ndërkombëtare Private, në kohën e Sesionit të 22-të dhe secilit shtet tjetër që ka marrë pjesë në atë Sesion.</w:t>
      </w:r>
    </w:p>
    <w:p w14:paraId="38F3EFA6" w14:textId="77777777" w:rsidR="009A2331" w:rsidRPr="00127CA4" w:rsidRDefault="009A2331" w:rsidP="000378D6">
      <w:pPr>
        <w:spacing w:after="0" w:line="240" w:lineRule="auto"/>
        <w:ind w:firstLine="284"/>
        <w:rPr>
          <w:rFonts w:ascii="Garamond" w:eastAsia="Times New Roman" w:hAnsi="Garamond" w:cs="Times New Roman"/>
          <w:sz w:val="24"/>
          <w:szCs w:val="24"/>
        </w:rPr>
      </w:pPr>
    </w:p>
    <w:p w14:paraId="013D8C8C" w14:textId="77777777" w:rsidR="008A48E5" w:rsidRPr="00127CA4" w:rsidRDefault="008A48E5" w:rsidP="000378D6">
      <w:pPr>
        <w:spacing w:after="0" w:line="240" w:lineRule="auto"/>
        <w:ind w:firstLine="284"/>
        <w:rPr>
          <w:rFonts w:ascii="Garamond" w:eastAsia="Times New Roman" w:hAnsi="Garamond" w:cs="Times New Roman"/>
          <w:sz w:val="24"/>
          <w:szCs w:val="24"/>
        </w:rPr>
      </w:pPr>
    </w:p>
    <w:p w14:paraId="31459726" w14:textId="77777777" w:rsidR="00213234" w:rsidRPr="00127CA4" w:rsidRDefault="00213234" w:rsidP="000378D6">
      <w:pPr>
        <w:spacing w:after="0" w:line="240" w:lineRule="auto"/>
        <w:ind w:firstLine="284"/>
        <w:jc w:val="both"/>
        <w:rPr>
          <w:rFonts w:ascii="Garamond" w:hAnsi="Garamond" w:cs="Times New Roman"/>
          <w:bCs/>
          <w:sz w:val="24"/>
          <w:szCs w:val="24"/>
        </w:rPr>
      </w:pPr>
    </w:p>
    <w:p w14:paraId="55C460CD" w14:textId="77777777" w:rsidR="007007CB" w:rsidRPr="00127CA4" w:rsidRDefault="007007CB" w:rsidP="000378D6">
      <w:pPr>
        <w:spacing w:after="0" w:line="240" w:lineRule="auto"/>
        <w:ind w:firstLine="284"/>
        <w:jc w:val="both"/>
        <w:rPr>
          <w:rFonts w:ascii="Garamond" w:hAnsi="Garamond" w:cs="Times New Roman"/>
          <w:bCs/>
          <w:sz w:val="24"/>
          <w:szCs w:val="24"/>
        </w:rPr>
      </w:pPr>
    </w:p>
    <w:p w14:paraId="69C26F33" w14:textId="77777777" w:rsidR="007007CB" w:rsidRPr="00127CA4" w:rsidRDefault="007007CB" w:rsidP="000378D6">
      <w:pPr>
        <w:spacing w:after="0" w:line="240" w:lineRule="auto"/>
        <w:ind w:firstLine="284"/>
        <w:jc w:val="both"/>
        <w:rPr>
          <w:rFonts w:ascii="Garamond" w:hAnsi="Garamond" w:cs="Times New Roman"/>
          <w:bCs/>
          <w:sz w:val="24"/>
          <w:szCs w:val="24"/>
        </w:rPr>
      </w:pPr>
    </w:p>
    <w:p w14:paraId="6330EE10" w14:textId="77777777" w:rsidR="007007CB" w:rsidRPr="00127CA4" w:rsidRDefault="007007CB" w:rsidP="000378D6">
      <w:pPr>
        <w:spacing w:after="0" w:line="240" w:lineRule="auto"/>
        <w:ind w:firstLine="284"/>
        <w:jc w:val="both"/>
        <w:rPr>
          <w:rFonts w:ascii="Garamond" w:hAnsi="Garamond" w:cs="Times New Roman"/>
          <w:bCs/>
          <w:sz w:val="24"/>
          <w:szCs w:val="24"/>
        </w:rPr>
      </w:pPr>
    </w:p>
    <w:p w14:paraId="6729C349" w14:textId="77777777" w:rsidR="007007CB" w:rsidRPr="00127CA4" w:rsidRDefault="007007CB" w:rsidP="000378D6">
      <w:pPr>
        <w:spacing w:after="0" w:line="240" w:lineRule="auto"/>
        <w:ind w:firstLine="284"/>
        <w:jc w:val="both"/>
        <w:rPr>
          <w:rFonts w:ascii="Garamond" w:hAnsi="Garamond" w:cs="Times New Roman"/>
          <w:bCs/>
          <w:sz w:val="24"/>
          <w:szCs w:val="24"/>
        </w:rPr>
      </w:pPr>
    </w:p>
    <w:p w14:paraId="4835C1CD" w14:textId="77777777" w:rsidR="007007CB" w:rsidRPr="00127CA4" w:rsidRDefault="007007CB" w:rsidP="007007CB">
      <w:pPr>
        <w:spacing w:after="0" w:line="240" w:lineRule="auto"/>
        <w:ind w:firstLine="284"/>
        <w:jc w:val="center"/>
        <w:rPr>
          <w:rFonts w:ascii="Garamond" w:hAnsi="Garamond" w:cs="Times New Roman"/>
          <w:bCs/>
          <w:sz w:val="24"/>
          <w:szCs w:val="24"/>
        </w:rPr>
      </w:pPr>
      <w:r w:rsidRPr="00127CA4">
        <w:rPr>
          <w:rFonts w:ascii="Garamond" w:hAnsi="Garamond" w:cs="Times New Roman"/>
          <w:bCs/>
          <w:noProof/>
          <w:sz w:val="24"/>
          <w:szCs w:val="24"/>
        </w:rPr>
        <w:lastRenderedPageBreak/>
        <w:drawing>
          <wp:inline distT="0" distB="0" distL="0" distR="0" wp14:anchorId="5158C018" wp14:editId="54CE44C4">
            <wp:extent cx="6097270" cy="84017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ksti i Konventes ne anglisht (3)_Page_01.jpg"/>
                    <pic:cNvPicPr/>
                  </pic:nvPicPr>
                  <pic:blipFill rotWithShape="1">
                    <a:blip r:embed="rId13">
                      <a:extLst>
                        <a:ext uri="{28A0092B-C50C-407E-A947-70E740481C1C}">
                          <a14:useLocalDpi xmlns:a14="http://schemas.microsoft.com/office/drawing/2010/main" val="0"/>
                        </a:ext>
                      </a:extLst>
                    </a:blip>
                    <a:srcRect t="7849"/>
                    <a:stretch/>
                  </pic:blipFill>
                  <pic:spPr bwMode="auto">
                    <a:xfrm>
                      <a:off x="0" y="0"/>
                      <a:ext cx="6097270" cy="8401713"/>
                    </a:xfrm>
                    <a:prstGeom prst="rect">
                      <a:avLst/>
                    </a:prstGeom>
                    <a:ln>
                      <a:noFill/>
                    </a:ln>
                    <a:extLst>
                      <a:ext uri="{53640926-AAD7-44D8-BBD7-CCE9431645EC}">
                        <a14:shadowObscured xmlns:a14="http://schemas.microsoft.com/office/drawing/2010/main"/>
                      </a:ext>
                    </a:extLst>
                  </pic:spPr>
                </pic:pic>
              </a:graphicData>
            </a:graphic>
          </wp:inline>
        </w:drawing>
      </w:r>
      <w:r w:rsidRPr="00127CA4">
        <w:rPr>
          <w:rFonts w:ascii="Garamond" w:hAnsi="Garamond" w:cs="Times New Roman"/>
          <w:bCs/>
          <w:noProof/>
          <w:sz w:val="24"/>
          <w:szCs w:val="24"/>
        </w:rPr>
        <w:lastRenderedPageBreak/>
        <w:drawing>
          <wp:inline distT="0" distB="0" distL="0" distR="0" wp14:anchorId="0830EA33" wp14:editId="57955595">
            <wp:extent cx="6097270" cy="793540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ksti i Konventes ne anglisht (3)_Page_02.jpg"/>
                    <pic:cNvPicPr/>
                  </pic:nvPicPr>
                  <pic:blipFill rotWithShape="1">
                    <a:blip r:embed="rId14">
                      <a:extLst>
                        <a:ext uri="{28A0092B-C50C-407E-A947-70E740481C1C}">
                          <a14:useLocalDpi xmlns:a14="http://schemas.microsoft.com/office/drawing/2010/main" val="0"/>
                        </a:ext>
                      </a:extLst>
                    </a:blip>
                    <a:srcRect b="12963"/>
                    <a:stretch/>
                  </pic:blipFill>
                  <pic:spPr bwMode="auto">
                    <a:xfrm>
                      <a:off x="0" y="0"/>
                      <a:ext cx="6097270" cy="7935402"/>
                    </a:xfrm>
                    <a:prstGeom prst="rect">
                      <a:avLst/>
                    </a:prstGeom>
                    <a:ln>
                      <a:noFill/>
                    </a:ln>
                    <a:extLst>
                      <a:ext uri="{53640926-AAD7-44D8-BBD7-CCE9431645EC}">
                        <a14:shadowObscured xmlns:a14="http://schemas.microsoft.com/office/drawing/2010/main"/>
                      </a:ext>
                    </a:extLst>
                  </pic:spPr>
                </pic:pic>
              </a:graphicData>
            </a:graphic>
          </wp:inline>
        </w:drawing>
      </w:r>
      <w:r w:rsidRPr="00127CA4">
        <w:rPr>
          <w:rFonts w:ascii="Garamond" w:hAnsi="Garamond" w:cs="Times New Roman"/>
          <w:bCs/>
          <w:noProof/>
          <w:sz w:val="24"/>
          <w:szCs w:val="24"/>
        </w:rPr>
        <w:lastRenderedPageBreak/>
        <w:drawing>
          <wp:inline distT="0" distB="0" distL="0" distR="0" wp14:anchorId="170111AB" wp14:editId="1F0F8D1D">
            <wp:extent cx="6097270" cy="86112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ksti i Konventes ne anglisht (3)_Page_03.jpg"/>
                    <pic:cNvPicPr/>
                  </pic:nvPicPr>
                  <pic:blipFill rotWithShape="1">
                    <a:blip r:embed="rId15">
                      <a:extLst>
                        <a:ext uri="{28A0092B-C50C-407E-A947-70E740481C1C}">
                          <a14:useLocalDpi xmlns:a14="http://schemas.microsoft.com/office/drawing/2010/main" val="0"/>
                        </a:ext>
                      </a:extLst>
                    </a:blip>
                    <a:srcRect b="5550"/>
                    <a:stretch/>
                  </pic:blipFill>
                  <pic:spPr bwMode="auto">
                    <a:xfrm>
                      <a:off x="0" y="0"/>
                      <a:ext cx="6097270" cy="8611263"/>
                    </a:xfrm>
                    <a:prstGeom prst="rect">
                      <a:avLst/>
                    </a:prstGeom>
                    <a:ln>
                      <a:noFill/>
                    </a:ln>
                    <a:extLst>
                      <a:ext uri="{53640926-AAD7-44D8-BBD7-CCE9431645EC}">
                        <a14:shadowObscured xmlns:a14="http://schemas.microsoft.com/office/drawing/2010/main"/>
                      </a:ext>
                    </a:extLst>
                  </pic:spPr>
                </pic:pic>
              </a:graphicData>
            </a:graphic>
          </wp:inline>
        </w:drawing>
      </w:r>
      <w:r w:rsidRPr="00127CA4">
        <w:rPr>
          <w:rFonts w:ascii="Garamond" w:hAnsi="Garamond" w:cs="Times New Roman"/>
          <w:bCs/>
          <w:noProof/>
          <w:sz w:val="24"/>
          <w:szCs w:val="24"/>
        </w:rPr>
        <w:lastRenderedPageBreak/>
        <w:drawing>
          <wp:inline distT="0" distB="0" distL="0" distR="0" wp14:anchorId="32A549A8" wp14:editId="0A078DBF">
            <wp:extent cx="6097270" cy="84840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ksti i Konventes ne anglisht (3)_Page_04.jpg"/>
                    <pic:cNvPicPr/>
                  </pic:nvPicPr>
                  <pic:blipFill rotWithShape="1">
                    <a:blip r:embed="rId16">
                      <a:extLst>
                        <a:ext uri="{28A0092B-C50C-407E-A947-70E740481C1C}">
                          <a14:useLocalDpi xmlns:a14="http://schemas.microsoft.com/office/drawing/2010/main" val="0"/>
                        </a:ext>
                      </a:extLst>
                    </a:blip>
                    <a:srcRect b="6946"/>
                    <a:stretch/>
                  </pic:blipFill>
                  <pic:spPr bwMode="auto">
                    <a:xfrm>
                      <a:off x="0" y="0"/>
                      <a:ext cx="6097270" cy="8484042"/>
                    </a:xfrm>
                    <a:prstGeom prst="rect">
                      <a:avLst/>
                    </a:prstGeom>
                    <a:ln>
                      <a:noFill/>
                    </a:ln>
                    <a:extLst>
                      <a:ext uri="{53640926-AAD7-44D8-BBD7-CCE9431645EC}">
                        <a14:shadowObscured xmlns:a14="http://schemas.microsoft.com/office/drawing/2010/main"/>
                      </a:ext>
                    </a:extLst>
                  </pic:spPr>
                </pic:pic>
              </a:graphicData>
            </a:graphic>
          </wp:inline>
        </w:drawing>
      </w:r>
      <w:r w:rsidRPr="00127CA4">
        <w:rPr>
          <w:rFonts w:ascii="Garamond" w:hAnsi="Garamond" w:cs="Times New Roman"/>
          <w:bCs/>
          <w:noProof/>
          <w:sz w:val="24"/>
          <w:szCs w:val="24"/>
        </w:rPr>
        <w:lastRenderedPageBreak/>
        <w:drawing>
          <wp:inline distT="0" distB="0" distL="0" distR="0" wp14:anchorId="5ED59873" wp14:editId="4346593B">
            <wp:extent cx="6097270" cy="864306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ksti i Konventes ne anglisht (3)_Page_05.jpg"/>
                    <pic:cNvPicPr/>
                  </pic:nvPicPr>
                  <pic:blipFill rotWithShape="1">
                    <a:blip r:embed="rId17">
                      <a:extLst>
                        <a:ext uri="{28A0092B-C50C-407E-A947-70E740481C1C}">
                          <a14:useLocalDpi xmlns:a14="http://schemas.microsoft.com/office/drawing/2010/main" val="0"/>
                        </a:ext>
                      </a:extLst>
                    </a:blip>
                    <a:srcRect b="5202"/>
                    <a:stretch/>
                  </pic:blipFill>
                  <pic:spPr bwMode="auto">
                    <a:xfrm>
                      <a:off x="0" y="0"/>
                      <a:ext cx="6097270" cy="8643068"/>
                    </a:xfrm>
                    <a:prstGeom prst="rect">
                      <a:avLst/>
                    </a:prstGeom>
                    <a:ln>
                      <a:noFill/>
                    </a:ln>
                    <a:extLst>
                      <a:ext uri="{53640926-AAD7-44D8-BBD7-CCE9431645EC}">
                        <a14:shadowObscured xmlns:a14="http://schemas.microsoft.com/office/drawing/2010/main"/>
                      </a:ext>
                    </a:extLst>
                  </pic:spPr>
                </pic:pic>
              </a:graphicData>
            </a:graphic>
          </wp:inline>
        </w:drawing>
      </w:r>
      <w:r w:rsidRPr="00127CA4">
        <w:rPr>
          <w:rFonts w:ascii="Garamond" w:hAnsi="Garamond" w:cs="Times New Roman"/>
          <w:bCs/>
          <w:noProof/>
          <w:sz w:val="24"/>
          <w:szCs w:val="24"/>
        </w:rPr>
        <w:lastRenderedPageBreak/>
        <w:drawing>
          <wp:inline distT="0" distB="0" distL="0" distR="0" wp14:anchorId="7CDA0405" wp14:editId="52D940FB">
            <wp:extent cx="6097270" cy="91173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ksti i Konventes ne anglisht (3)_Page_06.jpg"/>
                    <pic:cNvPicPr/>
                  </pic:nvPicPr>
                  <pic:blipFill>
                    <a:blip r:embed="rId18">
                      <a:extLst>
                        <a:ext uri="{28A0092B-C50C-407E-A947-70E740481C1C}">
                          <a14:useLocalDpi xmlns:a14="http://schemas.microsoft.com/office/drawing/2010/main" val="0"/>
                        </a:ext>
                      </a:extLst>
                    </a:blip>
                    <a:stretch>
                      <a:fillRect/>
                    </a:stretch>
                  </pic:blipFill>
                  <pic:spPr>
                    <a:xfrm>
                      <a:off x="0" y="0"/>
                      <a:ext cx="6097270" cy="9117330"/>
                    </a:xfrm>
                    <a:prstGeom prst="rect">
                      <a:avLst/>
                    </a:prstGeom>
                  </pic:spPr>
                </pic:pic>
              </a:graphicData>
            </a:graphic>
          </wp:inline>
        </w:drawing>
      </w:r>
      <w:r w:rsidRPr="00127CA4">
        <w:rPr>
          <w:rFonts w:ascii="Garamond" w:hAnsi="Garamond" w:cs="Times New Roman"/>
          <w:bCs/>
          <w:noProof/>
          <w:sz w:val="24"/>
          <w:szCs w:val="24"/>
        </w:rPr>
        <w:lastRenderedPageBreak/>
        <w:drawing>
          <wp:inline distT="0" distB="0" distL="0" distR="0" wp14:anchorId="739EBF1D" wp14:editId="2C16A4E3">
            <wp:extent cx="6097270" cy="91173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ksti i Konventes ne anglisht (3)_Page_07.jpg"/>
                    <pic:cNvPicPr/>
                  </pic:nvPicPr>
                  <pic:blipFill>
                    <a:blip r:embed="rId19">
                      <a:extLst>
                        <a:ext uri="{28A0092B-C50C-407E-A947-70E740481C1C}">
                          <a14:useLocalDpi xmlns:a14="http://schemas.microsoft.com/office/drawing/2010/main" val="0"/>
                        </a:ext>
                      </a:extLst>
                    </a:blip>
                    <a:stretch>
                      <a:fillRect/>
                    </a:stretch>
                  </pic:blipFill>
                  <pic:spPr>
                    <a:xfrm>
                      <a:off x="0" y="0"/>
                      <a:ext cx="6097270" cy="9117330"/>
                    </a:xfrm>
                    <a:prstGeom prst="rect">
                      <a:avLst/>
                    </a:prstGeom>
                  </pic:spPr>
                </pic:pic>
              </a:graphicData>
            </a:graphic>
          </wp:inline>
        </w:drawing>
      </w:r>
      <w:r w:rsidRPr="00127CA4">
        <w:rPr>
          <w:rFonts w:ascii="Garamond" w:hAnsi="Garamond" w:cs="Times New Roman"/>
          <w:bCs/>
          <w:noProof/>
          <w:sz w:val="24"/>
          <w:szCs w:val="24"/>
        </w:rPr>
        <w:lastRenderedPageBreak/>
        <w:drawing>
          <wp:inline distT="0" distB="0" distL="0" distR="0" wp14:anchorId="7BC05AEC" wp14:editId="1D6D145C">
            <wp:extent cx="6097270" cy="911733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ksti i Konventes ne anglisht (3)_Page_08.jpg"/>
                    <pic:cNvPicPr/>
                  </pic:nvPicPr>
                  <pic:blipFill>
                    <a:blip r:embed="rId20">
                      <a:extLst>
                        <a:ext uri="{28A0092B-C50C-407E-A947-70E740481C1C}">
                          <a14:useLocalDpi xmlns:a14="http://schemas.microsoft.com/office/drawing/2010/main" val="0"/>
                        </a:ext>
                      </a:extLst>
                    </a:blip>
                    <a:stretch>
                      <a:fillRect/>
                    </a:stretch>
                  </pic:blipFill>
                  <pic:spPr>
                    <a:xfrm>
                      <a:off x="0" y="0"/>
                      <a:ext cx="6097270" cy="9117330"/>
                    </a:xfrm>
                    <a:prstGeom prst="rect">
                      <a:avLst/>
                    </a:prstGeom>
                  </pic:spPr>
                </pic:pic>
              </a:graphicData>
            </a:graphic>
          </wp:inline>
        </w:drawing>
      </w:r>
      <w:r w:rsidRPr="00127CA4">
        <w:rPr>
          <w:rFonts w:ascii="Garamond" w:hAnsi="Garamond" w:cs="Times New Roman"/>
          <w:bCs/>
          <w:noProof/>
          <w:sz w:val="24"/>
          <w:szCs w:val="24"/>
        </w:rPr>
        <w:lastRenderedPageBreak/>
        <w:drawing>
          <wp:inline distT="0" distB="0" distL="0" distR="0" wp14:anchorId="7CB2D460" wp14:editId="738A6799">
            <wp:extent cx="6097270" cy="911733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ksti i Konventes ne anglisht (3)_Page_09.jpg"/>
                    <pic:cNvPicPr/>
                  </pic:nvPicPr>
                  <pic:blipFill>
                    <a:blip r:embed="rId21">
                      <a:extLst>
                        <a:ext uri="{28A0092B-C50C-407E-A947-70E740481C1C}">
                          <a14:useLocalDpi xmlns:a14="http://schemas.microsoft.com/office/drawing/2010/main" val="0"/>
                        </a:ext>
                      </a:extLst>
                    </a:blip>
                    <a:stretch>
                      <a:fillRect/>
                    </a:stretch>
                  </pic:blipFill>
                  <pic:spPr>
                    <a:xfrm>
                      <a:off x="0" y="0"/>
                      <a:ext cx="6097270" cy="9117330"/>
                    </a:xfrm>
                    <a:prstGeom prst="rect">
                      <a:avLst/>
                    </a:prstGeom>
                  </pic:spPr>
                </pic:pic>
              </a:graphicData>
            </a:graphic>
          </wp:inline>
        </w:drawing>
      </w:r>
      <w:r w:rsidRPr="00127CA4">
        <w:rPr>
          <w:rFonts w:ascii="Garamond" w:hAnsi="Garamond" w:cs="Times New Roman"/>
          <w:bCs/>
          <w:noProof/>
          <w:sz w:val="24"/>
          <w:szCs w:val="24"/>
        </w:rPr>
        <w:lastRenderedPageBreak/>
        <w:drawing>
          <wp:inline distT="0" distB="0" distL="0" distR="0" wp14:anchorId="1FB55B2F" wp14:editId="0B77E4A2">
            <wp:extent cx="6097270" cy="911733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eksti i Konventes ne anglisht (3)_Page_10.jpg"/>
                    <pic:cNvPicPr/>
                  </pic:nvPicPr>
                  <pic:blipFill>
                    <a:blip r:embed="rId22">
                      <a:extLst>
                        <a:ext uri="{28A0092B-C50C-407E-A947-70E740481C1C}">
                          <a14:useLocalDpi xmlns:a14="http://schemas.microsoft.com/office/drawing/2010/main" val="0"/>
                        </a:ext>
                      </a:extLst>
                    </a:blip>
                    <a:stretch>
                      <a:fillRect/>
                    </a:stretch>
                  </pic:blipFill>
                  <pic:spPr>
                    <a:xfrm>
                      <a:off x="0" y="0"/>
                      <a:ext cx="6097270" cy="9117330"/>
                    </a:xfrm>
                    <a:prstGeom prst="rect">
                      <a:avLst/>
                    </a:prstGeom>
                  </pic:spPr>
                </pic:pic>
              </a:graphicData>
            </a:graphic>
          </wp:inline>
        </w:drawing>
      </w:r>
      <w:r w:rsidRPr="00127CA4">
        <w:rPr>
          <w:rFonts w:ascii="Garamond" w:hAnsi="Garamond" w:cs="Times New Roman"/>
          <w:bCs/>
          <w:noProof/>
          <w:sz w:val="24"/>
          <w:szCs w:val="24"/>
        </w:rPr>
        <w:lastRenderedPageBreak/>
        <w:drawing>
          <wp:inline distT="0" distB="0" distL="0" distR="0" wp14:anchorId="118AC411" wp14:editId="13906FE8">
            <wp:extent cx="6097270" cy="91173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ksti i Konventes ne anglisht (3)_Page_11.jpg"/>
                    <pic:cNvPicPr/>
                  </pic:nvPicPr>
                  <pic:blipFill>
                    <a:blip r:embed="rId23">
                      <a:extLst>
                        <a:ext uri="{28A0092B-C50C-407E-A947-70E740481C1C}">
                          <a14:useLocalDpi xmlns:a14="http://schemas.microsoft.com/office/drawing/2010/main" val="0"/>
                        </a:ext>
                      </a:extLst>
                    </a:blip>
                    <a:stretch>
                      <a:fillRect/>
                    </a:stretch>
                  </pic:blipFill>
                  <pic:spPr>
                    <a:xfrm>
                      <a:off x="0" y="0"/>
                      <a:ext cx="6097270" cy="9117330"/>
                    </a:xfrm>
                    <a:prstGeom prst="rect">
                      <a:avLst/>
                    </a:prstGeom>
                  </pic:spPr>
                </pic:pic>
              </a:graphicData>
            </a:graphic>
          </wp:inline>
        </w:drawing>
      </w:r>
      <w:r w:rsidRPr="00127CA4">
        <w:rPr>
          <w:rFonts w:ascii="Garamond" w:hAnsi="Garamond" w:cs="Times New Roman"/>
          <w:bCs/>
          <w:noProof/>
          <w:sz w:val="24"/>
          <w:szCs w:val="24"/>
        </w:rPr>
        <w:lastRenderedPageBreak/>
        <w:drawing>
          <wp:inline distT="0" distB="0" distL="0" distR="0" wp14:anchorId="2721E5CF" wp14:editId="5A79F776">
            <wp:extent cx="6097270" cy="91173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ksti i Konventes ne anglisht (3)_Page_12.jpg"/>
                    <pic:cNvPicPr/>
                  </pic:nvPicPr>
                  <pic:blipFill>
                    <a:blip r:embed="rId24">
                      <a:extLst>
                        <a:ext uri="{28A0092B-C50C-407E-A947-70E740481C1C}">
                          <a14:useLocalDpi xmlns:a14="http://schemas.microsoft.com/office/drawing/2010/main" val="0"/>
                        </a:ext>
                      </a:extLst>
                    </a:blip>
                    <a:stretch>
                      <a:fillRect/>
                    </a:stretch>
                  </pic:blipFill>
                  <pic:spPr>
                    <a:xfrm>
                      <a:off x="0" y="0"/>
                      <a:ext cx="6097270" cy="9117330"/>
                    </a:xfrm>
                    <a:prstGeom prst="rect">
                      <a:avLst/>
                    </a:prstGeom>
                  </pic:spPr>
                </pic:pic>
              </a:graphicData>
            </a:graphic>
          </wp:inline>
        </w:drawing>
      </w:r>
      <w:r w:rsidRPr="00127CA4">
        <w:rPr>
          <w:rFonts w:ascii="Garamond" w:hAnsi="Garamond" w:cs="Times New Roman"/>
          <w:bCs/>
          <w:noProof/>
          <w:sz w:val="24"/>
          <w:szCs w:val="24"/>
        </w:rPr>
        <w:lastRenderedPageBreak/>
        <w:drawing>
          <wp:inline distT="0" distB="0" distL="0" distR="0" wp14:anchorId="14174BBA" wp14:editId="5CC0DA96">
            <wp:extent cx="6097270" cy="911733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ksti i Konventes ne anglisht (3)_Page_13.jpg"/>
                    <pic:cNvPicPr/>
                  </pic:nvPicPr>
                  <pic:blipFill>
                    <a:blip r:embed="rId25">
                      <a:extLst>
                        <a:ext uri="{28A0092B-C50C-407E-A947-70E740481C1C}">
                          <a14:useLocalDpi xmlns:a14="http://schemas.microsoft.com/office/drawing/2010/main" val="0"/>
                        </a:ext>
                      </a:extLst>
                    </a:blip>
                    <a:stretch>
                      <a:fillRect/>
                    </a:stretch>
                  </pic:blipFill>
                  <pic:spPr>
                    <a:xfrm>
                      <a:off x="0" y="0"/>
                      <a:ext cx="6097270" cy="9117330"/>
                    </a:xfrm>
                    <a:prstGeom prst="rect">
                      <a:avLst/>
                    </a:prstGeom>
                  </pic:spPr>
                </pic:pic>
              </a:graphicData>
            </a:graphic>
          </wp:inline>
        </w:drawing>
      </w:r>
    </w:p>
    <w:p w14:paraId="247B2A5A" w14:textId="77777777" w:rsidR="00A730CA" w:rsidRPr="00127CA4" w:rsidRDefault="00A730CA">
      <w:pPr>
        <w:spacing w:after="0" w:line="240" w:lineRule="auto"/>
        <w:ind w:firstLine="284"/>
        <w:jc w:val="center"/>
        <w:rPr>
          <w:rFonts w:ascii="Garamond" w:hAnsi="Garamond" w:cs="Times New Roman"/>
          <w:bCs/>
          <w:sz w:val="24"/>
          <w:szCs w:val="24"/>
        </w:rPr>
      </w:pPr>
    </w:p>
    <w:sectPr w:rsidR="00A730CA" w:rsidRPr="00127CA4" w:rsidSect="00AE5B81">
      <w:headerReference w:type="default" r:id="rId26"/>
      <w:footerReference w:type="default" r:id="rId27"/>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76095" w14:textId="77777777" w:rsidR="00BA284A" w:rsidRDefault="00BA284A" w:rsidP="00420682">
      <w:pPr>
        <w:spacing w:after="0" w:line="240" w:lineRule="auto"/>
      </w:pPr>
      <w:r>
        <w:separator/>
      </w:r>
    </w:p>
  </w:endnote>
  <w:endnote w:type="continuationSeparator" w:id="0">
    <w:p w14:paraId="4F239BE1" w14:textId="77777777" w:rsidR="00BA284A" w:rsidRDefault="00BA284A" w:rsidP="00420682">
      <w:pPr>
        <w:spacing w:after="0" w:line="240" w:lineRule="auto"/>
      </w:pPr>
      <w:r>
        <w:continuationSeparator/>
      </w:r>
    </w:p>
  </w:endnote>
  <w:endnote w:type="continuationNotice" w:id="1">
    <w:p w14:paraId="7561E629" w14:textId="77777777" w:rsidR="00BA284A" w:rsidRDefault="00BA28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46B5003A" w14:textId="77777777" w:rsidR="00BA284A" w:rsidRDefault="00BA284A">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28D688D0" w14:textId="77777777" w:rsidR="00BA284A" w:rsidRDefault="00BA2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45228" w14:textId="77777777" w:rsidR="00BA284A" w:rsidRDefault="00BA284A" w:rsidP="00420682">
      <w:pPr>
        <w:spacing w:after="0" w:line="240" w:lineRule="auto"/>
      </w:pPr>
      <w:r>
        <w:separator/>
      </w:r>
    </w:p>
  </w:footnote>
  <w:footnote w:type="continuationSeparator" w:id="0">
    <w:p w14:paraId="44C6C5DF" w14:textId="77777777" w:rsidR="00BA284A" w:rsidRDefault="00BA284A" w:rsidP="00420682">
      <w:pPr>
        <w:spacing w:after="0" w:line="240" w:lineRule="auto"/>
      </w:pPr>
      <w:r>
        <w:continuationSeparator/>
      </w:r>
    </w:p>
  </w:footnote>
  <w:footnote w:type="continuationNotice" w:id="1">
    <w:p w14:paraId="14E62EBD" w14:textId="77777777" w:rsidR="00BA284A" w:rsidRDefault="00BA28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E2F9A" w14:textId="77777777" w:rsidR="00BA284A" w:rsidRDefault="00BA28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378D6"/>
    <w:rsid w:val="00040D8C"/>
    <w:rsid w:val="00043C57"/>
    <w:rsid w:val="000514F1"/>
    <w:rsid w:val="000518D6"/>
    <w:rsid w:val="00054966"/>
    <w:rsid w:val="00055AB5"/>
    <w:rsid w:val="0005610F"/>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6F6D"/>
    <w:rsid w:val="0011415C"/>
    <w:rsid w:val="00117D28"/>
    <w:rsid w:val="0012023A"/>
    <w:rsid w:val="00121E29"/>
    <w:rsid w:val="00122D1F"/>
    <w:rsid w:val="0012550D"/>
    <w:rsid w:val="001268E9"/>
    <w:rsid w:val="00127CA4"/>
    <w:rsid w:val="00130958"/>
    <w:rsid w:val="00132CEC"/>
    <w:rsid w:val="00135A36"/>
    <w:rsid w:val="00136EC9"/>
    <w:rsid w:val="00146D52"/>
    <w:rsid w:val="00153CC5"/>
    <w:rsid w:val="00154CFD"/>
    <w:rsid w:val="00155BCF"/>
    <w:rsid w:val="00155EBC"/>
    <w:rsid w:val="00163579"/>
    <w:rsid w:val="00166272"/>
    <w:rsid w:val="00166898"/>
    <w:rsid w:val="00167D1D"/>
    <w:rsid w:val="00171B0C"/>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E6FBE"/>
    <w:rsid w:val="001F194A"/>
    <w:rsid w:val="001F78C3"/>
    <w:rsid w:val="001F797D"/>
    <w:rsid w:val="0020004E"/>
    <w:rsid w:val="002009A1"/>
    <w:rsid w:val="00200D3D"/>
    <w:rsid w:val="0020160E"/>
    <w:rsid w:val="0020170B"/>
    <w:rsid w:val="00204052"/>
    <w:rsid w:val="002044B0"/>
    <w:rsid w:val="0020507F"/>
    <w:rsid w:val="002101FE"/>
    <w:rsid w:val="00212B57"/>
    <w:rsid w:val="00212E52"/>
    <w:rsid w:val="00213234"/>
    <w:rsid w:val="00214854"/>
    <w:rsid w:val="0021715D"/>
    <w:rsid w:val="00217DA0"/>
    <w:rsid w:val="00221AAC"/>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1573"/>
    <w:rsid w:val="0027350F"/>
    <w:rsid w:val="00274D4C"/>
    <w:rsid w:val="002753F6"/>
    <w:rsid w:val="00275791"/>
    <w:rsid w:val="00277C89"/>
    <w:rsid w:val="00280456"/>
    <w:rsid w:val="00282145"/>
    <w:rsid w:val="00284AC7"/>
    <w:rsid w:val="00294FCA"/>
    <w:rsid w:val="00296ECC"/>
    <w:rsid w:val="002A47D7"/>
    <w:rsid w:val="002B4C1B"/>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2BD0"/>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16B5"/>
    <w:rsid w:val="00394621"/>
    <w:rsid w:val="00395396"/>
    <w:rsid w:val="003953EE"/>
    <w:rsid w:val="00397541"/>
    <w:rsid w:val="003A135F"/>
    <w:rsid w:val="003A38DC"/>
    <w:rsid w:val="003A63A5"/>
    <w:rsid w:val="003C118D"/>
    <w:rsid w:val="003C400C"/>
    <w:rsid w:val="003C48FF"/>
    <w:rsid w:val="003D0E7F"/>
    <w:rsid w:val="003D5049"/>
    <w:rsid w:val="003D59B2"/>
    <w:rsid w:val="003D5ED0"/>
    <w:rsid w:val="003E72F7"/>
    <w:rsid w:val="003F29A8"/>
    <w:rsid w:val="003F398D"/>
    <w:rsid w:val="003F565E"/>
    <w:rsid w:val="0040042E"/>
    <w:rsid w:val="00403430"/>
    <w:rsid w:val="00403A89"/>
    <w:rsid w:val="0041300C"/>
    <w:rsid w:val="00420682"/>
    <w:rsid w:val="004260A8"/>
    <w:rsid w:val="00433BCD"/>
    <w:rsid w:val="00436717"/>
    <w:rsid w:val="00437B33"/>
    <w:rsid w:val="00445610"/>
    <w:rsid w:val="00446CCC"/>
    <w:rsid w:val="0045538C"/>
    <w:rsid w:val="004555DB"/>
    <w:rsid w:val="004558A7"/>
    <w:rsid w:val="00455BBA"/>
    <w:rsid w:val="00460BC4"/>
    <w:rsid w:val="004647DB"/>
    <w:rsid w:val="00467B66"/>
    <w:rsid w:val="00471609"/>
    <w:rsid w:val="0047401F"/>
    <w:rsid w:val="004771A5"/>
    <w:rsid w:val="00477804"/>
    <w:rsid w:val="0048341A"/>
    <w:rsid w:val="00484922"/>
    <w:rsid w:val="004866A8"/>
    <w:rsid w:val="00486954"/>
    <w:rsid w:val="004871BF"/>
    <w:rsid w:val="00492BFD"/>
    <w:rsid w:val="00496497"/>
    <w:rsid w:val="004A5884"/>
    <w:rsid w:val="004A5DE6"/>
    <w:rsid w:val="004A6C0E"/>
    <w:rsid w:val="004B12D2"/>
    <w:rsid w:val="004B2613"/>
    <w:rsid w:val="004B6ED9"/>
    <w:rsid w:val="004C20B0"/>
    <w:rsid w:val="004C2DFD"/>
    <w:rsid w:val="004C54B3"/>
    <w:rsid w:val="004D3CFC"/>
    <w:rsid w:val="004D6DAE"/>
    <w:rsid w:val="004D74A9"/>
    <w:rsid w:val="004E0701"/>
    <w:rsid w:val="004E0CFF"/>
    <w:rsid w:val="004E1C0F"/>
    <w:rsid w:val="004E321B"/>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37530"/>
    <w:rsid w:val="00542102"/>
    <w:rsid w:val="00550FA3"/>
    <w:rsid w:val="00552AF2"/>
    <w:rsid w:val="0055575B"/>
    <w:rsid w:val="005563C2"/>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4C6D"/>
    <w:rsid w:val="005A7379"/>
    <w:rsid w:val="005B1D69"/>
    <w:rsid w:val="005B5423"/>
    <w:rsid w:val="005B6E3F"/>
    <w:rsid w:val="005C1F7E"/>
    <w:rsid w:val="005D05F3"/>
    <w:rsid w:val="005D15D9"/>
    <w:rsid w:val="005F00A8"/>
    <w:rsid w:val="005F010E"/>
    <w:rsid w:val="00602362"/>
    <w:rsid w:val="00602594"/>
    <w:rsid w:val="0060535D"/>
    <w:rsid w:val="006066FA"/>
    <w:rsid w:val="0061141E"/>
    <w:rsid w:val="00614273"/>
    <w:rsid w:val="0062077A"/>
    <w:rsid w:val="00621A17"/>
    <w:rsid w:val="00623F4C"/>
    <w:rsid w:val="006465EF"/>
    <w:rsid w:val="00646924"/>
    <w:rsid w:val="00647466"/>
    <w:rsid w:val="00651D0E"/>
    <w:rsid w:val="00654305"/>
    <w:rsid w:val="0066164B"/>
    <w:rsid w:val="00663243"/>
    <w:rsid w:val="00670AA2"/>
    <w:rsid w:val="00671DCA"/>
    <w:rsid w:val="0067406E"/>
    <w:rsid w:val="00677570"/>
    <w:rsid w:val="00677E6C"/>
    <w:rsid w:val="00683C22"/>
    <w:rsid w:val="0068478A"/>
    <w:rsid w:val="00694869"/>
    <w:rsid w:val="006949FB"/>
    <w:rsid w:val="00696D19"/>
    <w:rsid w:val="006A2688"/>
    <w:rsid w:val="006B02FE"/>
    <w:rsid w:val="006B3074"/>
    <w:rsid w:val="006B3952"/>
    <w:rsid w:val="006B64C2"/>
    <w:rsid w:val="006C2696"/>
    <w:rsid w:val="006C2C78"/>
    <w:rsid w:val="006C3818"/>
    <w:rsid w:val="006C54E5"/>
    <w:rsid w:val="006C6D22"/>
    <w:rsid w:val="006C7476"/>
    <w:rsid w:val="006D5F33"/>
    <w:rsid w:val="006F41A5"/>
    <w:rsid w:val="006F4D55"/>
    <w:rsid w:val="006F5C30"/>
    <w:rsid w:val="007007CB"/>
    <w:rsid w:val="007031E5"/>
    <w:rsid w:val="00703E15"/>
    <w:rsid w:val="00707B70"/>
    <w:rsid w:val="0071247D"/>
    <w:rsid w:val="007140D9"/>
    <w:rsid w:val="00720B52"/>
    <w:rsid w:val="007217C2"/>
    <w:rsid w:val="007243F1"/>
    <w:rsid w:val="00726525"/>
    <w:rsid w:val="0073064D"/>
    <w:rsid w:val="00736DC8"/>
    <w:rsid w:val="007403CF"/>
    <w:rsid w:val="00740D48"/>
    <w:rsid w:val="0074164A"/>
    <w:rsid w:val="00742442"/>
    <w:rsid w:val="00750246"/>
    <w:rsid w:val="00750AED"/>
    <w:rsid w:val="007537E1"/>
    <w:rsid w:val="00760420"/>
    <w:rsid w:val="00760895"/>
    <w:rsid w:val="007654B3"/>
    <w:rsid w:val="00770CAF"/>
    <w:rsid w:val="00770CEF"/>
    <w:rsid w:val="00770FAD"/>
    <w:rsid w:val="00772C10"/>
    <w:rsid w:val="00774741"/>
    <w:rsid w:val="007748A2"/>
    <w:rsid w:val="007749AC"/>
    <w:rsid w:val="00775308"/>
    <w:rsid w:val="00781CCC"/>
    <w:rsid w:val="0078321A"/>
    <w:rsid w:val="00783B0B"/>
    <w:rsid w:val="0078794C"/>
    <w:rsid w:val="007A1622"/>
    <w:rsid w:val="007A2A36"/>
    <w:rsid w:val="007A2E0E"/>
    <w:rsid w:val="007A460E"/>
    <w:rsid w:val="007B4156"/>
    <w:rsid w:val="007C083E"/>
    <w:rsid w:val="007D6440"/>
    <w:rsid w:val="007D742E"/>
    <w:rsid w:val="007D76F7"/>
    <w:rsid w:val="007E0959"/>
    <w:rsid w:val="007E2515"/>
    <w:rsid w:val="007E6D9E"/>
    <w:rsid w:val="007F2AAA"/>
    <w:rsid w:val="007F3B8B"/>
    <w:rsid w:val="007F46B2"/>
    <w:rsid w:val="007F5841"/>
    <w:rsid w:val="00801790"/>
    <w:rsid w:val="008030D2"/>
    <w:rsid w:val="00811138"/>
    <w:rsid w:val="00811A14"/>
    <w:rsid w:val="0081405B"/>
    <w:rsid w:val="00817138"/>
    <w:rsid w:val="00817643"/>
    <w:rsid w:val="0082016D"/>
    <w:rsid w:val="00820E26"/>
    <w:rsid w:val="008372DF"/>
    <w:rsid w:val="00837499"/>
    <w:rsid w:val="00840462"/>
    <w:rsid w:val="008420C3"/>
    <w:rsid w:val="008442FE"/>
    <w:rsid w:val="00851CA5"/>
    <w:rsid w:val="008535CB"/>
    <w:rsid w:val="0085472C"/>
    <w:rsid w:val="00857D03"/>
    <w:rsid w:val="008620E4"/>
    <w:rsid w:val="0086360A"/>
    <w:rsid w:val="00863E39"/>
    <w:rsid w:val="0087208B"/>
    <w:rsid w:val="008720AB"/>
    <w:rsid w:val="0087264B"/>
    <w:rsid w:val="00873FD3"/>
    <w:rsid w:val="0087468B"/>
    <w:rsid w:val="008814EA"/>
    <w:rsid w:val="0088367C"/>
    <w:rsid w:val="00883D53"/>
    <w:rsid w:val="00883F5C"/>
    <w:rsid w:val="008871A1"/>
    <w:rsid w:val="0088796B"/>
    <w:rsid w:val="00887E61"/>
    <w:rsid w:val="00891023"/>
    <w:rsid w:val="008914C1"/>
    <w:rsid w:val="00892C77"/>
    <w:rsid w:val="00896644"/>
    <w:rsid w:val="0089762F"/>
    <w:rsid w:val="008A1646"/>
    <w:rsid w:val="008A38AE"/>
    <w:rsid w:val="008A3C31"/>
    <w:rsid w:val="008A48E5"/>
    <w:rsid w:val="008B3FAE"/>
    <w:rsid w:val="008C15C7"/>
    <w:rsid w:val="008C1C92"/>
    <w:rsid w:val="008C3427"/>
    <w:rsid w:val="008C3F5C"/>
    <w:rsid w:val="008C6F6C"/>
    <w:rsid w:val="008D12D7"/>
    <w:rsid w:val="008D3FB7"/>
    <w:rsid w:val="008D4F14"/>
    <w:rsid w:val="008E125A"/>
    <w:rsid w:val="008E1DD3"/>
    <w:rsid w:val="00900D7B"/>
    <w:rsid w:val="00903DE7"/>
    <w:rsid w:val="00904604"/>
    <w:rsid w:val="009053D6"/>
    <w:rsid w:val="0090583C"/>
    <w:rsid w:val="0091014E"/>
    <w:rsid w:val="009104DF"/>
    <w:rsid w:val="00925F09"/>
    <w:rsid w:val="00927BB4"/>
    <w:rsid w:val="00935EF9"/>
    <w:rsid w:val="009438AE"/>
    <w:rsid w:val="00944D6B"/>
    <w:rsid w:val="009522BC"/>
    <w:rsid w:val="00954FD3"/>
    <w:rsid w:val="00957A39"/>
    <w:rsid w:val="00957B5F"/>
    <w:rsid w:val="0096096B"/>
    <w:rsid w:val="00964128"/>
    <w:rsid w:val="0096575A"/>
    <w:rsid w:val="00970D95"/>
    <w:rsid w:val="00974717"/>
    <w:rsid w:val="00976A3C"/>
    <w:rsid w:val="00976B1C"/>
    <w:rsid w:val="00983F4A"/>
    <w:rsid w:val="009874B3"/>
    <w:rsid w:val="00991988"/>
    <w:rsid w:val="00991D86"/>
    <w:rsid w:val="00993777"/>
    <w:rsid w:val="0099741A"/>
    <w:rsid w:val="009A2331"/>
    <w:rsid w:val="009A4870"/>
    <w:rsid w:val="009A6F98"/>
    <w:rsid w:val="009A789B"/>
    <w:rsid w:val="009B1183"/>
    <w:rsid w:val="009B61B1"/>
    <w:rsid w:val="009C0ABA"/>
    <w:rsid w:val="009C12D6"/>
    <w:rsid w:val="009C52A4"/>
    <w:rsid w:val="009D36E7"/>
    <w:rsid w:val="009E0796"/>
    <w:rsid w:val="009E259E"/>
    <w:rsid w:val="00A01F1A"/>
    <w:rsid w:val="00A06D12"/>
    <w:rsid w:val="00A10B5D"/>
    <w:rsid w:val="00A159CC"/>
    <w:rsid w:val="00A15DE9"/>
    <w:rsid w:val="00A24D2E"/>
    <w:rsid w:val="00A27C1F"/>
    <w:rsid w:val="00A34D9D"/>
    <w:rsid w:val="00A35A3F"/>
    <w:rsid w:val="00A36786"/>
    <w:rsid w:val="00A40685"/>
    <w:rsid w:val="00A431DD"/>
    <w:rsid w:val="00A510CF"/>
    <w:rsid w:val="00A5415E"/>
    <w:rsid w:val="00A56999"/>
    <w:rsid w:val="00A645A6"/>
    <w:rsid w:val="00A70CFC"/>
    <w:rsid w:val="00A72845"/>
    <w:rsid w:val="00A730CA"/>
    <w:rsid w:val="00A7382D"/>
    <w:rsid w:val="00A75385"/>
    <w:rsid w:val="00A7761C"/>
    <w:rsid w:val="00A829B7"/>
    <w:rsid w:val="00A97B73"/>
    <w:rsid w:val="00AA32E0"/>
    <w:rsid w:val="00AA5367"/>
    <w:rsid w:val="00AA545E"/>
    <w:rsid w:val="00AA713F"/>
    <w:rsid w:val="00AA7433"/>
    <w:rsid w:val="00AB18EF"/>
    <w:rsid w:val="00AB6555"/>
    <w:rsid w:val="00AC2686"/>
    <w:rsid w:val="00AD1072"/>
    <w:rsid w:val="00AD2AD0"/>
    <w:rsid w:val="00AD4C52"/>
    <w:rsid w:val="00AE5B81"/>
    <w:rsid w:val="00AE5CA3"/>
    <w:rsid w:val="00AE7CF4"/>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427E"/>
    <w:rsid w:val="00B67778"/>
    <w:rsid w:val="00B67E49"/>
    <w:rsid w:val="00B8668D"/>
    <w:rsid w:val="00B900F9"/>
    <w:rsid w:val="00B9783F"/>
    <w:rsid w:val="00BA0F0A"/>
    <w:rsid w:val="00BA1706"/>
    <w:rsid w:val="00BA1CAD"/>
    <w:rsid w:val="00BA284A"/>
    <w:rsid w:val="00BA5571"/>
    <w:rsid w:val="00BB15C8"/>
    <w:rsid w:val="00BB1755"/>
    <w:rsid w:val="00BB6F57"/>
    <w:rsid w:val="00BC0A30"/>
    <w:rsid w:val="00BC0B3B"/>
    <w:rsid w:val="00BD4611"/>
    <w:rsid w:val="00BD625D"/>
    <w:rsid w:val="00BE2D48"/>
    <w:rsid w:val="00BE4BA2"/>
    <w:rsid w:val="00BE5023"/>
    <w:rsid w:val="00BF2791"/>
    <w:rsid w:val="00BF71A2"/>
    <w:rsid w:val="00C006C1"/>
    <w:rsid w:val="00C1023D"/>
    <w:rsid w:val="00C10624"/>
    <w:rsid w:val="00C17A6D"/>
    <w:rsid w:val="00C238A5"/>
    <w:rsid w:val="00C23E2C"/>
    <w:rsid w:val="00C31328"/>
    <w:rsid w:val="00C33585"/>
    <w:rsid w:val="00C40B28"/>
    <w:rsid w:val="00C4191B"/>
    <w:rsid w:val="00C446E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B56"/>
    <w:rsid w:val="00D3649D"/>
    <w:rsid w:val="00D41916"/>
    <w:rsid w:val="00D45AC2"/>
    <w:rsid w:val="00D45F60"/>
    <w:rsid w:val="00D50CA0"/>
    <w:rsid w:val="00D51772"/>
    <w:rsid w:val="00D52992"/>
    <w:rsid w:val="00D5660B"/>
    <w:rsid w:val="00D56C48"/>
    <w:rsid w:val="00D60C6B"/>
    <w:rsid w:val="00D6610B"/>
    <w:rsid w:val="00D71841"/>
    <w:rsid w:val="00D77F1A"/>
    <w:rsid w:val="00D87B52"/>
    <w:rsid w:val="00DA2B84"/>
    <w:rsid w:val="00DA56D4"/>
    <w:rsid w:val="00DB5847"/>
    <w:rsid w:val="00DC03DB"/>
    <w:rsid w:val="00DC0BDC"/>
    <w:rsid w:val="00DC1137"/>
    <w:rsid w:val="00DC34E0"/>
    <w:rsid w:val="00DD247B"/>
    <w:rsid w:val="00DD492E"/>
    <w:rsid w:val="00DD596F"/>
    <w:rsid w:val="00DD7DEF"/>
    <w:rsid w:val="00DE163B"/>
    <w:rsid w:val="00DF2019"/>
    <w:rsid w:val="00DF295D"/>
    <w:rsid w:val="00DF729A"/>
    <w:rsid w:val="00DF7D66"/>
    <w:rsid w:val="00E02F28"/>
    <w:rsid w:val="00E04303"/>
    <w:rsid w:val="00E07E8C"/>
    <w:rsid w:val="00E20095"/>
    <w:rsid w:val="00E208F9"/>
    <w:rsid w:val="00E31171"/>
    <w:rsid w:val="00E32B8C"/>
    <w:rsid w:val="00E33812"/>
    <w:rsid w:val="00E370B3"/>
    <w:rsid w:val="00E452DA"/>
    <w:rsid w:val="00E47C1A"/>
    <w:rsid w:val="00E5279C"/>
    <w:rsid w:val="00E60B3E"/>
    <w:rsid w:val="00E611BD"/>
    <w:rsid w:val="00E6234F"/>
    <w:rsid w:val="00E64795"/>
    <w:rsid w:val="00E72BC5"/>
    <w:rsid w:val="00E76B9D"/>
    <w:rsid w:val="00E7782A"/>
    <w:rsid w:val="00E82905"/>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7F7F"/>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 w:val="00FF5894"/>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7E797"/>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1"/>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image" Target="media/image13.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g"/><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0CC6EDDF9CCD4CD092502462FBAB3FC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122</Nr_x002e__x0020_akti>
    <Data_x0020_e_x0020_Krijimit xmlns="0e656187-b300-4fb0-8bf4-3a50f872073c">2024-12-30T15:46:23Z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2024-12-30T00:00:00Z</Date_x0020_protokolli>
    <Titulli xmlns="0e656187-b300-4fb0-8bf4-3a50f872073c">Për ratifikimin e Konventës për njohjen dhe ekzekutimin e vendimeve gjyqësore të huaja në çështjet civile ose tregtare</Titulli>
    <Modifikuesi xmlns="0e656187-b300-4fb0-8bf4-3a50f872073c">alma.lisaku</Modifikuesi>
    <Nr_x002e__x0020_prot_x0020_QBZ xmlns="0e656187-b300-4fb0-8bf4-3a50f872073c">2256/3</Nr_x002e__x0020_prot_x0020_QBZ>
    <Data_x0020_e_x0020_Modifikimit xmlns="0e656187-b300-4fb0-8bf4-3a50f872073c">2025-01-06T12:06:25Z</Data_x0020_e_x0020_Modifikimit>
    <Dekretuar xmlns="0e656187-b300-4fb0-8bf4-3a50f872073c">false</Dekretuar>
    <Data xmlns="0e656187-b300-4fb0-8bf4-3a50f872073c">2024-12-19T00:00:00Z</Data>
    <Nr_x002e__x0020_protokolli_x0020_i_x0020_aktit xmlns="0e656187-b300-4fb0-8bf4-3a50f872073c">4828/5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CC6EDDF9CCD4CD092502462FBAB3FC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1313E-E02D-4D9D-839B-1A9AD7C89466}">
  <ds:schemaRefs>
    <ds:schemaRef ds:uri="http://schemas.microsoft.com/sharepoint/v3/contenttype/forms"/>
  </ds:schemaRefs>
</ds:datastoreItem>
</file>

<file path=customXml/itemProps2.xml><?xml version="1.0" encoding="utf-8"?>
<ds:datastoreItem xmlns:ds="http://schemas.openxmlformats.org/officeDocument/2006/customXml" ds:itemID="{ACF391FF-22C0-48CA-9916-0A80D4B42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FA5448B-C1DD-4370-973A-C05204380081}">
  <ds:schemaRefs>
    <ds:schemaRef ds:uri="http://www.w3.org/XML/1998/namespace"/>
    <ds:schemaRef ds:uri="0e656187-b300-4fb0-8bf4-3a50f872073c"/>
    <ds:schemaRef ds:uri="http://schemas.microsoft.com/office/2006/documentManagement/types"/>
    <ds:schemaRef ds:uri="http://purl.org/dc/terms/"/>
    <ds:schemaRef ds:uri="http://purl.org/dc/elements/1.1/"/>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1E6DCEA1-34BC-4C3B-A524-C2C6FAA128F4}">
  <ds:schemaRefs>
    <ds:schemaRef ds:uri="http://schemas.microsoft.com/sharepoint/v3/contenttype/forms"/>
  </ds:schemaRefs>
</ds:datastoreItem>
</file>

<file path=customXml/itemProps5.xml><?xml version="1.0" encoding="utf-8"?>
<ds:datastoreItem xmlns:ds="http://schemas.openxmlformats.org/officeDocument/2006/customXml" ds:itemID="{9811E37F-BEAF-40AA-8C0B-36E95882C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DD11121-F9B9-4BC4-9201-CEC3621DE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25</Pages>
  <Words>5156</Words>
  <Characters>29393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Për ratifikimin e Konventës për njohjen dhe ekzekutimin e vendimeve gjyqësore të huaja në çështjet civile ose tregtare</vt:lpstr>
    </vt:vector>
  </TitlesOfParts>
  <Company/>
  <LinksUpToDate>false</LinksUpToDate>
  <CharactersWithSpaces>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Konventës për njohjen dhe ekzekutimin e vendimeve gjyqësore të huaja në çështjet civile ose tregtare</dc:title>
  <dc:creator>gazmend.hanku</dc:creator>
  <cp:lastModifiedBy>Amarilda Muja</cp:lastModifiedBy>
  <cp:revision>64</cp:revision>
  <cp:lastPrinted>2024-12-18T13:13:00Z</cp:lastPrinted>
  <dcterms:created xsi:type="dcterms:W3CDTF">2025-01-06T09:51:00Z</dcterms:created>
  <dcterms:modified xsi:type="dcterms:W3CDTF">2025-01-06T11:30:00Z</dcterms:modified>
</cp:coreProperties>
</file>