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8D5A7" w14:textId="77777777" w:rsidR="00F719D4" w:rsidRPr="00126A15" w:rsidRDefault="00F719D4" w:rsidP="00927FAE">
      <w:pPr>
        <w:spacing w:after="0" w:line="240" w:lineRule="auto"/>
        <w:ind w:firstLine="284"/>
        <w:jc w:val="center"/>
        <w:rPr>
          <w:rFonts w:ascii="Garamond" w:hAnsi="Garamond" w:cs="Times New Roman"/>
          <w:b/>
          <w:sz w:val="24"/>
          <w:szCs w:val="24"/>
          <w:lang w:val="sq-AL"/>
        </w:rPr>
      </w:pPr>
      <w:bookmarkStart w:id="0" w:name="_Hlk172685994"/>
      <w:r w:rsidRPr="00126A15">
        <w:rPr>
          <w:rFonts w:ascii="Garamond" w:hAnsi="Garamond" w:cs="Times New Roman"/>
          <w:b/>
          <w:sz w:val="24"/>
          <w:szCs w:val="24"/>
          <w:lang w:val="sq-AL"/>
        </w:rPr>
        <w:t>LIGJ</w:t>
      </w:r>
    </w:p>
    <w:p w14:paraId="64193BD0" w14:textId="77777777" w:rsidR="00F719D4" w:rsidRPr="00126A15" w:rsidRDefault="00F719D4" w:rsidP="00927FAE">
      <w:pPr>
        <w:spacing w:after="0" w:line="240" w:lineRule="auto"/>
        <w:ind w:firstLine="284"/>
        <w:jc w:val="center"/>
        <w:rPr>
          <w:rFonts w:ascii="Garamond" w:hAnsi="Garamond" w:cs="Times New Roman"/>
          <w:b/>
          <w:sz w:val="24"/>
          <w:szCs w:val="24"/>
          <w:lang w:val="sq-AL"/>
        </w:rPr>
      </w:pPr>
      <w:r w:rsidRPr="00126A15">
        <w:rPr>
          <w:rFonts w:ascii="Garamond" w:hAnsi="Garamond" w:cs="Times New Roman"/>
          <w:b/>
          <w:sz w:val="24"/>
          <w:szCs w:val="24"/>
          <w:lang w:val="sq-AL"/>
        </w:rPr>
        <w:t xml:space="preserve">Nr. 25/2025 </w:t>
      </w:r>
    </w:p>
    <w:p w14:paraId="371873BA" w14:textId="77777777" w:rsidR="00F719D4" w:rsidRPr="00126A15" w:rsidRDefault="00F719D4" w:rsidP="00927FAE">
      <w:pPr>
        <w:spacing w:after="0" w:line="240" w:lineRule="auto"/>
        <w:ind w:firstLine="284"/>
        <w:jc w:val="both"/>
        <w:rPr>
          <w:rFonts w:ascii="Garamond" w:hAnsi="Garamond" w:cs="Times New Roman"/>
          <w:sz w:val="24"/>
          <w:szCs w:val="24"/>
          <w:lang w:val="sq-AL"/>
        </w:rPr>
      </w:pPr>
    </w:p>
    <w:p w14:paraId="401C8641" w14:textId="77777777" w:rsidR="00F719D4" w:rsidRPr="00126A15" w:rsidRDefault="00F719D4" w:rsidP="00927FAE">
      <w:pPr>
        <w:spacing w:after="0" w:line="240" w:lineRule="auto"/>
        <w:ind w:firstLine="284"/>
        <w:jc w:val="center"/>
        <w:rPr>
          <w:rFonts w:ascii="Garamond" w:hAnsi="Garamond" w:cs="Times New Roman"/>
          <w:b/>
          <w:sz w:val="24"/>
          <w:szCs w:val="24"/>
          <w:lang w:val="sq-AL"/>
        </w:rPr>
      </w:pPr>
      <w:r w:rsidRPr="00126A15">
        <w:rPr>
          <w:rFonts w:ascii="Garamond" w:hAnsi="Garamond" w:cs="Times New Roman"/>
          <w:b/>
          <w:sz w:val="24"/>
          <w:szCs w:val="24"/>
          <w:lang w:val="sq-AL"/>
        </w:rPr>
        <w:t xml:space="preserve">PËR RATIFIKIMIN E MARRËVESHJES SIPAS KONVENTËS SË KOMBEVE </w:t>
      </w:r>
    </w:p>
    <w:p w14:paraId="1ED93578" w14:textId="456E8DE6" w:rsidR="00F719D4" w:rsidRPr="00126A15" w:rsidRDefault="00F719D4" w:rsidP="008B582C">
      <w:pPr>
        <w:spacing w:after="0" w:line="240" w:lineRule="auto"/>
        <w:ind w:firstLine="284"/>
        <w:jc w:val="center"/>
        <w:rPr>
          <w:rFonts w:ascii="Garamond" w:hAnsi="Garamond" w:cs="Times New Roman"/>
          <w:b/>
          <w:sz w:val="24"/>
          <w:szCs w:val="24"/>
          <w:lang w:val="sq-AL"/>
        </w:rPr>
      </w:pPr>
      <w:r w:rsidRPr="00126A15">
        <w:rPr>
          <w:rFonts w:ascii="Garamond" w:hAnsi="Garamond" w:cs="Times New Roman"/>
          <w:b/>
          <w:sz w:val="24"/>
          <w:szCs w:val="24"/>
          <w:lang w:val="sq-AL"/>
        </w:rPr>
        <w:t>TË BASHKUARA PËR TË DREJTËN E DETIT MBI RUAJTJEN DHE PËRDORIMIN E QËNDRUESHËM TË DIVERSITETIT BIOLOGJIK DETAR TË ZONAVE PËRTEJ JURIDIKSIONIT KOMBËTAR</w:t>
      </w:r>
    </w:p>
    <w:p w14:paraId="0DE50235" w14:textId="77777777" w:rsidR="00F719D4" w:rsidRPr="00126A15" w:rsidRDefault="00F719D4" w:rsidP="00927FAE">
      <w:pPr>
        <w:spacing w:after="0" w:line="240" w:lineRule="auto"/>
        <w:ind w:firstLine="284"/>
        <w:jc w:val="both"/>
        <w:rPr>
          <w:rFonts w:ascii="Garamond" w:hAnsi="Garamond" w:cs="Times New Roman"/>
          <w:sz w:val="24"/>
          <w:szCs w:val="24"/>
          <w:lang w:val="sq-AL"/>
        </w:rPr>
      </w:pPr>
    </w:p>
    <w:p w14:paraId="259254EA" w14:textId="77777777" w:rsidR="00F719D4" w:rsidRPr="00126A15" w:rsidRDefault="00F719D4" w:rsidP="00927FAE">
      <w:pPr>
        <w:spacing w:after="0" w:line="240" w:lineRule="auto"/>
        <w:ind w:firstLine="284"/>
        <w:jc w:val="both"/>
        <w:rPr>
          <w:rFonts w:ascii="Garamond" w:hAnsi="Garamond" w:cs="Times New Roman"/>
          <w:sz w:val="24"/>
          <w:szCs w:val="24"/>
          <w:lang w:val="sq-AL"/>
        </w:rPr>
      </w:pPr>
      <w:r w:rsidRPr="00126A15">
        <w:rPr>
          <w:rFonts w:ascii="Garamond" w:hAnsi="Garamond" w:cs="Times New Roman"/>
          <w:sz w:val="24"/>
          <w:szCs w:val="24"/>
          <w:lang w:val="sq-AL"/>
        </w:rPr>
        <w:t xml:space="preserve">Në mbështetje të neneve 78, 83, pika 1, dhe 121, pika 1, të Kushtetutës, me propozimin e Këshillit të Ministrave, </w:t>
      </w:r>
    </w:p>
    <w:p w14:paraId="79D06E8B" w14:textId="77777777" w:rsidR="00F719D4" w:rsidRPr="00126A15" w:rsidRDefault="00F719D4" w:rsidP="00927FAE">
      <w:pPr>
        <w:spacing w:after="0" w:line="240" w:lineRule="auto"/>
        <w:ind w:firstLine="284"/>
        <w:jc w:val="both"/>
        <w:rPr>
          <w:rFonts w:ascii="Garamond" w:hAnsi="Garamond" w:cs="Times New Roman"/>
          <w:sz w:val="24"/>
          <w:szCs w:val="24"/>
          <w:lang w:val="sq-AL"/>
        </w:rPr>
      </w:pPr>
    </w:p>
    <w:p w14:paraId="4C2DCD05" w14:textId="77777777" w:rsidR="00F719D4" w:rsidRPr="00126A15" w:rsidRDefault="00F719D4" w:rsidP="00927FAE">
      <w:pPr>
        <w:spacing w:after="0" w:line="240" w:lineRule="auto"/>
        <w:ind w:firstLine="284"/>
        <w:jc w:val="center"/>
        <w:rPr>
          <w:rFonts w:ascii="Garamond" w:hAnsi="Garamond" w:cs="Times New Roman"/>
          <w:sz w:val="24"/>
          <w:szCs w:val="24"/>
          <w:lang w:val="sq-AL"/>
        </w:rPr>
      </w:pPr>
      <w:r w:rsidRPr="00126A15">
        <w:rPr>
          <w:rFonts w:ascii="Garamond" w:hAnsi="Garamond" w:cs="Times New Roman"/>
          <w:sz w:val="24"/>
          <w:szCs w:val="24"/>
          <w:lang w:val="sq-AL"/>
        </w:rPr>
        <w:t>KUVENDI</w:t>
      </w:r>
    </w:p>
    <w:p w14:paraId="141F22D8" w14:textId="77777777" w:rsidR="00F719D4" w:rsidRPr="00126A15" w:rsidRDefault="00F719D4" w:rsidP="00927FAE">
      <w:pPr>
        <w:spacing w:after="0" w:line="240" w:lineRule="auto"/>
        <w:ind w:firstLine="284"/>
        <w:jc w:val="center"/>
        <w:rPr>
          <w:rFonts w:ascii="Garamond" w:hAnsi="Garamond" w:cs="Times New Roman"/>
          <w:sz w:val="24"/>
          <w:szCs w:val="24"/>
          <w:lang w:val="sq-AL"/>
        </w:rPr>
      </w:pPr>
      <w:r w:rsidRPr="00126A15">
        <w:rPr>
          <w:rFonts w:ascii="Garamond" w:hAnsi="Garamond" w:cs="Times New Roman"/>
          <w:sz w:val="24"/>
          <w:szCs w:val="24"/>
          <w:lang w:val="sq-AL"/>
        </w:rPr>
        <w:t>I REPUBLIKËS SË SHQIPËRISË</w:t>
      </w:r>
    </w:p>
    <w:p w14:paraId="09886CC6" w14:textId="77777777" w:rsidR="00F719D4" w:rsidRPr="00126A15" w:rsidRDefault="00F719D4" w:rsidP="00927FAE">
      <w:pPr>
        <w:spacing w:after="0" w:line="240" w:lineRule="auto"/>
        <w:ind w:firstLine="284"/>
        <w:jc w:val="center"/>
        <w:rPr>
          <w:rFonts w:ascii="Garamond" w:hAnsi="Garamond" w:cs="Times New Roman"/>
          <w:sz w:val="24"/>
          <w:szCs w:val="24"/>
          <w:lang w:val="sq-AL"/>
        </w:rPr>
      </w:pPr>
    </w:p>
    <w:p w14:paraId="51C1932A" w14:textId="77777777" w:rsidR="00F719D4" w:rsidRPr="00126A15" w:rsidRDefault="00F719D4" w:rsidP="00927FAE">
      <w:pPr>
        <w:spacing w:after="0" w:line="240" w:lineRule="auto"/>
        <w:ind w:firstLine="284"/>
        <w:jc w:val="center"/>
        <w:rPr>
          <w:rFonts w:ascii="Garamond" w:hAnsi="Garamond" w:cs="Times New Roman"/>
          <w:sz w:val="24"/>
          <w:szCs w:val="24"/>
          <w:lang w:val="sq-AL"/>
        </w:rPr>
      </w:pPr>
      <w:r w:rsidRPr="00126A15">
        <w:rPr>
          <w:rFonts w:ascii="Garamond" w:hAnsi="Garamond" w:cs="Times New Roman"/>
          <w:sz w:val="24"/>
          <w:szCs w:val="24"/>
          <w:lang w:val="sq-AL"/>
        </w:rPr>
        <w:t>VENDOSI:</w:t>
      </w:r>
    </w:p>
    <w:p w14:paraId="0A3784AF" w14:textId="77777777" w:rsidR="00F719D4" w:rsidRPr="00126A15" w:rsidRDefault="00F719D4" w:rsidP="00927FAE">
      <w:pPr>
        <w:spacing w:after="0" w:line="240" w:lineRule="auto"/>
        <w:ind w:firstLine="284"/>
        <w:jc w:val="center"/>
        <w:rPr>
          <w:rFonts w:ascii="Garamond" w:hAnsi="Garamond" w:cs="Times New Roman"/>
          <w:sz w:val="24"/>
          <w:szCs w:val="24"/>
          <w:lang w:val="sq-AL"/>
        </w:rPr>
      </w:pPr>
    </w:p>
    <w:p w14:paraId="0EE9D98F" w14:textId="77777777" w:rsidR="00F719D4" w:rsidRPr="00126A15" w:rsidRDefault="00F719D4" w:rsidP="00927FAE">
      <w:pPr>
        <w:spacing w:after="0" w:line="240" w:lineRule="auto"/>
        <w:ind w:firstLine="284"/>
        <w:jc w:val="center"/>
        <w:rPr>
          <w:rFonts w:ascii="Garamond" w:hAnsi="Garamond" w:cs="Times New Roman"/>
          <w:sz w:val="24"/>
          <w:szCs w:val="24"/>
          <w:lang w:val="sq-AL"/>
        </w:rPr>
      </w:pPr>
      <w:r w:rsidRPr="00126A15">
        <w:rPr>
          <w:rFonts w:ascii="Garamond" w:hAnsi="Garamond" w:cs="Times New Roman"/>
          <w:sz w:val="24"/>
          <w:szCs w:val="24"/>
          <w:lang w:val="sq-AL"/>
        </w:rPr>
        <w:t>Neni 1</w:t>
      </w:r>
    </w:p>
    <w:p w14:paraId="3C4C0E54" w14:textId="77777777" w:rsidR="00F719D4" w:rsidRPr="00126A15" w:rsidRDefault="00F719D4" w:rsidP="00927FAE">
      <w:pPr>
        <w:spacing w:after="0" w:line="240" w:lineRule="auto"/>
        <w:ind w:firstLine="284"/>
        <w:jc w:val="both"/>
        <w:rPr>
          <w:rFonts w:ascii="Garamond" w:hAnsi="Garamond" w:cs="Times New Roman"/>
          <w:sz w:val="24"/>
          <w:szCs w:val="24"/>
          <w:lang w:val="sq-AL"/>
        </w:rPr>
      </w:pPr>
    </w:p>
    <w:p w14:paraId="4CCE7C04" w14:textId="53A2F41B" w:rsidR="00F719D4" w:rsidRPr="00126A15" w:rsidRDefault="00F719D4" w:rsidP="00927FAE">
      <w:pPr>
        <w:spacing w:after="0" w:line="240" w:lineRule="auto"/>
        <w:ind w:firstLine="284"/>
        <w:jc w:val="both"/>
        <w:rPr>
          <w:rFonts w:ascii="Garamond" w:hAnsi="Garamond" w:cs="Times New Roman"/>
          <w:sz w:val="24"/>
          <w:szCs w:val="24"/>
          <w:lang w:val="sq-AL"/>
        </w:rPr>
      </w:pPr>
      <w:r w:rsidRPr="00126A15">
        <w:rPr>
          <w:rFonts w:ascii="Garamond" w:hAnsi="Garamond" w:cs="Times New Roman"/>
          <w:sz w:val="24"/>
          <w:szCs w:val="24"/>
          <w:lang w:val="sq-AL"/>
        </w:rPr>
        <w:t>Ratifikohet marrëveshja sipas Konventës së Kombeve të Bashkuara për të drejtën e detit mbi ruajtjen dhe përdorimin e qëndrueshëm të diversitetit biologjik detar të zonave përtej juridiksionit kombëtar, bërë në Nju</w:t>
      </w:r>
      <w:r w:rsidR="008B582C" w:rsidRPr="00126A15">
        <w:rPr>
          <w:rFonts w:ascii="Garamond" w:hAnsi="Garamond" w:cs="Times New Roman"/>
          <w:sz w:val="24"/>
          <w:szCs w:val="24"/>
          <w:lang w:val="sq-AL"/>
        </w:rPr>
        <w:t>-</w:t>
      </w:r>
      <w:r w:rsidRPr="00126A15">
        <w:rPr>
          <w:rFonts w:ascii="Garamond" w:hAnsi="Garamond" w:cs="Times New Roman"/>
          <w:sz w:val="24"/>
          <w:szCs w:val="24"/>
          <w:lang w:val="sq-AL"/>
        </w:rPr>
        <w:t>Jork më 19 qershor 2023, sipas tekstit që i bashkëlidhet këtij ligji dhe është pjesë përbërëse e tij.</w:t>
      </w:r>
    </w:p>
    <w:p w14:paraId="28787494" w14:textId="77777777" w:rsidR="00F719D4" w:rsidRPr="00126A15" w:rsidRDefault="00F719D4" w:rsidP="00927FAE">
      <w:pPr>
        <w:spacing w:after="0" w:line="240" w:lineRule="auto"/>
        <w:ind w:firstLine="284"/>
        <w:jc w:val="both"/>
        <w:rPr>
          <w:rFonts w:ascii="Garamond" w:hAnsi="Garamond" w:cs="Times New Roman"/>
          <w:sz w:val="24"/>
          <w:szCs w:val="24"/>
          <w:lang w:val="sq-AL"/>
        </w:rPr>
      </w:pPr>
    </w:p>
    <w:p w14:paraId="301D246A" w14:textId="77777777" w:rsidR="00F719D4" w:rsidRPr="00126A15" w:rsidRDefault="00F719D4" w:rsidP="00927FAE">
      <w:pPr>
        <w:spacing w:after="0" w:line="240" w:lineRule="auto"/>
        <w:ind w:firstLine="284"/>
        <w:jc w:val="center"/>
        <w:rPr>
          <w:rFonts w:ascii="Garamond" w:hAnsi="Garamond" w:cs="Times New Roman"/>
          <w:sz w:val="24"/>
          <w:szCs w:val="24"/>
          <w:lang w:val="sq-AL"/>
        </w:rPr>
      </w:pPr>
      <w:r w:rsidRPr="00126A15">
        <w:rPr>
          <w:rFonts w:ascii="Garamond" w:hAnsi="Garamond" w:cs="Times New Roman"/>
          <w:sz w:val="24"/>
          <w:szCs w:val="24"/>
          <w:lang w:val="sq-AL"/>
        </w:rPr>
        <w:t>Neni 2</w:t>
      </w:r>
    </w:p>
    <w:p w14:paraId="690AB765" w14:textId="77777777" w:rsidR="00F719D4" w:rsidRPr="00126A15" w:rsidRDefault="00F719D4" w:rsidP="00927FAE">
      <w:pPr>
        <w:spacing w:after="0" w:line="240" w:lineRule="auto"/>
        <w:ind w:firstLine="284"/>
        <w:jc w:val="both"/>
        <w:rPr>
          <w:rFonts w:ascii="Garamond" w:hAnsi="Garamond" w:cs="Times New Roman"/>
          <w:sz w:val="24"/>
          <w:szCs w:val="24"/>
          <w:lang w:val="sq-AL"/>
        </w:rPr>
      </w:pPr>
    </w:p>
    <w:p w14:paraId="5B2A8311" w14:textId="77777777" w:rsidR="00F719D4" w:rsidRPr="00126A15" w:rsidRDefault="00F719D4" w:rsidP="00927FAE">
      <w:pPr>
        <w:spacing w:after="0" w:line="240" w:lineRule="auto"/>
        <w:ind w:firstLine="284"/>
        <w:jc w:val="both"/>
        <w:rPr>
          <w:rFonts w:ascii="Garamond" w:hAnsi="Garamond" w:cs="Times New Roman"/>
          <w:sz w:val="24"/>
          <w:szCs w:val="24"/>
          <w:lang w:val="sq-AL"/>
        </w:rPr>
      </w:pPr>
      <w:r w:rsidRPr="00126A15">
        <w:rPr>
          <w:rFonts w:ascii="Garamond" w:hAnsi="Garamond" w:cs="Times New Roman"/>
          <w:sz w:val="24"/>
          <w:szCs w:val="24"/>
          <w:lang w:val="sq-AL"/>
        </w:rPr>
        <w:t>Ky ligj hyn në fuqi 15 ditë pas botimit në Fletoren Zyrtare.</w:t>
      </w:r>
    </w:p>
    <w:p w14:paraId="08F31A2A" w14:textId="2D7BA453" w:rsidR="00F719D4" w:rsidRPr="00126A15" w:rsidRDefault="00F719D4" w:rsidP="00927FAE">
      <w:pPr>
        <w:spacing w:after="0" w:line="240" w:lineRule="auto"/>
        <w:ind w:firstLine="284"/>
        <w:jc w:val="both"/>
        <w:rPr>
          <w:rFonts w:ascii="Garamond" w:hAnsi="Garamond" w:cs="Times New Roman"/>
          <w:bCs/>
          <w:sz w:val="24"/>
          <w:szCs w:val="24"/>
          <w:lang w:val="sq-AL"/>
        </w:rPr>
      </w:pPr>
      <w:r w:rsidRPr="00126A15">
        <w:rPr>
          <w:rFonts w:ascii="Garamond" w:hAnsi="Garamond" w:cs="Times New Roman"/>
          <w:bCs/>
          <w:sz w:val="24"/>
          <w:szCs w:val="24"/>
          <w:lang w:val="sq-AL"/>
        </w:rPr>
        <w:t>Miratuar në datën 5.6.2025</w:t>
      </w:r>
      <w:r w:rsidR="008B582C" w:rsidRPr="00126A15">
        <w:rPr>
          <w:rFonts w:ascii="Garamond" w:hAnsi="Garamond" w:cs="Times New Roman"/>
          <w:bCs/>
          <w:sz w:val="24"/>
          <w:szCs w:val="24"/>
          <w:lang w:val="sq-AL"/>
        </w:rPr>
        <w:t>.</w:t>
      </w:r>
    </w:p>
    <w:p w14:paraId="713F81D1" w14:textId="77777777" w:rsidR="00F719D4" w:rsidRPr="00126A15" w:rsidRDefault="00F719D4" w:rsidP="00927FAE">
      <w:pPr>
        <w:spacing w:after="0" w:line="240" w:lineRule="auto"/>
        <w:ind w:firstLine="284"/>
        <w:jc w:val="both"/>
        <w:rPr>
          <w:rFonts w:ascii="Garamond" w:hAnsi="Garamond" w:cs="Times New Roman"/>
          <w:bCs/>
          <w:sz w:val="24"/>
          <w:szCs w:val="24"/>
          <w:lang w:val="sq-AL"/>
        </w:rPr>
      </w:pPr>
    </w:p>
    <w:p w14:paraId="0AEA6DC1" w14:textId="5D6796DC" w:rsidR="00590748" w:rsidRPr="00126A15" w:rsidRDefault="00590748" w:rsidP="00590748">
      <w:pPr>
        <w:spacing w:after="0" w:line="240" w:lineRule="auto"/>
        <w:jc w:val="both"/>
        <w:rPr>
          <w:rFonts w:ascii="Garamond" w:hAnsi="Garamond" w:cstheme="majorBidi"/>
          <w:b/>
          <w:sz w:val="24"/>
          <w:szCs w:val="24"/>
          <w:lang w:val="sq-AL"/>
        </w:rPr>
      </w:pPr>
      <w:r w:rsidRPr="00126A15">
        <w:rPr>
          <w:rFonts w:ascii="Garamond" w:hAnsi="Garamond" w:cstheme="majorBidi"/>
          <w:b/>
          <w:sz w:val="24"/>
          <w:szCs w:val="24"/>
          <w:lang w:val="sq-AL"/>
        </w:rPr>
        <w:t>Shpallur me dekretin nr.</w:t>
      </w:r>
      <w:r w:rsidR="001A02B8">
        <w:rPr>
          <w:rFonts w:ascii="Garamond" w:hAnsi="Garamond" w:cstheme="majorBidi"/>
          <w:b/>
          <w:sz w:val="24"/>
          <w:szCs w:val="24"/>
          <w:lang w:val="sq-AL"/>
        </w:rPr>
        <w:t xml:space="preserve"> 179</w:t>
      </w:r>
      <w:r w:rsidRPr="00126A15">
        <w:rPr>
          <w:rFonts w:ascii="Garamond" w:hAnsi="Garamond" w:cstheme="majorBidi"/>
          <w:b/>
          <w:sz w:val="24"/>
          <w:szCs w:val="24"/>
          <w:lang w:val="sq-AL"/>
        </w:rPr>
        <w:t>, datë</w:t>
      </w:r>
      <w:r w:rsidR="002424B2" w:rsidRPr="00126A15">
        <w:rPr>
          <w:rFonts w:ascii="Garamond" w:hAnsi="Garamond" w:cstheme="majorBidi"/>
          <w:b/>
          <w:sz w:val="24"/>
          <w:szCs w:val="24"/>
          <w:lang w:val="sq-AL"/>
        </w:rPr>
        <w:t xml:space="preserve"> 9.6.</w:t>
      </w:r>
      <w:r w:rsidRPr="00126A15">
        <w:rPr>
          <w:rFonts w:ascii="Garamond" w:hAnsi="Garamond" w:cstheme="majorBidi"/>
          <w:b/>
          <w:sz w:val="24"/>
          <w:szCs w:val="24"/>
          <w:lang w:val="sq-AL"/>
        </w:rPr>
        <w:t>2025, të Presidentit të Republikës së Shqipërisë, Bajram Begaj.</w:t>
      </w:r>
    </w:p>
    <w:p w14:paraId="15D92BB5" w14:textId="77777777" w:rsidR="00F719D4" w:rsidRPr="00126A15" w:rsidRDefault="00F719D4" w:rsidP="00927FAE">
      <w:pPr>
        <w:spacing w:after="0" w:line="240" w:lineRule="auto"/>
        <w:ind w:firstLine="284"/>
        <w:rPr>
          <w:rFonts w:ascii="Garamond" w:eastAsia="Times New Roman" w:hAnsi="Garamond" w:cs="Times New Roman"/>
          <w:sz w:val="24"/>
          <w:szCs w:val="24"/>
          <w:lang w:val="sq-AL"/>
        </w:rPr>
      </w:pPr>
    </w:p>
    <w:p w14:paraId="4CE29CDE" w14:textId="77777777" w:rsidR="00F719D4" w:rsidRPr="00126A15" w:rsidRDefault="00F719D4"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175C136" w14:textId="77777777" w:rsidR="00B017AD"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 xml:space="preserve">MARRËVESHJE </w:t>
      </w:r>
    </w:p>
    <w:p w14:paraId="24B0D399" w14:textId="1D06E431" w:rsidR="00F205CF" w:rsidRPr="00126A15" w:rsidRDefault="00F205CF" w:rsidP="00B017AD">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SIPAS KONVENTËS SË KOMBEVE TË BASHKUARA</w:t>
      </w:r>
      <w:r w:rsidR="00B017AD" w:rsidRPr="00126A15">
        <w:rPr>
          <w:rFonts w:ascii="Garamond" w:hAnsi="Garamond" w:cs="Garamond"/>
          <w:b/>
          <w:bCs/>
          <w:color w:val="000000"/>
          <w:sz w:val="24"/>
          <w:szCs w:val="24"/>
          <w:lang w:val="sq-AL"/>
        </w:rPr>
        <w:t xml:space="preserve"> </w:t>
      </w:r>
      <w:r w:rsidRPr="00126A15">
        <w:rPr>
          <w:rFonts w:ascii="Garamond" w:hAnsi="Garamond" w:cs="Garamond"/>
          <w:b/>
          <w:bCs/>
          <w:color w:val="000000"/>
          <w:sz w:val="24"/>
          <w:szCs w:val="24"/>
          <w:lang w:val="sq-AL"/>
        </w:rPr>
        <w:t>PËR TË DREJTËN E DETIT MBI RUAJTJEN DHE</w:t>
      </w:r>
      <w:r w:rsidR="007A5D58" w:rsidRPr="00126A15">
        <w:rPr>
          <w:rFonts w:ascii="Garamond" w:hAnsi="Garamond" w:cs="Garamond"/>
          <w:b/>
          <w:bCs/>
          <w:color w:val="000000"/>
          <w:sz w:val="24"/>
          <w:szCs w:val="24"/>
          <w:lang w:val="sq-AL"/>
        </w:rPr>
        <w:t xml:space="preserve"> </w:t>
      </w:r>
      <w:r w:rsidRPr="00126A15">
        <w:rPr>
          <w:rFonts w:ascii="Garamond" w:hAnsi="Garamond" w:cs="Garamond"/>
          <w:b/>
          <w:bCs/>
          <w:color w:val="000000"/>
          <w:sz w:val="24"/>
          <w:szCs w:val="24"/>
          <w:lang w:val="sq-AL"/>
        </w:rPr>
        <w:t>PËRDORIMIN E QËNDRUESHËM TË DIVERSITETIT BIOLOGJIK DETAR</w:t>
      </w:r>
      <w:r w:rsidR="00B017AD" w:rsidRPr="00126A15">
        <w:rPr>
          <w:rFonts w:ascii="Garamond" w:hAnsi="Garamond" w:cs="Garamond"/>
          <w:b/>
          <w:bCs/>
          <w:color w:val="000000"/>
          <w:sz w:val="24"/>
          <w:szCs w:val="24"/>
          <w:lang w:val="sq-AL"/>
        </w:rPr>
        <w:t xml:space="preserve"> </w:t>
      </w:r>
      <w:r w:rsidRPr="00126A15">
        <w:rPr>
          <w:rFonts w:ascii="Garamond" w:hAnsi="Garamond" w:cs="Garamond"/>
          <w:b/>
          <w:bCs/>
          <w:color w:val="000000"/>
          <w:sz w:val="24"/>
          <w:szCs w:val="24"/>
          <w:lang w:val="sq-AL"/>
        </w:rPr>
        <w:t>TË ZONAVE PËRTEJ JURIDIKSIONIT KOMBËTAR</w:t>
      </w:r>
    </w:p>
    <w:p w14:paraId="2EB258D8" w14:textId="77777777" w:rsidR="00F205CF" w:rsidRPr="00126A15" w:rsidRDefault="00F205CF" w:rsidP="00927FAE">
      <w:pPr>
        <w:autoSpaceDE w:val="0"/>
        <w:autoSpaceDN w:val="0"/>
        <w:adjustRightInd w:val="0"/>
        <w:spacing w:after="0" w:line="240" w:lineRule="auto"/>
        <w:ind w:firstLine="284"/>
        <w:rPr>
          <w:rFonts w:ascii="Garamond" w:hAnsi="Garamond" w:cs="Garamond"/>
          <w:b/>
          <w:bCs/>
          <w:color w:val="000000"/>
          <w:sz w:val="24"/>
          <w:szCs w:val="24"/>
          <w:lang w:val="sq-AL"/>
        </w:rPr>
      </w:pPr>
    </w:p>
    <w:p w14:paraId="0B071C2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KOMBET E BASHKUARA</w:t>
      </w:r>
    </w:p>
    <w:p w14:paraId="2ACFDB2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2023</w:t>
      </w:r>
    </w:p>
    <w:p w14:paraId="0317895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5B084B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FE13DA5" w14:textId="77777777" w:rsidR="00F205CF" w:rsidRPr="00126A15" w:rsidRDefault="00F205CF" w:rsidP="00B017AD">
      <w:pPr>
        <w:autoSpaceDE w:val="0"/>
        <w:autoSpaceDN w:val="0"/>
        <w:adjustRightInd w:val="0"/>
        <w:spacing w:after="0" w:line="240" w:lineRule="auto"/>
        <w:ind w:firstLine="284"/>
        <w:rPr>
          <w:rFonts w:ascii="Garamond" w:hAnsi="Garamond" w:cs="Garamond"/>
          <w:b/>
          <w:bCs/>
          <w:color w:val="000000"/>
          <w:sz w:val="24"/>
          <w:szCs w:val="24"/>
          <w:lang w:val="sq-AL"/>
        </w:rPr>
      </w:pPr>
      <w:r w:rsidRPr="00126A15">
        <w:rPr>
          <w:rFonts w:ascii="Garamond" w:hAnsi="Garamond" w:cs="Garamond"/>
          <w:color w:val="000000"/>
          <w:sz w:val="24"/>
          <w:szCs w:val="24"/>
          <w:lang w:val="sq-AL"/>
        </w:rPr>
        <w:t>PARATHËNIE</w:t>
      </w:r>
    </w:p>
    <w:p w14:paraId="7F06CDDC" w14:textId="396FC177" w:rsidR="00F205CF" w:rsidRPr="00126A15" w:rsidRDefault="00F205CF" w:rsidP="00927FAE">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126A15">
        <w:rPr>
          <w:rFonts w:ascii="Garamond" w:hAnsi="Garamond" w:cs="Garamond"/>
          <w:i/>
          <w:iCs/>
          <w:color w:val="000000"/>
          <w:sz w:val="24"/>
          <w:szCs w:val="24"/>
          <w:lang w:val="sq-AL"/>
        </w:rPr>
        <w:t xml:space="preserve">Palët e </w:t>
      </w:r>
      <w:r w:rsidR="001F741E" w:rsidRPr="00126A15">
        <w:rPr>
          <w:rFonts w:ascii="Garamond" w:hAnsi="Garamond" w:cs="Garamond"/>
          <w:i/>
          <w:iCs/>
          <w:color w:val="000000"/>
          <w:sz w:val="24"/>
          <w:szCs w:val="24"/>
          <w:lang w:val="sq-AL"/>
        </w:rPr>
        <w:t xml:space="preserve">kësaj </w:t>
      </w:r>
      <w:r w:rsidRPr="00126A15">
        <w:rPr>
          <w:rFonts w:ascii="Garamond" w:hAnsi="Garamond" w:cs="Garamond"/>
          <w:i/>
          <w:iCs/>
          <w:color w:val="000000"/>
          <w:sz w:val="24"/>
          <w:szCs w:val="24"/>
          <w:lang w:val="sq-AL"/>
        </w:rPr>
        <w:t>Marrëveshjeje,</w:t>
      </w:r>
    </w:p>
    <w:p w14:paraId="431478EB" w14:textId="7A8E83AD"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 xml:space="preserve">marrë parasysh </w:t>
      </w:r>
      <w:r w:rsidR="00F205CF" w:rsidRPr="00126A15">
        <w:rPr>
          <w:rFonts w:ascii="Garamond" w:hAnsi="Garamond" w:cs="Garamond"/>
          <w:color w:val="000000"/>
          <w:sz w:val="24"/>
          <w:szCs w:val="24"/>
          <w:lang w:val="sq-AL"/>
        </w:rPr>
        <w:t xml:space="preserve">dispozitat përkatëse të Konventës së Kombeve të Bashkuara mbi legjislacionin detar të 10 dhjetorit 1982, përfshirë detyrimin për të mbrojtur dhe </w:t>
      </w:r>
      <w:r w:rsidR="007B241C" w:rsidRPr="00126A15">
        <w:rPr>
          <w:rFonts w:ascii="Garamond" w:hAnsi="Garamond" w:cs="Garamond"/>
          <w:color w:val="000000"/>
          <w:sz w:val="24"/>
          <w:szCs w:val="24"/>
          <w:lang w:val="sq-AL"/>
        </w:rPr>
        <w:t xml:space="preserve">për të </w:t>
      </w:r>
      <w:r w:rsidR="00F205CF" w:rsidRPr="00126A15">
        <w:rPr>
          <w:rFonts w:ascii="Garamond" w:hAnsi="Garamond" w:cs="Garamond"/>
          <w:color w:val="000000"/>
          <w:sz w:val="24"/>
          <w:szCs w:val="24"/>
          <w:lang w:val="sq-AL"/>
        </w:rPr>
        <w:t>ruajtur mjedisin detar</w:t>
      </w:r>
      <w:r w:rsidR="003F3530" w:rsidRPr="00126A15">
        <w:rPr>
          <w:rFonts w:ascii="Garamond" w:hAnsi="Garamond" w:cs="Garamond"/>
          <w:color w:val="000000"/>
          <w:sz w:val="24"/>
          <w:szCs w:val="24"/>
          <w:lang w:val="sq-AL"/>
        </w:rPr>
        <w:t>;</w:t>
      </w:r>
    </w:p>
    <w:p w14:paraId="036F9CED" w14:textId="10A6A9B1"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theksuar</w:t>
      </w:r>
      <w:r w:rsidR="00F205CF" w:rsidRPr="00126A15">
        <w:rPr>
          <w:rFonts w:ascii="Garamond" w:hAnsi="Garamond" w:cs="Garamond"/>
          <w:color w:val="000000"/>
          <w:sz w:val="24"/>
          <w:szCs w:val="24"/>
          <w:lang w:val="sq-AL"/>
        </w:rPr>
        <w:t xml:space="preserve"> nevojën për të respektuar ekuilibrin e të drejtave, detyrimeve dhe interesave të përcaktuar në Konventë</w:t>
      </w:r>
      <w:r w:rsidR="003F3530" w:rsidRPr="00126A15">
        <w:rPr>
          <w:rFonts w:ascii="Garamond" w:hAnsi="Garamond" w:cs="Garamond"/>
          <w:color w:val="000000"/>
          <w:sz w:val="24"/>
          <w:szCs w:val="24"/>
          <w:lang w:val="sq-AL"/>
        </w:rPr>
        <w:t>;</w:t>
      </w:r>
    </w:p>
    <w:p w14:paraId="6BE3E37F" w14:textId="4AA42394"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lastRenderedPageBreak/>
        <w:t xml:space="preserve">duke </w:t>
      </w:r>
      <w:r w:rsidR="00F205CF" w:rsidRPr="00126A15">
        <w:rPr>
          <w:rFonts w:ascii="Garamond" w:hAnsi="Garamond" w:cs="Garamond"/>
          <w:i/>
          <w:iCs/>
          <w:color w:val="000000"/>
          <w:sz w:val="24"/>
          <w:szCs w:val="24"/>
          <w:lang w:val="sq-AL"/>
        </w:rPr>
        <w:t>njohur</w:t>
      </w:r>
      <w:r w:rsidR="00F205CF" w:rsidRPr="00126A15">
        <w:rPr>
          <w:rFonts w:ascii="Garamond" w:hAnsi="Garamond" w:cs="Garamond"/>
          <w:color w:val="000000"/>
          <w:sz w:val="24"/>
          <w:szCs w:val="24"/>
          <w:lang w:val="sq-AL"/>
        </w:rPr>
        <w:t xml:space="preserve"> nevojën për të trajtuar, në mënyrë koherente dhe bashkëpunuese, humbjen dhe degradimin e diversitetit biologjik të ekosistemeve të oqeanit, për shkak të, në veçanti, ndikimeve të ndryshimeve klimatike në ekosistemet detare, si ngrohja dhe deoksigjenimi i oqeanit, si dhe acidifikimi i oqeanit, ndotja, duke përfshirë ndotjen plastike dhe përdorimin jo të qëndrueshëm</w:t>
      </w:r>
      <w:r w:rsidR="003F3530" w:rsidRPr="00126A15">
        <w:rPr>
          <w:rFonts w:ascii="Garamond" w:hAnsi="Garamond" w:cs="Garamond"/>
          <w:color w:val="000000"/>
          <w:sz w:val="24"/>
          <w:szCs w:val="24"/>
          <w:lang w:val="sq-AL"/>
        </w:rPr>
        <w:t>;</w:t>
      </w:r>
    </w:p>
    <w:p w14:paraId="209B7035" w14:textId="11E597BB"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të </w:t>
      </w:r>
      <w:r w:rsidR="00F205CF" w:rsidRPr="00126A15">
        <w:rPr>
          <w:rFonts w:ascii="Garamond" w:hAnsi="Garamond" w:cs="Garamond"/>
          <w:i/>
          <w:iCs/>
          <w:color w:val="000000"/>
          <w:sz w:val="24"/>
          <w:szCs w:val="24"/>
          <w:lang w:val="sq-AL"/>
        </w:rPr>
        <w:t>vetëdijshëm</w:t>
      </w:r>
      <w:r w:rsidR="00F205CF" w:rsidRPr="00126A15">
        <w:rPr>
          <w:rFonts w:ascii="Garamond" w:hAnsi="Garamond" w:cs="Garamond"/>
          <w:color w:val="000000"/>
          <w:sz w:val="24"/>
          <w:szCs w:val="24"/>
          <w:lang w:val="sq-AL"/>
        </w:rPr>
        <w:t xml:space="preserve"> për nevojën që regjimi gjithëpërfshirës global sipas Konventës të trajtojë më mirë ruajtjen dhe përdorimin e qëndrueshëm të diversitetit biologjik detar të zonave përtej juridiksionit kombëtar</w:t>
      </w:r>
      <w:r w:rsidR="003F3530" w:rsidRPr="00126A15">
        <w:rPr>
          <w:rFonts w:ascii="Garamond" w:hAnsi="Garamond" w:cs="Garamond"/>
          <w:color w:val="000000"/>
          <w:sz w:val="24"/>
          <w:szCs w:val="24"/>
          <w:lang w:val="sq-AL"/>
        </w:rPr>
        <w:t>;</w:t>
      </w:r>
    </w:p>
    <w:p w14:paraId="062C587B" w14:textId="10A88305"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njohur</w:t>
      </w:r>
      <w:r w:rsidR="00F205CF" w:rsidRPr="00126A15">
        <w:rPr>
          <w:rFonts w:ascii="Garamond" w:hAnsi="Garamond" w:cs="Garamond"/>
          <w:color w:val="000000"/>
          <w:sz w:val="24"/>
          <w:szCs w:val="24"/>
          <w:lang w:val="sq-AL"/>
        </w:rPr>
        <w:t xml:space="preserve"> rëndësinë e kontributit në realizimin e një rendi ekonomik ndërkombëtar të drejtë dhe të barabartë, i cili merr parasysh interesat dhe nevojat e njerëzimit në tërësi dhe, në veçanti, interesat dhe nevojat e veçant</w:t>
      </w:r>
      <w:r w:rsidR="0024123D">
        <w:rPr>
          <w:rFonts w:ascii="Garamond" w:hAnsi="Garamond" w:cs="Garamond"/>
          <w:color w:val="000000"/>
          <w:sz w:val="24"/>
          <w:szCs w:val="24"/>
          <w:lang w:val="sq-AL"/>
        </w:rPr>
        <w:t>ë</w:t>
      </w:r>
      <w:r w:rsidR="00F205CF" w:rsidRPr="00126A15">
        <w:rPr>
          <w:rFonts w:ascii="Garamond" w:hAnsi="Garamond" w:cs="Garamond"/>
          <w:color w:val="000000"/>
          <w:sz w:val="24"/>
          <w:szCs w:val="24"/>
          <w:lang w:val="sq-AL"/>
        </w:rPr>
        <w:t xml:space="preserve"> të shteteve në zhvillim, qofshin ato bregdetare apo pa dalje në det</w:t>
      </w:r>
      <w:r w:rsidR="003F3530" w:rsidRPr="00126A15">
        <w:rPr>
          <w:rFonts w:ascii="Garamond" w:hAnsi="Garamond" w:cs="Garamond"/>
          <w:color w:val="000000"/>
          <w:sz w:val="24"/>
          <w:szCs w:val="24"/>
          <w:lang w:val="sq-AL"/>
        </w:rPr>
        <w:t>;</w:t>
      </w:r>
    </w:p>
    <w:p w14:paraId="6E4B1523" w14:textId="283D0CEC"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ditur</w:t>
      </w:r>
      <w:r w:rsidR="001F494B" w:rsidRPr="00126A15">
        <w:rPr>
          <w:rFonts w:ascii="Garamond" w:hAnsi="Garamond" w:cs="Garamond"/>
          <w:i/>
          <w:iCs/>
          <w:color w:val="000000"/>
          <w:sz w:val="24"/>
          <w:szCs w:val="24"/>
          <w:lang w:val="sq-AL"/>
        </w:rPr>
        <w:t>,</w:t>
      </w:r>
      <w:r w:rsidR="00F205CF" w:rsidRPr="00126A15">
        <w:rPr>
          <w:rFonts w:ascii="Garamond" w:hAnsi="Garamond" w:cs="Garamond"/>
          <w:color w:val="000000"/>
          <w:sz w:val="24"/>
          <w:szCs w:val="24"/>
          <w:lang w:val="sq-AL"/>
        </w:rPr>
        <w:t xml:space="preserve"> gjithashtu</w:t>
      </w:r>
      <w:r w:rsidR="001F494B" w:rsidRPr="00126A15">
        <w:rPr>
          <w:rFonts w:ascii="Garamond" w:hAnsi="Garamond" w:cs="Garamond"/>
          <w:color w:val="000000"/>
          <w:sz w:val="24"/>
          <w:szCs w:val="24"/>
          <w:lang w:val="sq-AL"/>
        </w:rPr>
        <w:t>,</w:t>
      </w:r>
      <w:r w:rsidR="00F205CF" w:rsidRPr="00126A15">
        <w:rPr>
          <w:rFonts w:ascii="Garamond" w:hAnsi="Garamond" w:cs="Garamond"/>
          <w:color w:val="000000"/>
          <w:sz w:val="24"/>
          <w:szCs w:val="24"/>
          <w:lang w:val="sq-AL"/>
        </w:rPr>
        <w:t xml:space="preserve"> se mbështetja për Shtetet Palë në zhvillim nëpërmjet krijimit të kapaciteteve dhe zhvillimit dhe transferimit të teknologjisë detare janë element</w:t>
      </w:r>
      <w:r w:rsidR="001F494B" w:rsidRPr="00126A15">
        <w:rPr>
          <w:rFonts w:ascii="Garamond" w:hAnsi="Garamond" w:cs="Garamond"/>
          <w:color w:val="000000"/>
          <w:sz w:val="24"/>
          <w:szCs w:val="24"/>
          <w:lang w:val="sq-AL"/>
        </w:rPr>
        <w:t>e</w:t>
      </w:r>
      <w:r w:rsidR="00F205CF" w:rsidRPr="00126A15">
        <w:rPr>
          <w:rFonts w:ascii="Garamond" w:hAnsi="Garamond" w:cs="Garamond"/>
          <w:color w:val="000000"/>
          <w:sz w:val="24"/>
          <w:szCs w:val="24"/>
          <w:lang w:val="sq-AL"/>
        </w:rPr>
        <w:t xml:space="preserve"> thelbësorë për arritjen e objektivave të ruajtjes dhe përdorimit të qëndrueshëm të diversitetit biologjik detar të zonave përtej juridiksionit kombëtar</w:t>
      </w:r>
      <w:r w:rsidR="003F3530" w:rsidRPr="00126A15">
        <w:rPr>
          <w:rFonts w:ascii="Garamond" w:hAnsi="Garamond" w:cs="Garamond"/>
          <w:color w:val="000000"/>
          <w:sz w:val="24"/>
          <w:szCs w:val="24"/>
          <w:lang w:val="sq-AL"/>
        </w:rPr>
        <w:t>;</w:t>
      </w:r>
    </w:p>
    <w:p w14:paraId="5176D13B" w14:textId="7AB64C07"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marrë parasysh</w:t>
      </w:r>
      <w:r w:rsidR="00F205CF" w:rsidRPr="00126A15">
        <w:rPr>
          <w:rFonts w:ascii="Garamond" w:hAnsi="Garamond" w:cs="Garamond"/>
          <w:color w:val="000000"/>
          <w:sz w:val="24"/>
          <w:szCs w:val="24"/>
          <w:lang w:val="sq-AL"/>
        </w:rPr>
        <w:t xml:space="preserve"> Deklaratën e Kombeve të Bashkuara për të Drejtat e</w:t>
      </w:r>
      <w:r w:rsidR="007A5D58" w:rsidRPr="00126A15">
        <w:rPr>
          <w:rFonts w:ascii="Garamond" w:hAnsi="Garamond" w:cs="Garamond"/>
          <w:color w:val="000000"/>
          <w:sz w:val="24"/>
          <w:szCs w:val="24"/>
          <w:lang w:val="sq-AL"/>
        </w:rPr>
        <w:t xml:space="preserve"> </w:t>
      </w:r>
      <w:r w:rsidR="00F205CF" w:rsidRPr="00126A15">
        <w:rPr>
          <w:rFonts w:ascii="Garamond" w:hAnsi="Garamond" w:cs="Garamond"/>
          <w:color w:val="000000"/>
          <w:sz w:val="24"/>
          <w:szCs w:val="24"/>
          <w:lang w:val="sq-AL"/>
        </w:rPr>
        <w:t>Vend</w:t>
      </w:r>
      <w:r w:rsidR="003F3530" w:rsidRPr="00126A15">
        <w:rPr>
          <w:rFonts w:ascii="Garamond" w:hAnsi="Garamond" w:cs="Garamond"/>
          <w:color w:val="000000"/>
          <w:sz w:val="24"/>
          <w:szCs w:val="24"/>
          <w:lang w:val="sq-AL"/>
        </w:rPr>
        <w:t>ë</w:t>
      </w:r>
      <w:r w:rsidR="00F205CF" w:rsidRPr="00126A15">
        <w:rPr>
          <w:rFonts w:ascii="Garamond" w:hAnsi="Garamond" w:cs="Garamond"/>
          <w:color w:val="000000"/>
          <w:sz w:val="24"/>
          <w:szCs w:val="24"/>
          <w:lang w:val="sq-AL"/>
        </w:rPr>
        <w:t>sve</w:t>
      </w:r>
      <w:r w:rsidR="003F3530" w:rsidRPr="00126A15">
        <w:rPr>
          <w:rFonts w:ascii="Garamond" w:hAnsi="Garamond" w:cs="Garamond"/>
          <w:color w:val="000000"/>
          <w:sz w:val="24"/>
          <w:szCs w:val="24"/>
          <w:lang w:val="sq-AL"/>
        </w:rPr>
        <w:t>;</w:t>
      </w:r>
    </w:p>
    <w:p w14:paraId="5645A577" w14:textId="0072D37E"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pretenduar</w:t>
      </w:r>
      <w:r w:rsidR="00F205CF" w:rsidRPr="00126A15">
        <w:rPr>
          <w:rFonts w:ascii="Garamond" w:hAnsi="Garamond" w:cs="Garamond"/>
          <w:color w:val="000000"/>
          <w:sz w:val="24"/>
          <w:szCs w:val="24"/>
          <w:lang w:val="sq-AL"/>
        </w:rPr>
        <w:t xml:space="preserve"> se asgjë në këtë Marrëveshje nuk do të synojë të tkurrë apo të shuajë të drejtat ekzistuese të </w:t>
      </w:r>
      <w:r w:rsidR="003F3530" w:rsidRPr="00126A15">
        <w:rPr>
          <w:rFonts w:ascii="Garamond" w:hAnsi="Garamond" w:cs="Garamond"/>
          <w:color w:val="000000"/>
          <w:sz w:val="24"/>
          <w:szCs w:val="24"/>
          <w:lang w:val="sq-AL"/>
        </w:rPr>
        <w:t>vendës</w:t>
      </w:r>
      <w:r w:rsidR="00F205CF" w:rsidRPr="00126A15">
        <w:rPr>
          <w:rFonts w:ascii="Garamond" w:hAnsi="Garamond" w:cs="Garamond"/>
          <w:color w:val="000000"/>
          <w:sz w:val="24"/>
          <w:szCs w:val="24"/>
          <w:lang w:val="sq-AL"/>
        </w:rPr>
        <w:t xml:space="preserve">ve, duke përfshirë siç përcaktohet në Deklaratën e Kombeve të Bashkuara për të Drejtat e </w:t>
      </w:r>
      <w:r w:rsidR="003F3530" w:rsidRPr="00126A15">
        <w:rPr>
          <w:rFonts w:ascii="Garamond" w:hAnsi="Garamond" w:cs="Garamond"/>
          <w:color w:val="000000"/>
          <w:sz w:val="24"/>
          <w:szCs w:val="24"/>
          <w:lang w:val="sq-AL"/>
        </w:rPr>
        <w:t>Vendës</w:t>
      </w:r>
      <w:r w:rsidR="00F205CF" w:rsidRPr="00126A15">
        <w:rPr>
          <w:rFonts w:ascii="Garamond" w:hAnsi="Garamond" w:cs="Garamond"/>
          <w:color w:val="000000"/>
          <w:sz w:val="24"/>
          <w:szCs w:val="24"/>
          <w:lang w:val="sq-AL"/>
        </w:rPr>
        <w:t>ve, ose, sipas rastit, të komuniteteve lokale</w:t>
      </w:r>
      <w:r w:rsidR="002F0776" w:rsidRPr="00126A15">
        <w:rPr>
          <w:rFonts w:ascii="Garamond" w:hAnsi="Garamond" w:cs="Garamond"/>
          <w:color w:val="000000"/>
          <w:sz w:val="24"/>
          <w:szCs w:val="24"/>
          <w:lang w:val="sq-AL"/>
        </w:rPr>
        <w:t>;</w:t>
      </w:r>
    </w:p>
    <w:p w14:paraId="48E9A8B0" w14:textId="30464FD3"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ditur</w:t>
      </w:r>
      <w:r w:rsidR="00F205CF" w:rsidRPr="00126A15">
        <w:rPr>
          <w:rFonts w:ascii="Garamond" w:hAnsi="Garamond" w:cs="Garamond"/>
          <w:color w:val="000000"/>
          <w:sz w:val="24"/>
          <w:szCs w:val="24"/>
          <w:lang w:val="sq-AL"/>
        </w:rPr>
        <w:t xml:space="preserve"> detyrimin e përcaktuar në Konventë për të vlerësuar, aq sa është e mundur, efektet e mundshme në mjedisin detar të aktiviteteve nën juridiksionin ose kontrollin e një shteti, kur shteti ka baza të arsyeshme për të besuar se aktivitete të tilla mund të shkaktojnë ndotje të konsiderueshme me ose ndryshime serioze dhe të dëmshme në mjedisin detar</w:t>
      </w:r>
      <w:r w:rsidR="002F0776" w:rsidRPr="00126A15">
        <w:rPr>
          <w:rFonts w:ascii="Garamond" w:hAnsi="Garamond" w:cs="Garamond"/>
          <w:color w:val="000000"/>
          <w:sz w:val="24"/>
          <w:szCs w:val="24"/>
          <w:lang w:val="sq-AL"/>
        </w:rPr>
        <w:t>;</w:t>
      </w:r>
    </w:p>
    <w:p w14:paraId="46F93557" w14:textId="527F0AE3"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pasur parasysh</w:t>
      </w:r>
      <w:r w:rsidR="00F205CF" w:rsidRPr="00126A15">
        <w:rPr>
          <w:rFonts w:ascii="Garamond" w:hAnsi="Garamond" w:cs="Garamond"/>
          <w:color w:val="000000"/>
          <w:sz w:val="24"/>
          <w:szCs w:val="24"/>
          <w:lang w:val="sq-AL"/>
        </w:rPr>
        <w:t xml:space="preserve"> detyrimin e përcaktuar në Konventë për të marrë të gjitha masat e nevojshme për të siguruar që ndotja e shkaktuar nga incidentet ose aktivitetet të mos përhapet përtej zonave ku ushtrohen të drejtat absolute në përputhje me Konventën</w:t>
      </w:r>
      <w:r w:rsidR="002F0776" w:rsidRPr="00126A15">
        <w:rPr>
          <w:rFonts w:ascii="Garamond" w:hAnsi="Garamond" w:cs="Garamond"/>
          <w:color w:val="000000"/>
          <w:sz w:val="24"/>
          <w:szCs w:val="24"/>
          <w:lang w:val="sq-AL"/>
        </w:rPr>
        <w:t>;</w:t>
      </w:r>
    </w:p>
    <w:p w14:paraId="6180166E" w14:textId="77E04EBC"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dëshira </w:t>
      </w:r>
      <w:r w:rsidR="00F205CF" w:rsidRPr="00126A15">
        <w:rPr>
          <w:rFonts w:ascii="Garamond" w:hAnsi="Garamond" w:cs="Garamond"/>
          <w:i/>
          <w:iCs/>
          <w:color w:val="000000"/>
          <w:sz w:val="24"/>
          <w:szCs w:val="24"/>
          <w:lang w:val="sq-AL"/>
        </w:rPr>
        <w:t>për të vepruar</w:t>
      </w:r>
      <w:r w:rsidR="00F205CF" w:rsidRPr="00126A15">
        <w:rPr>
          <w:rFonts w:ascii="Garamond" w:hAnsi="Garamond" w:cs="Garamond"/>
          <w:color w:val="000000"/>
          <w:sz w:val="24"/>
          <w:szCs w:val="24"/>
          <w:lang w:val="sq-AL"/>
        </w:rPr>
        <w:t xml:space="preserve"> si kujdestarë të oqeanit në zona përtej juridiksionit kombëtar për hir të brezave të tanishëm dhe të ardhshëm duke mbrojtur, kujdesur dhe siguruar përdorim të përgjegjshëm të mjedisit detar, duke ruajtur integritetin e ekosistemeve të oqeanit dhe duke ruajtur vlerën e qenësishme të diversitetit biologjik të zonave përtej juridiksionit kombëtar</w:t>
      </w:r>
      <w:r w:rsidR="002F0776" w:rsidRPr="00126A15">
        <w:rPr>
          <w:rFonts w:ascii="Garamond" w:hAnsi="Garamond" w:cs="Garamond"/>
          <w:color w:val="000000"/>
          <w:sz w:val="24"/>
          <w:szCs w:val="24"/>
          <w:lang w:val="sq-AL"/>
        </w:rPr>
        <w:t>;</w:t>
      </w:r>
    </w:p>
    <w:p w14:paraId="09E97346" w14:textId="00393B49"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pranuar</w:t>
      </w:r>
      <w:r w:rsidR="00F205CF" w:rsidRPr="00126A15">
        <w:rPr>
          <w:rFonts w:ascii="Garamond" w:hAnsi="Garamond" w:cs="Garamond"/>
          <w:color w:val="000000"/>
          <w:sz w:val="24"/>
          <w:szCs w:val="24"/>
          <w:lang w:val="sq-AL"/>
        </w:rPr>
        <w:t xml:space="preserve"> se gjenerimi, aksesi dhe përdorimi i informacionit të sekuencës di</w:t>
      </w:r>
      <w:r w:rsidR="007A5D58" w:rsidRPr="00126A15">
        <w:rPr>
          <w:rFonts w:ascii="Garamond" w:hAnsi="Garamond" w:cs="Garamond"/>
          <w:color w:val="000000"/>
          <w:sz w:val="24"/>
          <w:szCs w:val="24"/>
          <w:lang w:val="sq-AL"/>
        </w:rPr>
        <w:t>gj</w:t>
      </w:r>
      <w:r w:rsidR="00F205CF" w:rsidRPr="00126A15">
        <w:rPr>
          <w:rFonts w:ascii="Garamond" w:hAnsi="Garamond" w:cs="Garamond"/>
          <w:color w:val="000000"/>
          <w:sz w:val="24"/>
          <w:szCs w:val="24"/>
          <w:lang w:val="sq-AL"/>
        </w:rPr>
        <w:t>itale mbi burimet gjenetike detare të zonave përtej juridiksionit kombëtar, së bashku me ndarjen e drejtë dhe të barabartë të përfitimeve që rrjedhin nga përdorimi i tij, kontribuojnë në kërkim dhe inovacion dhe në objektivin e përgjithshëm të këtij Marrëveshjeje</w:t>
      </w:r>
      <w:r w:rsidR="002F0776" w:rsidRPr="00126A15">
        <w:rPr>
          <w:rFonts w:ascii="Garamond" w:hAnsi="Garamond" w:cs="Garamond"/>
          <w:color w:val="000000"/>
          <w:sz w:val="24"/>
          <w:szCs w:val="24"/>
          <w:lang w:val="sq-AL"/>
        </w:rPr>
        <w:t>;</w:t>
      </w:r>
    </w:p>
    <w:p w14:paraId="5BF7FAD4" w14:textId="58BDE248"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respektuar</w:t>
      </w:r>
      <w:r w:rsidR="00F205CF" w:rsidRPr="00126A15">
        <w:rPr>
          <w:rFonts w:ascii="Garamond" w:hAnsi="Garamond" w:cs="Garamond"/>
          <w:color w:val="000000"/>
          <w:sz w:val="24"/>
          <w:szCs w:val="24"/>
          <w:lang w:val="sq-AL"/>
        </w:rPr>
        <w:t xml:space="preserve"> sovranitetin, integritetin territorial dhe pavarësinë politike të të gjitha shteteve,</w:t>
      </w:r>
    </w:p>
    <w:p w14:paraId="535E6BE9" w14:textId="67A7903D"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mos harruar</w:t>
      </w:r>
      <w:r w:rsidR="00F205CF" w:rsidRPr="00126A15">
        <w:rPr>
          <w:rFonts w:ascii="Garamond" w:hAnsi="Garamond" w:cs="Garamond"/>
          <w:color w:val="000000"/>
          <w:sz w:val="24"/>
          <w:szCs w:val="24"/>
          <w:lang w:val="sq-AL"/>
        </w:rPr>
        <w:t xml:space="preserve"> se statusi juridik i shteteve që nuk janë palë në Konventë ose në ndonjë marrëveshje tjetër të lidhur rregullohet nga sundimi i ligjit të traktateve</w:t>
      </w:r>
      <w:r w:rsidR="002F0776" w:rsidRPr="00126A15">
        <w:rPr>
          <w:rFonts w:ascii="Garamond" w:hAnsi="Garamond" w:cs="Garamond"/>
          <w:color w:val="000000"/>
          <w:sz w:val="24"/>
          <w:szCs w:val="24"/>
          <w:lang w:val="sq-AL"/>
        </w:rPr>
        <w:t>;</w:t>
      </w:r>
    </w:p>
    <w:p w14:paraId="685E9BC4" w14:textId="67935A4B"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marrë parasysh</w:t>
      </w:r>
      <w:r w:rsidR="0078777E" w:rsidRPr="00126A15">
        <w:rPr>
          <w:rFonts w:ascii="Garamond" w:hAnsi="Garamond" w:cs="Garamond"/>
          <w:i/>
          <w:iCs/>
          <w:color w:val="000000"/>
          <w:sz w:val="24"/>
          <w:szCs w:val="24"/>
          <w:lang w:val="sq-AL"/>
        </w:rPr>
        <w:t>,</w:t>
      </w:r>
      <w:r w:rsidR="00F205CF" w:rsidRPr="00126A15">
        <w:rPr>
          <w:rFonts w:ascii="Garamond" w:hAnsi="Garamond" w:cs="Garamond"/>
          <w:color w:val="000000"/>
          <w:sz w:val="24"/>
          <w:szCs w:val="24"/>
          <w:lang w:val="sq-AL"/>
        </w:rPr>
        <w:t xml:space="preserve"> gjithashtu se, siç përcaktohet në Konventë, Shtetet janë përgjegjëse për përmbushjen e detyrimeve të tyre ndërkombëtare në lidhje me mbrojtjen dhe ruajtjen e mjedisit detar dhe mund të jenë përgjegjës në përputhje me të drejtën ndërkombëtare</w:t>
      </w:r>
      <w:r w:rsidR="002F0776" w:rsidRPr="00126A15">
        <w:rPr>
          <w:rFonts w:ascii="Garamond" w:hAnsi="Garamond" w:cs="Garamond"/>
          <w:color w:val="000000"/>
          <w:sz w:val="24"/>
          <w:szCs w:val="24"/>
          <w:lang w:val="sq-AL"/>
        </w:rPr>
        <w:t>;</w:t>
      </w:r>
    </w:p>
    <w:p w14:paraId="108A8B0B" w14:textId="31272484"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të </w:t>
      </w:r>
      <w:r w:rsidR="00F205CF" w:rsidRPr="00126A15">
        <w:rPr>
          <w:rFonts w:ascii="Garamond" w:hAnsi="Garamond" w:cs="Garamond"/>
          <w:i/>
          <w:iCs/>
          <w:color w:val="000000"/>
          <w:sz w:val="24"/>
          <w:szCs w:val="24"/>
          <w:lang w:val="sq-AL"/>
        </w:rPr>
        <w:t>përkushtuar</w:t>
      </w:r>
      <w:r w:rsidR="00F205CF" w:rsidRPr="00126A15">
        <w:rPr>
          <w:rFonts w:ascii="Garamond" w:hAnsi="Garamond" w:cs="Garamond"/>
          <w:color w:val="000000"/>
          <w:sz w:val="24"/>
          <w:szCs w:val="24"/>
          <w:lang w:val="sq-AL"/>
        </w:rPr>
        <w:t xml:space="preserve"> për arritjen e zhvillimit të qëndrueshëm</w:t>
      </w:r>
      <w:r w:rsidR="002F0776" w:rsidRPr="00126A15">
        <w:rPr>
          <w:rFonts w:ascii="Garamond" w:hAnsi="Garamond" w:cs="Garamond"/>
          <w:color w:val="000000"/>
          <w:sz w:val="24"/>
          <w:szCs w:val="24"/>
          <w:lang w:val="sq-AL"/>
        </w:rPr>
        <w:t>;</w:t>
      </w:r>
    </w:p>
    <w:p w14:paraId="2E04DA7F" w14:textId="236F6A22"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duke </w:t>
      </w:r>
      <w:r w:rsidR="00F205CF" w:rsidRPr="00126A15">
        <w:rPr>
          <w:rFonts w:ascii="Garamond" w:hAnsi="Garamond" w:cs="Garamond"/>
          <w:i/>
          <w:iCs/>
          <w:color w:val="000000"/>
          <w:sz w:val="24"/>
          <w:szCs w:val="24"/>
          <w:lang w:val="sq-AL"/>
        </w:rPr>
        <w:t>aspiruar</w:t>
      </w:r>
      <w:r w:rsidR="00F205CF" w:rsidRPr="00126A15">
        <w:rPr>
          <w:rFonts w:ascii="Garamond" w:hAnsi="Garamond" w:cs="Garamond"/>
          <w:color w:val="000000"/>
          <w:sz w:val="24"/>
          <w:szCs w:val="24"/>
          <w:lang w:val="sq-AL"/>
        </w:rPr>
        <w:t xml:space="preserve"> për të arritur pjesëmarrje të përgjithshme</w:t>
      </w:r>
      <w:r w:rsidR="002F0776" w:rsidRPr="00126A15">
        <w:rPr>
          <w:rFonts w:ascii="Garamond" w:hAnsi="Garamond" w:cs="Garamond"/>
          <w:color w:val="000000"/>
          <w:sz w:val="24"/>
          <w:szCs w:val="24"/>
          <w:lang w:val="sq-AL"/>
        </w:rPr>
        <w:t>;</w:t>
      </w:r>
    </w:p>
    <w:p w14:paraId="0B3F0824" w14:textId="40367C08" w:rsidR="00F205CF" w:rsidRPr="00126A15" w:rsidRDefault="00B017AD"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i/>
          <w:iCs/>
          <w:color w:val="000000"/>
          <w:sz w:val="24"/>
          <w:szCs w:val="24"/>
          <w:lang w:val="sq-AL"/>
        </w:rPr>
        <w:t xml:space="preserve">kanë </w:t>
      </w:r>
      <w:r w:rsidR="00F205CF" w:rsidRPr="00126A15">
        <w:rPr>
          <w:rFonts w:ascii="Garamond" w:hAnsi="Garamond" w:cs="Garamond"/>
          <w:i/>
          <w:iCs/>
          <w:color w:val="000000"/>
          <w:sz w:val="24"/>
          <w:szCs w:val="24"/>
          <w:lang w:val="sq-AL"/>
        </w:rPr>
        <w:t>rënë dakord</w:t>
      </w:r>
      <w:r w:rsidR="00F205CF" w:rsidRPr="00126A15">
        <w:rPr>
          <w:rFonts w:ascii="Garamond" w:hAnsi="Garamond" w:cs="Garamond"/>
          <w:color w:val="000000"/>
          <w:sz w:val="24"/>
          <w:szCs w:val="24"/>
          <w:lang w:val="sq-AL"/>
        </w:rPr>
        <w:t xml:space="preserve"> si më poshtë</w:t>
      </w:r>
      <w:r w:rsidR="002F0776" w:rsidRPr="00126A15">
        <w:rPr>
          <w:rFonts w:ascii="Garamond" w:hAnsi="Garamond" w:cs="Garamond"/>
          <w:color w:val="000000"/>
          <w:sz w:val="24"/>
          <w:szCs w:val="24"/>
          <w:lang w:val="sq-AL"/>
        </w:rPr>
        <w:t>.</w:t>
      </w:r>
    </w:p>
    <w:p w14:paraId="0C2803E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62B736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I</w:t>
      </w:r>
    </w:p>
    <w:p w14:paraId="7BF86F7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DISPOZITAT E PËRGJITHSHME</w:t>
      </w:r>
    </w:p>
    <w:p w14:paraId="04D847A7"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841800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w:t>
      </w:r>
    </w:p>
    <w:p w14:paraId="03DA36E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Përdorimi i termave</w:t>
      </w:r>
    </w:p>
    <w:p w14:paraId="65794782"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8B92F46"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Për qëllime të kësaj Marrëveshjeje:</w:t>
      </w:r>
    </w:p>
    <w:p w14:paraId="73578397" w14:textId="3C462DF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“Mjet i menaxhimit të bazuar në zonë” nënkupton një mjet, duke përfshirë një zonë të mbrojtur detare, për një zonë të përcaktuar gjeografikisht përmes së cilës menaxhohen një ose disa sektorë ose aktivitete me synimin e arritjes së objektivave të veçant</w:t>
      </w:r>
      <w:r w:rsidR="0024123D">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të ruajtjes dhe përdorimit të qëndrueshëm në përputhje me këtë Marrëveshje.</w:t>
      </w:r>
    </w:p>
    <w:p w14:paraId="7F603F19" w14:textId="20B32F3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“Zonat jashtë juridiksionit kombëtar” nënkupton detin e hapur dhe zonën.</w:t>
      </w:r>
    </w:p>
    <w:p w14:paraId="2A619D0A" w14:textId="3402755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“Bioteknologji” nënkupton çdo aplikim teknologjik që përdor sisteme biologjike, gjallesa ose derivate të tyre, për të prodhuar ose modifikuar produkte ose procese për përdorim specifik.</w:t>
      </w:r>
    </w:p>
    <w:p w14:paraId="7DD26551" w14:textId="704C947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“Grumbullimi n</w:t>
      </w:r>
      <w:r w:rsidR="001160D7">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vend”, në lidhje me burimet gjenetike detare, nënkupton grumbullimin ose marrjen e mostrave të burimeve gjenetike detare në zona përtej juridiksionit kombëtar.</w:t>
      </w:r>
    </w:p>
    <w:p w14:paraId="0B85C8B8" w14:textId="0132C99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“Konventa” nënkupton Konventën e Kombeve të Bashkuara për të Drejtën e Detit, e datës 10 dhjetor 1982.</w:t>
      </w:r>
    </w:p>
    <w:p w14:paraId="2671EABA" w14:textId="574595D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“Ndikimet kumulative” do të thotë ndikimet e kombinuara dhe në rritje që rezultojnë nga aktivitete të ndryshme, duke përfshirë aktivitetet e njohura të arsyeshme dhe të parashikueshme të së shkuarës dhe të tashmes, ose nga përsëritja e aktiviteteve të ngjashme ndër vite, dhe pasojat e ndryshimeve klimatike, acidifikimit të oqeanit dhe ndikimet e lidhura me to.</w:t>
      </w:r>
    </w:p>
    <w:p w14:paraId="7B4697AA" w14:textId="5726E01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“Vlerësimi i ndikimit në mjedis” nënkupton një proces për të identifikuar dhe vlerësuar ndikimet e mundshme të një aktiviteti për të informuar vendimmarrjen.</w:t>
      </w:r>
    </w:p>
    <w:p w14:paraId="5E355A81" w14:textId="3190B94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8. “Burime gjenetike detare” nënkupton çdo lëndë bimore detare, shtazore, mikrobike ose të tjera që përmbajnë njësi funksionale të trashëgimisë me vlerë konkrete ose potenciale.</w:t>
      </w:r>
    </w:p>
    <w:p w14:paraId="3FDDE98B" w14:textId="4E479B2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9. “Zonë e mbrojtur detare” nënkupton një zonë detare të përcaktuar gjeografikisht që zgjidhet dhe menaxhohet për të arritur objektiva specifik</w:t>
      </w:r>
      <w:r w:rsidR="0078777E" w:rsidRPr="00126A15">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afatgjat</w:t>
      </w:r>
      <w:r w:rsidR="0078777E" w:rsidRPr="00126A15">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të ruajtjes së diversitetit biologjik dhe mund të lejojë, kur është e përshtatshme, përdorim të vazhdueshëm me kusht që të jetë në përputhje me objektivat e ruajtjes.</w:t>
      </w:r>
    </w:p>
    <w:p w14:paraId="3F555BCD" w14:textId="76BD2A5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10. “Teknologjia detare” përfshin, ndër të tjera, informacionin dhe të dhënat, të ofruara në një format praktik për përdoruesit, mbi shkencat detare dhe operacionet dhe shërbimet detare të lidhura me to; manuale, udhëzime, kritere, standarde dhe materiale referuese; pajisje për marrjen e mostrave dhe metodologjinë; mjetet dhe pajisjet për vëzhgime, analiza dhe eksperimente në vend dhe laboratorike; kompjuter dhe programe kompjuterike, duke përfshirë modele dhe teknika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modelimi; bioteknologji të kombinuar; dhe ekspertizë, njohuri, aftësi,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metoda teknike, shkencore, ligjore dhe analitike që lidhen me ruajtjen dhe përdorimin e qëndrueshëm të diversitetit biologjik detar.</w:t>
      </w:r>
    </w:p>
    <w:p w14:paraId="48AFAD4D" w14:textId="715C057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11. “Palë” nënkupton një shtet ose organizatë rajonale të integrimit ekonomik që ka pranuar të jetë e lidhur me këtë Marrëveshje dhe për të cilën kjo Marrëveshje është në fuqi.</w:t>
      </w:r>
    </w:p>
    <w:p w14:paraId="1698370C" w14:textId="7A6AE54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12. “</w:t>
      </w:r>
      <w:r w:rsidR="00DB5B57" w:rsidRPr="00126A15">
        <w:rPr>
          <w:rFonts w:ascii="Garamond" w:hAnsi="Garamond" w:cs="Garamond"/>
          <w:color w:val="000000"/>
          <w:sz w:val="24"/>
          <w:szCs w:val="24"/>
          <w:lang w:val="sq-AL"/>
        </w:rPr>
        <w:t xml:space="preserve">Organizata Rajonale </w:t>
      </w:r>
      <w:r w:rsidR="00DB5B57">
        <w:rPr>
          <w:rFonts w:ascii="Garamond" w:hAnsi="Garamond" w:cs="Garamond"/>
          <w:color w:val="000000"/>
          <w:sz w:val="24"/>
          <w:szCs w:val="24"/>
          <w:lang w:val="sq-AL"/>
        </w:rPr>
        <w:t>e</w:t>
      </w:r>
      <w:r w:rsidR="00DB5B57" w:rsidRPr="00126A15">
        <w:rPr>
          <w:rFonts w:ascii="Garamond" w:hAnsi="Garamond" w:cs="Garamond"/>
          <w:color w:val="000000"/>
          <w:sz w:val="24"/>
          <w:szCs w:val="24"/>
          <w:lang w:val="sq-AL"/>
        </w:rPr>
        <w:t xml:space="preserve"> Integrimit Ekonomik</w:t>
      </w:r>
      <w:r w:rsidRPr="00126A15">
        <w:rPr>
          <w:rFonts w:ascii="Garamond" w:hAnsi="Garamond" w:cs="Garamond"/>
          <w:color w:val="000000"/>
          <w:sz w:val="24"/>
          <w:szCs w:val="24"/>
          <w:lang w:val="sq-AL"/>
        </w:rPr>
        <w:t>” nënkupton një organizatë të përbërë nga shtete sovrane të një rajoni të caktuar, shteteve anëtare të së cilës</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ua kanë kaluar kompetencën në lidhje me çështjet e rregulluara nga kjo Marrëveshje dhe e cila është autorizuar siç duhet, në përputhje me procedurat e saj të brendshme, për të nënshkruar, ratifikuar, miratuar, pranuar ose aderuar në këtë Marrëveshje.</w:t>
      </w:r>
    </w:p>
    <w:p w14:paraId="68847331" w14:textId="54C053C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13. “Përdorimi i qëndrueshëm” nënkupton përdorimin e komponentëve të diversitetit biologjik në një mënyrë dhe në një shkallë që nuk çon në një rënie afatgjatë diversitetit biologjik, duke ruajtur kështu potencialin e tij për të përmbushur nevojat dhe aspiratat e brezave të tanishëm dhe të ardhshëm.</w:t>
      </w:r>
    </w:p>
    <w:p w14:paraId="3C44029B" w14:textId="1209414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14. “Përdorimi i burimeve gjenetike detare” nënkupton kryerjen e kërkimit dhe zhvillimit mbi përbërjen gjenetike dhe/ose biokimike të burimeve gjenetike detare, duke përfshirë aplikimin e bioteknologjisë, siç përcaktohet në paragrafin 3 më sipër.</w:t>
      </w:r>
    </w:p>
    <w:p w14:paraId="1824CC0D"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E048633" w14:textId="77777777" w:rsidR="004111EA" w:rsidRDefault="004111EA"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44170622" w14:textId="77777777" w:rsidR="004111EA" w:rsidRDefault="004111EA"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56B4DD19" w14:textId="0E9D501C"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Neni 2</w:t>
      </w:r>
    </w:p>
    <w:p w14:paraId="7392E1C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Objektivi i përgjithshëm</w:t>
      </w:r>
    </w:p>
    <w:p w14:paraId="64EC2CA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537A5763"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Objektivi i kësaj Marrëveshjeje është të sigurojë ruajtjen dhe përdorimin e qëndrueshëm të diversitetit biologjik detar të zonave përtej juridiksionit kombëtar, aktualisht dhe në afat të gjatë, nëpërmjet zbatimit efektiv të dispozitave përkatëse të Konventës dhe bashkëpunimit dhe koordinimit të mëtejshëm ndërkombëtar.</w:t>
      </w:r>
    </w:p>
    <w:p w14:paraId="177764CF"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5A6305A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w:t>
      </w:r>
    </w:p>
    <w:p w14:paraId="23DBE6A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Fusha e zbatimit</w:t>
      </w:r>
    </w:p>
    <w:p w14:paraId="462D57F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4952FEB"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 Kjo Marrëveshje zbatohet për zonat jashtë juridiksionit kombëtar. </w:t>
      </w:r>
    </w:p>
    <w:p w14:paraId="7A5C2E3F"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D672BF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4</w:t>
      </w:r>
    </w:p>
    <w:p w14:paraId="3A0E469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Përjashtimet</w:t>
      </w:r>
    </w:p>
    <w:p w14:paraId="50B81BD3"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210543B" w14:textId="2925958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Kjo Marrëveshje nuk zbatohet për asnjë anije luftarake, avion ushtarak ose mjet ndihmës detar. Me përjashtim të pjesës II, kjo Marrëveshje nuk zbatohet për anijet ose avionët e tjerë në pronësi ose operim të një Pale dhe të përdorur, ndërkohë, vetëm për shërbime qeveritare jo tregtare. Megjithatë, secila Palë do të sigurojë, duke miratuar ligjet e duhura që nuk dëmtojnë punën ose aftësitë operacionale të këtyre anijeve ose avionëve në pronësi ose funksion të saj, që këto anije ose avionë të veprojnë në një mënyrë të qëndrueshme, për aq sa është e arsyeshme dhe praktike, me këtë Marrëveshje.</w:t>
      </w:r>
    </w:p>
    <w:p w14:paraId="077C2877"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4129063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w:t>
      </w:r>
    </w:p>
    <w:p w14:paraId="01F1634C" w14:textId="03DF8E5E"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Marrëdhënia ndërmjet kësaj Marrëveshjeje dhe Konventës dhe instrumenteve dhe</w:t>
      </w:r>
      <w:r w:rsidR="007A5D58" w:rsidRPr="00126A15">
        <w:rPr>
          <w:rFonts w:ascii="Garamond" w:hAnsi="Garamond" w:cs="Garamond"/>
          <w:b/>
          <w:bCs/>
          <w:color w:val="000000"/>
          <w:sz w:val="24"/>
          <w:szCs w:val="24"/>
          <w:lang w:val="sq-AL"/>
        </w:rPr>
        <w:t xml:space="preserve"> </w:t>
      </w:r>
    </w:p>
    <w:p w14:paraId="247B1AC0" w14:textId="4AD71013"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kornizave ligjore përkatëse dhe organeve përkatëse globale, rajonale, lokale dhe krahinore</w:t>
      </w:r>
    </w:p>
    <w:p w14:paraId="379076E7" w14:textId="77777777" w:rsidR="004C4E25" w:rsidRPr="00126A15" w:rsidRDefault="004C4E25"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1BDFDD0" w14:textId="06BFFC0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Kjo Marrëveshje do të interpretohet dhe zbatohet në kuadër dhe në atë mënyrë që të jetë në përputhje me Konventën. Asgjë në këtë Marrëveshje nuk cenon të drejtat, juridiksionin dhe detyrat e shteteve sipas Konventës, duke përfshirë në lidhje me zonën ekskluzive ekonomike dhe platformën kontinentale brenda dhe përtej 200 miljeve detare.</w:t>
      </w:r>
    </w:p>
    <w:p w14:paraId="10BED8AD" w14:textId="6F015E0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Kjo Marrëveshje do të interpretohet dhe zbatohet në atë mënyrë që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të mos </w:t>
      </w:r>
      <w:r w:rsidR="007A5D58" w:rsidRPr="00126A15">
        <w:rPr>
          <w:rFonts w:ascii="Garamond" w:hAnsi="Garamond" w:cs="Garamond"/>
          <w:color w:val="000000"/>
          <w:sz w:val="24"/>
          <w:szCs w:val="24"/>
          <w:lang w:val="sq-AL"/>
        </w:rPr>
        <w:t>cenojë</w:t>
      </w:r>
      <w:r w:rsidRPr="00126A15">
        <w:rPr>
          <w:rFonts w:ascii="Garamond" w:hAnsi="Garamond" w:cs="Garamond"/>
          <w:color w:val="000000"/>
          <w:sz w:val="24"/>
          <w:szCs w:val="24"/>
          <w:lang w:val="sq-AL"/>
        </w:rPr>
        <w:t xml:space="preserve"> instrumentet dhe kornizat përkatëse ligjore dhe organet përkatëse globale, rajonale, 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 dhe që promovon koherencën dhe koordinimin me ato instrumente, korniza dhe organe.</w:t>
      </w:r>
    </w:p>
    <w:p w14:paraId="048B1C99" w14:textId="41C7FFE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Statusi ligjor i shteteve që nuk janë palë në Konventë ose në ndonjë marrëveshje tjetër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lidhur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 këto instrumente nuk ndikohet nga kjo Marrëveshje.</w:t>
      </w:r>
    </w:p>
    <w:p w14:paraId="67D4D273"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6A9A80C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w:t>
      </w:r>
    </w:p>
    <w:p w14:paraId="444C68C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Pa cenuar asnjë të drejtë</w:t>
      </w:r>
    </w:p>
    <w:p w14:paraId="425C837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22D5382"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Kjo Marrëveshje, duke përfshirë çdo vendim ose rekomandim të Konferencës së Palëve ose ndonjë prej organeve të saj ndihmëse, dhe çdo akt, masë ose aktivitet të ndërmarrë në bazë të saj, nuk do të paragjykojë dhe nuk do të përdoret si bazë për të pohuar ose mohuar ndonjë pretendim hegjemonial, të drejtat absolute ose juridiksionale, duke përfshirë çdo mosmarrëveshje që lidhet me to.</w:t>
      </w:r>
    </w:p>
    <w:p w14:paraId="4FE9A128"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893FA29" w14:textId="77777777" w:rsidR="004111EA" w:rsidRDefault="004111EA"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50D849FB" w14:textId="42531686"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Neni 7</w:t>
      </w:r>
    </w:p>
    <w:p w14:paraId="149B02D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Parimet dhe qasjet e përgjithshme</w:t>
      </w:r>
    </w:p>
    <w:p w14:paraId="19C8D81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9167FA3"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Për të arritur objektivat e kësaj Marrëveshjeje, Palët do të udhëhiqen nga parimet dhe qasjet e mëposhtme:</w:t>
      </w:r>
    </w:p>
    <w:p w14:paraId="7F2B5A2A" w14:textId="25F4B90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B02609" w:rsidRPr="00126A15">
        <w:rPr>
          <w:rFonts w:ascii="Garamond" w:hAnsi="Garamond" w:cs="Garamond"/>
          <w:color w:val="000000"/>
          <w:sz w:val="24"/>
          <w:szCs w:val="24"/>
          <w:lang w:val="sq-AL"/>
        </w:rPr>
        <w:t xml:space="preserve">parimi </w:t>
      </w:r>
      <w:r w:rsidRPr="00126A15">
        <w:rPr>
          <w:rFonts w:ascii="Garamond" w:hAnsi="Garamond" w:cs="Garamond"/>
          <w:color w:val="000000"/>
          <w:sz w:val="24"/>
          <w:szCs w:val="24"/>
          <w:lang w:val="sq-AL"/>
        </w:rPr>
        <w:t>“ndotësi paguan”</w:t>
      </w:r>
      <w:r w:rsidR="004C4E25" w:rsidRPr="00126A15">
        <w:rPr>
          <w:rFonts w:ascii="Garamond" w:hAnsi="Garamond" w:cs="Garamond"/>
          <w:color w:val="000000"/>
          <w:sz w:val="24"/>
          <w:szCs w:val="24"/>
          <w:lang w:val="sq-AL"/>
        </w:rPr>
        <w:t>;</w:t>
      </w:r>
    </w:p>
    <w:p w14:paraId="3D2F082D" w14:textId="687E939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B02609" w:rsidRPr="00126A15">
        <w:rPr>
          <w:rFonts w:ascii="Garamond" w:hAnsi="Garamond" w:cs="Garamond"/>
          <w:color w:val="000000"/>
          <w:sz w:val="24"/>
          <w:szCs w:val="24"/>
          <w:lang w:val="sq-AL"/>
        </w:rPr>
        <w:t xml:space="preserve">parimi </w:t>
      </w:r>
      <w:r w:rsidRPr="00126A15">
        <w:rPr>
          <w:rFonts w:ascii="Garamond" w:hAnsi="Garamond" w:cs="Garamond"/>
          <w:color w:val="000000"/>
          <w:sz w:val="24"/>
          <w:szCs w:val="24"/>
          <w:lang w:val="sq-AL"/>
        </w:rPr>
        <w:t>i trashëgimisë së përbashkët ndër breza përcaktuar në Konventë</w:t>
      </w:r>
      <w:r w:rsidR="004C4E25" w:rsidRPr="00126A15">
        <w:rPr>
          <w:rFonts w:ascii="Garamond" w:hAnsi="Garamond" w:cs="Garamond"/>
          <w:color w:val="000000"/>
          <w:sz w:val="24"/>
          <w:szCs w:val="24"/>
          <w:lang w:val="sq-AL"/>
        </w:rPr>
        <w:t>;</w:t>
      </w:r>
    </w:p>
    <w:p w14:paraId="50597732" w14:textId="6924E14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B02609" w:rsidRPr="00126A15">
        <w:rPr>
          <w:rFonts w:ascii="Garamond" w:hAnsi="Garamond" w:cs="Garamond"/>
          <w:color w:val="000000"/>
          <w:sz w:val="24"/>
          <w:szCs w:val="24"/>
          <w:lang w:val="sq-AL"/>
        </w:rPr>
        <w:t xml:space="preserve">liria </w:t>
      </w:r>
      <w:r w:rsidRPr="00126A15">
        <w:rPr>
          <w:rFonts w:ascii="Garamond" w:hAnsi="Garamond" w:cs="Garamond"/>
          <w:color w:val="000000"/>
          <w:sz w:val="24"/>
          <w:szCs w:val="24"/>
          <w:lang w:val="sq-AL"/>
        </w:rPr>
        <w:t>e kërkimit shkencor detar, së bashku me liritë e tjera të detit të hapur;</w:t>
      </w:r>
    </w:p>
    <w:p w14:paraId="133E92A2" w14:textId="5155421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B02609" w:rsidRPr="00126A15">
        <w:rPr>
          <w:rFonts w:ascii="Garamond" w:hAnsi="Garamond" w:cs="Garamond"/>
          <w:color w:val="000000"/>
          <w:sz w:val="24"/>
          <w:szCs w:val="24"/>
          <w:lang w:val="sq-AL"/>
        </w:rPr>
        <w:t xml:space="preserve">parimi </w:t>
      </w:r>
      <w:r w:rsidRPr="00126A15">
        <w:rPr>
          <w:rFonts w:ascii="Garamond" w:hAnsi="Garamond" w:cs="Garamond"/>
          <w:color w:val="000000"/>
          <w:sz w:val="24"/>
          <w:szCs w:val="24"/>
          <w:lang w:val="sq-AL"/>
        </w:rPr>
        <w:t>i barazisë dhe ndarja e drejtë dhe e barabartë e përfitimeve;</w:t>
      </w:r>
    </w:p>
    <w:p w14:paraId="628BFFAE" w14:textId="70739EF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B02609" w:rsidRPr="00126A15">
        <w:rPr>
          <w:rFonts w:ascii="Garamond" w:hAnsi="Garamond" w:cs="Garamond"/>
          <w:color w:val="000000"/>
          <w:sz w:val="24"/>
          <w:szCs w:val="24"/>
          <w:lang w:val="sq-AL"/>
        </w:rPr>
        <w:t xml:space="preserve">parimi </w:t>
      </w:r>
      <w:r w:rsidRPr="00126A15">
        <w:rPr>
          <w:rFonts w:ascii="Garamond" w:hAnsi="Garamond" w:cs="Garamond"/>
          <w:color w:val="000000"/>
          <w:sz w:val="24"/>
          <w:szCs w:val="24"/>
          <w:lang w:val="sq-AL"/>
        </w:rPr>
        <w:t>i parandalimit ose teknika e parandalimit, sipas rastit;</w:t>
      </w:r>
    </w:p>
    <w:p w14:paraId="2FDCA435" w14:textId="3F4130B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f) </w:t>
      </w:r>
      <w:r w:rsidR="00B02609"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qasje ndaj ekosistemit;</w:t>
      </w:r>
    </w:p>
    <w:p w14:paraId="3E94519B" w14:textId="63FB79B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g) </w:t>
      </w:r>
      <w:r w:rsidR="00B02609"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qasje e integruar për menaxhimin oqeanik.</w:t>
      </w:r>
    </w:p>
    <w:p w14:paraId="5B0B84AB" w14:textId="141C35B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h) </w:t>
      </w:r>
      <w:r w:rsidR="00B02609"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model që rrit elasticitetin e ekosistemit, duke përfshirë efektet negative të ndryshimeve klimatike dhe acidifikimin e oqeanit dhe</w:t>
      </w:r>
      <w:r w:rsidR="004C4E25"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gjithashtu</w:t>
      </w:r>
      <w:r w:rsidR="004C4E25"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ruan dhe rikthen integritetin e ekosistemit, duke përfshirë shërbimet cikluese gjeokimike që mbështesin rolin e oqeanit në klimë;</w:t>
      </w:r>
    </w:p>
    <w:p w14:paraId="63ED7A65" w14:textId="747DEFE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i) </w:t>
      </w:r>
      <w:r w:rsidR="00B02609" w:rsidRPr="00126A15">
        <w:rPr>
          <w:rFonts w:ascii="Garamond" w:hAnsi="Garamond" w:cs="Garamond"/>
          <w:color w:val="000000"/>
          <w:sz w:val="24"/>
          <w:szCs w:val="24"/>
          <w:lang w:val="sq-AL"/>
        </w:rPr>
        <w:t xml:space="preserve">përdorimi </w:t>
      </w:r>
      <w:r w:rsidRPr="00126A15">
        <w:rPr>
          <w:rFonts w:ascii="Garamond" w:hAnsi="Garamond" w:cs="Garamond"/>
          <w:color w:val="000000"/>
          <w:sz w:val="24"/>
          <w:szCs w:val="24"/>
          <w:lang w:val="sq-AL"/>
        </w:rPr>
        <w:t>i informacionit më të mirë të disponueshëm shkencor.</w:t>
      </w:r>
    </w:p>
    <w:p w14:paraId="287D7293" w14:textId="69C3AE6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j) </w:t>
      </w:r>
      <w:r w:rsidR="00B02609" w:rsidRPr="00126A15">
        <w:rPr>
          <w:rFonts w:ascii="Garamond" w:hAnsi="Garamond" w:cs="Garamond"/>
          <w:color w:val="000000"/>
          <w:sz w:val="24"/>
          <w:szCs w:val="24"/>
          <w:lang w:val="sq-AL"/>
        </w:rPr>
        <w:t xml:space="preserve">përdorimi </w:t>
      </w:r>
      <w:r w:rsidRPr="00126A15">
        <w:rPr>
          <w:rFonts w:ascii="Garamond" w:hAnsi="Garamond" w:cs="Garamond"/>
          <w:color w:val="000000"/>
          <w:sz w:val="24"/>
          <w:szCs w:val="24"/>
          <w:lang w:val="sq-AL"/>
        </w:rPr>
        <w:t xml:space="preserve">i njohurive përkatëse tradicionale të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 kur është e mundur;</w:t>
      </w:r>
    </w:p>
    <w:p w14:paraId="6FA12ADF" w14:textId="08C6DCA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k) </w:t>
      </w:r>
      <w:r w:rsidR="00B02609" w:rsidRPr="00126A15">
        <w:rPr>
          <w:rFonts w:ascii="Garamond" w:hAnsi="Garamond" w:cs="Garamond"/>
          <w:color w:val="000000"/>
          <w:sz w:val="24"/>
          <w:szCs w:val="24"/>
          <w:lang w:val="sq-AL"/>
        </w:rPr>
        <w:t>respektimin</w:t>
      </w:r>
      <w:r w:rsidRPr="00126A15">
        <w:rPr>
          <w:rFonts w:ascii="Garamond" w:hAnsi="Garamond" w:cs="Garamond"/>
          <w:color w:val="000000"/>
          <w:sz w:val="24"/>
          <w:szCs w:val="24"/>
          <w:lang w:val="sq-AL"/>
        </w:rPr>
        <w:t xml:space="preserve">, promovimin dhe marrjen në konsideratë të detyrimeve të tyre përkatëse, sipas rastit, në lidhje me të drejtat 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 xml:space="preserve">ve ose, sipas rastit, të komuniteteve lokale kur ndërmerren veprime që kanë të bëjnë me ruajtjen dhe përdorimin e qëndrueshëm të diversitetit biologjik detar të zonave përtej juridiksionit kombëtar; </w:t>
      </w:r>
    </w:p>
    <w:p w14:paraId="14F69311" w14:textId="2FF0A47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l) </w:t>
      </w:r>
      <w:r w:rsidR="00B02609" w:rsidRPr="00126A15">
        <w:rPr>
          <w:rFonts w:ascii="Garamond" w:hAnsi="Garamond" w:cs="Garamond"/>
          <w:color w:val="000000"/>
          <w:sz w:val="24"/>
          <w:szCs w:val="24"/>
          <w:lang w:val="sq-AL"/>
        </w:rPr>
        <w:t>mos</w:t>
      </w:r>
      <w:r w:rsidRPr="00126A15">
        <w:rPr>
          <w:rFonts w:ascii="Garamond" w:hAnsi="Garamond" w:cs="Garamond"/>
          <w:color w:val="000000"/>
          <w:sz w:val="24"/>
          <w:szCs w:val="24"/>
          <w:lang w:val="sq-AL"/>
        </w:rPr>
        <w:t>transferimi direkt ose indirekt i dëmtimeve ose rreziqeve nga një zonë në tjetrën dhe mostransformimi i një lloji ndotjeje në një tjetër në marrjen e masave për parandalimin, uljen dhe kontrollin e ndotjes të hapësirës detare;</w:t>
      </w:r>
    </w:p>
    <w:p w14:paraId="5274B5F0" w14:textId="23758B5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m)</w:t>
      </w:r>
      <w:r w:rsidR="007A5D58" w:rsidRPr="00126A15">
        <w:rPr>
          <w:rFonts w:ascii="Garamond" w:hAnsi="Garamond" w:cs="Garamond"/>
          <w:color w:val="000000"/>
          <w:sz w:val="24"/>
          <w:szCs w:val="24"/>
          <w:lang w:val="sq-AL"/>
        </w:rPr>
        <w:t xml:space="preserve"> </w:t>
      </w:r>
      <w:r w:rsidR="00B02609" w:rsidRPr="00126A15">
        <w:rPr>
          <w:rFonts w:ascii="Garamond" w:hAnsi="Garamond" w:cs="Garamond"/>
          <w:color w:val="000000"/>
          <w:sz w:val="24"/>
          <w:szCs w:val="24"/>
          <w:lang w:val="sq-AL"/>
        </w:rPr>
        <w:t xml:space="preserve">njohja </w:t>
      </w:r>
      <w:r w:rsidRPr="00126A15">
        <w:rPr>
          <w:rFonts w:ascii="Garamond" w:hAnsi="Garamond" w:cs="Garamond"/>
          <w:color w:val="000000"/>
          <w:sz w:val="24"/>
          <w:szCs w:val="24"/>
          <w:lang w:val="sq-AL"/>
        </w:rPr>
        <w:t xml:space="preserve">e plotë e rrethanave të veçanta të </w:t>
      </w:r>
      <w:r w:rsidR="00877F56" w:rsidRPr="00126A15">
        <w:rPr>
          <w:rFonts w:ascii="Garamond" w:hAnsi="Garamond" w:cs="Garamond"/>
          <w:color w:val="000000"/>
          <w:sz w:val="24"/>
          <w:szCs w:val="24"/>
          <w:lang w:val="sq-AL"/>
        </w:rPr>
        <w:t xml:space="preserve">shteteve </w:t>
      </w:r>
      <w:r w:rsidRPr="00126A15">
        <w:rPr>
          <w:rFonts w:ascii="Garamond" w:hAnsi="Garamond" w:cs="Garamond"/>
          <w:color w:val="000000"/>
          <w:sz w:val="24"/>
          <w:szCs w:val="24"/>
          <w:lang w:val="sq-AL"/>
        </w:rPr>
        <w:t>të vogla ishullore në zhvillim dhe të vendeve më pak të zhvilluara;</w:t>
      </w:r>
    </w:p>
    <w:p w14:paraId="62748BF5" w14:textId="1156541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n) </w:t>
      </w:r>
      <w:r w:rsidR="00B02609" w:rsidRPr="00126A15">
        <w:rPr>
          <w:rFonts w:ascii="Garamond" w:hAnsi="Garamond" w:cs="Garamond"/>
          <w:color w:val="000000"/>
          <w:sz w:val="24"/>
          <w:szCs w:val="24"/>
          <w:lang w:val="sq-AL"/>
        </w:rPr>
        <w:t xml:space="preserve">njohja </w:t>
      </w:r>
      <w:r w:rsidRPr="00126A15">
        <w:rPr>
          <w:rFonts w:ascii="Garamond" w:hAnsi="Garamond" w:cs="Garamond"/>
          <w:color w:val="000000"/>
          <w:sz w:val="24"/>
          <w:szCs w:val="24"/>
          <w:lang w:val="sq-AL"/>
        </w:rPr>
        <w:t>e interesave dhe nevojave të veçant</w:t>
      </w:r>
      <w:r w:rsidR="0024123D">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të vendeve në zhvillim pa dalje në det.</w:t>
      </w:r>
    </w:p>
    <w:p w14:paraId="2C2A12B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651BDE3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8</w:t>
      </w:r>
    </w:p>
    <w:p w14:paraId="79292D4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Bashkëpunimi ndërkombëtar</w:t>
      </w:r>
    </w:p>
    <w:p w14:paraId="3BBC328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DEB1E37" w14:textId="74541A8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do të bashkëpunojnë sipas kësaj Marrëveshjeje për ruajtjen dhe përdorimin e qëndrueshëm të diversitetit biologjik detar të zonave përtej juridiksionit kombëtar, nëpërmjet forcimit dhe rritjes së bashkëpunimit me promovimin e bashkëpunimit ndërmjet instrumenteve dhe kornizave ligjore përkatëse dhe organeve përkatëse globale, rajonale, lokale dhe krahinore në arritjen e objektivave të kësaj Marrëveshjeje.</w:t>
      </w:r>
    </w:p>
    <w:p w14:paraId="7FF2EE28" w14:textId="417F8FD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Palët do të përpiqen të promovojnë, sipas rastit, objektivat e kësaj Marrëveshjeje kur marrin pjesë në vendimmarrje sipas instrumenteve, kornizave të tjera ligjore ose organeve globale, rajonale, lokale ose krahinore.</w:t>
      </w:r>
    </w:p>
    <w:p w14:paraId="25A76DFE" w14:textId="7B08BD2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Palët do të nxisin bashkëpunimin ndërkombëtar në kërkimin shkencor detar dhe në zhvillimin dhe transferimin e teknologjisë detare</w:t>
      </w:r>
      <w:r w:rsidR="00FB4F4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Konventën në mbështetje të objektivave të kësaj Marrëveshjeje.</w:t>
      </w:r>
    </w:p>
    <w:p w14:paraId="23336DA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0B48F66" w14:textId="77777777" w:rsidR="00BA7018" w:rsidRDefault="00BA7018"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49C89208" w14:textId="77777777" w:rsidR="00BA7018" w:rsidRDefault="00BA7018"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7741B8AF" w14:textId="77777777" w:rsidR="00BA7018" w:rsidRDefault="00BA7018"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36E5188F" w14:textId="77777777" w:rsidR="00BA7018" w:rsidRDefault="00BA7018"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0703A633" w14:textId="2F56FAED"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PJESA II</w:t>
      </w:r>
    </w:p>
    <w:p w14:paraId="320B9AE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BURIMET GJENETIKE DETARE SI DHE NDARJA E DREJTË DHE E BARABARTË E PËRFITIMEVE</w:t>
      </w:r>
    </w:p>
    <w:p w14:paraId="0242D92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599268D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9</w:t>
      </w:r>
    </w:p>
    <w:p w14:paraId="60CCE39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Objektivat</w:t>
      </w:r>
    </w:p>
    <w:p w14:paraId="2F44D0E8"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E0F2A12" w14:textId="0B23A24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Objektivat e kësaj </w:t>
      </w:r>
      <w:r w:rsidR="00FB4F49"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janë:</w:t>
      </w:r>
    </w:p>
    <w:p w14:paraId="26CDF3EB" w14:textId="6749097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Ndarja e drejtë dhe e barabartë e përfitimeve që rrjedhin nga aktivitetet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për ruajtjen dhe përdorimin e qëndrueshëm të diversitetit biologjik detar të zonave përtej juridiksionit kombëtar;</w:t>
      </w:r>
    </w:p>
    <w:p w14:paraId="4613501E" w14:textId="4B9FB0C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Krijimi dhe zhvillimi i kapaciteteve të Palëve, veçanërisht Shteteve Palë në zhvillim, veçanërisht vendeve më pak të zhvilluara, vendeve në zhvillim pa dalje në det, shteteve gjeografikisht të pafavorizuara, shteteve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v</w:t>
      </w:r>
      <w:r w:rsidR="0024123D">
        <w:rPr>
          <w:rFonts w:ascii="Garamond" w:hAnsi="Garamond" w:cs="Garamond"/>
          <w:color w:val="000000"/>
          <w:sz w:val="24"/>
          <w:szCs w:val="24"/>
          <w:lang w:val="sq-AL"/>
        </w:rPr>
        <w:t>ogla</w:t>
      </w:r>
      <w:r w:rsidRPr="00126A15">
        <w:rPr>
          <w:rFonts w:ascii="Garamond" w:hAnsi="Garamond" w:cs="Garamond"/>
          <w:color w:val="000000"/>
          <w:sz w:val="24"/>
          <w:szCs w:val="24"/>
          <w:lang w:val="sq-AL"/>
        </w:rPr>
        <w:t xml:space="preserve"> ishullor</w:t>
      </w:r>
      <w:r w:rsidR="00197188">
        <w:rPr>
          <w:rFonts w:ascii="Garamond" w:hAnsi="Garamond" w:cs="Garamond"/>
          <w:color w:val="000000"/>
          <w:sz w:val="24"/>
          <w:szCs w:val="24"/>
          <w:lang w:val="sq-AL"/>
        </w:rPr>
        <w:t>e</w:t>
      </w:r>
      <w:r w:rsidRPr="00126A15">
        <w:rPr>
          <w:rFonts w:ascii="Garamond" w:hAnsi="Garamond" w:cs="Garamond"/>
          <w:color w:val="000000"/>
          <w:sz w:val="24"/>
          <w:szCs w:val="24"/>
          <w:lang w:val="sq-AL"/>
        </w:rPr>
        <w:t xml:space="preserve"> në zhvillim, shteteve bregdetare afrikane, shteteve të arkipelagut dhe vendeve në zhvillim me të ardhura mesatare, që të kryejnë aktivitete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w:t>
      </w:r>
    </w:p>
    <w:p w14:paraId="6DF56F41" w14:textId="46E5B7F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Gjenerimi i njohurive, të kuptuarit shkencor dhe inovacionit teknologjik, duke përfshirë zhvillimin dhe kryerjen e kërkimit shkencor detar, si kontribute themelore në zbatimin e kësaj Marrëveshjeje;</w:t>
      </w:r>
    </w:p>
    <w:p w14:paraId="7BBA0114" w14:textId="75D0747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 Zhvillimi dhe transferimi i teknologjisë detare në përputhje me këtë Marrëveshje.</w:t>
      </w:r>
    </w:p>
    <w:p w14:paraId="29C84ED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48510E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10</w:t>
      </w:r>
    </w:p>
    <w:p w14:paraId="7FE556D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Aplikimi</w:t>
      </w:r>
    </w:p>
    <w:p w14:paraId="1C422EE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20F47CA" w14:textId="042FC0B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Dispozitat e kësaj Marrëveshjeje do të zbatohen për aktivitetet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të mbledhura dhe të krijuara pas hyrjes në fuqi të kësaj Marrëveshjeje për Palën përkatëse. Zbatimi i dispozitave të kësaj Marrëveshjeje do të shpaloset me përdorimin e burimeve gjenetike detare dhe informacionit të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të mbledhura ose të krijuara përpara hyrjes në fuqi, përveç rastit kur një Palë bën një përjashtim me shkrim sipas nenit 70 kur nënshkruan, ratifikon, miraton, pranon ose miraton këtë Marrëveshje.</w:t>
      </w:r>
    </w:p>
    <w:p w14:paraId="0F41D65E" w14:textId="5D1CEAD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Dispozitat e kësaj pjese nuk do të zbatohen</w:t>
      </w:r>
      <w:r w:rsidR="005E752C"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për:</w:t>
      </w:r>
    </w:p>
    <w:p w14:paraId="6BC9A0A6" w14:textId="705DC91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5E752C" w:rsidRPr="00126A15">
        <w:rPr>
          <w:rFonts w:ascii="Garamond" w:hAnsi="Garamond" w:cs="Garamond"/>
          <w:color w:val="000000"/>
          <w:sz w:val="24"/>
          <w:szCs w:val="24"/>
          <w:lang w:val="sq-AL"/>
        </w:rPr>
        <w:t xml:space="preserve">peshkimi </w:t>
      </w:r>
      <w:r w:rsidRPr="00126A15">
        <w:rPr>
          <w:rFonts w:ascii="Garamond" w:hAnsi="Garamond" w:cs="Garamond"/>
          <w:color w:val="000000"/>
          <w:sz w:val="24"/>
          <w:szCs w:val="24"/>
          <w:lang w:val="sq-AL"/>
        </w:rPr>
        <w:t xml:space="preserve">i rregulluar sipas </w:t>
      </w:r>
      <w:r w:rsidR="00364790">
        <w:rPr>
          <w:rFonts w:ascii="Garamond" w:hAnsi="Garamond" w:cs="Garamond"/>
          <w:color w:val="000000"/>
          <w:sz w:val="24"/>
          <w:szCs w:val="24"/>
          <w:lang w:val="sq-AL"/>
        </w:rPr>
        <w:t>s</w:t>
      </w:r>
      <w:r w:rsidRPr="00126A15">
        <w:rPr>
          <w:rFonts w:ascii="Garamond" w:hAnsi="Garamond" w:cs="Garamond"/>
          <w:color w:val="000000"/>
          <w:sz w:val="24"/>
          <w:szCs w:val="24"/>
          <w:lang w:val="sq-AL"/>
        </w:rPr>
        <w:t>ë drejtës përkatëse ndërkombëtare dhe aktivitetet e lidhura me peshkimin; ose</w:t>
      </w:r>
    </w:p>
    <w:p w14:paraId="3124EB9A" w14:textId="2735207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5E752C" w:rsidRPr="00126A15">
        <w:rPr>
          <w:rFonts w:ascii="Garamond" w:hAnsi="Garamond" w:cs="Garamond"/>
          <w:color w:val="000000"/>
          <w:sz w:val="24"/>
          <w:szCs w:val="24"/>
          <w:lang w:val="sq-AL"/>
        </w:rPr>
        <w:t xml:space="preserve">peshku </w:t>
      </w:r>
      <w:r w:rsidRPr="00126A15">
        <w:rPr>
          <w:rFonts w:ascii="Garamond" w:hAnsi="Garamond" w:cs="Garamond"/>
          <w:color w:val="000000"/>
          <w:sz w:val="24"/>
          <w:szCs w:val="24"/>
          <w:lang w:val="sq-AL"/>
        </w:rPr>
        <w:t>ose burime të tjera të gjalla detare kur dihet se janë produkt i peshkimit dhe aktiviteteve të lidhura me peshkimin nga zona përtej juridiksionit kombëtar, me përjashtim të rasteve kur peshqit ose burime të tjera të gjalla detare janë të rregulluara për përdorim sipas kësaj pjese.</w:t>
      </w:r>
    </w:p>
    <w:p w14:paraId="706F50FA" w14:textId="5C76A33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Detyrimet në këtë pjesë nuk do të zbatohen për aktivitetet ushtarake të një Palë, duke përfshirë aktivitetet ushtarake nga anijet qeveritare dhe avionët e angazhuar në shërbime jotregtare. Detyrimet në këtë pjesë në lidhje me përdorimin e burimeve gjenetike detare dhe informacionit të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do të zbatohen për aktivitetet joushtarake të një Pale.</w:t>
      </w:r>
    </w:p>
    <w:p w14:paraId="79828572" w14:textId="0DEC0436" w:rsidR="00F205CF"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326A526D" w14:textId="33E8EC07" w:rsidR="00BA7018" w:rsidRDefault="00BA7018"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9B38683" w14:textId="77777777" w:rsidR="00BA7018" w:rsidRPr="00126A15" w:rsidRDefault="00BA7018"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F4665B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Neni 11</w:t>
      </w:r>
    </w:p>
    <w:p w14:paraId="6AB90EB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Aktivitete në lidhje me burimet gjenetike detare të zonave përtej juridiksionit kombëtar</w:t>
      </w:r>
    </w:p>
    <w:p w14:paraId="5875AE1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5A55425" w14:textId="73743CD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Aktivitetet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mund të kryhen nga të gjitha Palët, pavarësisht nga vendndodhja e tyre gjeografike</w:t>
      </w:r>
      <w:r w:rsidR="005E752C"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dhe nga persona fizikë ose juridikë nën juridiksionin e Palëve. Aktivitete të tilla do të kryhen në përputhje me këtë Marrëveshje.</w:t>
      </w:r>
    </w:p>
    <w:p w14:paraId="2299DF78" w14:textId="0A2EF9D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Palët do të nxisin bashkëpunimin në të gjitha aktivitetet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w:t>
      </w:r>
    </w:p>
    <w:p w14:paraId="041EB1C6" w14:textId="4760C04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Mbledhja në vend e burimeve gjenetike detare të zonave përtej juridiksionit kombëtar do të kryhet duke marrë parasysh të drejtat dhe interesat legjitim</w:t>
      </w:r>
      <w:r w:rsidR="007231DD" w:rsidRPr="00126A15">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të shteteve bregdetare në zonat brenda juridiksionit të tyre kombëtar dhe duke pasur parasysh interesat e shteteve të tjera në zona përtej juridiksionit kombëtar, në përputhje me Konventën. Për këtë qëllim, Palët do të përpiqen të bashkëpunojnë, sipas rastit, duke përfshirë modalitete specifike për funksionimin e Aparatit Global të Diversitetit Biologjik</w:t>
      </w:r>
      <w:r w:rsidR="0014315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të përcaktuar sipas nenit 51, me synimin për zbatimin e kësaj Marrëveshjeje. </w:t>
      </w:r>
    </w:p>
    <w:p w14:paraId="2896AEBB" w14:textId="35D1B3D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Asnjë shtet nuk do të pretendojë ose ushtrojë hegjemonizëm ose të drejta absolute mbi burimet gjenetike detare të zonave përtej juridiksionit kombëtar. Asnjë pretendim ose ushtrim i tillë i sovranitetit ose i të drejtave absolute nuk do të njihet.</w:t>
      </w:r>
    </w:p>
    <w:p w14:paraId="37B9FF72" w14:textId="308E1CD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Mbledhja në vend e burimeve gjenetike detare të zonave përtej juridiksionit kombëtar nuk do të përbëjë bazën ligjore për çdo pretendim ndaj ndonjë pjese të mjedisit detar ose burimeve të tij.</w:t>
      </w:r>
    </w:p>
    <w:p w14:paraId="75898523" w14:textId="16DC7F0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Aktivitetet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janë në interes të të gjitha shteteve dhe për të mirën e mbarë njerëzimit, veçanërisht në dobi të avancimit të njohurive shkencore të njerëzimit dhe promovimit të ruajtjes dhe përdorimi i qëndrueshëm i diversitetit biologjik detar, duke marrë parasysh veçanërisht interesat dhe nevojat e shteteve në zhvillim.</w:t>
      </w:r>
    </w:p>
    <w:p w14:paraId="37C58FEB" w14:textId="71506EF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Aktivitetet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jashtë juridiksionit kombëtar do të kryhen ekskluzivisht për qëllime paqësore.</w:t>
      </w:r>
    </w:p>
    <w:p w14:paraId="312EFC1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28AEB4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12</w:t>
      </w:r>
    </w:p>
    <w:p w14:paraId="56700D14" w14:textId="573AD430"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Njoftim për aktivitetet në lidhje me burimet gjenetike detare dhe informacionin e sekuencës</w:t>
      </w:r>
      <w:r w:rsidR="000F50BC" w:rsidRPr="00126A15">
        <w:rPr>
          <w:rFonts w:ascii="Garamond" w:hAnsi="Garamond" w:cs="Garamond"/>
          <w:b/>
          <w:bCs/>
          <w:color w:val="000000"/>
          <w:sz w:val="24"/>
          <w:szCs w:val="24"/>
          <w:lang w:val="sq-AL"/>
        </w:rPr>
        <w:t xml:space="preserve"> </w:t>
      </w:r>
      <w:r w:rsidR="00F80326" w:rsidRPr="00126A15">
        <w:rPr>
          <w:rFonts w:ascii="Garamond" w:hAnsi="Garamond" w:cs="Garamond"/>
          <w:b/>
          <w:bCs/>
          <w:color w:val="000000"/>
          <w:sz w:val="24"/>
          <w:szCs w:val="24"/>
          <w:lang w:val="sq-AL"/>
        </w:rPr>
        <w:t>digjital</w:t>
      </w:r>
      <w:r w:rsidRPr="00126A15">
        <w:rPr>
          <w:rFonts w:ascii="Garamond" w:hAnsi="Garamond" w:cs="Garamond"/>
          <w:b/>
          <w:bCs/>
          <w:color w:val="000000"/>
          <w:sz w:val="24"/>
          <w:szCs w:val="24"/>
          <w:lang w:val="sq-AL"/>
        </w:rPr>
        <w:t>e mbi burimet gjenetike detare të zonave përtej juridiksionit kombëtar</w:t>
      </w:r>
    </w:p>
    <w:p w14:paraId="23B2AAD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8507CCE" w14:textId="287EE69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do të marrin masat e nevojshme legjislative, administrative ose politike për të siguruar që informacioni t’i jepet Aparatit Global të Diversitetit Biologjik në përputhje me këtë pjesë.</w:t>
      </w:r>
    </w:p>
    <w:p w14:paraId="62D0B2FD" w14:textId="42352C0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Informacioni i mëposhtëm do t’i jepet Aparatit Global të Diversitetit Biologjik gjashtë muaj ose sa më shpejt që të jetë e mundur përpara mbledhjes në vend të burimeve gjenetike detare të zonave jashtë juridiksionit kombëtar: </w:t>
      </w:r>
    </w:p>
    <w:p w14:paraId="7B6F9109" w14:textId="4FF09B1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Natyrën dhe objektivat sipas të cilave kryhet mbledhja, duke përfshirë, sipas rastit, çdo program</w:t>
      </w:r>
      <w:r w:rsidR="0014315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e ku ai bën pjesë;</w:t>
      </w:r>
    </w:p>
    <w:p w14:paraId="021C1383" w14:textId="3311D39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Lëndën e hulumtimit ose, nëse dihet, burimet gjenetike detare që do të synohen ose mblidhen, dhe qëllimet për të cilat do të mblidhen këto burime;</w:t>
      </w:r>
    </w:p>
    <w:p w14:paraId="0A254B34" w14:textId="4DF0113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Zonat gjeografike në të cilat do të kryhet mbledhja;</w:t>
      </w:r>
    </w:p>
    <w:p w14:paraId="53C2CFBA" w14:textId="0DD23DE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 Një përmbledhje e metodës dhe mjeteve që do të përdoren për grumbullim, duke përfshirë emrin, tonazhin, llojin dhe klasën e anijeve, pajisjet shkencore dhe/ose metodat e studimit të përdorura;</w:t>
      </w:r>
    </w:p>
    <w:p w14:paraId="73A7E820" w14:textId="559CD01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e) Informacion në lidhje me çdo kontribut tjetër në programet kryesore të propozuara;</w:t>
      </w:r>
    </w:p>
    <w:p w14:paraId="0B81152E" w14:textId="7BE78C5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f) Data e pritshme e paraqitjes së parë dhe nisjes përfundimtare të anijeve kërkimore, ose vendosjes së pajisjes dhe heqjes së saj, sipas rastit;</w:t>
      </w:r>
    </w:p>
    <w:p w14:paraId="72163B6F" w14:textId="5C7B295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g) Emri</w:t>
      </w:r>
      <w:r w:rsidR="00F8032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at e institucionit</w:t>
      </w:r>
      <w:r w:rsidR="00F8032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eve sponsorizues dhe personi përgjegjës për projektin;</w:t>
      </w:r>
    </w:p>
    <w:p w14:paraId="59F2F43A" w14:textId="47B9420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h) Mundësitë për shkencëtarët e të gjitha shteteve, në veçanti shkencëtarët nga shtetet në zhvillim, që të përfshihen ose të lidhen me projektin;</w:t>
      </w:r>
    </w:p>
    <w:p w14:paraId="58904C48" w14:textId="74326EB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 Masa në të cilën konsiderohet se shtetet që mund të kenë nevojë dhe të kërkojnë asistencë teknike, në veçanti shtetet në zhvillim, duhet të jenë në gjendje të marrin pjesë ose të përfaqësohen në projekt;</w:t>
      </w:r>
    </w:p>
    <w:p w14:paraId="32CB3F9F" w14:textId="4DCD853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j) Një plan për menaxhimin e të dhënave të përgatitur për të administruar marrjen dhe përcjelljen e të dhënave, duke marrë parasysh praktikën aktuale ndërkombëtare.</w:t>
      </w:r>
    </w:p>
    <w:p w14:paraId="3A548BF5" w14:textId="78B6F60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Pas njoftimit të përmendur në paragrafin 2 më sipër, Aparati Global i Diversitetit Biologjik do të gjenerojë automatikisht një identifikues të standardizuar të grupit “BBNJ”.</w:t>
      </w:r>
    </w:p>
    <w:p w14:paraId="5889FDA2" w14:textId="6882280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4. Kur ka një ndryshim material në informacionin e dhënë në Aparatin Global të Diversitetit Biologjik përpara mbledhjes së planifikuar, informacioni i përditësuar do t’i njoftohet Aparatit Global të Diversitetit Biologjik brenda një periudhe të arsyeshme kohore dhe jo më vonë se fillimi i mbledhjes në vend, kur është e mundur. </w:t>
      </w:r>
    </w:p>
    <w:p w14:paraId="40D42291" w14:textId="0D24F79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Palët do të sigurojnë që informacioni i mëposhtëm, së bashku me identifikuesin e standardizuar të grupit “BBNJ”, t’i njoftohet Aparatit Global të Diversitetit Biologjik</w:t>
      </w:r>
      <w:r w:rsidR="0014315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sapo të jetë i disponueshëm, por jo më vonë se një vit nga mbledhja n</w:t>
      </w:r>
      <w:r w:rsidR="0014315F" w:rsidRPr="00126A15">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vend e burimeve gjenetike detare të zonave përtej juridiksioni kombëtar: </w:t>
      </w:r>
    </w:p>
    <w:p w14:paraId="253EF20A" w14:textId="06845CA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Depozitari ose baza e të dhënave ku depozitohet ose do të depozitohet informacioni i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w:t>
      </w:r>
    </w:p>
    <w:p w14:paraId="7AD8298B" w14:textId="0240665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Aty ku të gjitha burimet gjenetike detare të mbledhura në vend janë ose do të depozitohen ose mbahen;</w:t>
      </w:r>
    </w:p>
    <w:p w14:paraId="51BEB760" w14:textId="5E3B558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Një raport që detajon zonën gjeografike nga e cila janë mbledhur burimet gjenetike detare, duke përfshirë informacionin mbi gjerësinë gjeografike, gjatësinë dhe thellësinë e grumbullimit dhe, në masën e disponueshme, rezultatet nga aktiviteti i ndërmarrë;</w:t>
      </w:r>
    </w:p>
    <w:p w14:paraId="1C8DBDB6" w14:textId="3EFCC20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 Çdo përditësim i nevojshëm në planin e menaxhimit të të dhënave të parashikuar në paragrafin (2) (j) më sipër.</w:t>
      </w:r>
    </w:p>
    <w:p w14:paraId="04B3AECF" w14:textId="664734B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Palët do të sigurojnë që mostrat e burimeve gjenetike detare dhe informacioni i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që janë te depozitari ose baza e të dhënave nën juridiksionin e tyre, mund të identifikohen si të prejardhura nga zona përtej juridiksionit kombëtar, në përputhje me praktikën aktuale ndërkombëtare dhe masën e praktikueshme.</w:t>
      </w:r>
    </w:p>
    <w:p w14:paraId="7C45FDCF" w14:textId="2CDDD70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Palët do të sigurojnë që depozitarët, për aq sa është praktike dhe bazat e të dhënave nën juridiksionin e tyre të përgatisin, në baza dyvjeçare, një raport të përgjithshëm mbi aksesin në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të lidhur me identifikuesin e tyre të standardizuar të grupit “BBNJ” dhe ta vënë raportin në dispozicion të komitetit të interesit të përbashkët krijuar sipas nenit 15.</w:t>
      </w:r>
    </w:p>
    <w:p w14:paraId="2426DA66" w14:textId="5D31542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8. Kur burimet gjenetike detare të zonave përtej juridiksionit kombëtar dhe aty ku është e mundur, informacioni i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për këto burime i nënshtrohet përdorimit, përfshirë komercializmin, nga persona fizikë ose juridikë nën juridiksionin e tyre, Palët do të sigurojnë që informacioni i mëposhtëm, duke përfshirë “BBNJ “Identifikuesi i standardizuar i grupit, nëse është i disponueshëm, duhet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t’i njoftohet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Aparatit Global të Diversitetit Biologjik sapo të bëhet i disponueshëm ky informacion:</w:t>
      </w:r>
    </w:p>
    <w:p w14:paraId="019539A0" w14:textId="0E28FF4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14315F" w:rsidRPr="00126A15">
        <w:rPr>
          <w:rFonts w:ascii="Garamond" w:hAnsi="Garamond" w:cs="Garamond"/>
          <w:color w:val="000000"/>
          <w:sz w:val="24"/>
          <w:szCs w:val="24"/>
          <w:lang w:val="sq-AL"/>
        </w:rPr>
        <w:t xml:space="preserve">aty </w:t>
      </w:r>
      <w:r w:rsidRPr="00126A15">
        <w:rPr>
          <w:rFonts w:ascii="Garamond" w:hAnsi="Garamond" w:cs="Garamond"/>
          <w:color w:val="000000"/>
          <w:sz w:val="24"/>
          <w:szCs w:val="24"/>
          <w:lang w:val="sq-AL"/>
        </w:rPr>
        <w:t xml:space="preserve">ku mund të gjenden rezultatet e përdorimit, të tilla si publikimet, </w:t>
      </w:r>
      <w:r w:rsidR="00F80326" w:rsidRPr="00126A15">
        <w:rPr>
          <w:rFonts w:ascii="Garamond" w:hAnsi="Garamond" w:cs="Garamond"/>
          <w:color w:val="000000"/>
          <w:sz w:val="24"/>
          <w:szCs w:val="24"/>
          <w:lang w:val="sq-AL"/>
        </w:rPr>
        <w:t>licencat</w:t>
      </w:r>
      <w:r w:rsidRPr="00126A15">
        <w:rPr>
          <w:rFonts w:ascii="Garamond" w:hAnsi="Garamond" w:cs="Garamond"/>
          <w:color w:val="000000"/>
          <w:sz w:val="24"/>
          <w:szCs w:val="24"/>
          <w:lang w:val="sq-AL"/>
        </w:rPr>
        <w:t xml:space="preserve"> e dhëna, nëse duhet dhe në masën e mundshme, dhe produktet e zhvilluara;</w:t>
      </w:r>
    </w:p>
    <w:p w14:paraId="54D055F0" w14:textId="4654ADD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ku të jetë e mundur, detajet e njoftimit pas grumbullimit me Aparatin Global të Diversitetit Biologjik në lidhje me burimet gjenetike detare që kanë qenë objekt i përdorimit;</w:t>
      </w:r>
    </w:p>
    <w:p w14:paraId="577DB579" w14:textId="6101A0F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14315F" w:rsidRPr="00126A15">
        <w:rPr>
          <w:rFonts w:ascii="Garamond" w:hAnsi="Garamond" w:cs="Garamond"/>
          <w:color w:val="000000"/>
          <w:sz w:val="24"/>
          <w:szCs w:val="24"/>
          <w:lang w:val="sq-AL"/>
        </w:rPr>
        <w:t xml:space="preserve">aty </w:t>
      </w:r>
      <w:r w:rsidRPr="00126A15">
        <w:rPr>
          <w:rFonts w:ascii="Garamond" w:hAnsi="Garamond" w:cs="Garamond"/>
          <w:color w:val="000000"/>
          <w:sz w:val="24"/>
          <w:szCs w:val="24"/>
          <w:lang w:val="sq-AL"/>
        </w:rPr>
        <w:t>ku mbahet kampioni origjinal që është objekt i përdorimit;</w:t>
      </w:r>
    </w:p>
    <w:p w14:paraId="0CA7CDBC" w14:textId="0853B78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 xml:space="preserve">d) </w:t>
      </w:r>
      <w:r w:rsidR="0014315F" w:rsidRPr="00126A15">
        <w:rPr>
          <w:rFonts w:ascii="Garamond" w:hAnsi="Garamond" w:cs="Garamond"/>
          <w:color w:val="000000"/>
          <w:sz w:val="24"/>
          <w:szCs w:val="24"/>
          <w:lang w:val="sq-AL"/>
        </w:rPr>
        <w:t xml:space="preserve">modalitetet </w:t>
      </w:r>
      <w:r w:rsidRPr="00126A15">
        <w:rPr>
          <w:rFonts w:ascii="Garamond" w:hAnsi="Garamond" w:cs="Garamond"/>
          <w:color w:val="000000"/>
          <w:sz w:val="24"/>
          <w:szCs w:val="24"/>
          <w:lang w:val="sq-AL"/>
        </w:rPr>
        <w:t>e parashikuara për aksesin në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që përdoren, dhe një plan për menaxhimin e të dhënave për këtë;</w:t>
      </w:r>
    </w:p>
    <w:p w14:paraId="1C8C528E" w14:textId="415BADA7" w:rsidR="00F205CF" w:rsidRPr="00126A15" w:rsidRDefault="0014315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sapo </w:t>
      </w:r>
      <w:r w:rsidR="00F205CF" w:rsidRPr="00126A15">
        <w:rPr>
          <w:rFonts w:ascii="Garamond" w:hAnsi="Garamond" w:cs="Garamond"/>
          <w:color w:val="000000"/>
          <w:sz w:val="24"/>
          <w:szCs w:val="24"/>
          <w:lang w:val="sq-AL"/>
        </w:rPr>
        <w:t>të jepet informacioni, nëse disponohet, mbi shitjet e produkteve përkatëse dhe çdo zhvillim të mëtejshëm.</w:t>
      </w:r>
    </w:p>
    <w:p w14:paraId="4E47E056"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3676196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13</w:t>
      </w:r>
    </w:p>
    <w:p w14:paraId="6BB9A6A3" w14:textId="00C2CB5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 xml:space="preserve">Njohuri tradicionale të </w:t>
      </w:r>
      <w:r w:rsidR="003F3530" w:rsidRPr="00126A15">
        <w:rPr>
          <w:rFonts w:ascii="Garamond" w:hAnsi="Garamond" w:cs="Garamond"/>
          <w:b/>
          <w:bCs/>
          <w:color w:val="000000"/>
          <w:sz w:val="24"/>
          <w:szCs w:val="24"/>
          <w:lang w:val="sq-AL"/>
        </w:rPr>
        <w:t>vendës</w:t>
      </w:r>
      <w:r w:rsidRPr="00126A15">
        <w:rPr>
          <w:rFonts w:ascii="Garamond" w:hAnsi="Garamond" w:cs="Garamond"/>
          <w:b/>
          <w:bCs/>
          <w:color w:val="000000"/>
          <w:sz w:val="24"/>
          <w:szCs w:val="24"/>
          <w:lang w:val="sq-AL"/>
        </w:rPr>
        <w:t>ve dhe komuniteteve lokale të lidhura me burimet gjenetike detare në zona përtej juridiksionit kombëtar</w:t>
      </w:r>
    </w:p>
    <w:p w14:paraId="4C3A9EB8"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7FE7DB12" w14:textId="2424095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Palët do të ndërmarrin politika ose masa legjislative apo administrative, aty ku është e përshtatshme dhe sipas rastit, me synimin për të siguruar që njohuritë tradicionale të lidhura me burimet gjenetike detare në zona përtej juridiksionit kombëtar që zotërohen nga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 xml:space="preserve">it dhe komunitetet lokale do të aksesohen vetëm me, pëlqimin ose miratimin dhe përfshirjen paraprake dhe të informuar të këtyre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 Qasja në njohuri të tilla tradicionale mund të lehtësohet nga Aparati Global i Diversitetit Biologjik. Qasja dhe përdorimi i njohurive të tilla tradicionale do të bëhet sipas kushteve të dakordësuara reciprokisht.</w:t>
      </w:r>
    </w:p>
    <w:p w14:paraId="7CCC46C2"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43C37F2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14</w:t>
      </w:r>
    </w:p>
    <w:p w14:paraId="3DF2E78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Ndarje e drejtë dhe e barabartë e përfitimeve</w:t>
      </w:r>
    </w:p>
    <w:p w14:paraId="2AA9A58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940D4D5" w14:textId="23674C2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Përfitimet që dalin nga aktivitetet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 xml:space="preserve">e mbi burimet gjenetike detare të zonave përtej juridiksionit kombëtar do të ndahen në mënyrë të drejtë dhe të barabartë në përputhje me këtë </w:t>
      </w:r>
      <w:r w:rsidR="00F44F5A" w:rsidRPr="00126A15">
        <w:rPr>
          <w:rFonts w:ascii="Garamond" w:hAnsi="Garamond" w:cs="Garamond"/>
          <w:color w:val="000000"/>
          <w:sz w:val="24"/>
          <w:szCs w:val="24"/>
          <w:lang w:val="sq-AL"/>
        </w:rPr>
        <w:t xml:space="preserve">pjesë </w:t>
      </w:r>
      <w:r w:rsidRPr="00126A15">
        <w:rPr>
          <w:rFonts w:ascii="Garamond" w:hAnsi="Garamond" w:cs="Garamond"/>
          <w:color w:val="000000"/>
          <w:sz w:val="24"/>
          <w:szCs w:val="24"/>
          <w:lang w:val="sq-AL"/>
        </w:rPr>
        <w:t>dhe do të kontribuojnë në ruajtjen dhe përdorimin e qëndrueshëm të diversitetit biologjik detar të zonave jashtë juridiksionit kombëtar.</w:t>
      </w:r>
    </w:p>
    <w:p w14:paraId="5731DB93" w14:textId="4BD4165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Përfitimet jomonetare do të ndahen në përputhje me këtë Marrëveshje në formën, ndër të tjera:</w:t>
      </w:r>
    </w:p>
    <w:p w14:paraId="2EC17B55" w14:textId="048B3E8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7F0E16" w:rsidRPr="00126A15">
        <w:rPr>
          <w:rFonts w:ascii="Garamond" w:hAnsi="Garamond" w:cs="Garamond"/>
          <w:color w:val="000000"/>
          <w:sz w:val="24"/>
          <w:szCs w:val="24"/>
          <w:lang w:val="sq-AL"/>
        </w:rPr>
        <w:t xml:space="preserve">qasja </w:t>
      </w:r>
      <w:r w:rsidRPr="00126A15">
        <w:rPr>
          <w:rFonts w:ascii="Garamond" w:hAnsi="Garamond" w:cs="Garamond"/>
          <w:color w:val="000000"/>
          <w:sz w:val="24"/>
          <w:szCs w:val="24"/>
          <w:lang w:val="sq-AL"/>
        </w:rPr>
        <w:t>në mostrat dhe koleksionet e mostrave në përputhje me praktikën aktuale ndërkombëtare;</w:t>
      </w:r>
    </w:p>
    <w:p w14:paraId="4FA5390E" w14:textId="700A00E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7F0E16" w:rsidRPr="00126A15">
        <w:rPr>
          <w:rFonts w:ascii="Garamond" w:hAnsi="Garamond" w:cs="Garamond"/>
          <w:color w:val="000000"/>
          <w:sz w:val="24"/>
          <w:szCs w:val="24"/>
          <w:lang w:val="sq-AL"/>
        </w:rPr>
        <w:t xml:space="preserve">qasje </w:t>
      </w:r>
      <w:r w:rsidRPr="00126A15">
        <w:rPr>
          <w:rFonts w:ascii="Garamond" w:hAnsi="Garamond" w:cs="Garamond"/>
          <w:color w:val="000000"/>
          <w:sz w:val="24"/>
          <w:szCs w:val="24"/>
          <w:lang w:val="sq-AL"/>
        </w:rPr>
        <w:t xml:space="preserve">në informacionin e sekuencës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w:t>
      </w:r>
      <w:r w:rsidR="007E730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praktikën aktuale ndërkombëtare</w:t>
      </w:r>
    </w:p>
    <w:p w14:paraId="108AAB60" w14:textId="4AD219E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7F0E16" w:rsidRPr="00126A15">
        <w:rPr>
          <w:rFonts w:ascii="Garamond" w:hAnsi="Garamond" w:cs="Garamond"/>
          <w:color w:val="000000"/>
          <w:sz w:val="24"/>
          <w:szCs w:val="24"/>
          <w:lang w:val="sq-AL"/>
        </w:rPr>
        <w:t xml:space="preserve">qasje </w:t>
      </w:r>
      <w:r w:rsidRPr="00126A15">
        <w:rPr>
          <w:rFonts w:ascii="Garamond" w:hAnsi="Garamond" w:cs="Garamond"/>
          <w:color w:val="000000"/>
          <w:sz w:val="24"/>
          <w:szCs w:val="24"/>
          <w:lang w:val="sq-AL"/>
        </w:rPr>
        <w:t>e hapur në të dhëna shkencore të disponueshme, të aksesueshme,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korresponduese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funksionale (FAIR)</w:t>
      </w:r>
      <w:r w:rsidR="007E730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praktikën aktuale ndërkombëtare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administrimin e drejtpërdrejtë dhe të besueshëm të të dhënave;</w:t>
      </w:r>
    </w:p>
    <w:p w14:paraId="32DD3AD2" w14:textId="5AF2157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7F0E16" w:rsidRPr="00126A15">
        <w:rPr>
          <w:rFonts w:ascii="Garamond" w:hAnsi="Garamond" w:cs="Garamond"/>
          <w:color w:val="000000"/>
          <w:sz w:val="24"/>
          <w:szCs w:val="24"/>
          <w:lang w:val="sq-AL"/>
        </w:rPr>
        <w:t xml:space="preserve">informacioni </w:t>
      </w:r>
      <w:r w:rsidRPr="00126A15">
        <w:rPr>
          <w:rFonts w:ascii="Garamond" w:hAnsi="Garamond" w:cs="Garamond"/>
          <w:color w:val="000000"/>
          <w:sz w:val="24"/>
          <w:szCs w:val="24"/>
          <w:lang w:val="sq-AL"/>
        </w:rPr>
        <w:t>i përfshirë në njoftime, së bashku me identifikuesit e standardizuar të grupit “BBNJ”, të ofruara në përputhje me nenin 12, në forma eksploruese dhe të aksesueshme publike;</w:t>
      </w:r>
    </w:p>
    <w:p w14:paraId="6C2665ED" w14:textId="69496D4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7F0E16" w:rsidRPr="00126A15">
        <w:rPr>
          <w:rFonts w:ascii="Garamond" w:hAnsi="Garamond" w:cs="Garamond"/>
          <w:color w:val="000000"/>
          <w:sz w:val="24"/>
          <w:szCs w:val="24"/>
          <w:lang w:val="sq-AL"/>
        </w:rPr>
        <w:t xml:space="preserve">transferimi </w:t>
      </w:r>
      <w:r w:rsidRPr="00126A15">
        <w:rPr>
          <w:rFonts w:ascii="Garamond" w:hAnsi="Garamond" w:cs="Garamond"/>
          <w:color w:val="000000"/>
          <w:sz w:val="24"/>
          <w:szCs w:val="24"/>
          <w:lang w:val="sq-AL"/>
        </w:rPr>
        <w:t>i teknologjisë detare</w:t>
      </w:r>
      <w:r w:rsidR="00C5713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modalitetet përkatëse të parashikuara në </w:t>
      </w:r>
      <w:r w:rsidR="007E7306" w:rsidRPr="00126A15">
        <w:rPr>
          <w:rFonts w:ascii="Garamond" w:hAnsi="Garamond" w:cs="Garamond"/>
          <w:color w:val="000000"/>
          <w:sz w:val="24"/>
          <w:szCs w:val="24"/>
          <w:lang w:val="sq-AL"/>
        </w:rPr>
        <w:t xml:space="preserve">pjesën </w:t>
      </w:r>
      <w:r w:rsidRPr="00126A15">
        <w:rPr>
          <w:rFonts w:ascii="Garamond" w:hAnsi="Garamond" w:cs="Garamond"/>
          <w:color w:val="000000"/>
          <w:sz w:val="24"/>
          <w:szCs w:val="24"/>
          <w:lang w:val="sq-AL"/>
        </w:rPr>
        <w:t>V të kësaj Marrëveshjeje;</w:t>
      </w:r>
    </w:p>
    <w:p w14:paraId="1821148F" w14:textId="4B0F157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f) </w:t>
      </w:r>
      <w:r w:rsidR="007F0E16" w:rsidRPr="00126A15">
        <w:rPr>
          <w:rFonts w:ascii="Garamond" w:hAnsi="Garamond" w:cs="Garamond"/>
          <w:color w:val="000000"/>
          <w:sz w:val="24"/>
          <w:szCs w:val="24"/>
          <w:lang w:val="sq-AL"/>
        </w:rPr>
        <w:t xml:space="preserve">ngritja </w:t>
      </w:r>
      <w:r w:rsidRPr="00126A15">
        <w:rPr>
          <w:rFonts w:ascii="Garamond" w:hAnsi="Garamond" w:cs="Garamond"/>
          <w:color w:val="000000"/>
          <w:sz w:val="24"/>
          <w:szCs w:val="24"/>
          <w:lang w:val="sq-AL"/>
        </w:rPr>
        <w:t>e kapaciteteve, duke përfshirë financimin e programeve kërkimore dhe mundësitë e partneritetit, veçanërisht ato të rëndësishme dhe thelbësore, për shkencëtarët dhe studiuesit në projektet kërkimore, si dhe iniciativat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ndërmarra, veçanërisht për shtetet në zhvillim, duke marrë parasysh rrethanat e veçanta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shteteve të vogla ishullore në zhvillim dhe të vendeve më pak të zhvilluara;</w:t>
      </w:r>
    </w:p>
    <w:p w14:paraId="481E754F" w14:textId="2667862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g) </w:t>
      </w:r>
      <w:r w:rsidR="007E7306" w:rsidRPr="00126A15">
        <w:rPr>
          <w:rFonts w:ascii="Garamond" w:hAnsi="Garamond" w:cs="Garamond"/>
          <w:color w:val="000000"/>
          <w:sz w:val="24"/>
          <w:szCs w:val="24"/>
          <w:lang w:val="sq-AL"/>
        </w:rPr>
        <w:t xml:space="preserve">rritja </w:t>
      </w:r>
      <w:r w:rsidRPr="00126A15">
        <w:rPr>
          <w:rFonts w:ascii="Garamond" w:hAnsi="Garamond" w:cs="Garamond"/>
          <w:color w:val="000000"/>
          <w:sz w:val="24"/>
          <w:szCs w:val="24"/>
          <w:lang w:val="sq-AL"/>
        </w:rPr>
        <w:t>e bashkëpunimit teknik dhe shkencor, veçanërisht me shkencëtarët dhe institucionet shkencore të shteteve në zhvillim;</w:t>
      </w:r>
    </w:p>
    <w:p w14:paraId="53873CDA" w14:textId="78BBC2D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h) </w:t>
      </w:r>
      <w:r w:rsidR="007E7306" w:rsidRPr="00126A15">
        <w:rPr>
          <w:rFonts w:ascii="Garamond" w:hAnsi="Garamond" w:cs="Garamond"/>
          <w:color w:val="000000"/>
          <w:sz w:val="24"/>
          <w:szCs w:val="24"/>
          <w:lang w:val="sq-AL"/>
        </w:rPr>
        <w:t xml:space="preserve">forma </w:t>
      </w:r>
      <w:r w:rsidRPr="00126A15">
        <w:rPr>
          <w:rFonts w:ascii="Garamond" w:hAnsi="Garamond" w:cs="Garamond"/>
          <w:color w:val="000000"/>
          <w:sz w:val="24"/>
          <w:szCs w:val="24"/>
          <w:lang w:val="sq-AL"/>
        </w:rPr>
        <w:t>të tjera përfitimesh të përcaktuara nga Konferenca e Palëve, duke marrë parasysh rekomandimet e komitetit të aksesit dhe ndarjes së përfitimeve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që rrjedhin nga neni 15.</w:t>
      </w:r>
    </w:p>
    <w:p w14:paraId="06365948" w14:textId="0F20A69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Palët do të ndërmarrin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politikat e nevojshme legjislative, administrative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 të siguruar që burimet gjenetike detare dhe informacioni i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së bashku me identifikuesit e tyre të grupit të standardizuar “BBNJ”, subjekt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përdorimi nga persona fizikë ose juridikë nën juridiksionin e tyre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i kalojnë depozitarit dhe bazës së të </w:t>
      </w:r>
      <w:r w:rsidRPr="00126A15">
        <w:rPr>
          <w:rFonts w:ascii="Garamond" w:hAnsi="Garamond" w:cs="Garamond"/>
          <w:color w:val="000000"/>
          <w:sz w:val="24"/>
          <w:szCs w:val="24"/>
          <w:lang w:val="sq-AL"/>
        </w:rPr>
        <w:lastRenderedPageBreak/>
        <w:t>dhënave të aksesueshme nga publiku,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siguruara në nivel kombëtar ose ndërkombëtar, jo më vonë se tre vjet nga fillimi i përdorimit të tillë, ose sapo të bëhen të disponueshme, duke marrë parasysh praktikën aktuale ndërkombëtare.</w:t>
      </w:r>
    </w:p>
    <w:p w14:paraId="6E0BC9B7" w14:textId="705F768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Qasja në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te depozitari dhe bazat e të dhënave nën juridiksionin e një Pale mund të jetë subjekt i kushteve të arsyeshme, si më poshtë:</w:t>
      </w:r>
    </w:p>
    <w:p w14:paraId="554651EA" w14:textId="5F3E2F8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0D2BD6" w:rsidRPr="00126A15">
        <w:rPr>
          <w:rFonts w:ascii="Garamond" w:hAnsi="Garamond" w:cs="Garamond"/>
          <w:color w:val="000000"/>
          <w:sz w:val="24"/>
          <w:szCs w:val="24"/>
          <w:lang w:val="sq-AL"/>
        </w:rPr>
        <w:t xml:space="preserve">nevoja </w:t>
      </w:r>
      <w:r w:rsidRPr="00126A15">
        <w:rPr>
          <w:rFonts w:ascii="Garamond" w:hAnsi="Garamond" w:cs="Garamond"/>
          <w:color w:val="000000"/>
          <w:sz w:val="24"/>
          <w:szCs w:val="24"/>
          <w:lang w:val="sq-AL"/>
        </w:rPr>
        <w:t>për të ruajtur integritetin fizik të burimeve gjenetike detare;</w:t>
      </w:r>
    </w:p>
    <w:p w14:paraId="05C14F29" w14:textId="102243A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0D2BD6" w:rsidRPr="00126A15">
        <w:rPr>
          <w:rFonts w:ascii="Garamond" w:hAnsi="Garamond" w:cs="Garamond"/>
          <w:color w:val="000000"/>
          <w:sz w:val="24"/>
          <w:szCs w:val="24"/>
          <w:lang w:val="sq-AL"/>
        </w:rPr>
        <w:t xml:space="preserve">kostot </w:t>
      </w:r>
      <w:r w:rsidRPr="00126A15">
        <w:rPr>
          <w:rFonts w:ascii="Garamond" w:hAnsi="Garamond" w:cs="Garamond"/>
          <w:color w:val="000000"/>
          <w:sz w:val="24"/>
          <w:szCs w:val="24"/>
          <w:lang w:val="sq-AL"/>
        </w:rPr>
        <w:t>e arsyeshme që lidhen me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sigurimin përkatës</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biogjenetik,</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biodepozituesin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apo bazën e të dhënave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ku ruhet kampioni, të dhënat ose informacioni;</w:t>
      </w:r>
    </w:p>
    <w:p w14:paraId="64068081" w14:textId="5AB46F8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0D2BD6" w:rsidRPr="00126A15">
        <w:rPr>
          <w:rFonts w:ascii="Garamond" w:hAnsi="Garamond" w:cs="Garamond"/>
          <w:color w:val="000000"/>
          <w:sz w:val="24"/>
          <w:szCs w:val="24"/>
          <w:lang w:val="sq-AL"/>
        </w:rPr>
        <w:t xml:space="preserve">kostot </w:t>
      </w:r>
      <w:r w:rsidRPr="00126A15">
        <w:rPr>
          <w:rFonts w:ascii="Garamond" w:hAnsi="Garamond" w:cs="Garamond"/>
          <w:color w:val="000000"/>
          <w:sz w:val="24"/>
          <w:szCs w:val="24"/>
          <w:lang w:val="sq-AL"/>
        </w:rPr>
        <w:t>e arsyeshme që lidhen me sigurimin e aksesit në burimin gjenetik detar, të dhënat ose informacionin;</w:t>
      </w:r>
    </w:p>
    <w:p w14:paraId="687CBFEF" w14:textId="3E44DB8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0D2BD6" w:rsidRPr="00126A15">
        <w:rPr>
          <w:rFonts w:ascii="Garamond" w:hAnsi="Garamond" w:cs="Garamond"/>
          <w:color w:val="000000"/>
          <w:sz w:val="24"/>
          <w:szCs w:val="24"/>
          <w:lang w:val="sq-AL"/>
        </w:rPr>
        <w:t xml:space="preserve">kushte </w:t>
      </w:r>
      <w:r w:rsidRPr="00126A15">
        <w:rPr>
          <w:rFonts w:ascii="Garamond" w:hAnsi="Garamond" w:cs="Garamond"/>
          <w:color w:val="000000"/>
          <w:sz w:val="24"/>
          <w:szCs w:val="24"/>
          <w:lang w:val="sq-AL"/>
        </w:rPr>
        <w:t>të tjera të arsyeshme në përputhje me objektivat e kësaj Marrëveshjeje;</w:t>
      </w:r>
    </w:p>
    <w:p w14:paraId="14DC2352"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dhe mundësitë për një akses të tillë me kushte të drejta dhe më të favorshme, duke përfshirë kushtet koncesionale dhe preferenciale, mund t’u ofrohen studiuesve dhe institucioneve kërkimore nga shtetet në zhvillim.</w:t>
      </w:r>
    </w:p>
    <w:p w14:paraId="5C43BF0E" w14:textId="16B67F8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Përfitimet monetare nga përdorimi i burimeve gjenetike detare dhe informacionit të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duke përfshirë komercializimin, do të ndahen në mënyrë të drejtë dhe të barabartë, nëpërmjet mekanizmit financiar të krijua</w:t>
      </w:r>
      <w:r w:rsidR="002D7BD6" w:rsidRPr="00126A15">
        <w:rPr>
          <w:rFonts w:ascii="Garamond" w:hAnsi="Garamond" w:cs="Garamond"/>
          <w:color w:val="000000"/>
          <w:sz w:val="24"/>
          <w:szCs w:val="24"/>
          <w:lang w:val="sq-AL"/>
        </w:rPr>
        <w:t>r</w:t>
      </w:r>
      <w:r w:rsidRPr="00126A15">
        <w:rPr>
          <w:rFonts w:ascii="Garamond" w:hAnsi="Garamond" w:cs="Garamond"/>
          <w:color w:val="000000"/>
          <w:sz w:val="24"/>
          <w:szCs w:val="24"/>
          <w:lang w:val="sq-AL"/>
        </w:rPr>
        <w:t xml:space="preserve"> sipas nenit 52, për ruajtjen dhe përdorimin e qëndrueshëm të diversitetit biologjik detar t</w:t>
      </w:r>
      <w:r w:rsidR="00BD1EE7" w:rsidRPr="00126A15">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zonave përtej juridiksionit kombëtar.</w:t>
      </w:r>
    </w:p>
    <w:p w14:paraId="2E0553C1" w14:textId="3F8DD88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Pas hyrjes në fuqi të kësaj Marrëveshjeje, Palët e zhvilluara do të japin kontribute vjetore në fondin special të përmendur në nenin 52. Norma e kontributit të një Pale do të jetë 50 për qind e kontributit të vlerësuar të asaj Pale në buxhetin e miratuar nga Konferenca e Palëve sipas nenit 47, paragrafi 6 (e). Kjo pagesë do të vazhdojë derisa të merret një vendim nga Konferenca e Palëve sipas paragrafit 7 më poshtë.</w:t>
      </w:r>
    </w:p>
    <w:p w14:paraId="1D6ADA86" w14:textId="29AC214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Konferenca e Palëve do të vendosë për modalitetet për ndarjen e përfitimeve monetare nga përdorimi i burimeve gjenetike detare dhe informacionit të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duke marrë parasysh rekomandimet e komitetit për akses dhe ndarje të përfitimeve pranuar sipas nenit 15. Nëse të gjitha përpjekjet për të arritur konsensusin janë shteruar, një vendim do të miratohet me praninë dhe votimin e një shumicë prej tre të katërtave të Palëve. Pagesat do të bëhen nëpërmjet fondit të posaçëm të krijuar sipas nenit 52. Modalitetet mund të përfshijnë si më poshtë:</w:t>
      </w:r>
    </w:p>
    <w:p w14:paraId="274DFE21" w14:textId="5078A54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w:t>
      </w:r>
      <w:r w:rsidR="007A5D58" w:rsidRPr="00126A15">
        <w:rPr>
          <w:rFonts w:ascii="Garamond" w:hAnsi="Garamond" w:cs="Garamond"/>
          <w:color w:val="000000"/>
          <w:sz w:val="24"/>
          <w:szCs w:val="24"/>
          <w:lang w:val="sq-AL"/>
        </w:rPr>
        <w:t xml:space="preserve"> </w:t>
      </w:r>
      <w:r w:rsidR="000F50BC" w:rsidRPr="00126A15">
        <w:rPr>
          <w:rFonts w:ascii="Garamond" w:hAnsi="Garamond" w:cs="Garamond"/>
          <w:color w:val="000000"/>
          <w:sz w:val="24"/>
          <w:szCs w:val="24"/>
          <w:lang w:val="sq-AL"/>
        </w:rPr>
        <w:t xml:space="preserve">fondet </w:t>
      </w:r>
      <w:r w:rsidRPr="00126A15">
        <w:rPr>
          <w:rFonts w:ascii="Garamond" w:hAnsi="Garamond" w:cs="Garamond"/>
          <w:color w:val="000000"/>
          <w:sz w:val="24"/>
          <w:szCs w:val="24"/>
          <w:lang w:val="sq-AL"/>
        </w:rPr>
        <w:t>rezervë</w:t>
      </w:r>
      <w:r w:rsidR="000F50BC" w:rsidRPr="00126A15">
        <w:rPr>
          <w:rFonts w:ascii="Garamond" w:hAnsi="Garamond" w:cs="Garamond"/>
          <w:color w:val="000000"/>
          <w:sz w:val="24"/>
          <w:szCs w:val="24"/>
          <w:lang w:val="sq-AL"/>
        </w:rPr>
        <w:t>;</w:t>
      </w:r>
    </w:p>
    <w:p w14:paraId="761AFB59" w14:textId="786C8D8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0F50BC" w:rsidRPr="00126A15">
        <w:rPr>
          <w:rFonts w:ascii="Garamond" w:hAnsi="Garamond" w:cs="Garamond"/>
          <w:color w:val="000000"/>
          <w:sz w:val="24"/>
          <w:szCs w:val="24"/>
          <w:lang w:val="sq-AL"/>
        </w:rPr>
        <w:t xml:space="preserve">pagesat </w:t>
      </w:r>
      <w:r w:rsidRPr="00126A15">
        <w:rPr>
          <w:rFonts w:ascii="Garamond" w:hAnsi="Garamond" w:cs="Garamond"/>
          <w:color w:val="000000"/>
          <w:sz w:val="24"/>
          <w:szCs w:val="24"/>
          <w:lang w:val="sq-AL"/>
        </w:rPr>
        <w:t>ose kontributet në lidhje me tregtimin e produkteve, duke përfshirë pagesën me përqindje nga të ardhurave nga shitja e produkteve;</w:t>
      </w:r>
    </w:p>
    <w:p w14:paraId="04296A7D" w14:textId="4163B84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0F50BC"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tarifë kategorizimi, e paguar në baza periodike, bazuar në një grup të larmishëm treguesish që matin nivelin e përgjithshëm të aktiviteteve nga një Palë;</w:t>
      </w:r>
    </w:p>
    <w:p w14:paraId="43E6F947" w14:textId="496C318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0F50BC" w:rsidRPr="00126A15">
        <w:rPr>
          <w:rFonts w:ascii="Garamond" w:hAnsi="Garamond" w:cs="Garamond"/>
          <w:color w:val="000000"/>
          <w:sz w:val="24"/>
          <w:szCs w:val="24"/>
          <w:lang w:val="sq-AL"/>
        </w:rPr>
        <w:t xml:space="preserve">forma </w:t>
      </w:r>
      <w:r w:rsidRPr="00126A15">
        <w:rPr>
          <w:rFonts w:ascii="Garamond" w:hAnsi="Garamond" w:cs="Garamond"/>
          <w:color w:val="000000"/>
          <w:sz w:val="24"/>
          <w:szCs w:val="24"/>
          <w:lang w:val="sq-AL"/>
        </w:rPr>
        <w:t>të tjera të vendosura nga Konferenca e Palëve, duke marrë parasysh rekomandimet e komitetit për aksesin dhe ndarjen e përfitimeve.</w:t>
      </w:r>
    </w:p>
    <w:p w14:paraId="0EF5F7A8" w14:textId="56B467E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8. Një Palë mund të bëjë një deklaratë në kohën kur Konferenca e Palëve miraton modalitetet</w:t>
      </w:r>
      <w:r w:rsidR="000F50BC"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duke deklaruar se këto modalitete nuk do të hyjnë në fuqi për atë Palë për një periudhë deri në katër vjet, në mënyrë që të ketë kohë për zbatimin e duhur.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Pala që bën një deklaratë të tillë do të vazhdojë të bëjë pagesën e përcaktuar në paragrafin 6 më lart derisa modalitetet e reja të hyjnë në fuqi.</w:t>
      </w:r>
    </w:p>
    <w:p w14:paraId="0D2A99DD" w14:textId="1E725B5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9. Në caktimin e modaliteteve për ndarjen e përfitimeve monetare nga përdorimi i informacionit të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sipas paragrafit 7 më sipër, Konferenca e Palëve do të marrë parasysh rekomandimet e komitetit për akses dhe ndarje të përfitimeve, duke pranuar se modalitete të tilla duhet të jenë reciprokisht mbështetëse dhe të pranuara nga instrumente të tjerë të aksesit dhe ndarjes së përfitimeve.</w:t>
      </w:r>
    </w:p>
    <w:p w14:paraId="365D5EBF" w14:textId="3304741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10. Konferenca e Palëve, duke marrë parasysh rekomandimet e komitetit për akses dhe ndarje të përfitimeve të pranuara sipas nenit 15, do të shqyrtojë dhe vlerësojë, në baza dyvjeçare, përfitimet monetare nga përdorimi i burimeve gjenetike detare dhe informacionit të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Analiza e parë do të bëhet jo më vonë se pesë vjet pas hyrjes në fuqi të kësaj Marrëveshjeje.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Analiza do të përfshijë shqyrtimin e kontributeve vjetore të përmendura në paragrafin 6 më sipër.</w:t>
      </w:r>
    </w:p>
    <w:p w14:paraId="3708865A" w14:textId="2E70C36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11. Palët do të ndërmarrin politikat e nevojshme legjislative dhe administrative, sipas rastit, me synimin për të siguruar që përfitimet që rrjedhin nga aktivitetet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 nga persona fizikë ose juridikë nën juridiksionin e tyre të ndahen në përputhje me këtë Marrëveshje.</w:t>
      </w:r>
    </w:p>
    <w:p w14:paraId="5D16F0AD"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541C0FB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15</w:t>
      </w:r>
    </w:p>
    <w:p w14:paraId="5393A46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Komiteti i aksesit dhe ndarjes së përfitimeve</w:t>
      </w:r>
    </w:p>
    <w:p w14:paraId="6217548B"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41330C3" w14:textId="766CC63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Me këtë krijohet një komitet i aksesit dhe ndarjes së përfitimeve. Ai do të shërbejë, ndër të tjera, si një mjet për të dhënë udhëzime për ndarjen e përfitimeve, në përputhje me nenin 14, duke siguruar transparencë dhe duke siguruar një ndarje të drejtë dhe të barabartë të përfitimeve monetare dhe jomonetare.</w:t>
      </w:r>
    </w:p>
    <w:p w14:paraId="5F4281A1" w14:textId="7BD1EEB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Komiteti i aksesit dhe ndarjes së përfitimeve do të përbëhet nga 15 anëtarë që zotërojnë kualifikimet e duhura në fushat përkatëse, në mënyrë që të sigurohet ushtrimi efektiv i funksioneve të komitetit. Anëtarët do të kandidohen nga Palët dhe do të zgjidhen nga Konferenca e Palëve, duke marrë parasysh balancën gjinore, shpërndarjen e barabartë gjeografike dhe duke siguruar përfaqësim në komitet nga shtetet në zhvillim, duke përfshirë edhe nga vendet më pak të zhvilluara, nga shtetet e vogla ishullore në zhvillim dhe nga vendet në zhvillim pa dalje në det.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Kushtet e referencës dhe modalitetet për funksionimin e komitetit do të përcaktohen nga Konferenca e Palëve.</w:t>
      </w:r>
    </w:p>
    <w:p w14:paraId="1573E0B2" w14:textId="2D8815D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Komiteti mund t’i bëjë rekomandime Konferencës së Palëve për çështjet që lidhen me këtë pjesë, duke përfshirë çështjet e mëposhtme:</w:t>
      </w:r>
    </w:p>
    <w:p w14:paraId="197FD306" w14:textId="32CF963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A57DE5" w:rsidRPr="00126A15">
        <w:rPr>
          <w:rFonts w:ascii="Garamond" w:hAnsi="Garamond" w:cs="Garamond"/>
          <w:color w:val="000000"/>
          <w:sz w:val="24"/>
          <w:szCs w:val="24"/>
          <w:lang w:val="sq-AL"/>
        </w:rPr>
        <w:t xml:space="preserve">udhëzimet </w:t>
      </w:r>
      <w:r w:rsidRPr="00126A15">
        <w:rPr>
          <w:rFonts w:ascii="Garamond" w:hAnsi="Garamond" w:cs="Garamond"/>
          <w:color w:val="000000"/>
          <w:sz w:val="24"/>
          <w:szCs w:val="24"/>
          <w:lang w:val="sq-AL"/>
        </w:rPr>
        <w:t>ose kodin e sjelljes për aktivitetet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jashtë juridiksionit kombëtar në përputhje me këtë pjesë;</w:t>
      </w:r>
    </w:p>
    <w:p w14:paraId="57CF5629" w14:textId="0C53273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A57DE5" w:rsidRPr="00126A15">
        <w:rPr>
          <w:rFonts w:ascii="Garamond" w:hAnsi="Garamond" w:cs="Garamond"/>
          <w:color w:val="000000"/>
          <w:sz w:val="24"/>
          <w:szCs w:val="24"/>
          <w:lang w:val="sq-AL"/>
        </w:rPr>
        <w:t xml:space="preserve">masat </w:t>
      </w:r>
      <w:r w:rsidRPr="00126A15">
        <w:rPr>
          <w:rFonts w:ascii="Garamond" w:hAnsi="Garamond" w:cs="Garamond"/>
          <w:color w:val="000000"/>
          <w:sz w:val="24"/>
          <w:szCs w:val="24"/>
          <w:lang w:val="sq-AL"/>
        </w:rPr>
        <w:t>për zbatimin e vendimeve të marra në përputhje me këtë pjesë;</w:t>
      </w:r>
    </w:p>
    <w:p w14:paraId="48293996" w14:textId="69571FB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A57DE5" w:rsidRPr="00126A15">
        <w:rPr>
          <w:rFonts w:ascii="Garamond" w:hAnsi="Garamond" w:cs="Garamond"/>
          <w:color w:val="000000"/>
          <w:sz w:val="24"/>
          <w:szCs w:val="24"/>
          <w:lang w:val="sq-AL"/>
        </w:rPr>
        <w:t xml:space="preserve">normat </w:t>
      </w:r>
      <w:r w:rsidRPr="00126A15">
        <w:rPr>
          <w:rFonts w:ascii="Garamond" w:hAnsi="Garamond" w:cs="Garamond"/>
          <w:color w:val="000000"/>
          <w:sz w:val="24"/>
          <w:szCs w:val="24"/>
          <w:lang w:val="sq-AL"/>
        </w:rPr>
        <w:t>ose mekanizmat për ndarjen e përfitimeve monetare në përputhje me nenin 14</w:t>
      </w:r>
      <w:r w:rsidR="00430F2A" w:rsidRPr="00126A15">
        <w:rPr>
          <w:rFonts w:ascii="Garamond" w:hAnsi="Garamond" w:cs="Garamond"/>
          <w:color w:val="000000"/>
          <w:sz w:val="24"/>
          <w:szCs w:val="24"/>
          <w:lang w:val="sq-AL"/>
        </w:rPr>
        <w:t>;</w:t>
      </w:r>
    </w:p>
    <w:p w14:paraId="70930F66" w14:textId="3A217EA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A57DE5" w:rsidRPr="00126A15">
        <w:rPr>
          <w:rFonts w:ascii="Garamond" w:hAnsi="Garamond" w:cs="Garamond"/>
          <w:color w:val="000000"/>
          <w:sz w:val="24"/>
          <w:szCs w:val="24"/>
          <w:lang w:val="sq-AL"/>
        </w:rPr>
        <w:t xml:space="preserve">çështjet </w:t>
      </w:r>
      <w:r w:rsidRPr="00126A15">
        <w:rPr>
          <w:rFonts w:ascii="Garamond" w:hAnsi="Garamond" w:cs="Garamond"/>
          <w:color w:val="000000"/>
          <w:sz w:val="24"/>
          <w:szCs w:val="24"/>
          <w:lang w:val="sq-AL"/>
        </w:rPr>
        <w:t>që lidhen me këtë pjesë në lidhje me Aparatin Global të Diversitetit Biologjik</w:t>
      </w:r>
      <w:r w:rsidR="00430F2A" w:rsidRPr="00126A15">
        <w:rPr>
          <w:rFonts w:ascii="Garamond" w:hAnsi="Garamond" w:cs="Garamond"/>
          <w:color w:val="000000"/>
          <w:sz w:val="24"/>
          <w:szCs w:val="24"/>
          <w:lang w:val="sq-AL"/>
        </w:rPr>
        <w:t>;</w:t>
      </w:r>
    </w:p>
    <w:p w14:paraId="54C2A913" w14:textId="4FAF24F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A57DE5" w:rsidRPr="00126A15">
        <w:rPr>
          <w:rFonts w:ascii="Garamond" w:hAnsi="Garamond" w:cs="Garamond"/>
          <w:color w:val="000000"/>
          <w:sz w:val="24"/>
          <w:szCs w:val="24"/>
          <w:lang w:val="sq-AL"/>
        </w:rPr>
        <w:t xml:space="preserve">çështjet </w:t>
      </w:r>
      <w:r w:rsidRPr="00126A15">
        <w:rPr>
          <w:rFonts w:ascii="Garamond" w:hAnsi="Garamond" w:cs="Garamond"/>
          <w:color w:val="000000"/>
          <w:sz w:val="24"/>
          <w:szCs w:val="24"/>
          <w:lang w:val="sq-AL"/>
        </w:rPr>
        <w:t>që lidhen me këtë pjesë në lidhje me mekanizmin financiar të pranuar sipas nenit 52</w:t>
      </w:r>
      <w:r w:rsidR="00430F2A" w:rsidRPr="00126A15">
        <w:rPr>
          <w:rFonts w:ascii="Garamond" w:hAnsi="Garamond" w:cs="Garamond"/>
          <w:color w:val="000000"/>
          <w:sz w:val="24"/>
          <w:szCs w:val="24"/>
          <w:lang w:val="sq-AL"/>
        </w:rPr>
        <w:t>;</w:t>
      </w:r>
    </w:p>
    <w:p w14:paraId="4ADD22D5" w14:textId="30F18E9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f) </w:t>
      </w:r>
      <w:r w:rsidR="00A57DE5" w:rsidRPr="00126A15">
        <w:rPr>
          <w:rFonts w:ascii="Garamond" w:hAnsi="Garamond" w:cs="Garamond"/>
          <w:color w:val="000000"/>
          <w:sz w:val="24"/>
          <w:szCs w:val="24"/>
          <w:lang w:val="sq-AL"/>
        </w:rPr>
        <w:t xml:space="preserve">çdo </w:t>
      </w:r>
      <w:r w:rsidRPr="00126A15">
        <w:rPr>
          <w:rFonts w:ascii="Garamond" w:hAnsi="Garamond" w:cs="Garamond"/>
          <w:color w:val="000000"/>
          <w:sz w:val="24"/>
          <w:szCs w:val="24"/>
          <w:lang w:val="sq-AL"/>
        </w:rPr>
        <w:t>çështje tjetër në lidhje me këtë pjesë për të cilat Konferenca e Palëve mund t’i drejtohet komitetit të aksesit dhe ndarjes së përfitimeve.</w:t>
      </w:r>
    </w:p>
    <w:p w14:paraId="208E128F" w14:textId="1C77EA5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Çdo Palë do t’i vë në dispozicion komitetit të aksesit dhe ndarjes së përfitimeve, nëpërmjet Aparatit Global të Diversitetit Biologjik, informacionin e kërkuar sipas kësaj Marrëveshje</w:t>
      </w:r>
      <w:r w:rsidR="00C266AB">
        <w:rPr>
          <w:rFonts w:ascii="Garamond" w:hAnsi="Garamond" w:cs="Garamond"/>
          <w:color w:val="000000"/>
          <w:sz w:val="24"/>
          <w:szCs w:val="24"/>
          <w:lang w:val="sq-AL"/>
        </w:rPr>
        <w:t>je</w:t>
      </w:r>
      <w:r w:rsidRPr="00126A15">
        <w:rPr>
          <w:rFonts w:ascii="Garamond" w:hAnsi="Garamond" w:cs="Garamond"/>
          <w:color w:val="000000"/>
          <w:sz w:val="24"/>
          <w:szCs w:val="24"/>
          <w:lang w:val="sq-AL"/>
        </w:rPr>
        <w:t>, i cili do të përfshijë:</w:t>
      </w:r>
    </w:p>
    <w:p w14:paraId="056AAEE0" w14:textId="6A70033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A57DE5" w:rsidRPr="00126A15">
        <w:rPr>
          <w:rFonts w:ascii="Garamond" w:hAnsi="Garamond" w:cs="Garamond"/>
          <w:color w:val="000000"/>
          <w:sz w:val="24"/>
          <w:szCs w:val="24"/>
          <w:lang w:val="sq-AL"/>
        </w:rPr>
        <w:t xml:space="preserve">politikat </w:t>
      </w:r>
      <w:r w:rsidRPr="00126A15">
        <w:rPr>
          <w:rFonts w:ascii="Garamond" w:hAnsi="Garamond" w:cs="Garamond"/>
          <w:color w:val="000000"/>
          <w:sz w:val="24"/>
          <w:szCs w:val="24"/>
          <w:lang w:val="sq-AL"/>
        </w:rPr>
        <w:t>legjislative dhe administrative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 aksesin dhe ndarjen e përfitimeve;</w:t>
      </w:r>
    </w:p>
    <w:p w14:paraId="68C38051" w14:textId="59B6CDA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A57DE5" w:rsidRPr="00126A15">
        <w:rPr>
          <w:rFonts w:ascii="Garamond" w:hAnsi="Garamond" w:cs="Garamond"/>
          <w:color w:val="000000"/>
          <w:sz w:val="24"/>
          <w:szCs w:val="24"/>
          <w:lang w:val="sq-AL"/>
        </w:rPr>
        <w:t xml:space="preserve">detajet </w:t>
      </w:r>
      <w:r w:rsidRPr="00126A15">
        <w:rPr>
          <w:rFonts w:ascii="Garamond" w:hAnsi="Garamond" w:cs="Garamond"/>
          <w:color w:val="000000"/>
          <w:sz w:val="24"/>
          <w:szCs w:val="24"/>
          <w:lang w:val="sq-AL"/>
        </w:rPr>
        <w:t>e kontaktit dhe informacione të tjera të nevojshme si pika kryesore kombëtare;</w:t>
      </w:r>
    </w:p>
    <w:p w14:paraId="2F1EA56D" w14:textId="08989EF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A57DE5" w:rsidRPr="00126A15">
        <w:rPr>
          <w:rFonts w:ascii="Garamond" w:hAnsi="Garamond" w:cs="Garamond"/>
          <w:color w:val="000000"/>
          <w:sz w:val="24"/>
          <w:szCs w:val="24"/>
          <w:lang w:val="sq-AL"/>
        </w:rPr>
        <w:t xml:space="preserve">informacione </w:t>
      </w:r>
      <w:r w:rsidRPr="00126A15">
        <w:rPr>
          <w:rFonts w:ascii="Garamond" w:hAnsi="Garamond" w:cs="Garamond"/>
          <w:color w:val="000000"/>
          <w:sz w:val="24"/>
          <w:szCs w:val="24"/>
          <w:lang w:val="sq-AL"/>
        </w:rPr>
        <w:t>të tjera të kërkuara 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zbatim të vendimeve të marra nga Konferenca e Palëve.</w:t>
      </w:r>
    </w:p>
    <w:p w14:paraId="45BD260E" w14:textId="211760C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Komiteti i aksesit dhe ndarjes së përfitimeve mund të konsultohet dhe të lehtësojë shkëmbimin e informacionit me instrumentet dhe kornizat përkatëse ligjore dhe organet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 mbi aktivitetet nën mandatin e tij, duke përfshirë ndarjen e përfitimeve, përdorimin e informacionit të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praktikat më të mira, mjetet dhe metodologjitë, menaxhimin e të dhënave dhe mësimet e nxjerra.</w:t>
      </w:r>
    </w:p>
    <w:p w14:paraId="0469D0AA" w14:textId="75D8972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6. Komiteti i aksesit dhe ndarjes së përfitimeve mund t’i bëjë rekomandime Konferencës së Palëve në lidhje me informacionin e marrë sipas paragrafit 5 më sipër.</w:t>
      </w:r>
    </w:p>
    <w:p w14:paraId="6A76BA9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67E1DCF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16</w:t>
      </w:r>
    </w:p>
    <w:p w14:paraId="5EE7F2C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Monitorimi dhe transparenca</w:t>
      </w:r>
    </w:p>
    <w:p w14:paraId="035AD6A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4EEA7EC4" w14:textId="6BD1667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Monitorimi dhe transparenca e aktiviteteve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për burimet gjenetike detare të zonave përtej juridiksionit kombëtar do të arrihet duke vënë në dijeni Aparatin Global të Diversitetit Biologjik, nëpërmjet përdorimit të identifikuesve të grupit të standardizuar “BBNJ”</w:t>
      </w:r>
      <w:r w:rsidR="00430F2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këtë </w:t>
      </w:r>
      <w:r w:rsidR="00430F2A" w:rsidRPr="00126A15">
        <w:rPr>
          <w:rFonts w:ascii="Garamond" w:hAnsi="Garamond" w:cs="Garamond"/>
          <w:color w:val="000000"/>
          <w:sz w:val="24"/>
          <w:szCs w:val="24"/>
          <w:lang w:val="sq-AL"/>
        </w:rPr>
        <w:t xml:space="preserve">pjesë </w:t>
      </w:r>
      <w:r w:rsidRPr="00126A15">
        <w:rPr>
          <w:rFonts w:ascii="Garamond" w:hAnsi="Garamond" w:cs="Garamond"/>
          <w:color w:val="000000"/>
          <w:sz w:val="24"/>
          <w:szCs w:val="24"/>
          <w:lang w:val="sq-AL"/>
        </w:rPr>
        <w:t>dhe sipas procedurave të miratuara nga Konferenca e Palëve</w:t>
      </w:r>
      <w:r w:rsidR="00430F2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siç rekomandohet nga komiteti i aksesit dhe ndarjes së përfitimeve.</w:t>
      </w:r>
    </w:p>
    <w:p w14:paraId="150E0FD4" w14:textId="48FB580F" w:rsidR="00F205CF" w:rsidRPr="00126A15" w:rsidRDefault="00F205CF" w:rsidP="000A707B">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Palët do t’i dërgojnë here pas here raporte komitetit të aksesit dhe ndarjes së përfitimeve për zbatimin e dispozitave të kësaj </w:t>
      </w:r>
      <w:r w:rsidR="00430F2A"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mbi aktivitetet</w:t>
      </w:r>
      <w:r w:rsidR="00430F2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lidhje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 xml:space="preserve">e mbi burimet gjenetike detare të zonave përtej juridiksionit kombëtar dhe ndarjen e përfitimeve prej tyre, në përputhje me këtë </w:t>
      </w:r>
      <w:r w:rsidR="000A707B" w:rsidRPr="00126A15">
        <w:rPr>
          <w:rFonts w:ascii="Garamond" w:hAnsi="Garamond" w:cs="Garamond"/>
          <w:color w:val="000000"/>
          <w:sz w:val="24"/>
          <w:szCs w:val="24"/>
          <w:lang w:val="sq-AL"/>
        </w:rPr>
        <w:t>pjesë</w:t>
      </w:r>
      <w:r w:rsidRPr="00126A15">
        <w:rPr>
          <w:rFonts w:ascii="Garamond" w:hAnsi="Garamond" w:cs="Garamond"/>
          <w:color w:val="000000"/>
          <w:sz w:val="24"/>
          <w:szCs w:val="24"/>
          <w:lang w:val="sq-AL"/>
        </w:rPr>
        <w:t>.</w:t>
      </w:r>
    </w:p>
    <w:p w14:paraId="5781FDB3" w14:textId="2EE261E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Komiteti i aksesit dhe ndarjes së përfitimeve do të përgatisë një raport bazuar në informacionin e marrë nëpërmjet Aparatit Global të Diversitetit Biologjik dhe do ta vendos në dispozicion të Palëve, të cilat mund të paraqesin komente. Komiteti i aksesit dhe ndarjes së përfitimeve do të paraqesë raportin, duke përfshirë komentet e marra, për shqyrtim në Konferencën e Palëve. Konferenca e Palëve, duke marrë parasysh rekomandimin e komitetit të aksesit dhe ndarjes së përfitimeve, mund të japë udhëzimet e duhura për zbatimin e këtij neni, i cili do të marrë parasysh mundësitë dhe kushtet kombëtare të Palëve.</w:t>
      </w:r>
    </w:p>
    <w:p w14:paraId="30EE930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4B8AFC3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III</w:t>
      </w:r>
    </w:p>
    <w:p w14:paraId="2DFB6656" w14:textId="4D466CF9"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MASAT SI MJETE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MENAXHIMI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SIPAS ZONAVE, PËRFSHIRË ZONAT E </w:t>
      </w:r>
      <w:r w:rsidR="00E772AC" w:rsidRPr="00126A15">
        <w:rPr>
          <w:rFonts w:ascii="Garamond" w:hAnsi="Garamond" w:cs="Garamond"/>
          <w:color w:val="000000"/>
          <w:sz w:val="24"/>
          <w:szCs w:val="24"/>
          <w:lang w:val="sq-AL"/>
        </w:rPr>
        <w:t>MBROJTURA</w:t>
      </w:r>
      <w:r w:rsidRPr="00126A15">
        <w:rPr>
          <w:rFonts w:ascii="Garamond" w:hAnsi="Garamond" w:cs="Garamond"/>
          <w:color w:val="000000"/>
          <w:sz w:val="24"/>
          <w:szCs w:val="24"/>
          <w:lang w:val="sq-AL"/>
        </w:rPr>
        <w:t xml:space="preserve"> DETARE</w:t>
      </w:r>
    </w:p>
    <w:p w14:paraId="104902E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5C01CD1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17</w:t>
      </w:r>
    </w:p>
    <w:p w14:paraId="4C25850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Objektivat</w:t>
      </w:r>
    </w:p>
    <w:p w14:paraId="566E4F8A"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0EE38B9"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Objektivat e kësaj pjese janë:</w:t>
      </w:r>
    </w:p>
    <w:p w14:paraId="2E02F803" w14:textId="2B6ADD0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F22C6B" w:rsidRPr="00126A15">
        <w:rPr>
          <w:rFonts w:ascii="Garamond" w:hAnsi="Garamond" w:cs="Garamond"/>
          <w:color w:val="000000"/>
          <w:sz w:val="24"/>
          <w:szCs w:val="24"/>
          <w:lang w:val="sq-AL"/>
        </w:rPr>
        <w:t xml:space="preserve">ruajtja </w:t>
      </w:r>
      <w:r w:rsidRPr="00126A15">
        <w:rPr>
          <w:rFonts w:ascii="Garamond" w:hAnsi="Garamond" w:cs="Garamond"/>
          <w:color w:val="000000"/>
          <w:sz w:val="24"/>
          <w:szCs w:val="24"/>
          <w:lang w:val="sq-AL"/>
        </w:rPr>
        <w:t>dhe përdorimi i qëndrueshëm i zonave që kërkojnë mbrojtje, duke përfshirë krijimin e një sistemi gjithëpërfshirës të mjeteve të menaxhimit të bazuara në zona, me rrjete përfaqësimi ekologjik dhe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harmonizuara mirë të zonave të mbrojtura detare;</w:t>
      </w:r>
    </w:p>
    <w:p w14:paraId="42F146A8" w14:textId="31EB48A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w:t>
      </w:r>
      <w:r w:rsidR="007A5D58" w:rsidRPr="00126A15">
        <w:rPr>
          <w:rFonts w:ascii="Garamond" w:hAnsi="Garamond" w:cs="Garamond"/>
          <w:color w:val="000000"/>
          <w:sz w:val="24"/>
          <w:szCs w:val="24"/>
          <w:lang w:val="sq-AL"/>
        </w:rPr>
        <w:t xml:space="preserve"> </w:t>
      </w:r>
      <w:r w:rsidR="00F22C6B" w:rsidRPr="00126A15">
        <w:rPr>
          <w:rFonts w:ascii="Garamond" w:hAnsi="Garamond" w:cs="Garamond"/>
          <w:color w:val="000000"/>
          <w:sz w:val="24"/>
          <w:szCs w:val="24"/>
          <w:lang w:val="sq-AL"/>
        </w:rPr>
        <w:t xml:space="preserve">forcimi </w:t>
      </w:r>
      <w:r w:rsidRPr="00126A15">
        <w:rPr>
          <w:rFonts w:ascii="Garamond" w:hAnsi="Garamond" w:cs="Garamond"/>
          <w:color w:val="000000"/>
          <w:sz w:val="24"/>
          <w:szCs w:val="24"/>
          <w:lang w:val="sq-AL"/>
        </w:rPr>
        <w:t>i bashkëpunimit dhe koordinimi në përdorimin e mjeteve të menaxhimit sipas zonave, duke përfshirë zonat e mbrojtura detare, ndërmjet shteteve, instrumentet dhe kornizat përkatëse ligjore dhe organet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w:t>
      </w:r>
    </w:p>
    <w:p w14:paraId="3D308462" w14:textId="2C5EC94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w:t>
      </w:r>
      <w:r w:rsidR="007A5D58" w:rsidRPr="00126A15">
        <w:rPr>
          <w:rFonts w:ascii="Garamond" w:hAnsi="Garamond" w:cs="Garamond"/>
          <w:color w:val="000000"/>
          <w:sz w:val="24"/>
          <w:szCs w:val="24"/>
          <w:lang w:val="sq-AL"/>
        </w:rPr>
        <w:t xml:space="preserve"> </w:t>
      </w:r>
      <w:r w:rsidR="00F22C6B" w:rsidRPr="00126A15">
        <w:rPr>
          <w:rFonts w:ascii="Garamond" w:hAnsi="Garamond" w:cs="Garamond"/>
          <w:color w:val="000000"/>
          <w:sz w:val="24"/>
          <w:szCs w:val="24"/>
          <w:lang w:val="sq-AL"/>
        </w:rPr>
        <w:t>mbrojtja</w:t>
      </w:r>
      <w:r w:rsidRPr="00126A15">
        <w:rPr>
          <w:rFonts w:ascii="Garamond" w:hAnsi="Garamond" w:cs="Garamond"/>
          <w:color w:val="000000"/>
          <w:sz w:val="24"/>
          <w:szCs w:val="24"/>
          <w:lang w:val="sq-AL"/>
        </w:rPr>
        <w:t>, ruajtja, restaurimi dhe ruajtja e diversitetit biologjik dhe ekosistemeve, me synimin për të rritur produktivitetin dhe shëndetin e tyre, dhe për të forcuar qëndrueshmërinë ndaj faktorëve stresues, duke përfshirë ato që lidhen me ndryshimet klimatike, acidifikimin e oqeanit dhe ndotjen detare</w:t>
      </w:r>
      <w:r w:rsidR="00F22C6B" w:rsidRPr="00126A15">
        <w:rPr>
          <w:rFonts w:ascii="Garamond" w:hAnsi="Garamond" w:cs="Garamond"/>
          <w:color w:val="000000"/>
          <w:sz w:val="24"/>
          <w:szCs w:val="24"/>
          <w:lang w:val="sq-AL"/>
        </w:rPr>
        <w:t>;</w:t>
      </w:r>
    </w:p>
    <w:p w14:paraId="095365EB" w14:textId="3FBC663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F22C6B" w:rsidRPr="00126A15">
        <w:rPr>
          <w:rFonts w:ascii="Garamond" w:hAnsi="Garamond" w:cs="Garamond"/>
          <w:color w:val="000000"/>
          <w:sz w:val="24"/>
          <w:szCs w:val="24"/>
          <w:lang w:val="sq-AL"/>
        </w:rPr>
        <w:t xml:space="preserve">mbështetja </w:t>
      </w:r>
      <w:r w:rsidRPr="00126A15">
        <w:rPr>
          <w:rFonts w:ascii="Garamond" w:hAnsi="Garamond" w:cs="Garamond"/>
          <w:color w:val="000000"/>
          <w:sz w:val="24"/>
          <w:szCs w:val="24"/>
          <w:lang w:val="sq-AL"/>
        </w:rPr>
        <w:t>e sigurisë ushqimore dhe objektivave të tjer</w:t>
      </w:r>
      <w:r w:rsidR="001F7CDB" w:rsidRPr="00126A15">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social</w:t>
      </w:r>
      <w:r w:rsidR="001F7CDB" w:rsidRPr="00126A15">
        <w:rPr>
          <w:rFonts w:ascii="Garamond" w:hAnsi="Garamond" w:cs="Garamond"/>
          <w:color w:val="000000"/>
          <w:sz w:val="24"/>
          <w:szCs w:val="24"/>
          <w:lang w:val="sq-AL"/>
        </w:rPr>
        <w:t xml:space="preserve">ë </w:t>
      </w:r>
      <w:r w:rsidRPr="00126A15">
        <w:rPr>
          <w:rFonts w:ascii="Garamond" w:hAnsi="Garamond" w:cs="Garamond"/>
          <w:color w:val="000000"/>
          <w:sz w:val="24"/>
          <w:szCs w:val="24"/>
          <w:lang w:val="sq-AL"/>
        </w:rPr>
        <w:t>dhe</w:t>
      </w:r>
      <w:r w:rsidR="001F7CDB"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ekonomik</w:t>
      </w:r>
      <w:r w:rsidR="001F7CDB" w:rsidRPr="00126A15">
        <w:rPr>
          <w:rFonts w:ascii="Garamond" w:hAnsi="Garamond" w:cs="Garamond"/>
          <w:color w:val="000000"/>
          <w:sz w:val="24"/>
          <w:szCs w:val="24"/>
          <w:lang w:val="sq-AL"/>
        </w:rPr>
        <w:t>ë</w:t>
      </w:r>
      <w:r w:rsidRPr="00126A15">
        <w:rPr>
          <w:rFonts w:ascii="Garamond" w:hAnsi="Garamond" w:cs="Garamond"/>
          <w:color w:val="000000"/>
          <w:sz w:val="24"/>
          <w:szCs w:val="24"/>
          <w:lang w:val="sq-AL"/>
        </w:rPr>
        <w:t>, duke përfshirë mbrojtjen e vlerave kulturore</w:t>
      </w:r>
      <w:r w:rsidR="00F22C6B" w:rsidRPr="00126A15">
        <w:rPr>
          <w:rFonts w:ascii="Garamond" w:hAnsi="Garamond" w:cs="Garamond"/>
          <w:color w:val="000000"/>
          <w:sz w:val="24"/>
          <w:szCs w:val="24"/>
          <w:lang w:val="sq-AL"/>
        </w:rPr>
        <w:t>;</w:t>
      </w:r>
    </w:p>
    <w:p w14:paraId="5F799254" w14:textId="131D736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F22C6B" w:rsidRPr="00126A15">
        <w:rPr>
          <w:rFonts w:ascii="Garamond" w:hAnsi="Garamond" w:cs="Garamond"/>
          <w:color w:val="000000"/>
          <w:sz w:val="24"/>
          <w:szCs w:val="24"/>
          <w:lang w:val="sq-AL"/>
        </w:rPr>
        <w:t xml:space="preserve">mbështetja </w:t>
      </w:r>
      <w:r w:rsidRPr="00126A15">
        <w:rPr>
          <w:rFonts w:ascii="Garamond" w:hAnsi="Garamond" w:cs="Garamond"/>
          <w:color w:val="000000"/>
          <w:sz w:val="24"/>
          <w:szCs w:val="24"/>
          <w:lang w:val="sq-AL"/>
        </w:rPr>
        <w:t>e Shteteve Palë në zhvillim, veçanërisht vendet më pak të zhvilluara, vendet në zhvillim pa dalje në det, shtetet gjeografikisht të pafavorizuara, shtetet e v</w:t>
      </w:r>
      <w:r w:rsidR="00071067" w:rsidRPr="00126A15">
        <w:rPr>
          <w:rFonts w:ascii="Garamond" w:hAnsi="Garamond" w:cs="Garamond"/>
          <w:color w:val="000000"/>
          <w:sz w:val="24"/>
          <w:szCs w:val="24"/>
          <w:lang w:val="sq-AL"/>
        </w:rPr>
        <w:t>ogla</w:t>
      </w:r>
      <w:r w:rsidRPr="00126A15">
        <w:rPr>
          <w:rFonts w:ascii="Garamond" w:hAnsi="Garamond" w:cs="Garamond"/>
          <w:color w:val="000000"/>
          <w:sz w:val="24"/>
          <w:szCs w:val="24"/>
          <w:lang w:val="sq-AL"/>
        </w:rPr>
        <w:t xml:space="preserve"> ishullor</w:t>
      </w:r>
      <w:r w:rsidR="00071067" w:rsidRPr="00126A15">
        <w:rPr>
          <w:rFonts w:ascii="Garamond" w:hAnsi="Garamond" w:cs="Garamond"/>
          <w:color w:val="000000"/>
          <w:sz w:val="24"/>
          <w:szCs w:val="24"/>
          <w:lang w:val="sq-AL"/>
        </w:rPr>
        <w:t>e</w:t>
      </w:r>
      <w:r w:rsidRPr="00126A15">
        <w:rPr>
          <w:rFonts w:ascii="Garamond" w:hAnsi="Garamond" w:cs="Garamond"/>
          <w:color w:val="000000"/>
          <w:sz w:val="24"/>
          <w:szCs w:val="24"/>
          <w:lang w:val="sq-AL"/>
        </w:rPr>
        <w:t xml:space="preserve"> në zhvillim, shtetet bregdetare afrikane, shtetet e arkipelagut dhe vendet në zhvillim me të ardhura mesatare, duke marrë parasysh rrethanat e veçanta të shteteve të v</w:t>
      </w:r>
      <w:r w:rsidR="00197188">
        <w:rPr>
          <w:rFonts w:ascii="Garamond" w:hAnsi="Garamond" w:cs="Garamond"/>
          <w:color w:val="000000"/>
          <w:sz w:val="24"/>
          <w:szCs w:val="24"/>
          <w:lang w:val="sq-AL"/>
        </w:rPr>
        <w:t>ogla</w:t>
      </w:r>
      <w:r w:rsidRPr="00126A15">
        <w:rPr>
          <w:rFonts w:ascii="Garamond" w:hAnsi="Garamond" w:cs="Garamond"/>
          <w:color w:val="000000"/>
          <w:sz w:val="24"/>
          <w:szCs w:val="24"/>
          <w:lang w:val="sq-AL"/>
        </w:rPr>
        <w:t xml:space="preserve"> ishullor</w:t>
      </w:r>
      <w:r w:rsidR="00197188">
        <w:rPr>
          <w:rFonts w:ascii="Garamond" w:hAnsi="Garamond" w:cs="Garamond"/>
          <w:color w:val="000000"/>
          <w:sz w:val="24"/>
          <w:szCs w:val="24"/>
          <w:lang w:val="sq-AL"/>
        </w:rPr>
        <w:t>e</w:t>
      </w:r>
      <w:r w:rsidRPr="00126A15">
        <w:rPr>
          <w:rFonts w:ascii="Garamond" w:hAnsi="Garamond" w:cs="Garamond"/>
          <w:color w:val="000000"/>
          <w:sz w:val="24"/>
          <w:szCs w:val="24"/>
          <w:lang w:val="sq-AL"/>
        </w:rPr>
        <w:t xml:space="preserve"> në zhvillim, nëpërmjet ngritjes së </w:t>
      </w:r>
      <w:r w:rsidRPr="00126A15">
        <w:rPr>
          <w:rFonts w:ascii="Garamond" w:hAnsi="Garamond" w:cs="Garamond"/>
          <w:color w:val="000000"/>
          <w:sz w:val="24"/>
          <w:szCs w:val="24"/>
          <w:lang w:val="sq-AL"/>
        </w:rPr>
        <w:lastRenderedPageBreak/>
        <w:t>kapaciteteve, zhvillimit dhe transferimit të teknologjisë detare në zhvillimin,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implementimin, monitorimin, menaxhimin dhe zbatimin e mjeteve të menaxhimit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sipas zonave, duke përfshirë zonat e mbrojtura detare.</w:t>
      </w:r>
    </w:p>
    <w:p w14:paraId="55EF95ED"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63579723"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18</w:t>
      </w:r>
    </w:p>
    <w:p w14:paraId="324E051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Fusha e aplikimit</w:t>
      </w:r>
    </w:p>
    <w:p w14:paraId="762601F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B2767C8" w14:textId="009702C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Krijimi i mjeteve të menaxhimit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sipas zonave, duke përfshirë zonat e mbrojtura detare, nuk do të përfshijë asnjë zonë brenda juridiksionit kombëtar dhe nuk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përdoret si bazë për të pohuar ose mohuar çdo pretendim</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hegjemonial,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drejta absolute apo juridiksionale,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përfshirë ndonjë mosmarrëveshje. Konferenca e Palëve nuk do të shqyrtojë për vendim propozime për krijimin e mjeteve të tilla menaxhimi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sipas zonave, duke përfshirë zonat e mbrojtura detare, dhe në asnjë rast propozime të tilla nuk do të interpretohen si njohje ose mosnjohje e ndonjë pretendimi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hegjemonial, të drejtave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absolute apo juridiksionale.</w:t>
      </w:r>
    </w:p>
    <w:p w14:paraId="21C53CE6"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 </w:t>
      </w:r>
    </w:p>
    <w:p w14:paraId="26BE03D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19</w:t>
      </w:r>
    </w:p>
    <w:p w14:paraId="62A6497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Propozimet</w:t>
      </w:r>
    </w:p>
    <w:p w14:paraId="205D257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072E16E" w14:textId="402E873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1. Propozimet në lidhje me krijimin e mjeteve të menaxhimit sipas zonave, duke përfshirë zonat e mbrojtura detare, sipas kësaj </w:t>
      </w:r>
      <w:r w:rsidR="00D34B9D"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do t’i dorëzohen sekretariatit nga Palët, individualisht ose kolektivisht.</w:t>
      </w:r>
    </w:p>
    <w:p w14:paraId="423F1054" w14:textId="7FC34F8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Palët do të bashkëpunojnë dhe konsultohen, sipas rastit, me palët përkatëse të interesuara, duke përfshirë shtetet dhe organet globale, rajonale, lokale dhe krahinore, si dhe shoqërinë civile, organizmin shkencor, sektorin privat,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 xml:space="preserve">it dhe komunitetet lokale, për zhvillimin e propozimeve, siç përcaktohet në këtë </w:t>
      </w:r>
      <w:r w:rsidR="00F91261" w:rsidRPr="00126A15">
        <w:rPr>
          <w:rFonts w:ascii="Garamond" w:hAnsi="Garamond" w:cs="Garamond"/>
          <w:color w:val="000000"/>
          <w:sz w:val="24"/>
          <w:szCs w:val="24"/>
          <w:lang w:val="sq-AL"/>
        </w:rPr>
        <w:t>pjesë</w:t>
      </w:r>
      <w:r w:rsidRPr="00126A15">
        <w:rPr>
          <w:rFonts w:ascii="Garamond" w:hAnsi="Garamond" w:cs="Garamond"/>
          <w:color w:val="000000"/>
          <w:sz w:val="24"/>
          <w:szCs w:val="24"/>
          <w:lang w:val="sq-AL"/>
        </w:rPr>
        <w:t>.</w:t>
      </w:r>
    </w:p>
    <w:p w14:paraId="0862386A" w14:textId="243193F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Propozimet do të formulohen mbi bazën e informacionit më të mire shkencor dhe, aty ku është e disponueshme, njohuritë përkatëse tradicionale të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 duke marrë parasysh politikat parandaluese dhe ata të ekosistemit.</w:t>
      </w:r>
    </w:p>
    <w:p w14:paraId="3B1B0271" w14:textId="39CB5CF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Propozimet në lidhje me zonat e identifikuara do të përfshijnë element</w:t>
      </w:r>
      <w:r w:rsidR="003C2D13" w:rsidRPr="00126A15">
        <w:rPr>
          <w:rFonts w:ascii="Garamond" w:hAnsi="Garamond" w:cs="Garamond"/>
          <w:color w:val="000000"/>
          <w:sz w:val="24"/>
          <w:szCs w:val="24"/>
          <w:lang w:val="sq-AL"/>
        </w:rPr>
        <w:t>e</w:t>
      </w:r>
      <w:r w:rsidRPr="00126A15">
        <w:rPr>
          <w:rFonts w:ascii="Garamond" w:hAnsi="Garamond" w:cs="Garamond"/>
          <w:color w:val="000000"/>
          <w:sz w:val="24"/>
          <w:szCs w:val="24"/>
          <w:lang w:val="sq-AL"/>
        </w:rPr>
        <w:t>t kryesor</w:t>
      </w:r>
      <w:r w:rsidR="003C2D13" w:rsidRPr="00126A15">
        <w:rPr>
          <w:rFonts w:ascii="Garamond" w:hAnsi="Garamond" w:cs="Garamond"/>
          <w:color w:val="000000"/>
          <w:sz w:val="24"/>
          <w:szCs w:val="24"/>
          <w:lang w:val="sq-AL"/>
        </w:rPr>
        <w:t xml:space="preserve">e </w:t>
      </w:r>
      <w:r w:rsidRPr="00126A15">
        <w:rPr>
          <w:rFonts w:ascii="Garamond" w:hAnsi="Garamond" w:cs="Garamond"/>
          <w:color w:val="000000"/>
          <w:sz w:val="24"/>
          <w:szCs w:val="24"/>
          <w:lang w:val="sq-AL"/>
        </w:rPr>
        <w:t>të mëposht</w:t>
      </w:r>
      <w:r w:rsidR="003C2D13" w:rsidRPr="00126A15">
        <w:rPr>
          <w:rFonts w:ascii="Garamond" w:hAnsi="Garamond" w:cs="Garamond"/>
          <w:color w:val="000000"/>
          <w:sz w:val="24"/>
          <w:szCs w:val="24"/>
          <w:lang w:val="sq-AL"/>
        </w:rPr>
        <w:t>me</w:t>
      </w:r>
      <w:r w:rsidRPr="00126A15">
        <w:rPr>
          <w:rFonts w:ascii="Garamond" w:hAnsi="Garamond" w:cs="Garamond"/>
          <w:color w:val="000000"/>
          <w:sz w:val="24"/>
          <w:szCs w:val="24"/>
          <w:lang w:val="sq-AL"/>
        </w:rPr>
        <w:t>:</w:t>
      </w:r>
    </w:p>
    <w:p w14:paraId="16396AEA" w14:textId="618040A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F91261"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përshkrim gjeografik ose hapësinor i zonës që është objekt i propozimit</w:t>
      </w:r>
      <w:r w:rsidR="003C2D13"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duke iu referuar kritereve treguese të specifikuara në </w:t>
      </w:r>
      <w:r w:rsidR="003C2D13" w:rsidRPr="00126A15">
        <w:rPr>
          <w:rFonts w:ascii="Garamond" w:hAnsi="Garamond" w:cs="Garamond"/>
          <w:color w:val="000000"/>
          <w:sz w:val="24"/>
          <w:szCs w:val="24"/>
          <w:lang w:val="sq-AL"/>
        </w:rPr>
        <w:t xml:space="preserve">shtojcën </w:t>
      </w:r>
      <w:r w:rsidRPr="00126A15">
        <w:rPr>
          <w:rFonts w:ascii="Garamond" w:hAnsi="Garamond" w:cs="Garamond"/>
          <w:color w:val="000000"/>
          <w:sz w:val="24"/>
          <w:szCs w:val="24"/>
          <w:lang w:val="sq-AL"/>
        </w:rPr>
        <w:t>I</w:t>
      </w:r>
      <w:r w:rsidR="003C2D13" w:rsidRPr="00126A15">
        <w:rPr>
          <w:rFonts w:ascii="Garamond" w:hAnsi="Garamond" w:cs="Garamond"/>
          <w:color w:val="000000"/>
          <w:sz w:val="24"/>
          <w:szCs w:val="24"/>
          <w:lang w:val="sq-AL"/>
        </w:rPr>
        <w:t>;</w:t>
      </w:r>
    </w:p>
    <w:p w14:paraId="33C75FE3" w14:textId="7F851F7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F91261" w:rsidRPr="00126A15">
        <w:rPr>
          <w:rFonts w:ascii="Garamond" w:hAnsi="Garamond" w:cs="Garamond"/>
          <w:color w:val="000000"/>
          <w:sz w:val="24"/>
          <w:szCs w:val="24"/>
          <w:lang w:val="sq-AL"/>
        </w:rPr>
        <w:t xml:space="preserve">informacion </w:t>
      </w:r>
      <w:r w:rsidRPr="00126A15">
        <w:rPr>
          <w:rFonts w:ascii="Garamond" w:hAnsi="Garamond" w:cs="Garamond"/>
          <w:color w:val="000000"/>
          <w:sz w:val="24"/>
          <w:szCs w:val="24"/>
          <w:lang w:val="sq-AL"/>
        </w:rPr>
        <w:t xml:space="preserve">mbi cilindo nga kriteret e specifikuara në </w:t>
      </w:r>
      <w:r w:rsidR="003C2D13" w:rsidRPr="00126A15">
        <w:rPr>
          <w:rFonts w:ascii="Garamond" w:hAnsi="Garamond" w:cs="Garamond"/>
          <w:color w:val="000000"/>
          <w:sz w:val="24"/>
          <w:szCs w:val="24"/>
          <w:lang w:val="sq-AL"/>
        </w:rPr>
        <w:t xml:space="preserve">shtojcën </w:t>
      </w:r>
      <w:r w:rsidRPr="00126A15">
        <w:rPr>
          <w:rFonts w:ascii="Garamond" w:hAnsi="Garamond" w:cs="Garamond"/>
          <w:color w:val="000000"/>
          <w:sz w:val="24"/>
          <w:szCs w:val="24"/>
          <w:lang w:val="sq-AL"/>
        </w:rPr>
        <w:t>I, si dhe çdo kriter që mund të vendoset dhe analizohet më tej</w:t>
      </w:r>
      <w:r w:rsidR="003C2D13"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në përputhje me paragrafin 5 më poshtë, që përdoret për identifikimin e zonës;</w:t>
      </w:r>
    </w:p>
    <w:p w14:paraId="02B648E2" w14:textId="3FBCF98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F91261" w:rsidRPr="00126A15">
        <w:rPr>
          <w:rFonts w:ascii="Garamond" w:hAnsi="Garamond" w:cs="Garamond"/>
          <w:color w:val="000000"/>
          <w:sz w:val="24"/>
          <w:szCs w:val="24"/>
          <w:lang w:val="sq-AL"/>
        </w:rPr>
        <w:t xml:space="preserve">aktivitetet </w:t>
      </w:r>
      <w:r w:rsidRPr="00126A15">
        <w:rPr>
          <w:rFonts w:ascii="Garamond" w:hAnsi="Garamond" w:cs="Garamond"/>
          <w:color w:val="000000"/>
          <w:sz w:val="24"/>
          <w:szCs w:val="24"/>
          <w:lang w:val="sq-AL"/>
        </w:rPr>
        <w:t xml:space="preserve">njerëzore në zonë, duke përfshirë përdorimet nga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it dhe komunitetet lokale, dhe ndikimi i tyre i mundshëm, nëse ka</w:t>
      </w:r>
      <w:r w:rsidR="003C2D13" w:rsidRPr="00126A15">
        <w:rPr>
          <w:rFonts w:ascii="Garamond" w:hAnsi="Garamond" w:cs="Garamond"/>
          <w:color w:val="000000"/>
          <w:sz w:val="24"/>
          <w:szCs w:val="24"/>
          <w:lang w:val="sq-AL"/>
        </w:rPr>
        <w:t>;</w:t>
      </w:r>
    </w:p>
    <w:p w14:paraId="2616A92B" w14:textId="576E124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F91261"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përshkrim i gjendjes së mjedisit detar dhe diversitetit biologjik në zonën e identifikuar;</w:t>
      </w:r>
    </w:p>
    <w:p w14:paraId="4E64B0C3" w14:textId="1D28329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F91261"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përshkrim i objektivave të ruajtjes dhe, sipas rastit, të përdorimit të qëndrueshëm që do të zbatohen në zonë;</w:t>
      </w:r>
    </w:p>
    <w:p w14:paraId="07DE0707" w14:textId="6B5E030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f) </w:t>
      </w:r>
      <w:r w:rsidR="00F91261"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draftplan menaxhimi që përfshin masat e propozuara dhe përshkruan aktivitetet e propozuara të monitorimit, kërkimit dhe rishikimit për të arritur objektivat e specifikuar;</w:t>
      </w:r>
    </w:p>
    <w:p w14:paraId="6BC05761" w14:textId="45D7D49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g) </w:t>
      </w:r>
      <w:r w:rsidR="00F91261" w:rsidRPr="00126A15">
        <w:rPr>
          <w:rFonts w:ascii="Garamond" w:hAnsi="Garamond" w:cs="Garamond"/>
          <w:color w:val="000000"/>
          <w:sz w:val="24"/>
          <w:szCs w:val="24"/>
          <w:lang w:val="sq-AL"/>
        </w:rPr>
        <w:t xml:space="preserve">kohëzgjatja </w:t>
      </w:r>
      <w:r w:rsidRPr="00126A15">
        <w:rPr>
          <w:rFonts w:ascii="Garamond" w:hAnsi="Garamond" w:cs="Garamond"/>
          <w:color w:val="000000"/>
          <w:sz w:val="24"/>
          <w:szCs w:val="24"/>
          <w:lang w:val="sq-AL"/>
        </w:rPr>
        <w:t>për zonën e propozuar dhe masat, nëse ka</w:t>
      </w:r>
      <w:r w:rsidR="003C2D13" w:rsidRPr="00126A15">
        <w:rPr>
          <w:rFonts w:ascii="Garamond" w:hAnsi="Garamond" w:cs="Garamond"/>
          <w:color w:val="000000"/>
          <w:sz w:val="24"/>
          <w:szCs w:val="24"/>
          <w:lang w:val="sq-AL"/>
        </w:rPr>
        <w:t>;</w:t>
      </w:r>
    </w:p>
    <w:p w14:paraId="4CE51B26" w14:textId="51504FD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h) </w:t>
      </w:r>
      <w:r w:rsidR="00F91261" w:rsidRPr="00126A15">
        <w:rPr>
          <w:rFonts w:ascii="Garamond" w:hAnsi="Garamond" w:cs="Garamond"/>
          <w:color w:val="000000"/>
          <w:sz w:val="24"/>
          <w:szCs w:val="24"/>
          <w:lang w:val="sq-AL"/>
        </w:rPr>
        <w:t xml:space="preserve">informacion </w:t>
      </w:r>
      <w:r w:rsidRPr="00126A15">
        <w:rPr>
          <w:rFonts w:ascii="Garamond" w:hAnsi="Garamond" w:cs="Garamond"/>
          <w:color w:val="000000"/>
          <w:sz w:val="24"/>
          <w:szCs w:val="24"/>
          <w:lang w:val="sq-AL"/>
        </w:rPr>
        <w:t>mbi çdo konsultim të zhvilluar me shtetet, duke përfshirë shtetet fqinje bregdetare dhe/ose organet përkatëse globale, rajonale, lokale dhe krahinore, nëse ka</w:t>
      </w:r>
      <w:r w:rsidR="003C2D13" w:rsidRPr="00126A15">
        <w:rPr>
          <w:rFonts w:ascii="Garamond" w:hAnsi="Garamond" w:cs="Garamond"/>
          <w:color w:val="000000"/>
          <w:sz w:val="24"/>
          <w:szCs w:val="24"/>
          <w:lang w:val="sq-AL"/>
        </w:rPr>
        <w:t>;</w:t>
      </w:r>
    </w:p>
    <w:p w14:paraId="0C4F64D6" w14:textId="1F158DC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i) </w:t>
      </w:r>
      <w:r w:rsidR="00F91261" w:rsidRPr="00126A15">
        <w:rPr>
          <w:rFonts w:ascii="Garamond" w:hAnsi="Garamond" w:cs="Garamond"/>
          <w:color w:val="000000"/>
          <w:sz w:val="24"/>
          <w:szCs w:val="24"/>
          <w:lang w:val="sq-AL"/>
        </w:rPr>
        <w:t xml:space="preserve">informacion </w:t>
      </w:r>
      <w:r w:rsidRPr="00126A15">
        <w:rPr>
          <w:rFonts w:ascii="Garamond" w:hAnsi="Garamond" w:cs="Garamond"/>
          <w:color w:val="000000"/>
          <w:sz w:val="24"/>
          <w:szCs w:val="24"/>
          <w:lang w:val="sq-AL"/>
        </w:rPr>
        <w:t>mbi mjetet e menaxhimit sipas zonave, duke përfshirë zonat e mbrojtura detare, të zbatuara sipas instrumenteve dhe kornizave ligjore përkatëse dhe organeve përkatëse globale, rajonale, lokale dhe krahinore</w:t>
      </w:r>
      <w:r w:rsidR="003C2D13" w:rsidRPr="00126A15">
        <w:rPr>
          <w:rFonts w:ascii="Garamond" w:hAnsi="Garamond" w:cs="Garamond"/>
          <w:color w:val="000000"/>
          <w:sz w:val="24"/>
          <w:szCs w:val="24"/>
          <w:lang w:val="sq-AL"/>
        </w:rPr>
        <w:t>;</w:t>
      </w:r>
    </w:p>
    <w:p w14:paraId="5CDC2C06" w14:textId="11D41D3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 xml:space="preserve">j) </w:t>
      </w:r>
      <w:r w:rsidR="00F91261" w:rsidRPr="00126A15">
        <w:rPr>
          <w:rFonts w:ascii="Garamond" w:hAnsi="Garamond" w:cs="Garamond"/>
          <w:color w:val="000000"/>
          <w:sz w:val="24"/>
          <w:szCs w:val="24"/>
          <w:lang w:val="sq-AL"/>
        </w:rPr>
        <w:t xml:space="preserve">inputet </w:t>
      </w:r>
      <w:r w:rsidRPr="00126A15">
        <w:rPr>
          <w:rFonts w:ascii="Garamond" w:hAnsi="Garamond" w:cs="Garamond"/>
          <w:color w:val="000000"/>
          <w:sz w:val="24"/>
          <w:szCs w:val="24"/>
          <w:lang w:val="sq-AL"/>
        </w:rPr>
        <w:t>përkatëse shkencore dhe, aty ku ka, njohuri tradicionale të popujve autoktonë dhe komuniteteve lokale.</w:t>
      </w:r>
    </w:p>
    <w:p w14:paraId="0591CA8F" w14:textId="00F47D2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5. Kriteret treguese për identifikimin e zonave të tilla do të përfshijnë, sipas rastit, ato të specifikuara në </w:t>
      </w:r>
      <w:r w:rsidR="003C2D13" w:rsidRPr="00126A15">
        <w:rPr>
          <w:rFonts w:ascii="Garamond" w:hAnsi="Garamond" w:cs="Garamond"/>
          <w:color w:val="000000"/>
          <w:sz w:val="24"/>
          <w:szCs w:val="24"/>
          <w:lang w:val="sq-AL"/>
        </w:rPr>
        <w:t xml:space="preserve">aneksin </w:t>
      </w:r>
      <w:r w:rsidRPr="00126A15">
        <w:rPr>
          <w:rFonts w:ascii="Garamond" w:hAnsi="Garamond" w:cs="Garamond"/>
          <w:color w:val="000000"/>
          <w:sz w:val="24"/>
          <w:szCs w:val="24"/>
          <w:lang w:val="sq-AL"/>
        </w:rPr>
        <w:t xml:space="preserve">I dhe mund të vendosen dhe analizohen më tej sipas nevojës nga </w:t>
      </w:r>
      <w:r w:rsidR="006E66D6" w:rsidRPr="00126A15">
        <w:rPr>
          <w:rFonts w:ascii="Garamond" w:hAnsi="Garamond" w:cs="Garamond"/>
          <w:color w:val="000000"/>
          <w:sz w:val="24"/>
          <w:szCs w:val="24"/>
          <w:lang w:val="sq-AL"/>
        </w:rPr>
        <w:t xml:space="preserve">Organi Shkencor dhe Teknik </w:t>
      </w:r>
      <w:r w:rsidRPr="00126A15">
        <w:rPr>
          <w:rFonts w:ascii="Garamond" w:hAnsi="Garamond" w:cs="Garamond"/>
          <w:color w:val="000000"/>
          <w:sz w:val="24"/>
          <w:szCs w:val="24"/>
          <w:lang w:val="sq-AL"/>
        </w:rPr>
        <w:t>për shqyrtim dhe miratim nga Konferenca e Palëve.</w:t>
      </w:r>
    </w:p>
    <w:p w14:paraId="45148466" w14:textId="7154AAE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Kërkesa të mëtejshme në lidhje me përmbajtjen e propozimeve, duke përfshirë modalitetet për zbatimin e kritereve treguese</w:t>
      </w:r>
      <w:r w:rsidR="006E66D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siç specifikohet në paragrafin 5 më sipër, dhe udhëzimet për propozimet e specifikuara në paragrafin 4 (b) më sipër, do të përpunohen nga Organi Shkencor dhe Teknik, sipas nevojës, për shqyrtimin dhe miratimin nga Konferenca e Palëve. </w:t>
      </w:r>
    </w:p>
    <w:p w14:paraId="3F281C9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00DD970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20</w:t>
      </w:r>
    </w:p>
    <w:p w14:paraId="4FF8075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Publikimi dhe shqyrtimi paraprak i propozimeve</w:t>
      </w:r>
    </w:p>
    <w:p w14:paraId="793F657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0251E2A" w14:textId="7FB80EE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Pas marrjes së një propozimi me shkrim, sekretariati e bën propozimin publikisht dhe ia transmeton Organit Shkencor dhe Teknik për një shqyrtim paraprak. Qëllimi i rishikimit është të konstatojë nëse propozimi përmban informacionin e kërkuar sipas nenit 19, duke përfshirë kriteret treguese të përshkruara në këtë </w:t>
      </w:r>
      <w:r w:rsidR="006E66D6" w:rsidRPr="00126A15">
        <w:rPr>
          <w:rFonts w:ascii="Garamond" w:hAnsi="Garamond" w:cs="Garamond"/>
          <w:color w:val="000000"/>
          <w:sz w:val="24"/>
          <w:szCs w:val="24"/>
          <w:lang w:val="sq-AL"/>
        </w:rPr>
        <w:t xml:space="preserve">pjesë </w:t>
      </w:r>
      <w:r w:rsidRPr="00126A15">
        <w:rPr>
          <w:rFonts w:ascii="Garamond" w:hAnsi="Garamond" w:cs="Garamond"/>
          <w:color w:val="000000"/>
          <w:sz w:val="24"/>
          <w:szCs w:val="24"/>
          <w:lang w:val="sq-AL"/>
        </w:rPr>
        <w:t xml:space="preserve">dhe në shtojcën I. Rezultati i atij rishikimi do të vihet në dispozicion të publikut dhe do t’i përcillet propozuesit nga sekretariati. Propozuesi do të ritransmetojë propozimin në sekretariat, duke marrë parasysh shqyrtimin paraprak nga </w:t>
      </w:r>
      <w:r w:rsidR="006978EC" w:rsidRPr="00126A15">
        <w:rPr>
          <w:rFonts w:ascii="Garamond" w:hAnsi="Garamond" w:cs="Garamond"/>
          <w:color w:val="000000"/>
          <w:sz w:val="24"/>
          <w:szCs w:val="24"/>
          <w:lang w:val="sq-AL"/>
        </w:rPr>
        <w:t xml:space="preserve">Organi Shkencor </w:t>
      </w:r>
      <w:r w:rsidRPr="00126A15">
        <w:rPr>
          <w:rFonts w:ascii="Garamond" w:hAnsi="Garamond" w:cs="Garamond"/>
          <w:color w:val="000000"/>
          <w:sz w:val="24"/>
          <w:szCs w:val="24"/>
          <w:lang w:val="sq-AL"/>
        </w:rPr>
        <w:t xml:space="preserve">dhe </w:t>
      </w:r>
      <w:r w:rsidR="006978EC" w:rsidRPr="00126A15">
        <w:rPr>
          <w:rFonts w:ascii="Garamond" w:hAnsi="Garamond" w:cs="Garamond"/>
          <w:color w:val="000000"/>
          <w:sz w:val="24"/>
          <w:szCs w:val="24"/>
          <w:lang w:val="sq-AL"/>
        </w:rPr>
        <w:t>Teknik</w:t>
      </w:r>
      <w:r w:rsidRPr="00126A15">
        <w:rPr>
          <w:rFonts w:ascii="Garamond" w:hAnsi="Garamond" w:cs="Garamond"/>
          <w:color w:val="000000"/>
          <w:sz w:val="24"/>
          <w:szCs w:val="24"/>
          <w:lang w:val="sq-AL"/>
        </w:rPr>
        <w:t>. Sekretariati do të njoftojë Palët dhe do ta bëjë të disponueshëm publikisht atë propozim të ritransmetuar dhe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mundësojë konsultimet në përputhje me nenin 21.</w:t>
      </w:r>
    </w:p>
    <w:p w14:paraId="7B02FC1C"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3C8EA99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21</w:t>
      </w:r>
    </w:p>
    <w:p w14:paraId="480DFE8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Konsultimet dhe vlerësimi i propozimeve</w:t>
      </w:r>
    </w:p>
    <w:p w14:paraId="5BEA1246"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3DCBFF17" w14:textId="628B9E2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Konsultimet për propozimet e paraqitura sipas nenit 19 do të jenë gjithëpërfshirëse, transparente dhe të hapura për të gjithë aktorët përkatës, duke përfshirë shtetet dhe organet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 si dhe shoqërinë civile,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organizmin shkencor,</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it dhe komunitetet lokale.</w:t>
      </w:r>
    </w:p>
    <w:p w14:paraId="5605F244" w14:textId="62B253A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Sekretariati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mundësojë konsultimet dhe do të mbledhë të dhëna si më poshtë:</w:t>
      </w:r>
    </w:p>
    <w:p w14:paraId="3D2BFD89" w14:textId="4072014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Shtetet, në veçanti shtetet bregdetare fqinje, do të njoftohen dhe ftohen të paraqesin, ndër të tjera:</w:t>
      </w:r>
    </w:p>
    <w:p w14:paraId="5BAA3AA6" w14:textId="7EFC3E6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A20110"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pikëpamjet </w:t>
      </w:r>
      <w:r w:rsidRPr="00126A15">
        <w:rPr>
          <w:rFonts w:ascii="Garamond" w:hAnsi="Garamond" w:cs="Garamond"/>
          <w:color w:val="000000"/>
          <w:sz w:val="24"/>
          <w:szCs w:val="24"/>
          <w:lang w:val="sq-AL"/>
        </w:rPr>
        <w:t>në themel dhe shtrirjen gjeografike të propozimit</w:t>
      </w:r>
      <w:r w:rsidR="006E66D6" w:rsidRPr="00126A15">
        <w:rPr>
          <w:rFonts w:ascii="Garamond" w:hAnsi="Garamond" w:cs="Garamond"/>
          <w:color w:val="000000"/>
          <w:sz w:val="24"/>
          <w:szCs w:val="24"/>
          <w:lang w:val="sq-AL"/>
        </w:rPr>
        <w:t>;</w:t>
      </w:r>
    </w:p>
    <w:p w14:paraId="2C98CFE4" w14:textId="17AA8C2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A20110"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çdo </w:t>
      </w:r>
      <w:r w:rsidRPr="00126A15">
        <w:rPr>
          <w:rFonts w:ascii="Garamond" w:hAnsi="Garamond" w:cs="Garamond"/>
          <w:color w:val="000000"/>
          <w:sz w:val="24"/>
          <w:szCs w:val="24"/>
          <w:lang w:val="sq-AL"/>
        </w:rPr>
        <w:t>kontribut tjetër shkencor përkatës;</w:t>
      </w:r>
    </w:p>
    <w:p w14:paraId="7D6C32A5" w14:textId="339BA05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A20110"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informacion </w:t>
      </w:r>
      <w:r w:rsidRPr="00126A15">
        <w:rPr>
          <w:rFonts w:ascii="Garamond" w:hAnsi="Garamond" w:cs="Garamond"/>
          <w:color w:val="000000"/>
          <w:sz w:val="24"/>
          <w:szCs w:val="24"/>
          <w:lang w:val="sq-AL"/>
        </w:rPr>
        <w:t>në lidhje me çdo masë ose aktivitet ekzistues në zonat ngjitur ose që janë brenda juridiksionit kombëtar dhe përtej juridiksionit kombëtar;</w:t>
      </w:r>
    </w:p>
    <w:p w14:paraId="3ADFD575" w14:textId="152F563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iv</w:t>
      </w:r>
      <w:r w:rsidR="00A20110"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pikëpamjet </w:t>
      </w:r>
      <w:r w:rsidRPr="00126A15">
        <w:rPr>
          <w:rFonts w:ascii="Garamond" w:hAnsi="Garamond" w:cs="Garamond"/>
          <w:color w:val="000000"/>
          <w:sz w:val="24"/>
          <w:szCs w:val="24"/>
          <w:lang w:val="sq-AL"/>
        </w:rPr>
        <w:t>mbi lidhjet e mundshme të propozimit me fushat brenda juridiksionit kombëtar;</w:t>
      </w:r>
    </w:p>
    <w:p w14:paraId="380CCA89" w14:textId="2E068EB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w:t>
      </w:r>
      <w:r w:rsidR="00A20110"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çdo </w:t>
      </w:r>
      <w:r w:rsidRPr="00126A15">
        <w:rPr>
          <w:rFonts w:ascii="Garamond" w:hAnsi="Garamond" w:cs="Garamond"/>
          <w:color w:val="000000"/>
          <w:sz w:val="24"/>
          <w:szCs w:val="24"/>
          <w:lang w:val="sq-AL"/>
        </w:rPr>
        <w:t>informacion tjetër përkatës;</w:t>
      </w:r>
    </w:p>
    <w:p w14:paraId="5DC2CC39" w14:textId="4091D5A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Organet e instrumenteve dhe kornizave ligjore përkatëse dhe organet përkatëse globale, rajonale, lokale dhe krahinore do të njoftohen dhe ftohen të paraqesin, ndër të tjera:</w:t>
      </w:r>
    </w:p>
    <w:p w14:paraId="15219A79" w14:textId="4AF4525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A20110"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pikëpamjet </w:t>
      </w:r>
      <w:r w:rsidRPr="00126A15">
        <w:rPr>
          <w:rFonts w:ascii="Garamond" w:hAnsi="Garamond" w:cs="Garamond"/>
          <w:color w:val="000000"/>
          <w:sz w:val="24"/>
          <w:szCs w:val="24"/>
          <w:lang w:val="sq-AL"/>
        </w:rPr>
        <w:t>në themel dhe shtrirjen gjeografike të propozimit</w:t>
      </w:r>
      <w:r w:rsidR="006E66D6" w:rsidRPr="00126A15">
        <w:rPr>
          <w:rFonts w:ascii="Garamond" w:hAnsi="Garamond" w:cs="Garamond"/>
          <w:color w:val="000000"/>
          <w:sz w:val="24"/>
          <w:szCs w:val="24"/>
          <w:lang w:val="sq-AL"/>
        </w:rPr>
        <w:t>;</w:t>
      </w:r>
    </w:p>
    <w:p w14:paraId="452FDFC9" w14:textId="463EF58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çdo </w:t>
      </w:r>
      <w:r w:rsidRPr="00126A15">
        <w:rPr>
          <w:rFonts w:ascii="Garamond" w:hAnsi="Garamond" w:cs="Garamond"/>
          <w:color w:val="000000"/>
          <w:sz w:val="24"/>
          <w:szCs w:val="24"/>
          <w:lang w:val="sq-AL"/>
        </w:rPr>
        <w:t>kontribut tjetër shkencor përkatës;</w:t>
      </w:r>
    </w:p>
    <w:p w14:paraId="58A8F4F7" w14:textId="3E8E8CE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informacion </w:t>
      </w:r>
      <w:r w:rsidRPr="00126A15">
        <w:rPr>
          <w:rFonts w:ascii="Garamond" w:hAnsi="Garamond" w:cs="Garamond"/>
          <w:color w:val="000000"/>
          <w:sz w:val="24"/>
          <w:szCs w:val="24"/>
          <w:lang w:val="sq-AL"/>
        </w:rPr>
        <w:t>në lidhje me çdo masë ose aktivitet ekzistues në zonat ngjitur ose që janë brenda juridiksionit kombëtar dhe përtej juridiksionit kombëtar;</w:t>
      </w:r>
    </w:p>
    <w:p w14:paraId="64CA847D" w14:textId="1A08B5D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iv</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pikëpamjet </w:t>
      </w:r>
      <w:r w:rsidRPr="00126A15">
        <w:rPr>
          <w:rFonts w:ascii="Garamond" w:hAnsi="Garamond" w:cs="Garamond"/>
          <w:color w:val="000000"/>
          <w:sz w:val="24"/>
          <w:szCs w:val="24"/>
          <w:lang w:val="sq-AL"/>
        </w:rPr>
        <w:t>në lidhje me çdo aspekt të masave dhe elementeve të tjera për një projektplan menaxhimi të pikasur në propozim që janë në kompetencën e atij organi;</w:t>
      </w:r>
    </w:p>
    <w:p w14:paraId="4849AAAB" w14:textId="6529606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pikëpamjet </w:t>
      </w:r>
      <w:r w:rsidRPr="00126A15">
        <w:rPr>
          <w:rFonts w:ascii="Garamond" w:hAnsi="Garamond" w:cs="Garamond"/>
          <w:color w:val="000000"/>
          <w:sz w:val="24"/>
          <w:szCs w:val="24"/>
          <w:lang w:val="sq-AL"/>
        </w:rPr>
        <w:t>në lidhje me çdo masë shtesë përkatëse që është brenda kompetencës së atij instrumenti, kuadri ose organi;</w:t>
      </w:r>
    </w:p>
    <w:p w14:paraId="4D25343E" w14:textId="1A96598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çdo </w:t>
      </w:r>
      <w:r w:rsidRPr="00126A15">
        <w:rPr>
          <w:rFonts w:ascii="Garamond" w:hAnsi="Garamond" w:cs="Garamond"/>
          <w:color w:val="000000"/>
          <w:sz w:val="24"/>
          <w:szCs w:val="24"/>
          <w:lang w:val="sq-AL"/>
        </w:rPr>
        <w:t>informacion tjetër përkatës;</w:t>
      </w:r>
    </w:p>
    <w:p w14:paraId="27520B5D" w14:textId="7CE1CAA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c)</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it dhe komunitetet lokale me njohuri përkatëse tradicionale, organizmi shkencor, shoqëria civile dhe aktorë të tjerë përkatës do të ftohen të paraqesin, ndër të tjera:</w:t>
      </w:r>
    </w:p>
    <w:p w14:paraId="118AA44A" w14:textId="3BA09D8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pikëpamjet </w:t>
      </w:r>
      <w:r w:rsidRPr="00126A15">
        <w:rPr>
          <w:rFonts w:ascii="Garamond" w:hAnsi="Garamond" w:cs="Garamond"/>
          <w:color w:val="000000"/>
          <w:sz w:val="24"/>
          <w:szCs w:val="24"/>
          <w:lang w:val="sq-AL"/>
        </w:rPr>
        <w:t>në themel dhe shtrirjen gjeografike të propozimit</w:t>
      </w:r>
      <w:r w:rsidR="006E66D6" w:rsidRPr="00126A15">
        <w:rPr>
          <w:rFonts w:ascii="Garamond" w:hAnsi="Garamond" w:cs="Garamond"/>
          <w:color w:val="000000"/>
          <w:sz w:val="24"/>
          <w:szCs w:val="24"/>
          <w:lang w:val="sq-AL"/>
        </w:rPr>
        <w:t>;</w:t>
      </w:r>
    </w:p>
    <w:p w14:paraId="0ECD5286" w14:textId="378CC89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çdo </w:t>
      </w:r>
      <w:r w:rsidRPr="00126A15">
        <w:rPr>
          <w:rFonts w:ascii="Garamond" w:hAnsi="Garamond" w:cs="Garamond"/>
          <w:color w:val="000000"/>
          <w:sz w:val="24"/>
          <w:szCs w:val="24"/>
          <w:lang w:val="sq-AL"/>
        </w:rPr>
        <w:t>kontribut tjetër shkencor përkatës;</w:t>
      </w:r>
    </w:p>
    <w:p w14:paraId="75E39586" w14:textId="44F4F75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çdo </w:t>
      </w:r>
      <w:r w:rsidRPr="00126A15">
        <w:rPr>
          <w:rFonts w:ascii="Garamond" w:hAnsi="Garamond" w:cs="Garamond"/>
          <w:color w:val="000000"/>
          <w:sz w:val="24"/>
          <w:szCs w:val="24"/>
          <w:lang w:val="sq-AL"/>
        </w:rPr>
        <w:t xml:space="preserve">njohuri përkatëse tradicionale të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w:t>
      </w:r>
    </w:p>
    <w:p w14:paraId="36EC3462" w14:textId="2DC3C2B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iv</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E66D6" w:rsidRPr="00126A15">
        <w:rPr>
          <w:rFonts w:ascii="Garamond" w:hAnsi="Garamond" w:cs="Garamond"/>
          <w:color w:val="000000"/>
          <w:sz w:val="24"/>
          <w:szCs w:val="24"/>
          <w:lang w:val="sq-AL"/>
        </w:rPr>
        <w:t xml:space="preserve">çdo </w:t>
      </w:r>
      <w:r w:rsidRPr="00126A15">
        <w:rPr>
          <w:rFonts w:ascii="Garamond" w:hAnsi="Garamond" w:cs="Garamond"/>
          <w:color w:val="000000"/>
          <w:sz w:val="24"/>
          <w:szCs w:val="24"/>
          <w:lang w:val="sq-AL"/>
        </w:rPr>
        <w:t>informacion tjetër përkatës;</w:t>
      </w:r>
    </w:p>
    <w:p w14:paraId="1EA27370" w14:textId="274EA7F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Kontributet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mbledhura në përputhje me paragrafin 2 më sipër do të bëhen publike nga sekretariati.</w:t>
      </w:r>
    </w:p>
    <w:p w14:paraId="59334F60" w14:textId="04C8679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Në rastet kur masa e propozuar prek zonat që janë tërësisht të rrethuara nga zonat ekskluzive ekonomike të shteteve, propozuesit:</w:t>
      </w:r>
    </w:p>
    <w:p w14:paraId="2078FEDA" w14:textId="55D5680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zhvillojë konsultime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motivuara dhe proaktive, duke përfshirë njoftimin paraprak, me këto shtete;</w:t>
      </w:r>
    </w:p>
    <w:p w14:paraId="5CD5B707" w14:textId="770473B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do të marrë në konsideratë pikëpamjet dhe komentet e këtyre shteteve mbi masën e propozuar dhe do të japë përgjigje me shkrim duke adresuar në mënyrë specifike pikëpamjet dhe komentet e tilla dhe, sipas rastit, do të rishikojë masën e propozuar në përputhje me rrethanat.</w:t>
      </w:r>
    </w:p>
    <w:p w14:paraId="0DDB6C7A" w14:textId="4885ADD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Propozuesi do të marrë në konsideratë kontributet e dhëna gjatë periudhës së konsultimit, si dhe pikëpamjet dhe informacionin nga Organi Shkencor dhe Teknik, dhe, sipas rastit, do të rishikojë propozimin në përputhje me rrethanat ose do t’u përgjigjet kontributeve thelbësore që nuk pasqyrohen në propozim.</w:t>
      </w:r>
    </w:p>
    <w:p w14:paraId="35DD2B22" w14:textId="58946A5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Periudha e konsultimit do të jetë e kufizuar në kohë.</w:t>
      </w:r>
    </w:p>
    <w:p w14:paraId="00CC94A4" w14:textId="157E608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Propozimi i rishikuar do t’i paraqitet Organit Shkencor dhe Teknik, i cili do të vlerësojë propozimin dhe do t’i bëjë rekomandime Konferencës së Palëve.</w:t>
      </w:r>
    </w:p>
    <w:p w14:paraId="436F1086" w14:textId="11313B5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8. Modalitetet për procesin e konsultimit dhe </w:t>
      </w:r>
      <w:r w:rsidR="006E66D6"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vlerësimit, duke përfshirë kohëzgjatjen, do të përpunohen më tej nga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Organi Shkencor dhe Teknik, sipas nevojës, në mbledhjen e tij të parë, për t’u marrë në konsideratë dhe miratuar nga Konferenca e Palëve, duke marrë parasysh rrethanat e veçanta të shteteve të vogla ishullore në zhvillim.</w:t>
      </w:r>
    </w:p>
    <w:p w14:paraId="16D9C052"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3AB3CE5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22</w:t>
      </w:r>
    </w:p>
    <w:p w14:paraId="1F000DE4" w14:textId="78320FE6"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Krijimi i mjeteve të menaxhimit</w:t>
      </w:r>
      <w:r w:rsidR="007A5D58" w:rsidRPr="00126A15">
        <w:rPr>
          <w:rFonts w:ascii="Garamond" w:hAnsi="Garamond" w:cs="Garamond"/>
          <w:b/>
          <w:bCs/>
          <w:color w:val="000000"/>
          <w:sz w:val="24"/>
          <w:szCs w:val="24"/>
          <w:lang w:val="sq-AL"/>
        </w:rPr>
        <w:t xml:space="preserve"> </w:t>
      </w:r>
      <w:r w:rsidRPr="00126A15">
        <w:rPr>
          <w:rFonts w:ascii="Garamond" w:hAnsi="Garamond" w:cs="Garamond"/>
          <w:b/>
          <w:bCs/>
          <w:color w:val="000000"/>
          <w:sz w:val="24"/>
          <w:szCs w:val="24"/>
          <w:lang w:val="sq-AL"/>
        </w:rPr>
        <w:t>sipas zonave, duke përfshirë zonat e mbrojtura detare</w:t>
      </w:r>
    </w:p>
    <w:p w14:paraId="6021AA56"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6907C2A" w14:textId="0C44917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Konferenca e Palëve, mbi bazën e propozimit përfundimtar dhe projektplanit të menaxhimit, duke marrë parasysh</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kontributet shkencore dhe jo vetëm,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dhëna gjatë procesit të konsultimit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diktuara sipas kësaj pjese, si dhe këshillat dhe rekomandimet shkencore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Organit Shkencor dhe Teknik:</w:t>
      </w:r>
    </w:p>
    <w:p w14:paraId="6FF7FF58" w14:textId="159A3FA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DF5841" w:rsidRPr="00126A15">
        <w:rPr>
          <w:rFonts w:ascii="Garamond" w:hAnsi="Garamond" w:cs="Garamond"/>
          <w:color w:val="000000"/>
          <w:sz w:val="24"/>
          <w:szCs w:val="24"/>
          <w:lang w:val="sq-AL"/>
        </w:rPr>
        <w:t xml:space="preserve">do </w:t>
      </w:r>
      <w:r w:rsidRPr="00126A15">
        <w:rPr>
          <w:rFonts w:ascii="Garamond" w:hAnsi="Garamond" w:cs="Garamond"/>
          <w:color w:val="000000"/>
          <w:sz w:val="24"/>
          <w:szCs w:val="24"/>
          <w:lang w:val="sq-AL"/>
        </w:rPr>
        <w:t>të marrë vendime për krijimin e mjeteve të menaxhimit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sipas zonave, duke përfshirë zonat e mbrojtura detare</w:t>
      </w:r>
      <w:r w:rsidR="00DF5841"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dhe masat përkatëse;</w:t>
      </w:r>
    </w:p>
    <w:p w14:paraId="180BB3A1" w14:textId="0135854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DF5841" w:rsidRPr="00126A15">
        <w:rPr>
          <w:rFonts w:ascii="Garamond" w:hAnsi="Garamond" w:cs="Garamond"/>
          <w:color w:val="000000"/>
          <w:sz w:val="24"/>
          <w:szCs w:val="24"/>
          <w:lang w:val="sq-AL"/>
        </w:rPr>
        <w:t xml:space="preserve">mund </w:t>
      </w:r>
      <w:r w:rsidRPr="00126A15">
        <w:rPr>
          <w:rFonts w:ascii="Garamond" w:hAnsi="Garamond" w:cs="Garamond"/>
          <w:color w:val="000000"/>
          <w:sz w:val="24"/>
          <w:szCs w:val="24"/>
          <w:lang w:val="sq-AL"/>
        </w:rPr>
        <w:t>të marrë vendime për masat në përputhje me ato të miratuara nga instrumentet dhe kornizat ligjore përkatëse dhe organet përkatëse globale, rajonale, lokale dhe krahinore, në bashkëpunim dhe koordinim me ato instrumente, korniza dhe organe;</w:t>
      </w:r>
    </w:p>
    <w:p w14:paraId="13F6E741" w14:textId="7A4205A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DF5841" w:rsidRPr="00126A15">
        <w:rPr>
          <w:rFonts w:ascii="Garamond" w:hAnsi="Garamond" w:cs="Garamond"/>
          <w:color w:val="000000"/>
          <w:sz w:val="24"/>
          <w:szCs w:val="24"/>
          <w:lang w:val="sq-AL"/>
        </w:rPr>
        <w:t xml:space="preserve">kur </w:t>
      </w:r>
      <w:r w:rsidRPr="00126A15">
        <w:rPr>
          <w:rFonts w:ascii="Garamond" w:hAnsi="Garamond" w:cs="Garamond"/>
          <w:color w:val="000000"/>
          <w:sz w:val="24"/>
          <w:szCs w:val="24"/>
          <w:lang w:val="sq-AL"/>
        </w:rPr>
        <w:t>masat e propozuara janë brenda kompetencave të organeve të tjera globale, rajonale, lokale ose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 mund t’u bëjë rekomandime palëve në këtë Marrëveshje dhe organeve globale, rajonale, lokale dhe krahinore për të nxitur miratimin e masave përkatëse nëpërmjet instrumenteve, kornizave dhe organeve të tilla, në përputhje me mandatet e tyre përkatëse.</w:t>
      </w:r>
    </w:p>
    <w:p w14:paraId="02127232" w14:textId="5697B66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Në marrjen e vendimeve sipas këtij neni, Konferenca e Palëve do të respektojë kompetencat dhe nuk do të minojnë instrumentet dhe kornizat ligjore përkatëse dhe organet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 krahinore.</w:t>
      </w:r>
    </w:p>
    <w:p w14:paraId="18B3A9E1" w14:textId="51DF9E5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Konferenca e Palëve do të marrë masa për konsultime të rregullta për të rritur bashkëpunimin dhe koordinimin me, dhe ndërmjet instrumenteve dhe kornizave ligjore përkatëse dhe organeve </w:t>
      </w:r>
      <w:r w:rsidRPr="00126A15">
        <w:rPr>
          <w:rFonts w:ascii="Garamond" w:hAnsi="Garamond" w:cs="Garamond"/>
          <w:color w:val="000000"/>
          <w:sz w:val="24"/>
          <w:szCs w:val="24"/>
          <w:lang w:val="sq-AL"/>
        </w:rPr>
        <w:lastRenderedPageBreak/>
        <w:t>përkatëse globale, rajonale, lokale dhe krahinore</w:t>
      </w:r>
      <w:r w:rsidR="00DF5841"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lidhje me mjetet e menaxhimit sipas zonave, duke përfshirë zonat e mbrojtura detare, si dhe si koordinim në lidhje me masat përkatëse të miratuara sipas instrumenteve, kornizave dhe organeve të tilla.</w:t>
      </w:r>
    </w:p>
    <w:p w14:paraId="3F88DBAE" w14:textId="7C1479A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4. Kur arritja e objektivave dhe zbatimi i kësaj </w:t>
      </w:r>
      <w:r w:rsidR="00DF5841"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e kërkon këtë, për të vazhduar bashkëpunimin dhe koordinimin ndërkombëtar në lidhje me ruajtjen dhe përdorimin e qëndrueshëm të diversitetit biologjik detar të zonave përtej juridiksionit kombëtar, Konferenca e Palëve mund të marrë parasysh dhe, në varësi të paragrafët 1 dhe 2 më lart, mund të vendosin, sipas rastit, të zhvillojnë një mekanizëm në lidhje me mjetet ekzistuese të menaxhimit sipas zonave, duke përfshirë zonat e mbrojtura detare, të miratuara nga instrumentet dhe kornizat ligjore përkatëse ose organet përkatëse globale, rajonale, lokale ose krahinore.</w:t>
      </w:r>
    </w:p>
    <w:p w14:paraId="006082DF" w14:textId="3B01042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Vendimet dhe rekomandimet e miratuara nga Konferenca e Palëve</w:t>
      </w:r>
      <w:r w:rsidR="00C4127B"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këtë </w:t>
      </w:r>
      <w:r w:rsidR="00C4127B" w:rsidRPr="00126A15">
        <w:rPr>
          <w:rFonts w:ascii="Garamond" w:hAnsi="Garamond" w:cs="Garamond"/>
          <w:color w:val="000000"/>
          <w:sz w:val="24"/>
          <w:szCs w:val="24"/>
          <w:lang w:val="sq-AL"/>
        </w:rPr>
        <w:t xml:space="preserve">pjesë </w:t>
      </w:r>
      <w:r w:rsidRPr="00126A15">
        <w:rPr>
          <w:rFonts w:ascii="Garamond" w:hAnsi="Garamond" w:cs="Garamond"/>
          <w:color w:val="000000"/>
          <w:sz w:val="24"/>
          <w:szCs w:val="24"/>
          <w:lang w:val="sq-AL"/>
        </w:rPr>
        <w:t xml:space="preserve">nuk do të dëmtojnë efektivitetin e masave të miratuara në lidhje me fushat brenda juridiksionit kombëtar dhe do të merren duke pasur parasysh të drejtat dhe detyrimet e të gjitha shteteve, në përputhje me Konventën. Në rastet kur masat e propozuara sipas kësaj </w:t>
      </w:r>
      <w:r w:rsidR="00C4127B"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 xml:space="preserve">do të </w:t>
      </w:r>
      <w:r w:rsidR="006B02A9" w:rsidRPr="00126A15">
        <w:rPr>
          <w:rFonts w:ascii="Garamond" w:hAnsi="Garamond" w:cs="Garamond"/>
          <w:color w:val="000000"/>
          <w:sz w:val="24"/>
          <w:szCs w:val="24"/>
          <w:lang w:val="sq-AL"/>
        </w:rPr>
        <w:t>cenojnë</w:t>
      </w:r>
      <w:r w:rsidRPr="00126A15">
        <w:rPr>
          <w:rFonts w:ascii="Garamond" w:hAnsi="Garamond" w:cs="Garamond"/>
          <w:color w:val="000000"/>
          <w:sz w:val="24"/>
          <w:szCs w:val="24"/>
          <w:lang w:val="sq-AL"/>
        </w:rPr>
        <w:t xml:space="preserve"> apo ka arsye të besohet se </w:t>
      </w:r>
      <w:r w:rsidR="006B02A9" w:rsidRPr="00126A15">
        <w:rPr>
          <w:rFonts w:ascii="Garamond" w:hAnsi="Garamond" w:cs="Garamond"/>
          <w:color w:val="000000"/>
          <w:sz w:val="24"/>
          <w:szCs w:val="24"/>
          <w:lang w:val="sq-AL"/>
        </w:rPr>
        <w:t>cenojnë</w:t>
      </w:r>
      <w:r w:rsidRPr="00126A15">
        <w:rPr>
          <w:rFonts w:ascii="Garamond" w:hAnsi="Garamond" w:cs="Garamond"/>
          <w:color w:val="000000"/>
          <w:sz w:val="24"/>
          <w:szCs w:val="24"/>
          <w:lang w:val="sq-AL"/>
        </w:rPr>
        <w:t xml:space="preserve"> ujërat e sipërm</w:t>
      </w:r>
      <w:r w:rsidR="00666380" w:rsidRPr="00126A15">
        <w:rPr>
          <w:rFonts w:ascii="Garamond" w:hAnsi="Garamond" w:cs="Garamond"/>
          <w:color w:val="000000"/>
          <w:sz w:val="24"/>
          <w:szCs w:val="24"/>
          <w:lang w:val="sq-AL"/>
        </w:rPr>
        <w:t>e</w:t>
      </w:r>
      <w:r w:rsidRPr="00126A15">
        <w:rPr>
          <w:rFonts w:ascii="Garamond" w:hAnsi="Garamond" w:cs="Garamond"/>
          <w:color w:val="000000"/>
          <w:sz w:val="24"/>
          <w:szCs w:val="24"/>
          <w:lang w:val="sq-AL"/>
        </w:rPr>
        <w:t xml:space="preserve"> mbi shtratin e detit dhe tokën e zonave nënujore</w:t>
      </w:r>
      <w:r w:rsidR="00666380"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mbi të cilat një shtet bregdetar ushtron të drejta absolute në përputhje me Konventën, këto masa do të kenë parasysh të drejtat absolute të shteteve të tilla bregdetare. Për këtë qëllim do të ndërmerren konsultime, në përputhje me dispozitat e kësaj </w:t>
      </w:r>
      <w:r w:rsidR="00666380"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w:t>
      </w:r>
    </w:p>
    <w:p w14:paraId="118964A1" w14:textId="465E9FA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6. Në rastet kur një mjet menaxhimi sipas zonës, duke përfshirë një zonë të mbrojtur detare, i krijuar sipas kësaj </w:t>
      </w:r>
      <w:r w:rsidR="00931DC6"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bie më pas, tërësisht ose pjesërisht, brenda juridiksionit kombëtar të një shteti bregdetar, pjesa brenda juridiksionit kombëtar do të pushojë menjëherë së qeni në fuqi. Pjesa që mbetet në zonat jashtë juridiksionit kombëtar do të mbetet në fuqi derisa Konferenca e Palëve, në takimin e saj pasardhës, të shqyrtojë dhe të vendosë nëse do të ndryshojë ose anulojë mjetin e menaxhimit sipas zonës, duke përfshirë një zonë të mbrojtur detare, sipas nevojës.</w:t>
      </w:r>
    </w:p>
    <w:p w14:paraId="5EE63022" w14:textId="7146715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Me krijimin ose ndryshimin e kompetencës së një instrumenti ose kuadri ligjor përkatës ose një organi përkatës global, rajonal, lokal ose krahinor, çdo mjeti menaxhues sipas zonës, duke përfshirë një zonë të mbrojtur detare, ose masat përkatëse të miratuara nga Konferenca e Palëve sipas kësaj Pjese që më pas bie në kompetencën e këtij instrumenti, kuadri ose organi, tërësisht ose pjesërisht, do të mbetet në fuqi derisa Konferenca e Palëve të shqyrtojë dhe vendosë, në bashkëpunim dhe koordinim të ngushtë me atë instrument, kornizë ose organ, për të ruajtur, ndryshuar ose revokuar mjetin e menaxhimit sipas zonës, duke përfshirë një zonë të mbrojtur detare, dhe masat përkatëse, sipas rastit.</w:t>
      </w:r>
    </w:p>
    <w:p w14:paraId="5E768E1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23</w:t>
      </w:r>
    </w:p>
    <w:p w14:paraId="0536AA0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Vendimmarrja</w:t>
      </w:r>
    </w:p>
    <w:p w14:paraId="1D25B0ED"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4A013A88" w14:textId="28D0C64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1. Si rregull i përgjithshëm, vendimet dhe rekomandimet sipas kësaj </w:t>
      </w:r>
      <w:r w:rsidR="00396B00"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do të merren me konsensus.</w:t>
      </w:r>
    </w:p>
    <w:p w14:paraId="2C2F435B" w14:textId="160E32D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Nëse nuk arrihet konsensus, vendimet dhe rekomandimet sipas kësaj </w:t>
      </w:r>
      <w:r w:rsidR="00396B00"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do të merren me votimin e një shumicë prej tre të katërtave të Palëve të pranishme, përpara së cilës Konferenca e Palëve do të vendosë, me votimin e një shumicë prej dy të tretave të Palëve të pranishme që të gjitha përpjekjet për të arritur konsensus të jenë shteruar.</w:t>
      </w:r>
    </w:p>
    <w:p w14:paraId="2C37CCA2" w14:textId="4A4F92B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Vendimet e marra sipas kësaj pjese do të hyjnë në fuqi 120 ditë pas takimit të Konferencës së Palëve në të cilën këto vendime janë marrë dhe do të jenë të detyrueshme për të gjitha Palët.</w:t>
      </w:r>
    </w:p>
    <w:p w14:paraId="73B21CC5" w14:textId="6545C79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Gjatë periudhës prej 120 ditësh të parashikuar në paragrafin 3 më sipër, çdo Palë, duke njoftuar me shkrim sekretariatin, mund të bëjë një ankimim në lidhje me një vendim të miratuar sipas kësaj pjese dhe ky vendim nuk do të jetë detyrues për atë Palë. Një ankimim ndaj një vendimi mund të tërhiqet në çdo kohë me një njoftim me shkrim drejtuar sekretariatit dhe, më pas, vendimi do të jetë i detyrueshëm për atë Palë 90 ditë pas datës së njoftimit ku thuhet se ankimimi është tërhequr.</w:t>
      </w:r>
    </w:p>
    <w:p w14:paraId="13069B12" w14:textId="23D3A41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5. Një Palë që bën një ankimim sipas paragrafit 4 sa më sipër do t’i japë sekretariatit, me shkrim, në momentin e paraqitjes së ankimimit të saj, shpjegimin e arsyeve për ankimimin, i cili do të bazohet në një ose më shumë nga arsyet e mëposhtme:</w:t>
      </w:r>
    </w:p>
    <w:p w14:paraId="7F77AB6C" w14:textId="1439D95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396B00" w:rsidRPr="00126A15">
        <w:rPr>
          <w:rFonts w:ascii="Garamond" w:hAnsi="Garamond" w:cs="Garamond"/>
          <w:color w:val="000000"/>
          <w:sz w:val="24"/>
          <w:szCs w:val="24"/>
          <w:lang w:val="sq-AL"/>
        </w:rPr>
        <w:t xml:space="preserve">vendimi </w:t>
      </w:r>
      <w:r w:rsidRPr="00126A15">
        <w:rPr>
          <w:rFonts w:ascii="Garamond" w:hAnsi="Garamond" w:cs="Garamond"/>
          <w:color w:val="000000"/>
          <w:sz w:val="24"/>
          <w:szCs w:val="24"/>
          <w:lang w:val="sq-AL"/>
        </w:rPr>
        <w:t>është në kundërshtim me këtë Marrëveshje ose me të drejtat dhe detyrat e Palës ankimuese në përputhje me Konventën;</w:t>
      </w:r>
    </w:p>
    <w:p w14:paraId="2CF83CAE" w14:textId="63E5E2E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396B00" w:rsidRPr="00126A15">
        <w:rPr>
          <w:rFonts w:ascii="Garamond" w:hAnsi="Garamond" w:cs="Garamond"/>
          <w:color w:val="000000"/>
          <w:sz w:val="24"/>
          <w:szCs w:val="24"/>
          <w:lang w:val="sq-AL"/>
        </w:rPr>
        <w:t xml:space="preserve">vendimi </w:t>
      </w:r>
      <w:r w:rsidRPr="00126A15">
        <w:rPr>
          <w:rFonts w:ascii="Garamond" w:hAnsi="Garamond" w:cs="Garamond"/>
          <w:color w:val="000000"/>
          <w:sz w:val="24"/>
          <w:szCs w:val="24"/>
          <w:lang w:val="sq-AL"/>
        </w:rPr>
        <w:t>diskriminon në mënyrë të pajustifikuar në formë ose në realitet Palën ankimuese;</w:t>
      </w:r>
    </w:p>
    <w:p w14:paraId="4A3CAF29" w14:textId="6895470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Pala nuk mund të zbatojë praktikisht vendimin në kohën e ankimimit pasi ka bërë të gjitha përpjekjet e arsyeshme për ta bërë këtë.</w:t>
      </w:r>
    </w:p>
    <w:p w14:paraId="15188A78" w14:textId="626DE5B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6. Një Palë që bën një ankimim sipas paragrafit 4 më sipër, për aq sa është e mundur, do të miratojë masa ose qasje alternative që janë të </w:t>
      </w:r>
      <w:r w:rsidR="003E7023" w:rsidRPr="00126A15">
        <w:rPr>
          <w:rFonts w:ascii="Garamond" w:hAnsi="Garamond" w:cs="Garamond"/>
          <w:color w:val="000000"/>
          <w:sz w:val="24"/>
          <w:szCs w:val="24"/>
          <w:lang w:val="sq-AL"/>
        </w:rPr>
        <w:t>barasvlershme</w:t>
      </w:r>
      <w:r w:rsidRPr="00126A15">
        <w:rPr>
          <w:rFonts w:ascii="Garamond" w:hAnsi="Garamond" w:cs="Garamond"/>
          <w:color w:val="000000"/>
          <w:sz w:val="24"/>
          <w:szCs w:val="24"/>
          <w:lang w:val="sq-AL"/>
        </w:rPr>
        <w:t xml:space="preserve"> në fuqi me vendimin ndaj të cilit ajo ka bërë ankimimin dhe nuk do të marrë masa dhe as të ndërmarrë veprime që do të dobësonin fuqinë e vendimit ndaj të cilave ajo ka bërë ankimimin, përveç rasteve kur këto masa ose veprime janë thelbësore për ushtrimin e të drejtave dhe detyrimeve të Palës ankimuese në përputhje me Konventën.</w:t>
      </w:r>
    </w:p>
    <w:p w14:paraId="6984D783" w14:textId="0F5FB92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Pala ankimuese do të raportojë në mbledhjen e ardhshme të zakonshme të Konferencës së Palëve pas njoftimit të saj sipas paragrafit 4 më lart, dhe periodikisht më pas, për zbatimin e paragrafit 6 më lart, për të informuar monitorimin dhe rishikimin sipas nenit 26.</w:t>
      </w:r>
    </w:p>
    <w:p w14:paraId="284CA617" w14:textId="50B4FC1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8. Ankimimi ndaj një vendimi të marrë në përputhje me paragrafin 4 më sipër mund të ribëhet vetëm nëse Pala ankimuese e sheh ende të nevojshme, çdo tre vjet pas hyrjes në fuqi të vendimit, duke e njoftuar me shkrim sekretariatin. Një njoftim i tillë me shkrim do të përfshijë një shpjegim të arsyeve të ankimimit të tij fillestar.</w:t>
      </w:r>
    </w:p>
    <w:p w14:paraId="1F8C909B" w14:textId="044AEDA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9. Nëse nuk merret asnjë njoftim për riankimimin</w:t>
      </w:r>
      <w:r w:rsidR="00686EF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paragrafin 8 më sipër, ai do të konsiderohet i tërhequr automatikisht dhe, më pas, vendimi do të jetë detyrues për atë Palë 120 ditë pasi ankimimi të jetë tërhequr automatikisht. Sekretariati do të njoftojë Palën 60 ditë përpara datës në të cilën ankimimi do të tërhiqet automatikisht.</w:t>
      </w:r>
    </w:p>
    <w:p w14:paraId="6E945263" w14:textId="071982A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10. Vendimet e Konferencës së Palëve të miratuara sipas kësaj Pjese, dhe ankimimet ndaj këtyre vendimeve, do të bëhen publike nga sekretariati dhe do t’u transmetohen të gjitha shteteve, instrumenteve dhe kornizave ligjore përkatëse dhe organeve përkatëse globale, rajonale, lokale dhe krahinore.</w:t>
      </w:r>
    </w:p>
    <w:p w14:paraId="4B299620"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57134B3"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24</w:t>
      </w:r>
    </w:p>
    <w:p w14:paraId="32FF802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Masat emergjente</w:t>
      </w:r>
    </w:p>
    <w:p w14:paraId="0EE4632A"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6ABCF38F" w14:textId="4E96171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Konferenca e Palëve do të marrë vendime për miratimin e masave në zona përtej juridiksionit kombëtar, për t’u zbatuar në raste urgjente, nëse është e nevojshme, kur një dukuri natyrore ose fatkeqësi e shkaktuar nga njeriu ka çuar ose ka të ngjarë të çojë në dëme serioze ose të pariparueshme për diversitetin biologjik detar të zonave përtej juridiksionit kombëtar, për të siguruar që dëmi serioz ose i pariparueshëm të mos rritet.</w:t>
      </w:r>
    </w:p>
    <w:p w14:paraId="6DD8A2B7" w14:textId="118A10E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Masat e miratuara sipas këtij neni do të konsiderohen të nevojshme vetëm nëse, pas konsultimit me instrumentet ose kornizat ligjore përkatëse ose organet përkatëse globale, rajonale, lokale ose krahinore, dëmi serioz ose i pariparueshëm nuk mund të menaxhohet në kohën e duhur nëpërmjet zbatimit të neneve të tjera të kësaj Marrëveshjeje ose nga një instrument ose kornizë ligjore përkatëse ose një organ përkatës global, rajonal, lokal ose krahinor. </w:t>
      </w:r>
    </w:p>
    <w:p w14:paraId="2AE74AA8" w14:textId="4123BD4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Masat e miratuara në rast urgjence do të bazohen në informacionin më të mirë shkencor të disponueshëm dhe aty ku është e mundur, në njohuritë përkatëse tradicionale të popujve autoktonë dhe komuniteteve lokale dhe do të marrin parasysh teknikën parandaluese. Masa të tilla mund të propozohen nga palët ose të rekomandohen nga </w:t>
      </w:r>
      <w:r w:rsidR="006978EC" w:rsidRPr="00126A15">
        <w:rPr>
          <w:rFonts w:ascii="Garamond" w:hAnsi="Garamond" w:cs="Garamond"/>
          <w:color w:val="000000"/>
          <w:sz w:val="24"/>
          <w:szCs w:val="24"/>
          <w:lang w:val="sq-AL"/>
        </w:rPr>
        <w:t xml:space="preserve">Organi Shkencor </w:t>
      </w:r>
      <w:r w:rsidRPr="00126A15">
        <w:rPr>
          <w:rFonts w:ascii="Garamond" w:hAnsi="Garamond" w:cs="Garamond"/>
          <w:color w:val="000000"/>
          <w:sz w:val="24"/>
          <w:szCs w:val="24"/>
          <w:lang w:val="sq-AL"/>
        </w:rPr>
        <w:t xml:space="preserve">dhe </w:t>
      </w:r>
      <w:r w:rsidR="006978EC" w:rsidRPr="00126A15">
        <w:rPr>
          <w:rFonts w:ascii="Garamond" w:hAnsi="Garamond" w:cs="Garamond"/>
          <w:color w:val="000000"/>
          <w:sz w:val="24"/>
          <w:szCs w:val="24"/>
          <w:lang w:val="sq-AL"/>
        </w:rPr>
        <w:t xml:space="preserve">Teknik </w:t>
      </w:r>
      <w:r w:rsidRPr="00126A15">
        <w:rPr>
          <w:rFonts w:ascii="Garamond" w:hAnsi="Garamond" w:cs="Garamond"/>
          <w:color w:val="000000"/>
          <w:sz w:val="24"/>
          <w:szCs w:val="24"/>
          <w:lang w:val="sq-AL"/>
        </w:rPr>
        <w:t>dhe mund të miratohen në mënyrë të ndërsjellë. Masat do të jenë të përkohshme dhe duhet të rishqyrtohen për vendim në takimin e ardhshëm të Konferencës së Palëve pas miratimit të tyre.</w:t>
      </w:r>
    </w:p>
    <w:p w14:paraId="0627D265" w14:textId="1ED99D3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4. Masat do të përfundojnë dy vjet pas hyrjes së tyre në fuqi ose do të përfundojnë më herët nga Konferenca e Palëve</w:t>
      </w:r>
      <w:r w:rsidR="00EC0954"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pasi të zëvendësohen nga mjetet e menaxhimit të bazuara në zona, duke përfshirë zonat e mbrojtura detare, dhe masat përkatëse të përcaktuara në përputhje me këtë </w:t>
      </w:r>
      <w:r w:rsidR="00EC0954" w:rsidRPr="00126A15">
        <w:rPr>
          <w:rFonts w:ascii="Garamond" w:hAnsi="Garamond" w:cs="Garamond"/>
          <w:color w:val="000000"/>
          <w:sz w:val="24"/>
          <w:szCs w:val="24"/>
          <w:lang w:val="sq-AL"/>
        </w:rPr>
        <w:t>pjesë</w:t>
      </w:r>
      <w:r w:rsidRPr="00126A15">
        <w:rPr>
          <w:rFonts w:ascii="Garamond" w:hAnsi="Garamond" w:cs="Garamond"/>
          <w:color w:val="000000"/>
          <w:sz w:val="24"/>
          <w:szCs w:val="24"/>
          <w:lang w:val="sq-AL"/>
        </w:rPr>
        <w:t>, ose nga masat e miratuar nga një instrument ose kornizë ligjore përkatëse ose organ përkatës global, rajonal,</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 ose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 ose me një vendim të Konferencës së Palëve, kur rrethanat që e bënë të nevojshme masën pushojnë së ekzistuari.</w:t>
      </w:r>
    </w:p>
    <w:p w14:paraId="40BF2B7B" w14:textId="0F94484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Procedurat dhe udhëzimet për vendosjen e masave emergjente, duke përfshirë procedurat e konsultimit, do të përpunohen nga Organi Shkencor dhe Teknik, sipas nevojës, për shqyrtim dhe miratim nga Konferenca e Palëve sa më shpejt që të jetë e mundur. Procedurat e tilla do të jenë gjithëpërfshirëse dhe transparente.</w:t>
      </w:r>
    </w:p>
    <w:p w14:paraId="00F3EFC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2942032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25</w:t>
      </w:r>
    </w:p>
    <w:p w14:paraId="647EC30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Implementimi</w:t>
      </w:r>
    </w:p>
    <w:p w14:paraId="6E0DF30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83103CC" w14:textId="5D8A60E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1. Palët do të sigurojnë që aktivitetet nën juridiksionin ose kontrollin e tyre që zhvillohen në zona përtej juridiksionit kombëtar të kryhen në përputhje me vendimet e miratuara sipas kësaj </w:t>
      </w:r>
      <w:r w:rsidR="006E76CA"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w:t>
      </w:r>
    </w:p>
    <w:p w14:paraId="7B6B820C" w14:textId="5B3CDBC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Asgjë në këtë Marrëveshje nuk do të pengojë një Palë të marrë masa më të rrepta në lidhje me shtetasit dhe anijet e saj</w:t>
      </w:r>
      <w:r w:rsidR="006E76C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ose në lidhje me aktivitetet nën juridiksionin ose kontrollin e saj, përveç atyre të miratuara sipas kësaj </w:t>
      </w:r>
      <w:r w:rsidR="006E76CA"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 në përputhje me të drejtën ndërkombëtare dhe në mbështetje të objektivave të Marrëveshjes.</w:t>
      </w:r>
    </w:p>
    <w:p w14:paraId="6668F780" w14:textId="08A07BE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Zbatimi i masave të miratuara sipas kësaj </w:t>
      </w:r>
      <w:r w:rsidR="006E76CA"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nuk duhet të imponojë një barrë joproporcionale për Palët që janë shtete të vogla ishullore në zhvillim ose vende më pak të zhvilluara, drejtpërdrejt ose tërthorazi.</w:t>
      </w:r>
    </w:p>
    <w:p w14:paraId="63EBCE20" w14:textId="26CF6B6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4. Palët do të nxisin, sipas rastit, miratimin e masave brenda instrumenteve dhe kornizave ligjore përkatëse dhe organeve përkatëse globale, rajonale, lokale dhe krahinore në të cilat ato janë anëtarë, për të mbështetur zbatimin e vendimeve dhe rekomandimeve të bëra nga Konferenca e Palëve sipas kësaj </w:t>
      </w:r>
      <w:r w:rsidR="00A06D80"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w:t>
      </w:r>
    </w:p>
    <w:p w14:paraId="684F9FA7" w14:textId="79DABC0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5. Palët do të inkurajojnë ato shtete që kanë të drejtë të bëhen Palë në këtë Marrëveshje, në veçanti ato, aktivitetet, anijet ose shtetasit e të cilëve veprojnë në një zonë që është objekt i një mjeti të krijuar menaxhimi sipas zonës, duke përfshirë një zonë të mbrojtur detare, të miratojnë masa duke mbështetur vendimet dhe rekomandimet e Konferencës së Palëve për mjetet e menaxhimit të bazuara në zona, duke përfshirë zonat e mbrojtura detare, të krijuara sipas kësaj </w:t>
      </w:r>
      <w:r w:rsidR="0017450E"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w:t>
      </w:r>
    </w:p>
    <w:p w14:paraId="51ACB770" w14:textId="229E1EF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Një Palë që nuk është Palë ose pjesëmarrëse në një instrument ose kornizë ligjore përkatëse, ose anëtare e një organi përkatës global, rajonal, lokal ose krahinor, dhe që nuk pranon të zbatojë masat e miratuara sipas instrumenteve, kornizave, dhe nga organe të tilla nuk do të lihen jashtë detyrimit për të bashkëpunuar, në përputhje me Konventën dhe këtë Marrëveshje, në ruajtjen dhe përdorimin e qëndrueshëm të diversitetit biologjik detar të zonave përtej juridiksionit kombëtar.</w:t>
      </w:r>
    </w:p>
    <w:p w14:paraId="6A06217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083FEED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26</w:t>
      </w:r>
    </w:p>
    <w:p w14:paraId="17BB531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Monitorimi dhe vlerësimi</w:t>
      </w:r>
    </w:p>
    <w:p w14:paraId="086EE1F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8A24906" w14:textId="62AE8A8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1. Palët, individualisht ose kolektivisht, do t’i raportojnë Konferencës së Palëve mbi zbatimin e mjeteve të menaxhimit sipas zonave, duke përfshirë zonat e mbrojtura detare, të krijuara sipas kësaj </w:t>
      </w:r>
      <w:r w:rsidR="0010721B"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dhe masave përkatëse. Raporte të tilla, si dhe informacioni dhe vlerësimi i përmendur respektivisht në paragrafët 2 dhe 3 më poshtë, do të vihen në dispozicion të publikut nga sekretariati.</w:t>
      </w:r>
    </w:p>
    <w:p w14:paraId="64D8629D" w14:textId="37B7715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Instrumentet dhe kornizat ligjore përkatëse dhe organet përkatëse globale, rajonale, lokale dhe krahinore do të ftohen t’i japin informacion Konferencës së Palëve mbi zbatimin e masave që ato kanë </w:t>
      </w:r>
      <w:r w:rsidRPr="00126A15">
        <w:rPr>
          <w:rFonts w:ascii="Garamond" w:hAnsi="Garamond" w:cs="Garamond"/>
          <w:color w:val="000000"/>
          <w:sz w:val="24"/>
          <w:szCs w:val="24"/>
          <w:lang w:val="sq-AL"/>
        </w:rPr>
        <w:lastRenderedPageBreak/>
        <w:t>miratuar për të arritur objektivat e mjeteve të menaxhimit sipas zonave, duke përfshirë mbrojtjen e zonave detare t</w:t>
      </w:r>
      <w:r w:rsidR="001160D7">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krijuara sipas kësaj </w:t>
      </w:r>
      <w:r w:rsidR="006A0669"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 xml:space="preserve">. </w:t>
      </w:r>
    </w:p>
    <w:p w14:paraId="5C4C0F67" w14:textId="2B6E726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Mjetet e menaxhimit sipas zonave, duke përfshirë zonat e mbrojtura detare, të krijuara sipas kësaj </w:t>
      </w:r>
      <w:r w:rsidR="00EC10AE"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 duke përfshirë masat përkatëse, do të monitorohen dhe analizohen periodikisht nga Organi Shkencor dhe Teknik, duke marrë parasysh raportet dhe informacionin e përmendur përkatësisht në paragrafët 1 dhe 2 më sipër.</w:t>
      </w:r>
    </w:p>
    <w:p w14:paraId="6CF7D19C" w14:textId="4633EEA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Në rishikimin e përmendur në paragrafin 3 më sipër, Organi Shkencor dhe Teknik do të vlerësojë efektivitetin e mjeteve të menaxhimit sipas zonës, duke përfshirë zonat e mbrojtura detare, të krijuara sipas kësaj pjese, duke përfshirë masat përkatëse dhe progresin e bërë në arritjen e objektivave të tyre, dhe të japin këshilla dhe rekomandime për Konferencën e Palëve.</w:t>
      </w:r>
    </w:p>
    <w:p w14:paraId="7A313CCA" w14:textId="7F339D0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5. Pas vlerësimit, Konferenca e Palëve, sipas nevojës, do të marrë vendime ose japë rekomandime për ndryshimin, zgjerimin ose revokimin e mjeteve të menaxhimit zonave, duke përfshirë zonat e mbrojtura detare, dhe çdo masë përkatëse të miratuar nga Konferenca e Palëve, mbi bazën e informacionit më të mirë shkencor të disponueshëm dhe njohuritë përkatëse tradicionale të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 duke marrë parasysh teknikat parandaluese dhe politikat e ekosistemit.</w:t>
      </w:r>
    </w:p>
    <w:p w14:paraId="4DF5F99C"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075A29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IV</w:t>
      </w:r>
    </w:p>
    <w:p w14:paraId="6F3CECA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VLERËSIMET E IMPAKTIT MJEDISOR</w:t>
      </w:r>
    </w:p>
    <w:p w14:paraId="0F50DE1A"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C654DE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27</w:t>
      </w:r>
    </w:p>
    <w:p w14:paraId="456A9B8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Objektivat</w:t>
      </w:r>
    </w:p>
    <w:p w14:paraId="25DDEA4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4D727EC3"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Objektivat e kësaj pjese janë:</w:t>
      </w:r>
    </w:p>
    <w:p w14:paraId="3C75E32B" w14:textId="5E1F690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EC10AE" w:rsidRPr="00126A15">
        <w:rPr>
          <w:rFonts w:ascii="Garamond" w:hAnsi="Garamond" w:cs="Garamond"/>
          <w:color w:val="000000"/>
          <w:sz w:val="24"/>
          <w:szCs w:val="24"/>
          <w:lang w:val="sq-AL"/>
        </w:rPr>
        <w:t xml:space="preserve">implementimi </w:t>
      </w:r>
      <w:r w:rsidRPr="00126A15">
        <w:rPr>
          <w:rFonts w:ascii="Garamond" w:hAnsi="Garamond" w:cs="Garamond"/>
          <w:color w:val="000000"/>
          <w:sz w:val="24"/>
          <w:szCs w:val="24"/>
          <w:lang w:val="sq-AL"/>
        </w:rPr>
        <w:t>i dispozitave të Konventës mbi vlerësimin e impaktit mjedisor për zonat jashtë juridiksionit kombëtar duke ngritur procese, teknika dhe çështje të tjera për kryerjen dhe raportimin e vlerësimeve nga Palët;</w:t>
      </w:r>
    </w:p>
    <w:p w14:paraId="1198CAC8" w14:textId="58E86D3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EC10AE" w:rsidRPr="00126A15">
        <w:rPr>
          <w:rFonts w:ascii="Garamond" w:hAnsi="Garamond" w:cs="Garamond"/>
          <w:color w:val="000000"/>
          <w:sz w:val="24"/>
          <w:szCs w:val="24"/>
          <w:lang w:val="sq-AL"/>
        </w:rPr>
        <w:t>t</w:t>
      </w:r>
      <w:r w:rsidRPr="00126A15">
        <w:rPr>
          <w:rFonts w:ascii="Garamond" w:hAnsi="Garamond" w:cs="Garamond"/>
          <w:color w:val="000000"/>
          <w:sz w:val="24"/>
          <w:szCs w:val="24"/>
          <w:lang w:val="sq-AL"/>
        </w:rPr>
        <w:t>ë sigurojë që aktivitetet e mbuluara nga kjo Pjesë të vlerësohen dhe të kryhen për të parandaluar, zbutur dhe menaxhuar ndikime të mëdha negative me qëllim të mbrojtjes dhe ruajtjes së mjedisit detar;</w:t>
      </w:r>
    </w:p>
    <w:p w14:paraId="2DA80C2F" w14:textId="3500D0C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EC10AE" w:rsidRPr="00126A15">
        <w:rPr>
          <w:rFonts w:ascii="Garamond" w:hAnsi="Garamond" w:cs="Garamond"/>
          <w:color w:val="000000"/>
          <w:sz w:val="24"/>
          <w:szCs w:val="24"/>
          <w:lang w:val="sq-AL"/>
        </w:rPr>
        <w:t>t</w:t>
      </w:r>
      <w:r w:rsidRPr="00126A15">
        <w:rPr>
          <w:rFonts w:ascii="Garamond" w:hAnsi="Garamond" w:cs="Garamond"/>
          <w:color w:val="000000"/>
          <w:sz w:val="24"/>
          <w:szCs w:val="24"/>
          <w:lang w:val="sq-AL"/>
        </w:rPr>
        <w:t>ë kontribuojë në analizën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ndikimeve kumulative dhe në ato të zonave brenda juridiksionit kombëtar;</w:t>
      </w:r>
    </w:p>
    <w:p w14:paraId="22E84363" w14:textId="45314A8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w:t>
      </w:r>
      <w:r w:rsidR="007A5D58" w:rsidRPr="00126A15">
        <w:rPr>
          <w:rFonts w:ascii="Garamond" w:hAnsi="Garamond" w:cs="Garamond"/>
          <w:color w:val="000000"/>
          <w:sz w:val="24"/>
          <w:szCs w:val="24"/>
          <w:lang w:val="sq-AL"/>
        </w:rPr>
        <w:t xml:space="preserve"> </w:t>
      </w:r>
      <w:r w:rsidR="00EC10AE" w:rsidRPr="00126A15">
        <w:rPr>
          <w:rFonts w:ascii="Garamond" w:hAnsi="Garamond" w:cs="Garamond"/>
          <w:color w:val="000000"/>
          <w:sz w:val="24"/>
          <w:szCs w:val="24"/>
          <w:lang w:val="sq-AL"/>
        </w:rPr>
        <w:t>t</w:t>
      </w:r>
      <w:r w:rsidRPr="00126A15">
        <w:rPr>
          <w:rFonts w:ascii="Garamond" w:hAnsi="Garamond" w:cs="Garamond"/>
          <w:color w:val="000000"/>
          <w:sz w:val="24"/>
          <w:szCs w:val="24"/>
          <w:lang w:val="sq-AL"/>
        </w:rPr>
        <w:t>ë bëjë vlerësime strategjike mjedisore;</w:t>
      </w:r>
    </w:p>
    <w:p w14:paraId="436DFE69" w14:textId="5B24652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e)</w:t>
      </w:r>
      <w:r w:rsidR="007A5D58" w:rsidRPr="00126A15">
        <w:rPr>
          <w:rFonts w:ascii="Garamond" w:hAnsi="Garamond" w:cs="Garamond"/>
          <w:color w:val="000000"/>
          <w:sz w:val="24"/>
          <w:szCs w:val="24"/>
          <w:lang w:val="sq-AL"/>
        </w:rPr>
        <w:t xml:space="preserve"> </w:t>
      </w:r>
      <w:r w:rsidR="00EC10AE" w:rsidRPr="00126A15">
        <w:rPr>
          <w:rFonts w:ascii="Garamond" w:hAnsi="Garamond" w:cs="Garamond"/>
          <w:color w:val="000000"/>
          <w:sz w:val="24"/>
          <w:szCs w:val="24"/>
          <w:lang w:val="sq-AL"/>
        </w:rPr>
        <w:t>t</w:t>
      </w:r>
      <w:r w:rsidRPr="00126A15">
        <w:rPr>
          <w:rFonts w:ascii="Garamond" w:hAnsi="Garamond" w:cs="Garamond"/>
          <w:color w:val="000000"/>
          <w:sz w:val="24"/>
          <w:szCs w:val="24"/>
          <w:lang w:val="sq-AL"/>
        </w:rPr>
        <w:t>ë arrijë një kuadër koherent vlerësimi të ndikimit mjedisor për aktivitete në fusha përtej juridiksionit kombëtar;</w:t>
      </w:r>
    </w:p>
    <w:p w14:paraId="6DC5ECFD" w14:textId="593A850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f)</w:t>
      </w:r>
      <w:r w:rsidR="007A5D58" w:rsidRPr="00126A15">
        <w:rPr>
          <w:rFonts w:ascii="Garamond" w:hAnsi="Garamond" w:cs="Garamond"/>
          <w:color w:val="000000"/>
          <w:sz w:val="24"/>
          <w:szCs w:val="24"/>
          <w:lang w:val="sq-AL"/>
        </w:rPr>
        <w:t xml:space="preserve"> </w:t>
      </w:r>
      <w:r w:rsidR="00EC10AE" w:rsidRPr="00126A15">
        <w:rPr>
          <w:rFonts w:ascii="Garamond" w:hAnsi="Garamond" w:cs="Garamond"/>
          <w:color w:val="000000"/>
          <w:sz w:val="24"/>
          <w:szCs w:val="24"/>
          <w:lang w:val="sq-AL"/>
        </w:rPr>
        <w:t>t</w:t>
      </w:r>
      <w:r w:rsidRPr="00126A15">
        <w:rPr>
          <w:rFonts w:ascii="Garamond" w:hAnsi="Garamond" w:cs="Garamond"/>
          <w:color w:val="000000"/>
          <w:sz w:val="24"/>
          <w:szCs w:val="24"/>
          <w:lang w:val="sq-AL"/>
        </w:rPr>
        <w:t>ë ndërtojë dhe forcojë kapacitetin e Palëve, veçanërisht të Shteteve Palë në zhvillim, të vendeve më pak të zhvilluara, vendeve në zhvillim pa dalje në det, shteteve gjeografikisht të pafavorizuara, shteteve të v</w:t>
      </w:r>
      <w:r w:rsidR="003C34F0" w:rsidRPr="00126A15">
        <w:rPr>
          <w:rFonts w:ascii="Garamond" w:hAnsi="Garamond" w:cs="Garamond"/>
          <w:color w:val="000000"/>
          <w:sz w:val="24"/>
          <w:szCs w:val="24"/>
          <w:lang w:val="sq-AL"/>
        </w:rPr>
        <w:t>ogla</w:t>
      </w:r>
      <w:r w:rsidRPr="00126A15">
        <w:rPr>
          <w:rFonts w:ascii="Garamond" w:hAnsi="Garamond" w:cs="Garamond"/>
          <w:color w:val="000000"/>
          <w:sz w:val="24"/>
          <w:szCs w:val="24"/>
          <w:lang w:val="sq-AL"/>
        </w:rPr>
        <w:t xml:space="preserve"> ishullor</w:t>
      </w:r>
      <w:r w:rsidR="003C34F0" w:rsidRPr="00126A15">
        <w:rPr>
          <w:rFonts w:ascii="Garamond" w:hAnsi="Garamond" w:cs="Garamond"/>
          <w:color w:val="000000"/>
          <w:sz w:val="24"/>
          <w:szCs w:val="24"/>
          <w:lang w:val="sq-AL"/>
        </w:rPr>
        <w:t>e</w:t>
      </w:r>
      <w:r w:rsidRPr="00126A15">
        <w:rPr>
          <w:rFonts w:ascii="Garamond" w:hAnsi="Garamond" w:cs="Garamond"/>
          <w:color w:val="000000"/>
          <w:sz w:val="24"/>
          <w:szCs w:val="24"/>
          <w:lang w:val="sq-AL"/>
        </w:rPr>
        <w:t xml:space="preserve"> në zhvillim, shteteve bregdetare </w:t>
      </w:r>
      <w:r w:rsidR="00377CC9" w:rsidRPr="00126A15">
        <w:rPr>
          <w:rFonts w:ascii="Garamond" w:hAnsi="Garamond" w:cs="Garamond"/>
          <w:color w:val="000000"/>
          <w:sz w:val="24"/>
          <w:szCs w:val="24"/>
          <w:lang w:val="sq-AL"/>
        </w:rPr>
        <w:t>afrikane</w:t>
      </w:r>
      <w:r w:rsidRPr="00126A15">
        <w:rPr>
          <w:rFonts w:ascii="Garamond" w:hAnsi="Garamond" w:cs="Garamond"/>
          <w:color w:val="000000"/>
          <w:sz w:val="24"/>
          <w:szCs w:val="24"/>
          <w:lang w:val="sq-AL"/>
        </w:rPr>
        <w:t>, shteteve të arkipelagut dhe vendeve në zhvillim me të ardhura mesatare, për të përgatitur, kryer dhe të bëjë vlerësimet e impaktit mjedisor dhe strategjik-mjedisor në mbështetje të objektivave të kësaj Marrëveshjeje.</w:t>
      </w:r>
    </w:p>
    <w:p w14:paraId="5D21A6DC"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6F0B36F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28</w:t>
      </w:r>
    </w:p>
    <w:p w14:paraId="1C49656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Detyrimi për të kryer vlerësime të impaktit mjedisor</w:t>
      </w:r>
    </w:p>
    <w:p w14:paraId="46C4AE1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2575145" w14:textId="5BA8954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1. Palët do të sigurojnë që ndikimet e mundshme në mjedisin detar nga aktivitete të planifikuara nën juridiksionin ose kontrollin e tyre që zhvillohen në zona përtej juridiksionit kombëtar të vlerësohen siç përcaktohet në këtë </w:t>
      </w:r>
      <w:r w:rsidR="00377CC9" w:rsidRPr="00126A15">
        <w:rPr>
          <w:rFonts w:ascii="Garamond" w:hAnsi="Garamond" w:cs="Garamond"/>
          <w:color w:val="000000"/>
          <w:sz w:val="24"/>
          <w:szCs w:val="24"/>
          <w:lang w:val="sq-AL"/>
        </w:rPr>
        <w:t xml:space="preserve">pjesë </w:t>
      </w:r>
      <w:r w:rsidRPr="00126A15">
        <w:rPr>
          <w:rFonts w:ascii="Garamond" w:hAnsi="Garamond" w:cs="Garamond"/>
          <w:color w:val="000000"/>
          <w:sz w:val="24"/>
          <w:szCs w:val="24"/>
          <w:lang w:val="sq-AL"/>
        </w:rPr>
        <w:t>përpara se të autorizohen.</w:t>
      </w:r>
    </w:p>
    <w:p w14:paraId="6AD57E49" w14:textId="1BE97A0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Kur një Palë me juridiksion ose kontroll mbi një aktivitet të planifikuar që do të kryhet në zonat detare brenda juridiksionit kombëtar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mendon se aktiviteti mund të shkaktojë ndotje të konsiderueshme ose ndryshime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mëdha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dhe të dëmshme për mjedisin detar në zona përtej </w:t>
      </w:r>
      <w:r w:rsidRPr="00126A15">
        <w:rPr>
          <w:rFonts w:ascii="Garamond" w:hAnsi="Garamond" w:cs="Garamond"/>
          <w:color w:val="000000"/>
          <w:sz w:val="24"/>
          <w:szCs w:val="24"/>
          <w:lang w:val="sq-AL"/>
        </w:rPr>
        <w:lastRenderedPageBreak/>
        <w:t>juridiksionit kombëtar, ajo Palë do të sigurojë që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vlerësimi 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impaktit mjedisor të një aktiviteti të tillë të kryhet në përputhje me këtë </w:t>
      </w:r>
      <w:r w:rsidR="00377CC9" w:rsidRPr="00126A15">
        <w:rPr>
          <w:rFonts w:ascii="Garamond" w:hAnsi="Garamond" w:cs="Garamond"/>
          <w:color w:val="000000"/>
          <w:sz w:val="24"/>
          <w:szCs w:val="24"/>
          <w:lang w:val="sq-AL"/>
        </w:rPr>
        <w:t xml:space="preserve">pjesë </w:t>
      </w:r>
      <w:r w:rsidRPr="00126A15">
        <w:rPr>
          <w:rFonts w:ascii="Garamond" w:hAnsi="Garamond" w:cs="Garamond"/>
          <w:color w:val="000000"/>
          <w:sz w:val="24"/>
          <w:szCs w:val="24"/>
          <w:lang w:val="sq-AL"/>
        </w:rPr>
        <w:t>ose që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vlerësimi 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 të kryhet në kuadër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veprimtarisë kombëtare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Palës. Pala që kryen një vlerësim të tillë sipas aktivitetit të saj kombëtar: </w:t>
      </w:r>
    </w:p>
    <w:p w14:paraId="1B5A9589" w14:textId="1E9E199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377CC9" w:rsidRPr="00126A15">
        <w:rPr>
          <w:rFonts w:ascii="Garamond" w:hAnsi="Garamond" w:cs="Garamond"/>
          <w:color w:val="000000"/>
          <w:sz w:val="24"/>
          <w:szCs w:val="24"/>
          <w:lang w:val="sq-AL"/>
        </w:rPr>
        <w:t xml:space="preserve">vendos </w:t>
      </w:r>
      <w:r w:rsidRPr="00126A15">
        <w:rPr>
          <w:rFonts w:ascii="Garamond" w:hAnsi="Garamond" w:cs="Garamond"/>
          <w:color w:val="000000"/>
          <w:sz w:val="24"/>
          <w:szCs w:val="24"/>
          <w:lang w:val="sq-AL"/>
        </w:rPr>
        <w:t>në dispozicion informacionin përkatës nëpërmjet Aparati Global të Diversitetit Biologjik, në kohën e duhur, gjatë veprimtarisë kombëtare;</w:t>
      </w:r>
    </w:p>
    <w:p w14:paraId="7D27593F" w14:textId="1451DF2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w:t>
      </w:r>
      <w:r w:rsidR="007A5D58" w:rsidRPr="00126A15">
        <w:rPr>
          <w:rFonts w:ascii="Garamond" w:hAnsi="Garamond" w:cs="Garamond"/>
          <w:color w:val="000000"/>
          <w:sz w:val="24"/>
          <w:szCs w:val="24"/>
          <w:lang w:val="sq-AL"/>
        </w:rPr>
        <w:t xml:space="preserve"> </w:t>
      </w:r>
      <w:r w:rsidR="00377CC9" w:rsidRPr="00126A15">
        <w:rPr>
          <w:rFonts w:ascii="Garamond" w:hAnsi="Garamond" w:cs="Garamond"/>
          <w:color w:val="000000"/>
          <w:sz w:val="24"/>
          <w:szCs w:val="24"/>
          <w:lang w:val="sq-AL"/>
        </w:rPr>
        <w:t xml:space="preserve">siguron </w:t>
      </w:r>
      <w:r w:rsidRPr="00126A15">
        <w:rPr>
          <w:rFonts w:ascii="Garamond" w:hAnsi="Garamond" w:cs="Garamond"/>
          <w:color w:val="000000"/>
          <w:sz w:val="24"/>
          <w:szCs w:val="24"/>
          <w:lang w:val="sq-AL"/>
        </w:rPr>
        <w:t>që aktiviteti të monitorohet në përputhje me kërkesat e veprimtarisë së tij kombëtare;</w:t>
      </w:r>
    </w:p>
    <w:p w14:paraId="6997B3BB" w14:textId="3427314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377CC9" w:rsidRPr="00126A15">
        <w:rPr>
          <w:rFonts w:ascii="Garamond" w:hAnsi="Garamond" w:cs="Garamond"/>
          <w:color w:val="000000"/>
          <w:sz w:val="24"/>
          <w:szCs w:val="24"/>
          <w:lang w:val="sq-AL"/>
        </w:rPr>
        <w:t xml:space="preserve">garanton </w:t>
      </w:r>
      <w:r w:rsidRPr="00126A15">
        <w:rPr>
          <w:rFonts w:ascii="Garamond" w:hAnsi="Garamond" w:cs="Garamond"/>
          <w:color w:val="000000"/>
          <w:sz w:val="24"/>
          <w:szCs w:val="24"/>
          <w:lang w:val="sq-AL"/>
        </w:rPr>
        <w:t>që raportet e vlerësimit të impaktit mjedisor dhe çdo raport monitorues përkatës të vihen në dispozicion përmes Aparatit Global të Diversitetit Biologjik, siç përcaktohet në këtë Marrëveshje.</w:t>
      </w:r>
    </w:p>
    <w:p w14:paraId="7BD6F1DC" w14:textId="329979B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Pas marrjes së informacionit të përmendur në paragrafin 2(a) më sipër, Organi Shkencor dhe Teknik mund t’i japë mendime Palës që ka juridiksion ose kontroll mbi aktivitetin e planifikuar.</w:t>
      </w:r>
    </w:p>
    <w:p w14:paraId="00097877"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65F244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29</w:t>
      </w:r>
    </w:p>
    <w:p w14:paraId="0B008B3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Marrëdhënia ndërmjet kësaj Marrëveshjeje dhe proceseve të vlerësimit të impaktit mjedisor sipas instrumenteve dhe kornizave ligjore përkatëse dhe organeve përkatëse globale, rajonale, lokale dhe krahinore</w:t>
      </w:r>
    </w:p>
    <w:p w14:paraId="2EE9C46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920314C" w14:textId="7C4F591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do të kontribuojnë në aplikimin e vlerësimeve të impaktit mjedisor, miratimin dhe zbatimin e standardeve dhe/ose udhëzimeve të zhvilluara sipas nenit 38 të instrumenteve dhe kornizave ligjore përkatëse, dhe të organeve përkatëse globale, rajonale, lokale dhe krahinore, ku ata janë anëtarë.</w:t>
      </w:r>
    </w:p>
    <w:p w14:paraId="431019BC" w14:textId="2DC11F4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Konferenca e Palëve do të zhvillojë mekanizma sipas kësaj </w:t>
      </w:r>
      <w:r w:rsidR="000A0FAB"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për Organin Shkencor dhe Teknik për të bashkëpunuar me instrumentet dhe kornizat ligjore përkatëse dhe organet përkatëse globale, rajonale, lokale dhe krahinore</w:t>
      </w:r>
      <w:r w:rsidR="008158A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që rregullojnë aktivitetet në fusha përtej juridiksionit kombëtar ose mbrojnë mjedisin detar.</w:t>
      </w:r>
    </w:p>
    <w:p w14:paraId="5BB81511" w14:textId="03D04D4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Kur zhvillohen ose përditësohen standardet ose udhëzimet për kryerjen e vlerësimeve të impaktit mjedisor të aktiviteteve në fusha përtej juridiksionit kombëtar nga Palët e kësaj Marrëveshjeje sipas nenit 38, Organi Shkencor dhe Teknik, sipas rastit, do të bashkëpunojë me instrumentet dhe kornizat përkatëse ligjore dhe përkatëse globale, organet rajonale, lokale dhe krahinore.</w:t>
      </w:r>
    </w:p>
    <w:p w14:paraId="400D09DD" w14:textId="33C4A1B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Nuk është e nevojshme të kryhet një kontroll ose një vlerësim i impaktit mjedisor të një aktiviteti të planifikuar në zona përtej juridiksionit kombëtar, nëse Pala me juridiksion ose kontroll mbi aktivitetin e planifikuar vendos:</w:t>
      </w:r>
    </w:p>
    <w:p w14:paraId="4F403136" w14:textId="2C6CF7D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8158A6" w:rsidRPr="00126A15">
        <w:rPr>
          <w:rFonts w:ascii="Garamond" w:hAnsi="Garamond" w:cs="Garamond"/>
          <w:color w:val="000000"/>
          <w:sz w:val="24"/>
          <w:szCs w:val="24"/>
          <w:lang w:val="sq-AL"/>
        </w:rPr>
        <w:t xml:space="preserve">Që </w:t>
      </w:r>
      <w:r w:rsidRPr="00126A15">
        <w:rPr>
          <w:rFonts w:ascii="Garamond" w:hAnsi="Garamond" w:cs="Garamond"/>
          <w:color w:val="000000"/>
          <w:sz w:val="24"/>
          <w:szCs w:val="24"/>
          <w:lang w:val="sq-AL"/>
        </w:rPr>
        <w:t>ndikimet e mundshme të aktivitetit të planifikuar ose lloji i aktivitetit të vlerësohen në përputhje me kërkesat e instrumenteve ose kornizave të tjera ligjore përkatëse ose organeve përkatëse globale, rajonale, lokale ose krahinore;</w:t>
      </w:r>
    </w:p>
    <w:p w14:paraId="6CACBADB" w14:textId="560D0E7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Se:</w:t>
      </w:r>
    </w:p>
    <w:p w14:paraId="39896662" w14:textId="0007C37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vlerësimi i kryer tashmë për aktivitetin e planifikuar është njëlloj me atë të kërkuar sipas kësaj </w:t>
      </w:r>
      <w:r w:rsidR="00C62A46"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dhe rezultatet e vlerësimit të merren parasysh; ose</w:t>
      </w:r>
    </w:p>
    <w:p w14:paraId="67299D22" w14:textId="6C132AF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rregullat ose standardet e instrumenteve ose kornizave ligjore përkatëse ose organeve përkatëse globale, rajonale, lokale ose krahinore që dalin nga vlerësimi janë krijuar për të parandaluar, zbutur ose menaxhuar ndikimet e mundshme nën pragun e vlerësimeve të impaktit mjedisor sipas kësaj </w:t>
      </w:r>
      <w:r w:rsidR="00823FCD"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 dhe me të cilat ato janë zbatuar.</w:t>
      </w:r>
    </w:p>
    <w:p w14:paraId="427E11E5" w14:textId="20A570B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Kur një vlerësim për impaktin mjedisor të një aktiviteti të planifikuar në zona përtej juridiksionit kombëtar është kryer sipas një instrumenti ose kuadri ligjor përkatës ose një organi përkatës global, rajonal, lokal ose krahinor, Pala e interesuar duhet të garantojë se raporti i vlerësimit të impaktit mjedisor të publikohet nëpërmjet Aparatit Global të Diversitetit Biologjik.</w:t>
      </w:r>
    </w:p>
    <w:p w14:paraId="79815149" w14:textId="269C821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6. Nëse aktivitetet e planifikuara që plotësojnë kriteret e përcaktuara në paragrafin 4 (b) (i) më sipër i nënshtrohen monitorimit dhe analizës sipas instrumentit ose kuadrit ligjor përkatës ose organit përkatës global, rajonal, lokal ose krahinor, Palët do të monitorojnë dhe analizojnë aktivitetet dhe të </w:t>
      </w:r>
      <w:r w:rsidRPr="00126A15">
        <w:rPr>
          <w:rFonts w:ascii="Garamond" w:hAnsi="Garamond" w:cs="Garamond"/>
          <w:color w:val="000000"/>
          <w:sz w:val="24"/>
          <w:szCs w:val="24"/>
          <w:lang w:val="sq-AL"/>
        </w:rPr>
        <w:lastRenderedPageBreak/>
        <w:t>sigurojnë që raportet e monitorimit dhe analizimit të publikohen nëpërmjet Aparati Global të Diversitetit Biologjik.</w:t>
      </w:r>
    </w:p>
    <w:p w14:paraId="71184837"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4B9758F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30</w:t>
      </w:r>
    </w:p>
    <w:p w14:paraId="083E019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 xml:space="preserve"> Teknikat dhe elementet për kryerjen e vlerësimeve të impaktit mjedisor</w:t>
      </w:r>
    </w:p>
    <w:p w14:paraId="4DCF8DE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E8338B9" w14:textId="45CCEED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Kur një aktivitet i planifikuar mund të ketë më shumë se një efekt të vogël ose kalimtar në mjedisin detar, ose efektet e aktivitetit janë të panjohura ose të keqkuptuara</w:t>
      </w:r>
      <w:r w:rsidR="004A6CB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Pala me juridiksion ose kontrollin e aktivitetit do të kryejë një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monitorim të aktivitetit sipas nenit 31, duke përdorur elementet e përcaktuar në paragrafin 2 më poshtë, dhe:</w:t>
      </w:r>
    </w:p>
    <w:p w14:paraId="7B23E353" w14:textId="0CF8889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Monitorimi duhet të jetë mjaft i detajuar që pala të vlerësojë nëse ka arsye objektive për të besuar se aktiviteti i planifikuar mund të shkaktojë ndotje apo ndryshime të mëdha, të dëmshmen në mjedisin detar, duke përfshirë:</w:t>
      </w:r>
    </w:p>
    <w:p w14:paraId="2AD4EA5A" w14:textId="608FF5F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një përshkrim të aktivitetit të planifikuar, duke përfshirë qëllimin, vendndodhjen, kohëzgjatjen dhe intensitetin e tij; dhe</w:t>
      </w:r>
    </w:p>
    <w:p w14:paraId="452F5AA2" w14:textId="05CB9F7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D87BD3"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analizë fillestare e ndikimeve të mundshme, duke përfshirë marrjen në konsideratë të ndikimeve kumulative dhe, sipas rastit, alternativa të aktivitetit të planifikuar;</w:t>
      </w:r>
    </w:p>
    <w:p w14:paraId="44B4CDD2" w14:textId="67FF391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Nëse në bazë të monitorimit përcaktohet se Pala ka arsye objektive për të besuar se aktiviteti mund të shkaktojë ndotje ose ndryshime të mëdha, të dëmshme, në mjedisin detar, një vlerësim mbi impaktin mjedisor do të kryhet në përputhje me dispozitat e këtij </w:t>
      </w:r>
      <w:r w:rsidR="004A1472" w:rsidRPr="00126A15">
        <w:rPr>
          <w:rFonts w:ascii="Garamond" w:hAnsi="Garamond" w:cs="Garamond"/>
          <w:color w:val="000000"/>
          <w:sz w:val="24"/>
          <w:szCs w:val="24"/>
          <w:lang w:val="sq-AL"/>
        </w:rPr>
        <w:t>pjesë</w:t>
      </w:r>
      <w:r w:rsidRPr="00126A15">
        <w:rPr>
          <w:rFonts w:ascii="Garamond" w:hAnsi="Garamond" w:cs="Garamond"/>
          <w:color w:val="000000"/>
          <w:sz w:val="24"/>
          <w:szCs w:val="24"/>
          <w:lang w:val="sq-AL"/>
        </w:rPr>
        <w:t>.</w:t>
      </w:r>
    </w:p>
    <w:p w14:paraId="6748CA60"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Kur vendoset se aktivitetet e planifikuara nën juridiksionin ose kontrollin e tyre përmbushin pragun e përcaktuar në paragrafin 1 më sipër, Palët do të marrin parasysh elementet e mëposhtme jo shteruese:</w:t>
      </w:r>
    </w:p>
    <w:p w14:paraId="6E88C3F3" w14:textId="20130A2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834245" w:rsidRPr="00126A15">
        <w:rPr>
          <w:rFonts w:ascii="Garamond" w:hAnsi="Garamond" w:cs="Garamond"/>
          <w:color w:val="000000"/>
          <w:sz w:val="24"/>
          <w:szCs w:val="24"/>
          <w:lang w:val="sq-AL"/>
        </w:rPr>
        <w:t xml:space="preserve">llojin </w:t>
      </w:r>
      <w:r w:rsidRPr="00126A15">
        <w:rPr>
          <w:rFonts w:ascii="Garamond" w:hAnsi="Garamond" w:cs="Garamond"/>
          <w:color w:val="000000"/>
          <w:sz w:val="24"/>
          <w:szCs w:val="24"/>
          <w:lang w:val="sq-AL"/>
        </w:rPr>
        <w:t>dhe teknologjinë e përdorur për veprimtarinë dhe mënyrën me të cilën do të zhvillohet;</w:t>
      </w:r>
    </w:p>
    <w:p w14:paraId="0FD243E1" w14:textId="185DE0A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834245" w:rsidRPr="00126A15">
        <w:rPr>
          <w:rFonts w:ascii="Garamond" w:hAnsi="Garamond" w:cs="Garamond"/>
          <w:color w:val="000000"/>
          <w:sz w:val="24"/>
          <w:szCs w:val="24"/>
          <w:lang w:val="sq-AL"/>
        </w:rPr>
        <w:t xml:space="preserve">kohëzgjatja </w:t>
      </w:r>
      <w:r w:rsidRPr="00126A15">
        <w:rPr>
          <w:rFonts w:ascii="Garamond" w:hAnsi="Garamond" w:cs="Garamond"/>
          <w:color w:val="000000"/>
          <w:sz w:val="24"/>
          <w:szCs w:val="24"/>
          <w:lang w:val="sq-AL"/>
        </w:rPr>
        <w:t>e aktivitetit;</w:t>
      </w:r>
    </w:p>
    <w:p w14:paraId="1082D94C" w14:textId="7FA8CA9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834245" w:rsidRPr="00126A15">
        <w:rPr>
          <w:rFonts w:ascii="Garamond" w:hAnsi="Garamond" w:cs="Garamond"/>
          <w:color w:val="000000"/>
          <w:sz w:val="24"/>
          <w:szCs w:val="24"/>
          <w:lang w:val="sq-AL"/>
        </w:rPr>
        <w:t xml:space="preserve">vendi </w:t>
      </w:r>
      <w:r w:rsidRPr="00126A15">
        <w:rPr>
          <w:rFonts w:ascii="Garamond" w:hAnsi="Garamond" w:cs="Garamond"/>
          <w:color w:val="000000"/>
          <w:sz w:val="24"/>
          <w:szCs w:val="24"/>
          <w:lang w:val="sq-AL"/>
        </w:rPr>
        <w:t>i aktivitetit;</w:t>
      </w:r>
    </w:p>
    <w:p w14:paraId="06D6E1D3" w14:textId="63DCA76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834245" w:rsidRPr="00126A15">
        <w:rPr>
          <w:rFonts w:ascii="Garamond" w:hAnsi="Garamond" w:cs="Garamond"/>
          <w:color w:val="000000"/>
          <w:sz w:val="24"/>
          <w:szCs w:val="24"/>
          <w:lang w:val="sq-AL"/>
        </w:rPr>
        <w:t xml:space="preserve">karakteristikat </w:t>
      </w:r>
      <w:r w:rsidRPr="00126A15">
        <w:rPr>
          <w:rFonts w:ascii="Garamond" w:hAnsi="Garamond" w:cs="Garamond"/>
          <w:color w:val="000000"/>
          <w:sz w:val="24"/>
          <w:szCs w:val="24"/>
          <w:lang w:val="sq-AL"/>
        </w:rPr>
        <w:t>dhe ekosistemi i rajonit (duke përfshirë zonat me rëndësi ose cenueshmëri të veçantë ekologjike ose biologjike);</w:t>
      </w:r>
    </w:p>
    <w:p w14:paraId="7CA20B61" w14:textId="516AB3B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834245" w:rsidRPr="00126A15">
        <w:rPr>
          <w:rFonts w:ascii="Garamond" w:hAnsi="Garamond" w:cs="Garamond"/>
          <w:color w:val="000000"/>
          <w:sz w:val="24"/>
          <w:szCs w:val="24"/>
          <w:lang w:val="sq-AL"/>
        </w:rPr>
        <w:t xml:space="preserve">ndikimet </w:t>
      </w:r>
      <w:r w:rsidRPr="00126A15">
        <w:rPr>
          <w:rFonts w:ascii="Garamond" w:hAnsi="Garamond" w:cs="Garamond"/>
          <w:color w:val="000000"/>
          <w:sz w:val="24"/>
          <w:szCs w:val="24"/>
          <w:lang w:val="sq-AL"/>
        </w:rPr>
        <w:t>e mundshme të aktivitetit, duke përfshirë ndikimet e mundshme kumulative dhe ndikimet e mundshme në zonat brenda juridiksionit kombëtar;</w:t>
      </w:r>
    </w:p>
    <w:p w14:paraId="6F9B7D20" w14:textId="5288B6D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f) </w:t>
      </w:r>
      <w:r w:rsidR="00834245" w:rsidRPr="00126A15">
        <w:rPr>
          <w:rFonts w:ascii="Garamond" w:hAnsi="Garamond" w:cs="Garamond"/>
          <w:color w:val="000000"/>
          <w:sz w:val="24"/>
          <w:szCs w:val="24"/>
          <w:lang w:val="sq-AL"/>
        </w:rPr>
        <w:t xml:space="preserve">shkalla </w:t>
      </w:r>
      <w:r w:rsidRPr="00126A15">
        <w:rPr>
          <w:rFonts w:ascii="Garamond" w:hAnsi="Garamond" w:cs="Garamond"/>
          <w:color w:val="000000"/>
          <w:sz w:val="24"/>
          <w:szCs w:val="24"/>
          <w:lang w:val="sq-AL"/>
        </w:rPr>
        <w:t>në të cilën efektet e aktivitetit janë të panjohura ose të keqkuptuara;</w:t>
      </w:r>
    </w:p>
    <w:p w14:paraId="3B1C1C40" w14:textId="66F25E5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g) </w:t>
      </w:r>
      <w:r w:rsidR="00834245" w:rsidRPr="00126A15">
        <w:rPr>
          <w:rFonts w:ascii="Garamond" w:hAnsi="Garamond" w:cs="Garamond"/>
          <w:color w:val="000000"/>
          <w:sz w:val="24"/>
          <w:szCs w:val="24"/>
          <w:lang w:val="sq-AL"/>
        </w:rPr>
        <w:t xml:space="preserve">kritere </w:t>
      </w:r>
      <w:r w:rsidRPr="00126A15">
        <w:rPr>
          <w:rFonts w:ascii="Garamond" w:hAnsi="Garamond" w:cs="Garamond"/>
          <w:color w:val="000000"/>
          <w:sz w:val="24"/>
          <w:szCs w:val="24"/>
          <w:lang w:val="sq-AL"/>
        </w:rPr>
        <w:t>të tjera përkatëse ekologjike ose biologjike.</w:t>
      </w:r>
    </w:p>
    <w:p w14:paraId="4074A52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55F1BF0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31</w:t>
      </w:r>
    </w:p>
    <w:p w14:paraId="363B8B20"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Procesi për vlerësimin e impaktit mjedisor</w:t>
      </w:r>
    </w:p>
    <w:p w14:paraId="25551AF3"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4CF7AB54" w14:textId="2A08415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do të sigurojnë që procesi për kryerjen e një vlerësimi të impaktit mjedisor në përputhje me këtë pjesë të përfshijë hapat e mëposhtëm:</w:t>
      </w:r>
    </w:p>
    <w:p w14:paraId="54748131" w14:textId="60977F5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Monitorimi. Palët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kryejnë monitorimin, në kohën e duhur, për të përcaktuar nëse vlerësim i impaktit mjedisor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kërkohet për një aktivitet të planifikuar nën juridiksionin ose kontrollin e tyre, në përputhje me nenin 30, dhe të bëjnë vendimin e tij të disponueshëm publikisht:</w:t>
      </w:r>
    </w:p>
    <w:p w14:paraId="148D202D" w14:textId="23E0BE7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B32DDE" w:rsidRPr="00126A15">
        <w:rPr>
          <w:rFonts w:ascii="Garamond" w:hAnsi="Garamond" w:cs="Garamond"/>
          <w:color w:val="000000"/>
          <w:sz w:val="24"/>
          <w:szCs w:val="24"/>
          <w:lang w:val="sq-AL"/>
        </w:rPr>
        <w:t xml:space="preserve">. nëse </w:t>
      </w:r>
      <w:r w:rsidRPr="00126A15">
        <w:rPr>
          <w:rFonts w:ascii="Garamond" w:hAnsi="Garamond" w:cs="Garamond"/>
          <w:color w:val="000000"/>
          <w:sz w:val="24"/>
          <w:szCs w:val="24"/>
          <w:lang w:val="sq-AL"/>
        </w:rPr>
        <w:t>një Palë vendos se një vlerësim mbi impaktin mjedisor nuk kërkohet për një aktivitet të planifikuar nën juridiksionin ose kontrollin e saj, ajo do ta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publikojë informacionin përkatës, duke përfshirë nenin 30, paragrafi 1(a), nëpërmjet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Aparati Global të Diversitetit Biologjik</w:t>
      </w:r>
      <w:r w:rsidR="001761B7"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sipas kësaj Marrëveshjeje;</w:t>
      </w:r>
    </w:p>
    <w:p w14:paraId="05181CFE" w14:textId="5A3C168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B32DDE"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B32DDE" w:rsidRPr="00126A15">
        <w:rPr>
          <w:rFonts w:ascii="Garamond" w:hAnsi="Garamond" w:cs="Garamond"/>
          <w:color w:val="000000"/>
          <w:sz w:val="24"/>
          <w:szCs w:val="24"/>
          <w:lang w:val="sq-AL"/>
        </w:rPr>
        <w:t xml:space="preserve">mbi </w:t>
      </w:r>
      <w:r w:rsidRPr="00126A15">
        <w:rPr>
          <w:rFonts w:ascii="Garamond" w:hAnsi="Garamond" w:cs="Garamond"/>
          <w:color w:val="000000"/>
          <w:sz w:val="24"/>
          <w:szCs w:val="24"/>
          <w:lang w:val="sq-AL"/>
        </w:rPr>
        <w:t>bazën e informacionit më të mirë të disponueshëm shkencor dhe</w:t>
      </w:r>
      <w:r w:rsidR="004A6CB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kur të jetë e mundur, njohurive përkatëse tradicionale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autoktonëve dhe komuniteteve lokale, njëra Palë mund të paraqesë pikëpamjet e saj mbi ndikimet e mundshme të një aktiviteti të planifikuar për të cilin është vendosur </w:t>
      </w:r>
      <w:r w:rsidRPr="00126A15">
        <w:rPr>
          <w:rFonts w:ascii="Garamond" w:hAnsi="Garamond" w:cs="Garamond"/>
          <w:color w:val="000000"/>
          <w:sz w:val="24"/>
          <w:szCs w:val="24"/>
          <w:lang w:val="sq-AL"/>
        </w:rPr>
        <w:lastRenderedPageBreak/>
        <w:t>diçka në përputhje me nënparagrafin</w:t>
      </w:r>
      <w:r w:rsidR="001761B7" w:rsidRPr="00126A15">
        <w:rPr>
          <w:rFonts w:ascii="Garamond" w:hAnsi="Garamond" w:cs="Garamond"/>
          <w:color w:val="000000"/>
          <w:sz w:val="24"/>
          <w:szCs w:val="24"/>
          <w:lang w:val="sq-AL"/>
        </w:rPr>
        <w:t xml:space="preserve"> </w:t>
      </w:r>
      <w:r w:rsidR="007A2067"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a)(i) më sipër me Palën që ka paraqitur vendimin dhe me Organin Shkencor dhe Teknik, brenda 40 ditëve nga publikimi i tij;</w:t>
      </w:r>
    </w:p>
    <w:p w14:paraId="091CEA0F" w14:textId="188149C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B32DDE"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B32DDE" w:rsidRPr="00126A15">
        <w:rPr>
          <w:rFonts w:ascii="Garamond" w:hAnsi="Garamond" w:cs="Garamond"/>
          <w:color w:val="000000"/>
          <w:sz w:val="24"/>
          <w:szCs w:val="24"/>
          <w:lang w:val="sq-AL"/>
        </w:rPr>
        <w:t xml:space="preserve">nëse </w:t>
      </w:r>
      <w:r w:rsidRPr="00126A15">
        <w:rPr>
          <w:rFonts w:ascii="Garamond" w:hAnsi="Garamond" w:cs="Garamond"/>
          <w:color w:val="000000"/>
          <w:sz w:val="24"/>
          <w:szCs w:val="24"/>
          <w:lang w:val="sq-AL"/>
        </w:rPr>
        <w:t>Pala që ka paraqitur pikëpamjet e saj ka shprehur shqetësime mbi ndikimet e mundshme të një aktiviteti të planifikuar mbi të cilin është marrë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vendimi, Pala që ka dalë në atë përfundim do t’i marrë parasysh këto shqetësime dhe mund</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ta analizojë vendimin e saj;</w:t>
      </w:r>
    </w:p>
    <w:p w14:paraId="354BF440" w14:textId="327CC5A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iv</w:t>
      </w:r>
      <w:r w:rsidR="004170A4"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4170A4" w:rsidRPr="00126A15">
        <w:rPr>
          <w:rFonts w:ascii="Garamond" w:hAnsi="Garamond" w:cs="Garamond"/>
          <w:color w:val="000000"/>
          <w:sz w:val="24"/>
          <w:szCs w:val="24"/>
          <w:lang w:val="sq-AL"/>
        </w:rPr>
        <w:t xml:space="preserve">pas shqyrtimit </w:t>
      </w:r>
      <w:r w:rsidRPr="00126A15">
        <w:rPr>
          <w:rFonts w:ascii="Garamond" w:hAnsi="Garamond" w:cs="Garamond"/>
          <w:color w:val="000000"/>
          <w:sz w:val="24"/>
          <w:szCs w:val="24"/>
          <w:lang w:val="sq-AL"/>
        </w:rPr>
        <w:t>të shqetësimeve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ngritura nga njëra Palë sipas nënparagrafit (a)(ii) më sipër, Organi Shkencor dhe Teknik do të marrë në konsideratë dhe mund të vlerësojë ndikimet e mundshme të aktivitetit të planifikuar në bazë të informacionit më të mirë shkencor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disponueshëm dhe, kur është e mundur edhe me njohuritë përkatëse tradicionale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autoktonëve dhe komuniteteve lokale dhe, sipas rastit, mund t’i bëjë rekomandime Palës që ka marrë vendimin pasi t’i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ketë dhënë asaj Palë mundësinë për t’iu përgjigjur shqetësimeve të ngritura dhe duke marrë parasysh një përgjigje të tillë;</w:t>
      </w:r>
    </w:p>
    <w:p w14:paraId="3DE61AEF" w14:textId="1ED558E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w:t>
      </w:r>
      <w:r w:rsidR="004170A4"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4170A4" w:rsidRPr="00126A15">
        <w:rPr>
          <w:rFonts w:ascii="Garamond" w:hAnsi="Garamond" w:cs="Garamond"/>
          <w:color w:val="000000"/>
          <w:sz w:val="24"/>
          <w:szCs w:val="24"/>
          <w:lang w:val="sq-AL"/>
        </w:rPr>
        <w:t xml:space="preserve">pala </w:t>
      </w:r>
      <w:r w:rsidRPr="00126A15">
        <w:rPr>
          <w:rFonts w:ascii="Garamond" w:hAnsi="Garamond" w:cs="Garamond"/>
          <w:color w:val="000000"/>
          <w:sz w:val="24"/>
          <w:szCs w:val="24"/>
          <w:lang w:val="sq-AL"/>
        </w:rPr>
        <w:t>që ka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marrë vendimin sipas nënparagrafit (a)(i) më sipër do të marrë parasysh çdo rekomandim të Organit Shkencor dhe Teknik</w:t>
      </w:r>
      <w:r w:rsidR="004415CE" w:rsidRPr="00126A15">
        <w:rPr>
          <w:rFonts w:ascii="Garamond" w:hAnsi="Garamond" w:cs="Garamond"/>
          <w:color w:val="000000"/>
          <w:sz w:val="24"/>
          <w:szCs w:val="24"/>
          <w:lang w:val="sq-AL"/>
        </w:rPr>
        <w:t>;</w:t>
      </w:r>
    </w:p>
    <w:p w14:paraId="3FA41AF1" w14:textId="63CB1D9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vi</w:t>
      </w:r>
      <w:r w:rsidR="004415CE"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Mendimet dhe rekomandimeve e Organit Shkencor dhe Teknik do t’i vihen në dispozicion publikut nëpërmjet Aparatit Global të Diversitetit Biologjik.</w:t>
      </w:r>
    </w:p>
    <w:p w14:paraId="15AA5A68" w14:textId="4DB76CB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Analiza. Palët do të sigurojnë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se impaktet kyçe mjedisore dhe çdo impakt tjetër,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 ndikimet ekonomike, sociale, kulturore dhe në shëndetin e njeriut, duke përfshirë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impaktet e mundshme kumulative në zonat brenda juridiksionit kombëtar, si dhe alternativat ndaj aktivitetit të planifikuar, nëse ka, në vlerësimet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impaktit mjedisor që do të kryhen sipas kësaj </w:t>
      </w:r>
      <w:r w:rsidR="00E876D6"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njihen. Analiza do të bëhet duke përdorur informacionin më të mirë shkencor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disponueshëm dhe, kur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jetë e mundur, njohuritë përkatëse tradicionale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autoktonëve dhe komuniteteve lokale;</w:t>
      </w:r>
    </w:p>
    <w:p w14:paraId="435B0CDE" w14:textId="1804739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Vlerësimi i impaktit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përfundimi. Palët do të sigurojnë që ndikimet e aktiviteteve të planifikuara, duke përfshirë ndikimet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kumulative në zonat brenda juridiksionit kombëtar, të vlerësohen dhe përfundohen duke përdorur informacionin më të mirë dhe t</w:t>
      </w:r>
      <w:r w:rsidR="00A2348B" w:rsidRPr="00126A15">
        <w:rPr>
          <w:rFonts w:ascii="Garamond" w:hAnsi="Garamond" w:cs="Garamond"/>
          <w:color w:val="000000"/>
          <w:sz w:val="24"/>
          <w:szCs w:val="24"/>
          <w:lang w:val="sq-AL"/>
        </w:rPr>
        <w:t>ë</w:t>
      </w:r>
      <w:r w:rsidRPr="00126A15">
        <w:rPr>
          <w:rFonts w:ascii="Garamond" w:hAnsi="Garamond" w:cs="Garamond"/>
          <w:color w:val="000000"/>
          <w:sz w:val="24"/>
          <w:szCs w:val="24"/>
          <w:lang w:val="sq-AL"/>
        </w:rPr>
        <w:t xml:space="preserve"> disponueshëm shkencor dhe, kur është e mundur, njohuritë përkatëse tradicionale të</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w:t>
      </w:r>
    </w:p>
    <w:p w14:paraId="17096642" w14:textId="7C1EF6E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 Parandalimi, zbutja dhe menaxhimi i efekteve të mundshme negative. Palët do të sigurojnë që:</w:t>
      </w:r>
    </w:p>
    <w:p w14:paraId="5EA4C200" w14:textId="4693A08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6B02A9"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A2348B" w:rsidRPr="00126A15">
        <w:rPr>
          <w:rFonts w:ascii="Garamond" w:hAnsi="Garamond" w:cs="Garamond"/>
          <w:color w:val="000000"/>
          <w:sz w:val="24"/>
          <w:szCs w:val="24"/>
          <w:lang w:val="sq-AL"/>
        </w:rPr>
        <w:t xml:space="preserve">masat </w:t>
      </w:r>
      <w:r w:rsidRPr="00126A15">
        <w:rPr>
          <w:rFonts w:ascii="Garamond" w:hAnsi="Garamond" w:cs="Garamond"/>
          <w:color w:val="000000"/>
          <w:sz w:val="24"/>
          <w:szCs w:val="24"/>
          <w:lang w:val="sq-AL"/>
        </w:rPr>
        <w:t>për të parandaluar, zbutur dhe menaxhuar efektet negative të mundshme të aktiviteteve të planifikuara nën juridiksionin ose kontrollin e tyre, të identifikohen dhe të analizohen për të shmangur ndikimet e mëdha negative</w:t>
      </w:r>
      <w:r w:rsidR="00A2348B" w:rsidRPr="00126A15">
        <w:rPr>
          <w:rFonts w:ascii="Garamond" w:hAnsi="Garamond" w:cs="Garamond"/>
          <w:color w:val="000000"/>
          <w:sz w:val="24"/>
          <w:szCs w:val="24"/>
          <w:lang w:val="sq-AL"/>
        </w:rPr>
        <w:t xml:space="preserve">; masa </w:t>
      </w:r>
      <w:r w:rsidRPr="00126A15">
        <w:rPr>
          <w:rFonts w:ascii="Garamond" w:hAnsi="Garamond" w:cs="Garamond"/>
          <w:color w:val="000000"/>
          <w:sz w:val="24"/>
          <w:szCs w:val="24"/>
          <w:lang w:val="sq-AL"/>
        </w:rPr>
        <w:t>të tilla mund të përfshijnë marrjen parasysh të alternativave ndaj aktivitetit të planifikuar nën juridiksionin ose kontrollin e tyre;</w:t>
      </w:r>
    </w:p>
    <w:p w14:paraId="71B35389" w14:textId="553727B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6B02A9" w:rsidRPr="00126A15">
        <w:rPr>
          <w:rFonts w:ascii="Garamond" w:hAnsi="Garamond" w:cs="Garamond"/>
          <w:color w:val="000000"/>
          <w:sz w:val="24"/>
          <w:szCs w:val="24"/>
          <w:lang w:val="sq-AL"/>
        </w:rPr>
        <w:t xml:space="preserve">. </w:t>
      </w:r>
      <w:r w:rsidR="00A2348B" w:rsidRPr="00126A15">
        <w:rPr>
          <w:rFonts w:ascii="Garamond" w:hAnsi="Garamond" w:cs="Garamond"/>
          <w:color w:val="000000"/>
          <w:sz w:val="24"/>
          <w:szCs w:val="24"/>
          <w:lang w:val="sq-AL"/>
        </w:rPr>
        <w:t xml:space="preserve">kur </w:t>
      </w:r>
      <w:r w:rsidRPr="00126A15">
        <w:rPr>
          <w:rFonts w:ascii="Garamond" w:hAnsi="Garamond" w:cs="Garamond"/>
          <w:color w:val="000000"/>
          <w:sz w:val="24"/>
          <w:szCs w:val="24"/>
          <w:lang w:val="sq-AL"/>
        </w:rPr>
        <w:t>është e përshtatshme, këto masa integrohen në një plan menaxhimi mjedisor;</w:t>
      </w:r>
    </w:p>
    <w:p w14:paraId="0798B14C" w14:textId="02CC22B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e) Palët do të përcjellin njoftimin dhe konsultimin publik në përputhje me nenin 32.</w:t>
      </w:r>
    </w:p>
    <w:p w14:paraId="07D67446" w14:textId="6C5C215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f) Palët do të sigurojnë përgatitjen dhe publikimin e një raporti vlerësimi të impaktit mjedisor në përputhje me nenin 33.</w:t>
      </w:r>
    </w:p>
    <w:p w14:paraId="493755BB" w14:textId="7416105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Palët mund të kryejnë vlerësime të përbashkëta të impaktit mjedisor, veçanërisht për aktivitetet e planifikuara nën juridiksionin ose kontrollin e shteteve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v</w:t>
      </w:r>
      <w:r w:rsidR="00197188">
        <w:rPr>
          <w:rFonts w:ascii="Garamond" w:hAnsi="Garamond" w:cs="Garamond"/>
          <w:color w:val="000000"/>
          <w:sz w:val="24"/>
          <w:szCs w:val="24"/>
          <w:lang w:val="sq-AL"/>
        </w:rPr>
        <w:t>ogla</w:t>
      </w:r>
      <w:r w:rsidRPr="00126A15">
        <w:rPr>
          <w:rFonts w:ascii="Garamond" w:hAnsi="Garamond" w:cs="Garamond"/>
          <w:color w:val="000000"/>
          <w:sz w:val="24"/>
          <w:szCs w:val="24"/>
          <w:lang w:val="sq-AL"/>
        </w:rPr>
        <w:t xml:space="preserve"> ishullor</w:t>
      </w:r>
      <w:r w:rsidR="00D81DD4">
        <w:rPr>
          <w:rFonts w:ascii="Garamond" w:hAnsi="Garamond" w:cs="Garamond"/>
          <w:color w:val="000000"/>
          <w:sz w:val="24"/>
          <w:szCs w:val="24"/>
          <w:lang w:val="sq-AL"/>
        </w:rPr>
        <w:t>e</w:t>
      </w:r>
      <w:r w:rsidRPr="00126A15">
        <w:rPr>
          <w:rFonts w:ascii="Garamond" w:hAnsi="Garamond" w:cs="Garamond"/>
          <w:color w:val="000000"/>
          <w:sz w:val="24"/>
          <w:szCs w:val="24"/>
          <w:lang w:val="sq-AL"/>
        </w:rPr>
        <w:t xml:space="preserve"> në zhvillim.</w:t>
      </w:r>
    </w:p>
    <w:p w14:paraId="6AE0B887" w14:textId="5E5DBCE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Nëpërmjet Organit Shkencor dhe Teknik do të krijohet një listë ekspertësh. Palët me kufizime kapacitetesh mund të kërkojnë këshilla dhe ndihmë nga këta ekspertë për të kryer dhe vlerësuar monitorimet dhe vlerësimet e impaktit mjedisor për një aktivitet të planifikuar nën juridiksionin ose kontrollin e tyre. Ekspertët nuk mund të emërohen në një pjesë tjetër të procesit të vlerësimit të impaktit mjedisor të të njëjtit aktivitet. Pala që ka kërkuar këshillën dhe ndihmën duhet të sigurojë që vlerësimet mbi impaktin mjedisor t’i paraqiten asaj për shqyrtim dhe vendimmarrje.</w:t>
      </w:r>
    </w:p>
    <w:p w14:paraId="4A140BD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E16965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32</w:t>
      </w:r>
    </w:p>
    <w:p w14:paraId="4393392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Njoftimi dhe konsultimi publik</w:t>
      </w:r>
    </w:p>
    <w:p w14:paraId="0204CFE9"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DA8D458" w14:textId="335FE7C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1. Palët do të sigurojnë njoftimin publik në kohë të një aktiviteti të planifikuar, duke përfshirë publikimin nëpërmjet Aparatit Global të Diversitetit Biologjik dhe sekretariatit, dhe mundësitë e </w:t>
      </w:r>
      <w:r w:rsidRPr="00126A15">
        <w:rPr>
          <w:rFonts w:ascii="Garamond" w:hAnsi="Garamond" w:cs="Garamond"/>
          <w:color w:val="000000"/>
          <w:sz w:val="24"/>
          <w:szCs w:val="24"/>
          <w:lang w:val="sq-AL"/>
        </w:rPr>
        <w:lastRenderedPageBreak/>
        <w:t xml:space="preserve">arsyeshme dhe reale të kufizuara në kohë, për aq sa është e mundur, për pjesëmarrje nga të gjitha shtetet, në veçanti shtetet bregdetare fqinje dhe çdo shtet tjetër afër aktivitetit kur ato të jenë shtete potencialisht më të prekura, dhe palët e interesuara në procesin e vlerësimit të impaktit mjedisor. Njoftimi dhe mundësitë për pjesëmarrje, duke përfshirë dhënien e mendimeve, do të bëhen gjatë gjithë procesit të vlerësimit të impaktit mjedisor, sipas rastit, duke përfshirë analizat e pasqyruara të një vlerësimi të impaktit mjedisor sipas nenit 31, paragrafi 1(b), dhe kur draftraporti i vlerësimit të impaktit mjedisor është përgatitur sipas nenit 33, përpara se të merret vendimi që do të autorizonte veprimtarinë. </w:t>
      </w:r>
    </w:p>
    <w:p w14:paraId="20E6FE61" w14:textId="45A3027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Shtetet potencialisht më të prekura do të përcaktohen duke marrë parasysh natyrën dhe efektet e mundshme në mjedisin detar të aktivitetit të planifikuar dhe do të përfshijnë:</w:t>
      </w:r>
    </w:p>
    <w:p w14:paraId="58B98184" w14:textId="7FCAB0D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A2348B" w:rsidRPr="00126A15">
        <w:rPr>
          <w:rFonts w:ascii="Garamond" w:hAnsi="Garamond" w:cs="Garamond"/>
          <w:color w:val="000000"/>
          <w:sz w:val="24"/>
          <w:szCs w:val="24"/>
          <w:lang w:val="sq-AL"/>
        </w:rPr>
        <w:t xml:space="preserve">shtetet </w:t>
      </w:r>
      <w:r w:rsidRPr="00126A15">
        <w:rPr>
          <w:rFonts w:ascii="Garamond" w:hAnsi="Garamond" w:cs="Garamond"/>
          <w:color w:val="000000"/>
          <w:sz w:val="24"/>
          <w:szCs w:val="24"/>
          <w:lang w:val="sq-AL"/>
        </w:rPr>
        <w:t>bregdetare ushtrimi i të drejtave absolute të të cilave, me qëllim të eksplorimit, përdorimit, ruajtjes ose menaxhimit të burimeve natyrore mund të besohet në mënyrë të arsyeshme se ndikohen nga aktiviteti;</w:t>
      </w:r>
    </w:p>
    <w:p w14:paraId="5FAA7A38" w14:textId="616AC63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A2348B" w:rsidRPr="00126A15">
        <w:rPr>
          <w:rFonts w:ascii="Garamond" w:hAnsi="Garamond" w:cs="Garamond"/>
          <w:color w:val="000000"/>
          <w:sz w:val="24"/>
          <w:szCs w:val="24"/>
          <w:lang w:val="sq-AL"/>
        </w:rPr>
        <w:t xml:space="preserve">shtetet </w:t>
      </w:r>
      <w:r w:rsidRPr="00126A15">
        <w:rPr>
          <w:rFonts w:ascii="Garamond" w:hAnsi="Garamond" w:cs="Garamond"/>
          <w:color w:val="000000"/>
          <w:sz w:val="24"/>
          <w:szCs w:val="24"/>
          <w:lang w:val="sq-AL"/>
        </w:rPr>
        <w:t>që kryejnë, në fushën e aktivitetit të planifikuar, aktivitete njerëzore, duke përfshirë aktivitetet ekonomike, të cilat në mënyrë të arsyeshme mund të besohet se preken.</w:t>
      </w:r>
    </w:p>
    <w:p w14:paraId="2A1FAB4F" w14:textId="4AA91BC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Palët e interesuara në këtë proces përfshijnë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it dhe komunitetet lokale me njohuri tradicionale përkatëse, organet përkatëse globale, rajonale, lokale dhe krahinore, shoqërinë civile, organizmin shkencor dhe publikun.</w:t>
      </w:r>
    </w:p>
    <w:p w14:paraId="1BFBBDEF" w14:textId="5BE4FEC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Njoftimi dhe konsultimi publik, në përputhje me nenin 48, paragrafi 3, do të jetë gjithëpërfshirës dhe transparent, do të kryhet në kohën e duhur dhe do të jetë i motivuar dhe proaktiv kur përfshijnë shtetet e vogla ishullore në zhvillim.</w:t>
      </w:r>
    </w:p>
    <w:p w14:paraId="23B23133" w14:textId="6582DA9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Mendimet thelbësore të dhëna gjatë procesit të konsultimit, duke përfshirë shtetet fqinje bregdetare dhe çdo shtet tjetër afër aktivitetit të planifikuar, kur ato të jenë shtete potencialisht më të prekura, do të analizohen dhe do t’u përgjigjen ose do të trajtohen nga Palët. Palët do t’u kushtojnë vëmendje të veçantë mendimeve në lidhje me ndikimet e mundshme në zonat brenda juridiksionit kombëtar dhe do të japin përgjigje me shkrim, sipas rastit, duke dhënë në mënyrë specifike mendime të tilla, duke përfshirë çdo masë shtesë që ka lidhje me ato ndikime të mundshme. Palët do t’i bëjnë publike mendimet e dhëna dhe përgjigjet ose përshkrimet e mënyrës se si ata janë shteruar.</w:t>
      </w:r>
    </w:p>
    <w:p w14:paraId="06162DEC" w14:textId="20EF9B5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6. Kur një aktivitet i planifikuar prek zonat e detit të hapur që janë tërësisht të rrethuara nga zonat ekskluzive ekonomike të </w:t>
      </w:r>
      <w:r w:rsidR="00956ADA" w:rsidRPr="00126A15">
        <w:rPr>
          <w:rFonts w:ascii="Garamond" w:hAnsi="Garamond" w:cs="Garamond"/>
          <w:color w:val="000000"/>
          <w:sz w:val="24"/>
          <w:szCs w:val="24"/>
          <w:lang w:val="sq-AL"/>
        </w:rPr>
        <w:t>shteteve</w:t>
      </w:r>
      <w:r w:rsidRPr="00126A15">
        <w:rPr>
          <w:rFonts w:ascii="Garamond" w:hAnsi="Garamond" w:cs="Garamond"/>
          <w:color w:val="000000"/>
          <w:sz w:val="24"/>
          <w:szCs w:val="24"/>
          <w:lang w:val="sq-AL"/>
        </w:rPr>
        <w:t>, Palët:</w:t>
      </w:r>
    </w:p>
    <w:p w14:paraId="1BEC79A6" w14:textId="1C992E2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93792B" w:rsidRPr="00126A15">
        <w:rPr>
          <w:rFonts w:ascii="Garamond" w:hAnsi="Garamond" w:cs="Garamond"/>
          <w:color w:val="000000"/>
          <w:sz w:val="24"/>
          <w:szCs w:val="24"/>
          <w:lang w:val="sq-AL"/>
        </w:rPr>
        <w:t xml:space="preserve">kryejnë </w:t>
      </w:r>
      <w:r w:rsidRPr="00126A15">
        <w:rPr>
          <w:rFonts w:ascii="Garamond" w:hAnsi="Garamond" w:cs="Garamond"/>
          <w:color w:val="000000"/>
          <w:sz w:val="24"/>
          <w:szCs w:val="24"/>
          <w:lang w:val="sq-AL"/>
        </w:rPr>
        <w:t>konsultime të motivuara dhe proaktive, duke përfshirë njoftimin paraprak, me këto shtete përreth;</w:t>
      </w:r>
    </w:p>
    <w:p w14:paraId="5A0390A6" w14:textId="3078541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93792B" w:rsidRPr="00126A15">
        <w:rPr>
          <w:rFonts w:ascii="Garamond" w:hAnsi="Garamond" w:cs="Garamond"/>
          <w:color w:val="000000"/>
          <w:sz w:val="24"/>
          <w:szCs w:val="24"/>
          <w:lang w:val="sq-AL"/>
        </w:rPr>
        <w:t xml:space="preserve">analizojnë </w:t>
      </w:r>
      <w:r w:rsidRPr="00126A15">
        <w:rPr>
          <w:rFonts w:ascii="Garamond" w:hAnsi="Garamond" w:cs="Garamond"/>
          <w:color w:val="000000"/>
          <w:sz w:val="24"/>
          <w:szCs w:val="24"/>
          <w:lang w:val="sq-AL"/>
        </w:rPr>
        <w:t>pikëpamjet dhe mendimet e shteteve përreth mbi aktivitetin e planifikuar dhe japin përgjigje me shkrim duke iu referuar në mënyrë specifike pikëpamjeve dhe mendimeve të tilla dhe, sipas rastit, analizojnë aktivitetin e planifikuar në përputhje me rrethanat.</w:t>
      </w:r>
    </w:p>
    <w:p w14:paraId="55D104BF" w14:textId="4853ED6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Palët do të sigurojnë akses në informacionin në lidhje me procesin e vlerësimit të impaktit mjedisor sipas kësaj Marrëveshjeje. Pavarësisht nga kjo, Palëve nuk do t’u kërkohet të publikojnë informacion konfidencial ose privat. Fakti që informacioni konfidencial ose privat është redaktuar duhet të tregohet në dokumentet publike.</w:t>
      </w:r>
    </w:p>
    <w:p w14:paraId="4EB0086D"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52400CC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33</w:t>
      </w:r>
    </w:p>
    <w:p w14:paraId="7E37C7B8" w14:textId="0836FF44"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Raportet e vlerësimit të</w:t>
      </w:r>
      <w:r w:rsidR="007A5D58" w:rsidRPr="00126A15">
        <w:rPr>
          <w:rFonts w:ascii="Garamond" w:hAnsi="Garamond" w:cs="Garamond"/>
          <w:b/>
          <w:bCs/>
          <w:color w:val="000000"/>
          <w:sz w:val="24"/>
          <w:szCs w:val="24"/>
          <w:lang w:val="sq-AL"/>
        </w:rPr>
        <w:t xml:space="preserve"> </w:t>
      </w:r>
      <w:r w:rsidRPr="00126A15">
        <w:rPr>
          <w:rFonts w:ascii="Garamond" w:hAnsi="Garamond" w:cs="Garamond"/>
          <w:b/>
          <w:bCs/>
          <w:color w:val="000000"/>
          <w:sz w:val="24"/>
          <w:szCs w:val="24"/>
          <w:lang w:val="sq-AL"/>
        </w:rPr>
        <w:t>impaktit mjedisor</w:t>
      </w:r>
    </w:p>
    <w:p w14:paraId="3CF5E75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0B8B412" w14:textId="488EEB4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do të përgatitin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një raport vlerësimi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 për çdo vlerësim të tillë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kryer në përputhje me këtë </w:t>
      </w:r>
      <w:r w:rsidR="001C0BAF" w:rsidRPr="00126A15">
        <w:rPr>
          <w:rFonts w:ascii="Garamond" w:hAnsi="Garamond" w:cs="Garamond"/>
          <w:color w:val="000000"/>
          <w:sz w:val="24"/>
          <w:szCs w:val="24"/>
          <w:lang w:val="sq-AL"/>
        </w:rPr>
        <w:t>pjesë</w:t>
      </w:r>
      <w:r w:rsidRPr="00126A15">
        <w:rPr>
          <w:rFonts w:ascii="Garamond" w:hAnsi="Garamond" w:cs="Garamond"/>
          <w:color w:val="000000"/>
          <w:sz w:val="24"/>
          <w:szCs w:val="24"/>
          <w:lang w:val="sq-AL"/>
        </w:rPr>
        <w:t>.</w:t>
      </w:r>
    </w:p>
    <w:p w14:paraId="08E0EA9D" w14:textId="69FBE5A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Raporti i vlerësimit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 duhet të përfshijë, të paktën, informacionin e mëposhtëm: një përshkrim të aktivitetit të planifikuar, duke përfshirë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rajonin e tij; një përshkrim të rezultateve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se si janë ekzekutuar përfundimet; një vlerësim bazë të mjedisit detar që mund të ndikohet; </w:t>
      </w:r>
      <w:r w:rsidRPr="00126A15">
        <w:rPr>
          <w:rFonts w:ascii="Garamond" w:hAnsi="Garamond" w:cs="Garamond"/>
          <w:color w:val="000000"/>
          <w:sz w:val="24"/>
          <w:szCs w:val="24"/>
          <w:lang w:val="sq-AL"/>
        </w:rPr>
        <w:lastRenderedPageBreak/>
        <w:t>një përshkrim të ndikimeve të mundshme, duke përfshirë ndikimet e mundshme kumulative dhe çdo ndikim në zonat brenda juridiksionit kombëtar; një përshkrim të masave të mundshme parandaluese, zbutëse dhe menaxhuese; një përshkrim të pasigurive dhe boshllëqeve në njohuri; informacion mbi procesin e konsultimit publik; një përshkrim të shqyrtimit të alternativave të arsyeshme ndaj aktivitetit të planifikuar; një përshkrim të veprimeve vijuese, duke përfshirë një plan të menaxhimit mjedisor; dhe një përmbledhje joteknike.</w:t>
      </w:r>
    </w:p>
    <w:p w14:paraId="379534DE" w14:textId="3E9C22D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Pala do të vërë në dispozicion draftraportin e vlerësimit të impaktit mjedisor nëpërmjet Aparatit Global të Diversitetit Biologjik gjatë procesit të konsultimit publik, për t’i dhënë një mundësi Organit Shkencor dhe Teknik për të shqyrtuar dhe vlerësuar raportin. </w:t>
      </w:r>
    </w:p>
    <w:p w14:paraId="721A0C73" w14:textId="06F27DD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Organi Shkencor dhe Teknik, sipas rastit dhe në kohën e duhur, mund t’i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japë mendime palës për draftraportin e vlerësimit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 Pala do të marrë parasysh çdo</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mendim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dhënë nga Organi Shkencor dhe Teknik.</w:t>
      </w:r>
    </w:p>
    <w:p w14:paraId="6C5C95E1" w14:textId="26F61E0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Palët do të publikojnë raportet e vlerësimeve të impaktit mjedisor, duke përfshirë edhe Aparatin Global të Diversitetit Biologjik. Sekretariati do të sigurojë që të gjitha Palët të njoftohen në kohën e duhur kur raportet publikohen nëpërmjet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Aparatit Global të Diversitetit Biologjik.</w:t>
      </w:r>
    </w:p>
    <w:p w14:paraId="36EECD8D" w14:textId="41642EC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Raportet përfundimtare të vlerësimit të impaktit mjedisor do të analizohen nga Organi Shkencor dhe Teknik, në bazë të praktikave, procedurave dhe njohurive përkatëse sipas kësaj Marrëveshjeje, me qëllim dhënien e udhëzimeve, duke përfshirë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njohjen e praktikave më të mira.</w:t>
      </w:r>
    </w:p>
    <w:p w14:paraId="02507AF6" w14:textId="1F899CD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Një përzgjedhje e informacionit të publikuar në procesin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monitorimit për të marrë vendime nëse do të kryhet një vlerësim 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 në përputhje me nenet 30 dhe 31,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analizohet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shqyrtohet nga Organi Shkencor dhe Teknik, në bazë të praktikave përkatëse, procedurave dhe njohurive sipas kësaj Marrëveshjeje, me qëllim</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dhënien e udhëzimeve, duke përfshirë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njohjen e praktikave më të mira.</w:t>
      </w:r>
    </w:p>
    <w:p w14:paraId="6489CF96" w14:textId="77777777" w:rsidR="00F205CF" w:rsidRPr="00126A15" w:rsidRDefault="00F205CF" w:rsidP="00927FAE">
      <w:pPr>
        <w:autoSpaceDE w:val="0"/>
        <w:autoSpaceDN w:val="0"/>
        <w:adjustRightInd w:val="0"/>
        <w:spacing w:after="0" w:line="240" w:lineRule="auto"/>
        <w:ind w:firstLine="284"/>
        <w:rPr>
          <w:rFonts w:ascii="Garamond" w:hAnsi="Garamond" w:cs="Garamond"/>
          <w:color w:val="000000"/>
          <w:sz w:val="24"/>
          <w:szCs w:val="24"/>
          <w:lang w:val="sq-AL"/>
        </w:rPr>
      </w:pPr>
    </w:p>
    <w:p w14:paraId="15ED8B6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34</w:t>
      </w:r>
    </w:p>
    <w:p w14:paraId="5508E99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Vendimmarrja</w:t>
      </w:r>
    </w:p>
    <w:p w14:paraId="51F55E0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D242FA5" w14:textId="03C7EC7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Një Palë nën juridiksionin ose kontrollin e së cilës zhvillohet një aktivitet i planifikuar do të jetë përgjegjëse për të vendosur nëse ai mund të vazhdojë.</w:t>
      </w:r>
    </w:p>
    <w:p w14:paraId="00449A46" w14:textId="716FBF3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Kur vendoset që aktiviteti i planifikuar të vazhdojë sipas kësaj </w:t>
      </w:r>
      <w:r w:rsidR="004A67CF"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 xml:space="preserve">, do të merret parasysh plotësisht një vlerësim i impaktit mjedisor i kryer në përputhje me këtë </w:t>
      </w:r>
      <w:r w:rsidR="00683102" w:rsidRPr="00126A15">
        <w:rPr>
          <w:rFonts w:ascii="Garamond" w:hAnsi="Garamond" w:cs="Garamond"/>
          <w:color w:val="000000"/>
          <w:sz w:val="24"/>
          <w:szCs w:val="24"/>
          <w:lang w:val="sq-AL"/>
        </w:rPr>
        <w:t>pjesë</w:t>
      </w:r>
      <w:r w:rsidRPr="00126A15">
        <w:rPr>
          <w:rFonts w:ascii="Garamond" w:hAnsi="Garamond" w:cs="Garamond"/>
          <w:color w:val="000000"/>
          <w:sz w:val="24"/>
          <w:szCs w:val="24"/>
          <w:lang w:val="sq-AL"/>
        </w:rPr>
        <w:t>. Një vendim për të autorizuar aktivitetin e planifikuar nën juridiksionin ose kontrollin e një Pale do të merret vetëm kur, duke marrë parasysh masat zbutëse ose menaxhuese, Pala është e bindur se ka bërë të gjitha përpjekjet e arsyeshme për të siguruar që aktiviteti mund të kryhet në përputhje me parandalimin e ndikimeve të mëdha negative në mjedisin detar.</w:t>
      </w:r>
    </w:p>
    <w:p w14:paraId="62DF0DEC" w14:textId="1A9FABA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Dokumentet e vendimit duhet të përshkruajnë qartë çdo kusht miratimi në lidhje me masat zbutëse dhe kërkesat pasuese. Dokumentet e vendimit do të bëhen publike, duke përfshirë edhe Aparatin Global të Diversitetit Biologjik.</w:t>
      </w:r>
    </w:p>
    <w:p w14:paraId="2226142B" w14:textId="15351A0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Me kërkesë të një Pale, Konferenca e Palëve mund t’i japë këshilla dhe ndihmë asaj Pale kur të përcaktojë nëse një aktivitet i planifikuar nën juridiksionin ose kontrollin e saj mund të vazhdojë.</w:t>
      </w:r>
    </w:p>
    <w:p w14:paraId="29E07A08" w14:textId="77777777" w:rsidR="00F205CF" w:rsidRPr="00126A15" w:rsidRDefault="00F205CF" w:rsidP="00927FAE">
      <w:pPr>
        <w:autoSpaceDE w:val="0"/>
        <w:autoSpaceDN w:val="0"/>
        <w:adjustRightInd w:val="0"/>
        <w:spacing w:after="0" w:line="240" w:lineRule="auto"/>
        <w:ind w:firstLine="284"/>
        <w:rPr>
          <w:rFonts w:ascii="Garamond" w:hAnsi="Garamond" w:cs="Garamond"/>
          <w:b/>
          <w:bCs/>
          <w:color w:val="000000"/>
          <w:sz w:val="24"/>
          <w:szCs w:val="24"/>
          <w:lang w:val="sq-AL"/>
        </w:rPr>
      </w:pPr>
    </w:p>
    <w:p w14:paraId="23B6588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35</w:t>
      </w:r>
    </w:p>
    <w:p w14:paraId="256F01C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Monitorimi i ndikimeve të aktiviteteve të autorizuara</w:t>
      </w:r>
    </w:p>
    <w:p w14:paraId="2EA49EEA"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C714C7F" w14:textId="471DBFA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Palët, duke përdorur informacionin më të mirë shkencor të disponueshëm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njohuritë përkatëse tradicionale të</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 kur ka, do të mbajnë nën mbikëqyrje ndikimet e çdo aktiviteti në zona përtej juridiksionit kombëtar që ato lejojnë ose në të cilat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ata angazhohen për të përcaktuar nëse këto aktivitete kanë gjasa të ndotin ose të kenë ndikime negative në mjedisin detar. </w:t>
      </w:r>
      <w:r w:rsidRPr="00126A15">
        <w:rPr>
          <w:rFonts w:ascii="Garamond" w:hAnsi="Garamond" w:cs="Garamond"/>
          <w:color w:val="000000"/>
          <w:sz w:val="24"/>
          <w:szCs w:val="24"/>
          <w:lang w:val="sq-AL"/>
        </w:rPr>
        <w:lastRenderedPageBreak/>
        <w:t>Në veçanti, secila Palë do të monitorojë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impaktet mjedisore dhe çdo ndikim</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tjetër, si ndikimet ekonomike, sociale, kulturore dhe shëndetin e njeriut, të një aktiviteti të autorizuar nën juridiksionin ose kontrollin e tyre në përputhje me kushtet e përcaktuara në miratimin e aktivitetit.</w:t>
      </w:r>
    </w:p>
    <w:p w14:paraId="2190AE02" w14:textId="77777777" w:rsidR="00F205CF" w:rsidRPr="00126A15" w:rsidRDefault="00F205CF" w:rsidP="00927FAE">
      <w:pPr>
        <w:autoSpaceDE w:val="0"/>
        <w:autoSpaceDN w:val="0"/>
        <w:adjustRightInd w:val="0"/>
        <w:spacing w:after="0" w:line="240" w:lineRule="auto"/>
        <w:ind w:firstLine="284"/>
        <w:rPr>
          <w:rFonts w:ascii="Garamond" w:hAnsi="Garamond" w:cs="Garamond"/>
          <w:b/>
          <w:bCs/>
          <w:color w:val="000000"/>
          <w:sz w:val="24"/>
          <w:szCs w:val="24"/>
          <w:lang w:val="sq-AL"/>
        </w:rPr>
      </w:pPr>
    </w:p>
    <w:p w14:paraId="46703E9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36</w:t>
      </w:r>
    </w:p>
    <w:p w14:paraId="5B1E2C1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Raportimi mbi ndikimet e aktiviteteve të autorizuara</w:t>
      </w:r>
    </w:p>
    <w:p w14:paraId="2F8DD37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EF60153" w14:textId="316E633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pavarësisht nëse veprojnë individualisht apo kolektivisht, do të raportojnë periodikisht mbi ndikimet e aktivitetit të autorizuar dhe rezultatet e monitorimit të kërkuara sipas nenit 35.</w:t>
      </w:r>
    </w:p>
    <w:p w14:paraId="6E9DB47A" w14:textId="6CD74A4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Raportet e monitorimit do të bëhen publike edhe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nëpërmjet Aparatit Global të Diversitetit Biologjik, dhe Organi Shkencor dhe Teknik mund të shqyrtojë dhe vlerësojë raportet e monitorimit.</w:t>
      </w:r>
    </w:p>
    <w:p w14:paraId="332198BE" w14:textId="4E164C9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Raportet e monitorimit do të shqyrtohen nga Organi Shkencor dhe Teknik, në bazë të praktikave, procedurave dhe njohurive përkatëse sipas kësaj Marrëveshjeje, me qëllim të zhvillimit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standardeve për monitorimin e ndikimeve të aktiviteteve të autorizuara, duke përfshirë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njohjen e praktikave më të mira.</w:t>
      </w:r>
    </w:p>
    <w:p w14:paraId="2AED849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75039CD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37</w:t>
      </w:r>
    </w:p>
    <w:p w14:paraId="26A3FE9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Rishikimi i aktiviteteve të autorizuara dhe ndikimet e tyre</w:t>
      </w:r>
    </w:p>
    <w:p w14:paraId="7C6A48F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47DCD00" w14:textId="59ACF33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do të sigurojnë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se do të analizohen impaktet e aktivitetit të monitoruar dhe të autorizuar në përputhje me nenin 35.</w:t>
      </w:r>
    </w:p>
    <w:p w14:paraId="392E455A" w14:textId="699115B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Nëse Pala me juridiksion ose kontroll mbi aktivitetin vëren impakt të madh negativ që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as nuk</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ka qenë parashikuar në vlerësimin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sipas natyrës</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apo seriozitetit,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as ka lindur nga një shkelje e ndonjërit prej kushteve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vendosura në miratimin e aktivitetit, Pala do ta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analizojë vendimin e saj që autorizon veprimtarinë, do të njoftojë Konferencën e Palëve, Palët e tjera dhe publikun, duke përfshirë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Aparatin Global të Diversitetit Biologjik, dhe: </w:t>
      </w:r>
    </w:p>
    <w:p w14:paraId="3F276B0E" w14:textId="0068C28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Kërkojnë që masat të propozohen dhe zbatohen për të parandaluar, zbutur dhe/ose menaxhuar ato ndikime ose ndërmarrin ndonjë veprim tjetër të nevojshëm dhe/ose për ta ndaluar aktivitetin, sipas rastit; dhe</w:t>
      </w:r>
    </w:p>
    <w:p w14:paraId="6642DE5C" w14:textId="7C5267E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Vlerësojnë, në kohën e duhur, çdo masë të zbatuar ose veprim të ndërmarrë sipas nënparagrafit (a) më sipër. </w:t>
      </w:r>
    </w:p>
    <w:p w14:paraId="2E596D4E" w14:textId="2CAB0A9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Në bazë të raporteve të marra sipas nenit 36, Organi Shkencor dhe Teknik mund të njoftojë Palën që ka autorizuar aktivitetin</w:t>
      </w:r>
      <w:r w:rsidR="00737550"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nëse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mendon se aktiviteti mund të ketë ndikime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mëdha negative që ose nuk</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kanë qenë parashikuar në vlerësimin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 ose që rrjedhin nga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shkelja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ndonjë kushti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mbi miratimin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veprimtarisë së autorizuar dhe, sipas rastit, mund t’i bëjë rekomandime Palës.</w:t>
      </w:r>
    </w:p>
    <w:p w14:paraId="37C302CF" w14:textId="73E9384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a) Mbi bazën e informacionit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shkencor më të mirë të disponueshëm dhe, njohurive përkatëse tradicionale të</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 njëra Palë mund t’i ngre shqetësimet e saj me Palën që ka autorizuar veprimtarinë dhe me Organin Shkencor dhe Teknik</w:t>
      </w:r>
      <w:r w:rsidR="004A6CBF"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se aktiviteti i autorizuar mund të ketë ndikime të mëdha negative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që ose nuk</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kanë qenë parashikuar në vlerësimin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sipas natyrës ose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seriozitetit, ose që lindin nga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shkelja e kushteve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mbi miratimit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aktivitetit të autorizuar;</w:t>
      </w:r>
    </w:p>
    <w:p w14:paraId="4F4F7EE3" w14:textId="4DFBF5D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Pala që autorizoi veprimtarinë do t’i marrë parasysh këto shqetësime;</w:t>
      </w:r>
    </w:p>
    <w:p w14:paraId="37C3B371" w14:textId="7967D14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Pas shqyrtimit të shqetësimeve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ngritura nga njëra Palë, Organi Shkencor dhe Teknik do të shqyrtojë dhe mund të vlerësojë çështjen bazuar në informacionin më të mirë shkencor të disponueshëm dhe njohuritë përkatëse tradicionale të</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 kur ka, dhe mund të njoftojë Palën që ka autorizuar aktivitetin, nëse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mendon se një aktivitet i tillë mund të ketë ndikime të mëdha negative që ose nuk</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kanë qenë parashikuar në vlerësimin e impaktit mjedisor ose </w:t>
      </w:r>
      <w:r w:rsidRPr="00126A15">
        <w:rPr>
          <w:rFonts w:ascii="Garamond" w:hAnsi="Garamond" w:cs="Garamond"/>
          <w:color w:val="000000"/>
          <w:sz w:val="24"/>
          <w:szCs w:val="24"/>
          <w:lang w:val="sq-AL"/>
        </w:rPr>
        <w:lastRenderedPageBreak/>
        <w:t>që lindin nga ndonjë shkelje e kushteve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mbi miratimit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aktivitetit të autorizuar dhe, pasi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kësaj Pale i jepet një mundësi për të t’iu përgjigjur shqetësimeve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ngritura dhe duke marrë parasysh një përgjigje sipas rastit, mund t’i bëjë rekomandime palës që ka autorizuar aktivitetin;</w:t>
      </w:r>
    </w:p>
    <w:p w14:paraId="69C7BBE2" w14:textId="2B5EFA7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 Ngritja e shqetësimeve, çdo njoftim i lëshuar si dhe çdo rekomandim i bërë nga Organi Shkencor dhe Teknik do të vihen në dispozicion të publikut nëpërmjet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Aparatit Global të Diversitetit Biologjik.</w:t>
      </w:r>
    </w:p>
    <w:p w14:paraId="2E7FB208" w14:textId="75BBF3C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e) Pala që ka autorizuar veprimtarinë do të marrë parasysh çdo njoftim të lëshuar dhe çdo rekomandim të bërë nga Organi Shkencor dhe Teknik.</w:t>
      </w:r>
    </w:p>
    <w:p w14:paraId="73DDAA14" w14:textId="4A0BE55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Të gjitha shtetet, në veçanti shtetet bregdetare fqinje dhe çdo shtet tjetër afër aktivitetit, kur ato janë shtetet potencialisht më të prekura, dhe palët e interesuara do të mbahen të informuara nëpërmjet Aparatit Global të Diversitetit Biologjik dhe mund të konsultohen gjatë proceseve të monitorimit, raportimit dhe analizës në lidhje me ndonjë aktivitet të autorizuar sipas kësaj Marrëveshje</w:t>
      </w:r>
      <w:r w:rsidR="002A50B6" w:rsidRPr="00126A15">
        <w:rPr>
          <w:rFonts w:ascii="Garamond" w:hAnsi="Garamond" w:cs="Garamond"/>
          <w:color w:val="000000"/>
          <w:sz w:val="24"/>
          <w:szCs w:val="24"/>
          <w:lang w:val="sq-AL"/>
        </w:rPr>
        <w:t>je</w:t>
      </w:r>
      <w:r w:rsidRPr="00126A15">
        <w:rPr>
          <w:rFonts w:ascii="Garamond" w:hAnsi="Garamond" w:cs="Garamond"/>
          <w:color w:val="000000"/>
          <w:sz w:val="24"/>
          <w:szCs w:val="24"/>
          <w:lang w:val="sq-AL"/>
        </w:rPr>
        <w:t>.</w:t>
      </w:r>
    </w:p>
    <w:p w14:paraId="19D2C4EB" w14:textId="4A643E1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Palët do t’i bëjnë publikimet edhe nëpërmjet Aparatit Global të Diversitetit Biologjik:</w:t>
      </w:r>
    </w:p>
    <w:p w14:paraId="45D92464" w14:textId="5657144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D94658" w:rsidRPr="00126A15">
        <w:rPr>
          <w:rFonts w:ascii="Garamond" w:hAnsi="Garamond" w:cs="Garamond"/>
          <w:color w:val="000000"/>
          <w:sz w:val="24"/>
          <w:szCs w:val="24"/>
          <w:lang w:val="sq-AL"/>
        </w:rPr>
        <w:t xml:space="preserve">raportet </w:t>
      </w:r>
      <w:r w:rsidRPr="00126A15">
        <w:rPr>
          <w:rFonts w:ascii="Garamond" w:hAnsi="Garamond" w:cs="Garamond"/>
          <w:color w:val="000000"/>
          <w:sz w:val="24"/>
          <w:szCs w:val="24"/>
          <w:lang w:val="sq-AL"/>
        </w:rPr>
        <w:t>për shqyrtimin e ndikimeve të veprimtarisë së autorizuar;</w:t>
      </w:r>
    </w:p>
    <w:p w14:paraId="3655F2EF" w14:textId="76981EB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D94658" w:rsidRPr="00126A15">
        <w:rPr>
          <w:rFonts w:ascii="Garamond" w:hAnsi="Garamond" w:cs="Garamond"/>
          <w:color w:val="000000"/>
          <w:sz w:val="24"/>
          <w:szCs w:val="24"/>
          <w:lang w:val="sq-AL"/>
        </w:rPr>
        <w:t xml:space="preserve">dokumentet </w:t>
      </w:r>
      <w:r w:rsidRPr="00126A15">
        <w:rPr>
          <w:rFonts w:ascii="Garamond" w:hAnsi="Garamond" w:cs="Garamond"/>
          <w:color w:val="000000"/>
          <w:sz w:val="24"/>
          <w:szCs w:val="24"/>
          <w:lang w:val="sq-AL"/>
        </w:rPr>
        <w:t>e vendimit, duke përfshirë një procesverbal të arsyeve të vendimit nga Pala, kur një Palë ka ndryshuar vendimin e saj që autorizon veprimtarinë.</w:t>
      </w:r>
    </w:p>
    <w:p w14:paraId="1A55962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606E8CD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38</w:t>
      </w:r>
    </w:p>
    <w:p w14:paraId="0C1E0E2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Standardet dhe/ose udhëzimet që do të hartohen nga Organi Shkencor dhe Teknik në lidhje me vlerësimet e impaktit mjedisor</w:t>
      </w:r>
    </w:p>
    <w:p w14:paraId="781236F9"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6DD3E6DD" w14:textId="351B89C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Organi Shkencor dhe Teknik do të hartojë standarde ose udhëzime për t’u analizuar dhe miratuar nga Konferenca e Palëve</w:t>
      </w:r>
      <w:r w:rsidR="002A50B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mbi:</w:t>
      </w:r>
    </w:p>
    <w:p w14:paraId="754CA897" w14:textId="4AC9A71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w:t>
      </w:r>
      <w:r w:rsidR="007A5D58" w:rsidRPr="00126A15">
        <w:rPr>
          <w:rFonts w:ascii="Garamond" w:hAnsi="Garamond" w:cs="Garamond"/>
          <w:color w:val="000000"/>
          <w:sz w:val="24"/>
          <w:szCs w:val="24"/>
          <w:lang w:val="sq-AL"/>
        </w:rPr>
        <w:t xml:space="preserve"> </w:t>
      </w:r>
      <w:r w:rsidR="002A50B6" w:rsidRPr="00126A15">
        <w:rPr>
          <w:rFonts w:ascii="Garamond" w:hAnsi="Garamond" w:cs="Garamond"/>
          <w:color w:val="000000"/>
          <w:sz w:val="24"/>
          <w:szCs w:val="24"/>
          <w:lang w:val="sq-AL"/>
        </w:rPr>
        <w:t xml:space="preserve">vendimin </w:t>
      </w:r>
      <w:r w:rsidRPr="00126A15">
        <w:rPr>
          <w:rFonts w:ascii="Garamond" w:hAnsi="Garamond" w:cs="Garamond"/>
          <w:color w:val="000000"/>
          <w:sz w:val="24"/>
          <w:szCs w:val="24"/>
          <w:lang w:val="sq-AL"/>
        </w:rPr>
        <w:t>nëse janë përmbushur ose tejkaluar kufijtë për kryerjen e një monitorimi ose një vlerësimi mbi impaktin mjedisor sipas nenit 30 për aktivitetet e planifikuara sipas elementeve joshterues</w:t>
      </w:r>
      <w:r w:rsidR="002A50B6" w:rsidRPr="00126A15">
        <w:rPr>
          <w:rFonts w:ascii="Garamond" w:hAnsi="Garamond" w:cs="Garamond"/>
          <w:color w:val="000000"/>
          <w:sz w:val="24"/>
          <w:szCs w:val="24"/>
          <w:lang w:val="sq-AL"/>
        </w:rPr>
        <w:t>e</w:t>
      </w:r>
      <w:r w:rsidRPr="00126A15">
        <w:rPr>
          <w:rFonts w:ascii="Garamond" w:hAnsi="Garamond" w:cs="Garamond"/>
          <w:color w:val="000000"/>
          <w:sz w:val="24"/>
          <w:szCs w:val="24"/>
          <w:lang w:val="sq-AL"/>
        </w:rPr>
        <w:t xml:space="preserve"> të përcaktuar</w:t>
      </w:r>
      <w:r w:rsidR="002A50B6" w:rsidRPr="00126A15">
        <w:rPr>
          <w:rFonts w:ascii="Garamond" w:hAnsi="Garamond" w:cs="Garamond"/>
          <w:color w:val="000000"/>
          <w:sz w:val="24"/>
          <w:szCs w:val="24"/>
          <w:lang w:val="sq-AL"/>
        </w:rPr>
        <w:t>a</w:t>
      </w:r>
      <w:r w:rsidRPr="00126A15">
        <w:rPr>
          <w:rFonts w:ascii="Garamond" w:hAnsi="Garamond" w:cs="Garamond"/>
          <w:color w:val="000000"/>
          <w:sz w:val="24"/>
          <w:szCs w:val="24"/>
          <w:lang w:val="sq-AL"/>
        </w:rPr>
        <w:t xml:space="preserve"> në paragrafin 2 të atij neni;</w:t>
      </w:r>
    </w:p>
    <w:p w14:paraId="18EC8FE2" w14:textId="4A93CC7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2A50B6" w:rsidRPr="00126A15">
        <w:rPr>
          <w:rFonts w:ascii="Garamond" w:hAnsi="Garamond" w:cs="Garamond"/>
          <w:color w:val="000000"/>
          <w:sz w:val="24"/>
          <w:szCs w:val="24"/>
          <w:lang w:val="sq-AL"/>
        </w:rPr>
        <w:t xml:space="preserve">vlerësimi </w:t>
      </w:r>
      <w:r w:rsidRPr="00126A15">
        <w:rPr>
          <w:rFonts w:ascii="Garamond" w:hAnsi="Garamond" w:cs="Garamond"/>
          <w:color w:val="000000"/>
          <w:sz w:val="24"/>
          <w:szCs w:val="24"/>
          <w:lang w:val="sq-AL"/>
        </w:rPr>
        <w:t>i ndikimeve kumulative në zona përtej juridiksionit kombëtar dhe se si këto ndikime duhet të merren parasysh në procesin e vlerësimit të impaktit mjedisor;</w:t>
      </w:r>
    </w:p>
    <w:p w14:paraId="4658A1A6" w14:textId="791B0B9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2A50B6" w:rsidRPr="00126A15">
        <w:rPr>
          <w:rFonts w:ascii="Garamond" w:hAnsi="Garamond" w:cs="Garamond"/>
          <w:color w:val="000000"/>
          <w:sz w:val="24"/>
          <w:szCs w:val="24"/>
          <w:lang w:val="sq-AL"/>
        </w:rPr>
        <w:t xml:space="preserve">vlerësimi </w:t>
      </w:r>
      <w:r w:rsidRPr="00126A15">
        <w:rPr>
          <w:rFonts w:ascii="Garamond" w:hAnsi="Garamond" w:cs="Garamond"/>
          <w:color w:val="000000"/>
          <w:sz w:val="24"/>
          <w:szCs w:val="24"/>
          <w:lang w:val="sq-AL"/>
        </w:rPr>
        <w:t>i impakteve, në zonat brenda juridiksionit kombëtar, i aktiviteteve të planifikuara në zona përtej juridiksionit kombëtar dhe se si këto ndikime duhet të merren parasysh në procesin e vlerësimit të impaktit mjedisor;</w:t>
      </w:r>
    </w:p>
    <w:p w14:paraId="513E4142" w14:textId="7E20854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2A50B6" w:rsidRPr="00126A15">
        <w:rPr>
          <w:rFonts w:ascii="Garamond" w:hAnsi="Garamond" w:cs="Garamond"/>
          <w:color w:val="000000"/>
          <w:sz w:val="24"/>
          <w:szCs w:val="24"/>
          <w:lang w:val="sq-AL"/>
        </w:rPr>
        <w:t xml:space="preserve">procesi </w:t>
      </w:r>
      <w:r w:rsidRPr="00126A15">
        <w:rPr>
          <w:rFonts w:ascii="Garamond" w:hAnsi="Garamond" w:cs="Garamond"/>
          <w:color w:val="000000"/>
          <w:sz w:val="24"/>
          <w:szCs w:val="24"/>
          <w:lang w:val="sq-AL"/>
        </w:rPr>
        <w:t xml:space="preserve">i informimit dhe </w:t>
      </w:r>
      <w:r w:rsidR="002A50B6" w:rsidRPr="00126A15">
        <w:rPr>
          <w:rFonts w:ascii="Garamond" w:hAnsi="Garamond" w:cs="Garamond"/>
          <w:color w:val="000000"/>
          <w:sz w:val="24"/>
          <w:szCs w:val="24"/>
          <w:lang w:val="sq-AL"/>
        </w:rPr>
        <w:t xml:space="preserve">i </w:t>
      </w:r>
      <w:r w:rsidRPr="00126A15">
        <w:rPr>
          <w:rFonts w:ascii="Garamond" w:hAnsi="Garamond" w:cs="Garamond"/>
          <w:color w:val="000000"/>
          <w:sz w:val="24"/>
          <w:szCs w:val="24"/>
          <w:lang w:val="sq-AL"/>
        </w:rPr>
        <w:t>konsultimit publik sipas nenit 32, si dhe vendimi mbi të ashtuquajturin informacion konfidencial ose privat;</w:t>
      </w:r>
    </w:p>
    <w:p w14:paraId="5C5A66A7" w14:textId="5335076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2A50B6" w:rsidRPr="00126A15">
        <w:rPr>
          <w:rFonts w:ascii="Garamond" w:hAnsi="Garamond" w:cs="Garamond"/>
          <w:color w:val="000000"/>
          <w:sz w:val="24"/>
          <w:szCs w:val="24"/>
          <w:lang w:val="sq-AL"/>
        </w:rPr>
        <w:t xml:space="preserve">përmbajtja </w:t>
      </w:r>
      <w:r w:rsidRPr="00126A15">
        <w:rPr>
          <w:rFonts w:ascii="Garamond" w:hAnsi="Garamond" w:cs="Garamond"/>
          <w:color w:val="000000"/>
          <w:sz w:val="24"/>
          <w:szCs w:val="24"/>
          <w:lang w:val="sq-AL"/>
        </w:rPr>
        <w:t>e kërkuar e raporteve të vlerësimit të impaktit mjedisor dhe informacionit të publikuar të përdorur në procesin e monitorimit</w:t>
      </w:r>
      <w:r w:rsidR="002A50B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nenin 33, duke përfshirë praktikat më të mira;</w:t>
      </w:r>
    </w:p>
    <w:p w14:paraId="1321012B" w14:textId="6238BC5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f) </w:t>
      </w:r>
      <w:r w:rsidR="002A50B6" w:rsidRPr="00126A15">
        <w:rPr>
          <w:rFonts w:ascii="Garamond" w:hAnsi="Garamond" w:cs="Garamond"/>
          <w:color w:val="000000"/>
          <w:sz w:val="24"/>
          <w:szCs w:val="24"/>
          <w:lang w:val="sq-AL"/>
        </w:rPr>
        <w:t xml:space="preserve">monitorimi </w:t>
      </w:r>
      <w:r w:rsidRPr="00126A15">
        <w:rPr>
          <w:rFonts w:ascii="Garamond" w:hAnsi="Garamond" w:cs="Garamond"/>
          <w:color w:val="000000"/>
          <w:sz w:val="24"/>
          <w:szCs w:val="24"/>
          <w:lang w:val="sq-AL"/>
        </w:rPr>
        <w:t>dhe raportimi mbi ndikimet e aktiviteteve të autorizuara</w:t>
      </w:r>
      <w:r w:rsidR="002A50B6"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siç përcaktohet në nenet 35 dhe 36, duke përfshirë njohjen e praktikave më të mira;</w:t>
      </w:r>
    </w:p>
    <w:p w14:paraId="743682B2" w14:textId="7B5C25B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g) </w:t>
      </w:r>
      <w:r w:rsidR="002A50B6" w:rsidRPr="00126A15">
        <w:rPr>
          <w:rFonts w:ascii="Garamond" w:hAnsi="Garamond" w:cs="Garamond"/>
          <w:color w:val="000000"/>
          <w:sz w:val="24"/>
          <w:szCs w:val="24"/>
          <w:lang w:val="sq-AL"/>
        </w:rPr>
        <w:t xml:space="preserve">kryerja </w:t>
      </w:r>
      <w:r w:rsidRPr="00126A15">
        <w:rPr>
          <w:rFonts w:ascii="Garamond" w:hAnsi="Garamond" w:cs="Garamond"/>
          <w:color w:val="000000"/>
          <w:sz w:val="24"/>
          <w:szCs w:val="24"/>
          <w:lang w:val="sq-AL"/>
        </w:rPr>
        <w:t>e vlerësimeve strategjike mjedisore.</w:t>
      </w:r>
    </w:p>
    <w:p w14:paraId="6A40C9B8" w14:textId="6A553AD2" w:rsidR="00F205CF" w:rsidRPr="00126A15" w:rsidRDefault="002A50B6"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Organi shkencor dhe teknik </w:t>
      </w:r>
      <w:r w:rsidR="00F205CF" w:rsidRPr="00126A15">
        <w:rPr>
          <w:rFonts w:ascii="Garamond" w:hAnsi="Garamond" w:cs="Garamond"/>
          <w:color w:val="000000"/>
          <w:sz w:val="24"/>
          <w:szCs w:val="24"/>
          <w:lang w:val="sq-AL"/>
        </w:rPr>
        <w:t>mund të hartojë</w:t>
      </w:r>
      <w:r w:rsidRPr="00126A15">
        <w:rPr>
          <w:rFonts w:ascii="Garamond" w:hAnsi="Garamond" w:cs="Garamond"/>
          <w:color w:val="000000"/>
          <w:sz w:val="24"/>
          <w:szCs w:val="24"/>
          <w:lang w:val="sq-AL"/>
        </w:rPr>
        <w:t>,</w:t>
      </w:r>
      <w:r w:rsidR="00F205CF" w:rsidRPr="00126A15">
        <w:rPr>
          <w:rFonts w:ascii="Garamond" w:hAnsi="Garamond" w:cs="Garamond"/>
          <w:color w:val="000000"/>
          <w:sz w:val="24"/>
          <w:szCs w:val="24"/>
          <w:lang w:val="sq-AL"/>
        </w:rPr>
        <w:t xml:space="preserve"> gjithashtu</w:t>
      </w:r>
      <w:r w:rsidRPr="00126A15">
        <w:rPr>
          <w:rFonts w:ascii="Garamond" w:hAnsi="Garamond" w:cs="Garamond"/>
          <w:color w:val="000000"/>
          <w:sz w:val="24"/>
          <w:szCs w:val="24"/>
          <w:lang w:val="sq-AL"/>
        </w:rPr>
        <w:t>,</w:t>
      </w:r>
      <w:r w:rsidR="00F205CF" w:rsidRPr="00126A15">
        <w:rPr>
          <w:rFonts w:ascii="Garamond" w:hAnsi="Garamond" w:cs="Garamond"/>
          <w:color w:val="000000"/>
          <w:sz w:val="24"/>
          <w:szCs w:val="24"/>
          <w:lang w:val="sq-AL"/>
        </w:rPr>
        <w:t xml:space="preserve"> standarde dhe udhëzime për</w:t>
      </w:r>
      <w:r w:rsidR="007A5D58" w:rsidRPr="00126A15">
        <w:rPr>
          <w:rFonts w:ascii="Garamond" w:hAnsi="Garamond" w:cs="Garamond"/>
          <w:color w:val="000000"/>
          <w:sz w:val="24"/>
          <w:szCs w:val="24"/>
          <w:lang w:val="sq-AL"/>
        </w:rPr>
        <w:t xml:space="preserve"> </w:t>
      </w:r>
      <w:r w:rsidR="00F205CF" w:rsidRPr="00126A15">
        <w:rPr>
          <w:rFonts w:ascii="Garamond" w:hAnsi="Garamond" w:cs="Garamond"/>
          <w:color w:val="000000"/>
          <w:sz w:val="24"/>
          <w:szCs w:val="24"/>
          <w:lang w:val="sq-AL"/>
        </w:rPr>
        <w:t>tu analizuar dhe miratuar nga Konferenca e Palëve, duke përfshirë:</w:t>
      </w:r>
    </w:p>
    <w:p w14:paraId="528776C7" w14:textId="6EA8344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2A50B6"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listë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emblematike joshteruese e aktiviteteve që kërkojnë ose nuk kërkojnë një vlerësim</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mbi impaktin mjedisor, si dhe çdo kriter që lidhet me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këto aktivitete, të cilat do të përditësohen periodikisht;</w:t>
      </w:r>
    </w:p>
    <w:p w14:paraId="31E48F74" w14:textId="1A07A81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2A50B6" w:rsidRPr="00126A15">
        <w:rPr>
          <w:rFonts w:ascii="Garamond" w:hAnsi="Garamond" w:cs="Garamond"/>
          <w:color w:val="000000"/>
          <w:sz w:val="24"/>
          <w:szCs w:val="24"/>
          <w:lang w:val="sq-AL"/>
        </w:rPr>
        <w:t xml:space="preserve">kryerja </w:t>
      </w:r>
      <w:r w:rsidRPr="00126A15">
        <w:rPr>
          <w:rFonts w:ascii="Garamond" w:hAnsi="Garamond" w:cs="Garamond"/>
          <w:color w:val="000000"/>
          <w:sz w:val="24"/>
          <w:szCs w:val="24"/>
          <w:lang w:val="sq-AL"/>
        </w:rPr>
        <w:t>e vlerësimeve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mbi impaktin mjedisor nga Palët në këtë Marrëveshje në zonat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njohura që kërkojnë mbrojtje ose vëmendje të veçantë.</w:t>
      </w:r>
    </w:p>
    <w:p w14:paraId="286022D8" w14:textId="72DB3F3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Çdo standard do të përcaktohet në një aneks të kësaj Marrëveshjeje, në përputhje me nenin 74.</w:t>
      </w:r>
    </w:p>
    <w:p w14:paraId="0B2579CF"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0705208" w14:textId="77777777" w:rsidR="00FB05E4" w:rsidRDefault="00FB05E4"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005464CE" w14:textId="77777777" w:rsidR="00FB05E4" w:rsidRDefault="00FB05E4"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37BEBCA9" w14:textId="4007A511"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Neni 39</w:t>
      </w:r>
    </w:p>
    <w:p w14:paraId="2B587DA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Vlerësimet strategjike mjedisore</w:t>
      </w:r>
    </w:p>
    <w:p w14:paraId="7CD95CD6"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9CB7088" w14:textId="055EAD9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individualisht ose në bashkëpunim me Palët e tjera, do të analizojnë kryerjen e vlerësimeve strategjike mjedisore për planet dhe programet në lidhje me aktivitetet nën juridiksionin ose kontrollin e tyre, që do të kryhen në zona përtej juridiksionit kombëtar, në mënyrë që të vlerësohen efektet e mundshme të planeve ose programeve të tilla, si dhe të alternativave, mbi mjedisin detar.</w:t>
      </w:r>
    </w:p>
    <w:p w14:paraId="4CA8F5BC" w14:textId="3C37E29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Konferenca e Palëve mund të kryejë një vlerësim strategjik mjedisor të një zone ose rajoni për të mbledhur dhe sintetizuar informacionin më të mirë të disponueshëm për zonën ose rajonin, për të vlerësuar ndikimet aktuale dhe të mundshme në të ardhmen dhe për të identifikuar boshllëqet e të dhënave dhe prioritetet e kërkimit. </w:t>
      </w:r>
    </w:p>
    <w:p w14:paraId="08E80F75" w14:textId="7122255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Kur kryhen vlerësime të impaktit mjedisor në përputhje me këtë </w:t>
      </w:r>
      <w:r w:rsidR="002A50B6" w:rsidRPr="00126A15">
        <w:rPr>
          <w:rFonts w:ascii="Garamond" w:hAnsi="Garamond" w:cs="Garamond"/>
          <w:color w:val="000000"/>
          <w:sz w:val="24"/>
          <w:szCs w:val="24"/>
          <w:lang w:val="sq-AL"/>
        </w:rPr>
        <w:t>pjesë</w:t>
      </w:r>
      <w:r w:rsidRPr="00126A15">
        <w:rPr>
          <w:rFonts w:ascii="Garamond" w:hAnsi="Garamond" w:cs="Garamond"/>
          <w:color w:val="000000"/>
          <w:sz w:val="24"/>
          <w:szCs w:val="24"/>
          <w:lang w:val="sq-AL"/>
        </w:rPr>
        <w:t>, Palët do të marrin parasysh rezultatet e vlerësimeve mjedisore përkatëse strategjike të kryera sipas paragrafëve 1 dhe 2 më sipër, kur janë të disponueshme.</w:t>
      </w:r>
    </w:p>
    <w:p w14:paraId="49A5AD08" w14:textId="665E655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Konferenca e Palëve do të hartojë udhëzime për kryerjen e secilit lloj vlerësimi strategjik mjedisor të përshkruar në këtë nen.</w:t>
      </w:r>
    </w:p>
    <w:p w14:paraId="73EBE837"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3C387DC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V</w:t>
      </w:r>
    </w:p>
    <w:p w14:paraId="5E3E994E" w14:textId="45B43E4B"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 xml:space="preserve">RRITJA E KAPACITETEVE DHE TRANSFERIMI I </w:t>
      </w:r>
      <w:r w:rsidR="0020342B" w:rsidRPr="00126A15">
        <w:rPr>
          <w:rFonts w:ascii="Garamond" w:hAnsi="Garamond" w:cs="Garamond"/>
          <w:color w:val="000000"/>
          <w:sz w:val="24"/>
          <w:szCs w:val="24"/>
          <w:lang w:val="sq-AL"/>
        </w:rPr>
        <w:t>TEKNOLOGJISË</w:t>
      </w:r>
      <w:r w:rsidRPr="00126A15">
        <w:rPr>
          <w:rFonts w:ascii="Garamond" w:hAnsi="Garamond" w:cs="Garamond"/>
          <w:color w:val="000000"/>
          <w:sz w:val="24"/>
          <w:szCs w:val="24"/>
          <w:lang w:val="sq-AL"/>
        </w:rPr>
        <w:t xml:space="preserve"> DETARE</w:t>
      </w:r>
    </w:p>
    <w:p w14:paraId="228C26E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5BCE5B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40</w:t>
      </w:r>
    </w:p>
    <w:p w14:paraId="6AC4DAF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Objektivat</w:t>
      </w:r>
    </w:p>
    <w:p w14:paraId="1D10445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41B848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Objektivat e kësaj pjese janë:</w:t>
      </w:r>
    </w:p>
    <w:p w14:paraId="7EB7A8E5" w14:textId="30245F3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Të ndihmojë Palët, veçanërisht Shtetet Palë në zhvillim, në zbatimin e dispozitave të kësaj Marrëveshjeje, për të arritur objektivat e saj;</w:t>
      </w:r>
    </w:p>
    <w:p w14:paraId="66D75D70" w14:textId="7E648A9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Të mundësojë bashkëpunim dhe pjesëmarrje gjithëpërfshirëse, të barabartë dhe efektive në aktivitetet e ndërmarra sipas kësaj Marrëveshjeje;</w:t>
      </w:r>
    </w:p>
    <w:p w14:paraId="6F288274" w14:textId="729EB69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zhvillojë kapacitetet shkencore dhe teknologjike detare,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sipas kërkimeve të Palëve, në veçanti të Shteteve Palë në zhvillim, në lidhje me ruajtjen dhe përdorimin e qëndrueshëm të diversitetit biologjik detar të zonave përtej juridiksionit kombëtar, duke përfshirë aksesin në teknologjinë detare nga, dhe transferimi i teknologjisë detare te shtetet palë në zhvillim;</w:t>
      </w:r>
    </w:p>
    <w:p w14:paraId="00218425" w14:textId="3E51690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rrisë, të shpërndajë dhe të shkëmbejë njohuritë mbi ruajtjen dhe përdorimin e qëndrueshëm të diversitetit biologjik detar të zonave përtej juridiksionit kombëtar;</w:t>
      </w:r>
    </w:p>
    <w:p w14:paraId="20D7376A" w14:textId="38AC8DD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e) Më konkretisht, të mbështesë Shtetet Palë në zhvillim, veçanërisht vendet më pak të zhvilluara, vendet në zhvillim pa dalje në det, shtetet gjeografikisht të pafavorizuara, shtetet e vogla ishullore në zhvillim, shtetet bregdetare Afrikane, shtetet e arkipelagut dhe vendet në zhvillim me të ardhura mesatare, përmes ngritjes së kapaciteteve</w:t>
      </w:r>
      <w:r w:rsidR="000473BC"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si dhe zhvillimin dhe transferimin e teknologjisë detare sipas kësaj Marrëveshjeje, në arritjen e objektivave që kanë të bëjnë me: </w:t>
      </w:r>
    </w:p>
    <w:p w14:paraId="7B75AB48" w14:textId="0F3E0CB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F349AD"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0473BC" w:rsidRPr="00126A15">
        <w:rPr>
          <w:rFonts w:ascii="Garamond" w:hAnsi="Garamond" w:cs="Garamond"/>
          <w:color w:val="000000"/>
          <w:sz w:val="24"/>
          <w:szCs w:val="24"/>
          <w:lang w:val="sq-AL"/>
        </w:rPr>
        <w:t xml:space="preserve">burimet </w:t>
      </w:r>
      <w:r w:rsidRPr="00126A15">
        <w:rPr>
          <w:rFonts w:ascii="Garamond" w:hAnsi="Garamond" w:cs="Garamond"/>
          <w:color w:val="000000"/>
          <w:sz w:val="24"/>
          <w:szCs w:val="24"/>
          <w:lang w:val="sq-AL"/>
        </w:rPr>
        <w:t>gjenetike detare, duke përfshirë ndarjen e përfitimeve, siç pasqyrohet në nenin 9;</w:t>
      </w:r>
    </w:p>
    <w:p w14:paraId="6C38E636" w14:textId="692539D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F349AD"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0473BC" w:rsidRPr="00126A15">
        <w:rPr>
          <w:rFonts w:ascii="Garamond" w:hAnsi="Garamond" w:cs="Garamond"/>
          <w:color w:val="000000"/>
          <w:sz w:val="24"/>
          <w:szCs w:val="24"/>
          <w:lang w:val="sq-AL"/>
        </w:rPr>
        <w:t xml:space="preserve">masa </w:t>
      </w:r>
      <w:r w:rsidRPr="00126A15">
        <w:rPr>
          <w:rFonts w:ascii="Garamond" w:hAnsi="Garamond" w:cs="Garamond"/>
          <w:color w:val="000000"/>
          <w:sz w:val="24"/>
          <w:szCs w:val="24"/>
          <w:lang w:val="sq-AL"/>
        </w:rPr>
        <w:t>të tilla si mjetet e menaxhimit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sipas zonave, duke përfshirë zonat e mbrojtura detare, siç pasqyrohet në nenin 17;</w:t>
      </w:r>
    </w:p>
    <w:p w14:paraId="5DE48599" w14:textId="63DF424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F349AD"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0473BC" w:rsidRPr="00126A15">
        <w:rPr>
          <w:rFonts w:ascii="Garamond" w:hAnsi="Garamond" w:cs="Garamond"/>
          <w:color w:val="000000"/>
          <w:sz w:val="24"/>
          <w:szCs w:val="24"/>
          <w:lang w:val="sq-AL"/>
        </w:rPr>
        <w:t xml:space="preserve">vlerësimet </w:t>
      </w:r>
      <w:r w:rsidRPr="00126A15">
        <w:rPr>
          <w:rFonts w:ascii="Garamond" w:hAnsi="Garamond" w:cs="Garamond"/>
          <w:color w:val="000000"/>
          <w:sz w:val="24"/>
          <w:szCs w:val="24"/>
          <w:lang w:val="sq-AL"/>
        </w:rPr>
        <w:t>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 siç pasqyrohet në nenin 27.</w:t>
      </w:r>
    </w:p>
    <w:p w14:paraId="22E632A6"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EE2EEE6" w14:textId="77777777" w:rsidR="00FB05E4" w:rsidRDefault="00FB05E4"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5C74A807" w14:textId="77777777" w:rsidR="00FB05E4" w:rsidRDefault="00FB05E4"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0FFD21FE" w14:textId="77777777" w:rsidR="00FB05E4" w:rsidRDefault="00FB05E4"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16CD4A37" w14:textId="77777777" w:rsidR="00FB05E4" w:rsidRDefault="00FB05E4"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7431CBA4" w14:textId="7D0DD5BA"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Neni 41</w:t>
      </w:r>
    </w:p>
    <w:p w14:paraId="355E3B6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Bashkëpunimi në ngritjen e kapaciteteve dhe transferimin e teknologjisë detare</w:t>
      </w:r>
    </w:p>
    <w:p w14:paraId="7B19BCC0"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56B05E4" w14:textId="06FFC7E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do të bashkëpunojnë, drejtpërdrejt ose nëpërmjet instrumenteve dhe kornizave ligjore përkatëse dhe organeve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 për të ndihmuar Palët, veçanërisht Shtetet Palë në zhvillim, në arritjen e objektivave të kësaj Marrëveshjeje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nëpërmjet ngritjes së kapaciteteve</w:t>
      </w:r>
      <w:r w:rsidR="000473BC"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si dhe zhvillimin dhe transferimin e shkencës dhe teknologjisë detare.</w:t>
      </w:r>
    </w:p>
    <w:p w14:paraId="15CDC449" w14:textId="02DBB68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 garantimin e ngritjes së kapaciteteve dhe transferimin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teknologjisë detare sipas kësaj Marrëveshjeje, Palët do të bashkëpunojnë në të gjitha nivelet dhe në të gjitha format, duke përfshirë partnerët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gjithë aktorët përkatës, sipas rastit, si, sektorin privat, shoqërinë civile, dhe</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it dhe komunitetet lokale si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mbartës të njohurive tradicionale, si dhe nëpërmjet forcimit të bashkëpunimit dhe koordinimit ndërmjet instrumenteve dhe kornizave ligjore përkatëse dhe organeve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w:t>
      </w:r>
    </w:p>
    <w:p w14:paraId="11EFF0CD" w14:textId="66171FA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Në zbatimin e kësaj </w:t>
      </w:r>
      <w:r w:rsidR="000473BC"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 Palëve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iu duhet të njohin plotësisht kërkesat e veçanta të Shteteve Palë në zhvillim, veçanërisht të vendeve më pak të zhvilluara, vendeve në zhvillim pa dalje në det, shteteve gjeografikisht të pafavorizuara, shteteve </w:t>
      </w:r>
      <w:r w:rsidR="006551B8">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v</w:t>
      </w:r>
      <w:r w:rsidR="006551B8">
        <w:rPr>
          <w:rFonts w:ascii="Garamond" w:hAnsi="Garamond" w:cs="Garamond"/>
          <w:color w:val="000000"/>
          <w:sz w:val="24"/>
          <w:szCs w:val="24"/>
          <w:lang w:val="sq-AL"/>
        </w:rPr>
        <w:t>ogla</w:t>
      </w:r>
      <w:r w:rsidRPr="00126A15">
        <w:rPr>
          <w:rFonts w:ascii="Garamond" w:hAnsi="Garamond" w:cs="Garamond"/>
          <w:color w:val="000000"/>
          <w:sz w:val="24"/>
          <w:szCs w:val="24"/>
          <w:lang w:val="sq-AL"/>
        </w:rPr>
        <w:t xml:space="preserve"> ishullor</w:t>
      </w:r>
      <w:r w:rsidR="006551B8">
        <w:rPr>
          <w:rFonts w:ascii="Garamond" w:hAnsi="Garamond" w:cs="Garamond"/>
          <w:color w:val="000000"/>
          <w:sz w:val="24"/>
          <w:szCs w:val="24"/>
          <w:lang w:val="sq-AL"/>
        </w:rPr>
        <w:t xml:space="preserve">e </w:t>
      </w:r>
      <w:r w:rsidRPr="00126A15">
        <w:rPr>
          <w:rFonts w:ascii="Garamond" w:hAnsi="Garamond" w:cs="Garamond"/>
          <w:color w:val="000000"/>
          <w:sz w:val="24"/>
          <w:szCs w:val="24"/>
          <w:lang w:val="sq-AL"/>
        </w:rPr>
        <w:t xml:space="preserve">në zhvillim, shteteve bregdetare </w:t>
      </w:r>
      <w:r w:rsidR="008A5AF2" w:rsidRPr="00126A15">
        <w:rPr>
          <w:rFonts w:ascii="Garamond" w:hAnsi="Garamond" w:cs="Garamond"/>
          <w:color w:val="000000"/>
          <w:sz w:val="24"/>
          <w:szCs w:val="24"/>
          <w:lang w:val="sq-AL"/>
        </w:rPr>
        <w:t>afrikane</w:t>
      </w:r>
      <w:r w:rsidRPr="00126A15">
        <w:rPr>
          <w:rFonts w:ascii="Garamond" w:hAnsi="Garamond" w:cs="Garamond"/>
          <w:color w:val="000000"/>
          <w:sz w:val="24"/>
          <w:szCs w:val="24"/>
          <w:lang w:val="sq-AL"/>
        </w:rPr>
        <w:t>, shteteve të arkipelagut dhe me të ardhura mesatare në zhvillim. Palët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garantojnë që sigurimi i ngritjes së kapaciteteve dhe transferimi i teknologjisë detare të mos kushtëzohen nga kërkesat e raportimit pa vend.</w:t>
      </w:r>
    </w:p>
    <w:p w14:paraId="3CF5988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4E850E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42</w:t>
      </w:r>
    </w:p>
    <w:p w14:paraId="4F745EB2" w14:textId="76731645"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Modalitetet për</w:t>
      </w:r>
      <w:r w:rsidR="007A5D58" w:rsidRPr="00126A15">
        <w:rPr>
          <w:rFonts w:ascii="Garamond" w:hAnsi="Garamond" w:cs="Garamond"/>
          <w:b/>
          <w:bCs/>
          <w:color w:val="000000"/>
          <w:sz w:val="24"/>
          <w:szCs w:val="24"/>
          <w:lang w:val="sq-AL"/>
        </w:rPr>
        <w:t xml:space="preserve"> </w:t>
      </w:r>
      <w:r w:rsidRPr="00126A15">
        <w:rPr>
          <w:rFonts w:ascii="Garamond" w:hAnsi="Garamond" w:cs="Garamond"/>
          <w:b/>
          <w:bCs/>
          <w:color w:val="000000"/>
          <w:sz w:val="24"/>
          <w:szCs w:val="24"/>
          <w:lang w:val="sq-AL"/>
        </w:rPr>
        <w:t>ngritjen e kapaciteteve dhe transferimin e teknologjisë detare</w:t>
      </w:r>
    </w:p>
    <w:p w14:paraId="3E61B60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4590B21C" w14:textId="4409D29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brenda mundësive të tyre, do të sigurojnë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ngritjen e kapaciteteve për Shtetet Palë në zhvillim dhe do të bashkëpunojnë për të arritur transferimin e teknologjisë detare, veçanërisht për shtetet palë në zhvillim që kanë nevojë dhe e kërkojnë atë, duke marrë parasysh rrethanat e veçanta të </w:t>
      </w:r>
      <w:r w:rsidR="00F05054" w:rsidRPr="00126A15">
        <w:rPr>
          <w:rFonts w:ascii="Garamond" w:hAnsi="Garamond" w:cs="Garamond"/>
          <w:color w:val="000000"/>
          <w:sz w:val="24"/>
          <w:szCs w:val="24"/>
          <w:lang w:val="sq-AL"/>
        </w:rPr>
        <w:t xml:space="preserve">shteteve </w:t>
      </w:r>
      <w:r w:rsidRPr="00126A15">
        <w:rPr>
          <w:rFonts w:ascii="Garamond" w:hAnsi="Garamond" w:cs="Garamond"/>
          <w:color w:val="000000"/>
          <w:sz w:val="24"/>
          <w:szCs w:val="24"/>
          <w:lang w:val="sq-AL"/>
        </w:rPr>
        <w:t>të vogla ishullore në zhvillim dhe të vendeve më pak të zhvilluara, në përputhje me dispozitat e kësaj Marrëveshjeje.</w:t>
      </w:r>
    </w:p>
    <w:p w14:paraId="5B0DC346" w14:textId="372A8F1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Palët do të sigurojnë, brenda mundësive të tyre, burime për të mbështetur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ngritjen e kapaciteteve të tilla, zhvillimin dhe transferimin e teknologjisë detare, si dhe të lehtësojë aksesin në burime të tjera mbështetëse, duke marrë parasysh politikat, prioritetet, planet dhe programet e tyre kombëtare.</w:t>
      </w:r>
    </w:p>
    <w:p w14:paraId="3A092BDF" w14:textId="29AD494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Krijimi i kapaciteteve dhe transferimi i teknologjisë detare duhet të jetë një proces i drejtuar nga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shteti, transparent, efektiv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 vazhdueshëm, i cili është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bashkëpunues,</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ndërmjetësues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ndërgjinor. </w:t>
      </w:r>
      <w:r w:rsidRPr="00FB05E4">
        <w:rPr>
          <w:rFonts w:ascii="Garamond" w:hAnsi="Garamond" w:cs="Garamond"/>
          <w:color w:val="000000"/>
          <w:sz w:val="24"/>
          <w:szCs w:val="24"/>
          <w:lang w:val="sq-AL"/>
        </w:rPr>
        <w:t>Ai do të bazo</w:t>
      </w:r>
      <w:r w:rsidR="00970C9F" w:rsidRPr="00FB05E4">
        <w:rPr>
          <w:rFonts w:ascii="Garamond" w:hAnsi="Garamond" w:cs="Garamond"/>
          <w:color w:val="000000"/>
          <w:sz w:val="24"/>
          <w:szCs w:val="24"/>
          <w:lang w:val="sq-AL"/>
        </w:rPr>
        <w:t>het</w:t>
      </w:r>
      <w:r w:rsidRPr="00FB05E4">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sipas rastit, dhe nuk do të kopjojë programet ekzistuese dhe do të udhëhiqet nga mësimet e nxjerra, duke përfshirë ato nga ngritja e kapaciteteve dhe transferimi i aktiviteteve të teknologjisë detare</w:t>
      </w:r>
      <w:r w:rsidR="00970C9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sipas instrumenteve dhe kornizave ligjore përkatëse dhe organeve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 Për aq sa është e mundur, ai do të marrë parasysh këto aktivitete me synimin për të maksimizuar efikasitetin dhe rezultatet.</w:t>
      </w:r>
      <w:r w:rsidR="007A5D58" w:rsidRPr="00126A15">
        <w:rPr>
          <w:rFonts w:ascii="Garamond" w:hAnsi="Garamond" w:cs="Garamond"/>
          <w:color w:val="000000"/>
          <w:sz w:val="24"/>
          <w:szCs w:val="24"/>
          <w:lang w:val="sq-AL"/>
        </w:rPr>
        <w:t xml:space="preserve"> </w:t>
      </w:r>
    </w:p>
    <w:p w14:paraId="0CE4E2E1" w14:textId="1276DDF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Ngritja e kapaciteteve dhe transferimi i teknologjisë detare do të bazohet dhe do t’u përgjigjet nevojave dhe prioriteteve të </w:t>
      </w:r>
      <w:r w:rsidR="00F05054" w:rsidRPr="00126A15">
        <w:rPr>
          <w:rFonts w:ascii="Garamond" w:hAnsi="Garamond" w:cs="Garamond"/>
          <w:color w:val="000000"/>
          <w:sz w:val="24"/>
          <w:szCs w:val="24"/>
          <w:lang w:val="sq-AL"/>
        </w:rPr>
        <w:t xml:space="preserve">Shteteve </w:t>
      </w:r>
      <w:r w:rsidRPr="00126A15">
        <w:rPr>
          <w:rFonts w:ascii="Garamond" w:hAnsi="Garamond" w:cs="Garamond"/>
          <w:color w:val="000000"/>
          <w:sz w:val="24"/>
          <w:szCs w:val="24"/>
          <w:lang w:val="sq-AL"/>
        </w:rPr>
        <w:t>Palë në zhvillim, duke marrë parasysh rrethanat e veçanta të shteteve të vogla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ishullore në zhvillim dhe të vendeve më pak të zhvilluara,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pikasura nëpërmjet vlerësimeve të nevojave në baza individuale lokale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ose rajonale. Nevoja dhe prioritete të tilla mund të vetëvlerësohen ose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mundësohen nëpërmjet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krijimit të kapaciteteve dhe transferimit të komitetit të teknologjisë detare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Aparatit Global të Diversitetit Biologjik. </w:t>
      </w:r>
    </w:p>
    <w:p w14:paraId="43E0958C"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252C2B0B" w14:textId="77777777" w:rsidR="00FB05E4" w:rsidRDefault="00FB05E4"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75FA11F2" w14:textId="77777777" w:rsidR="00FB05E4" w:rsidRDefault="00FB05E4"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3B665879" w14:textId="77777777" w:rsidR="00FB05E4" w:rsidRDefault="00FB05E4"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19D60476" w14:textId="158F741E"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Neni 43</w:t>
      </w:r>
    </w:p>
    <w:p w14:paraId="4275EC3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Modalitete shtesë për transferimin e teknologjisë detare</w:t>
      </w:r>
    </w:p>
    <w:p w14:paraId="40F419E1"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F91980A" w14:textId="3FBA0F1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Palët ndajnë një vizion afatgjatë për rëndësinë e realizimit të plotë të zhvillimit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teknologjik dhe për bashkëpunim gjithëpërfshirës,</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barabartë dhe efektiv dhe pjesëmarrje në aktivitetet e ndërmarra sipas kësaj Marrëveshjeje dhe me qëllim arritjen e plotë të objektivave të saj.</w:t>
      </w:r>
    </w:p>
    <w:p w14:paraId="3F82A687" w14:textId="3519E22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Transferimi i teknologjisë detare i ndërmarrë sipas kësaj Marrëveshjeje do të bëhet me kushte të drejta dhe më të favorshme, duke përfshirë kushtet koncesionare dhe preferenciale, dhe në përputhje me termat dhe kushtet e rënë dakord reciprokisht, si dhe objektivat e kësaj Marrëveshjeje.</w:t>
      </w:r>
    </w:p>
    <w:p w14:paraId="123B5C4B" w14:textId="2E11AC3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Palët do të nxisin dhe inkurajojnë kushtet ekonomike dhe ligjore për transferimin e teknologjisë detare te Shtetet Palë në zhvillim, duke marrë parasysh rrethanat e veçanta të </w:t>
      </w:r>
      <w:r w:rsidR="00F05054" w:rsidRPr="00126A15">
        <w:rPr>
          <w:rFonts w:ascii="Garamond" w:hAnsi="Garamond" w:cs="Garamond"/>
          <w:color w:val="000000"/>
          <w:sz w:val="24"/>
          <w:szCs w:val="24"/>
          <w:lang w:val="sq-AL"/>
        </w:rPr>
        <w:t xml:space="preserve">shteteve </w:t>
      </w:r>
      <w:r w:rsidRPr="00126A15">
        <w:rPr>
          <w:rFonts w:ascii="Garamond" w:hAnsi="Garamond" w:cs="Garamond"/>
          <w:color w:val="000000"/>
          <w:sz w:val="24"/>
          <w:szCs w:val="24"/>
          <w:lang w:val="sq-AL"/>
        </w:rPr>
        <w:t>të vogla ishullore në zhvillim dhe të vendeve më pak të zhvilluara, të cilat mund të përfshijnë dhënien e stimujve për ndërmarrjet dhe institucionet.</w:t>
      </w:r>
    </w:p>
    <w:p w14:paraId="0A505528" w14:textId="3627965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Transferimi i teknologjisë detare do të marrë parasysh të gjitha të drejtat mbi këto teknologji dhe do të kryhet duke marrë parasysh të gjitha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siguritë ligjore, duke përfshirë, ndër të tjera, të drejtat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detyrimet e mbartësve,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siguruesve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përfituesve të teknologjisë detare dhe duke marrë parasysh</w:t>
      </w:r>
      <w:r w:rsidR="00CD7D5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veçanërisht interesat dhe nevojat e shteteve në zhvillim për arritjen e objektivave të kësaj Marrëveshjeje.</w:t>
      </w:r>
    </w:p>
    <w:p w14:paraId="46DFA3F1" w14:textId="433C0D6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Teknologjia detare e transferuar në përputhje me këtë pjesë do të jetë e përshtatshme,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zbatueshme dhe, për aq sa është e mundur, e besueshme, e përballueshme,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bashkëkohore,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pa ndotje dhe e disponueshme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 të pasur akses Shtetet Palë në zhvillim, duke marrë parasysh rrethanat e veçanta të shteteve të v</w:t>
      </w:r>
      <w:r w:rsidR="00F05054">
        <w:rPr>
          <w:rFonts w:ascii="Garamond" w:hAnsi="Garamond" w:cs="Garamond"/>
          <w:color w:val="000000"/>
          <w:sz w:val="24"/>
          <w:szCs w:val="24"/>
          <w:lang w:val="sq-AL"/>
        </w:rPr>
        <w:t xml:space="preserve">ogla </w:t>
      </w:r>
      <w:r w:rsidRPr="00126A15">
        <w:rPr>
          <w:rFonts w:ascii="Garamond" w:hAnsi="Garamond" w:cs="Garamond"/>
          <w:color w:val="000000"/>
          <w:sz w:val="24"/>
          <w:szCs w:val="24"/>
          <w:lang w:val="sq-AL"/>
        </w:rPr>
        <w:t>ishullor</w:t>
      </w:r>
      <w:r w:rsidR="00F05054">
        <w:rPr>
          <w:rFonts w:ascii="Garamond" w:hAnsi="Garamond" w:cs="Garamond"/>
          <w:color w:val="000000"/>
          <w:sz w:val="24"/>
          <w:szCs w:val="24"/>
          <w:lang w:val="sq-AL"/>
        </w:rPr>
        <w:t>e</w:t>
      </w:r>
      <w:r w:rsidRPr="00126A15">
        <w:rPr>
          <w:rFonts w:ascii="Garamond" w:hAnsi="Garamond" w:cs="Garamond"/>
          <w:color w:val="000000"/>
          <w:sz w:val="24"/>
          <w:szCs w:val="24"/>
          <w:lang w:val="sq-AL"/>
        </w:rPr>
        <w:t xml:space="preserve"> në zhvillim dhe më së paku vendeve më pak të zhvilluara.</w:t>
      </w:r>
    </w:p>
    <w:p w14:paraId="0CA1282D"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D8EEEB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44</w:t>
      </w:r>
    </w:p>
    <w:p w14:paraId="0F69787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Mënyrat e ngritjes së kapaciteteve dhe transferimit të teknologjisë detare</w:t>
      </w:r>
    </w:p>
    <w:p w14:paraId="5C3F42B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1EF96B7" w14:textId="6DCBD2F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Në mbështetje të objektivave të përcaktuar në nenin 40, mënyrat e ngritjes së kapaciteteve dhe të transferimit të teknologjisë detare mund të përfshijnë, por nuk kufizohen në, mbështetje për krijimin ose përmirësimin e menaxhimit njerëzor, financiar, shkencor, teknologjik, organizativ, institucional dhe kapaciteteve të tjera burimore të Palëve, si:</w:t>
      </w:r>
    </w:p>
    <w:p w14:paraId="5F75A659" w14:textId="67D55DC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AC0D5D" w:rsidRPr="00126A15">
        <w:rPr>
          <w:rFonts w:ascii="Garamond" w:hAnsi="Garamond" w:cs="Garamond"/>
          <w:color w:val="000000"/>
          <w:sz w:val="24"/>
          <w:szCs w:val="24"/>
          <w:lang w:val="sq-AL"/>
        </w:rPr>
        <w:t xml:space="preserve">ndarja </w:t>
      </w:r>
      <w:r w:rsidRPr="00126A15">
        <w:rPr>
          <w:rFonts w:ascii="Garamond" w:hAnsi="Garamond" w:cs="Garamond"/>
          <w:color w:val="000000"/>
          <w:sz w:val="24"/>
          <w:szCs w:val="24"/>
          <w:lang w:val="sq-AL"/>
        </w:rPr>
        <w:t>dhe përdorimi i të dhënave, informacionit, njohurive dhe rezultateve të hulumtimit përkatës;</w:t>
      </w:r>
    </w:p>
    <w:p w14:paraId="3F7B8332" w14:textId="2C97035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AC0D5D" w:rsidRPr="00126A15">
        <w:rPr>
          <w:rFonts w:ascii="Garamond" w:hAnsi="Garamond" w:cs="Garamond"/>
          <w:color w:val="000000"/>
          <w:sz w:val="24"/>
          <w:szCs w:val="24"/>
          <w:lang w:val="sq-AL"/>
        </w:rPr>
        <w:t xml:space="preserve">shpërndarja </w:t>
      </w:r>
      <w:r w:rsidRPr="00126A15">
        <w:rPr>
          <w:rFonts w:ascii="Garamond" w:hAnsi="Garamond" w:cs="Garamond"/>
          <w:color w:val="000000"/>
          <w:sz w:val="24"/>
          <w:szCs w:val="24"/>
          <w:lang w:val="sq-AL"/>
        </w:rPr>
        <w:t xml:space="preserve">e informacionit dhe rritjen e ndërgjegjësimit, duke përfshirë respektimin e njohurive përkatëse tradicionale të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 xml:space="preserve">ve dhe komuniteteve lokale, në përputhje me aprovimin e vullnetshëm, paraprak dhe të diktuar të këtyre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sipas rastit, të komuniteteve lokale;</w:t>
      </w:r>
      <w:r w:rsidR="007A5D58" w:rsidRPr="00126A15">
        <w:rPr>
          <w:rFonts w:ascii="Garamond" w:hAnsi="Garamond" w:cs="Garamond"/>
          <w:color w:val="000000"/>
          <w:sz w:val="24"/>
          <w:szCs w:val="24"/>
          <w:lang w:val="sq-AL"/>
        </w:rPr>
        <w:t xml:space="preserve"> </w:t>
      </w:r>
    </w:p>
    <w:p w14:paraId="0064DE00" w14:textId="22CCA86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AC0D5D" w:rsidRPr="00126A15">
        <w:rPr>
          <w:rFonts w:ascii="Garamond" w:hAnsi="Garamond" w:cs="Garamond"/>
          <w:color w:val="000000"/>
          <w:sz w:val="24"/>
          <w:szCs w:val="24"/>
          <w:lang w:val="sq-AL"/>
        </w:rPr>
        <w:t xml:space="preserve">zhvillimi </w:t>
      </w:r>
      <w:r w:rsidRPr="00126A15">
        <w:rPr>
          <w:rFonts w:ascii="Garamond" w:hAnsi="Garamond" w:cs="Garamond"/>
          <w:color w:val="000000"/>
          <w:sz w:val="24"/>
          <w:szCs w:val="24"/>
          <w:lang w:val="sq-AL"/>
        </w:rPr>
        <w:t>dhe forcimi i infrastrukturës përkatëse, duke përfshirë pajisjet dhe kapacitetin e personelit për përdorimin dhe mirëmbajtjen e saj;</w:t>
      </w:r>
    </w:p>
    <w:p w14:paraId="38A54865" w14:textId="7DED230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AC0D5D" w:rsidRPr="00126A15">
        <w:rPr>
          <w:rFonts w:ascii="Garamond" w:hAnsi="Garamond" w:cs="Garamond"/>
          <w:color w:val="000000"/>
          <w:sz w:val="24"/>
          <w:szCs w:val="24"/>
          <w:lang w:val="sq-AL"/>
        </w:rPr>
        <w:t xml:space="preserve">zhvillimi </w:t>
      </w:r>
      <w:r w:rsidRPr="00126A15">
        <w:rPr>
          <w:rFonts w:ascii="Garamond" w:hAnsi="Garamond" w:cs="Garamond"/>
          <w:color w:val="000000"/>
          <w:sz w:val="24"/>
          <w:szCs w:val="24"/>
          <w:lang w:val="sq-AL"/>
        </w:rPr>
        <w:t>dhe forcimi i kapaciteteve institucionale dhe kornizave apo mekanizmave rregullatorë kombëtarë;</w:t>
      </w:r>
    </w:p>
    <w:p w14:paraId="37D70C7B" w14:textId="5278A99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AC0D5D" w:rsidRPr="00126A15">
        <w:rPr>
          <w:rFonts w:ascii="Garamond" w:hAnsi="Garamond" w:cs="Garamond"/>
          <w:color w:val="000000"/>
          <w:sz w:val="24"/>
          <w:szCs w:val="24"/>
          <w:lang w:val="sq-AL"/>
        </w:rPr>
        <w:t xml:space="preserve">zhvillimi </w:t>
      </w:r>
      <w:r w:rsidRPr="00126A15">
        <w:rPr>
          <w:rFonts w:ascii="Garamond" w:hAnsi="Garamond" w:cs="Garamond"/>
          <w:color w:val="000000"/>
          <w:sz w:val="24"/>
          <w:szCs w:val="24"/>
          <w:lang w:val="sq-AL"/>
        </w:rPr>
        <w:t xml:space="preserve">dhe forcimi i kapaciteteve të burimeve njerëzore dhe menaxhimit financiar dhe të ekspertizës teknike nëpërmjet shkëmbimeve, bashkëpunimit kërkimor, mbështetjes teknike, edukimit, trajnimit dhe transferimit të teknologjisë detare; </w:t>
      </w:r>
    </w:p>
    <w:p w14:paraId="50069EFA" w14:textId="6134B40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f)</w:t>
      </w:r>
      <w:r w:rsidR="007A5D58" w:rsidRPr="00126A15">
        <w:rPr>
          <w:rFonts w:ascii="Garamond" w:hAnsi="Garamond" w:cs="Garamond"/>
          <w:color w:val="000000"/>
          <w:sz w:val="24"/>
          <w:szCs w:val="24"/>
          <w:lang w:val="sq-AL"/>
        </w:rPr>
        <w:t xml:space="preserve"> </w:t>
      </w:r>
      <w:r w:rsidR="00AC0D5D" w:rsidRPr="00126A15">
        <w:rPr>
          <w:rFonts w:ascii="Garamond" w:hAnsi="Garamond" w:cs="Garamond"/>
          <w:color w:val="000000"/>
          <w:sz w:val="24"/>
          <w:szCs w:val="24"/>
          <w:lang w:val="sq-AL"/>
        </w:rPr>
        <w:t xml:space="preserve">hartimi </w:t>
      </w:r>
      <w:r w:rsidRPr="00126A15">
        <w:rPr>
          <w:rFonts w:ascii="Garamond" w:hAnsi="Garamond" w:cs="Garamond"/>
          <w:color w:val="000000"/>
          <w:sz w:val="24"/>
          <w:szCs w:val="24"/>
          <w:lang w:val="sq-AL"/>
        </w:rPr>
        <w:t>dhe shpërndarja e manualeve, udhëzimeve dhe standardeve;</w:t>
      </w:r>
    </w:p>
    <w:p w14:paraId="290DC3EC" w14:textId="47BCAC4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g)</w:t>
      </w:r>
      <w:r w:rsidR="007A5D58" w:rsidRPr="00126A15">
        <w:rPr>
          <w:rFonts w:ascii="Garamond" w:hAnsi="Garamond" w:cs="Garamond"/>
          <w:color w:val="000000"/>
          <w:sz w:val="24"/>
          <w:szCs w:val="24"/>
          <w:lang w:val="sq-AL"/>
        </w:rPr>
        <w:t xml:space="preserve"> </w:t>
      </w:r>
      <w:r w:rsidR="00AC0D5D" w:rsidRPr="00126A15">
        <w:rPr>
          <w:rFonts w:ascii="Garamond" w:hAnsi="Garamond" w:cs="Garamond"/>
          <w:color w:val="000000"/>
          <w:sz w:val="24"/>
          <w:szCs w:val="24"/>
          <w:lang w:val="sq-AL"/>
        </w:rPr>
        <w:t xml:space="preserve">hartimi </w:t>
      </w:r>
      <w:r w:rsidRPr="00126A15">
        <w:rPr>
          <w:rFonts w:ascii="Garamond" w:hAnsi="Garamond" w:cs="Garamond"/>
          <w:color w:val="000000"/>
          <w:sz w:val="24"/>
          <w:szCs w:val="24"/>
          <w:lang w:val="sq-AL"/>
        </w:rPr>
        <w:t>i programeve teknike, shkencore, kërkimore dhe atyre të zhvillimit;</w:t>
      </w:r>
    </w:p>
    <w:p w14:paraId="10220C2E" w14:textId="1109C1C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h) </w:t>
      </w:r>
      <w:r w:rsidR="00AC0D5D" w:rsidRPr="00126A15">
        <w:rPr>
          <w:rFonts w:ascii="Garamond" w:hAnsi="Garamond" w:cs="Garamond"/>
          <w:color w:val="000000"/>
          <w:sz w:val="24"/>
          <w:szCs w:val="24"/>
          <w:lang w:val="sq-AL"/>
        </w:rPr>
        <w:t xml:space="preserve">ngritja </w:t>
      </w:r>
      <w:r w:rsidRPr="00126A15">
        <w:rPr>
          <w:rFonts w:ascii="Garamond" w:hAnsi="Garamond" w:cs="Garamond"/>
          <w:color w:val="000000"/>
          <w:sz w:val="24"/>
          <w:szCs w:val="24"/>
          <w:lang w:val="sq-AL"/>
        </w:rPr>
        <w:t>dhe forcimi i kapaciteteve dhe mjeteve teknologjike për monitorimin, kontrollin dhe mbikëqyrjen efektive të aktiviteteve brenda objektit të kësaj Marrëveshjeje.</w:t>
      </w:r>
    </w:p>
    <w:p w14:paraId="0539F337" w14:textId="3EC7A6F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Detaje të mëtejshme në lidhje me mënyrat e ngritjes së kapaciteteve dhe të transferimit të teknologjisë detare të diktuara në këtë artikull janë shtjelluar në </w:t>
      </w:r>
      <w:r w:rsidR="00F349AD" w:rsidRPr="00126A15">
        <w:rPr>
          <w:rFonts w:ascii="Garamond" w:hAnsi="Garamond" w:cs="Garamond"/>
          <w:color w:val="000000"/>
          <w:sz w:val="24"/>
          <w:szCs w:val="24"/>
          <w:lang w:val="sq-AL"/>
        </w:rPr>
        <w:t xml:space="preserve">shtojcën </w:t>
      </w:r>
      <w:r w:rsidRPr="00126A15">
        <w:rPr>
          <w:rFonts w:ascii="Garamond" w:hAnsi="Garamond" w:cs="Garamond"/>
          <w:color w:val="000000"/>
          <w:sz w:val="24"/>
          <w:szCs w:val="24"/>
          <w:lang w:val="sq-AL"/>
        </w:rPr>
        <w:t>II.</w:t>
      </w:r>
      <w:r w:rsidR="007A5D58" w:rsidRPr="00126A15">
        <w:rPr>
          <w:rFonts w:ascii="Garamond" w:hAnsi="Garamond" w:cs="Garamond"/>
          <w:color w:val="000000"/>
          <w:sz w:val="24"/>
          <w:szCs w:val="24"/>
          <w:lang w:val="sq-AL"/>
        </w:rPr>
        <w:t xml:space="preserve"> </w:t>
      </w:r>
    </w:p>
    <w:p w14:paraId="1B3448CB" w14:textId="2B1AAF6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3. Konferenca e Palëve, duke marrë parasysh rekomandimet e komitetit për ngritjen e kapaciteteve dhe transferimin e teknologjisë detare,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analizojë, vlerësojë dhe zhvillojë më tej në mënyrë periodike, sipas nevojës, dhe do të japë udhëzime mbi listën treguese dhe jo shteruese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mënyrave të ngritjes së kapaciteteve dhe transferimin e teknologjisë detare të përpunuara në </w:t>
      </w:r>
      <w:r w:rsidR="00F349AD" w:rsidRPr="00126A15">
        <w:rPr>
          <w:rFonts w:ascii="Garamond" w:hAnsi="Garamond" w:cs="Garamond"/>
          <w:color w:val="000000"/>
          <w:sz w:val="24"/>
          <w:szCs w:val="24"/>
          <w:lang w:val="sq-AL"/>
        </w:rPr>
        <w:t xml:space="preserve">aneksin </w:t>
      </w:r>
      <w:r w:rsidRPr="00126A15">
        <w:rPr>
          <w:rFonts w:ascii="Garamond" w:hAnsi="Garamond" w:cs="Garamond"/>
          <w:color w:val="000000"/>
          <w:sz w:val="24"/>
          <w:szCs w:val="24"/>
          <w:lang w:val="sq-AL"/>
        </w:rPr>
        <w:t xml:space="preserve">II, për të pasqyruar progresin dhe inovacionin teknologjik dhe për t’iu përgjigjur dhe </w:t>
      </w:r>
      <w:r w:rsidR="00AC0D5D" w:rsidRPr="00126A15">
        <w:rPr>
          <w:rFonts w:ascii="Garamond" w:hAnsi="Garamond" w:cs="Garamond"/>
          <w:color w:val="000000"/>
          <w:sz w:val="24"/>
          <w:szCs w:val="24"/>
          <w:lang w:val="sq-AL"/>
        </w:rPr>
        <w:t xml:space="preserve">për t’iu </w:t>
      </w:r>
      <w:r w:rsidRPr="00126A15">
        <w:rPr>
          <w:rFonts w:ascii="Garamond" w:hAnsi="Garamond" w:cs="Garamond"/>
          <w:color w:val="000000"/>
          <w:sz w:val="24"/>
          <w:szCs w:val="24"/>
          <w:lang w:val="sq-AL"/>
        </w:rPr>
        <w:t xml:space="preserve">përshtatur nevojave në zhvillim të shteteve, nënrajoneve dhe rajoneve. </w:t>
      </w:r>
    </w:p>
    <w:p w14:paraId="3FD955FC"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FC46DE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45</w:t>
      </w:r>
    </w:p>
    <w:p w14:paraId="7DB90A1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Monitorimi dhe analiza</w:t>
      </w:r>
    </w:p>
    <w:p w14:paraId="3EC4DFA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1C51F01" w14:textId="2216B3E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Ngritja e kapaciteteve dhe transferimi i teknologjisë detare i ndërmarrë</w:t>
      </w:r>
      <w:r w:rsidR="00AC0D5D"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dispozitat e kësaj </w:t>
      </w:r>
      <w:r w:rsidR="00AC0D5D" w:rsidRPr="00126A15">
        <w:rPr>
          <w:rFonts w:ascii="Garamond" w:hAnsi="Garamond" w:cs="Garamond"/>
          <w:color w:val="000000"/>
          <w:sz w:val="24"/>
          <w:szCs w:val="24"/>
          <w:lang w:val="sq-AL"/>
        </w:rPr>
        <w:t xml:space="preserve">pjese </w:t>
      </w:r>
      <w:r w:rsidRPr="00126A15">
        <w:rPr>
          <w:rFonts w:ascii="Garamond" w:hAnsi="Garamond" w:cs="Garamond"/>
          <w:color w:val="000000"/>
          <w:sz w:val="24"/>
          <w:szCs w:val="24"/>
          <w:lang w:val="sq-AL"/>
        </w:rPr>
        <w:t xml:space="preserve">do të monitorohet dhe analizohet periodikisht. </w:t>
      </w:r>
    </w:p>
    <w:p w14:paraId="22431D37" w14:textId="0947A5C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Monitorimi dhe analiza e përmendur në paragrafin 1 më sipër do të kryhet nga komiteti i ngritjes së kapaciteteve dhe transferimit të teknologjisë detare nën autoritetin e Konferencës së Palëve dhe do të synojë:</w:t>
      </w:r>
    </w:p>
    <w:p w14:paraId="03C49522" w14:textId="605CEEE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Në vlerësimi</w:t>
      </w:r>
      <w:r w:rsidR="00FB05E4">
        <w:rPr>
          <w:rFonts w:ascii="Garamond" w:hAnsi="Garamond" w:cs="Garamond"/>
          <w:color w:val="000000"/>
          <w:sz w:val="24"/>
          <w:szCs w:val="24"/>
          <w:lang w:val="sq-AL"/>
        </w:rPr>
        <w:t>n</w:t>
      </w:r>
      <w:r w:rsidRPr="00126A15">
        <w:rPr>
          <w:rFonts w:ascii="Garamond" w:hAnsi="Garamond" w:cs="Garamond"/>
          <w:color w:val="000000"/>
          <w:sz w:val="24"/>
          <w:szCs w:val="24"/>
          <w:lang w:val="sq-AL"/>
        </w:rPr>
        <w:t xml:space="preserve"> dhe analizimin e nevojave dhe prioriteteve të Shteteve Palë në zhvillim për</w:t>
      </w:r>
      <w:r w:rsidR="00AC0D5D"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sa i përket ngritjes së kapaciteteve dhe transferimit të teknologjisë detare, duke </w:t>
      </w:r>
      <w:r w:rsidR="00AC0D5D" w:rsidRPr="00126A15">
        <w:rPr>
          <w:rFonts w:ascii="Garamond" w:hAnsi="Garamond" w:cs="Garamond"/>
          <w:color w:val="000000"/>
          <w:sz w:val="24"/>
          <w:szCs w:val="24"/>
          <w:lang w:val="sq-AL"/>
        </w:rPr>
        <w:t>u</w:t>
      </w:r>
      <w:r w:rsidRPr="00126A15">
        <w:rPr>
          <w:rFonts w:ascii="Garamond" w:hAnsi="Garamond" w:cs="Garamond"/>
          <w:color w:val="000000"/>
          <w:sz w:val="24"/>
          <w:szCs w:val="24"/>
          <w:lang w:val="sq-AL"/>
        </w:rPr>
        <w:t xml:space="preserve"> kushtuar vëmendje të veçantë kërkesave të posaçme të Shteteve Palë në zhvillim dhe rrethanave të caktuara të shteteve të vogla ishullore në zhvillim dhe të vendeve më pak të zhvilluara, në përputhje me nenin 42, paragrafi 4;</w:t>
      </w:r>
    </w:p>
    <w:p w14:paraId="2799FE23" w14:textId="0020B128" w:rsidR="00F205CF" w:rsidRPr="00126A15" w:rsidRDefault="00FB05E4"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b)</w:t>
      </w:r>
      <w:r w:rsidR="00F205CF" w:rsidRPr="00126A15">
        <w:rPr>
          <w:rFonts w:ascii="Garamond" w:hAnsi="Garamond" w:cs="Garamond"/>
          <w:color w:val="000000"/>
          <w:sz w:val="24"/>
          <w:szCs w:val="24"/>
          <w:lang w:val="sq-AL"/>
        </w:rPr>
        <w:t xml:space="preserve"> Në analizimin e mbështetjes së kërkuar, të</w:t>
      </w:r>
      <w:r w:rsidR="007A5D58" w:rsidRPr="00126A15">
        <w:rPr>
          <w:rFonts w:ascii="Garamond" w:hAnsi="Garamond" w:cs="Garamond"/>
          <w:color w:val="000000"/>
          <w:sz w:val="24"/>
          <w:szCs w:val="24"/>
          <w:lang w:val="sq-AL"/>
        </w:rPr>
        <w:t xml:space="preserve"> </w:t>
      </w:r>
      <w:r w:rsidR="00F205CF" w:rsidRPr="00126A15">
        <w:rPr>
          <w:rFonts w:ascii="Garamond" w:hAnsi="Garamond" w:cs="Garamond"/>
          <w:color w:val="000000"/>
          <w:sz w:val="24"/>
          <w:szCs w:val="24"/>
          <w:lang w:val="sq-AL"/>
        </w:rPr>
        <w:t>ofruar dhe të organizuar, si dhe të mangësive në përmbushjen e kërkesave të njohura të Shteteve Palë në zhvillim në lidhje me këtë Marrëveshje;</w:t>
      </w:r>
    </w:p>
    <w:p w14:paraId="59B754D0" w14:textId="02F7BD44" w:rsidR="00F205CF" w:rsidRPr="00126A15" w:rsidRDefault="00FB05E4"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c</w:t>
      </w:r>
      <w:r w:rsidR="00F205CF"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F205CF" w:rsidRPr="00126A15">
        <w:rPr>
          <w:rFonts w:ascii="Garamond" w:hAnsi="Garamond" w:cs="Garamond"/>
          <w:color w:val="000000"/>
          <w:sz w:val="24"/>
          <w:szCs w:val="24"/>
          <w:lang w:val="sq-AL"/>
        </w:rPr>
        <w:t xml:space="preserve">Njohja dhe menaxhimi i fondeve sipas mekanizmit financiar të krijuar sipas nenit 52 për të zhvilluar dhe zbatuar ngritjen e kapaciteteve dhe transferimin e teknologjisë detare, përfshirë procesin e vlerësimit të kërkesave; </w:t>
      </w:r>
    </w:p>
    <w:p w14:paraId="693D9011" w14:textId="15DB35D3" w:rsidR="00F205CF" w:rsidRPr="00126A15" w:rsidRDefault="00FB05E4"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d</w:t>
      </w:r>
      <w:r w:rsidR="00F205CF" w:rsidRPr="00126A15">
        <w:rPr>
          <w:rFonts w:ascii="Garamond" w:hAnsi="Garamond" w:cs="Garamond"/>
          <w:color w:val="000000"/>
          <w:sz w:val="24"/>
          <w:szCs w:val="24"/>
          <w:lang w:val="sq-AL"/>
        </w:rPr>
        <w:t>) Matjen e performancës sipas treguesve të aprovuar dhe analizimin e hulumtimit sipas rezultateve, duke përfshirë punën, përfundimet, progresin dhe efektivitetin e ngritjes të kapaciteteve dhe transferimin e teknologjisë detare sipas kësaj Marrëveshjeje, si dhe sukseset dhe sfidat;</w:t>
      </w:r>
    </w:p>
    <w:p w14:paraId="79CCDA94" w14:textId="18F12686" w:rsidR="00F205CF" w:rsidRPr="00126A15" w:rsidRDefault="00FB05E4"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e</w:t>
      </w:r>
      <w:r w:rsidR="00F205CF"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F205CF" w:rsidRPr="00126A15">
        <w:rPr>
          <w:rFonts w:ascii="Garamond" w:hAnsi="Garamond" w:cs="Garamond"/>
          <w:color w:val="000000"/>
          <w:sz w:val="24"/>
          <w:szCs w:val="24"/>
          <w:lang w:val="sq-AL"/>
        </w:rPr>
        <w:t xml:space="preserve">Përpilimin e rekomandimeve për aktivitetet vijuese, duke përfshirë mënyrën se si ngritja e kapaciteteve dhe transferimi i teknologjisë detare mund të përmirësohet më tej për të lejuar Shtetet Palë në zhvillim, që duke marrë parasysh rrethanat e veçanta të </w:t>
      </w:r>
      <w:r w:rsidR="00006694" w:rsidRPr="00126A15">
        <w:rPr>
          <w:rFonts w:ascii="Garamond" w:hAnsi="Garamond" w:cs="Garamond"/>
          <w:color w:val="000000"/>
          <w:sz w:val="24"/>
          <w:szCs w:val="24"/>
          <w:lang w:val="sq-AL"/>
        </w:rPr>
        <w:t xml:space="preserve">shteteve </w:t>
      </w:r>
      <w:r w:rsidR="00F205CF" w:rsidRPr="00126A15">
        <w:rPr>
          <w:rFonts w:ascii="Garamond" w:hAnsi="Garamond" w:cs="Garamond"/>
          <w:color w:val="000000"/>
          <w:sz w:val="24"/>
          <w:szCs w:val="24"/>
          <w:lang w:val="sq-AL"/>
        </w:rPr>
        <w:t>të vogla ishullore në zhvillim dhe të vendeve më pak të zhvilluara, të forcojnë zbatimin e Marrëveshjes për të arritur objektivat e saj.</w:t>
      </w:r>
    </w:p>
    <w:p w14:paraId="42EA4A04" w14:textId="544A2B0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Në mbështetje të monitorimit dhe analizës së ngritjes së kapaciteteve dhe transferimit të teknologjisë detare, Palët duhet t’i paraqesin raporte komitetit të ngritjes së kapaciteteve dhe transferimit të teknologjisë detare. Këto raporte duhet të jenë të strukturuara dhe në intervale që do të përcaktohen nga Konferenca e Palëve, duke marrë parasysh rekomandimet e komitetit të ngritjes së kapaciteteve dhe transferimit të teknologjisë detare. Në paraqitjen e raporteve të tyre, Palët do të marrin parasysh, aty ku duhet, të dhëna nga organet rajonale dhe lokale për ngritjen e kapaciteteve dhe transferimin e teknologjisë detare. Raportet e paraqitura nga Palët, si dhe çdo kontribut nga organet rajonale dhe lokale për ngritjen e kapaciteteve dhe transferimin e teknologjisë detare, duhet të bëhen publike. Konferenca e Palëve do të sigurojë që kërkesat e raportimit duhet të jenë të drejtpërdrejta dhe jo evazive, veçanërisht për Shtetet Palë në zhvillim, duke përfshirë kushtet e kostove dhe afatet kohore.</w:t>
      </w:r>
    </w:p>
    <w:p w14:paraId="312644CF"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242A8C5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46</w:t>
      </w:r>
    </w:p>
    <w:p w14:paraId="0F57E3D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Ngritja e kapaciteteve dhe transferimi i komitetit të teknologjisë detare</w:t>
      </w:r>
    </w:p>
    <w:p w14:paraId="39CB917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19808C0" w14:textId="00D0F21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Krijimi i komitetit për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ngritjen e kapaciteteve dhe transferimin e teknologjisë detare.</w:t>
      </w:r>
    </w:p>
    <w:p w14:paraId="50948005" w14:textId="2837980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2. Komiteti do të përbëhet nga anëtarë që zotërojnë kualifikimet dhe ekspertizën e duhur, për të shërbyer objektivisht në interesin më të mirë të Marrëveshjes, të kandiduar nga palët dhe të zgjedhur nga Konferenca e Palëve, duke marrë parasysh ekuilibrin gjinor dhe shpërndarjen e barabartë gjeografike dhe duke siguruar përfaqësim në komitet nga vendet më pak të zhvilluara, nga shtetet e vogla ishullore në zhvillim dhe nga vendet në zhvillim pa dalje në det.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Kushtet e referencës dhe modalitetet për funksionimin e komitetit do të vendosen nga Konferenca e Palëve në mbledhjen e saj të parë.</w:t>
      </w:r>
    </w:p>
    <w:p w14:paraId="6C002A96" w14:textId="2D25BAD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Komiteti do të paraqesë raporte dhe rekomandime që Konferenca e Palëve do t’i shqyrtojë dhe do të ndërmarrë veprime sipas rastit.</w:t>
      </w:r>
    </w:p>
    <w:p w14:paraId="5D6EB679"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25FAFFD7" w14:textId="77777777" w:rsidR="00EA139B" w:rsidRPr="00126A15" w:rsidRDefault="00EA139B"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B5B351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VI</w:t>
      </w:r>
    </w:p>
    <w:p w14:paraId="750FC9B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 xml:space="preserve"> ORGANIZIMET INSTITUCIONALE</w:t>
      </w:r>
    </w:p>
    <w:p w14:paraId="79B9FA6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EC7E63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47</w:t>
      </w:r>
    </w:p>
    <w:p w14:paraId="05D7604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Konferenca e Palëve</w:t>
      </w:r>
    </w:p>
    <w:p w14:paraId="3295B30D"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402CE18" w14:textId="20F79CF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Organizimi i Konferencës së Palëve.</w:t>
      </w:r>
    </w:p>
    <w:p w14:paraId="6AA9366C" w14:textId="00DE9A6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Takimi i parë i Konferencës së Palëve do të thirret nga Sekretari i Përgjithshëm i Kombeve të Bashkuara jo më vonë se një vit pas hyrjes në fuqi të kësaj Marrëveshjeje. Më pas, takimet e zakonshme të Konferencës së Palëve do të mbahen në intervale të rregullta që do të përcaktohen nga Konferenca e Palëve. Takimet e jashtëzakonshme të Konferencës së Palëve mund të mbahen edhe herë të tjera, në përputhje me rregullat e procedurës.</w:t>
      </w:r>
    </w:p>
    <w:p w14:paraId="7899C6EA" w14:textId="1AC1F30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Konferenca e Palëve do të mblidhet zakonisht në selinë e sekretariatit ose në selinë e Kombeve të Bashkuara.</w:t>
      </w:r>
    </w:p>
    <w:p w14:paraId="3E70FE9C" w14:textId="1529AFA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Konferenca e Palëve do të miratojë me konsensus, në mbledhjen e saj të parë, rregullat e procedurës për veten dhe organet e saj ndihmëse, rregullat financiare që rregullojnë financimin e saj, atë qeveritar dhe çdo organ ndihmës, dhe më pas, rregullat e procedurës dhe rregullat financiare për çdo organ tjetër ndihmës që mund të krijohet. Deri në momentin që rregullat e procedurës të jenë miratuar, rregullat e procedurës të konferencës ndërqeveritare duhet të zbatohen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nëpërmjet një instrumenti ndërkombëtar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ligjor të detyrueshëm sipas Konventës së Kombeve të Bashkuara për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Legjislacionin Detar për ruajtjen dhe përdorimin e qëndrueshëm të diversitetit biologjik detar të zonave përtej juridiksioni kombëtar. </w:t>
      </w:r>
    </w:p>
    <w:p w14:paraId="0FE48D67" w14:textId="3154C28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Konferenca e Palëve do të bëjë çdo përpjekje për të miratuar vendime dhe rekomandime me konsensus. Me përjashtim të rasteve kur parashikohet ndryshe në këtë Marrëveshje, nëse të gjitha përpjekjet për të arritur konsensusin janë shteruar, vendimet dhe rekomandimet e Konferencës së Palëve për çështjet thelbësore do të miratohen nga një shumicë votuese dhe e pranishme prej dy të tretave të Palëve, dhe vendimet mbi çështjet e procedurës do të miratohen nga shumica votuese dhe e pranishme e Palëve.</w:t>
      </w:r>
    </w:p>
    <w:p w14:paraId="4E115D04" w14:textId="4F09BAF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Konferenca e Palëve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do të analizojë dhe vlerësojë implementimin e kësaj Marrëveshje</w:t>
      </w:r>
      <w:r w:rsidR="00364790">
        <w:rPr>
          <w:rFonts w:ascii="Garamond" w:hAnsi="Garamond" w:cs="Garamond"/>
          <w:color w:val="000000"/>
          <w:sz w:val="24"/>
          <w:szCs w:val="24"/>
          <w:lang w:val="sq-AL"/>
        </w:rPr>
        <w:t>je</w:t>
      </w:r>
      <w:r w:rsidRPr="00126A15">
        <w:rPr>
          <w:rFonts w:ascii="Garamond" w:hAnsi="Garamond" w:cs="Garamond"/>
          <w:color w:val="000000"/>
          <w:sz w:val="24"/>
          <w:szCs w:val="24"/>
          <w:lang w:val="sq-AL"/>
        </w:rPr>
        <w:t xml:space="preserve"> dhe, për këtë qëllim, do të:</w:t>
      </w:r>
    </w:p>
    <w:p w14:paraId="0B2A4FED" w14:textId="0155921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AC0D5D" w:rsidRPr="00126A15">
        <w:rPr>
          <w:rFonts w:ascii="Garamond" w:hAnsi="Garamond" w:cs="Garamond"/>
          <w:color w:val="000000"/>
          <w:sz w:val="24"/>
          <w:szCs w:val="24"/>
          <w:lang w:val="sq-AL"/>
        </w:rPr>
        <w:t xml:space="preserve">miratojë </w:t>
      </w:r>
      <w:r w:rsidRPr="00126A15">
        <w:rPr>
          <w:rFonts w:ascii="Garamond" w:hAnsi="Garamond" w:cs="Garamond"/>
          <w:color w:val="000000"/>
          <w:sz w:val="24"/>
          <w:szCs w:val="24"/>
          <w:lang w:val="sq-AL"/>
        </w:rPr>
        <w:t>vendime dhe rekomandime në lidhje me zbatimin e kësaj Marrëveshje</w:t>
      </w:r>
      <w:r w:rsidR="00C266AB">
        <w:rPr>
          <w:rFonts w:ascii="Garamond" w:hAnsi="Garamond" w:cs="Garamond"/>
          <w:color w:val="000000"/>
          <w:sz w:val="24"/>
          <w:szCs w:val="24"/>
          <w:lang w:val="sq-AL"/>
        </w:rPr>
        <w:t>je</w:t>
      </w:r>
      <w:r w:rsidRPr="00126A15">
        <w:rPr>
          <w:rFonts w:ascii="Garamond" w:hAnsi="Garamond" w:cs="Garamond"/>
          <w:color w:val="000000"/>
          <w:sz w:val="24"/>
          <w:szCs w:val="24"/>
          <w:lang w:val="sq-AL"/>
        </w:rPr>
        <w:t>;</w:t>
      </w:r>
    </w:p>
    <w:p w14:paraId="7148F908" w14:textId="2E10197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w:t>
      </w:r>
      <w:r w:rsidR="007A5D58" w:rsidRPr="00126A15">
        <w:rPr>
          <w:rFonts w:ascii="Garamond" w:hAnsi="Garamond" w:cs="Garamond"/>
          <w:color w:val="000000"/>
          <w:sz w:val="24"/>
          <w:szCs w:val="24"/>
          <w:lang w:val="sq-AL"/>
        </w:rPr>
        <w:t xml:space="preserve"> </w:t>
      </w:r>
      <w:r w:rsidR="00AC0D5D" w:rsidRPr="00126A15">
        <w:rPr>
          <w:rFonts w:ascii="Garamond" w:hAnsi="Garamond" w:cs="Garamond"/>
          <w:color w:val="000000"/>
          <w:sz w:val="24"/>
          <w:szCs w:val="24"/>
          <w:lang w:val="sq-AL"/>
        </w:rPr>
        <w:t xml:space="preserve">analizojë </w:t>
      </w:r>
      <w:r w:rsidRPr="00126A15">
        <w:rPr>
          <w:rFonts w:ascii="Garamond" w:hAnsi="Garamond" w:cs="Garamond"/>
          <w:color w:val="000000"/>
          <w:sz w:val="24"/>
          <w:szCs w:val="24"/>
          <w:lang w:val="sq-AL"/>
        </w:rPr>
        <w:t>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mundësojë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shkëmbimin e informacionit ndërmjet Palëve në lidhje me zbatimin e kësaj Marrëveshjeje;</w:t>
      </w:r>
    </w:p>
    <w:p w14:paraId="1786A21E" w14:textId="4858A86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AC0D5D"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inkurajojë, duke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ngritur procese të përshtatshme, bashkëpunimi dhe koordinimi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nëpërmjet instrumenteve dhe kornizave ligjore përkatëse dhe organeve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 me synimin për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nxitur koherencën midis përpjekjeve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 ruajtjen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përdorimin e komponentëve të diversitetit biologjik detar të zonave përtej juridiksionit kombëtar; </w:t>
      </w:r>
    </w:p>
    <w:p w14:paraId="23061644" w14:textId="4E14822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 xml:space="preserve">d) </w:t>
      </w:r>
      <w:r w:rsidR="00AC0D5D"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krijojë organe të tilla ndihmëse që konsiderohen të nevojshme për të mbështetur zbatimin e kësaj Marrëveshjeje;</w:t>
      </w:r>
    </w:p>
    <w:p w14:paraId="3B90FF7A" w14:textId="3A884A9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AC0D5D"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miratojë një buxhet me tre të katërtat e shumicës së Palëve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votuese dhe të pranishme nëse të gjitha përpjekjet për të arritur konsensusin janë shterur,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deri 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atë pikë dhe për një periudhë të tillë financiare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si të vendoset; </w:t>
      </w:r>
    </w:p>
    <w:p w14:paraId="44A5BDD1" w14:textId="193EF3D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f)</w:t>
      </w:r>
      <w:r w:rsidR="007A5D58" w:rsidRPr="00126A15">
        <w:rPr>
          <w:rFonts w:ascii="Garamond" w:hAnsi="Garamond" w:cs="Garamond"/>
          <w:color w:val="000000"/>
          <w:sz w:val="24"/>
          <w:szCs w:val="24"/>
          <w:lang w:val="sq-AL"/>
        </w:rPr>
        <w:t xml:space="preserve"> </w:t>
      </w:r>
      <w:r w:rsidR="00AC0D5D"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ndërmarrë funksion të tjera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njohura në këtë Marrëveshje ose ashtu siç mund të kërkohet për zbatimin e saj.</w:t>
      </w:r>
      <w:r w:rsidR="007A5D58" w:rsidRPr="00126A15">
        <w:rPr>
          <w:rFonts w:ascii="Garamond" w:hAnsi="Garamond" w:cs="Garamond"/>
          <w:color w:val="000000"/>
          <w:sz w:val="24"/>
          <w:szCs w:val="24"/>
          <w:lang w:val="sq-AL"/>
        </w:rPr>
        <w:t xml:space="preserve"> </w:t>
      </w:r>
    </w:p>
    <w:p w14:paraId="256FD43E" w14:textId="75A6AE9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Konferenca e Palëve mund të vendosë që t’i kërkojë Gjykatës Ndërkombëtare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Legjislacionit Detar të japë një opinion këshillues për një çështje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juridike mbi përputhshmërinë me këtë Marrëveshje të një propozimi përpara Konferencës së Palëve për çdo çështje brenda kompetencës së saj. Kërkesa për një opinion këshillimor nuk do të kërkohet për një çështje brenda kompetencave të organeve të tjera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ose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apo për një çështje që përfshin domosdoshmërisht shqyrtimin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korrespondues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ndonjë mosmarrëveshjeje në lidhje me sovranitetin ose të drejta të tjera mbi territorin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juridiksional ose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juridiksional të kufizuar ose një pretendim ndaj tij,</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apo statusin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juridik të një zone brenda juridiksionit kombëtar. Kërkesa duhet të tregojë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shqyrtimin e çështjes</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juridike për të cilën kërkohet mendim këshillues. Konferenca e Palëve mund të kërkojë që një opinion i tillë të jepet urgjentisht.</w:t>
      </w:r>
      <w:r w:rsidR="007A5D58" w:rsidRPr="00126A15">
        <w:rPr>
          <w:rFonts w:ascii="Garamond" w:hAnsi="Garamond" w:cs="Garamond"/>
          <w:color w:val="000000"/>
          <w:sz w:val="24"/>
          <w:szCs w:val="24"/>
          <w:lang w:val="sq-AL"/>
        </w:rPr>
        <w:t xml:space="preserve"> </w:t>
      </w:r>
    </w:p>
    <w:p w14:paraId="4E2E15C8" w14:textId="31792DA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8. Konferenca e Palëve, brenda pesë v</w:t>
      </w:r>
      <w:r w:rsidR="00225FFB" w:rsidRPr="00126A15">
        <w:rPr>
          <w:rFonts w:ascii="Garamond" w:hAnsi="Garamond" w:cs="Garamond"/>
          <w:color w:val="000000"/>
          <w:sz w:val="24"/>
          <w:szCs w:val="24"/>
          <w:lang w:val="sq-AL"/>
        </w:rPr>
        <w:t>jetëve</w:t>
      </w:r>
      <w:r w:rsidRPr="00126A15">
        <w:rPr>
          <w:rFonts w:ascii="Garamond" w:hAnsi="Garamond" w:cs="Garamond"/>
          <w:color w:val="000000"/>
          <w:sz w:val="24"/>
          <w:szCs w:val="24"/>
          <w:lang w:val="sq-AL"/>
        </w:rPr>
        <w:t xml:space="preserve"> nga hyrja në fuqi e kësaj Marrëveshjeje dhe më pas, në intervalet që do të përcaktohen prej saj, do të vlerësojë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analizojë përshtatshmërinë dhe efektivitetin e dispozitave të kësaj Marrëveshjeje dhe, nëse është e nevojshme, do të propozojë mjete për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kontribuuar në zbatimin e këtyre dispozitave për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orientuar më mirë ruajtjen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përdorimin e diversitetit biologjik detar të zonave përtej juridiksionit kombëtar.</w:t>
      </w:r>
    </w:p>
    <w:p w14:paraId="59066987"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660B520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48</w:t>
      </w:r>
    </w:p>
    <w:p w14:paraId="5B55FB2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Transparenca</w:t>
      </w:r>
    </w:p>
    <w:p w14:paraId="0C900A1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CE0CE4F" w14:textId="48FBBDC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Konferenca e Palëve do të nxisë transparencën në proceset vendimmarrëse dhe aktivitetet e tjera të kryera sipas kësaj Marrëveshjeje.</w:t>
      </w:r>
    </w:p>
    <w:p w14:paraId="27576306" w14:textId="145FE74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Të gjitha mbledhjet e Konferencës së Palëve dhe organeve të saj ndihmëse do të jenë të hapura për vëzhguesit që marrin pjesë në përputhje me rregullat e procedurës, përveç rasteve kur vendoset ndryshe nga Konferenca e Palëve. Konferenca e Palëve do të publikojë dhe do të mbajë një arkiv të vendimeve të saj.</w:t>
      </w:r>
    </w:p>
    <w:p w14:paraId="5E7EAB1B" w14:textId="4D59311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Konferenca e Palëve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inkurajojë transparencë në zbatimin e kësaj Marrëveshjeje,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nëpërmjet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publikimit të informacionit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mundësisë së pjesëmarrjes dhe konsultimit me organet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it dhe komunitetet lokale me njohuritë përkatëse tradicionale,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organizmi shkencor, shoqëria civile dhe palët e tjera të interesuara, sipas rastit dhe në përputhje me dispozitat e kësaj Marrëveshjeje.</w:t>
      </w:r>
    </w:p>
    <w:p w14:paraId="3C77010D" w14:textId="300BCD8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Përfaqësuesit e shteteve</w:t>
      </w:r>
      <w:r w:rsidR="00E67361"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që nuk janë palë në këtë Marrëveshje, organet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it dhe komunitetet lokale me njohuritë përkatëse tradicionale,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organizmi shkencor, shoqëria civile dhe aktorë të tjerë përkatës me interes në çështjet që kanë të bëjnë me Konferencën e Palëve mund të kërkojnë të marrin pjesë si vëzhgues në mbledhjet e Konferencës së Palëve dhe të organeve të saj ndihmëse. Rregullat e procedurës së Konferencës së Palëve do të parashikojnë modalitete për një pjesëmarrje të tillë dhe nuk</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duhet të jenë tepër kufizuese në këtë drejtim. Rregullorja e procedurës do të parashikojë</w:t>
      </w:r>
      <w:r w:rsidR="00E67361"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gjithashtu</w:t>
      </w:r>
      <w:r w:rsidR="00E67361"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që përfaqësues të tillë të kenë akses në kohë në të gjithë informacionin përkatës.</w:t>
      </w:r>
    </w:p>
    <w:p w14:paraId="3C702C2F"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DF50BA8" w14:textId="77777777" w:rsidR="00251862" w:rsidRDefault="00251862"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3A625301" w14:textId="77777777" w:rsidR="00251862" w:rsidRDefault="00251862"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365BE675" w14:textId="5CCCDDB5"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Neni 49</w:t>
      </w:r>
    </w:p>
    <w:p w14:paraId="7EA4F91B" w14:textId="7E6DCB34"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 xml:space="preserve">Organi </w:t>
      </w:r>
      <w:r w:rsidR="00E67361" w:rsidRPr="00126A15">
        <w:rPr>
          <w:rFonts w:ascii="Garamond" w:hAnsi="Garamond" w:cs="Garamond"/>
          <w:b/>
          <w:bCs/>
          <w:color w:val="000000"/>
          <w:sz w:val="24"/>
          <w:szCs w:val="24"/>
          <w:lang w:val="sq-AL"/>
        </w:rPr>
        <w:t xml:space="preserve">Shkencor </w:t>
      </w:r>
      <w:r w:rsidRPr="00126A15">
        <w:rPr>
          <w:rFonts w:ascii="Garamond" w:hAnsi="Garamond" w:cs="Garamond"/>
          <w:b/>
          <w:bCs/>
          <w:color w:val="000000"/>
          <w:sz w:val="24"/>
          <w:szCs w:val="24"/>
          <w:lang w:val="sq-AL"/>
        </w:rPr>
        <w:t xml:space="preserve">dhe </w:t>
      </w:r>
      <w:r w:rsidR="00E67361" w:rsidRPr="00126A15">
        <w:rPr>
          <w:rFonts w:ascii="Garamond" w:hAnsi="Garamond" w:cs="Garamond"/>
          <w:b/>
          <w:bCs/>
          <w:color w:val="000000"/>
          <w:sz w:val="24"/>
          <w:szCs w:val="24"/>
          <w:lang w:val="sq-AL"/>
        </w:rPr>
        <w:t>Teknik</w:t>
      </w:r>
    </w:p>
    <w:p w14:paraId="19F58283"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7A9C9F3F" w14:textId="76779D6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Krijimi i Organit Shkencor dhe Teknik.</w:t>
      </w:r>
    </w:p>
    <w:p w14:paraId="659634E9" w14:textId="183CD29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Organi Shkencor dhe Teknik do të përbëhet nga anëtarë që janë në cilësinë e ekspertit dhe në interesin më të mirë të Marrëveshjes,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kandiduar nga Palët dhe të zgjedhur nga Konferenca e Palëve, me kualifikimet e duhura, duke marrë parasysh nevojën për ekspertizë multidisiplinore, duke përfshirë ekspertizën përkatëse shkencore dhe teknike, si dhe ekspertizën në njohuritë përkatëse tradicionale të autoktonëve dhe komuniteteve lokale, ekuilibrin gjinor dhe përfaqësimin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ideal gjeografik. Kushtet e referencës dhe modalitetet për funksionimin e Organit Shkencor dhe Teknik, duke përfshirë procesin e përzgjedhjes së tij dhe kushtet mandatuese të anëtarëve, do të përcaktohen nga Konferenca e Palëve në mbledhjen e saj të parë.</w:t>
      </w:r>
    </w:p>
    <w:p w14:paraId="4E78C6C1" w14:textId="636EFBE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Organi Shkencor dhe Teknik mund të bazohet në këshillat e duhura që burojnë nga instrumentet dhe kornizat ligjore përkatëse dhe organet përkatëse globale, rajonale, lokale dhe krahinore, si dhe nga shkencëtarë dhe ekspertë të tjerë, sipas nevojës.</w:t>
      </w:r>
    </w:p>
    <w:p w14:paraId="0A6DBA7A" w14:textId="4297C66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Nën autoritetin dhe drejtimin e Konferencës së Palëve dhe duke marrë parasysh ekspertizën multidisiplinore të përmendur në paragrafin 2 më sipër, Organi Shkencor dhe Teknik do t’i japë këshilla shkencore dhe teknike Konferencës së Palëve, do të kryejë funksionet që i janë caktuar sipas kësaj Marrëveshje</w:t>
      </w:r>
      <w:r w:rsidR="00E67361" w:rsidRPr="00126A15">
        <w:rPr>
          <w:rFonts w:ascii="Garamond" w:hAnsi="Garamond" w:cs="Garamond"/>
          <w:color w:val="000000"/>
          <w:sz w:val="24"/>
          <w:szCs w:val="24"/>
          <w:lang w:val="sq-AL"/>
        </w:rPr>
        <w:t>je</w:t>
      </w:r>
      <w:r w:rsidRPr="00126A15">
        <w:rPr>
          <w:rFonts w:ascii="Garamond" w:hAnsi="Garamond" w:cs="Garamond"/>
          <w:color w:val="000000"/>
          <w:sz w:val="24"/>
          <w:szCs w:val="24"/>
          <w:lang w:val="sq-AL"/>
        </w:rPr>
        <w:t xml:space="preserve"> dhe funksione të tjera që mund të përcaktohen nga Konferenca e Palëve dhe i paraqesin raporte Konferencës së Palëve për punën e saj.</w:t>
      </w:r>
    </w:p>
    <w:p w14:paraId="2E977E10"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4CBF7F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50</w:t>
      </w:r>
    </w:p>
    <w:p w14:paraId="1FF3A10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Sekretariati</w:t>
      </w:r>
    </w:p>
    <w:p w14:paraId="60749600"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73AB7AC1" w14:textId="3EE792B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Ngritja e sekretariatit. Konferenca e Palëve, në mbledhjen e saj të parë, do të marrë masa për funksionimin e sekretariatit, duke përfshirë vendosjen për selinë e tij.</w:t>
      </w:r>
    </w:p>
    <w:p w14:paraId="14912884" w14:textId="6B08530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Derisa sekretariati të fillojë funksionet e tij, Sekretari i Përgjithshëm i Kombeve të Bashkuara, nëpërmjet Divizionit për Çështjet Oqeanike dhe Legjislacionit Detar të Zyrës së Çështjeve Juridike të Sekretariatit të Kombeve të Bashkuara, do të kryejë funksionet e sekretariatit sipas këtij Marrëveshja.</w:t>
      </w:r>
    </w:p>
    <w:p w14:paraId="1FCC00BC" w14:textId="41EA7B6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Sekretariati dhe shteti pritës mund të lidhin një marrëveshje selie. Sekretariati do të gëzojë aftësi juridike në territorin e shtetit organizator dhe do të ketë të tilla privilegje dhe imunitete nga shteti organizator që janë të nevojshme për ushtrimin e funksioneve të tij.</w:t>
      </w:r>
    </w:p>
    <w:p w14:paraId="7044E949" w14:textId="43E7352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Sekretariati duhet:</w:t>
      </w:r>
    </w:p>
    <w:p w14:paraId="1EB6902E" w14:textId="31D860B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E74C3C"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sigurojë mbështetje administrative dhe logjistike për Konferencën e Palëve dhe organet e saj ndihmëse për qëllimet e zbatimit të kësaj Marrëveshjeje;</w:t>
      </w:r>
    </w:p>
    <w:p w14:paraId="5CC5F586" w14:textId="1DA43D4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E74C3C"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organizojë dhe mundësojë takimet e Konferencës së Palëve dhe të çdo organi tjetër që mund të krijohet sipas kësaj Marrëveshjeje ose nga Konferenca e Palëve;</w:t>
      </w:r>
    </w:p>
    <w:p w14:paraId="3168F417" w14:textId="4978A02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w:t>
      </w:r>
      <w:r w:rsidR="007A5D58" w:rsidRPr="00126A15">
        <w:rPr>
          <w:rFonts w:ascii="Garamond" w:hAnsi="Garamond" w:cs="Garamond"/>
          <w:color w:val="000000"/>
          <w:sz w:val="24"/>
          <w:szCs w:val="24"/>
          <w:lang w:val="sq-AL"/>
        </w:rPr>
        <w:t xml:space="preserve"> </w:t>
      </w:r>
      <w:r w:rsidR="00E74C3C"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qarkullojë informacionin në lidhje me zbatimin e kësaj Marrëveshjeje në kohën e duhur, duke përfshirë marrjen e vendimeve nga Konferenca e Palëve në dispozicion të publikut dhe transmetimin e tyre te të gjitha Palët, si dhe instrumenteve dhe kornizave përkatëse ligjore dhe organeve përkatëse globale, rajonale, lokale dhe krahinore.</w:t>
      </w:r>
    </w:p>
    <w:p w14:paraId="2268EB1A" w14:textId="73433C5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E74C3C"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mundësojë bashkëpunimin dhe koordinimin, sipas rastit, me sekretariatet e organeve të tjera përkatëse ndërkombëtare dhe, në veçanti, të hyjë në marrëveshje administrative dhe kontraktuale që mund të kërkohen për këtë qëllim dhe për kryerjen efektive të funksioneve të tij, pjesë e miratimit nga Konferenca të Palëve;</w:t>
      </w:r>
    </w:p>
    <w:p w14:paraId="2E1008A2" w14:textId="53FD2CE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7B066A"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përgatit raporte mbi ekzekutimin e funksioneve të saj sipas kësaj Marrëveshjeje dhe ia dorëzon ato Konferencës së Palëve;</w:t>
      </w:r>
    </w:p>
    <w:p w14:paraId="3827ED91" w14:textId="449F975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f)</w:t>
      </w:r>
      <w:r w:rsidR="007A5D58" w:rsidRPr="00126A15">
        <w:rPr>
          <w:rFonts w:ascii="Garamond" w:hAnsi="Garamond" w:cs="Garamond"/>
          <w:color w:val="000000"/>
          <w:sz w:val="24"/>
          <w:szCs w:val="24"/>
          <w:lang w:val="sq-AL"/>
        </w:rPr>
        <w:t xml:space="preserve"> </w:t>
      </w:r>
      <w:r w:rsidR="007B066A"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ofrojë ndihmë për zbatimin e kësaj Marrëveshjeje dhe të kryejë funksione të tjera që mund të përcaktohen nga Konferenca e Palëve ose që i ngarkohen asaj sipas kësaj Marrëveshjeje.</w:t>
      </w:r>
    </w:p>
    <w:p w14:paraId="6ED1AEC9"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7D2B506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51</w:t>
      </w:r>
    </w:p>
    <w:p w14:paraId="01B945B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 xml:space="preserve"> Aparati Global i Diversitetit Biologjik</w:t>
      </w:r>
    </w:p>
    <w:p w14:paraId="3BB4F292"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27CAAA80" w14:textId="1899EB7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Krijimi i Aparatit Global të Diversitetit Biologjik.</w:t>
      </w:r>
    </w:p>
    <w:p w14:paraId="24FBCAB7" w14:textId="314B93D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Aparati Global i Diversitetit Biologjik duhet të ketë para së gjithash një platformë me akses publik. Modalitetet specifike për funksionimin e Aparatit Global të Diversitetit Biologjik do të përcaktohen nga Konferenca e Palëve.</w:t>
      </w:r>
    </w:p>
    <w:p w14:paraId="6A9C9CA1" w14:textId="6C11E36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Aparati Global i Diversitetit Biologjik duhet të:</w:t>
      </w:r>
    </w:p>
    <w:p w14:paraId="1531B7A4" w14:textId="39B59E0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DD79A9" w:rsidRPr="00126A15">
        <w:rPr>
          <w:rFonts w:ascii="Garamond" w:hAnsi="Garamond" w:cs="Garamond"/>
          <w:color w:val="000000"/>
          <w:sz w:val="24"/>
          <w:szCs w:val="24"/>
          <w:lang w:val="sq-AL"/>
        </w:rPr>
        <w:t xml:space="preserve">Shërbejë </w:t>
      </w:r>
      <w:r w:rsidRPr="00126A15">
        <w:rPr>
          <w:rFonts w:ascii="Garamond" w:hAnsi="Garamond" w:cs="Garamond"/>
          <w:color w:val="000000"/>
          <w:sz w:val="24"/>
          <w:szCs w:val="24"/>
          <w:lang w:val="sq-AL"/>
        </w:rPr>
        <w:t>si një platformë kompakte që Palët të kenë akses, të ofrojnë dhe të japin informacion në lidhje me aktivitetet që zhvillohen në përputhje me dispozitat e kësaj Marrëveshjeje, duke përfshirë informacionin në lidhje me:</w:t>
      </w:r>
    </w:p>
    <w:p w14:paraId="2F5EB851" w14:textId="5B734CC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EA139B"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DD79A9" w:rsidRPr="00126A15">
        <w:rPr>
          <w:rFonts w:ascii="Garamond" w:hAnsi="Garamond" w:cs="Garamond"/>
          <w:color w:val="000000"/>
          <w:sz w:val="24"/>
          <w:szCs w:val="24"/>
          <w:lang w:val="sq-AL"/>
        </w:rPr>
        <w:t xml:space="preserve">burimet </w:t>
      </w:r>
      <w:r w:rsidRPr="00126A15">
        <w:rPr>
          <w:rFonts w:ascii="Garamond" w:hAnsi="Garamond" w:cs="Garamond"/>
          <w:color w:val="000000"/>
          <w:sz w:val="24"/>
          <w:szCs w:val="24"/>
          <w:lang w:val="sq-AL"/>
        </w:rPr>
        <w:t xml:space="preserve">gjenetike detare të zonave përtej juridiksionit kombëtar, siç përcaktohet në </w:t>
      </w:r>
      <w:r w:rsidR="00066029" w:rsidRPr="00126A15">
        <w:rPr>
          <w:rFonts w:ascii="Garamond" w:hAnsi="Garamond" w:cs="Garamond"/>
          <w:color w:val="000000"/>
          <w:sz w:val="24"/>
          <w:szCs w:val="24"/>
          <w:lang w:val="sq-AL"/>
        </w:rPr>
        <w:t xml:space="preserve">pjesën </w:t>
      </w:r>
      <w:r w:rsidRPr="00126A15">
        <w:rPr>
          <w:rFonts w:ascii="Garamond" w:hAnsi="Garamond" w:cs="Garamond"/>
          <w:color w:val="000000"/>
          <w:sz w:val="24"/>
          <w:szCs w:val="24"/>
          <w:lang w:val="sq-AL"/>
        </w:rPr>
        <w:t>II të kësaj Marrëveshje</w:t>
      </w:r>
      <w:r w:rsidR="00C266AB">
        <w:rPr>
          <w:rFonts w:ascii="Garamond" w:hAnsi="Garamond" w:cs="Garamond"/>
          <w:color w:val="000000"/>
          <w:sz w:val="24"/>
          <w:szCs w:val="24"/>
          <w:lang w:val="sq-AL"/>
        </w:rPr>
        <w:t>je</w:t>
      </w:r>
      <w:r w:rsidRPr="00126A15">
        <w:rPr>
          <w:rFonts w:ascii="Garamond" w:hAnsi="Garamond" w:cs="Garamond"/>
          <w:color w:val="000000"/>
          <w:sz w:val="24"/>
          <w:szCs w:val="24"/>
          <w:lang w:val="sq-AL"/>
        </w:rPr>
        <w:t>;</w:t>
      </w:r>
    </w:p>
    <w:p w14:paraId="5FD1B592" w14:textId="3D831FF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EA139B"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DD79A9" w:rsidRPr="00126A15">
        <w:rPr>
          <w:rFonts w:ascii="Garamond" w:hAnsi="Garamond" w:cs="Garamond"/>
          <w:color w:val="000000"/>
          <w:sz w:val="24"/>
          <w:szCs w:val="24"/>
          <w:lang w:val="sq-AL"/>
        </w:rPr>
        <w:t xml:space="preserve">krijimin </w:t>
      </w:r>
      <w:r w:rsidRPr="00126A15">
        <w:rPr>
          <w:rFonts w:ascii="Garamond" w:hAnsi="Garamond" w:cs="Garamond"/>
          <w:color w:val="000000"/>
          <w:sz w:val="24"/>
          <w:szCs w:val="24"/>
          <w:lang w:val="sq-AL"/>
        </w:rPr>
        <w:t>dhe implementimin e mjeteve të menaxhimit sipas zonave, duke përfshirë zonat e mbrojtura detare;</w:t>
      </w:r>
    </w:p>
    <w:p w14:paraId="0B2F7A15" w14:textId="1C0089F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EA139B"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DD79A9" w:rsidRPr="00126A15">
        <w:rPr>
          <w:rFonts w:ascii="Garamond" w:hAnsi="Garamond" w:cs="Garamond"/>
          <w:color w:val="000000"/>
          <w:sz w:val="24"/>
          <w:szCs w:val="24"/>
          <w:lang w:val="sq-AL"/>
        </w:rPr>
        <w:t xml:space="preserve">vlerësimet </w:t>
      </w:r>
      <w:r w:rsidRPr="00126A15">
        <w:rPr>
          <w:rFonts w:ascii="Garamond" w:hAnsi="Garamond" w:cs="Garamond"/>
          <w:color w:val="000000"/>
          <w:sz w:val="24"/>
          <w:szCs w:val="24"/>
          <w:lang w:val="sq-AL"/>
        </w:rPr>
        <w:t>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w:t>
      </w:r>
    </w:p>
    <w:p w14:paraId="376B3B84" w14:textId="1A3D692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iv</w:t>
      </w:r>
      <w:r w:rsidR="00EA139B"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DD79A9" w:rsidRPr="00126A15">
        <w:rPr>
          <w:rFonts w:ascii="Garamond" w:hAnsi="Garamond" w:cs="Garamond"/>
          <w:color w:val="000000"/>
          <w:sz w:val="24"/>
          <w:szCs w:val="24"/>
          <w:lang w:val="sq-AL"/>
        </w:rPr>
        <w:t xml:space="preserve">kërkesat </w:t>
      </w:r>
      <w:r w:rsidRPr="00126A15">
        <w:rPr>
          <w:rFonts w:ascii="Garamond" w:hAnsi="Garamond" w:cs="Garamond"/>
          <w:color w:val="000000"/>
          <w:sz w:val="24"/>
          <w:szCs w:val="24"/>
          <w:lang w:val="sq-AL"/>
        </w:rPr>
        <w:t>për ndërtimin e kapaciteteve dhe transferimin e teknologjisë detare dhe mundësitë në lidhje me to, duke përfshirë bashkëpunimin kërkimor dhe mundësitë e trajnimit, informacionin mbi burimet dhe disponueshmërinë e informacionit teknologjik dhe të të dhënave për transferimin e teknologjisë detare, mundësitë për akses</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në teknologjinë detare dhe përftimin e fondeve;</w:t>
      </w:r>
    </w:p>
    <w:p w14:paraId="27D70029" w14:textId="1F7BD0F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Mundësojë përputhjen e nevojave për ngritjen e kapaciteteve me mbështetjen e disponueshme dhe me kontributorët për transferimin e teknologjisë detare, duke përfshirë entet qeveritare, joqeveritare ose private të interesuara për të marrë pjesë si donatorë në transferimin e teknologjisë detare,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mundësojnë aksesin për njohuritë dhe ekspertizën përkatëse;</w:t>
      </w:r>
    </w:p>
    <w:p w14:paraId="7E2DEA20" w14:textId="4746333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hyjë në marrëdhënie me aparatet përkatëse globale, rajonale, lokale, kombëtare dhe krahinore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diversitetit biologjik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biodepozitorë të tjerë,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depozitorë dhe baza të të dhënave, duke përfshirë ato që kanë të bëjnë me njohuritë përkatëse tradicionale të</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ve dhe komuniteteve lokale, dhe të promovohet, kur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jetë e mundur, lidhjet me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platforma publike joqeveritare dhe private për shkëmbim informacioni;</w:t>
      </w:r>
    </w:p>
    <w:p w14:paraId="427BC789" w14:textId="5A706B0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ngre</w:t>
      </w:r>
      <w:r w:rsidR="00641CA1" w:rsidRPr="00126A15">
        <w:rPr>
          <w:rFonts w:ascii="Garamond" w:hAnsi="Garamond" w:cs="Garamond"/>
          <w:color w:val="000000"/>
          <w:sz w:val="24"/>
          <w:szCs w:val="24"/>
          <w:lang w:val="sq-AL"/>
        </w:rPr>
        <w:t>jë</w:t>
      </w:r>
      <w:r w:rsidRPr="00126A15">
        <w:rPr>
          <w:rFonts w:ascii="Garamond" w:hAnsi="Garamond" w:cs="Garamond"/>
          <w:color w:val="000000"/>
          <w:sz w:val="24"/>
          <w:szCs w:val="24"/>
          <w:lang w:val="sq-AL"/>
        </w:rPr>
        <w:t xml:space="preserve"> institucione diversiteti biologjik global, rajonal dhe lokal, kur të jetë e mundur, kur të krijohen aparate rajonale dhe lokale sipas aparatit global</w:t>
      </w:r>
      <w:r w:rsidR="00D65ECE" w:rsidRPr="00126A15">
        <w:rPr>
          <w:rFonts w:ascii="Garamond" w:hAnsi="Garamond" w:cs="Garamond"/>
          <w:color w:val="000000"/>
          <w:sz w:val="24"/>
          <w:szCs w:val="24"/>
          <w:lang w:val="sq-AL"/>
        </w:rPr>
        <w:t>;</w:t>
      </w:r>
    </w:p>
    <w:p w14:paraId="21A29AA1" w14:textId="4151E07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e) Të nxisë transparencën e zgjeruar, duke përfshirë mundësinë e ndarjes së të dhënave mjedisore fillestare dhe informacionin në lidhje me ruajtjen dhe përdorimin e qëndrueshëm të diversitetit biologjik detar të zonave përtej juridiksionit kombëtar ndërmjet Palëve dhe Palëve të tjera përkatëse;</w:t>
      </w:r>
    </w:p>
    <w:p w14:paraId="7612CD61" w14:textId="7D1DCB3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f) Të mundësojë bashkëpunimin ndërkombëtar, duke përfshirë bashkëpunimin shkencor dhe teknik;</w:t>
      </w:r>
    </w:p>
    <w:p w14:paraId="4A5DF999" w14:textId="020E9A1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g) </w:t>
      </w:r>
      <w:r w:rsidR="00D65ECE" w:rsidRPr="00126A15">
        <w:rPr>
          <w:rFonts w:ascii="Garamond" w:hAnsi="Garamond" w:cs="Garamond"/>
          <w:color w:val="000000"/>
          <w:sz w:val="24"/>
          <w:szCs w:val="24"/>
          <w:lang w:val="sq-AL"/>
        </w:rPr>
        <w:t xml:space="preserve">Të kryejë </w:t>
      </w:r>
      <w:r w:rsidRPr="00126A15">
        <w:rPr>
          <w:rFonts w:ascii="Garamond" w:hAnsi="Garamond" w:cs="Garamond"/>
          <w:color w:val="000000"/>
          <w:sz w:val="24"/>
          <w:szCs w:val="24"/>
          <w:lang w:val="sq-AL"/>
        </w:rPr>
        <w:t>funksione të tjera që mund të përcaktohen nga Konferenca e Palëve ose që i janë caktuar asaj sipas kësaj Marrëveshjeje.</w:t>
      </w:r>
    </w:p>
    <w:p w14:paraId="123D4A10" w14:textId="49A173E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Aparati Global i Diversitetit Biologjik do të menaxhohet nga sekretariati, pa paragjykuar bashkëpunimin e mundshëm me instrumentet dhe kornizat e tjera ligjore përkatëse dhe organet përkatëse globale,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lokale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krahinore, siç përcaktohet nga Konferenca e Palëve, duke përfshirë Komisionin Ndërqeveritar Oqeanografik të Organizatës Kulturore, Arsimore dhe Shkencore të Kombeve të Bashkuara</w:t>
      </w:r>
      <w:r w:rsidR="004A6CB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Autoritetin Ndërkombëtar të Shtratit Detar, Organizatën Ndërkombëtare Detare dhe Organizatën e Kombeve të Bashkuara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të Ushqimit dhe Bujqësisë. </w:t>
      </w:r>
    </w:p>
    <w:p w14:paraId="544EF55E" w14:textId="4B69B89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5. Në menaxhimin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Aparati Global të Diversitetit Biologjik, do t’u</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njihen plotësisht kërkesat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veçanta të Shteteve Palë në zhvillim, si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kushtet e veçanta të </w:t>
      </w:r>
      <w:r w:rsidR="00006694" w:rsidRPr="00126A15">
        <w:rPr>
          <w:rFonts w:ascii="Garamond" w:hAnsi="Garamond" w:cs="Garamond"/>
          <w:color w:val="000000"/>
          <w:sz w:val="24"/>
          <w:szCs w:val="24"/>
          <w:lang w:val="sq-AL"/>
        </w:rPr>
        <w:t xml:space="preserve">shteteve </w:t>
      </w:r>
      <w:r w:rsidRPr="00126A15">
        <w:rPr>
          <w:rFonts w:ascii="Garamond" w:hAnsi="Garamond" w:cs="Garamond"/>
          <w:color w:val="000000"/>
          <w:sz w:val="24"/>
          <w:szCs w:val="24"/>
          <w:lang w:val="sq-AL"/>
        </w:rPr>
        <w:t>të vogla ishullore Palë në zhvillim</w:t>
      </w:r>
      <w:r w:rsidR="004A6CB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dhe aksesi i tyre 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aparat do të mundohet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që ato shtete ta përdorin atë pa pengesa të panevojshme apo barrë administrative. Informacioni do të përfshihet mbi aktivitetet për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nxitur shkëmbimin e informacionit, rritjen e ndërgjegjësimit dhe shpërndarjen në ato shtete, si dhe të ofrojë programe specifike për ato shtete.</w:t>
      </w:r>
    </w:p>
    <w:p w14:paraId="742801C5" w14:textId="0517F35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Konfidencialiteti i informacionit të dhënë sipas kësaj Marrëveshjeje dhe të drejtat për të do të respektohen. Asgjë sipas kësaj Marrëveshjeje nuk do të interpretohet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sikur kërkohet ndarja e informacionit që mbrohet nga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mospublikimi sipas ligjit të brendshëm të një Pale ose ligjeve të tjera të zbatueshme.</w:t>
      </w:r>
    </w:p>
    <w:p w14:paraId="3DD8CE9D"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8E4240C" w14:textId="77777777" w:rsidR="00EA139B" w:rsidRPr="00126A15" w:rsidRDefault="00EA139B"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17B342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VII</w:t>
      </w:r>
    </w:p>
    <w:p w14:paraId="2E8D85B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BURIMET FINANCIARE DHE MEKANIZMI</w:t>
      </w:r>
    </w:p>
    <w:p w14:paraId="064F1EB0"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45906A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52</w:t>
      </w:r>
    </w:p>
    <w:p w14:paraId="0661F24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Financimi</w:t>
      </w:r>
    </w:p>
    <w:p w14:paraId="7698D9BF"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0E65E8F" w14:textId="289C3E1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Çdo Palë do të sigurojë, brenda mundësive të saj, burime në lidhje me ato aktivitete që synojnë të arrijnë objektivat e kësaj Marrëveshjeje, duke marrë parasysh politikat, prioritetet, planet dhe programet e saj kombëtare.</w:t>
      </w:r>
    </w:p>
    <w:p w14:paraId="00C67CA1" w14:textId="5A02769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Institucionet e krijuara sipas kësaj Marrëveshjeje do të financohen nëpërmjet kontributeve të vlerësuara të Palëve.</w:t>
      </w:r>
    </w:p>
    <w:p w14:paraId="59A7D672" w14:textId="6489F14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Me këtë Marrëveshje krijohet një mekanizëm për sigurimin e burimeve të tjera, shtesë financiare, të mjaftueshme, të aksesueshme, dhe të parashikueshme sipas kësaj Marrëveshjeje. Mekanizmi do të ndihmojë Shtetet Palë në zhvillim në zbatimin e kësaj Marrëveshjeje, duke përfshirë financimin në mbështetje të ngritjes së kapaciteteve dhe transferimit të teknologjisë detare, dhe do të kryejë funksione të tjera</w:t>
      </w:r>
      <w:r w:rsidR="00453704"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siç përcaktohet në këtë nen për ruajtjen dhe përdorimin e qëndrueshëm të diversitetit biologjik detar.</w:t>
      </w:r>
    </w:p>
    <w:p w14:paraId="16DAC8D5" w14:textId="1101CDF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Mekanizmi duhet të përfshijë:</w:t>
      </w:r>
    </w:p>
    <w:p w14:paraId="62574428" w14:textId="5DB610B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EA139B" w:rsidRPr="00126A15">
        <w:rPr>
          <w:rFonts w:ascii="Garamond" w:hAnsi="Garamond" w:cs="Garamond"/>
          <w:color w:val="000000"/>
          <w:sz w:val="24"/>
          <w:szCs w:val="24"/>
          <w:lang w:val="sq-AL"/>
        </w:rPr>
        <w:t>N</w:t>
      </w:r>
      <w:r w:rsidRPr="00126A15">
        <w:rPr>
          <w:rFonts w:ascii="Garamond" w:hAnsi="Garamond" w:cs="Garamond"/>
          <w:color w:val="000000"/>
          <w:sz w:val="24"/>
          <w:szCs w:val="24"/>
          <w:lang w:val="sq-AL"/>
        </w:rPr>
        <w:t>jë fond vullnetar sigurie krijuar nga Konferenca e Palëve për të lehtësuar pjesëmarrjen e përfaqësuesve të Shteteve Palë në zhvillim, veçanërisht të vendeve më pak të zhvilluara, vendeve në zhvillim pa dalje në det dhe shteteve të vogla ishullore në zhvillim, në mbledhjet e organeve të krijuara sipas kësaj Marrëveshjeje;</w:t>
      </w:r>
    </w:p>
    <w:p w14:paraId="48DE95E3" w14:textId="6D2D1CD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Një fond i veçantë që do të financohet nga burimet e mëposhtme:</w:t>
      </w:r>
    </w:p>
    <w:p w14:paraId="1E28F9C3" w14:textId="7B7693A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843D8E"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453704" w:rsidRPr="00126A15">
        <w:rPr>
          <w:rFonts w:ascii="Garamond" w:hAnsi="Garamond" w:cs="Garamond"/>
          <w:color w:val="000000"/>
          <w:sz w:val="24"/>
          <w:szCs w:val="24"/>
          <w:lang w:val="sq-AL"/>
        </w:rPr>
        <w:t xml:space="preserve">kontributet </w:t>
      </w:r>
      <w:r w:rsidRPr="00126A15">
        <w:rPr>
          <w:rFonts w:ascii="Garamond" w:hAnsi="Garamond" w:cs="Garamond"/>
          <w:color w:val="000000"/>
          <w:sz w:val="24"/>
          <w:szCs w:val="24"/>
          <w:lang w:val="sq-AL"/>
        </w:rPr>
        <w:t>vjetore në përputhje me nenin 14, paragrafi 6.</w:t>
      </w:r>
    </w:p>
    <w:p w14:paraId="25026E94" w14:textId="72CCBB6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843D8E"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453704" w:rsidRPr="00126A15">
        <w:rPr>
          <w:rFonts w:ascii="Garamond" w:hAnsi="Garamond" w:cs="Garamond"/>
          <w:color w:val="000000"/>
          <w:sz w:val="24"/>
          <w:szCs w:val="24"/>
          <w:lang w:val="sq-AL"/>
        </w:rPr>
        <w:t xml:space="preserve">pagesat </w:t>
      </w:r>
      <w:r w:rsidRPr="00126A15">
        <w:rPr>
          <w:rFonts w:ascii="Garamond" w:hAnsi="Garamond" w:cs="Garamond"/>
          <w:color w:val="000000"/>
          <w:sz w:val="24"/>
          <w:szCs w:val="24"/>
          <w:lang w:val="sq-AL"/>
        </w:rPr>
        <w:t>në përputhje me nenin 14, paragrafi 7.</w:t>
      </w:r>
    </w:p>
    <w:p w14:paraId="6958FB34" w14:textId="2709F51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843D8E"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453704" w:rsidRPr="00126A15">
        <w:rPr>
          <w:rFonts w:ascii="Garamond" w:hAnsi="Garamond" w:cs="Garamond"/>
          <w:color w:val="000000"/>
          <w:sz w:val="24"/>
          <w:szCs w:val="24"/>
          <w:lang w:val="sq-AL"/>
        </w:rPr>
        <w:t xml:space="preserve">kontribute </w:t>
      </w:r>
      <w:r w:rsidRPr="00126A15">
        <w:rPr>
          <w:rFonts w:ascii="Garamond" w:hAnsi="Garamond" w:cs="Garamond"/>
          <w:color w:val="000000"/>
          <w:sz w:val="24"/>
          <w:szCs w:val="24"/>
          <w:lang w:val="sq-AL"/>
        </w:rPr>
        <w:t>shtesë nga Palët dhe subjektet private që dëshirojnë të ofrojnë burime financiare për të mbështetur ruajtjen dhe përdorimin e qëndrueshëm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diversitetit biologjik detar të zonave përtej juridiksionit kombëtar;</w:t>
      </w:r>
    </w:p>
    <w:p w14:paraId="15A9F91F" w14:textId="63EC985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Fondi i mirëbesimit i Institucionit Global i Mjedisit. Fondi Global për Sigurinë e Diversitetit Biologjik</w:t>
      </w:r>
    </w:p>
    <w:p w14:paraId="34C6DE13" w14:textId="12F2961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Konferenca e Palëve mund të shqyrtojë mundësinë e krijimit të fondeve shtesë, si pjesë e mekanizmit financiar, për të mbështetur ruajtjen dhe përdorimin e qëndrueshëm të diversitetit biologjik detar të zonave përtej juridiksionit kombëtar, për të financuar rehabilitimin dhe restaurimin ekologjik të diversitetit biologjik detar të zonave jashtë juridiksionit kombëtar.</w:t>
      </w:r>
    </w:p>
    <w:p w14:paraId="4C424123" w14:textId="31186C1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Fondi i Posaçëm dhe Fondi Global për Sigurinë e Diversitetit Biologjik do të përdoren për të:</w:t>
      </w:r>
    </w:p>
    <w:p w14:paraId="24C9CB6F" w14:textId="44101AC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 xml:space="preserve">a) </w:t>
      </w:r>
      <w:r w:rsidR="00453704" w:rsidRPr="00126A15">
        <w:rPr>
          <w:rFonts w:ascii="Garamond" w:hAnsi="Garamond" w:cs="Garamond"/>
          <w:color w:val="000000"/>
          <w:sz w:val="24"/>
          <w:szCs w:val="24"/>
          <w:lang w:val="sq-AL"/>
        </w:rPr>
        <w:t xml:space="preserve">financuar </w:t>
      </w:r>
      <w:r w:rsidRPr="00126A15">
        <w:rPr>
          <w:rFonts w:ascii="Garamond" w:hAnsi="Garamond" w:cs="Garamond"/>
          <w:color w:val="000000"/>
          <w:sz w:val="24"/>
          <w:szCs w:val="24"/>
          <w:lang w:val="sq-AL"/>
        </w:rPr>
        <w:t xml:space="preserve">projektet për ngritjen e kapaciteteve sipas kësaj Marrëveshjeje, duke përfshirë projekte ideale për ruajtjen dhe përdorimin e qëndrueshëm të diversitetit biologjik detar, aktivitete dhe programe, përfshirë trajnimin në lidhje me transferimin e teknologjisë detare; </w:t>
      </w:r>
    </w:p>
    <w:p w14:paraId="6C8E347E" w14:textId="65E629E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453704" w:rsidRPr="00126A15">
        <w:rPr>
          <w:rFonts w:ascii="Garamond" w:hAnsi="Garamond" w:cs="Garamond"/>
          <w:color w:val="000000"/>
          <w:sz w:val="24"/>
          <w:szCs w:val="24"/>
          <w:lang w:val="sq-AL"/>
        </w:rPr>
        <w:t xml:space="preserve">ndihmuar </w:t>
      </w:r>
      <w:r w:rsidRPr="00126A15">
        <w:rPr>
          <w:rFonts w:ascii="Garamond" w:hAnsi="Garamond" w:cs="Garamond"/>
          <w:color w:val="000000"/>
          <w:sz w:val="24"/>
          <w:szCs w:val="24"/>
          <w:lang w:val="sq-AL"/>
        </w:rPr>
        <w:t>Shtetet Palë në zhvillim në zbatimin e kësaj Marrëveshjeje;</w:t>
      </w:r>
    </w:p>
    <w:p w14:paraId="2680B771" w14:textId="13B1DD5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453704" w:rsidRPr="00126A15">
        <w:rPr>
          <w:rFonts w:ascii="Garamond" w:hAnsi="Garamond" w:cs="Garamond"/>
          <w:color w:val="000000"/>
          <w:sz w:val="24"/>
          <w:szCs w:val="24"/>
          <w:lang w:val="sq-AL"/>
        </w:rPr>
        <w:t xml:space="preserve">mbështetur </w:t>
      </w:r>
      <w:r w:rsidRPr="00126A15">
        <w:rPr>
          <w:rFonts w:ascii="Garamond" w:hAnsi="Garamond" w:cs="Garamond"/>
          <w:color w:val="000000"/>
          <w:sz w:val="24"/>
          <w:szCs w:val="24"/>
          <w:lang w:val="sq-AL"/>
        </w:rPr>
        <w:t>programet e ruajtjes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përdorimin e qëndrueshëm nga</w:t>
      </w:r>
      <w:r w:rsidR="007A5D58" w:rsidRPr="00126A15">
        <w:rPr>
          <w:rFonts w:ascii="Garamond" w:hAnsi="Garamond" w:cs="Garamond"/>
          <w:color w:val="000000"/>
          <w:sz w:val="24"/>
          <w:szCs w:val="24"/>
          <w:lang w:val="sq-AL"/>
        </w:rPr>
        <w:t xml:space="preserve"> </w:t>
      </w:r>
      <w:r w:rsidR="003F3530" w:rsidRPr="00126A15">
        <w:rPr>
          <w:rFonts w:ascii="Garamond" w:hAnsi="Garamond" w:cs="Garamond"/>
          <w:color w:val="000000"/>
          <w:sz w:val="24"/>
          <w:szCs w:val="24"/>
          <w:lang w:val="sq-AL"/>
        </w:rPr>
        <w:t>vendës</w:t>
      </w:r>
      <w:r w:rsidRPr="00126A15">
        <w:rPr>
          <w:rFonts w:ascii="Garamond" w:hAnsi="Garamond" w:cs="Garamond"/>
          <w:color w:val="000000"/>
          <w:sz w:val="24"/>
          <w:szCs w:val="24"/>
          <w:lang w:val="sq-AL"/>
        </w:rPr>
        <w:t>it dhe komunitetet lokale si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mbartës të njohurive tradicionale;</w:t>
      </w:r>
    </w:p>
    <w:p w14:paraId="330A32A8" w14:textId="5A278AA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453704" w:rsidRPr="00126A15">
        <w:rPr>
          <w:rFonts w:ascii="Garamond" w:hAnsi="Garamond" w:cs="Garamond"/>
          <w:color w:val="000000"/>
          <w:sz w:val="24"/>
          <w:szCs w:val="24"/>
          <w:lang w:val="sq-AL"/>
        </w:rPr>
        <w:t xml:space="preserve">mbështesë </w:t>
      </w:r>
      <w:r w:rsidRPr="00126A15">
        <w:rPr>
          <w:rFonts w:ascii="Garamond" w:hAnsi="Garamond" w:cs="Garamond"/>
          <w:color w:val="000000"/>
          <w:sz w:val="24"/>
          <w:szCs w:val="24"/>
          <w:lang w:val="sq-AL"/>
        </w:rPr>
        <w:t>konsultimet publike në nivel kombëtar, lokal dhe rajonal;</w:t>
      </w:r>
    </w:p>
    <w:p w14:paraId="2946313F" w14:textId="7F86120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e) </w:t>
      </w:r>
      <w:r w:rsidR="00453704" w:rsidRPr="00126A15">
        <w:rPr>
          <w:rFonts w:ascii="Garamond" w:hAnsi="Garamond" w:cs="Garamond"/>
          <w:color w:val="000000"/>
          <w:sz w:val="24"/>
          <w:szCs w:val="24"/>
          <w:lang w:val="sq-AL"/>
        </w:rPr>
        <w:t xml:space="preserve">financojë </w:t>
      </w:r>
      <w:r w:rsidRPr="00126A15">
        <w:rPr>
          <w:rFonts w:ascii="Garamond" w:hAnsi="Garamond" w:cs="Garamond"/>
          <w:color w:val="000000"/>
          <w:sz w:val="24"/>
          <w:szCs w:val="24"/>
          <w:lang w:val="sq-AL"/>
        </w:rPr>
        <w:t>ndërmarrjen e çdo aktiviteti tjetër siç vendoset nga Konferenca e Palëve.</w:t>
      </w:r>
    </w:p>
    <w:p w14:paraId="04DC0C0A" w14:textId="6B0910A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7. Mekanizmi financiar duhet të përpiqet të sigurojë shmangien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falsitetit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nxisë bashkëpunimin dhe koherencën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 përdorimin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fondeve brenda mekanizmit.</w:t>
      </w:r>
    </w:p>
    <w:p w14:paraId="08C6A06C" w14:textId="77D0A3A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8. Burimet financiare të organizuara në mbështetje të zbatimit të kësaj Marrëveshjeje mund të përfshijnë financime të ofruara nga burime publike dhe private, kombëtare dhe ndërkombëtare, duke përfshirë, por pa u kufizuar në, kontributet nga shtetet, institucionet financiare ndërkombëtare, mekanizmat ekzistues të financimit sipas instrumenteve globale dhe rajonale, agjencitë donatore, organizatat ndërqeveritare, organizatat joqeveritare dhe personat fizikë e juridikë, si dhe nëpërmjet partneriteteve publiko-private.</w:t>
      </w:r>
    </w:p>
    <w:p w14:paraId="4704F8F8" w14:textId="0E9F804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9. Për qëllimet e kësaj Marrëveshjeje, mekanizmi do të funksionojë nën autoritetin, sipas rastit, dhe udhëzimet e Konferencës së Palëve dhe do të jetë përgjegjës ndaj saj. Konferenca e Palëve do të ofrojë udhëzime mbi strategjitë e përgjithshme, politikat, prioritetet e programit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drejtën e aksesit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përdorimin e burimeve financiare.</w:t>
      </w:r>
    </w:p>
    <w:p w14:paraId="24D0229A" w14:textId="2481256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10. Konferenca e Palëve dhe Fondi Global për Sigurinë e Diversitetit Biologjik do të bien dakord mbi marrëveshjet për t’i sjellë në fuqi nenet e mësipërme në takimin e parë të Konferencës së Palëve. </w:t>
      </w:r>
    </w:p>
    <w:p w14:paraId="5FCC45FC" w14:textId="7EA2760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11.</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Duke ditur rëndësinë e ruajtjes dhe përdorimin e qëndrueshëm të diversitetit biologjik detar në zonave përtej juridiksionit kombëtar, Konferenca e Palëve do të përcaktojë një objektiv fillestar për organizimin e burimeve deri në vitin 2030 për fond</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posaçëm nga të gjitha burimet, duke marrë parasysh, ndër të tjera, modalitetet institucionale të fondit të posaçëm dhe informacionin e dhënë nëpërmjet ngritjes së kapaciteteve dhe transferimin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komitetit të teknologjisë detare.</w:t>
      </w:r>
    </w:p>
    <w:p w14:paraId="3AA5BECC" w14:textId="59F3886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12.</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drejta për akses në financim sipas kësaj Marrëveshjeje do të jetë e hapur për Shtetet Palë në zhvillim në bazë të nevojës. Financimi në kuadrin e fondit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posaçëm do të shpërndahet sipas kritereve të ndarjes së barabartë, duke marrë parasysh nevojat për ndihmë të Palëve me kërkesa të veçanta, veçanërisht vendet më pak të zhvilluara, vendet në zhvillim pa dalje në det, shtetet gjeografikisht të pafavorizuara, shtetet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vogla ishullore në zhvillim dhe shtetet Afrikane bregdetare</w:t>
      </w:r>
      <w:r w:rsidR="004A6CBF"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shtetet e arkipelagut dhe vendet në zhvillim me të ardhura mesatare, dhe duke marrë parasysh rrethanat e veçanta të shteteve të vogla ishullore në zhvillim dhe të vendeve më pak të zhvilluara. Fondi i posaçëm do të synojë të sigurojë akses</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koherent në financim nëpërmjet procedurave të thjeshtuara të aplikimit, miratimit dhe gatishmërisë së shtuar për mbështetje për këto shtete palë në zhvillim.</w:t>
      </w:r>
    </w:p>
    <w:p w14:paraId="03956151" w14:textId="7B47792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13. Në dritën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faktorëve të kufizuar, Palët do të inkurajojnë organizatat ndërkombëtare që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bëjnë kujdes të veçantë dhe të marrin në konsideratë nevojat specifike dhe kërkesat e veçanta të Shteteve Palë në zhvillim, veçanërisht vendeve më pak të zhvilluara, vendeve në zhvillim pa dalje në det dhe shteteve të vogla ishullore në zhvillim, dhe duke marrë parasysh rrethanat e veçanta të shteteve të vogla ishullore në zhvillim dhe të vendeve më pak të zhvilluara, 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administrimin e duhur të fondeve dhe asistencës teknike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përdorimin e shërbimeve të tyre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profesionale për qëllime të ruajtjes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përdorimin e qëndrueshëm të diversitetit biologjik detar të zonave përtej juridiksionit kombëtar.</w:t>
      </w:r>
    </w:p>
    <w:p w14:paraId="14C325AA" w14:textId="6122C46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14. Konferenca e Palëve do të krijojë një komitet financiar për burimet financiare. Ai do të përbëhet nga anëtarë që zotërojnë kualifikimet dhe ekspertizën e duhur, duke marrë parasysh balancën gjinore dhe shpërndarjen e barabartë gjeografike. Kushtet e referencës dhe modalitetet për funksionimin e komitetit do të vendosen nga Konferenca e Palëve. Komiteti do të raportojë periodikisht dhe do të bëjë rekomandime për identifikimin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organizimin e fondeve sipas mekanizmit. Ai</w:t>
      </w:r>
      <w:r w:rsidR="00752FB1"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gjithashtu</w:t>
      </w:r>
      <w:r w:rsidR="00752FB1"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do </w:t>
      </w:r>
      <w:r w:rsidRPr="00126A15">
        <w:rPr>
          <w:rFonts w:ascii="Garamond" w:hAnsi="Garamond" w:cs="Garamond"/>
          <w:color w:val="000000"/>
          <w:sz w:val="24"/>
          <w:szCs w:val="24"/>
          <w:lang w:val="sq-AL"/>
        </w:rPr>
        <w:lastRenderedPageBreak/>
        <w:t>të mbledhë informacione dhe do të raportojë për financimin sipas mekanizmave dhe instrumenteve të tjerë që kontribuojnë drejtpërdrejt ose tërthorazi në arritjen e objektivave të kësaj Marrëveshjeje. Përveç</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tjerave të parashikuara në këtë nen, komisioni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duhet të ketë parasysh:</w:t>
      </w:r>
    </w:p>
    <w:p w14:paraId="1D8897F1" w14:textId="3502B79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752FB1" w:rsidRPr="00126A15">
        <w:rPr>
          <w:rFonts w:ascii="Garamond" w:hAnsi="Garamond" w:cs="Garamond"/>
          <w:color w:val="000000"/>
          <w:sz w:val="24"/>
          <w:szCs w:val="24"/>
          <w:lang w:val="sq-AL"/>
        </w:rPr>
        <w:t xml:space="preserve">vlerësimin </w:t>
      </w:r>
      <w:r w:rsidRPr="00126A15">
        <w:rPr>
          <w:rFonts w:ascii="Garamond" w:hAnsi="Garamond" w:cs="Garamond"/>
          <w:color w:val="000000"/>
          <w:sz w:val="24"/>
          <w:szCs w:val="24"/>
          <w:lang w:val="sq-AL"/>
        </w:rPr>
        <w:t>e nevojave të Palëve, veçanërisht të Shteteve Palë në zhvillim;</w:t>
      </w:r>
    </w:p>
    <w:p w14:paraId="1C39C056" w14:textId="668B44A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752FB1" w:rsidRPr="00126A15">
        <w:rPr>
          <w:rFonts w:ascii="Garamond" w:hAnsi="Garamond" w:cs="Garamond"/>
          <w:color w:val="000000"/>
          <w:sz w:val="24"/>
          <w:szCs w:val="24"/>
          <w:lang w:val="sq-AL"/>
        </w:rPr>
        <w:t xml:space="preserve">disponueshmëria </w:t>
      </w:r>
      <w:r w:rsidRPr="00126A15">
        <w:rPr>
          <w:rFonts w:ascii="Garamond" w:hAnsi="Garamond" w:cs="Garamond"/>
          <w:color w:val="000000"/>
          <w:sz w:val="24"/>
          <w:szCs w:val="24"/>
          <w:lang w:val="sq-AL"/>
        </w:rPr>
        <w:t>dhe shpërndarja në kohë e fondeve;</w:t>
      </w:r>
    </w:p>
    <w:p w14:paraId="6E94572A" w14:textId="167A510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752FB1" w:rsidRPr="00126A15">
        <w:rPr>
          <w:rFonts w:ascii="Garamond" w:hAnsi="Garamond" w:cs="Garamond"/>
          <w:color w:val="000000"/>
          <w:sz w:val="24"/>
          <w:szCs w:val="24"/>
          <w:lang w:val="sq-AL"/>
        </w:rPr>
        <w:t xml:space="preserve">transparenca </w:t>
      </w:r>
      <w:r w:rsidRPr="00126A15">
        <w:rPr>
          <w:rFonts w:ascii="Garamond" w:hAnsi="Garamond" w:cs="Garamond"/>
          <w:color w:val="000000"/>
          <w:sz w:val="24"/>
          <w:szCs w:val="24"/>
          <w:lang w:val="sq-AL"/>
        </w:rPr>
        <w:t>e proceseve të vendimmarrjes dhe menaxhimit në lidhje me mbledhjen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administrimin e fondeve;</w:t>
      </w:r>
    </w:p>
    <w:p w14:paraId="4BE0E1BD" w14:textId="378C6D9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w:t>
      </w:r>
      <w:r w:rsidR="00752FB1" w:rsidRPr="00126A15">
        <w:rPr>
          <w:rFonts w:ascii="Garamond" w:hAnsi="Garamond" w:cs="Garamond"/>
          <w:color w:val="000000"/>
          <w:sz w:val="24"/>
          <w:szCs w:val="24"/>
          <w:lang w:val="sq-AL"/>
        </w:rPr>
        <w:t xml:space="preserve">përgjegjësia </w:t>
      </w:r>
      <w:r w:rsidRPr="00126A15">
        <w:rPr>
          <w:rFonts w:ascii="Garamond" w:hAnsi="Garamond" w:cs="Garamond"/>
          <w:color w:val="000000"/>
          <w:sz w:val="24"/>
          <w:szCs w:val="24"/>
          <w:lang w:val="sq-AL"/>
        </w:rPr>
        <w:t xml:space="preserve">e </w:t>
      </w:r>
      <w:r w:rsidR="004D6F9C" w:rsidRPr="00126A15">
        <w:rPr>
          <w:rFonts w:ascii="Garamond" w:hAnsi="Garamond" w:cs="Garamond"/>
          <w:color w:val="000000"/>
          <w:sz w:val="24"/>
          <w:szCs w:val="24"/>
          <w:lang w:val="sq-AL"/>
        </w:rPr>
        <w:t xml:space="preserve">Shteteve </w:t>
      </w:r>
      <w:r w:rsidRPr="00126A15">
        <w:rPr>
          <w:rFonts w:ascii="Garamond" w:hAnsi="Garamond" w:cs="Garamond"/>
          <w:color w:val="000000"/>
          <w:sz w:val="24"/>
          <w:szCs w:val="24"/>
          <w:lang w:val="sq-AL"/>
        </w:rPr>
        <w:t>përfitues</w:t>
      </w:r>
      <w:r w:rsidR="00006694">
        <w:rPr>
          <w:rFonts w:ascii="Garamond" w:hAnsi="Garamond" w:cs="Garamond"/>
          <w:color w:val="000000"/>
          <w:sz w:val="24"/>
          <w:szCs w:val="24"/>
          <w:lang w:val="sq-AL"/>
        </w:rPr>
        <w:t>e</w:t>
      </w:r>
      <w:r w:rsidRPr="00126A15">
        <w:rPr>
          <w:rFonts w:ascii="Garamond" w:hAnsi="Garamond" w:cs="Garamond"/>
          <w:color w:val="000000"/>
          <w:sz w:val="24"/>
          <w:szCs w:val="24"/>
          <w:lang w:val="sq-AL"/>
        </w:rPr>
        <w:t xml:space="preserve"> Palë në zhvillim lidhur me përdorimin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aprovuar të fondeve.</w:t>
      </w:r>
    </w:p>
    <w:p w14:paraId="0D40F6B1" w14:textId="5FB9BC9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15. Konferenca e Palëve do të shqyrtojë raportet dhe rekomandimet e komitetit të financave dhe do të ndërmarrë veprimet e duhura.</w:t>
      </w:r>
    </w:p>
    <w:p w14:paraId="10448E6A" w14:textId="6E43857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16. Konferenca e Palëve, përveç kësaj,</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duhet të bëjë një analizë periodike të mekanizmit financiar për të vlerësuar përshtatshmërinë, efektivitetin dhe aksesin e burimeve financiare, duke përfshirë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sigurimin e ngritjes së kapaciteteve dhe transferimin e teknologjisë detare, në veçanti për shtetet palë në zhvillim.</w:t>
      </w:r>
    </w:p>
    <w:p w14:paraId="31182F22"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7D4EEC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VIII</w:t>
      </w:r>
    </w:p>
    <w:p w14:paraId="0ED98125" w14:textId="445F4104"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 xml:space="preserve">ZBATIMI DHE </w:t>
      </w:r>
      <w:r w:rsidR="00843D8E" w:rsidRPr="00126A15">
        <w:rPr>
          <w:rFonts w:ascii="Garamond" w:hAnsi="Garamond" w:cs="Garamond"/>
          <w:color w:val="000000"/>
          <w:sz w:val="24"/>
          <w:szCs w:val="24"/>
          <w:lang w:val="sq-AL"/>
        </w:rPr>
        <w:t>PAJTUESHMËRIA</w:t>
      </w:r>
    </w:p>
    <w:p w14:paraId="493C200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2A5F0E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53</w:t>
      </w:r>
    </w:p>
    <w:p w14:paraId="5318B75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Zbatimi</w:t>
      </w:r>
    </w:p>
    <w:p w14:paraId="763F9A57"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110EBDA" w14:textId="5D3AD24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Palët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zbatojnë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politikat e nevojshme legjislative, administrative, sipas rastit, për të siguruar zbatimin e kësaj Marrëveshjeje.</w:t>
      </w:r>
    </w:p>
    <w:p w14:paraId="0134C192"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5FF2BA6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54</w:t>
      </w:r>
    </w:p>
    <w:p w14:paraId="7DE702B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Monitorimi i zbatimit</w:t>
      </w:r>
    </w:p>
    <w:p w14:paraId="2260BFB0"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74A6913C" w14:textId="2E913CF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Çdo Palë do të monitorojë zbatimin e detyrimeve të saj sipas kësaj Marrëveshjeje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 një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planifikim dhe në intervale që do të përcaktohen nga Konferenca e Palëve, do t’i raportojë Konferencës për masat që ka marrë për zbatimin e kësaj Marrëveshjeje.</w:t>
      </w:r>
    </w:p>
    <w:p w14:paraId="351EA3E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381DCF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55</w:t>
      </w:r>
    </w:p>
    <w:p w14:paraId="5806844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Komiteti i Zbatimit dhe Pajtueshmërisë</w:t>
      </w:r>
    </w:p>
    <w:p w14:paraId="0D0CCF7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F80BD63" w14:textId="64C2E5E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Me këtë krijohet një Komitet i Zbatimit dhe Pajtueshmërisë për të mundësuar dhe analizuar zbatimin dhe stimulimin e pajtueshmërisë me dispozitat e kësaj Marrëveshjeje. Komiteti i Zbatimit dhe Pajtueshmërisë do të jetë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produktiv në natyrë dhe të funksionojë në një mënyrë transparente,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bashkëpunues dhe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tolerant.</w:t>
      </w:r>
    </w:p>
    <w:p w14:paraId="48EE43AD" w14:textId="2BAA4B9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Komiteti i Zbatimit dhe Pajtueshmërisë do të përbëhet nga anëtarë që zotërojnë kualifikimet dhe përvojën e duhur të kandiduar nga Palët dhe të zgjedhur nga Konferenca e Palëve, duke i kushtuar vëmendjen e duhur ekuilibrit gjinor dhe përfaqësimit të drejtë gjeografik.</w:t>
      </w:r>
    </w:p>
    <w:p w14:paraId="77A70CF9" w14:textId="403FF2B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Komiteti i Zbatimit dhe Pajtueshmërisë do të funksionojë sipas modaliteteve dhe rregullave të procedurës të miratuara nga Konferenca e Palëve në mbledhjen e saj të parë. Komiteti i Zbatimit dhe Pajtueshmërisë do të shqyrtojë çështjet e zbatimit dhe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pajtueshmërisë në nivele individuale dhe sistematike, ndër të tjera, do të raportojë periodikisht dhe do të bëjë rekomandime, sipas rastit, duke pasur parasysh rrethanat përkatëse kombëtare, për Konferencën e Palëve.</w:t>
      </w:r>
    </w:p>
    <w:p w14:paraId="5EA9B773" w14:textId="4B57D68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4. Gjatë punës së tij, Komiteti i Zbatimit dhe Pajtueshmërisë mund të bazohet në informacionin e duhur nga organet e krijuara sipas kësaj Marrëveshjeje, si dhe nga instrumentet dhe kornizat përkatëse ligjore dhe nga organet përkatëse globale, rajonale, lokale dhe krahinore, sipas nevojës.</w:t>
      </w:r>
    </w:p>
    <w:p w14:paraId="2FEF8E8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43B52B2"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IX</w:t>
      </w:r>
    </w:p>
    <w:p w14:paraId="42E029F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ZGJIDHJA E MOSMARRËVESHJEVE</w:t>
      </w:r>
    </w:p>
    <w:p w14:paraId="2CB7B903"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F41635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56</w:t>
      </w:r>
    </w:p>
    <w:p w14:paraId="2A8D8DE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Parandalimi i mosmarrëveshjeve</w:t>
      </w:r>
    </w:p>
    <w:p w14:paraId="1389835A"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D80E286"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Palët do të bashkëpunojnë për të parandaluar mosmarrëveshjet.</w:t>
      </w:r>
    </w:p>
    <w:p w14:paraId="747EE573"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3356483"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57</w:t>
      </w:r>
    </w:p>
    <w:p w14:paraId="725DD99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Detyrimi për zgjidhjen e mosmarrëveshjeve me forma paqësore</w:t>
      </w:r>
    </w:p>
    <w:p w14:paraId="15726F0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621AE185" w14:textId="258DF30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Palët kanë detyrimin të zgjidhin mosmarrëveshjet e tyre në lidhje me interpretimin ose zbatimin e kësaj Marrëveshjeje me negocim, hetim, ndërmjetësim, në qetësi,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paanshmëri, zgjidhje juridike, duke iu drejtuar agjencive ose marrëveshjeve rajonale, ose mjeteve të tjera paqësore sipas zgjedhjes së tyre.</w:t>
      </w:r>
    </w:p>
    <w:p w14:paraId="3C4A941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41F277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58</w:t>
      </w:r>
    </w:p>
    <w:p w14:paraId="0A39F18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Zgjidhja e mosmarrëveshjeve me çdo mjet paqësor të zgjedhur nga Palët</w:t>
      </w:r>
    </w:p>
    <w:p w14:paraId="6BF36DBB"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4C586C8" w14:textId="1291C10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Asgjë në këtë </w:t>
      </w:r>
      <w:r w:rsidR="00752FB1" w:rsidRPr="00126A15">
        <w:rPr>
          <w:rFonts w:ascii="Garamond" w:hAnsi="Garamond" w:cs="Garamond"/>
          <w:color w:val="000000"/>
          <w:sz w:val="24"/>
          <w:szCs w:val="24"/>
          <w:lang w:val="sq-AL"/>
        </w:rPr>
        <w:t xml:space="preserve">pjesë </w:t>
      </w:r>
      <w:r w:rsidRPr="00126A15">
        <w:rPr>
          <w:rFonts w:ascii="Garamond" w:hAnsi="Garamond" w:cs="Garamond"/>
          <w:color w:val="000000"/>
          <w:sz w:val="24"/>
          <w:szCs w:val="24"/>
          <w:lang w:val="sq-AL"/>
        </w:rPr>
        <w:t>nuk cenon të drejtën e ndonjë Pale në këtë Marrëveshje për të rënë dakord në çdo kohë për të zgjidhur një mosmarrëveshje midis tyre në lidhje me interpretimin ose zbatimin e kësaj Marrëveshjeje me çdo formë paqësore të zgjedhjes së tyre.</w:t>
      </w:r>
    </w:p>
    <w:p w14:paraId="58D09D91" w14:textId="77777777" w:rsidR="00F205CF" w:rsidRPr="00126A15" w:rsidRDefault="00F205CF" w:rsidP="00927FAE">
      <w:pPr>
        <w:autoSpaceDE w:val="0"/>
        <w:autoSpaceDN w:val="0"/>
        <w:adjustRightInd w:val="0"/>
        <w:spacing w:after="0" w:line="240" w:lineRule="auto"/>
        <w:ind w:firstLine="284"/>
        <w:rPr>
          <w:rFonts w:ascii="Garamond" w:hAnsi="Garamond" w:cs="Garamond"/>
          <w:b/>
          <w:bCs/>
          <w:color w:val="000000"/>
          <w:sz w:val="24"/>
          <w:szCs w:val="24"/>
          <w:lang w:val="sq-AL"/>
        </w:rPr>
      </w:pPr>
    </w:p>
    <w:p w14:paraId="5639A7B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59</w:t>
      </w:r>
    </w:p>
    <w:p w14:paraId="7CE3910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Mosmarrëveshjet e natyrës teknike</w:t>
      </w:r>
    </w:p>
    <w:p w14:paraId="413FEEA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4CB30AD4" w14:textId="1FD75F2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Kur një mosmarrëveshje ka të bëjë me një çështje të një natyre teknike, Palët e interesuara mund t’ia referojnë mosmarrëveshjen një paneli të posaçëm ekspertësh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ngritur prej tyre. Paneli do të bisedojë me Palët në fjalë dhe do të përpiqet ta zgjidhë mosmarrëveshjen në mënyrë të shpejtë pa iu drejtuar procedurave detyruese për zgjidhjen e mosmarrëveshjeve sipas nenit 60 të kësaj Marrëveshjeje.</w:t>
      </w:r>
    </w:p>
    <w:p w14:paraId="0BB34D8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78B1AD5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60</w:t>
      </w:r>
    </w:p>
    <w:p w14:paraId="53550F5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Procedurat për zgjidhjen e mosmarrëveshjeve</w:t>
      </w:r>
    </w:p>
    <w:p w14:paraId="013A8A4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DD84B98" w14:textId="4EA224E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1. Mosmarrëveshjet në lidhje me interpretimin ose zbatimin e kësaj Marrëveshjeje do të zgjidhen në përputhje me dispozitat për zgjidhjen e mosmarrëveshjeve të parashikuara në </w:t>
      </w:r>
      <w:r w:rsidR="00DE280A" w:rsidRPr="00126A15">
        <w:rPr>
          <w:rFonts w:ascii="Garamond" w:hAnsi="Garamond" w:cs="Garamond"/>
          <w:color w:val="000000"/>
          <w:sz w:val="24"/>
          <w:szCs w:val="24"/>
          <w:lang w:val="sq-AL"/>
        </w:rPr>
        <w:t xml:space="preserve">pjesën </w:t>
      </w:r>
      <w:r w:rsidRPr="00126A15">
        <w:rPr>
          <w:rFonts w:ascii="Garamond" w:hAnsi="Garamond" w:cs="Garamond"/>
          <w:color w:val="000000"/>
          <w:sz w:val="24"/>
          <w:szCs w:val="24"/>
          <w:lang w:val="sq-AL"/>
        </w:rPr>
        <w:t>XV të Konventës.</w:t>
      </w:r>
    </w:p>
    <w:p w14:paraId="2DD8D2B9" w14:textId="513CE99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Dispozitat e </w:t>
      </w:r>
      <w:r w:rsidR="00DE280A" w:rsidRPr="00126A15">
        <w:rPr>
          <w:rFonts w:ascii="Garamond" w:hAnsi="Garamond" w:cs="Garamond"/>
          <w:color w:val="000000"/>
          <w:sz w:val="24"/>
          <w:szCs w:val="24"/>
          <w:lang w:val="sq-AL"/>
        </w:rPr>
        <w:t xml:space="preserve">pjesës </w:t>
      </w:r>
      <w:r w:rsidRPr="00126A15">
        <w:rPr>
          <w:rFonts w:ascii="Garamond" w:hAnsi="Garamond" w:cs="Garamond"/>
          <w:color w:val="000000"/>
          <w:sz w:val="24"/>
          <w:szCs w:val="24"/>
          <w:lang w:val="sq-AL"/>
        </w:rPr>
        <w:t xml:space="preserve">XV të, dhe </w:t>
      </w:r>
      <w:r w:rsidR="00DE280A" w:rsidRPr="00126A15">
        <w:rPr>
          <w:rFonts w:ascii="Garamond" w:hAnsi="Garamond" w:cs="Garamond"/>
          <w:color w:val="000000"/>
          <w:sz w:val="24"/>
          <w:szCs w:val="24"/>
          <w:lang w:val="sq-AL"/>
        </w:rPr>
        <w:t xml:space="preserve">shtojcave </w:t>
      </w:r>
      <w:r w:rsidRPr="00126A15">
        <w:rPr>
          <w:rFonts w:ascii="Garamond" w:hAnsi="Garamond" w:cs="Garamond"/>
          <w:color w:val="000000"/>
          <w:sz w:val="24"/>
          <w:szCs w:val="24"/>
          <w:lang w:val="sq-AL"/>
        </w:rPr>
        <w:t>V, VI, VII dhe VIII të Konventës do të konsiderohen të përsëritura për qëllimin e zgjidhjes së mosmarrëveshjeve që përfshijnë një Palë në këtë Marrëveshje por që nuk është Palë në Konventë.</w:t>
      </w:r>
    </w:p>
    <w:p w14:paraId="7218D39A" w14:textId="7C8DC83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Çdo procedurë e pranuar nga një Palë e kësaj Marrëveshjeje që është gjithashtu Palë e Konventës në përputhje me nenin 287 të Konventës do të zbatohet për zgjidhjen e mosmarrëveshjeve sipas kësaj </w:t>
      </w:r>
      <w:r w:rsidR="00CC57D3">
        <w:rPr>
          <w:rFonts w:ascii="Garamond" w:hAnsi="Garamond" w:cs="Garamond"/>
          <w:color w:val="000000"/>
          <w:sz w:val="24"/>
          <w:szCs w:val="24"/>
          <w:lang w:val="sq-AL"/>
        </w:rPr>
        <w:t>p</w:t>
      </w:r>
      <w:r w:rsidRPr="00126A15">
        <w:rPr>
          <w:rFonts w:ascii="Garamond" w:hAnsi="Garamond" w:cs="Garamond"/>
          <w:color w:val="000000"/>
          <w:sz w:val="24"/>
          <w:szCs w:val="24"/>
          <w:lang w:val="sq-AL"/>
        </w:rPr>
        <w:t>jese, përveç rastit kur ajo Palë, kur nënshkruan, ratifikon, miraton, pranon ose aderon 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këtë </w:t>
      </w:r>
      <w:r w:rsidRPr="00126A15">
        <w:rPr>
          <w:rFonts w:ascii="Garamond" w:hAnsi="Garamond" w:cs="Garamond"/>
          <w:color w:val="000000"/>
          <w:sz w:val="24"/>
          <w:szCs w:val="24"/>
          <w:lang w:val="sq-AL"/>
        </w:rPr>
        <w:lastRenderedPageBreak/>
        <w:t>Marrëveshje, ose në çdo kohë më pas, ka pranuar një procedurë tjetër në përputhje me nenin 287 të Konventës për zgjidhjen e mosmarrëveshjeve sipas kësaj pjese.</w:t>
      </w:r>
    </w:p>
    <w:p w14:paraId="3D7AB754" w14:textId="26E5A8D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Çdo deklaratë e bërë nga një Palë në këtë Marrëveshje që është</w:t>
      </w:r>
      <w:r w:rsidR="00DE280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gjithashtu</w:t>
      </w:r>
      <w:r w:rsidR="00DE280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palë e Konventës në përputhje me nenin 298 të Konventës do të zbatohet për zgjidhjen e mosmarrëveshjeve sipas kësaj </w:t>
      </w:r>
      <w:r w:rsidR="00DE280A"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 xml:space="preserve">, përveç rastit kur ajo Palë, kur nënshkruan, ratifikon, miraton, pranon ose aderon në këtë Marrëveshje, ose në çdo kohë më pas, ka bërë një deklaratë të ndryshme në përputhje me nenin 298 të Konventës për zgjidhjen e mosmarrëveshjeve sipas kësaj </w:t>
      </w:r>
      <w:r w:rsidR="00DE280A"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w:t>
      </w:r>
    </w:p>
    <w:p w14:paraId="27D7D913" w14:textId="225DDB7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 Në bazë të paragrafit 2 më sipër, një Palë e kësaj Marrëveshjeje që nuk është Palë e Konventës, kur nënshkruan, ratifikon, miraton, pranon ose aderon në këtë Marrëveshje, ose në çdo kohë më pas, do të jetë e lirë të zgjedhë, me anë të një deklarate me shkrim, dorëzuar depozitarët, një ose më shumë nga mjetet e mëposhtme për zgjidhjen e mosmarrëveshjeve në lidhje me interpretimin ose zbatimin e kësaj Marrëveshjeje:</w:t>
      </w:r>
    </w:p>
    <w:p w14:paraId="1EAF734A" w14:textId="154DFCD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Gjykata Ndërkombëtare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Legjislacionit Detar;</w:t>
      </w:r>
    </w:p>
    <w:p w14:paraId="4BE69900" w14:textId="6BE8808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Gjykata Ndërkombëtare e Drejtësisë;</w:t>
      </w:r>
    </w:p>
    <w:p w14:paraId="68887AE6" w14:textId="51982B3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Shtojca VII e tribunalit të arbitrazhit;</w:t>
      </w:r>
    </w:p>
    <w:p w14:paraId="56DFCAF4" w14:textId="5AC5286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d) Një gjykatë arbitrazhi e posaçme e </w:t>
      </w:r>
      <w:r w:rsidR="00DE280A" w:rsidRPr="00126A15">
        <w:rPr>
          <w:rFonts w:ascii="Garamond" w:hAnsi="Garamond" w:cs="Garamond"/>
          <w:color w:val="000000"/>
          <w:sz w:val="24"/>
          <w:szCs w:val="24"/>
          <w:lang w:val="sq-AL"/>
        </w:rPr>
        <w:t xml:space="preserve">shtojcës </w:t>
      </w:r>
      <w:r w:rsidRPr="00126A15">
        <w:rPr>
          <w:rFonts w:ascii="Garamond" w:hAnsi="Garamond" w:cs="Garamond"/>
          <w:color w:val="000000"/>
          <w:sz w:val="24"/>
          <w:szCs w:val="24"/>
          <w:lang w:val="sq-AL"/>
        </w:rPr>
        <w:t>VIII për një ose më shumë nga kategoritë e mosmarrëveshjeve të specifikuara 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Shtojcën në fjalë.</w:t>
      </w:r>
    </w:p>
    <w:p w14:paraId="6279E714" w14:textId="1263D83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“Një Palë në këtë Marrëveshje që nuk është Palë në Konventë dhe që nuk ka bërë ndonjë deklaratë, do të konsiderohet sikur e ka pranuar alternativë e paragrafit 5 (c) më sipër. Nëse Palët në një mosmarrëveshje e kanë pranuar të njëjtën procedurë për zgjidhjen e mosmarrëveshjes, ajo mund të paraqitet vetëm në atë procedurë, përveç rastit kur palët vendosin ndryshe. Nëse palët në një mosmarrëveshje nuk e kanë pranuar të njëjtën procedurë për zgjidhjen e mosmarrëveshjes, ajo mund të paraqitet vetëm në arbitrazh sipas </w:t>
      </w:r>
      <w:r w:rsidR="005E2DD5" w:rsidRPr="00126A15">
        <w:rPr>
          <w:rFonts w:ascii="Garamond" w:hAnsi="Garamond" w:cs="Garamond"/>
          <w:color w:val="000000"/>
          <w:sz w:val="24"/>
          <w:szCs w:val="24"/>
          <w:lang w:val="sq-AL"/>
        </w:rPr>
        <w:t xml:space="preserve">shtojcës </w:t>
      </w:r>
      <w:r w:rsidRPr="00126A15">
        <w:rPr>
          <w:rFonts w:ascii="Garamond" w:hAnsi="Garamond" w:cs="Garamond"/>
          <w:color w:val="000000"/>
          <w:sz w:val="24"/>
          <w:szCs w:val="24"/>
          <w:lang w:val="sq-AL"/>
        </w:rPr>
        <w:t>VII të Konventës, përveç rastit kur Palët vendosin ndryshe. Neni 287, paragrafët 6 deri në 8, të Konventës do të zbatohen për deklaratat e bëra sipas paragrafit 5 më sipër.”</w:t>
      </w:r>
    </w:p>
    <w:p w14:paraId="79A2CE71" w14:textId="6A3AD06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7. Një Palë e kësaj Marrëveshjeje që nuk është palë e Konventës, kur të nënshkruajë, ratifikojë, miratojë, pranojë ose aderojë në këtë Marrëveshje, ose në çdo kohë më pas, pa cenuar detyrimet që rrjedhin nga kjo </w:t>
      </w:r>
      <w:r w:rsidR="005E2DD5" w:rsidRPr="00126A15">
        <w:rPr>
          <w:rFonts w:ascii="Garamond" w:hAnsi="Garamond" w:cs="Garamond"/>
          <w:color w:val="000000"/>
          <w:sz w:val="24"/>
          <w:szCs w:val="24"/>
          <w:lang w:val="sq-AL"/>
        </w:rPr>
        <w:t>pjesë</w:t>
      </w:r>
      <w:r w:rsidRPr="00126A15">
        <w:rPr>
          <w:rFonts w:ascii="Garamond" w:hAnsi="Garamond" w:cs="Garamond"/>
          <w:color w:val="000000"/>
          <w:sz w:val="24"/>
          <w:szCs w:val="24"/>
          <w:lang w:val="sq-AL"/>
        </w:rPr>
        <w:t>, mund të deklarojë me shkrim se nuk pranon</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një ose më shumë nga procedurat e parashikuara në </w:t>
      </w:r>
      <w:r w:rsidR="005E2DD5" w:rsidRPr="00126A15">
        <w:rPr>
          <w:rFonts w:ascii="Garamond" w:hAnsi="Garamond" w:cs="Garamond"/>
          <w:color w:val="000000"/>
          <w:sz w:val="24"/>
          <w:szCs w:val="24"/>
          <w:lang w:val="sq-AL"/>
        </w:rPr>
        <w:t xml:space="preserve">pjesën </w:t>
      </w:r>
      <w:r w:rsidRPr="00126A15">
        <w:rPr>
          <w:rFonts w:ascii="Garamond" w:hAnsi="Garamond" w:cs="Garamond"/>
          <w:color w:val="000000"/>
          <w:sz w:val="24"/>
          <w:szCs w:val="24"/>
          <w:lang w:val="sq-AL"/>
        </w:rPr>
        <w:t xml:space="preserve">XV, seksioni 2, i Konventës në lidhje me një ose më shumë nga kategoritë e mosmarrëveshjeve të përcaktuara në nenin 298 të Konventës për zgjidhjen e mosmarrëveshjeve sipas kësaj </w:t>
      </w:r>
      <w:r w:rsidR="005E2DD5" w:rsidRPr="00126A15">
        <w:rPr>
          <w:rFonts w:ascii="Garamond" w:hAnsi="Garamond" w:cs="Garamond"/>
          <w:color w:val="000000"/>
          <w:sz w:val="24"/>
          <w:szCs w:val="24"/>
          <w:lang w:val="sq-AL"/>
        </w:rPr>
        <w:t>pjese</w:t>
      </w:r>
      <w:r w:rsidRPr="00126A15">
        <w:rPr>
          <w:rFonts w:ascii="Garamond" w:hAnsi="Garamond" w:cs="Garamond"/>
          <w:color w:val="000000"/>
          <w:sz w:val="24"/>
          <w:szCs w:val="24"/>
          <w:lang w:val="sq-AL"/>
        </w:rPr>
        <w:t>. Neni 298 i Konventës do të zbatohet për një deklaratë të tillë.</w:t>
      </w:r>
    </w:p>
    <w:p w14:paraId="75D6BFA1" w14:textId="4F59F3E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8. Dispozitat e këtij neni nuk do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pengojnë procedurat për zgjidhjen e mosmarrëveshjeve për të cilat Palët kanë rënë dakord si pjesëmarrëse në një instrument ose kuadër ligjor përkatës, ose si anëtarë të një organi përkatës global, rajonal, lokal ose krahinor në lidhje me interpretimin ose zbatimin e instrumenteve dhe kornizave të tilla.</w:t>
      </w:r>
    </w:p>
    <w:p w14:paraId="4A8289FC" w14:textId="66946E9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9. Asgjë në këtë Marrëveshje nuk do të interpretohet si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dhënie e juridiksion një gjykate ose tribunali mbi ndonjë mosmarrëveshje që ka të bëjë ose përfshin domosdoshmërisht shqyrtimin e njëkohshëm të statusit juridik të një zone brenda juridiksionit kombëtar, as mbi ndonjë mosmarrëveshje në lidhje me sovranitetin ose të drejta të tjera mbi territorin kontinental ose ishullor ose një pretendim ndaj tij nga një Palë e kësaj Marrëveshjeje, me kusht që asgjë në këtë paragraf nuk do të interpretohet si kufizim i juridiksionit të një gjykate ose tribunali</w:t>
      </w:r>
      <w:r w:rsidR="005E2DD5"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 xml:space="preserve">sipas </w:t>
      </w:r>
      <w:r w:rsidR="005E2DD5" w:rsidRPr="00126A15">
        <w:rPr>
          <w:rFonts w:ascii="Garamond" w:hAnsi="Garamond" w:cs="Garamond"/>
          <w:color w:val="000000"/>
          <w:sz w:val="24"/>
          <w:szCs w:val="24"/>
          <w:lang w:val="sq-AL"/>
        </w:rPr>
        <w:t xml:space="preserve">pjesës </w:t>
      </w:r>
      <w:r w:rsidRPr="00126A15">
        <w:rPr>
          <w:rFonts w:ascii="Garamond" w:hAnsi="Garamond" w:cs="Garamond"/>
          <w:color w:val="000000"/>
          <w:sz w:val="24"/>
          <w:szCs w:val="24"/>
          <w:lang w:val="sq-AL"/>
        </w:rPr>
        <w:t>XV, seksioni 2, i Konventës.</w:t>
      </w:r>
    </w:p>
    <w:p w14:paraId="0CF46430" w14:textId="558152A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10. Për të shmangur dyshimin, asgjë në këtë Marrëveshje nuk do të mbështetet si bazë për të pohuar ose mohuar ndonjë pretendim për sovranitet, të drejta absolute ose juridiksion mbi tokën ose zonat detare, përfshirë çdo mosmarrëveshje në lidhje me to.</w:t>
      </w:r>
    </w:p>
    <w:p w14:paraId="16B43E8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6651AF4E" w14:textId="77777777" w:rsidR="00C0387E" w:rsidRDefault="00C0387E"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5119279E" w14:textId="77777777" w:rsidR="00C0387E" w:rsidRDefault="00C0387E"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3AAAA2F0" w14:textId="77777777" w:rsidR="00C0387E" w:rsidRDefault="00C0387E"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1BCFD0FC" w14:textId="4D11B070"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Neni 61</w:t>
      </w:r>
    </w:p>
    <w:p w14:paraId="0E91046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Marrëveshjet e përkohshme</w:t>
      </w:r>
    </w:p>
    <w:p w14:paraId="6C62A760"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1FBC046A" w14:textId="5C88239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Në pritje të zgjidhjes së një mosmarrëveshjeje në përputhje me këtë </w:t>
      </w:r>
      <w:r w:rsidR="005E2DD5" w:rsidRPr="00126A15">
        <w:rPr>
          <w:rFonts w:ascii="Garamond" w:hAnsi="Garamond" w:cs="Garamond"/>
          <w:color w:val="000000"/>
          <w:sz w:val="24"/>
          <w:szCs w:val="24"/>
          <w:lang w:val="sq-AL"/>
        </w:rPr>
        <w:t>pjesë</w:t>
      </w:r>
      <w:r w:rsidRPr="00126A15">
        <w:rPr>
          <w:rFonts w:ascii="Garamond" w:hAnsi="Garamond" w:cs="Garamond"/>
          <w:color w:val="000000"/>
          <w:sz w:val="24"/>
          <w:szCs w:val="24"/>
          <w:lang w:val="sq-AL"/>
        </w:rPr>
        <w:t>, palët në mosmarrëveshje do të bëjnë çdo përpjekje për të hyrë në marrëveshje të përkohshme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racionale.</w:t>
      </w:r>
    </w:p>
    <w:p w14:paraId="6EFC94A7" w14:textId="77777777" w:rsidR="00843D8E" w:rsidRPr="00126A15" w:rsidRDefault="00843D8E"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B0217C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X</w:t>
      </w:r>
    </w:p>
    <w:p w14:paraId="6A56C26C" w14:textId="6DC96B48"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PALËT JO</w:t>
      </w:r>
      <w:r w:rsidR="00843D8E" w:rsidRPr="00126A15">
        <w:rPr>
          <w:rFonts w:ascii="Garamond" w:hAnsi="Garamond" w:cs="Garamond"/>
          <w:color w:val="000000"/>
          <w:sz w:val="24"/>
          <w:szCs w:val="24"/>
          <w:lang w:val="sq-AL"/>
        </w:rPr>
        <w:t>PËRFSHIRËSE</w:t>
      </w:r>
      <w:r w:rsidRPr="00126A15">
        <w:rPr>
          <w:rFonts w:ascii="Garamond" w:hAnsi="Garamond" w:cs="Garamond"/>
          <w:color w:val="000000"/>
          <w:sz w:val="24"/>
          <w:szCs w:val="24"/>
          <w:lang w:val="sq-AL"/>
        </w:rPr>
        <w:t xml:space="preserve"> NË KËTË MARRËVESHJE</w:t>
      </w:r>
    </w:p>
    <w:p w14:paraId="1D6D8B9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0E91F2D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62</w:t>
      </w:r>
    </w:p>
    <w:p w14:paraId="101DA555" w14:textId="6325A1CA"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Palët jopërfshirëse në këtë Marrëveshje</w:t>
      </w:r>
    </w:p>
    <w:p w14:paraId="5C5C5A1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DF8DE46"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Palët do të inkurajojnë palët jo përfshirëse në këtë Marrëveshje që të bëhen palë në të dhe të miratojnë ligje dhe rregulla në përputhje me dispozitat e saj.</w:t>
      </w:r>
    </w:p>
    <w:p w14:paraId="2F740CE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220D6B6"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XI</w:t>
      </w:r>
    </w:p>
    <w:p w14:paraId="10D9CC34" w14:textId="760D0E4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bookmarkStart w:id="1" w:name="_GoBack"/>
      <w:bookmarkEnd w:id="1"/>
      <w:r w:rsidRPr="00126A15">
        <w:rPr>
          <w:rFonts w:ascii="Garamond" w:hAnsi="Garamond" w:cs="Garamond"/>
          <w:color w:val="000000"/>
          <w:sz w:val="24"/>
          <w:szCs w:val="24"/>
          <w:lang w:val="sq-AL"/>
        </w:rPr>
        <w:t>MIRËBESIMI DHE SHKELJA E TË DREJTAVE</w:t>
      </w:r>
    </w:p>
    <w:p w14:paraId="0E7B9054"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355CAB2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63</w:t>
      </w:r>
    </w:p>
    <w:p w14:paraId="3F1EB954" w14:textId="35BCAD4E"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Mirëbesimi dhe shkelja e të drejtave</w:t>
      </w:r>
    </w:p>
    <w:p w14:paraId="18B8B44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0E86C00"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Palët do të përmbushin me mirëbesim detyrimet e pranuara në bazë të kësaj Marrëveshjeje dhe do të ushtrojnë të drejtat e njohura në të në një mënyrë që nuk do të përbënte abuzim të së drejtës.</w:t>
      </w:r>
    </w:p>
    <w:p w14:paraId="6F83E090"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314AE6B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PJESA XII</w:t>
      </w:r>
    </w:p>
    <w:p w14:paraId="2182610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DISPOZITAT PËRFUNDIMTARE</w:t>
      </w:r>
    </w:p>
    <w:p w14:paraId="21D16C9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A3F99E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64</w:t>
      </w:r>
    </w:p>
    <w:p w14:paraId="7500CDF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E drejta për të votuar</w:t>
      </w:r>
    </w:p>
    <w:p w14:paraId="3AEB92C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A6A4F07" w14:textId="3E785F0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Secila Palë e kësaj Marrëveshjeje do të ketë një votë, me përjashtim të rasteve të parashikuara në paragrafin 2 më poshtë.</w:t>
      </w:r>
    </w:p>
    <w:p w14:paraId="5B66B9F9" w14:textId="52B6CCC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Një organizatë rajonale e integrimit ekonomik Palë në këtë Marrëveshje, për çështjet brenda kompetencës së saj, do të ushtrojë të drejtën e saj për të votuar me një numër votash të barabartë me numrin e shteteve të saj anëtare që janë Palë në këtë Marrëveshje. Një organizatë e tillë nuk do të ushtrojë të drejtën e saj për të votuar nëse ndonjë nga shtetet e saj anëtare ushtron të drejtën e votës dhe anasjelltas.</w:t>
      </w:r>
    </w:p>
    <w:p w14:paraId="0EF97E2B" w14:textId="77777777" w:rsidR="00F205CF" w:rsidRPr="00126A15" w:rsidRDefault="00F205CF" w:rsidP="00927FAE">
      <w:pPr>
        <w:autoSpaceDE w:val="0"/>
        <w:autoSpaceDN w:val="0"/>
        <w:adjustRightInd w:val="0"/>
        <w:spacing w:after="0" w:line="240" w:lineRule="auto"/>
        <w:ind w:firstLine="284"/>
        <w:rPr>
          <w:rFonts w:ascii="Garamond" w:hAnsi="Garamond" w:cs="Garamond"/>
          <w:color w:val="000000"/>
          <w:sz w:val="24"/>
          <w:szCs w:val="24"/>
          <w:lang w:val="sq-AL"/>
        </w:rPr>
      </w:pPr>
    </w:p>
    <w:p w14:paraId="146A0300"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65</w:t>
      </w:r>
    </w:p>
    <w:p w14:paraId="4201E680"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Nënshkrimi</w:t>
      </w:r>
    </w:p>
    <w:p w14:paraId="5DF48B9F"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99D4BC6" w14:textId="287E99B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Kjo Marrëveshje do të jetë e hapur për nënshkrim nga të gjitha shtetet dhe organizatat rajonale të integrimit ekonomik nga 20 shtatori 2023 dhe do të qëndrojë e hapur për nënshkrim në selinë e Kombeve të Bashkuara në Nju</w:t>
      </w:r>
      <w:r w:rsidR="005E2DD5"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Jork deri më 20 shtator 2025.</w:t>
      </w:r>
    </w:p>
    <w:p w14:paraId="7270ABD1"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677C564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66</w:t>
      </w:r>
    </w:p>
    <w:p w14:paraId="2807BF0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Ratifikimi, miratimi, pranimi dhe anëtarësimi</w:t>
      </w:r>
    </w:p>
    <w:p w14:paraId="4C3887C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2FBE7A8C"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Kjo Marrëveshje do t’i nënshtrohet ratifikimit, miratimit ose pranimit nga shtetet dhe organizatat rajonale të integrimit ekonomik. Ajo do të jetë e hapur për aderim nga shtetet dhe organizatat rajonale të integrimit ekonomik që nga dita pas datës në të cilën Marrëveshja mbyllet për nënshkrim. Instrumentet e ratifikimit, miratimit, pranimit dhe aderimit do të depozitohen pranë Sekretarit të Përgjithshëm të Kombeve të Bashkuara.</w:t>
      </w:r>
    </w:p>
    <w:p w14:paraId="397013BE"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BB2336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67</w:t>
      </w:r>
    </w:p>
    <w:p w14:paraId="1AB791CD"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Ndarja e kompetencave të organizatave rajonale të integrimit ekonomik dhe shteteve të tyre anëtare në lidhje me çështjet e rregulluara nga kjo Marrëveshje</w:t>
      </w:r>
    </w:p>
    <w:p w14:paraId="0F61137B"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A351D65" w14:textId="4DB1156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Çdo organizatë rajonale e integrimit ekonomik që bëhet palë e kësaj Marrëveshjeje pa qenë Palë me asnjë nga shtetet e saj anëtare, do t’ju nënshtrohet të gjitha detyrimeve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që rrjedhin nga kjo Marrëveshjeje. Në rastin e organizatave të tilla, një ose më shumë nga shtetet anëtare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palë të kësaj Marrëveshje</w:t>
      </w:r>
      <w:r w:rsidR="00C266AB">
        <w:rPr>
          <w:rFonts w:ascii="Garamond" w:hAnsi="Garamond" w:cs="Garamond"/>
          <w:color w:val="000000"/>
          <w:sz w:val="24"/>
          <w:szCs w:val="24"/>
          <w:lang w:val="sq-AL"/>
        </w:rPr>
        <w:t>je</w:t>
      </w:r>
      <w:r w:rsidRPr="00126A15">
        <w:rPr>
          <w:rFonts w:ascii="Garamond" w:hAnsi="Garamond" w:cs="Garamond"/>
          <w:color w:val="000000"/>
          <w:sz w:val="24"/>
          <w:szCs w:val="24"/>
          <w:lang w:val="sq-AL"/>
        </w:rPr>
        <w:t>, organizata dhe shtetet e saj anëtare do të vendosin mbi përgjegjësitë e tyre përkatëse për përmbushjen e detyrimeve të tyre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që rrjedhin nga kjo Marrëveshjeje. Në raste të tilla, organizata dhe shtetet anëtare nuk kenë të drejtë të ushtrojnë njëkohësisht të drejtat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që rrjedhin nga kjo</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Marrëveshjeje.</w:t>
      </w:r>
    </w:p>
    <w:p w14:paraId="02B558A7" w14:textId="4706C62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Në instrumentin e saj të ratifikimit, miratimit, pranimit ose aderimit, një organizatë rajonale e integrimit ekonomik do të deklarojë shtrirjen e kompetencës së saj në lidhje me çështjet e rregulluara nga kjo Marrëveshje. Çdo organizatë e tillë do të informojë</w:t>
      </w:r>
      <w:r w:rsidR="00835E44"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gjithashtu</w:t>
      </w:r>
      <w:r w:rsidR="00835E44"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depozitarin, i cili nga ana e tij do të informojë Palët, për çdo modifikim përkatës të shtrirjes së kompetencës së saj. </w:t>
      </w:r>
    </w:p>
    <w:p w14:paraId="0216B18C"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3BA6082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68</w:t>
      </w:r>
    </w:p>
    <w:p w14:paraId="6B9384C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Hyrja në fuqi</w:t>
      </w:r>
    </w:p>
    <w:p w14:paraId="155A66F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82DF2DE" w14:textId="74ADE91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Kjo Marrëveshje do të hyjë në fuqi 120 ditë pas datës së depozitimit të instrumentit të gjashtëdhjetë të ratifikimit, miratimit, pranimit ose aderimit.</w:t>
      </w:r>
    </w:p>
    <w:p w14:paraId="25CB0B43" w14:textId="64B989E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Për çdo shtet ose organizatë rajonale të integrimit ekonomik që ratifikon, miraton ose pranon këtë Marrëveshje ose aderon në të pas depozitimit të instrumentit të gjashtëdhjetë të ratifikimit, miratimit, pranimit ose aderimit, kjo Marrëveshje do të hyjë në fuqi në ditën e tridhjetë pas depozitimit të instrumentit të saj të ratifikimit, miratimit, pranimit ose aderimit, subjekt i paragrafit 1 më sipër.</w:t>
      </w:r>
    </w:p>
    <w:p w14:paraId="797BD04B" w14:textId="2D95C43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Për qëllimet e paragrafëve 1 dhe 2 më sipër, çdo instrument i depozituar nga një organizatë rajonale e integrimit ekonomik nuk do të llogaritet si shtesë ndaj atyre të depozituara nga shtetet anëtare të asaj organizate.</w:t>
      </w:r>
    </w:p>
    <w:p w14:paraId="1DF2CDFA"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6D4A5B3"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69</w:t>
      </w:r>
    </w:p>
    <w:p w14:paraId="26E5682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Aplikimi i përkohshëm</w:t>
      </w:r>
    </w:p>
    <w:p w14:paraId="49D91C0C"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915D293" w14:textId="3893790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Kjo Marrëveshje mund të zbatohet përkohësisht nga një shtet ose organizatë rajonale e integrimit ekonomik që jep pëlqimin për zbatimin e përkohshëm të saj</w:t>
      </w:r>
      <w:r w:rsidR="00D63E13"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duke e njoftuar me shkrim depozitarin në momentin e nënshkrimit ose depozitimit të instrumentit të tij të ratifikimit, miratimit, pranimit ose aderimit. Një aplikim i tillë i përkohshëm do të hyjë në fuqi nga data e marrjes së njoftimit nga depozitari.</w:t>
      </w:r>
    </w:p>
    <w:p w14:paraId="453C1F8D" w14:textId="6485F4A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Aplikimi i përkohshëm nga një shtet ose organizatë rajonale e integrimit ekonomik do të përfundojë me hyrjen në fuqi të kësaj Marrëveshjeje për atë shtet ose organizatë rajonale të integrimit ekonomik ose pas njoftimit me shkrim të depozitarit nga ai shtet ose organizatë rajonale e integrimit ekonomik</w:t>
      </w:r>
      <w:r w:rsidR="009C279D"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me qëllimin e përfundimit të aplikimit të përkohshëm.</w:t>
      </w:r>
    </w:p>
    <w:p w14:paraId="2E934F5F"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6458BF9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Neni 70</w:t>
      </w:r>
    </w:p>
    <w:p w14:paraId="3BBBA42E"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Rezerva dhe përjashtime</w:t>
      </w:r>
    </w:p>
    <w:p w14:paraId="289650C1"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9A4C000"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r w:rsidRPr="00126A15">
        <w:rPr>
          <w:rFonts w:ascii="Garamond" w:hAnsi="Garamond" w:cs="Garamond"/>
          <w:color w:val="000000"/>
          <w:sz w:val="24"/>
          <w:szCs w:val="24"/>
          <w:lang w:val="sq-AL"/>
        </w:rPr>
        <w:t>Asnjë rezervë ose përjashtim nuk mund të ketë në këtë Marrëveshje, përveç rastit kur lejohet shprehimisht nga nene të tjerë të kësaj Marrëveshjeje.</w:t>
      </w:r>
    </w:p>
    <w:p w14:paraId="30668935"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68AA7B7C"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71</w:t>
      </w:r>
    </w:p>
    <w:p w14:paraId="6F503DF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Deklaratat dhe qëndrimet</w:t>
      </w:r>
    </w:p>
    <w:p w14:paraId="7465A7C8"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7AE2A474" w14:textId="79CBFD1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Neni 70 nuk e pengon një shtet ose organizatë rajonale të integrimit ekonomik, kur nënshkruan, ratifikon, miraton, pranon ose aderon në këtë Marrëveshje, që të bëjë deklarata ose </w:t>
      </w:r>
      <w:r w:rsidR="009744EA" w:rsidRPr="00126A15">
        <w:rPr>
          <w:rFonts w:ascii="Garamond" w:hAnsi="Garamond" w:cs="Garamond"/>
          <w:color w:val="000000"/>
          <w:sz w:val="24"/>
          <w:szCs w:val="24"/>
          <w:lang w:val="sq-AL"/>
        </w:rPr>
        <w:t>qëndrime</w:t>
      </w:r>
      <w:r w:rsidRPr="00126A15">
        <w:rPr>
          <w:rFonts w:ascii="Garamond" w:hAnsi="Garamond" w:cs="Garamond"/>
          <w:color w:val="000000"/>
          <w:sz w:val="24"/>
          <w:szCs w:val="24"/>
          <w:lang w:val="sq-AL"/>
        </w:rPr>
        <w:t>, pavarësisht nga formulimi ose emërtimi, me synimin, ndër të tjera,</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harmonizimit të ligjeve dhe rregullat e saj me dispozitat e kësaj Marrëveshjeje, me kusht që deklarata ose qëndrime të tilla të mos synojnë të përjashtojnë ose modifikojnë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fuqinë juridike të dispozitave të kësaj Marrëveshjeje në zbatimin e tyre ndaj atij shteti ose organizate rajonale të integrimit ekonomik.</w:t>
      </w:r>
    </w:p>
    <w:p w14:paraId="63CBFFA2"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5C36357" w14:textId="77777777" w:rsidR="001E09AF" w:rsidRPr="00126A15" w:rsidRDefault="001E09AF"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241ACFAE" w14:textId="2282FA2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72</w:t>
      </w:r>
    </w:p>
    <w:p w14:paraId="339E1A4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Ndryshimi</w:t>
      </w:r>
    </w:p>
    <w:p w14:paraId="53630E5A"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1A2A7681" w14:textId="0580AFA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Një Palë, me anë të një komunikimi me shkrim drejtuar sekretariatit, mund të propozojë ndryshime në këtë Marrëveshje. Sekretariati do të qarkullojë një komunikim të tillë te të gjitha Palët. Nëse, brenda gjashtë muajve nga data e qarkullimit të komunikimit, jo më pak se gjysma e Palëve janë pro kërkesës, ndryshimi i propozuar do të shqyrtohet në takimin e ardhshëm të Konferencës së Palëve.</w:t>
      </w:r>
    </w:p>
    <w:p w14:paraId="6A10E43D" w14:textId="1438472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Një ndryshim i kësaj Marrëveshjeje i miratuar në përputhje me nenin 47 do t’u komunikohet nga depozitari të gjitha Palëve për ratifikim, miratim ose pranim.</w:t>
      </w:r>
    </w:p>
    <w:p w14:paraId="2510ECE7" w14:textId="1669B1C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3. Ndryshimet e kësaj Marrëveshjeje do të hyjnë në fuqi për Palët që i ratifikojnë, miratojnë ose i pranojnë ato në ditën e tridhjetë pas depozitimit të instrumenteve të ratifikimit, miratimit ose pranimit nga dy të tretat e numrit të Palëve në këtë Marrëveshje në momentin e miratimit të ndryshimit. Më pas, për secilën Palë që depoziton instrumentin e saj të ratifikimit, miratimit ose pranimit të një ndryshimi pas depozitimit të numrit të kërkuar të këtyre instrumenteve, ndryshimi do të hyjë në fuqi në ditën e tridhjetë pas depozitimit të instrumentit të saj të ratifikimit, miratimit ose pranimit.</w:t>
      </w:r>
    </w:p>
    <w:p w14:paraId="155D0D3F" w14:textId="665D180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Një ndryshim mund të parashikojë, në momentin e miratimit të tij, që një numër më i vogël ose më i madh ratifikimesh, miratimesh ose pranimesh do të kërkohet për hyrjen e tij në fuqi nga sa kërkohet sipas këtij neni.</w:t>
      </w:r>
    </w:p>
    <w:p w14:paraId="2DD1EDA0" w14:textId="30FE6B1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5.</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Duke u mbështetur në paragrafët 3 dhe 4 më sipër, çdo instrument i depozituar nga një organizatë rajonale e integrimit ekonomik nuk do të llogaritet si shtesë ndaj atyre të depozituara nga shtetet anëtare të asaj organizate.</w:t>
      </w:r>
    </w:p>
    <w:p w14:paraId="6995CE64" w14:textId="34DF494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6. Një shtet ose organizatë rajonale e integrimit ekonomik që bëhet Palë e kësaj Marrëveshjeje pas hyrjes në fuqi të ndryshimeve</w:t>
      </w:r>
      <w:r w:rsidR="00CD7660"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paragrafin 3 më sipër, nëse nuk shpreh një qëllim të ndryshëm nga ai shtet ose organizatë rajonale e integrimit ekonomik:</w:t>
      </w:r>
    </w:p>
    <w:p w14:paraId="331BC62B" w14:textId="79234D9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CD7660" w:rsidRPr="00126A15">
        <w:rPr>
          <w:rFonts w:ascii="Garamond" w:hAnsi="Garamond" w:cs="Garamond"/>
          <w:color w:val="000000"/>
          <w:sz w:val="24"/>
          <w:szCs w:val="24"/>
          <w:lang w:val="sq-AL"/>
        </w:rPr>
        <w:t xml:space="preserve">të </w:t>
      </w:r>
      <w:r w:rsidRPr="00126A15">
        <w:rPr>
          <w:rFonts w:ascii="Garamond" w:hAnsi="Garamond" w:cs="Garamond"/>
          <w:color w:val="000000"/>
          <w:sz w:val="24"/>
          <w:szCs w:val="24"/>
          <w:lang w:val="sq-AL"/>
        </w:rPr>
        <w:t>konsiderohet si Palë e kësaj Marrëveshjeje e ndryshuar;</w:t>
      </w:r>
    </w:p>
    <w:p w14:paraId="4B8E326B" w14:textId="283C800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CD7660" w:rsidRPr="00126A15">
        <w:rPr>
          <w:rFonts w:ascii="Garamond" w:hAnsi="Garamond" w:cs="Garamond"/>
          <w:color w:val="000000"/>
          <w:sz w:val="24"/>
          <w:szCs w:val="24"/>
          <w:lang w:val="sq-AL"/>
        </w:rPr>
        <w:t xml:space="preserve">konsiderohet </w:t>
      </w:r>
      <w:r w:rsidRPr="00126A15">
        <w:rPr>
          <w:rFonts w:ascii="Garamond" w:hAnsi="Garamond" w:cs="Garamond"/>
          <w:color w:val="000000"/>
          <w:sz w:val="24"/>
          <w:szCs w:val="24"/>
          <w:lang w:val="sq-AL"/>
        </w:rPr>
        <w:t>si Palë në Marrëveshjen e pandryshuar në lidhje me çdo Palë që nuk është e detyruar nga ndryshimi.</w:t>
      </w:r>
    </w:p>
    <w:p w14:paraId="293101B3"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1FE4D9ED" w14:textId="77777777" w:rsidR="00C0387E" w:rsidRDefault="00C0387E"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0E827DBA" w14:textId="77777777" w:rsidR="00C0387E" w:rsidRDefault="00C0387E" w:rsidP="00927FAE">
      <w:pPr>
        <w:autoSpaceDE w:val="0"/>
        <w:autoSpaceDN w:val="0"/>
        <w:adjustRightInd w:val="0"/>
        <w:spacing w:after="0" w:line="240" w:lineRule="auto"/>
        <w:ind w:firstLine="284"/>
        <w:jc w:val="center"/>
        <w:rPr>
          <w:rFonts w:ascii="Garamond" w:hAnsi="Garamond" w:cs="Garamond"/>
          <w:color w:val="000000"/>
          <w:sz w:val="24"/>
          <w:szCs w:val="24"/>
          <w:lang w:val="sq-AL"/>
        </w:rPr>
      </w:pPr>
    </w:p>
    <w:p w14:paraId="581AE6CC" w14:textId="29892CA5"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73</w:t>
      </w:r>
    </w:p>
    <w:p w14:paraId="1B1517D9"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lastRenderedPageBreak/>
        <w:t>Denoncimi</w:t>
      </w:r>
    </w:p>
    <w:p w14:paraId="13409D5A"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0E13E0B" w14:textId="56B960A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1. Një Palë, me anë të një njoftimi me shkrim drejtuar Sekretarit të Përgjithshëm të Kombeve të Bashkuara, mund ta denoncojë këtë Marrëveshje dhe mund të tregojë arsyet e saj. Neglizhenca për të treguar arsyet nuk ndikon në vlefshmërinë e denoncimit. Denoncimi do të hyjë në fuqi një vit pas datës së marrjes së njoftimit, përveç rastit kur njoftimi specifikon një datë të mëvonshme.</w:t>
      </w:r>
    </w:p>
    <w:p w14:paraId="4C15F640" w14:textId="4566F52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2. Denoncimi nuk do të ndikojë në asnjë mënyrë në angazhimet e asnjërës Palë për të përmbushur ndonjë detyrim të mishëruar në këtë Marrëveshje, të cilit ai do t’i nënshtrohej sipas </w:t>
      </w:r>
      <w:r w:rsidR="00232D0F" w:rsidRPr="00126A15">
        <w:rPr>
          <w:rFonts w:ascii="Garamond" w:hAnsi="Garamond" w:cs="Garamond"/>
          <w:color w:val="000000"/>
          <w:sz w:val="24"/>
          <w:szCs w:val="24"/>
          <w:lang w:val="sq-AL"/>
        </w:rPr>
        <w:t>s</w:t>
      </w:r>
      <w:r w:rsidRPr="00126A15">
        <w:rPr>
          <w:rFonts w:ascii="Garamond" w:hAnsi="Garamond" w:cs="Garamond"/>
          <w:color w:val="000000"/>
          <w:sz w:val="24"/>
          <w:szCs w:val="24"/>
          <w:lang w:val="sq-AL"/>
        </w:rPr>
        <w:t xml:space="preserve">ë drejtës ndërkombëtare, pavarësisht nga kjo Marrëveshje. </w:t>
      </w:r>
    </w:p>
    <w:p w14:paraId="0194CF51"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44E216A4"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74</w:t>
      </w:r>
    </w:p>
    <w:p w14:paraId="308B5E9B"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Shtojcat</w:t>
      </w:r>
    </w:p>
    <w:p w14:paraId="6DB93B1F"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61DF3CB" w14:textId="05E82B3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1. Shtojcat përbëjnë një pjesë integrale të kësaj Marrëveshjeje dhe, nëse nuk parashikohet shprehimisht ndryshe, një referencë ndaj kësaj Marrëveshjeje ose një prej pjesëve të saj do të përfshijë një referencë në </w:t>
      </w:r>
      <w:r w:rsidR="00033CB0" w:rsidRPr="00126A15">
        <w:rPr>
          <w:rFonts w:ascii="Garamond" w:hAnsi="Garamond" w:cs="Garamond"/>
          <w:color w:val="000000"/>
          <w:sz w:val="24"/>
          <w:szCs w:val="24"/>
          <w:lang w:val="sq-AL"/>
        </w:rPr>
        <w:t xml:space="preserve">shtojcat </w:t>
      </w:r>
      <w:r w:rsidRPr="00126A15">
        <w:rPr>
          <w:rFonts w:ascii="Garamond" w:hAnsi="Garamond" w:cs="Garamond"/>
          <w:color w:val="000000"/>
          <w:sz w:val="24"/>
          <w:szCs w:val="24"/>
          <w:lang w:val="sq-AL"/>
        </w:rPr>
        <w:t>që lidhen me të.</w:t>
      </w:r>
      <w:r w:rsidR="007A5D58" w:rsidRPr="00126A15">
        <w:rPr>
          <w:rFonts w:ascii="Garamond" w:hAnsi="Garamond" w:cs="Garamond"/>
          <w:color w:val="000000"/>
          <w:sz w:val="24"/>
          <w:szCs w:val="24"/>
          <w:lang w:val="sq-AL"/>
        </w:rPr>
        <w:t xml:space="preserve"> </w:t>
      </w:r>
    </w:p>
    <w:p w14:paraId="761EA35C" w14:textId="2813A90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2. Dispozitat e nenit 72 në lidhje me ndryshimin e kësaj Marrëveshjeje do të zbatohen</w:t>
      </w:r>
      <w:r w:rsidR="00033CB0"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gjithashtu</w:t>
      </w:r>
      <w:r w:rsidR="00033CB0"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për propozimin, miratimin dhe hyrjen në fuqi të një shtojce të re të Marrëveshjes.</w:t>
      </w:r>
    </w:p>
    <w:p w14:paraId="106E00ED" w14:textId="56FA12E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3. Çdo Palë mund të propozojë një ndryshim në çdo </w:t>
      </w:r>
      <w:r w:rsidR="00033CB0" w:rsidRPr="00126A15">
        <w:rPr>
          <w:rFonts w:ascii="Garamond" w:hAnsi="Garamond" w:cs="Garamond"/>
          <w:color w:val="000000"/>
          <w:sz w:val="24"/>
          <w:szCs w:val="24"/>
          <w:lang w:val="sq-AL"/>
        </w:rPr>
        <w:t xml:space="preserve">shtojcë </w:t>
      </w:r>
      <w:r w:rsidRPr="00126A15">
        <w:rPr>
          <w:rFonts w:ascii="Garamond" w:hAnsi="Garamond" w:cs="Garamond"/>
          <w:color w:val="000000"/>
          <w:sz w:val="24"/>
          <w:szCs w:val="24"/>
          <w:lang w:val="sq-AL"/>
        </w:rPr>
        <w:t>të kësaj Marrëveshje</w:t>
      </w:r>
      <w:r w:rsidR="00364790">
        <w:rPr>
          <w:rFonts w:ascii="Garamond" w:hAnsi="Garamond" w:cs="Garamond"/>
          <w:color w:val="000000"/>
          <w:sz w:val="24"/>
          <w:szCs w:val="24"/>
          <w:lang w:val="sq-AL"/>
        </w:rPr>
        <w:t>je</w:t>
      </w:r>
      <w:r w:rsidRPr="00126A15">
        <w:rPr>
          <w:rFonts w:ascii="Garamond" w:hAnsi="Garamond" w:cs="Garamond"/>
          <w:color w:val="000000"/>
          <w:sz w:val="24"/>
          <w:szCs w:val="24"/>
          <w:lang w:val="sq-AL"/>
        </w:rPr>
        <w:t xml:space="preserve"> për shqyrtim në takimin e ardhshëm të Konferencës së Palëve. Shtojcat mund të ndryshohen nga Konferenca e Palëve. Pavarësisht nga dispozitat e nenit 72, dispozitat e mëposhtme do të zbatohen në lidhje me ndryshimet në </w:t>
      </w:r>
      <w:r w:rsidR="00033CB0" w:rsidRPr="00126A15">
        <w:rPr>
          <w:rFonts w:ascii="Garamond" w:hAnsi="Garamond" w:cs="Garamond"/>
          <w:color w:val="000000"/>
          <w:sz w:val="24"/>
          <w:szCs w:val="24"/>
          <w:lang w:val="sq-AL"/>
        </w:rPr>
        <w:t xml:space="preserve">shtojcat </w:t>
      </w:r>
      <w:r w:rsidRPr="00126A15">
        <w:rPr>
          <w:rFonts w:ascii="Garamond" w:hAnsi="Garamond" w:cs="Garamond"/>
          <w:color w:val="000000"/>
          <w:sz w:val="24"/>
          <w:szCs w:val="24"/>
          <w:lang w:val="sq-AL"/>
        </w:rPr>
        <w:t>e kësaj Marrëveshjeje:</w:t>
      </w:r>
    </w:p>
    <w:p w14:paraId="67264B5A" w14:textId="03997E8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Teksti i ndryshimit të propozuar do t’i komunikohet sekretariatit të paktën 150 ditë përpara mbledhjes. Sekretariati, me marrjen e tekstit të ndryshimit të propozuar, ua komunikon atë Palëve. Sekretariati do të konsultohet me organet përkatëse ndihmëse, sipas nevojës, dhe do t’u komunikojë çdo përgjigje të gjitha Palëve jo më vonë se 30 ditë përpara takimit;</w:t>
      </w:r>
    </w:p>
    <w:p w14:paraId="4325B1EF" w14:textId="4405749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Ndryshimet e miratuara në një takim do të hyjnë në fuqi 180 ditë pas mbylljes së atij takimi për të gjitha Palët, përveç atyre që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kanë ndonjë ankesë</w:t>
      </w:r>
      <w:r w:rsidR="00033CB0"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në përputhje me paragrafin 4 më poshtë.</w:t>
      </w:r>
    </w:p>
    <w:p w14:paraId="1827E96E" w14:textId="207FAB5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4. Gjatë periudhës prej 180 ditësh të parashikuar në paragrafin 3 (b) më sipër, çdo Palë, duke njoftuar me shkrim depozitarin, mund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bëjnë ndonjë ankesë në lidhje me ndryshimin. Një ankesë e tillë mund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revokohet në çdo kohë me një njoftim me shkrim depozitarit dhe, pas kësaj, ndryshimi i Shtojcës do të hyjë në fuqi për atë Palë në ditën e tridhjetë pas datës së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revokimit të ankesës.</w:t>
      </w:r>
    </w:p>
    <w:p w14:paraId="4E32DF00"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0A1EC21"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75</w:t>
      </w:r>
    </w:p>
    <w:p w14:paraId="2EEC5B6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Depozitari</w:t>
      </w:r>
    </w:p>
    <w:p w14:paraId="3C7B0E61"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57E36D2A"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Sekretari i Përgjithshëm i Kombeve të Bashkuara do të jetë depozitari i kësaj Marrëveshjeje dhe çdo ndryshimi apo rishikimi të saj.</w:t>
      </w:r>
    </w:p>
    <w:p w14:paraId="4ADFBA80"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04029CF7"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Neni 76</w:t>
      </w:r>
    </w:p>
    <w:p w14:paraId="734C68C0"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126A15">
        <w:rPr>
          <w:rFonts w:ascii="Garamond" w:hAnsi="Garamond" w:cs="Garamond"/>
          <w:b/>
          <w:bCs/>
          <w:color w:val="000000"/>
          <w:sz w:val="24"/>
          <w:szCs w:val="24"/>
          <w:lang w:val="sq-AL"/>
        </w:rPr>
        <w:t>Tekste autentike</w:t>
      </w:r>
    </w:p>
    <w:p w14:paraId="555B705B"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2FF22E66" w14:textId="7CBA98F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Tekstet në arabisht, kinezisht, anglisht, frëngjisht, rusisht dhe spanjisht të kësaj Marrëveshjeje janë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me të njëjtën vlerë si teksti në anglisht.</w:t>
      </w:r>
    </w:p>
    <w:p w14:paraId="78EAC2A3" w14:textId="77777777" w:rsidR="00F205CF" w:rsidRPr="00126A15" w:rsidRDefault="00F205CF" w:rsidP="00927FAE">
      <w:pPr>
        <w:autoSpaceDE w:val="0"/>
        <w:autoSpaceDN w:val="0"/>
        <w:adjustRightInd w:val="0"/>
        <w:spacing w:after="0" w:line="240" w:lineRule="auto"/>
        <w:ind w:firstLine="284"/>
        <w:rPr>
          <w:rFonts w:ascii="Garamond" w:hAnsi="Garamond" w:cs="Garamond"/>
          <w:b/>
          <w:bCs/>
          <w:color w:val="000000"/>
          <w:sz w:val="24"/>
          <w:szCs w:val="24"/>
          <w:lang w:val="sq-AL"/>
        </w:rPr>
      </w:pPr>
    </w:p>
    <w:p w14:paraId="6139E145" w14:textId="77777777" w:rsidR="00F205CF" w:rsidRPr="00126A15" w:rsidRDefault="009744EA"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SHTOJCA I</w:t>
      </w:r>
    </w:p>
    <w:p w14:paraId="596F33B8" w14:textId="37CECB2E" w:rsidR="00F205CF" w:rsidRPr="00126A15" w:rsidRDefault="009744EA"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KRITERET TREGUESE PËR IDENTIFIKIMIN E ZONAVE</w:t>
      </w:r>
    </w:p>
    <w:p w14:paraId="1A2011F5"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B5D9DFF" w14:textId="13557BF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a) Njësimi;</w:t>
      </w:r>
    </w:p>
    <w:p w14:paraId="3183301B" w14:textId="5181FE9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Rrallësia;</w:t>
      </w:r>
    </w:p>
    <w:p w14:paraId="10D947F0" w14:textId="031189E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Rëndësi të veçantë për fazat historike të jetesës së specieve;</w:t>
      </w:r>
    </w:p>
    <w:p w14:paraId="7AA98AA4" w14:textId="52E3431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 Rëndësia e veçantë e specieve që gjenden aty;</w:t>
      </w:r>
    </w:p>
    <w:p w14:paraId="5538A838" w14:textId="7391DF1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e) Rëndësia e specieve ose habitateve të kërcënuara, të rrezikuara ose në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tkurrje;</w:t>
      </w:r>
    </w:p>
    <w:p w14:paraId="799A42E2" w14:textId="66A8069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f) C</w:t>
      </w:r>
      <w:r w:rsidR="009744EA" w:rsidRPr="00126A15">
        <w:rPr>
          <w:rFonts w:ascii="Garamond" w:hAnsi="Garamond" w:cs="Garamond"/>
          <w:color w:val="000000"/>
          <w:sz w:val="24"/>
          <w:szCs w:val="24"/>
          <w:lang w:val="sq-AL"/>
        </w:rPr>
        <w:t>e</w:t>
      </w:r>
      <w:r w:rsidRPr="00126A15">
        <w:rPr>
          <w:rFonts w:ascii="Garamond" w:hAnsi="Garamond" w:cs="Garamond"/>
          <w:color w:val="000000"/>
          <w:sz w:val="24"/>
          <w:szCs w:val="24"/>
          <w:lang w:val="sq-AL"/>
        </w:rPr>
        <w:t>nueshmëria, duke përfshirë ndryshimin klimaterik dhe acidifikimin e oqeanit;</w:t>
      </w:r>
    </w:p>
    <w:p w14:paraId="2E04D070" w14:textId="062E901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g) Brishtësia;</w:t>
      </w:r>
    </w:p>
    <w:p w14:paraId="09BD27BE" w14:textId="5711DAD2"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h) Sensibiliteti;</w:t>
      </w:r>
    </w:p>
    <w:p w14:paraId="38AA4957" w14:textId="63048FD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 Diversiteti biologjik dhe produktiviteti;</w:t>
      </w:r>
    </w:p>
    <w:p w14:paraId="77CC539D" w14:textId="410E237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j) Përfaqësueshmëria;</w:t>
      </w:r>
    </w:p>
    <w:p w14:paraId="74B09309" w14:textId="56742EB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k) Vartësia;</w:t>
      </w:r>
    </w:p>
    <w:p w14:paraId="3505BAC7" w14:textId="423177E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l) Natyrshmëria;</w:t>
      </w:r>
    </w:p>
    <w:p w14:paraId="37DB3D89" w14:textId="7ED0B23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m) Lidhja ekologjike;</w:t>
      </w:r>
    </w:p>
    <w:p w14:paraId="70D4710E" w14:textId="275148F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n) Proceset e rëndësishme ekologjike që ndodhin aty;</w:t>
      </w:r>
    </w:p>
    <w:p w14:paraId="21022072" w14:textId="7468D7B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o) Faktorët ekonomikë dhe socialë;</w:t>
      </w:r>
    </w:p>
    <w:p w14:paraId="69A380B7" w14:textId="752852D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p) Faktorët kulturorë;</w:t>
      </w:r>
    </w:p>
    <w:p w14:paraId="408DDB60" w14:textId="26FF919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q) Ndikimet kumulative dhe ndërkufitare;</w:t>
      </w:r>
    </w:p>
    <w:p w14:paraId="1D25C51F" w14:textId="35806B2D"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r) Rimëkëmbja e ngadaltë dhe fleksibiliteti;</w:t>
      </w:r>
    </w:p>
    <w:p w14:paraId="4D080888" w14:textId="1A9C6EB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s) Përshtatshmëria dhe fizibiliteti;</w:t>
      </w:r>
    </w:p>
    <w:p w14:paraId="483C342E" w14:textId="7E506CB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t) Riprodhimi;</w:t>
      </w:r>
    </w:p>
    <w:p w14:paraId="48AA9C55" w14:textId="6E67D3E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u) Fizibiliteti i riprodhimit;</w:t>
      </w:r>
    </w:p>
    <w:p w14:paraId="543C37A1" w14:textId="2039A8A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 Masat ekzistuese të ruajtjes dhe menaxhimit.</w:t>
      </w:r>
    </w:p>
    <w:p w14:paraId="252EF1A8" w14:textId="77777777" w:rsidR="00F205CF" w:rsidRPr="00126A15" w:rsidRDefault="00F205CF" w:rsidP="00927FAE">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4F98F87" w14:textId="77777777" w:rsidR="00F205CF" w:rsidRPr="00126A15" w:rsidRDefault="00F205CF" w:rsidP="00927FAE">
      <w:pPr>
        <w:autoSpaceDE w:val="0"/>
        <w:autoSpaceDN w:val="0"/>
        <w:adjustRightInd w:val="0"/>
        <w:spacing w:after="0" w:line="240" w:lineRule="auto"/>
        <w:ind w:firstLine="284"/>
        <w:rPr>
          <w:rFonts w:ascii="Garamond" w:hAnsi="Garamond" w:cs="Garamond"/>
          <w:b/>
          <w:bCs/>
          <w:color w:val="000000"/>
          <w:sz w:val="24"/>
          <w:szCs w:val="24"/>
          <w:lang w:val="sq-AL"/>
        </w:rPr>
      </w:pPr>
    </w:p>
    <w:p w14:paraId="42624C4E" w14:textId="77777777" w:rsidR="00F205CF" w:rsidRPr="00126A15" w:rsidRDefault="009744EA"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SHTOJCA II</w:t>
      </w:r>
    </w:p>
    <w:p w14:paraId="7D83F55A" w14:textId="7AEEC03B" w:rsidR="00F205CF" w:rsidRPr="00126A15" w:rsidRDefault="009744EA" w:rsidP="00927FAE">
      <w:pPr>
        <w:autoSpaceDE w:val="0"/>
        <w:autoSpaceDN w:val="0"/>
        <w:adjustRightInd w:val="0"/>
        <w:spacing w:after="0" w:line="240" w:lineRule="auto"/>
        <w:ind w:firstLine="284"/>
        <w:jc w:val="center"/>
        <w:rPr>
          <w:rFonts w:ascii="Garamond" w:hAnsi="Garamond" w:cs="Garamond"/>
          <w:color w:val="000000"/>
          <w:sz w:val="24"/>
          <w:szCs w:val="24"/>
          <w:lang w:val="sq-AL"/>
        </w:rPr>
      </w:pPr>
      <w:r w:rsidRPr="00126A15">
        <w:rPr>
          <w:rFonts w:ascii="Garamond" w:hAnsi="Garamond" w:cs="Garamond"/>
          <w:color w:val="000000"/>
          <w:sz w:val="24"/>
          <w:szCs w:val="24"/>
          <w:lang w:val="sq-AL"/>
        </w:rPr>
        <w:t>LLOJET E NGRITJES SË KAPACITETEVE DHE TRANSFERIMIT TË TEKNOLOGJISË DETARE</w:t>
      </w:r>
    </w:p>
    <w:p w14:paraId="4A6875E1" w14:textId="7777777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p>
    <w:p w14:paraId="247F2011" w14:textId="459F42F1" w:rsidR="00F205CF" w:rsidRPr="00126A15" w:rsidRDefault="007A5D58"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 </w:t>
      </w:r>
      <w:r w:rsidR="00F205CF" w:rsidRPr="00126A15">
        <w:rPr>
          <w:rFonts w:ascii="Garamond" w:hAnsi="Garamond" w:cs="Garamond"/>
          <w:color w:val="000000"/>
          <w:sz w:val="24"/>
          <w:szCs w:val="24"/>
          <w:lang w:val="sq-AL"/>
        </w:rPr>
        <w:t>Sipas kësaj Marrëveshjeje, ngritja e kapaciteteve dhe transferimi i iniciativave të teknologjisë detare mund të përfshijnë, por nuk kufizohen në:</w:t>
      </w:r>
    </w:p>
    <w:p w14:paraId="3BFDF229" w14:textId="3451A1D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 Shkëmbimin e të dhënave, informacionit, njohurive dhe kërkimeve përkatëse, në formate miqësore për përdoruesit, duke përfshirë:</w:t>
      </w:r>
    </w:p>
    <w:p w14:paraId="183FDB66" w14:textId="0F8878F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4C6005" w:rsidRPr="00126A15">
        <w:rPr>
          <w:rFonts w:ascii="Garamond" w:hAnsi="Garamond" w:cs="Garamond"/>
          <w:color w:val="000000"/>
          <w:sz w:val="24"/>
          <w:szCs w:val="24"/>
          <w:lang w:val="sq-AL"/>
        </w:rPr>
        <w:t xml:space="preserve">ndarjen </w:t>
      </w:r>
      <w:r w:rsidRPr="00126A15">
        <w:rPr>
          <w:rFonts w:ascii="Garamond" w:hAnsi="Garamond" w:cs="Garamond"/>
          <w:color w:val="000000"/>
          <w:sz w:val="24"/>
          <w:szCs w:val="24"/>
          <w:lang w:val="sq-AL"/>
        </w:rPr>
        <w:t>e njohurive shkencore dhe teknologjike detare;</w:t>
      </w:r>
    </w:p>
    <w:p w14:paraId="64D09CFD" w14:textId="2D5F37D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4C6005" w:rsidRPr="00126A15">
        <w:rPr>
          <w:rFonts w:ascii="Garamond" w:hAnsi="Garamond" w:cs="Garamond"/>
          <w:color w:val="000000"/>
          <w:sz w:val="24"/>
          <w:szCs w:val="24"/>
          <w:lang w:val="sq-AL"/>
        </w:rPr>
        <w:t xml:space="preserve">shkëmbimin </w:t>
      </w:r>
      <w:r w:rsidRPr="00126A15">
        <w:rPr>
          <w:rFonts w:ascii="Garamond" w:hAnsi="Garamond" w:cs="Garamond"/>
          <w:color w:val="000000"/>
          <w:sz w:val="24"/>
          <w:szCs w:val="24"/>
          <w:lang w:val="sq-AL"/>
        </w:rPr>
        <w:t>e informacionit mbi ruajtjen dhe përdorimin e qëndrueshëm</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të diversitetit biologjik detar të zonave përtej juridiksionit kombëtar;</w:t>
      </w:r>
    </w:p>
    <w:p w14:paraId="322373F2" w14:textId="665DA80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9744EA"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4C6005" w:rsidRPr="00126A15">
        <w:rPr>
          <w:rFonts w:ascii="Garamond" w:hAnsi="Garamond" w:cs="Garamond"/>
          <w:color w:val="000000"/>
          <w:sz w:val="24"/>
          <w:szCs w:val="24"/>
          <w:lang w:val="sq-AL"/>
        </w:rPr>
        <w:t xml:space="preserve">pasqyrimin </w:t>
      </w:r>
      <w:r w:rsidRPr="00126A15">
        <w:rPr>
          <w:rFonts w:ascii="Garamond" w:hAnsi="Garamond" w:cs="Garamond"/>
          <w:color w:val="000000"/>
          <w:sz w:val="24"/>
          <w:szCs w:val="24"/>
          <w:lang w:val="sq-AL"/>
        </w:rPr>
        <w:t>e rezultateve të hulumtimit dhe zhvillimit;</w:t>
      </w:r>
    </w:p>
    <w:p w14:paraId="1523E32F" w14:textId="49F54B01"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 Shpërndarja e informacionit dhe ndërgjegjësimi, në lidhje me:</w:t>
      </w:r>
    </w:p>
    <w:p w14:paraId="1CCF3481" w14:textId="6039DBE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1E5D2A" w:rsidRPr="00126A15">
        <w:rPr>
          <w:rFonts w:ascii="Garamond" w:hAnsi="Garamond" w:cs="Garamond"/>
          <w:color w:val="000000"/>
          <w:sz w:val="24"/>
          <w:szCs w:val="24"/>
          <w:lang w:val="sq-AL"/>
        </w:rPr>
        <w:t xml:space="preserve">kërkimin </w:t>
      </w:r>
      <w:r w:rsidRPr="00126A15">
        <w:rPr>
          <w:rFonts w:ascii="Garamond" w:hAnsi="Garamond" w:cs="Garamond"/>
          <w:color w:val="000000"/>
          <w:sz w:val="24"/>
          <w:szCs w:val="24"/>
          <w:lang w:val="sq-AL"/>
        </w:rPr>
        <w:t>shkencor detar, shkencat detare, operacionet dhe shërbimet detare të lidhura me to;</w:t>
      </w:r>
    </w:p>
    <w:p w14:paraId="541DF5B4" w14:textId="5D45319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1E5D2A" w:rsidRPr="00126A15">
        <w:rPr>
          <w:rFonts w:ascii="Garamond" w:hAnsi="Garamond" w:cs="Garamond"/>
          <w:color w:val="000000"/>
          <w:sz w:val="24"/>
          <w:szCs w:val="24"/>
          <w:lang w:val="sq-AL"/>
        </w:rPr>
        <w:t xml:space="preserve">informacioni </w:t>
      </w:r>
      <w:r w:rsidRPr="00126A15">
        <w:rPr>
          <w:rFonts w:ascii="Garamond" w:hAnsi="Garamond" w:cs="Garamond"/>
          <w:color w:val="000000"/>
          <w:sz w:val="24"/>
          <w:szCs w:val="24"/>
          <w:lang w:val="sq-AL"/>
        </w:rPr>
        <w:t>mjedisor dhe biologjik i mbledhur nëpërmjet kërkimeve të kryera në fusha përtej juridiksionit kombëtar;</w:t>
      </w:r>
    </w:p>
    <w:p w14:paraId="1C67E71D" w14:textId="51E1032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1E5D2A" w:rsidRPr="00126A15">
        <w:rPr>
          <w:rFonts w:ascii="Garamond" w:hAnsi="Garamond" w:cs="Garamond"/>
          <w:color w:val="000000"/>
          <w:sz w:val="24"/>
          <w:szCs w:val="24"/>
          <w:lang w:val="sq-AL"/>
        </w:rPr>
        <w:t xml:space="preserve">njohuritë </w:t>
      </w:r>
      <w:r w:rsidRPr="00126A15">
        <w:rPr>
          <w:rFonts w:ascii="Garamond" w:hAnsi="Garamond" w:cs="Garamond"/>
          <w:color w:val="000000"/>
          <w:sz w:val="24"/>
          <w:szCs w:val="24"/>
          <w:lang w:val="sq-AL"/>
        </w:rPr>
        <w:t>përkatëse tradicionale në përputhje me vullnetin e lirë, paraprak dhe racional të mbartësve të njohurive të tilla;</w:t>
      </w:r>
    </w:p>
    <w:p w14:paraId="591A0C84" w14:textId="3D102E4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iv</w:t>
      </w:r>
      <w:r w:rsidR="009744EA"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1E5D2A" w:rsidRPr="00126A15">
        <w:rPr>
          <w:rFonts w:ascii="Garamond" w:hAnsi="Garamond" w:cs="Garamond"/>
          <w:color w:val="000000"/>
          <w:sz w:val="24"/>
          <w:szCs w:val="24"/>
          <w:lang w:val="sq-AL"/>
        </w:rPr>
        <w:t xml:space="preserve">faktorët </w:t>
      </w:r>
      <w:r w:rsidRPr="00126A15">
        <w:rPr>
          <w:rFonts w:ascii="Garamond" w:hAnsi="Garamond" w:cs="Garamond"/>
          <w:color w:val="000000"/>
          <w:sz w:val="24"/>
          <w:szCs w:val="24"/>
          <w:lang w:val="sq-AL"/>
        </w:rPr>
        <w:t>armiqësorë në oqean që ndikojnë në diversitetin biologjik detar të zonave përtej juridiksionit kombëtar, duke përfshirë kushtet e ndryshme negative klimatike, të tilla si ngrohja dhe deoksigjenimi i oqeanit, si dhe acidifikimi i oqeanit;</w:t>
      </w:r>
    </w:p>
    <w:p w14:paraId="575EFAA5" w14:textId="228F551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1E5D2A" w:rsidRPr="00126A15">
        <w:rPr>
          <w:rFonts w:ascii="Garamond" w:hAnsi="Garamond" w:cs="Garamond"/>
          <w:color w:val="000000"/>
          <w:sz w:val="24"/>
          <w:szCs w:val="24"/>
          <w:lang w:val="sq-AL"/>
        </w:rPr>
        <w:t xml:space="preserve">masa </w:t>
      </w:r>
      <w:r w:rsidRPr="00126A15">
        <w:rPr>
          <w:rFonts w:ascii="Garamond" w:hAnsi="Garamond" w:cs="Garamond"/>
          <w:color w:val="000000"/>
          <w:sz w:val="24"/>
          <w:szCs w:val="24"/>
          <w:lang w:val="sq-AL"/>
        </w:rPr>
        <w:t>të tilla si mjetet e menaxhimit sipas zonave, duke përfshirë zonat e mbrojtura detare;</w:t>
      </w:r>
    </w:p>
    <w:p w14:paraId="71C26BD9" w14:textId="0A84B774"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1E5D2A" w:rsidRPr="00126A15">
        <w:rPr>
          <w:rFonts w:ascii="Garamond" w:hAnsi="Garamond" w:cs="Garamond"/>
          <w:color w:val="000000"/>
          <w:sz w:val="24"/>
          <w:szCs w:val="24"/>
          <w:lang w:val="sq-AL"/>
        </w:rPr>
        <w:t xml:space="preserve">vlerësimet </w:t>
      </w:r>
      <w:r w:rsidRPr="00126A15">
        <w:rPr>
          <w:rFonts w:ascii="Garamond" w:hAnsi="Garamond" w:cs="Garamond"/>
          <w:color w:val="000000"/>
          <w:sz w:val="24"/>
          <w:szCs w:val="24"/>
          <w:lang w:val="sq-AL"/>
        </w:rPr>
        <w:t>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w:t>
      </w:r>
    </w:p>
    <w:p w14:paraId="4AB050DA" w14:textId="0E2FF9BC"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c) Zhvillimi dhe forcimi i infrastrukturës përkatëse, duke përfshirë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mjetet, si:</w:t>
      </w:r>
    </w:p>
    <w:p w14:paraId="691AA01F" w14:textId="75A5FA5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B635A6" w:rsidRPr="00126A15">
        <w:rPr>
          <w:rFonts w:ascii="Garamond" w:hAnsi="Garamond" w:cs="Garamond"/>
          <w:color w:val="000000"/>
          <w:sz w:val="24"/>
          <w:szCs w:val="24"/>
          <w:lang w:val="sq-AL"/>
        </w:rPr>
        <w:t xml:space="preserve">zhvillimi </w:t>
      </w:r>
      <w:r w:rsidRPr="00126A15">
        <w:rPr>
          <w:rFonts w:ascii="Garamond" w:hAnsi="Garamond" w:cs="Garamond"/>
          <w:color w:val="000000"/>
          <w:sz w:val="24"/>
          <w:szCs w:val="24"/>
          <w:lang w:val="sq-AL"/>
        </w:rPr>
        <w:t>dhe ngritja e infrastrukturës së nevojshme;</w:t>
      </w:r>
    </w:p>
    <w:p w14:paraId="3D7DB8CD" w14:textId="54F3B1B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B635A6" w:rsidRPr="00126A15">
        <w:rPr>
          <w:rFonts w:ascii="Garamond" w:hAnsi="Garamond" w:cs="Garamond"/>
          <w:color w:val="000000"/>
          <w:sz w:val="24"/>
          <w:szCs w:val="24"/>
          <w:lang w:val="sq-AL"/>
        </w:rPr>
        <w:t xml:space="preserve">sigurimi </w:t>
      </w:r>
      <w:r w:rsidRPr="00126A15">
        <w:rPr>
          <w:rFonts w:ascii="Garamond" w:hAnsi="Garamond" w:cs="Garamond"/>
          <w:color w:val="000000"/>
          <w:sz w:val="24"/>
          <w:szCs w:val="24"/>
          <w:lang w:val="sq-AL"/>
        </w:rPr>
        <w:t>i teknologjisë, duke përfshirë mjetet e marrjes së mostrave dhe metodologjisë (p.sh., për mostrat e ujit, mostrat gjeologjike, biologjike ose kimike);</w:t>
      </w:r>
    </w:p>
    <w:p w14:paraId="1B276DC3" w14:textId="04F22D2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B635A6" w:rsidRPr="00126A15">
        <w:rPr>
          <w:rFonts w:ascii="Garamond" w:hAnsi="Garamond" w:cs="Garamond"/>
          <w:color w:val="000000"/>
          <w:sz w:val="24"/>
          <w:szCs w:val="24"/>
          <w:lang w:val="sq-AL"/>
        </w:rPr>
        <w:t xml:space="preserve">blerja </w:t>
      </w:r>
      <w:r w:rsidRPr="00126A15">
        <w:rPr>
          <w:rFonts w:ascii="Garamond" w:hAnsi="Garamond" w:cs="Garamond"/>
          <w:color w:val="000000"/>
          <w:sz w:val="24"/>
          <w:szCs w:val="24"/>
          <w:lang w:val="sq-AL"/>
        </w:rPr>
        <w:t>e pajisjeve të nevojshme për të mbështetur dhe zhvilluar më tej</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kapacitetet e kërkimit dhe zhvillimit, duke përfshirë menaxhimin e të dhënave, në kontekstin e aktiviteteve lidhur me burimet gjenetike detare dhe informacionin e sekuencës</w:t>
      </w:r>
      <w:r w:rsidR="000F50BC" w:rsidRPr="00126A15">
        <w:rPr>
          <w:rFonts w:ascii="Garamond" w:hAnsi="Garamond" w:cs="Garamond"/>
          <w:color w:val="000000"/>
          <w:sz w:val="24"/>
          <w:szCs w:val="24"/>
          <w:lang w:val="sq-AL"/>
        </w:rPr>
        <w:t xml:space="preserve"> </w:t>
      </w:r>
      <w:r w:rsidR="00F80326" w:rsidRPr="00126A15">
        <w:rPr>
          <w:rFonts w:ascii="Garamond" w:hAnsi="Garamond" w:cs="Garamond"/>
          <w:color w:val="000000"/>
          <w:sz w:val="24"/>
          <w:szCs w:val="24"/>
          <w:lang w:val="sq-AL"/>
        </w:rPr>
        <w:t>digjital</w:t>
      </w:r>
      <w:r w:rsidRPr="00126A15">
        <w:rPr>
          <w:rFonts w:ascii="Garamond" w:hAnsi="Garamond" w:cs="Garamond"/>
          <w:color w:val="000000"/>
          <w:sz w:val="24"/>
          <w:szCs w:val="24"/>
          <w:lang w:val="sq-AL"/>
        </w:rPr>
        <w:t>e mbi burimet gjenetike detare të zonave përtej juridiksionit kombëtar,</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mjetet e menaxhimit sipas zonave, duke përfshirë zonat e mbrojtura detare, dhe kryerjen e vlerësimeve të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w:t>
      </w:r>
    </w:p>
    <w:p w14:paraId="52AA8AC9" w14:textId="06B3E34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 Zhvillimi dhe forcimi i kapaciteteve institucionale dhe kornizave</w:t>
      </w:r>
      <w:r w:rsidR="009453B1"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apo mekanizmave rregullatorë kombëtarë, duke përfshirë:</w:t>
      </w:r>
    </w:p>
    <w:p w14:paraId="739B1CA7" w14:textId="627E910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9744EA"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B635A6" w:rsidRPr="00126A15">
        <w:rPr>
          <w:rFonts w:ascii="Garamond" w:hAnsi="Garamond" w:cs="Garamond"/>
          <w:color w:val="000000"/>
          <w:sz w:val="24"/>
          <w:szCs w:val="24"/>
          <w:lang w:val="sq-AL"/>
        </w:rPr>
        <w:t>administrimi</w:t>
      </w:r>
      <w:r w:rsidRPr="00126A15">
        <w:rPr>
          <w:rFonts w:ascii="Garamond" w:hAnsi="Garamond" w:cs="Garamond"/>
          <w:color w:val="000000"/>
          <w:sz w:val="24"/>
          <w:szCs w:val="24"/>
          <w:lang w:val="sq-AL"/>
        </w:rPr>
        <w:t>, politikat, kornizat dhe mekanizmat ligjore;</w:t>
      </w:r>
    </w:p>
    <w:p w14:paraId="20A7387E" w14:textId="0D4711D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B635A6" w:rsidRPr="00126A15">
        <w:rPr>
          <w:rFonts w:ascii="Garamond" w:hAnsi="Garamond" w:cs="Garamond"/>
          <w:color w:val="000000"/>
          <w:sz w:val="24"/>
          <w:szCs w:val="24"/>
          <w:lang w:val="sq-AL"/>
        </w:rPr>
        <w:t xml:space="preserve">asistencë </w:t>
      </w:r>
      <w:r w:rsidRPr="00126A15">
        <w:rPr>
          <w:rFonts w:ascii="Garamond" w:hAnsi="Garamond" w:cs="Garamond"/>
          <w:color w:val="000000"/>
          <w:sz w:val="24"/>
          <w:szCs w:val="24"/>
          <w:lang w:val="sq-AL"/>
        </w:rPr>
        <w:t>në zhvillimin, implementimin dhe zbatimin e masave kombëtare legjislative, administrative ose të politikave, duke përfshirë kërkesat përkatëse rregullatore, shkencore dhe teknike në nivel kombëtar, lokal ose rajonal;</w:t>
      </w:r>
    </w:p>
    <w:p w14:paraId="4A2EFD22" w14:textId="013B0919"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B635A6" w:rsidRPr="00126A15">
        <w:rPr>
          <w:rFonts w:ascii="Garamond" w:hAnsi="Garamond" w:cs="Garamond"/>
          <w:color w:val="000000"/>
          <w:sz w:val="24"/>
          <w:szCs w:val="24"/>
          <w:lang w:val="sq-AL"/>
        </w:rPr>
        <w:t xml:space="preserve">mbështetje </w:t>
      </w:r>
      <w:r w:rsidRPr="00126A15">
        <w:rPr>
          <w:rFonts w:ascii="Garamond" w:hAnsi="Garamond" w:cs="Garamond"/>
          <w:color w:val="000000"/>
          <w:sz w:val="24"/>
          <w:szCs w:val="24"/>
          <w:lang w:val="sq-AL"/>
        </w:rPr>
        <w:t>teknike për zbatimin e dispozitave të kësaj Marrëveshjeje, duke përfshirë monitorimin dhe raportimin e të dhënave;</w:t>
      </w:r>
    </w:p>
    <w:p w14:paraId="07B1E682" w14:textId="266F262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iv</w:t>
      </w:r>
      <w:r w:rsidR="009744EA"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9453B1" w:rsidRPr="00126A15">
        <w:rPr>
          <w:rFonts w:ascii="Garamond" w:hAnsi="Garamond" w:cs="Garamond"/>
          <w:color w:val="000000"/>
          <w:sz w:val="24"/>
          <w:szCs w:val="24"/>
          <w:lang w:val="sq-AL"/>
        </w:rPr>
        <w:t xml:space="preserve">aftësia </w:t>
      </w:r>
      <w:r w:rsidRPr="00126A15">
        <w:rPr>
          <w:rFonts w:ascii="Garamond" w:hAnsi="Garamond" w:cs="Garamond"/>
          <w:color w:val="000000"/>
          <w:sz w:val="24"/>
          <w:szCs w:val="24"/>
          <w:lang w:val="sq-AL"/>
        </w:rPr>
        <w:t>për ta përshtatur informacionin dhe të dhënat në politika aktuale dhe koherente, duke përfshirë mundësinë e aksesit dhe marrjen e njohurive të nevojshme për të informuar vendimmarrësit në shtetet Palë në zhvillim;</w:t>
      </w:r>
    </w:p>
    <w:p w14:paraId="4EE4C4F2" w14:textId="3287BA5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9453B1" w:rsidRPr="00126A15">
        <w:rPr>
          <w:rFonts w:ascii="Garamond" w:hAnsi="Garamond" w:cs="Garamond"/>
          <w:color w:val="000000"/>
          <w:sz w:val="24"/>
          <w:szCs w:val="24"/>
          <w:lang w:val="sq-AL"/>
        </w:rPr>
        <w:t xml:space="preserve">ngritja </w:t>
      </w:r>
      <w:r w:rsidRPr="00126A15">
        <w:rPr>
          <w:rFonts w:ascii="Garamond" w:hAnsi="Garamond" w:cs="Garamond"/>
          <w:color w:val="000000"/>
          <w:sz w:val="24"/>
          <w:szCs w:val="24"/>
          <w:lang w:val="sq-AL"/>
        </w:rPr>
        <w:t>ose forcimi i kapaciteteve institucionale të organizatave dhe institucioneve përkatëse kombëtare dhe rajonale;</w:t>
      </w:r>
    </w:p>
    <w:p w14:paraId="396448D6" w14:textId="2773253B"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9453B1" w:rsidRPr="00126A15">
        <w:rPr>
          <w:rFonts w:ascii="Garamond" w:hAnsi="Garamond" w:cs="Garamond"/>
          <w:color w:val="000000"/>
          <w:sz w:val="24"/>
          <w:szCs w:val="24"/>
          <w:lang w:val="sq-AL"/>
        </w:rPr>
        <w:t xml:space="preserve">krijimi </w:t>
      </w:r>
      <w:r w:rsidRPr="00126A15">
        <w:rPr>
          <w:rFonts w:ascii="Garamond" w:hAnsi="Garamond" w:cs="Garamond"/>
          <w:color w:val="000000"/>
          <w:sz w:val="24"/>
          <w:szCs w:val="24"/>
          <w:lang w:val="sq-AL"/>
        </w:rPr>
        <w:t>i qendrave shkencore kombëtare dhe rajonale, duke përfshirë si arkivat e të dhënave;</w:t>
      </w:r>
    </w:p>
    <w:p w14:paraId="574B1A2C" w14:textId="1C0EC43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9453B1" w:rsidRPr="00126A15">
        <w:rPr>
          <w:rFonts w:ascii="Garamond" w:hAnsi="Garamond" w:cs="Garamond"/>
          <w:color w:val="000000"/>
          <w:sz w:val="24"/>
          <w:szCs w:val="24"/>
          <w:lang w:val="sq-AL"/>
        </w:rPr>
        <w:t xml:space="preserve">zhvillimi </w:t>
      </w:r>
      <w:r w:rsidRPr="00126A15">
        <w:rPr>
          <w:rFonts w:ascii="Garamond" w:hAnsi="Garamond" w:cs="Garamond"/>
          <w:color w:val="000000"/>
          <w:sz w:val="24"/>
          <w:szCs w:val="24"/>
          <w:lang w:val="sq-AL"/>
        </w:rPr>
        <w:t>i qendrave rajonale të ekselencës;</w:t>
      </w:r>
    </w:p>
    <w:p w14:paraId="7738016B" w14:textId="5018BE4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viii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9453B1" w:rsidRPr="00126A15">
        <w:rPr>
          <w:rFonts w:ascii="Garamond" w:hAnsi="Garamond" w:cs="Garamond"/>
          <w:color w:val="000000"/>
          <w:sz w:val="24"/>
          <w:szCs w:val="24"/>
          <w:lang w:val="sq-AL"/>
        </w:rPr>
        <w:t xml:space="preserve">zhvillimi </w:t>
      </w:r>
      <w:r w:rsidRPr="00126A15">
        <w:rPr>
          <w:rFonts w:ascii="Garamond" w:hAnsi="Garamond" w:cs="Garamond"/>
          <w:color w:val="000000"/>
          <w:sz w:val="24"/>
          <w:szCs w:val="24"/>
          <w:lang w:val="sq-AL"/>
        </w:rPr>
        <w:t>i qendrave rajonale për zhvillimin e aftësive;</w:t>
      </w:r>
    </w:p>
    <w:p w14:paraId="3A9B543E" w14:textId="033D783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ix</w:t>
      </w:r>
      <w:r w:rsidR="009744EA" w:rsidRPr="00126A15">
        <w:rPr>
          <w:rFonts w:ascii="Garamond" w:hAnsi="Garamond" w:cs="Garamond"/>
          <w:color w:val="000000"/>
          <w:sz w:val="24"/>
          <w:szCs w:val="24"/>
          <w:lang w:val="sq-AL"/>
        </w:rPr>
        <w:t xml:space="preserve">. </w:t>
      </w:r>
      <w:r w:rsidR="009453B1" w:rsidRPr="00126A15">
        <w:rPr>
          <w:rFonts w:ascii="Garamond" w:hAnsi="Garamond" w:cs="Garamond"/>
          <w:color w:val="000000"/>
          <w:sz w:val="24"/>
          <w:szCs w:val="24"/>
          <w:lang w:val="sq-AL"/>
        </w:rPr>
        <w:t xml:space="preserve">rritja </w:t>
      </w:r>
      <w:r w:rsidRPr="00126A15">
        <w:rPr>
          <w:rFonts w:ascii="Garamond" w:hAnsi="Garamond" w:cs="Garamond"/>
          <w:color w:val="000000"/>
          <w:sz w:val="24"/>
          <w:szCs w:val="24"/>
          <w:lang w:val="sq-AL"/>
        </w:rPr>
        <w:t xml:space="preserve">e lidhjeve bashkëpunuese ndërmjet institucioneve rajonale, për shembull, bashkëpunimi </w:t>
      </w:r>
      <w:r w:rsidR="00E75E1A" w:rsidRPr="00126A15">
        <w:rPr>
          <w:rFonts w:ascii="Garamond" w:hAnsi="Garamond" w:cs="Garamond"/>
          <w:color w:val="000000"/>
          <w:sz w:val="24"/>
          <w:szCs w:val="24"/>
          <w:lang w:val="sq-AL"/>
        </w:rPr>
        <w:t xml:space="preserve">veri-jug dhe jug-jug dhe </w:t>
      </w:r>
      <w:r w:rsidRPr="00126A15">
        <w:rPr>
          <w:rFonts w:ascii="Garamond" w:hAnsi="Garamond" w:cs="Garamond"/>
          <w:color w:val="000000"/>
          <w:sz w:val="24"/>
          <w:szCs w:val="24"/>
          <w:lang w:val="sq-AL"/>
        </w:rPr>
        <w:t>bashkëpunimi ndërmjet organizatave rajonale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detare dhe organizatave rajonale të menaxhimit të peshkimit;</w:t>
      </w:r>
    </w:p>
    <w:p w14:paraId="73FB976D" w14:textId="2D30CCC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e) Zhvillimi dhe forcimi i</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kapaciteteve të burimeve të menaxhimit njerëzor dhe financiar dhe i ekspertizës teknike nëpërmjet shkëmbimeve, bashkëpunimit kërkimor, mbështetjes teknike, edukimit, trajnimit dhe transferimit të teknologjisë detare, si:</w:t>
      </w:r>
    </w:p>
    <w:p w14:paraId="15ED26B0" w14:textId="47BBADA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425F3" w:rsidRPr="00126A15">
        <w:rPr>
          <w:rFonts w:ascii="Garamond" w:hAnsi="Garamond" w:cs="Garamond"/>
          <w:color w:val="000000"/>
          <w:sz w:val="24"/>
          <w:szCs w:val="24"/>
          <w:lang w:val="sq-AL"/>
        </w:rPr>
        <w:t xml:space="preserve">bashkëpunimi </w:t>
      </w:r>
      <w:r w:rsidRPr="00126A15">
        <w:rPr>
          <w:rFonts w:ascii="Garamond" w:hAnsi="Garamond" w:cs="Garamond"/>
          <w:color w:val="000000"/>
          <w:sz w:val="24"/>
          <w:szCs w:val="24"/>
          <w:lang w:val="sq-AL"/>
        </w:rPr>
        <w:t>në shkencën detare,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nëpërmjet mbledhjes</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së të dhënave, shkëmbimit teknik, projektet dhe programet e kërkimit shkencor dhe zhvillimin e projekteve të përbashkëta kërkimore shkencore në bashkëpunim me institucionet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shteteve në zhvillim;</w:t>
      </w:r>
    </w:p>
    <w:p w14:paraId="45F1EB9A" w14:textId="1E3EEA33"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6425F3" w:rsidRPr="00126A15">
        <w:rPr>
          <w:rFonts w:ascii="Garamond" w:hAnsi="Garamond" w:cs="Garamond"/>
          <w:color w:val="000000"/>
          <w:sz w:val="24"/>
          <w:szCs w:val="24"/>
          <w:lang w:val="sq-AL"/>
        </w:rPr>
        <w:t xml:space="preserve">edukimi </w:t>
      </w:r>
      <w:r w:rsidRPr="00126A15">
        <w:rPr>
          <w:rFonts w:ascii="Garamond" w:hAnsi="Garamond" w:cs="Garamond"/>
          <w:color w:val="000000"/>
          <w:sz w:val="24"/>
          <w:szCs w:val="24"/>
          <w:lang w:val="sq-AL"/>
        </w:rPr>
        <w:t>dhe trajnimi në:</w:t>
      </w:r>
    </w:p>
    <w:p w14:paraId="6CE85F97" w14:textId="6BB799B7"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a) </w:t>
      </w:r>
      <w:r w:rsidR="001B223A" w:rsidRPr="00126A15">
        <w:rPr>
          <w:rFonts w:ascii="Garamond" w:hAnsi="Garamond" w:cs="Garamond"/>
          <w:color w:val="000000"/>
          <w:sz w:val="24"/>
          <w:szCs w:val="24"/>
          <w:lang w:val="sq-AL"/>
        </w:rPr>
        <w:t xml:space="preserve">shkencat </w:t>
      </w:r>
      <w:r w:rsidRPr="00126A15">
        <w:rPr>
          <w:rFonts w:ascii="Garamond" w:hAnsi="Garamond" w:cs="Garamond"/>
          <w:color w:val="000000"/>
          <w:sz w:val="24"/>
          <w:szCs w:val="24"/>
          <w:lang w:val="sq-AL"/>
        </w:rPr>
        <w:t>natyrore dhe sociale, si ato themelore</w:t>
      </w:r>
      <w:r w:rsidR="00B47D91"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ashtu edhe në ato të aplikuara, për të zhvilluar kapacitetin shkencor dhe kërkimor;</w:t>
      </w:r>
    </w:p>
    <w:p w14:paraId="29A80C3B" w14:textId="7543980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b) </w:t>
      </w:r>
      <w:r w:rsidR="001B223A" w:rsidRPr="00126A15">
        <w:rPr>
          <w:rFonts w:ascii="Garamond" w:hAnsi="Garamond" w:cs="Garamond"/>
          <w:color w:val="000000"/>
          <w:sz w:val="24"/>
          <w:szCs w:val="24"/>
          <w:lang w:val="sq-AL"/>
        </w:rPr>
        <w:t xml:space="preserve">teknologji </w:t>
      </w:r>
      <w:r w:rsidRPr="00126A15">
        <w:rPr>
          <w:rFonts w:ascii="Garamond" w:hAnsi="Garamond" w:cs="Garamond"/>
          <w:color w:val="000000"/>
          <w:sz w:val="24"/>
          <w:szCs w:val="24"/>
          <w:lang w:val="sq-AL"/>
        </w:rPr>
        <w:t>dhe aplikim për shkencë dhe teknologji detare, për zhvillimin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kapaciteteve shkencore dhe kërkimore;</w:t>
      </w:r>
    </w:p>
    <w:p w14:paraId="2EEA0E53" w14:textId="799E0E10"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c) </w:t>
      </w:r>
      <w:r w:rsidR="001B223A" w:rsidRPr="00126A15">
        <w:rPr>
          <w:rFonts w:ascii="Garamond" w:hAnsi="Garamond" w:cs="Garamond"/>
          <w:color w:val="000000"/>
          <w:sz w:val="24"/>
          <w:szCs w:val="24"/>
          <w:lang w:val="sq-AL"/>
        </w:rPr>
        <w:t xml:space="preserve">politika </w:t>
      </w:r>
      <w:r w:rsidRPr="00126A15">
        <w:rPr>
          <w:rFonts w:ascii="Garamond" w:hAnsi="Garamond" w:cs="Garamond"/>
          <w:color w:val="000000"/>
          <w:sz w:val="24"/>
          <w:szCs w:val="24"/>
          <w:lang w:val="sq-AL"/>
        </w:rPr>
        <w:t>dhe administrim;</w:t>
      </w:r>
    </w:p>
    <w:p w14:paraId="6434464A" w14:textId="42362C9D" w:rsidR="00F205CF" w:rsidRPr="00126A15" w:rsidRDefault="00F205CF" w:rsidP="00927FAE">
      <w:pPr>
        <w:tabs>
          <w:tab w:val="left" w:pos="2060"/>
        </w:tabs>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d)</w:t>
      </w:r>
      <w:r w:rsidR="007A5D58" w:rsidRPr="00126A15">
        <w:rPr>
          <w:rFonts w:ascii="Garamond" w:hAnsi="Garamond" w:cs="Garamond"/>
          <w:color w:val="000000"/>
          <w:sz w:val="24"/>
          <w:szCs w:val="24"/>
          <w:lang w:val="sq-AL"/>
        </w:rPr>
        <w:t xml:space="preserve"> </w:t>
      </w:r>
      <w:r w:rsidR="001B223A" w:rsidRPr="00126A15">
        <w:rPr>
          <w:rFonts w:ascii="Garamond" w:hAnsi="Garamond" w:cs="Garamond"/>
          <w:color w:val="000000"/>
          <w:sz w:val="24"/>
          <w:szCs w:val="24"/>
          <w:lang w:val="sq-AL"/>
        </w:rPr>
        <w:t xml:space="preserve">materializim </w:t>
      </w:r>
      <w:r w:rsidRPr="00126A15">
        <w:rPr>
          <w:rFonts w:ascii="Garamond" w:hAnsi="Garamond" w:cs="Garamond"/>
          <w:color w:val="000000"/>
          <w:sz w:val="24"/>
          <w:szCs w:val="24"/>
          <w:lang w:val="sq-AL"/>
        </w:rPr>
        <w:t>dhe zbatim të njohurive tradicionale;</w:t>
      </w:r>
    </w:p>
    <w:p w14:paraId="4479714E" w14:textId="61D44358"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1B223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1B223A" w:rsidRPr="00126A15">
        <w:rPr>
          <w:rFonts w:ascii="Garamond" w:hAnsi="Garamond" w:cs="Garamond"/>
          <w:color w:val="000000"/>
          <w:sz w:val="24"/>
          <w:szCs w:val="24"/>
          <w:lang w:val="sq-AL"/>
        </w:rPr>
        <w:t xml:space="preserve">shkëmbim </w:t>
      </w:r>
      <w:r w:rsidRPr="00126A15">
        <w:rPr>
          <w:rFonts w:ascii="Garamond" w:hAnsi="Garamond" w:cs="Garamond"/>
          <w:color w:val="000000"/>
          <w:sz w:val="24"/>
          <w:szCs w:val="24"/>
          <w:lang w:val="sq-AL"/>
        </w:rPr>
        <w:t>të ekspertëve, duke përfshirë ekspertë të njohurive tradicionale;</w:t>
      </w:r>
    </w:p>
    <w:p w14:paraId="01FC90CF" w14:textId="5660F0FA"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iv</w:t>
      </w:r>
      <w:r w:rsidR="001B223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1B223A" w:rsidRPr="00126A15">
        <w:rPr>
          <w:rFonts w:ascii="Garamond" w:hAnsi="Garamond" w:cs="Garamond"/>
          <w:color w:val="000000"/>
          <w:sz w:val="24"/>
          <w:szCs w:val="24"/>
          <w:lang w:val="sq-AL"/>
        </w:rPr>
        <w:t xml:space="preserve">dhënien </w:t>
      </w:r>
      <w:r w:rsidRPr="00126A15">
        <w:rPr>
          <w:rFonts w:ascii="Garamond" w:hAnsi="Garamond" w:cs="Garamond"/>
          <w:color w:val="000000"/>
          <w:sz w:val="24"/>
          <w:szCs w:val="24"/>
          <w:lang w:val="sq-AL"/>
        </w:rPr>
        <w:t>e fondeve për zhvillimin e burimeve njerëzore dhe ekspertizës teknike, duke përfshirë:</w:t>
      </w:r>
    </w:p>
    <w:p w14:paraId="514C1603" w14:textId="2B36DD9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a</w:t>
      </w:r>
      <w:r w:rsidR="009744EA"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B47D91" w:rsidRPr="00126A15">
        <w:rPr>
          <w:rFonts w:ascii="Garamond" w:hAnsi="Garamond" w:cs="Garamond"/>
          <w:color w:val="000000"/>
          <w:sz w:val="24"/>
          <w:szCs w:val="24"/>
          <w:lang w:val="sq-AL"/>
        </w:rPr>
        <w:t xml:space="preserve">dhënien </w:t>
      </w:r>
      <w:r w:rsidRPr="00126A15">
        <w:rPr>
          <w:rFonts w:ascii="Garamond" w:hAnsi="Garamond" w:cs="Garamond"/>
          <w:color w:val="000000"/>
          <w:sz w:val="24"/>
          <w:szCs w:val="24"/>
          <w:lang w:val="sq-AL"/>
        </w:rPr>
        <w:t xml:space="preserve">e bursave ose granteve të tjera për përfaqësuesit e </w:t>
      </w:r>
      <w:r w:rsidR="00781ABD" w:rsidRPr="00126A15">
        <w:rPr>
          <w:rFonts w:ascii="Garamond" w:hAnsi="Garamond" w:cs="Garamond"/>
          <w:color w:val="000000"/>
          <w:sz w:val="24"/>
          <w:szCs w:val="24"/>
          <w:lang w:val="sq-AL"/>
        </w:rPr>
        <w:t xml:space="preserve">Shteteve </w:t>
      </w:r>
      <w:r w:rsidRPr="00126A15">
        <w:rPr>
          <w:rFonts w:ascii="Garamond" w:hAnsi="Garamond" w:cs="Garamond"/>
          <w:color w:val="000000"/>
          <w:sz w:val="24"/>
          <w:szCs w:val="24"/>
          <w:lang w:val="sq-AL"/>
        </w:rPr>
        <w:t>të vogla ishullore Palë në zhvillim në seminare, programe trajnimi ose programe të tjera përkatëse për të zhvilluar kapacitetet e tyre specifike.</w:t>
      </w:r>
    </w:p>
    <w:p w14:paraId="6EF54F80" w14:textId="60FBE11F"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b</w:t>
      </w:r>
      <w:r w:rsidR="009744EA" w:rsidRPr="00126A15">
        <w:rPr>
          <w:rFonts w:ascii="Garamond" w:hAnsi="Garamond" w:cs="Garamond"/>
          <w:color w:val="000000"/>
          <w:sz w:val="24"/>
          <w:szCs w:val="24"/>
          <w:lang w:val="sq-AL"/>
        </w:rPr>
        <w:t>)</w:t>
      </w:r>
      <w:r w:rsidR="007A5D58" w:rsidRPr="00126A15">
        <w:rPr>
          <w:rFonts w:ascii="Garamond" w:hAnsi="Garamond" w:cs="Garamond"/>
          <w:color w:val="000000"/>
          <w:sz w:val="24"/>
          <w:szCs w:val="24"/>
          <w:lang w:val="sq-AL"/>
        </w:rPr>
        <w:t xml:space="preserve"> </w:t>
      </w:r>
      <w:r w:rsidR="00B47D91" w:rsidRPr="00126A15">
        <w:rPr>
          <w:rFonts w:ascii="Garamond" w:hAnsi="Garamond" w:cs="Garamond"/>
          <w:color w:val="000000"/>
          <w:sz w:val="24"/>
          <w:szCs w:val="24"/>
          <w:lang w:val="sq-AL"/>
        </w:rPr>
        <w:t xml:space="preserve">dhënien </w:t>
      </w:r>
      <w:r w:rsidRPr="00126A15">
        <w:rPr>
          <w:rFonts w:ascii="Garamond" w:hAnsi="Garamond" w:cs="Garamond"/>
          <w:color w:val="000000"/>
          <w:sz w:val="24"/>
          <w:szCs w:val="24"/>
          <w:lang w:val="sq-AL"/>
        </w:rPr>
        <w:t>e ekspertizës dhe burimeve financiare dhe teknike, veçanërisht për shtetet</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e vogla ishullore në zhvillim, në lidhje me vlerësimet e</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impaktit mjedisor;</w:t>
      </w:r>
    </w:p>
    <w:p w14:paraId="53F7CD3F" w14:textId="6DA5F155"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v) </w:t>
      </w:r>
      <w:r w:rsidR="00016E4A" w:rsidRPr="00126A15">
        <w:rPr>
          <w:rFonts w:ascii="Garamond" w:hAnsi="Garamond" w:cs="Garamond"/>
          <w:color w:val="000000"/>
          <w:sz w:val="24"/>
          <w:szCs w:val="24"/>
          <w:lang w:val="sq-AL"/>
        </w:rPr>
        <w:t xml:space="preserve">krijimi </w:t>
      </w:r>
      <w:r w:rsidRPr="00126A15">
        <w:rPr>
          <w:rFonts w:ascii="Garamond" w:hAnsi="Garamond" w:cs="Garamond"/>
          <w:color w:val="000000"/>
          <w:sz w:val="24"/>
          <w:szCs w:val="24"/>
          <w:lang w:val="sq-AL"/>
        </w:rPr>
        <w:t>i një mekanizmi ndërlidhës ndërmjet burimeve njerëzore të trajnuara</w:t>
      </w:r>
      <w:r w:rsidR="006A0752" w:rsidRPr="00126A15">
        <w:rPr>
          <w:rFonts w:ascii="Garamond" w:hAnsi="Garamond" w:cs="Garamond"/>
          <w:color w:val="000000"/>
          <w:sz w:val="24"/>
          <w:szCs w:val="24"/>
          <w:lang w:val="sq-AL"/>
        </w:rPr>
        <w:t>.</w:t>
      </w:r>
    </w:p>
    <w:p w14:paraId="6489CB84" w14:textId="2D746A96"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lastRenderedPageBreak/>
        <w:t>f)</w:t>
      </w:r>
      <w:r w:rsidR="007A5D58" w:rsidRPr="00126A15">
        <w:rPr>
          <w:rFonts w:ascii="Garamond" w:hAnsi="Garamond" w:cs="Garamond"/>
          <w:color w:val="000000"/>
          <w:sz w:val="24"/>
          <w:szCs w:val="24"/>
          <w:lang w:val="sq-AL"/>
        </w:rPr>
        <w:t xml:space="preserve"> </w:t>
      </w:r>
      <w:r w:rsidR="006A0752" w:rsidRPr="00126A15">
        <w:rPr>
          <w:rFonts w:ascii="Garamond" w:hAnsi="Garamond" w:cs="Garamond"/>
          <w:color w:val="000000"/>
          <w:sz w:val="24"/>
          <w:szCs w:val="24"/>
          <w:lang w:val="sq-AL"/>
        </w:rPr>
        <w:t xml:space="preserve">Zhvillimi </w:t>
      </w:r>
      <w:r w:rsidRPr="00126A15">
        <w:rPr>
          <w:rFonts w:ascii="Garamond" w:hAnsi="Garamond" w:cs="Garamond"/>
          <w:color w:val="000000"/>
          <w:sz w:val="24"/>
          <w:szCs w:val="24"/>
          <w:lang w:val="sq-AL"/>
        </w:rPr>
        <w:t>dhe shpërndarja e manualeve, udhëzimeve dhe standardeve, duke përfshirë:</w:t>
      </w:r>
    </w:p>
    <w:p w14:paraId="15517ACC" w14:textId="4797AF29" w:rsidR="00F205CF" w:rsidRPr="00126A15" w:rsidRDefault="00F205CF" w:rsidP="00927FAE">
      <w:pPr>
        <w:tabs>
          <w:tab w:val="left" w:pos="1880"/>
        </w:tabs>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016E4A" w:rsidRPr="00126A15">
        <w:rPr>
          <w:rFonts w:ascii="Garamond" w:hAnsi="Garamond" w:cs="Garamond"/>
          <w:color w:val="000000"/>
          <w:sz w:val="24"/>
          <w:szCs w:val="24"/>
          <w:lang w:val="sq-AL"/>
        </w:rPr>
        <w:t xml:space="preserve">kriteret </w:t>
      </w:r>
      <w:r w:rsidRPr="00126A15">
        <w:rPr>
          <w:rFonts w:ascii="Garamond" w:hAnsi="Garamond" w:cs="Garamond"/>
          <w:color w:val="000000"/>
          <w:sz w:val="24"/>
          <w:szCs w:val="24"/>
          <w:lang w:val="sq-AL"/>
        </w:rPr>
        <w:t>dhe materialet referuese;</w:t>
      </w:r>
    </w:p>
    <w:p w14:paraId="71E0908A" w14:textId="64144C9F" w:rsidR="00F205CF" w:rsidRPr="00126A15" w:rsidRDefault="00F205CF" w:rsidP="00927FAE">
      <w:pPr>
        <w:tabs>
          <w:tab w:val="left" w:pos="1880"/>
        </w:tabs>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016E4A" w:rsidRPr="00126A15">
        <w:rPr>
          <w:rFonts w:ascii="Garamond" w:hAnsi="Garamond" w:cs="Garamond"/>
          <w:color w:val="000000"/>
          <w:sz w:val="24"/>
          <w:szCs w:val="24"/>
          <w:lang w:val="sq-AL"/>
        </w:rPr>
        <w:t xml:space="preserve">standardet </w:t>
      </w:r>
      <w:r w:rsidRPr="00126A15">
        <w:rPr>
          <w:rFonts w:ascii="Garamond" w:hAnsi="Garamond" w:cs="Garamond"/>
          <w:color w:val="000000"/>
          <w:sz w:val="24"/>
          <w:szCs w:val="24"/>
          <w:lang w:val="sq-AL"/>
        </w:rPr>
        <w:t>dhe rregullat teknologjike;</w:t>
      </w:r>
    </w:p>
    <w:p w14:paraId="4F15F352" w14:textId="1B5A7166" w:rsidR="00F205CF" w:rsidRPr="00126A15" w:rsidRDefault="00F205CF" w:rsidP="00927FAE">
      <w:pPr>
        <w:tabs>
          <w:tab w:val="left" w:pos="1880"/>
          <w:tab w:val="left" w:pos="2600"/>
        </w:tabs>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iii</w:t>
      </w:r>
      <w:r w:rsidR="009744EA" w:rsidRPr="00126A15">
        <w:rPr>
          <w:rFonts w:ascii="Garamond" w:hAnsi="Garamond" w:cs="Garamond"/>
          <w:color w:val="000000"/>
          <w:sz w:val="24"/>
          <w:szCs w:val="24"/>
          <w:lang w:val="sq-AL"/>
        </w:rPr>
        <w:t>.</w:t>
      </w:r>
      <w:r w:rsidRPr="00126A15">
        <w:rPr>
          <w:rFonts w:ascii="Garamond" w:hAnsi="Garamond" w:cs="Garamond"/>
          <w:color w:val="000000"/>
          <w:sz w:val="24"/>
          <w:szCs w:val="24"/>
          <w:lang w:val="sq-AL"/>
        </w:rPr>
        <w:t xml:space="preserve"> </w:t>
      </w:r>
      <w:r w:rsidR="00016E4A" w:rsidRPr="00126A15">
        <w:rPr>
          <w:rFonts w:ascii="Garamond" w:hAnsi="Garamond" w:cs="Garamond"/>
          <w:color w:val="000000"/>
          <w:sz w:val="24"/>
          <w:szCs w:val="24"/>
          <w:lang w:val="sq-AL"/>
        </w:rPr>
        <w:t xml:space="preserve">një </w:t>
      </w:r>
      <w:r w:rsidRPr="00126A15">
        <w:rPr>
          <w:rFonts w:ascii="Garamond" w:hAnsi="Garamond" w:cs="Garamond"/>
          <w:color w:val="000000"/>
          <w:sz w:val="24"/>
          <w:szCs w:val="24"/>
          <w:lang w:val="sq-AL"/>
        </w:rPr>
        <w:t>arkiv për manuale dhe informacione përkatëse për të ndarë njohuritë dhe kapacitetet se si të kryhen vlerësimet e impaktit mjedisor, mësimet e nxjerra dhe praktikat më të mira;</w:t>
      </w:r>
    </w:p>
    <w:p w14:paraId="18246DED" w14:textId="7648104E" w:rsidR="00F205CF" w:rsidRPr="00126A15" w:rsidRDefault="00F205CF" w:rsidP="00927FAE">
      <w:pPr>
        <w:autoSpaceDE w:val="0"/>
        <w:autoSpaceDN w:val="0"/>
        <w:adjustRightInd w:val="0"/>
        <w:spacing w:after="0" w:line="240" w:lineRule="auto"/>
        <w:ind w:firstLine="284"/>
        <w:jc w:val="both"/>
        <w:rPr>
          <w:rFonts w:ascii="Garamond" w:hAnsi="Garamond" w:cs="Garamond"/>
          <w:color w:val="000000"/>
          <w:sz w:val="24"/>
          <w:szCs w:val="24"/>
          <w:lang w:val="sq-AL"/>
        </w:rPr>
      </w:pPr>
      <w:r w:rsidRPr="00126A15">
        <w:rPr>
          <w:rFonts w:ascii="Garamond" w:hAnsi="Garamond" w:cs="Garamond"/>
          <w:color w:val="000000"/>
          <w:sz w:val="24"/>
          <w:szCs w:val="24"/>
          <w:lang w:val="sq-AL"/>
        </w:rPr>
        <w:t xml:space="preserve">g) </w:t>
      </w:r>
      <w:r w:rsidR="00016E4A" w:rsidRPr="00126A15">
        <w:rPr>
          <w:rFonts w:ascii="Garamond" w:hAnsi="Garamond" w:cs="Garamond"/>
          <w:color w:val="000000"/>
          <w:sz w:val="24"/>
          <w:szCs w:val="24"/>
          <w:lang w:val="sq-AL"/>
        </w:rPr>
        <w:t xml:space="preserve">zhvillimi </w:t>
      </w:r>
      <w:r w:rsidRPr="00126A15">
        <w:rPr>
          <w:rFonts w:ascii="Garamond" w:hAnsi="Garamond" w:cs="Garamond"/>
          <w:color w:val="000000"/>
          <w:sz w:val="24"/>
          <w:szCs w:val="24"/>
          <w:lang w:val="sq-AL"/>
        </w:rPr>
        <w:t>i programeve teknike, shkencore, kërkimore dhe zhvillimore, duke përfshirë</w:t>
      </w:r>
      <w:r w:rsidR="007A5D58" w:rsidRPr="00126A15">
        <w:rPr>
          <w:rFonts w:ascii="Garamond" w:hAnsi="Garamond" w:cs="Garamond"/>
          <w:color w:val="000000"/>
          <w:sz w:val="24"/>
          <w:szCs w:val="24"/>
          <w:lang w:val="sq-AL"/>
        </w:rPr>
        <w:t xml:space="preserve"> </w:t>
      </w:r>
      <w:r w:rsidRPr="00126A15">
        <w:rPr>
          <w:rFonts w:ascii="Garamond" w:hAnsi="Garamond" w:cs="Garamond"/>
          <w:color w:val="000000"/>
          <w:sz w:val="24"/>
          <w:szCs w:val="24"/>
          <w:lang w:val="sq-AL"/>
        </w:rPr>
        <w:t>aktivitetet kërkimore bioteknologjike.</w:t>
      </w:r>
    </w:p>
    <w:bookmarkEnd w:id="0"/>
    <w:p w14:paraId="0C01B346" w14:textId="56E7895B" w:rsidR="007C0FB4" w:rsidRDefault="007C0FB4" w:rsidP="007C0FB4">
      <w:pPr>
        <w:spacing w:after="0" w:line="240" w:lineRule="auto"/>
        <w:ind w:firstLine="284"/>
        <w:jc w:val="center"/>
        <w:rPr>
          <w:rFonts w:ascii="Garamond" w:hAnsi="Garamond" w:cs="Times New Roman"/>
          <w:sz w:val="24"/>
          <w:szCs w:val="24"/>
          <w:lang w:val="sq-AL"/>
        </w:rPr>
      </w:pPr>
      <w:r>
        <w:rPr>
          <w:rFonts w:ascii="Garamond" w:hAnsi="Garamond" w:cs="Times New Roman"/>
          <w:noProof/>
          <w:sz w:val="24"/>
          <w:szCs w:val="24"/>
          <w:lang w:val="sq-AL"/>
        </w:rPr>
        <w:drawing>
          <wp:inline distT="0" distB="0" distL="0" distR="0" wp14:anchorId="0B8D5B14" wp14:editId="7077ED0B">
            <wp:extent cx="5943600" cy="6696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RT- Lista e shteteve nenshkruese per certifikim (me standard) (1)_Page_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696075"/>
                    </a:xfrm>
                    <a:prstGeom prst="rect">
                      <a:avLst/>
                    </a:prstGeom>
                  </pic:spPr>
                </pic:pic>
              </a:graphicData>
            </a:graphic>
          </wp:inline>
        </w:drawing>
      </w:r>
    </w:p>
    <w:p w14:paraId="1FE50932" w14:textId="0B290BEA" w:rsidR="007C0FB4" w:rsidRDefault="007C0FB4" w:rsidP="007C0FB4">
      <w:pPr>
        <w:spacing w:after="0" w:line="240" w:lineRule="auto"/>
        <w:jc w:val="center"/>
        <w:rPr>
          <w:rFonts w:ascii="Garamond" w:hAnsi="Garamond" w:cs="Times New Roman"/>
          <w:sz w:val="24"/>
          <w:szCs w:val="24"/>
          <w:lang w:val="sq-AL"/>
        </w:rPr>
      </w:pPr>
      <w:r>
        <w:rPr>
          <w:rFonts w:ascii="Garamond" w:hAnsi="Garamond" w:cs="Times New Roman"/>
          <w:noProof/>
          <w:sz w:val="24"/>
          <w:szCs w:val="24"/>
          <w:lang w:val="sq-AL"/>
        </w:rPr>
        <w:lastRenderedPageBreak/>
        <w:drawing>
          <wp:inline distT="0" distB="0" distL="0" distR="0" wp14:anchorId="7650F8D5" wp14:editId="03DD3270">
            <wp:extent cx="5943600" cy="5600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RT- Lista e shteteve nenshkruese per certifikim (me standard) (1)_Page_2.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5600700"/>
                    </a:xfrm>
                    <a:prstGeom prst="rect">
                      <a:avLst/>
                    </a:prstGeom>
                  </pic:spPr>
                </pic:pic>
              </a:graphicData>
            </a:graphic>
          </wp:inline>
        </w:drawing>
      </w:r>
      <w:r>
        <w:rPr>
          <w:rFonts w:ascii="Garamond" w:hAnsi="Garamond" w:cs="Times New Roman"/>
          <w:noProof/>
          <w:sz w:val="24"/>
          <w:szCs w:val="24"/>
          <w:lang w:val="sq-AL"/>
        </w:rPr>
        <w:lastRenderedPageBreak/>
        <w:drawing>
          <wp:inline distT="0" distB="0" distL="0" distR="0" wp14:anchorId="43ADD062" wp14:editId="3D002E0E">
            <wp:extent cx="5866765" cy="797242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ERT- Lista e shteteve nenshkruese per certifikim (me standard) (1)_Page_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66765" cy="7972425"/>
                    </a:xfrm>
                    <a:prstGeom prst="rect">
                      <a:avLst/>
                    </a:prstGeom>
                  </pic:spPr>
                </pic:pic>
              </a:graphicData>
            </a:graphic>
          </wp:inline>
        </w:drawing>
      </w:r>
      <w:r>
        <w:rPr>
          <w:rFonts w:ascii="Garamond" w:hAnsi="Garamond" w:cs="Times New Roman"/>
          <w:noProof/>
          <w:sz w:val="24"/>
          <w:szCs w:val="24"/>
          <w:lang w:val="sq-AL"/>
        </w:rPr>
        <w:lastRenderedPageBreak/>
        <w:drawing>
          <wp:inline distT="0" distB="0" distL="0" distR="0" wp14:anchorId="47BB8400" wp14:editId="47266B79">
            <wp:extent cx="5525135" cy="7905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ERT- Lista e shteteve nenshkruese per certifikim (me standard) (1)_Page_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25135" cy="7905750"/>
                    </a:xfrm>
                    <a:prstGeom prst="rect">
                      <a:avLst/>
                    </a:prstGeom>
                  </pic:spPr>
                </pic:pic>
              </a:graphicData>
            </a:graphic>
          </wp:inline>
        </w:drawing>
      </w:r>
      <w:r>
        <w:rPr>
          <w:rFonts w:ascii="Garamond" w:hAnsi="Garamond" w:cs="Times New Roman"/>
          <w:noProof/>
          <w:sz w:val="24"/>
          <w:szCs w:val="24"/>
          <w:lang w:val="sq-AL"/>
        </w:rPr>
        <w:lastRenderedPageBreak/>
        <w:drawing>
          <wp:inline distT="0" distB="0" distL="0" distR="0" wp14:anchorId="6FAEC1A0" wp14:editId="206D357D">
            <wp:extent cx="5507990" cy="7962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ERT- Lista e shteteve nenshkruese per certifikim (me standard) (1)_Page_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7990" cy="7962900"/>
                    </a:xfrm>
                    <a:prstGeom prst="rect">
                      <a:avLst/>
                    </a:prstGeom>
                  </pic:spPr>
                </pic:pic>
              </a:graphicData>
            </a:graphic>
          </wp:inline>
        </w:drawing>
      </w:r>
      <w:r>
        <w:rPr>
          <w:rFonts w:ascii="Garamond" w:hAnsi="Garamond" w:cs="Times New Roman"/>
          <w:noProof/>
          <w:sz w:val="24"/>
          <w:szCs w:val="24"/>
          <w:lang w:val="sq-AL"/>
        </w:rPr>
        <w:lastRenderedPageBreak/>
        <w:drawing>
          <wp:inline distT="0" distB="0" distL="0" distR="0" wp14:anchorId="0AB22FE5" wp14:editId="42D8FB30">
            <wp:extent cx="5943600" cy="80105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ERT- Lista e shteteve nenshkruese per certifikim (me standard) (1)_Page_6.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8010525"/>
                    </a:xfrm>
                    <a:prstGeom prst="rect">
                      <a:avLst/>
                    </a:prstGeom>
                  </pic:spPr>
                </pic:pic>
              </a:graphicData>
            </a:graphic>
          </wp:inline>
        </w:drawing>
      </w:r>
    </w:p>
    <w:p w14:paraId="3EA6A8B0" w14:textId="6403DFC5" w:rsidR="0065173A" w:rsidRPr="00126A15" w:rsidRDefault="007C0FB4" w:rsidP="00927FAE">
      <w:pPr>
        <w:spacing w:after="0" w:line="240" w:lineRule="auto"/>
        <w:ind w:firstLine="284"/>
        <w:rPr>
          <w:rFonts w:ascii="Garamond" w:hAnsi="Garamond"/>
          <w:sz w:val="24"/>
          <w:szCs w:val="24"/>
          <w:lang w:val="sq-AL"/>
        </w:rPr>
      </w:pPr>
      <w:r>
        <w:rPr>
          <w:rFonts w:ascii="Garamond" w:hAnsi="Garamond" w:cs="Times New Roman"/>
          <w:noProof/>
          <w:sz w:val="24"/>
          <w:szCs w:val="24"/>
          <w:lang w:val="sq-AL"/>
        </w:rPr>
        <w:lastRenderedPageBreak/>
        <w:drawing>
          <wp:inline distT="0" distB="0" distL="0" distR="0" wp14:anchorId="03AC7CA3" wp14:editId="7B8F57DE">
            <wp:extent cx="5943600" cy="42132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ERT- Lista e shteteve nenshkruese per certifikim (me standard) (1)_Page_7.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4213225"/>
                    </a:xfrm>
                    <a:prstGeom prst="rect">
                      <a:avLst/>
                    </a:prstGeom>
                  </pic:spPr>
                </pic:pic>
              </a:graphicData>
            </a:graphic>
          </wp:inline>
        </w:drawing>
      </w:r>
    </w:p>
    <w:p w14:paraId="4D595F4C" w14:textId="77777777" w:rsidR="007C0FB4" w:rsidRPr="00126A15" w:rsidRDefault="007C0FB4" w:rsidP="00927FAE">
      <w:pPr>
        <w:spacing w:after="0" w:line="240" w:lineRule="auto"/>
        <w:ind w:firstLine="284"/>
        <w:rPr>
          <w:rFonts w:ascii="Garamond" w:hAnsi="Garamond"/>
          <w:sz w:val="24"/>
          <w:szCs w:val="24"/>
          <w:lang w:val="sq-AL"/>
        </w:rPr>
      </w:pPr>
    </w:p>
    <w:sectPr w:rsidR="007C0FB4" w:rsidRPr="00126A15" w:rsidSect="00F205CF">
      <w:footerReference w:type="default" r:id="rId1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0F16F" w14:textId="77777777" w:rsidR="007C0FB4" w:rsidRDefault="007C0FB4" w:rsidP="00194D32">
      <w:pPr>
        <w:spacing w:after="0" w:line="240" w:lineRule="auto"/>
      </w:pPr>
      <w:r>
        <w:separator/>
      </w:r>
    </w:p>
  </w:endnote>
  <w:endnote w:type="continuationSeparator" w:id="0">
    <w:p w14:paraId="54CBFF6A" w14:textId="77777777" w:rsidR="007C0FB4" w:rsidRDefault="007C0FB4" w:rsidP="00194D32">
      <w:pPr>
        <w:spacing w:after="0" w:line="240" w:lineRule="auto"/>
      </w:pPr>
      <w:r>
        <w:continuationSeparator/>
      </w:r>
    </w:p>
  </w:endnote>
  <w:endnote w:type="continuationNotice" w:id="1">
    <w:p w14:paraId="2BA3CB31" w14:textId="77777777" w:rsidR="007C0FB4" w:rsidRDefault="007C0F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2119435"/>
      <w:docPartObj>
        <w:docPartGallery w:val="Page Numbers (Bottom of Page)"/>
        <w:docPartUnique/>
      </w:docPartObj>
    </w:sdtPr>
    <w:sdtEndPr>
      <w:rPr>
        <w:noProof/>
      </w:rPr>
    </w:sdtEndPr>
    <w:sdtContent>
      <w:p w14:paraId="23B3F5A3" w14:textId="2CB530C3" w:rsidR="007C0FB4" w:rsidRDefault="007C0F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A25076" w14:textId="77777777" w:rsidR="007C0FB4" w:rsidRDefault="007C0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BE02E" w14:textId="77777777" w:rsidR="007C0FB4" w:rsidRDefault="007C0FB4" w:rsidP="00194D32">
      <w:pPr>
        <w:spacing w:after="0" w:line="240" w:lineRule="auto"/>
      </w:pPr>
      <w:r>
        <w:separator/>
      </w:r>
    </w:p>
  </w:footnote>
  <w:footnote w:type="continuationSeparator" w:id="0">
    <w:p w14:paraId="56434D34" w14:textId="77777777" w:rsidR="007C0FB4" w:rsidRDefault="007C0FB4" w:rsidP="00194D32">
      <w:pPr>
        <w:spacing w:after="0" w:line="240" w:lineRule="auto"/>
      </w:pPr>
      <w:r>
        <w:continuationSeparator/>
      </w:r>
    </w:p>
  </w:footnote>
  <w:footnote w:type="continuationNotice" w:id="1">
    <w:p w14:paraId="5F5204DF" w14:textId="77777777" w:rsidR="007C0FB4" w:rsidRDefault="007C0FB4">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7D4"/>
    <w:rsid w:val="000019BB"/>
    <w:rsid w:val="0000229F"/>
    <w:rsid w:val="00002BC5"/>
    <w:rsid w:val="00003F2E"/>
    <w:rsid w:val="00005B22"/>
    <w:rsid w:val="00006694"/>
    <w:rsid w:val="000157E9"/>
    <w:rsid w:val="00016D37"/>
    <w:rsid w:val="00016E4A"/>
    <w:rsid w:val="000175A7"/>
    <w:rsid w:val="00017657"/>
    <w:rsid w:val="00021860"/>
    <w:rsid w:val="00022B85"/>
    <w:rsid w:val="0002685D"/>
    <w:rsid w:val="00026E63"/>
    <w:rsid w:val="000273B8"/>
    <w:rsid w:val="000306D0"/>
    <w:rsid w:val="00030836"/>
    <w:rsid w:val="00033CB0"/>
    <w:rsid w:val="00036B34"/>
    <w:rsid w:val="000428E6"/>
    <w:rsid w:val="00044CAE"/>
    <w:rsid w:val="000473BC"/>
    <w:rsid w:val="00050195"/>
    <w:rsid w:val="00050C11"/>
    <w:rsid w:val="00057F6E"/>
    <w:rsid w:val="00063D3B"/>
    <w:rsid w:val="00063E4F"/>
    <w:rsid w:val="00066029"/>
    <w:rsid w:val="00066A61"/>
    <w:rsid w:val="00066D1B"/>
    <w:rsid w:val="00071067"/>
    <w:rsid w:val="000721C1"/>
    <w:rsid w:val="000735F8"/>
    <w:rsid w:val="000754C7"/>
    <w:rsid w:val="0008449D"/>
    <w:rsid w:val="000844EB"/>
    <w:rsid w:val="00085DD4"/>
    <w:rsid w:val="00092985"/>
    <w:rsid w:val="000A0310"/>
    <w:rsid w:val="000A0387"/>
    <w:rsid w:val="000A0E03"/>
    <w:rsid w:val="000A0FAB"/>
    <w:rsid w:val="000A5869"/>
    <w:rsid w:val="000A707B"/>
    <w:rsid w:val="000B045F"/>
    <w:rsid w:val="000B3D11"/>
    <w:rsid w:val="000B6CD1"/>
    <w:rsid w:val="000C56D4"/>
    <w:rsid w:val="000D1F68"/>
    <w:rsid w:val="000D2BD6"/>
    <w:rsid w:val="000D5048"/>
    <w:rsid w:val="000D5C50"/>
    <w:rsid w:val="000D6462"/>
    <w:rsid w:val="000D73B7"/>
    <w:rsid w:val="000D7607"/>
    <w:rsid w:val="000E1E47"/>
    <w:rsid w:val="000E2682"/>
    <w:rsid w:val="000E5892"/>
    <w:rsid w:val="000E5CE7"/>
    <w:rsid w:val="000E725F"/>
    <w:rsid w:val="000F1340"/>
    <w:rsid w:val="000F2F7F"/>
    <w:rsid w:val="000F3DF9"/>
    <w:rsid w:val="000F50BC"/>
    <w:rsid w:val="000F5E39"/>
    <w:rsid w:val="00100D34"/>
    <w:rsid w:val="00106063"/>
    <w:rsid w:val="0010721B"/>
    <w:rsid w:val="0011256E"/>
    <w:rsid w:val="001160D7"/>
    <w:rsid w:val="00117DD4"/>
    <w:rsid w:val="00123024"/>
    <w:rsid w:val="001245FF"/>
    <w:rsid w:val="00126A15"/>
    <w:rsid w:val="00133662"/>
    <w:rsid w:val="00133B57"/>
    <w:rsid w:val="00136276"/>
    <w:rsid w:val="00136872"/>
    <w:rsid w:val="00141E42"/>
    <w:rsid w:val="0014315F"/>
    <w:rsid w:val="00143935"/>
    <w:rsid w:val="00150D24"/>
    <w:rsid w:val="00153979"/>
    <w:rsid w:val="0015551D"/>
    <w:rsid w:val="001664BE"/>
    <w:rsid w:val="0017145A"/>
    <w:rsid w:val="00172BA9"/>
    <w:rsid w:val="0017450E"/>
    <w:rsid w:val="00175868"/>
    <w:rsid w:val="001761B7"/>
    <w:rsid w:val="00186F58"/>
    <w:rsid w:val="00187D44"/>
    <w:rsid w:val="00192A9A"/>
    <w:rsid w:val="00193EED"/>
    <w:rsid w:val="00194D32"/>
    <w:rsid w:val="0019564B"/>
    <w:rsid w:val="001956ED"/>
    <w:rsid w:val="00197188"/>
    <w:rsid w:val="00197532"/>
    <w:rsid w:val="001A02B8"/>
    <w:rsid w:val="001A0D4F"/>
    <w:rsid w:val="001A2197"/>
    <w:rsid w:val="001A2964"/>
    <w:rsid w:val="001B092B"/>
    <w:rsid w:val="001B223A"/>
    <w:rsid w:val="001B3243"/>
    <w:rsid w:val="001C02E4"/>
    <w:rsid w:val="001C0BAF"/>
    <w:rsid w:val="001C1292"/>
    <w:rsid w:val="001C3E97"/>
    <w:rsid w:val="001C4E9D"/>
    <w:rsid w:val="001C509C"/>
    <w:rsid w:val="001D2ED5"/>
    <w:rsid w:val="001D53E5"/>
    <w:rsid w:val="001E0723"/>
    <w:rsid w:val="001E09AF"/>
    <w:rsid w:val="001E2E56"/>
    <w:rsid w:val="001E32FA"/>
    <w:rsid w:val="001E5D2A"/>
    <w:rsid w:val="001F10CB"/>
    <w:rsid w:val="001F19ED"/>
    <w:rsid w:val="001F4368"/>
    <w:rsid w:val="001F494B"/>
    <w:rsid w:val="001F64F5"/>
    <w:rsid w:val="001F741E"/>
    <w:rsid w:val="001F7CDB"/>
    <w:rsid w:val="00201296"/>
    <w:rsid w:val="0020342B"/>
    <w:rsid w:val="002049C5"/>
    <w:rsid w:val="002203AD"/>
    <w:rsid w:val="00225FFB"/>
    <w:rsid w:val="002266EF"/>
    <w:rsid w:val="00230568"/>
    <w:rsid w:val="0023194D"/>
    <w:rsid w:val="00232D0F"/>
    <w:rsid w:val="00240DD2"/>
    <w:rsid w:val="0024123D"/>
    <w:rsid w:val="002424B2"/>
    <w:rsid w:val="00243A38"/>
    <w:rsid w:val="00247D4C"/>
    <w:rsid w:val="00250811"/>
    <w:rsid w:val="00251862"/>
    <w:rsid w:val="0025271E"/>
    <w:rsid w:val="0026023F"/>
    <w:rsid w:val="00260664"/>
    <w:rsid w:val="00260980"/>
    <w:rsid w:val="00260EFB"/>
    <w:rsid w:val="002630A0"/>
    <w:rsid w:val="00263DC4"/>
    <w:rsid w:val="00264BE7"/>
    <w:rsid w:val="00265193"/>
    <w:rsid w:val="00265A9B"/>
    <w:rsid w:val="00267BD9"/>
    <w:rsid w:val="00267E70"/>
    <w:rsid w:val="00270F1A"/>
    <w:rsid w:val="002726B1"/>
    <w:rsid w:val="00277E00"/>
    <w:rsid w:val="00295840"/>
    <w:rsid w:val="002A50B6"/>
    <w:rsid w:val="002A5EEF"/>
    <w:rsid w:val="002A74D4"/>
    <w:rsid w:val="002B2A56"/>
    <w:rsid w:val="002B38C5"/>
    <w:rsid w:val="002B3EE1"/>
    <w:rsid w:val="002B7D47"/>
    <w:rsid w:val="002C01D2"/>
    <w:rsid w:val="002C06A5"/>
    <w:rsid w:val="002C25FD"/>
    <w:rsid w:val="002C50D5"/>
    <w:rsid w:val="002C5146"/>
    <w:rsid w:val="002D6B2D"/>
    <w:rsid w:val="002D7BD6"/>
    <w:rsid w:val="002E17F4"/>
    <w:rsid w:val="002E310A"/>
    <w:rsid w:val="002E3A60"/>
    <w:rsid w:val="002E62BC"/>
    <w:rsid w:val="002F0776"/>
    <w:rsid w:val="002F4361"/>
    <w:rsid w:val="002F4CD8"/>
    <w:rsid w:val="002F5070"/>
    <w:rsid w:val="002F62BB"/>
    <w:rsid w:val="002F66CB"/>
    <w:rsid w:val="002F7ADC"/>
    <w:rsid w:val="0030231C"/>
    <w:rsid w:val="003031E4"/>
    <w:rsid w:val="00310828"/>
    <w:rsid w:val="00310E16"/>
    <w:rsid w:val="00320C02"/>
    <w:rsid w:val="00323CF0"/>
    <w:rsid w:val="003269DB"/>
    <w:rsid w:val="003323D1"/>
    <w:rsid w:val="00332EEE"/>
    <w:rsid w:val="0033329F"/>
    <w:rsid w:val="00336F68"/>
    <w:rsid w:val="0034592A"/>
    <w:rsid w:val="00346253"/>
    <w:rsid w:val="00353322"/>
    <w:rsid w:val="003570AF"/>
    <w:rsid w:val="00357AA9"/>
    <w:rsid w:val="0036343D"/>
    <w:rsid w:val="00363730"/>
    <w:rsid w:val="00364790"/>
    <w:rsid w:val="00364F12"/>
    <w:rsid w:val="00376F79"/>
    <w:rsid w:val="00377CC9"/>
    <w:rsid w:val="00384782"/>
    <w:rsid w:val="003855A6"/>
    <w:rsid w:val="00390633"/>
    <w:rsid w:val="00390787"/>
    <w:rsid w:val="0039179F"/>
    <w:rsid w:val="00394408"/>
    <w:rsid w:val="00396B00"/>
    <w:rsid w:val="003A0ACC"/>
    <w:rsid w:val="003A16E5"/>
    <w:rsid w:val="003A2134"/>
    <w:rsid w:val="003A371C"/>
    <w:rsid w:val="003A5B3B"/>
    <w:rsid w:val="003B1722"/>
    <w:rsid w:val="003B5211"/>
    <w:rsid w:val="003B6BF9"/>
    <w:rsid w:val="003C2D13"/>
    <w:rsid w:val="003C34F0"/>
    <w:rsid w:val="003C425B"/>
    <w:rsid w:val="003C44AA"/>
    <w:rsid w:val="003C73FB"/>
    <w:rsid w:val="003D6726"/>
    <w:rsid w:val="003E1CCF"/>
    <w:rsid w:val="003E7023"/>
    <w:rsid w:val="003F08DB"/>
    <w:rsid w:val="003F2608"/>
    <w:rsid w:val="003F2FE1"/>
    <w:rsid w:val="003F3530"/>
    <w:rsid w:val="00401B98"/>
    <w:rsid w:val="00402DE1"/>
    <w:rsid w:val="00403CCA"/>
    <w:rsid w:val="004106D3"/>
    <w:rsid w:val="00410FEF"/>
    <w:rsid w:val="004111EA"/>
    <w:rsid w:val="0041694C"/>
    <w:rsid w:val="00416E78"/>
    <w:rsid w:val="004170A4"/>
    <w:rsid w:val="00420071"/>
    <w:rsid w:val="004205FE"/>
    <w:rsid w:val="00420C93"/>
    <w:rsid w:val="004220B1"/>
    <w:rsid w:val="00425405"/>
    <w:rsid w:val="004269B1"/>
    <w:rsid w:val="00430F2A"/>
    <w:rsid w:val="00440AD4"/>
    <w:rsid w:val="004415CE"/>
    <w:rsid w:val="00445651"/>
    <w:rsid w:val="0045122D"/>
    <w:rsid w:val="00453704"/>
    <w:rsid w:val="00455DD1"/>
    <w:rsid w:val="004571FA"/>
    <w:rsid w:val="00463E96"/>
    <w:rsid w:val="00466F1F"/>
    <w:rsid w:val="004675B3"/>
    <w:rsid w:val="00470894"/>
    <w:rsid w:val="00471809"/>
    <w:rsid w:val="00476B57"/>
    <w:rsid w:val="00481171"/>
    <w:rsid w:val="004834BA"/>
    <w:rsid w:val="00484A4D"/>
    <w:rsid w:val="00492826"/>
    <w:rsid w:val="00492BAF"/>
    <w:rsid w:val="00494D92"/>
    <w:rsid w:val="004A1472"/>
    <w:rsid w:val="004A36B2"/>
    <w:rsid w:val="004A67CF"/>
    <w:rsid w:val="004A6CBF"/>
    <w:rsid w:val="004A7C06"/>
    <w:rsid w:val="004B0990"/>
    <w:rsid w:val="004B0AB8"/>
    <w:rsid w:val="004B1082"/>
    <w:rsid w:val="004B27B8"/>
    <w:rsid w:val="004B34A2"/>
    <w:rsid w:val="004B3AE1"/>
    <w:rsid w:val="004B6D4D"/>
    <w:rsid w:val="004C12AC"/>
    <w:rsid w:val="004C4E25"/>
    <w:rsid w:val="004C6005"/>
    <w:rsid w:val="004D03C2"/>
    <w:rsid w:val="004D5A6B"/>
    <w:rsid w:val="004D68D1"/>
    <w:rsid w:val="004D6F9C"/>
    <w:rsid w:val="004D7059"/>
    <w:rsid w:val="004E2532"/>
    <w:rsid w:val="004E2740"/>
    <w:rsid w:val="004E2AB9"/>
    <w:rsid w:val="004E3932"/>
    <w:rsid w:val="004F353A"/>
    <w:rsid w:val="004F6151"/>
    <w:rsid w:val="0050257C"/>
    <w:rsid w:val="005030D1"/>
    <w:rsid w:val="00504986"/>
    <w:rsid w:val="005177C6"/>
    <w:rsid w:val="00520EE5"/>
    <w:rsid w:val="00521ED7"/>
    <w:rsid w:val="005227D5"/>
    <w:rsid w:val="0052636C"/>
    <w:rsid w:val="00540712"/>
    <w:rsid w:val="00541DD0"/>
    <w:rsid w:val="00542B3B"/>
    <w:rsid w:val="0054415F"/>
    <w:rsid w:val="005443AE"/>
    <w:rsid w:val="005445C2"/>
    <w:rsid w:val="00544683"/>
    <w:rsid w:val="00546310"/>
    <w:rsid w:val="00546531"/>
    <w:rsid w:val="0055045F"/>
    <w:rsid w:val="00550CA0"/>
    <w:rsid w:val="00551D01"/>
    <w:rsid w:val="00562512"/>
    <w:rsid w:val="005628CD"/>
    <w:rsid w:val="00564E44"/>
    <w:rsid w:val="00565518"/>
    <w:rsid w:val="00565AE2"/>
    <w:rsid w:val="00566A77"/>
    <w:rsid w:val="005725F2"/>
    <w:rsid w:val="00581015"/>
    <w:rsid w:val="005811A6"/>
    <w:rsid w:val="0058529B"/>
    <w:rsid w:val="005903DC"/>
    <w:rsid w:val="00590748"/>
    <w:rsid w:val="00591C4E"/>
    <w:rsid w:val="00591E7C"/>
    <w:rsid w:val="00593255"/>
    <w:rsid w:val="0059469F"/>
    <w:rsid w:val="00595541"/>
    <w:rsid w:val="005958A0"/>
    <w:rsid w:val="00595D87"/>
    <w:rsid w:val="005A33C8"/>
    <w:rsid w:val="005A6E3C"/>
    <w:rsid w:val="005B22E5"/>
    <w:rsid w:val="005B4296"/>
    <w:rsid w:val="005C0A75"/>
    <w:rsid w:val="005C2183"/>
    <w:rsid w:val="005C2244"/>
    <w:rsid w:val="005C3F3D"/>
    <w:rsid w:val="005C481C"/>
    <w:rsid w:val="005C56F8"/>
    <w:rsid w:val="005D07CC"/>
    <w:rsid w:val="005D35CD"/>
    <w:rsid w:val="005D5200"/>
    <w:rsid w:val="005E2DD5"/>
    <w:rsid w:val="005E6D41"/>
    <w:rsid w:val="005E752C"/>
    <w:rsid w:val="005F0567"/>
    <w:rsid w:val="005F0582"/>
    <w:rsid w:val="005F15BA"/>
    <w:rsid w:val="005F7ECB"/>
    <w:rsid w:val="00600065"/>
    <w:rsid w:val="006014E1"/>
    <w:rsid w:val="0060156F"/>
    <w:rsid w:val="00606AFF"/>
    <w:rsid w:val="00606D78"/>
    <w:rsid w:val="00610AD7"/>
    <w:rsid w:val="00615B09"/>
    <w:rsid w:val="00624394"/>
    <w:rsid w:val="00631138"/>
    <w:rsid w:val="00634621"/>
    <w:rsid w:val="0063508E"/>
    <w:rsid w:val="00636EF5"/>
    <w:rsid w:val="00641CA1"/>
    <w:rsid w:val="006425F3"/>
    <w:rsid w:val="0065173A"/>
    <w:rsid w:val="006521A6"/>
    <w:rsid w:val="006551B8"/>
    <w:rsid w:val="00657865"/>
    <w:rsid w:val="00662F3D"/>
    <w:rsid w:val="0066321D"/>
    <w:rsid w:val="00663973"/>
    <w:rsid w:val="00663A11"/>
    <w:rsid w:val="0066458C"/>
    <w:rsid w:val="00665A3A"/>
    <w:rsid w:val="00666380"/>
    <w:rsid w:val="00667E6E"/>
    <w:rsid w:val="0067009F"/>
    <w:rsid w:val="0067101B"/>
    <w:rsid w:val="0067176D"/>
    <w:rsid w:val="00673AD7"/>
    <w:rsid w:val="00673C0A"/>
    <w:rsid w:val="00683102"/>
    <w:rsid w:val="00686EFF"/>
    <w:rsid w:val="00694167"/>
    <w:rsid w:val="006978EC"/>
    <w:rsid w:val="006A0669"/>
    <w:rsid w:val="006A0712"/>
    <w:rsid w:val="006A0752"/>
    <w:rsid w:val="006A0D53"/>
    <w:rsid w:val="006A265D"/>
    <w:rsid w:val="006A755A"/>
    <w:rsid w:val="006B02A9"/>
    <w:rsid w:val="006B21E3"/>
    <w:rsid w:val="006B34CF"/>
    <w:rsid w:val="006B5ABA"/>
    <w:rsid w:val="006B63F5"/>
    <w:rsid w:val="006B76F6"/>
    <w:rsid w:val="006C5934"/>
    <w:rsid w:val="006D0754"/>
    <w:rsid w:val="006E4BAB"/>
    <w:rsid w:val="006E5222"/>
    <w:rsid w:val="006E66D6"/>
    <w:rsid w:val="006E76CA"/>
    <w:rsid w:val="006F5A45"/>
    <w:rsid w:val="006F706C"/>
    <w:rsid w:val="00701BD2"/>
    <w:rsid w:val="00706C96"/>
    <w:rsid w:val="00707708"/>
    <w:rsid w:val="00710389"/>
    <w:rsid w:val="007157DA"/>
    <w:rsid w:val="007231DD"/>
    <w:rsid w:val="0072324A"/>
    <w:rsid w:val="007353F6"/>
    <w:rsid w:val="00737550"/>
    <w:rsid w:val="00740491"/>
    <w:rsid w:val="007420B0"/>
    <w:rsid w:val="00746ACD"/>
    <w:rsid w:val="00752FB1"/>
    <w:rsid w:val="00753E04"/>
    <w:rsid w:val="00754CEE"/>
    <w:rsid w:val="0075531D"/>
    <w:rsid w:val="0075551D"/>
    <w:rsid w:val="007557ED"/>
    <w:rsid w:val="00757D35"/>
    <w:rsid w:val="00760387"/>
    <w:rsid w:val="00762001"/>
    <w:rsid w:val="00762307"/>
    <w:rsid w:val="0076520C"/>
    <w:rsid w:val="007657F0"/>
    <w:rsid w:val="007674C5"/>
    <w:rsid w:val="0076790D"/>
    <w:rsid w:val="00770C97"/>
    <w:rsid w:val="0077242D"/>
    <w:rsid w:val="007754EB"/>
    <w:rsid w:val="00775504"/>
    <w:rsid w:val="00775859"/>
    <w:rsid w:val="007779A7"/>
    <w:rsid w:val="00781929"/>
    <w:rsid w:val="00781ABD"/>
    <w:rsid w:val="00781B50"/>
    <w:rsid w:val="0078501A"/>
    <w:rsid w:val="00786DBD"/>
    <w:rsid w:val="0078777E"/>
    <w:rsid w:val="00791492"/>
    <w:rsid w:val="00793C6D"/>
    <w:rsid w:val="007948BF"/>
    <w:rsid w:val="00795EC8"/>
    <w:rsid w:val="00796329"/>
    <w:rsid w:val="007A2067"/>
    <w:rsid w:val="007A2131"/>
    <w:rsid w:val="007A2F5F"/>
    <w:rsid w:val="007A5D58"/>
    <w:rsid w:val="007B066A"/>
    <w:rsid w:val="007B10F9"/>
    <w:rsid w:val="007B241C"/>
    <w:rsid w:val="007B692C"/>
    <w:rsid w:val="007B72A8"/>
    <w:rsid w:val="007C0FB4"/>
    <w:rsid w:val="007C32D0"/>
    <w:rsid w:val="007C6810"/>
    <w:rsid w:val="007D187D"/>
    <w:rsid w:val="007D6A90"/>
    <w:rsid w:val="007E32EE"/>
    <w:rsid w:val="007E463E"/>
    <w:rsid w:val="007E4A94"/>
    <w:rsid w:val="007E70DC"/>
    <w:rsid w:val="007E7306"/>
    <w:rsid w:val="007F0E16"/>
    <w:rsid w:val="007F1186"/>
    <w:rsid w:val="007F499D"/>
    <w:rsid w:val="007F7B01"/>
    <w:rsid w:val="0080080F"/>
    <w:rsid w:val="00804E56"/>
    <w:rsid w:val="00805CE0"/>
    <w:rsid w:val="00807327"/>
    <w:rsid w:val="00810412"/>
    <w:rsid w:val="008158A6"/>
    <w:rsid w:val="00817772"/>
    <w:rsid w:val="0082321C"/>
    <w:rsid w:val="00823FCD"/>
    <w:rsid w:val="00824926"/>
    <w:rsid w:val="00827135"/>
    <w:rsid w:val="008272BE"/>
    <w:rsid w:val="00834245"/>
    <w:rsid w:val="008347E0"/>
    <w:rsid w:val="00835E44"/>
    <w:rsid w:val="008366B3"/>
    <w:rsid w:val="00837F20"/>
    <w:rsid w:val="00843D8E"/>
    <w:rsid w:val="008465BA"/>
    <w:rsid w:val="00851A41"/>
    <w:rsid w:val="008560CA"/>
    <w:rsid w:val="008644FF"/>
    <w:rsid w:val="00865FA7"/>
    <w:rsid w:val="00871457"/>
    <w:rsid w:val="00877F56"/>
    <w:rsid w:val="00877F72"/>
    <w:rsid w:val="00884799"/>
    <w:rsid w:val="008939F2"/>
    <w:rsid w:val="008968FC"/>
    <w:rsid w:val="00897999"/>
    <w:rsid w:val="008A0C21"/>
    <w:rsid w:val="008A5AF2"/>
    <w:rsid w:val="008B04F7"/>
    <w:rsid w:val="008B0EF5"/>
    <w:rsid w:val="008B582C"/>
    <w:rsid w:val="008C0993"/>
    <w:rsid w:val="008C2A9A"/>
    <w:rsid w:val="008C45E1"/>
    <w:rsid w:val="008C6B4E"/>
    <w:rsid w:val="008D1090"/>
    <w:rsid w:val="008D391B"/>
    <w:rsid w:val="008D4C41"/>
    <w:rsid w:val="008D53FE"/>
    <w:rsid w:val="008E3CA1"/>
    <w:rsid w:val="008E42FE"/>
    <w:rsid w:val="008E5C5F"/>
    <w:rsid w:val="008E6060"/>
    <w:rsid w:val="008E68F1"/>
    <w:rsid w:val="008E74A2"/>
    <w:rsid w:val="00900F7A"/>
    <w:rsid w:val="0090166A"/>
    <w:rsid w:val="009057F5"/>
    <w:rsid w:val="009124CA"/>
    <w:rsid w:val="00913FA5"/>
    <w:rsid w:val="009155A1"/>
    <w:rsid w:val="00920100"/>
    <w:rsid w:val="0092026E"/>
    <w:rsid w:val="00921ED4"/>
    <w:rsid w:val="009229A7"/>
    <w:rsid w:val="009230EE"/>
    <w:rsid w:val="009264D8"/>
    <w:rsid w:val="00927FAE"/>
    <w:rsid w:val="00930221"/>
    <w:rsid w:val="00930232"/>
    <w:rsid w:val="00931DC6"/>
    <w:rsid w:val="009363FF"/>
    <w:rsid w:val="0093792B"/>
    <w:rsid w:val="00941DD0"/>
    <w:rsid w:val="009453B1"/>
    <w:rsid w:val="00946530"/>
    <w:rsid w:val="009521AD"/>
    <w:rsid w:val="0095355B"/>
    <w:rsid w:val="00956ADA"/>
    <w:rsid w:val="00957801"/>
    <w:rsid w:val="00960B7E"/>
    <w:rsid w:val="009626E1"/>
    <w:rsid w:val="00965C4C"/>
    <w:rsid w:val="00970C9F"/>
    <w:rsid w:val="009723E4"/>
    <w:rsid w:val="009744EA"/>
    <w:rsid w:val="009762A8"/>
    <w:rsid w:val="00977602"/>
    <w:rsid w:val="0098250E"/>
    <w:rsid w:val="0098372C"/>
    <w:rsid w:val="0099182B"/>
    <w:rsid w:val="009928BD"/>
    <w:rsid w:val="009973F6"/>
    <w:rsid w:val="00997C80"/>
    <w:rsid w:val="009A2F39"/>
    <w:rsid w:val="009A4B8A"/>
    <w:rsid w:val="009B6EC5"/>
    <w:rsid w:val="009C1D02"/>
    <w:rsid w:val="009C279D"/>
    <w:rsid w:val="009C7751"/>
    <w:rsid w:val="009D2157"/>
    <w:rsid w:val="009D3319"/>
    <w:rsid w:val="009D3356"/>
    <w:rsid w:val="009D65DE"/>
    <w:rsid w:val="009D735A"/>
    <w:rsid w:val="009F0C32"/>
    <w:rsid w:val="009F4DEF"/>
    <w:rsid w:val="009F6D78"/>
    <w:rsid w:val="00A0159B"/>
    <w:rsid w:val="00A024E0"/>
    <w:rsid w:val="00A04D3D"/>
    <w:rsid w:val="00A0511F"/>
    <w:rsid w:val="00A06D80"/>
    <w:rsid w:val="00A16A46"/>
    <w:rsid w:val="00A16C10"/>
    <w:rsid w:val="00A17F80"/>
    <w:rsid w:val="00A20110"/>
    <w:rsid w:val="00A21529"/>
    <w:rsid w:val="00A2348B"/>
    <w:rsid w:val="00A2539A"/>
    <w:rsid w:val="00A31832"/>
    <w:rsid w:val="00A33116"/>
    <w:rsid w:val="00A33AF1"/>
    <w:rsid w:val="00A34599"/>
    <w:rsid w:val="00A358EB"/>
    <w:rsid w:val="00A36540"/>
    <w:rsid w:val="00A367AF"/>
    <w:rsid w:val="00A3799B"/>
    <w:rsid w:val="00A42C51"/>
    <w:rsid w:val="00A57DE5"/>
    <w:rsid w:val="00A60514"/>
    <w:rsid w:val="00A62B5E"/>
    <w:rsid w:val="00A66190"/>
    <w:rsid w:val="00A73BE7"/>
    <w:rsid w:val="00A76651"/>
    <w:rsid w:val="00A80060"/>
    <w:rsid w:val="00A80EC8"/>
    <w:rsid w:val="00A840CE"/>
    <w:rsid w:val="00A90314"/>
    <w:rsid w:val="00A9077F"/>
    <w:rsid w:val="00A967D4"/>
    <w:rsid w:val="00AA5B70"/>
    <w:rsid w:val="00AA7C8C"/>
    <w:rsid w:val="00AB0205"/>
    <w:rsid w:val="00AB5E79"/>
    <w:rsid w:val="00AC0D5D"/>
    <w:rsid w:val="00AC4AC5"/>
    <w:rsid w:val="00AC5BE0"/>
    <w:rsid w:val="00AD034C"/>
    <w:rsid w:val="00AD1021"/>
    <w:rsid w:val="00AD5043"/>
    <w:rsid w:val="00AD51E1"/>
    <w:rsid w:val="00AE040A"/>
    <w:rsid w:val="00AE1FD0"/>
    <w:rsid w:val="00AE275F"/>
    <w:rsid w:val="00AE56DD"/>
    <w:rsid w:val="00AF06C3"/>
    <w:rsid w:val="00AF1D98"/>
    <w:rsid w:val="00AF2D40"/>
    <w:rsid w:val="00AF2E4A"/>
    <w:rsid w:val="00AF3380"/>
    <w:rsid w:val="00AF6696"/>
    <w:rsid w:val="00AF763E"/>
    <w:rsid w:val="00B01182"/>
    <w:rsid w:val="00B017AD"/>
    <w:rsid w:val="00B02609"/>
    <w:rsid w:val="00B03CD0"/>
    <w:rsid w:val="00B04C50"/>
    <w:rsid w:val="00B05B5D"/>
    <w:rsid w:val="00B110E5"/>
    <w:rsid w:val="00B126CB"/>
    <w:rsid w:val="00B154FA"/>
    <w:rsid w:val="00B169A4"/>
    <w:rsid w:val="00B2391F"/>
    <w:rsid w:val="00B32DDE"/>
    <w:rsid w:val="00B355EE"/>
    <w:rsid w:val="00B403F1"/>
    <w:rsid w:val="00B4717B"/>
    <w:rsid w:val="00B47D91"/>
    <w:rsid w:val="00B54843"/>
    <w:rsid w:val="00B6095D"/>
    <w:rsid w:val="00B61DF0"/>
    <w:rsid w:val="00B635A6"/>
    <w:rsid w:val="00B650C8"/>
    <w:rsid w:val="00B6594D"/>
    <w:rsid w:val="00B76B13"/>
    <w:rsid w:val="00B80E25"/>
    <w:rsid w:val="00B810A6"/>
    <w:rsid w:val="00B8378B"/>
    <w:rsid w:val="00B858FD"/>
    <w:rsid w:val="00B93059"/>
    <w:rsid w:val="00B95E45"/>
    <w:rsid w:val="00BA4DAA"/>
    <w:rsid w:val="00BA5800"/>
    <w:rsid w:val="00BA7018"/>
    <w:rsid w:val="00BB195E"/>
    <w:rsid w:val="00BB3440"/>
    <w:rsid w:val="00BC1F85"/>
    <w:rsid w:val="00BC2003"/>
    <w:rsid w:val="00BC31C7"/>
    <w:rsid w:val="00BD0D9B"/>
    <w:rsid w:val="00BD1EE7"/>
    <w:rsid w:val="00BF3E35"/>
    <w:rsid w:val="00BF462D"/>
    <w:rsid w:val="00BF4E7A"/>
    <w:rsid w:val="00C0387E"/>
    <w:rsid w:val="00C13E72"/>
    <w:rsid w:val="00C148CC"/>
    <w:rsid w:val="00C14E09"/>
    <w:rsid w:val="00C155AB"/>
    <w:rsid w:val="00C24D01"/>
    <w:rsid w:val="00C266AB"/>
    <w:rsid w:val="00C32362"/>
    <w:rsid w:val="00C353A4"/>
    <w:rsid w:val="00C36438"/>
    <w:rsid w:val="00C40D1F"/>
    <w:rsid w:val="00C40F39"/>
    <w:rsid w:val="00C4127B"/>
    <w:rsid w:val="00C44BAF"/>
    <w:rsid w:val="00C531A3"/>
    <w:rsid w:val="00C57136"/>
    <w:rsid w:val="00C62A46"/>
    <w:rsid w:val="00C64BA3"/>
    <w:rsid w:val="00C65939"/>
    <w:rsid w:val="00C7059B"/>
    <w:rsid w:val="00C70BD6"/>
    <w:rsid w:val="00C72DEE"/>
    <w:rsid w:val="00C77453"/>
    <w:rsid w:val="00C77A11"/>
    <w:rsid w:val="00C86C4E"/>
    <w:rsid w:val="00C901EF"/>
    <w:rsid w:val="00C90AD7"/>
    <w:rsid w:val="00C969CC"/>
    <w:rsid w:val="00CA133A"/>
    <w:rsid w:val="00CA4309"/>
    <w:rsid w:val="00CB542C"/>
    <w:rsid w:val="00CB587D"/>
    <w:rsid w:val="00CC1FA4"/>
    <w:rsid w:val="00CC2744"/>
    <w:rsid w:val="00CC3530"/>
    <w:rsid w:val="00CC4305"/>
    <w:rsid w:val="00CC43E8"/>
    <w:rsid w:val="00CC4802"/>
    <w:rsid w:val="00CC57D3"/>
    <w:rsid w:val="00CD276A"/>
    <w:rsid w:val="00CD6D7D"/>
    <w:rsid w:val="00CD7660"/>
    <w:rsid w:val="00CD7D5A"/>
    <w:rsid w:val="00CE00A6"/>
    <w:rsid w:val="00CF5158"/>
    <w:rsid w:val="00D01CAA"/>
    <w:rsid w:val="00D12CCF"/>
    <w:rsid w:val="00D1443E"/>
    <w:rsid w:val="00D2278C"/>
    <w:rsid w:val="00D30F99"/>
    <w:rsid w:val="00D34B9D"/>
    <w:rsid w:val="00D35F7D"/>
    <w:rsid w:val="00D36845"/>
    <w:rsid w:val="00D40A53"/>
    <w:rsid w:val="00D4165D"/>
    <w:rsid w:val="00D43330"/>
    <w:rsid w:val="00D63E13"/>
    <w:rsid w:val="00D642FB"/>
    <w:rsid w:val="00D65ECE"/>
    <w:rsid w:val="00D668F7"/>
    <w:rsid w:val="00D719E9"/>
    <w:rsid w:val="00D75930"/>
    <w:rsid w:val="00D7627E"/>
    <w:rsid w:val="00D81DD4"/>
    <w:rsid w:val="00D82F0A"/>
    <w:rsid w:val="00D86470"/>
    <w:rsid w:val="00D87BD3"/>
    <w:rsid w:val="00D93D95"/>
    <w:rsid w:val="00D94658"/>
    <w:rsid w:val="00D948E8"/>
    <w:rsid w:val="00D9726C"/>
    <w:rsid w:val="00D976CA"/>
    <w:rsid w:val="00DA5366"/>
    <w:rsid w:val="00DA6755"/>
    <w:rsid w:val="00DA69D1"/>
    <w:rsid w:val="00DB218F"/>
    <w:rsid w:val="00DB5B57"/>
    <w:rsid w:val="00DB6FF9"/>
    <w:rsid w:val="00DC0F39"/>
    <w:rsid w:val="00DC5001"/>
    <w:rsid w:val="00DD136B"/>
    <w:rsid w:val="00DD486F"/>
    <w:rsid w:val="00DD55B2"/>
    <w:rsid w:val="00DD79A9"/>
    <w:rsid w:val="00DE1041"/>
    <w:rsid w:val="00DE16F9"/>
    <w:rsid w:val="00DE280A"/>
    <w:rsid w:val="00DE3CF1"/>
    <w:rsid w:val="00DE6296"/>
    <w:rsid w:val="00DF1313"/>
    <w:rsid w:val="00DF2A54"/>
    <w:rsid w:val="00DF3756"/>
    <w:rsid w:val="00DF5841"/>
    <w:rsid w:val="00DF5D1E"/>
    <w:rsid w:val="00DF6FBA"/>
    <w:rsid w:val="00E02636"/>
    <w:rsid w:val="00E15FB8"/>
    <w:rsid w:val="00E22CC3"/>
    <w:rsid w:val="00E23538"/>
    <w:rsid w:val="00E23B43"/>
    <w:rsid w:val="00E24405"/>
    <w:rsid w:val="00E24E30"/>
    <w:rsid w:val="00E27F1A"/>
    <w:rsid w:val="00E31A57"/>
    <w:rsid w:val="00E35B4B"/>
    <w:rsid w:val="00E3613F"/>
    <w:rsid w:val="00E43E0D"/>
    <w:rsid w:val="00E47E7C"/>
    <w:rsid w:val="00E515F0"/>
    <w:rsid w:val="00E5271F"/>
    <w:rsid w:val="00E5378F"/>
    <w:rsid w:val="00E60BA2"/>
    <w:rsid w:val="00E66AEE"/>
    <w:rsid w:val="00E66EE4"/>
    <w:rsid w:val="00E67361"/>
    <w:rsid w:val="00E72032"/>
    <w:rsid w:val="00E7419E"/>
    <w:rsid w:val="00E74C3C"/>
    <w:rsid w:val="00E75069"/>
    <w:rsid w:val="00E75E1A"/>
    <w:rsid w:val="00E767DF"/>
    <w:rsid w:val="00E772AC"/>
    <w:rsid w:val="00E77C09"/>
    <w:rsid w:val="00E802F2"/>
    <w:rsid w:val="00E807E9"/>
    <w:rsid w:val="00E82C4A"/>
    <w:rsid w:val="00E83E48"/>
    <w:rsid w:val="00E8677C"/>
    <w:rsid w:val="00E876D6"/>
    <w:rsid w:val="00E94A62"/>
    <w:rsid w:val="00EA139B"/>
    <w:rsid w:val="00EA3A32"/>
    <w:rsid w:val="00EA7C83"/>
    <w:rsid w:val="00EB0025"/>
    <w:rsid w:val="00EB42C7"/>
    <w:rsid w:val="00EB54D0"/>
    <w:rsid w:val="00EC0954"/>
    <w:rsid w:val="00EC10AE"/>
    <w:rsid w:val="00EC37E9"/>
    <w:rsid w:val="00EC563E"/>
    <w:rsid w:val="00EC57FF"/>
    <w:rsid w:val="00EC6F72"/>
    <w:rsid w:val="00ED1924"/>
    <w:rsid w:val="00ED7B62"/>
    <w:rsid w:val="00EE2060"/>
    <w:rsid w:val="00EE2E29"/>
    <w:rsid w:val="00EE3820"/>
    <w:rsid w:val="00EE4A06"/>
    <w:rsid w:val="00EF3152"/>
    <w:rsid w:val="00EF6019"/>
    <w:rsid w:val="00EF74B1"/>
    <w:rsid w:val="00F001D0"/>
    <w:rsid w:val="00F032E8"/>
    <w:rsid w:val="00F03B41"/>
    <w:rsid w:val="00F05054"/>
    <w:rsid w:val="00F053B7"/>
    <w:rsid w:val="00F06707"/>
    <w:rsid w:val="00F07132"/>
    <w:rsid w:val="00F10C9E"/>
    <w:rsid w:val="00F16C95"/>
    <w:rsid w:val="00F17E24"/>
    <w:rsid w:val="00F2032F"/>
    <w:rsid w:val="00F205CF"/>
    <w:rsid w:val="00F22C6B"/>
    <w:rsid w:val="00F32802"/>
    <w:rsid w:val="00F34350"/>
    <w:rsid w:val="00F349AD"/>
    <w:rsid w:val="00F37D12"/>
    <w:rsid w:val="00F37D5C"/>
    <w:rsid w:val="00F4208C"/>
    <w:rsid w:val="00F43C58"/>
    <w:rsid w:val="00F44F5A"/>
    <w:rsid w:val="00F51244"/>
    <w:rsid w:val="00F51C8F"/>
    <w:rsid w:val="00F5343E"/>
    <w:rsid w:val="00F5511C"/>
    <w:rsid w:val="00F66D72"/>
    <w:rsid w:val="00F719D4"/>
    <w:rsid w:val="00F71CA8"/>
    <w:rsid w:val="00F77DFE"/>
    <w:rsid w:val="00F77FE8"/>
    <w:rsid w:val="00F80326"/>
    <w:rsid w:val="00F82A8C"/>
    <w:rsid w:val="00F82BAC"/>
    <w:rsid w:val="00F8666D"/>
    <w:rsid w:val="00F909A8"/>
    <w:rsid w:val="00F91261"/>
    <w:rsid w:val="00F941E5"/>
    <w:rsid w:val="00FA6713"/>
    <w:rsid w:val="00FB05E4"/>
    <w:rsid w:val="00FB281C"/>
    <w:rsid w:val="00FB4F49"/>
    <w:rsid w:val="00FC0E62"/>
    <w:rsid w:val="00FC2435"/>
    <w:rsid w:val="00FC36C0"/>
    <w:rsid w:val="00FC62B8"/>
    <w:rsid w:val="00FD4996"/>
    <w:rsid w:val="00FE24D7"/>
    <w:rsid w:val="00FE566B"/>
    <w:rsid w:val="00FE73AC"/>
    <w:rsid w:val="00FE7BE9"/>
    <w:rsid w:val="00FF7E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1B423"/>
  <w15:docId w15:val="{C8E4B985-77D5-4EBC-A3BA-B7B04E2A1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065"/>
    <w:pPr>
      <w:ind w:left="720"/>
      <w:contextualSpacing/>
    </w:pPr>
  </w:style>
  <w:style w:type="character" w:styleId="CommentReference">
    <w:name w:val="annotation reference"/>
    <w:basedOn w:val="DefaultParagraphFont"/>
    <w:uiPriority w:val="99"/>
    <w:semiHidden/>
    <w:unhideWhenUsed/>
    <w:rsid w:val="004571FA"/>
    <w:rPr>
      <w:sz w:val="16"/>
      <w:szCs w:val="16"/>
    </w:rPr>
  </w:style>
  <w:style w:type="paragraph" w:styleId="CommentText">
    <w:name w:val="annotation text"/>
    <w:basedOn w:val="Normal"/>
    <w:link w:val="CommentTextChar"/>
    <w:uiPriority w:val="99"/>
    <w:semiHidden/>
    <w:unhideWhenUsed/>
    <w:rsid w:val="004571FA"/>
    <w:pPr>
      <w:spacing w:line="240" w:lineRule="auto"/>
    </w:pPr>
    <w:rPr>
      <w:sz w:val="20"/>
      <w:szCs w:val="20"/>
    </w:rPr>
  </w:style>
  <w:style w:type="character" w:customStyle="1" w:styleId="CommentTextChar">
    <w:name w:val="Comment Text Char"/>
    <w:basedOn w:val="DefaultParagraphFont"/>
    <w:link w:val="CommentText"/>
    <w:uiPriority w:val="99"/>
    <w:semiHidden/>
    <w:rsid w:val="004571FA"/>
    <w:rPr>
      <w:sz w:val="20"/>
      <w:szCs w:val="20"/>
    </w:rPr>
  </w:style>
  <w:style w:type="paragraph" w:styleId="CommentSubject">
    <w:name w:val="annotation subject"/>
    <w:basedOn w:val="CommentText"/>
    <w:next w:val="CommentText"/>
    <w:link w:val="CommentSubjectChar"/>
    <w:uiPriority w:val="99"/>
    <w:semiHidden/>
    <w:unhideWhenUsed/>
    <w:rsid w:val="004571FA"/>
    <w:rPr>
      <w:b/>
      <w:bCs/>
    </w:rPr>
  </w:style>
  <w:style w:type="character" w:customStyle="1" w:styleId="CommentSubjectChar">
    <w:name w:val="Comment Subject Char"/>
    <w:basedOn w:val="CommentTextChar"/>
    <w:link w:val="CommentSubject"/>
    <w:uiPriority w:val="99"/>
    <w:semiHidden/>
    <w:rsid w:val="004571FA"/>
    <w:rPr>
      <w:b/>
      <w:bCs/>
      <w:sz w:val="20"/>
      <w:szCs w:val="20"/>
    </w:rPr>
  </w:style>
  <w:style w:type="paragraph" w:styleId="BalloonText">
    <w:name w:val="Balloon Text"/>
    <w:basedOn w:val="Normal"/>
    <w:link w:val="BalloonTextChar"/>
    <w:uiPriority w:val="99"/>
    <w:semiHidden/>
    <w:unhideWhenUsed/>
    <w:rsid w:val="00715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7DA"/>
    <w:rPr>
      <w:rFonts w:ascii="Segoe UI" w:hAnsi="Segoe UI" w:cs="Segoe UI"/>
      <w:sz w:val="18"/>
      <w:szCs w:val="18"/>
    </w:rPr>
  </w:style>
  <w:style w:type="character" w:styleId="PlaceholderText">
    <w:name w:val="Placeholder Text"/>
    <w:basedOn w:val="DefaultParagraphFont"/>
    <w:uiPriority w:val="99"/>
    <w:semiHidden/>
    <w:rsid w:val="00265A9B"/>
    <w:rPr>
      <w:color w:val="808080"/>
    </w:rPr>
  </w:style>
  <w:style w:type="paragraph" w:styleId="Header">
    <w:name w:val="header"/>
    <w:basedOn w:val="Normal"/>
    <w:link w:val="HeaderChar"/>
    <w:uiPriority w:val="99"/>
    <w:unhideWhenUsed/>
    <w:rsid w:val="00194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D32"/>
  </w:style>
  <w:style w:type="paragraph" w:styleId="Footer">
    <w:name w:val="footer"/>
    <w:basedOn w:val="Normal"/>
    <w:link w:val="FooterChar"/>
    <w:uiPriority w:val="99"/>
    <w:unhideWhenUsed/>
    <w:rsid w:val="00194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D32"/>
  </w:style>
  <w:style w:type="table" w:styleId="TableGrid">
    <w:name w:val="Table Grid"/>
    <w:basedOn w:val="TableNormal"/>
    <w:uiPriority w:val="39"/>
    <w:rsid w:val="00927FAE"/>
    <w:pPr>
      <w:spacing w:after="0" w:line="240" w:lineRule="auto"/>
    </w:pPr>
    <w:rPr>
      <w:kern w:val="2"/>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jpg"/><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2025-06-12T12:58:14Z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2025-06-12T00:00:00Z</Date_x0020_protokolli>
    <Titulli xmlns="0e656187-b300-4fb0-8bf4-3a50f872073c">Për ratifikimin e marrëveshjes sipas Konventës së Kombeve të Bashkuara për të drejtën e detit mbi ruajtjen dhe përdorimin e qendrueshëm të diversitetit biologjik detar të zonave përtej juridiksionit kombëtar</Titulli>
    <Modifikuesi xmlns="0e656187-b300-4fb0-8bf4-3a50f872073c">ermira.bukaci</Modifikuesi>
    <Nr_x002e__x0020_prot_x0020_QBZ xmlns="0e656187-b300-4fb0-8bf4-3a50f872073c">935/1</Nr_x002e__x0020_prot_x0020_QBZ>
    <Data_x0020_e_x0020_Modifikimit xmlns="0e656187-b300-4fb0-8bf4-3a50f872073c">2025-06-17T10:12:47Z</Data_x0020_e_x0020_Modifikimit>
    <Dekretuar xmlns="0e656187-b300-4fb0-8bf4-3a50f872073c">false</Dekretuar>
    <Data xmlns="0e656187-b300-4fb0-8bf4-3a50f872073c">2025-06-05T00:00:00Z</Data>
    <Nr_x002e__x0020_protokolli_x0020_i_x0020_aktit xmlns="0e656187-b300-4fb0-8bf4-3a50f872073c">1318/3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D4CB7C0C9814343BA8C2A5FE157BA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51359-3A18-4182-82E0-0170608D1C0B}">
  <ds:schemaRefs>
    <ds:schemaRef ds:uri="http://purl.org/dc/elements/1.1/"/>
    <ds:schemaRef ds:uri="http://www.w3.org/XML/1998/namespace"/>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purl.org/dc/dcmitype/"/>
    <ds:schemaRef ds:uri="0e656187-b300-4fb0-8bf4-3a50f872073c"/>
  </ds:schemaRefs>
</ds:datastoreItem>
</file>

<file path=customXml/itemProps2.xml><?xml version="1.0" encoding="utf-8"?>
<ds:datastoreItem xmlns:ds="http://schemas.openxmlformats.org/officeDocument/2006/customXml" ds:itemID="{F321738F-4D23-432A-B848-A4CF31415B28}">
  <ds:schemaRefs>
    <ds:schemaRef ds:uri="http://schemas.microsoft.com/sharepoint/v3/contenttype/forms"/>
  </ds:schemaRefs>
</ds:datastoreItem>
</file>

<file path=customXml/itemProps3.xml><?xml version="1.0" encoding="utf-8"?>
<ds:datastoreItem xmlns:ds="http://schemas.openxmlformats.org/officeDocument/2006/customXml" ds:itemID="{E3F39796-C949-4E7A-8740-FF6CB0BC4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71C08E-1B89-447C-9107-82BE5AE4B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52</Pages>
  <Words>22264</Words>
  <Characters>126905</Characters>
  <Application>Microsoft Office Word</Application>
  <DocSecurity>0</DocSecurity>
  <Lines>1057</Lines>
  <Paragraphs>297</Paragraphs>
  <ScaleCrop>false</ScaleCrop>
  <HeadingPairs>
    <vt:vector size="2" baseType="variant">
      <vt:variant>
        <vt:lpstr>Title</vt:lpstr>
      </vt:variant>
      <vt:variant>
        <vt:i4>1</vt:i4>
      </vt:variant>
    </vt:vector>
  </HeadingPairs>
  <TitlesOfParts>
    <vt:vector size="1" baseType="lpstr">
      <vt:lpstr>Për ratifikimin e marrëveshjes sipas Konventës së Kombeve të Bashkuara për të drejtën e detit mbi ruajtjen dhe përdorimin e qendrueshëm të diversitetit biologjik detar të zonave përtej juridiksionit kombëtar</vt:lpstr>
    </vt:vector>
  </TitlesOfParts>
  <Company/>
  <LinksUpToDate>false</LinksUpToDate>
  <CharactersWithSpaces>148872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sipas Konventës së Kombeve të Bashkuara për të drejtën e detit mbi ruajtjen dhe përdorimin e qendrueshëm të diversitetit biologjik detar të zonave përtej juridiksionit kombëtar</dc:title>
  <dc:creator>Adelina Merko</dc:creator>
  <cp:lastModifiedBy>Ermira Bukaci</cp:lastModifiedBy>
  <cp:revision>184</cp:revision>
  <dcterms:created xsi:type="dcterms:W3CDTF">2025-03-20T13:48:00Z</dcterms:created>
  <dcterms:modified xsi:type="dcterms:W3CDTF">2025-06-17T11:58:00Z</dcterms:modified>
</cp:coreProperties>
</file>