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A7C54E" w14:textId="77777777" w:rsidR="00420682" w:rsidRPr="00291458" w:rsidRDefault="00420682" w:rsidP="00FC4C60">
      <w:pPr>
        <w:spacing w:after="0" w:line="240" w:lineRule="auto"/>
        <w:ind w:firstLine="284"/>
        <w:jc w:val="center"/>
        <w:rPr>
          <w:rFonts w:ascii="Garamond" w:hAnsi="Garamond" w:cs="Times New Roman"/>
          <w:b/>
          <w:sz w:val="24"/>
          <w:szCs w:val="24"/>
        </w:rPr>
      </w:pPr>
      <w:r w:rsidRPr="00291458">
        <w:rPr>
          <w:rFonts w:ascii="Garamond" w:hAnsi="Garamond" w:cs="Times New Roman"/>
          <w:b/>
          <w:sz w:val="24"/>
          <w:szCs w:val="24"/>
        </w:rPr>
        <w:t>LIGJ</w:t>
      </w:r>
    </w:p>
    <w:p w14:paraId="7C491EC5" w14:textId="77777777" w:rsidR="00024790" w:rsidRPr="00291458" w:rsidRDefault="002009A1" w:rsidP="00FC4C60">
      <w:pPr>
        <w:spacing w:after="0" w:line="240" w:lineRule="auto"/>
        <w:ind w:firstLine="284"/>
        <w:jc w:val="center"/>
        <w:rPr>
          <w:rFonts w:ascii="Garamond" w:hAnsi="Garamond" w:cs="Times New Roman"/>
          <w:b/>
          <w:sz w:val="24"/>
          <w:szCs w:val="24"/>
        </w:rPr>
      </w:pPr>
      <w:r w:rsidRPr="00291458">
        <w:rPr>
          <w:rFonts w:ascii="Garamond" w:hAnsi="Garamond" w:cs="Times New Roman"/>
          <w:b/>
          <w:sz w:val="24"/>
          <w:szCs w:val="24"/>
        </w:rPr>
        <w:t>Nr.</w:t>
      </w:r>
      <w:r w:rsidR="00F62A46" w:rsidRPr="00291458">
        <w:rPr>
          <w:rFonts w:ascii="Garamond" w:hAnsi="Garamond" w:cs="Times New Roman"/>
          <w:b/>
          <w:sz w:val="24"/>
          <w:szCs w:val="24"/>
        </w:rPr>
        <w:t xml:space="preserve"> </w:t>
      </w:r>
      <w:r w:rsidR="00570019" w:rsidRPr="00291458">
        <w:rPr>
          <w:rFonts w:ascii="Garamond" w:hAnsi="Garamond" w:cs="Times New Roman"/>
          <w:b/>
          <w:sz w:val="24"/>
          <w:szCs w:val="24"/>
        </w:rPr>
        <w:t>3</w:t>
      </w:r>
      <w:r w:rsidR="001624D1" w:rsidRPr="00291458">
        <w:rPr>
          <w:rFonts w:ascii="Garamond" w:hAnsi="Garamond" w:cs="Times New Roman"/>
          <w:b/>
          <w:sz w:val="24"/>
          <w:szCs w:val="24"/>
        </w:rPr>
        <w:t>5</w:t>
      </w:r>
      <w:r w:rsidR="007748A2" w:rsidRPr="00291458">
        <w:rPr>
          <w:rFonts w:ascii="Garamond" w:hAnsi="Garamond" w:cs="Times New Roman"/>
          <w:b/>
          <w:sz w:val="24"/>
          <w:szCs w:val="24"/>
        </w:rPr>
        <w:t>/202</w:t>
      </w:r>
      <w:r w:rsidR="00DE793A" w:rsidRPr="00291458">
        <w:rPr>
          <w:rFonts w:ascii="Garamond" w:hAnsi="Garamond" w:cs="Times New Roman"/>
          <w:b/>
          <w:sz w:val="24"/>
          <w:szCs w:val="24"/>
        </w:rPr>
        <w:t>5</w:t>
      </w:r>
      <w:r w:rsidRPr="00291458">
        <w:rPr>
          <w:rFonts w:ascii="Garamond" w:hAnsi="Garamond" w:cs="Times New Roman"/>
          <w:b/>
          <w:sz w:val="24"/>
          <w:szCs w:val="24"/>
        </w:rPr>
        <w:t xml:space="preserve"> </w:t>
      </w:r>
    </w:p>
    <w:p w14:paraId="1C2E58D0" w14:textId="77777777" w:rsidR="00EC22B4" w:rsidRPr="00291458" w:rsidRDefault="00EC22B4" w:rsidP="00FC4C60">
      <w:pPr>
        <w:spacing w:after="0" w:line="240" w:lineRule="auto"/>
        <w:ind w:firstLine="284"/>
        <w:jc w:val="center"/>
        <w:rPr>
          <w:rFonts w:ascii="Garamond" w:hAnsi="Garamond" w:cs="Times New Roman"/>
          <w:b/>
          <w:sz w:val="24"/>
          <w:szCs w:val="24"/>
        </w:rPr>
      </w:pPr>
    </w:p>
    <w:p w14:paraId="3911F71C" w14:textId="2971C36B" w:rsidR="00EC22B4" w:rsidRPr="00291458" w:rsidRDefault="00EC22B4" w:rsidP="005222A5">
      <w:pPr>
        <w:spacing w:after="0" w:line="240" w:lineRule="auto"/>
        <w:jc w:val="center"/>
        <w:rPr>
          <w:rFonts w:ascii="Garamond" w:hAnsi="Garamond" w:cs="Times New Roman"/>
          <w:b/>
          <w:sz w:val="24"/>
          <w:szCs w:val="24"/>
        </w:rPr>
      </w:pPr>
      <w:r w:rsidRPr="00291458">
        <w:rPr>
          <w:rFonts w:ascii="Garamond" w:hAnsi="Garamond" w:cs="Times New Roman"/>
          <w:b/>
          <w:sz w:val="24"/>
          <w:szCs w:val="24"/>
        </w:rPr>
        <w:t>PËR RATIFIKIMIN E MARRËVESHJES SË FINANCIMIT NDËRMJET REPUBLIKËS SË SHQIPËRISË, PËRFAQËSUAR NGA KËSHILLI I MINISTRAVE I REPUBLIKËS SË SHQIPËRISË, DHE KOMISIONIT EVROPIAN PËR PROGRAMIN OPERACIONAL SHUMËVJEÇAR PËR EKONOMINË DHE SHOQËRINË DIGJITALE</w:t>
      </w:r>
      <w:r w:rsidR="002B279D" w:rsidRPr="00291458">
        <w:rPr>
          <w:rFonts w:ascii="Garamond" w:hAnsi="Garamond" w:cs="Times New Roman"/>
          <w:b/>
          <w:sz w:val="24"/>
          <w:szCs w:val="24"/>
        </w:rPr>
        <w:t>,</w:t>
      </w:r>
      <w:r w:rsidRPr="00291458">
        <w:rPr>
          <w:rFonts w:ascii="Garamond" w:hAnsi="Garamond" w:cs="Times New Roman"/>
          <w:b/>
          <w:sz w:val="24"/>
          <w:szCs w:val="24"/>
        </w:rPr>
        <w:t xml:space="preserve"> NË FAVOR TË REPUBLIKËS SË SHQIPËRISË</w:t>
      </w:r>
      <w:r w:rsidR="002B279D" w:rsidRPr="00291458">
        <w:rPr>
          <w:rFonts w:ascii="Garamond" w:hAnsi="Garamond" w:cs="Times New Roman"/>
          <w:b/>
          <w:sz w:val="24"/>
          <w:szCs w:val="24"/>
        </w:rPr>
        <w:t>,</w:t>
      </w:r>
      <w:r w:rsidRPr="00291458">
        <w:rPr>
          <w:rFonts w:ascii="Garamond" w:hAnsi="Garamond" w:cs="Times New Roman"/>
          <w:b/>
          <w:sz w:val="24"/>
          <w:szCs w:val="24"/>
        </w:rPr>
        <w:t xml:space="preserve"> PËR PERIUDHËN 2024</w:t>
      </w:r>
      <w:r w:rsidR="005222A5" w:rsidRPr="00291458">
        <w:rPr>
          <w:rFonts w:ascii="Garamond" w:hAnsi="Garamond" w:cs="Times New Roman"/>
          <w:b/>
          <w:sz w:val="24"/>
          <w:szCs w:val="24"/>
        </w:rPr>
        <w:t>–</w:t>
      </w:r>
      <w:r w:rsidRPr="00291458">
        <w:rPr>
          <w:rFonts w:ascii="Garamond" w:hAnsi="Garamond" w:cs="Times New Roman"/>
          <w:b/>
          <w:sz w:val="24"/>
          <w:szCs w:val="24"/>
        </w:rPr>
        <w:t xml:space="preserve">2027, NË KUADËR TË INSTRUMENTIT TË ASISTENCËS SË PARAANËTARËSIMIT </w:t>
      </w:r>
      <w:r w:rsidR="00850FC7" w:rsidRPr="00291458">
        <w:rPr>
          <w:rFonts w:ascii="Garamond" w:hAnsi="Garamond" w:cs="Times New Roman"/>
          <w:b/>
          <w:sz w:val="24"/>
          <w:szCs w:val="24"/>
        </w:rPr>
        <w:t>(</w:t>
      </w:r>
      <w:r w:rsidRPr="00291458">
        <w:rPr>
          <w:rFonts w:ascii="Garamond" w:hAnsi="Garamond" w:cs="Times New Roman"/>
          <w:b/>
          <w:sz w:val="24"/>
          <w:szCs w:val="24"/>
        </w:rPr>
        <w:t>IPA III)</w:t>
      </w:r>
    </w:p>
    <w:p w14:paraId="0141B4F5" w14:textId="77777777" w:rsidR="00EC22B4" w:rsidRPr="00291458" w:rsidRDefault="00EC22B4" w:rsidP="00FC4C60">
      <w:pPr>
        <w:spacing w:after="0" w:line="240" w:lineRule="auto"/>
        <w:ind w:firstLine="284"/>
        <w:jc w:val="both"/>
        <w:rPr>
          <w:rFonts w:ascii="Garamond" w:hAnsi="Garamond" w:cs="Times New Roman"/>
          <w:sz w:val="24"/>
          <w:szCs w:val="24"/>
        </w:rPr>
      </w:pPr>
    </w:p>
    <w:p w14:paraId="50C7CEEE" w14:textId="0C62A5DC" w:rsidR="00EC22B4" w:rsidRPr="00291458" w:rsidRDefault="00EC22B4" w:rsidP="00FC4C60">
      <w:pPr>
        <w:spacing w:after="0" w:line="240" w:lineRule="auto"/>
        <w:ind w:firstLine="284"/>
        <w:jc w:val="both"/>
        <w:rPr>
          <w:rFonts w:ascii="Garamond" w:hAnsi="Garamond" w:cs="Times New Roman"/>
          <w:sz w:val="24"/>
          <w:szCs w:val="24"/>
        </w:rPr>
      </w:pPr>
      <w:r w:rsidRPr="00291458">
        <w:rPr>
          <w:rFonts w:ascii="Garamond" w:hAnsi="Garamond" w:cs="Times New Roman"/>
          <w:sz w:val="24"/>
          <w:szCs w:val="24"/>
        </w:rPr>
        <w:t xml:space="preserve">Në mbështetje të neneve 78, 83, pika 1, dhe 121, pika 1, të Kushtetutës, me propozimin e Këshillit të Ministrave, </w:t>
      </w:r>
    </w:p>
    <w:p w14:paraId="1C5A5595" w14:textId="77777777" w:rsidR="00EC22B4" w:rsidRPr="00291458" w:rsidRDefault="00EC22B4" w:rsidP="00FC4C60">
      <w:pPr>
        <w:spacing w:after="0" w:line="240" w:lineRule="auto"/>
        <w:ind w:firstLine="284"/>
        <w:jc w:val="both"/>
        <w:rPr>
          <w:rFonts w:ascii="Garamond" w:hAnsi="Garamond" w:cs="Times New Roman"/>
          <w:sz w:val="24"/>
          <w:szCs w:val="24"/>
        </w:rPr>
      </w:pPr>
    </w:p>
    <w:p w14:paraId="50920141" w14:textId="77777777" w:rsidR="00EC22B4" w:rsidRPr="00291458" w:rsidRDefault="00EC22B4" w:rsidP="00FC4C60">
      <w:pPr>
        <w:spacing w:after="0" w:line="240" w:lineRule="auto"/>
        <w:ind w:firstLine="284"/>
        <w:jc w:val="center"/>
        <w:rPr>
          <w:rFonts w:ascii="Garamond" w:hAnsi="Garamond" w:cs="Times New Roman"/>
          <w:sz w:val="24"/>
          <w:szCs w:val="24"/>
        </w:rPr>
      </w:pPr>
      <w:r w:rsidRPr="00291458">
        <w:rPr>
          <w:rFonts w:ascii="Garamond" w:hAnsi="Garamond" w:cs="Times New Roman"/>
          <w:sz w:val="24"/>
          <w:szCs w:val="24"/>
        </w:rPr>
        <w:t>KUVENDI</w:t>
      </w:r>
    </w:p>
    <w:p w14:paraId="0C470970" w14:textId="77777777" w:rsidR="00EC22B4" w:rsidRPr="00291458" w:rsidRDefault="00EC22B4" w:rsidP="00FC4C60">
      <w:pPr>
        <w:spacing w:after="0" w:line="240" w:lineRule="auto"/>
        <w:ind w:firstLine="284"/>
        <w:jc w:val="center"/>
        <w:rPr>
          <w:rFonts w:ascii="Garamond" w:hAnsi="Garamond" w:cs="Times New Roman"/>
          <w:sz w:val="24"/>
          <w:szCs w:val="24"/>
        </w:rPr>
      </w:pPr>
      <w:r w:rsidRPr="00291458">
        <w:rPr>
          <w:rFonts w:ascii="Garamond" w:hAnsi="Garamond" w:cs="Times New Roman"/>
          <w:sz w:val="24"/>
          <w:szCs w:val="24"/>
        </w:rPr>
        <w:t>I REPUBLIKËS SË SHQIPËRISË</w:t>
      </w:r>
    </w:p>
    <w:p w14:paraId="1C41B39B" w14:textId="77777777" w:rsidR="00EC22B4" w:rsidRPr="00291458" w:rsidRDefault="00EC22B4" w:rsidP="00FC4C60">
      <w:pPr>
        <w:spacing w:after="0" w:line="240" w:lineRule="auto"/>
        <w:ind w:firstLine="284"/>
        <w:jc w:val="center"/>
        <w:rPr>
          <w:rFonts w:ascii="Garamond" w:hAnsi="Garamond" w:cs="Times New Roman"/>
          <w:sz w:val="24"/>
          <w:szCs w:val="24"/>
        </w:rPr>
      </w:pPr>
    </w:p>
    <w:p w14:paraId="1F93F157" w14:textId="77777777" w:rsidR="00EC22B4" w:rsidRPr="00291458" w:rsidRDefault="00EC22B4" w:rsidP="00FC4C60">
      <w:pPr>
        <w:spacing w:after="0" w:line="240" w:lineRule="auto"/>
        <w:ind w:firstLine="284"/>
        <w:jc w:val="center"/>
        <w:rPr>
          <w:rFonts w:ascii="Garamond" w:hAnsi="Garamond" w:cs="Times New Roman"/>
          <w:sz w:val="24"/>
          <w:szCs w:val="24"/>
        </w:rPr>
      </w:pPr>
      <w:r w:rsidRPr="00291458">
        <w:rPr>
          <w:rFonts w:ascii="Garamond" w:hAnsi="Garamond" w:cs="Times New Roman"/>
          <w:sz w:val="24"/>
          <w:szCs w:val="24"/>
        </w:rPr>
        <w:t>VENDOSI:</w:t>
      </w:r>
    </w:p>
    <w:p w14:paraId="099E5AA5" w14:textId="77777777" w:rsidR="00EC22B4" w:rsidRPr="00291458" w:rsidRDefault="00EC22B4" w:rsidP="00FC4C60">
      <w:pPr>
        <w:spacing w:after="0" w:line="240" w:lineRule="auto"/>
        <w:ind w:firstLine="284"/>
        <w:jc w:val="center"/>
        <w:rPr>
          <w:rFonts w:ascii="Garamond" w:hAnsi="Garamond" w:cs="Times New Roman"/>
          <w:sz w:val="24"/>
          <w:szCs w:val="24"/>
        </w:rPr>
      </w:pPr>
    </w:p>
    <w:p w14:paraId="1B081CB9" w14:textId="77777777" w:rsidR="00EC22B4" w:rsidRPr="00291458" w:rsidRDefault="00EC22B4" w:rsidP="00FC4C60">
      <w:pPr>
        <w:spacing w:after="0" w:line="240" w:lineRule="auto"/>
        <w:ind w:firstLine="284"/>
        <w:jc w:val="center"/>
        <w:rPr>
          <w:rFonts w:ascii="Garamond" w:hAnsi="Garamond" w:cs="Times New Roman"/>
          <w:sz w:val="24"/>
          <w:szCs w:val="24"/>
        </w:rPr>
      </w:pPr>
      <w:r w:rsidRPr="00291458">
        <w:rPr>
          <w:rFonts w:ascii="Garamond" w:hAnsi="Garamond" w:cs="Times New Roman"/>
          <w:sz w:val="24"/>
          <w:szCs w:val="24"/>
        </w:rPr>
        <w:t>Neni 1</w:t>
      </w:r>
    </w:p>
    <w:p w14:paraId="2142A233" w14:textId="77777777" w:rsidR="00EC22B4" w:rsidRPr="00291458" w:rsidRDefault="00EC22B4" w:rsidP="00FC4C60">
      <w:pPr>
        <w:spacing w:after="0" w:line="240" w:lineRule="auto"/>
        <w:ind w:firstLine="284"/>
        <w:jc w:val="center"/>
        <w:rPr>
          <w:rFonts w:ascii="Garamond" w:hAnsi="Garamond" w:cs="Times New Roman"/>
          <w:sz w:val="24"/>
          <w:szCs w:val="24"/>
        </w:rPr>
      </w:pPr>
    </w:p>
    <w:p w14:paraId="145552D3" w14:textId="3D2432CE" w:rsidR="00EC22B4" w:rsidRPr="00291458" w:rsidRDefault="00EC22B4" w:rsidP="00FC4C60">
      <w:pPr>
        <w:spacing w:after="0" w:line="240" w:lineRule="auto"/>
        <w:ind w:firstLine="284"/>
        <w:jc w:val="both"/>
        <w:rPr>
          <w:rFonts w:ascii="Garamond" w:hAnsi="Garamond" w:cs="Times New Roman"/>
          <w:sz w:val="24"/>
          <w:szCs w:val="24"/>
        </w:rPr>
      </w:pPr>
      <w:r w:rsidRPr="00291458">
        <w:rPr>
          <w:rFonts w:ascii="Garamond" w:hAnsi="Garamond" w:cs="Times New Roman"/>
          <w:sz w:val="24"/>
          <w:szCs w:val="24"/>
        </w:rPr>
        <w:t>Ratifikohet marrëveshja e financimit ndërmjet Republikës së Shqipërisë, përfaqësuar nga Këshilli i Ministrave i Republikës së Shqipërisë, dhe Komisionit Evropian për programin operacional shumëvjeçar për ekonominë dhe shoqërinë digjitale</w:t>
      </w:r>
      <w:r w:rsidR="002B279D" w:rsidRPr="00291458">
        <w:rPr>
          <w:rFonts w:ascii="Garamond" w:hAnsi="Garamond" w:cs="Times New Roman"/>
          <w:sz w:val="24"/>
          <w:szCs w:val="24"/>
        </w:rPr>
        <w:t>,</w:t>
      </w:r>
      <w:r w:rsidRPr="00291458">
        <w:rPr>
          <w:rFonts w:ascii="Garamond" w:hAnsi="Garamond" w:cs="Times New Roman"/>
          <w:sz w:val="24"/>
          <w:szCs w:val="24"/>
        </w:rPr>
        <w:t xml:space="preserve"> në favor të Republikës së Shqipërisë</w:t>
      </w:r>
      <w:r w:rsidR="002B279D" w:rsidRPr="00291458">
        <w:rPr>
          <w:rFonts w:ascii="Garamond" w:hAnsi="Garamond" w:cs="Times New Roman"/>
          <w:sz w:val="24"/>
          <w:szCs w:val="24"/>
        </w:rPr>
        <w:t>,</w:t>
      </w:r>
      <w:r w:rsidRPr="00291458">
        <w:rPr>
          <w:rFonts w:ascii="Garamond" w:hAnsi="Garamond" w:cs="Times New Roman"/>
          <w:sz w:val="24"/>
          <w:szCs w:val="24"/>
        </w:rPr>
        <w:t xml:space="preserve"> për periudhën 2024</w:t>
      </w:r>
      <w:r w:rsidR="00850FC7" w:rsidRPr="00291458">
        <w:rPr>
          <w:rFonts w:ascii="Garamond" w:hAnsi="Garamond" w:cs="Times New Roman"/>
          <w:sz w:val="24"/>
          <w:szCs w:val="24"/>
        </w:rPr>
        <w:t>–</w:t>
      </w:r>
      <w:r w:rsidRPr="00291458">
        <w:rPr>
          <w:rFonts w:ascii="Garamond" w:hAnsi="Garamond" w:cs="Times New Roman"/>
          <w:sz w:val="24"/>
          <w:szCs w:val="24"/>
        </w:rPr>
        <w:t>2027, në kuadër të Instrumentit të Asistencës së Paraanëtarësimit IPA III), sipas tekstit bashkëlidhur këtij ligji.</w:t>
      </w:r>
    </w:p>
    <w:p w14:paraId="28572964" w14:textId="77777777" w:rsidR="00DB4695" w:rsidRPr="00291458" w:rsidRDefault="00DB4695" w:rsidP="00FC4C60">
      <w:pPr>
        <w:spacing w:after="0" w:line="240" w:lineRule="auto"/>
        <w:ind w:firstLine="284"/>
        <w:jc w:val="center"/>
        <w:rPr>
          <w:rFonts w:ascii="Garamond" w:hAnsi="Garamond" w:cs="Times New Roman"/>
          <w:sz w:val="24"/>
          <w:szCs w:val="24"/>
        </w:rPr>
      </w:pPr>
    </w:p>
    <w:p w14:paraId="32DBB8C5" w14:textId="77777777" w:rsidR="00EC22B4" w:rsidRPr="00291458" w:rsidRDefault="00EC22B4" w:rsidP="00FC4C60">
      <w:pPr>
        <w:spacing w:after="0" w:line="240" w:lineRule="auto"/>
        <w:ind w:firstLine="284"/>
        <w:jc w:val="center"/>
        <w:rPr>
          <w:rFonts w:ascii="Garamond" w:hAnsi="Garamond" w:cs="Times New Roman"/>
          <w:sz w:val="24"/>
          <w:szCs w:val="24"/>
        </w:rPr>
      </w:pPr>
      <w:r w:rsidRPr="00291458">
        <w:rPr>
          <w:rFonts w:ascii="Garamond" w:hAnsi="Garamond" w:cs="Times New Roman"/>
          <w:sz w:val="24"/>
          <w:szCs w:val="24"/>
        </w:rPr>
        <w:t>Neni 2</w:t>
      </w:r>
    </w:p>
    <w:p w14:paraId="324C366F" w14:textId="77777777" w:rsidR="00EC22B4" w:rsidRPr="00291458" w:rsidRDefault="00EC22B4" w:rsidP="00FC4C60">
      <w:pPr>
        <w:spacing w:after="0" w:line="240" w:lineRule="auto"/>
        <w:ind w:firstLine="284"/>
        <w:jc w:val="both"/>
        <w:rPr>
          <w:rFonts w:ascii="Garamond" w:hAnsi="Garamond" w:cs="Times New Roman"/>
          <w:sz w:val="24"/>
          <w:szCs w:val="24"/>
        </w:rPr>
      </w:pPr>
    </w:p>
    <w:p w14:paraId="30D10423" w14:textId="77777777" w:rsidR="00EC22B4" w:rsidRPr="00291458" w:rsidRDefault="00EC22B4" w:rsidP="00FC4C60">
      <w:pPr>
        <w:spacing w:after="0" w:line="240" w:lineRule="auto"/>
        <w:ind w:firstLine="284"/>
        <w:jc w:val="both"/>
        <w:rPr>
          <w:rFonts w:ascii="Garamond" w:hAnsi="Garamond" w:cs="Times New Roman"/>
          <w:sz w:val="24"/>
          <w:szCs w:val="24"/>
        </w:rPr>
      </w:pPr>
      <w:r w:rsidRPr="00291458">
        <w:rPr>
          <w:rFonts w:ascii="Garamond" w:hAnsi="Garamond" w:cs="Times New Roman"/>
          <w:sz w:val="24"/>
          <w:szCs w:val="24"/>
        </w:rPr>
        <w:t>Ky ligj hyn në fuqi 15 ditë pas botimit në Fletoren Zyrtare.</w:t>
      </w:r>
    </w:p>
    <w:p w14:paraId="5D9874F3" w14:textId="77777777" w:rsidR="001624D1" w:rsidRPr="00291458" w:rsidRDefault="001624D1" w:rsidP="00FC4C60">
      <w:pPr>
        <w:spacing w:after="0" w:line="240" w:lineRule="auto"/>
        <w:ind w:firstLine="284"/>
        <w:jc w:val="both"/>
        <w:rPr>
          <w:rFonts w:ascii="Garamond" w:hAnsi="Garamond" w:cs="Times New Roman"/>
          <w:sz w:val="24"/>
          <w:szCs w:val="24"/>
        </w:rPr>
      </w:pPr>
    </w:p>
    <w:p w14:paraId="6B432F64" w14:textId="525FE2A8" w:rsidR="00976A3C" w:rsidRPr="00291458" w:rsidRDefault="00976A3C" w:rsidP="00FC4C60">
      <w:pPr>
        <w:spacing w:after="0" w:line="240" w:lineRule="auto"/>
        <w:ind w:firstLine="284"/>
        <w:jc w:val="both"/>
        <w:rPr>
          <w:rFonts w:ascii="Garamond" w:hAnsi="Garamond" w:cs="Times New Roman"/>
          <w:bCs/>
          <w:sz w:val="24"/>
          <w:szCs w:val="24"/>
        </w:rPr>
      </w:pPr>
      <w:r w:rsidRPr="00291458">
        <w:rPr>
          <w:rFonts w:ascii="Garamond" w:hAnsi="Garamond" w:cs="Times New Roman"/>
          <w:bCs/>
          <w:sz w:val="24"/>
          <w:szCs w:val="24"/>
        </w:rPr>
        <w:t>Miratuar në datën</w:t>
      </w:r>
      <w:r w:rsidR="001624D1" w:rsidRPr="00291458">
        <w:rPr>
          <w:rFonts w:ascii="Garamond" w:hAnsi="Garamond" w:cs="Times New Roman"/>
          <w:bCs/>
          <w:sz w:val="24"/>
          <w:szCs w:val="24"/>
        </w:rPr>
        <w:t xml:space="preserve"> 5.6</w:t>
      </w:r>
      <w:r w:rsidR="00E611BD" w:rsidRPr="00291458">
        <w:rPr>
          <w:rFonts w:ascii="Garamond" w:hAnsi="Garamond" w:cs="Times New Roman"/>
          <w:bCs/>
          <w:sz w:val="24"/>
          <w:szCs w:val="24"/>
        </w:rPr>
        <w:t>.</w:t>
      </w:r>
      <w:r w:rsidR="007748A2" w:rsidRPr="00291458">
        <w:rPr>
          <w:rFonts w:ascii="Garamond" w:hAnsi="Garamond" w:cs="Times New Roman"/>
          <w:bCs/>
          <w:sz w:val="24"/>
          <w:szCs w:val="24"/>
        </w:rPr>
        <w:t>202</w:t>
      </w:r>
      <w:r w:rsidR="00DE793A" w:rsidRPr="00291458">
        <w:rPr>
          <w:rFonts w:ascii="Garamond" w:hAnsi="Garamond" w:cs="Times New Roman"/>
          <w:bCs/>
          <w:sz w:val="24"/>
          <w:szCs w:val="24"/>
        </w:rPr>
        <w:t>5</w:t>
      </w:r>
      <w:r w:rsidR="00850FC7" w:rsidRPr="00291458">
        <w:rPr>
          <w:rFonts w:ascii="Garamond" w:hAnsi="Garamond" w:cs="Times New Roman"/>
          <w:bCs/>
          <w:sz w:val="24"/>
          <w:szCs w:val="24"/>
        </w:rPr>
        <w:t>.</w:t>
      </w:r>
    </w:p>
    <w:p w14:paraId="438727FD" w14:textId="77600765" w:rsidR="005222A5" w:rsidRPr="00291458" w:rsidRDefault="005222A5" w:rsidP="00FC4C60">
      <w:pPr>
        <w:spacing w:after="0" w:line="240" w:lineRule="auto"/>
        <w:ind w:firstLine="284"/>
        <w:jc w:val="both"/>
        <w:rPr>
          <w:rFonts w:ascii="Garamond" w:hAnsi="Garamond" w:cs="Times New Roman"/>
          <w:bCs/>
          <w:sz w:val="24"/>
          <w:szCs w:val="24"/>
        </w:rPr>
      </w:pPr>
    </w:p>
    <w:p w14:paraId="3A08B1A4" w14:textId="04F89C76" w:rsidR="005222A5" w:rsidRPr="00291458" w:rsidRDefault="005222A5" w:rsidP="00FC4C60">
      <w:pPr>
        <w:spacing w:after="0" w:line="240" w:lineRule="auto"/>
        <w:ind w:firstLine="284"/>
        <w:jc w:val="both"/>
        <w:rPr>
          <w:rFonts w:ascii="Garamond" w:hAnsi="Garamond" w:cs="Times New Roman"/>
          <w:b/>
          <w:bCs/>
          <w:sz w:val="24"/>
          <w:szCs w:val="24"/>
        </w:rPr>
      </w:pPr>
      <w:r w:rsidRPr="00291458">
        <w:rPr>
          <w:rFonts w:ascii="Garamond" w:hAnsi="Garamond" w:cs="Times New Roman"/>
          <w:b/>
          <w:bCs/>
          <w:sz w:val="24"/>
          <w:szCs w:val="24"/>
        </w:rPr>
        <w:t>Shpallur me dekretin nr. 189, datë 20.6.2025, të Presidentit të Republikës së Shqipërisë, Bajram Begaj.</w:t>
      </w:r>
    </w:p>
    <w:p w14:paraId="0B7E08F1" w14:textId="77777777" w:rsidR="002B279D" w:rsidRPr="00291458" w:rsidRDefault="002B279D" w:rsidP="00FC4C60">
      <w:pPr>
        <w:spacing w:after="0" w:line="240" w:lineRule="auto"/>
        <w:ind w:firstLine="284"/>
        <w:rPr>
          <w:rFonts w:ascii="Garamond" w:eastAsia="Times New Roman" w:hAnsi="Garamond" w:cs="Times New Roman"/>
          <w:sz w:val="24"/>
          <w:szCs w:val="24"/>
        </w:rPr>
      </w:pPr>
    </w:p>
    <w:p w14:paraId="7D29B188" w14:textId="77777777" w:rsidR="007A2236" w:rsidRPr="00291458" w:rsidRDefault="007A2236" w:rsidP="00FC4C60">
      <w:pPr>
        <w:spacing w:after="0" w:line="240" w:lineRule="auto"/>
        <w:ind w:firstLine="284"/>
        <w:jc w:val="center"/>
        <w:rPr>
          <w:rFonts w:ascii="Garamond" w:hAnsi="Garamond"/>
          <w:b/>
          <w:snapToGrid w:val="0"/>
          <w:sz w:val="24"/>
          <w:szCs w:val="24"/>
        </w:rPr>
      </w:pPr>
      <w:r w:rsidRPr="00291458">
        <w:rPr>
          <w:rFonts w:ascii="Garamond" w:hAnsi="Garamond"/>
          <w:b/>
          <w:snapToGrid w:val="0"/>
          <w:sz w:val="24"/>
          <w:szCs w:val="24"/>
        </w:rPr>
        <w:t>MARRËVESHJE FINANCIMI</w:t>
      </w:r>
    </w:p>
    <w:p w14:paraId="438CA026" w14:textId="77777777" w:rsidR="007A2236" w:rsidRPr="00291458" w:rsidRDefault="007A2236" w:rsidP="00FC4C60">
      <w:pPr>
        <w:spacing w:after="0" w:line="240" w:lineRule="auto"/>
        <w:ind w:firstLine="284"/>
        <w:jc w:val="center"/>
        <w:rPr>
          <w:rFonts w:ascii="Garamond" w:hAnsi="Garamond"/>
          <w:b/>
          <w:snapToGrid w:val="0"/>
          <w:sz w:val="24"/>
          <w:szCs w:val="24"/>
        </w:rPr>
      </w:pPr>
      <w:r w:rsidRPr="00291458">
        <w:rPr>
          <w:rFonts w:ascii="Garamond" w:hAnsi="Garamond"/>
          <w:b/>
          <w:snapToGrid w:val="0"/>
          <w:sz w:val="24"/>
          <w:szCs w:val="24"/>
        </w:rPr>
        <w:t>KUSHTE TË VEÇANTA</w:t>
      </w:r>
    </w:p>
    <w:p w14:paraId="04E8A175" w14:textId="77777777" w:rsidR="007A2236" w:rsidRPr="00291458" w:rsidRDefault="007A2236" w:rsidP="00FC4C60">
      <w:pPr>
        <w:spacing w:after="0" w:line="240" w:lineRule="auto"/>
        <w:ind w:firstLine="284"/>
        <w:jc w:val="center"/>
        <w:rPr>
          <w:rFonts w:ascii="Garamond" w:hAnsi="Garamond"/>
          <w:b/>
          <w:snapToGrid w:val="0"/>
          <w:sz w:val="24"/>
          <w:szCs w:val="24"/>
        </w:rPr>
      </w:pPr>
    </w:p>
    <w:p w14:paraId="6B86BC33" w14:textId="2EBDABC7"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Komisioni E</w:t>
      </w:r>
      <w:r w:rsidR="00850FC7" w:rsidRPr="00291458">
        <w:rPr>
          <w:rFonts w:ascii="Garamond" w:hAnsi="Garamond"/>
          <w:snapToGrid w:val="0"/>
          <w:sz w:val="24"/>
          <w:szCs w:val="24"/>
        </w:rPr>
        <w:t>v</w:t>
      </w:r>
      <w:r w:rsidRPr="00291458">
        <w:rPr>
          <w:rFonts w:ascii="Garamond" w:hAnsi="Garamond"/>
          <w:snapToGrid w:val="0"/>
          <w:sz w:val="24"/>
          <w:szCs w:val="24"/>
        </w:rPr>
        <w:t xml:space="preserve">ropian, këtu e më poshtë i quajtur </w:t>
      </w:r>
      <w:r w:rsidR="00850FC7" w:rsidRPr="00291458">
        <w:rPr>
          <w:rFonts w:ascii="Garamond" w:hAnsi="Garamond"/>
          <w:snapToGrid w:val="0"/>
          <w:sz w:val="24"/>
          <w:szCs w:val="24"/>
        </w:rPr>
        <w:t>“</w:t>
      </w:r>
      <w:r w:rsidRPr="00291458">
        <w:rPr>
          <w:rFonts w:ascii="Garamond" w:hAnsi="Garamond"/>
          <w:b/>
          <w:snapToGrid w:val="0"/>
          <w:sz w:val="24"/>
          <w:szCs w:val="24"/>
        </w:rPr>
        <w:t>Komisioni</w:t>
      </w:r>
      <w:r w:rsidR="00850FC7" w:rsidRPr="00291458">
        <w:rPr>
          <w:rFonts w:ascii="Garamond" w:hAnsi="Garamond"/>
          <w:snapToGrid w:val="0"/>
          <w:sz w:val="24"/>
          <w:szCs w:val="24"/>
        </w:rPr>
        <w:t>”</w:t>
      </w:r>
      <w:r w:rsidRPr="00291458">
        <w:rPr>
          <w:rFonts w:ascii="Garamond" w:hAnsi="Garamond"/>
          <w:snapToGrid w:val="0"/>
          <w:sz w:val="24"/>
          <w:szCs w:val="24"/>
        </w:rPr>
        <w:t>), duke vepruar në emër të Bashkimit E</w:t>
      </w:r>
      <w:r w:rsidR="00850FC7" w:rsidRPr="00291458">
        <w:rPr>
          <w:rFonts w:ascii="Garamond" w:hAnsi="Garamond"/>
          <w:snapToGrid w:val="0"/>
          <w:sz w:val="24"/>
          <w:szCs w:val="24"/>
        </w:rPr>
        <w:t>v</w:t>
      </w:r>
      <w:r w:rsidRPr="00291458">
        <w:rPr>
          <w:rFonts w:ascii="Garamond" w:hAnsi="Garamond"/>
          <w:snapToGrid w:val="0"/>
          <w:sz w:val="24"/>
          <w:szCs w:val="24"/>
        </w:rPr>
        <w:t xml:space="preserve">ropian, këtu e më poshtë </w:t>
      </w:r>
      <w:r w:rsidR="00850FC7" w:rsidRPr="00291458">
        <w:rPr>
          <w:rFonts w:ascii="Garamond" w:hAnsi="Garamond"/>
          <w:snapToGrid w:val="0"/>
          <w:sz w:val="24"/>
          <w:szCs w:val="24"/>
        </w:rPr>
        <w:t>“</w:t>
      </w:r>
      <w:r w:rsidRPr="00291458">
        <w:rPr>
          <w:rFonts w:ascii="Garamond" w:hAnsi="Garamond"/>
          <w:b/>
          <w:snapToGrid w:val="0"/>
          <w:sz w:val="24"/>
          <w:szCs w:val="24"/>
        </w:rPr>
        <w:t xml:space="preserve"> Unioni</w:t>
      </w:r>
      <w:r w:rsidR="00850FC7" w:rsidRPr="00291458">
        <w:rPr>
          <w:rFonts w:ascii="Garamond" w:hAnsi="Garamond"/>
          <w:snapToGrid w:val="0"/>
          <w:sz w:val="24"/>
          <w:szCs w:val="24"/>
        </w:rPr>
        <w:t>”</w:t>
      </w:r>
      <w:r w:rsidRPr="00291458">
        <w:rPr>
          <w:rFonts w:ascii="Garamond" w:hAnsi="Garamond"/>
          <w:snapToGrid w:val="0"/>
          <w:sz w:val="24"/>
          <w:szCs w:val="24"/>
        </w:rPr>
        <w:t xml:space="preserve">, </w:t>
      </w:r>
    </w:p>
    <w:p w14:paraId="2AEEE14C" w14:textId="77777777"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nga njëra anë, dhe</w:t>
      </w:r>
    </w:p>
    <w:p w14:paraId="2945E253" w14:textId="042078EA"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 xml:space="preserve">Republika e Shqipërisë, këtu e më poshtë e quajtur </w:t>
      </w:r>
      <w:r w:rsidR="00850FC7" w:rsidRPr="00291458">
        <w:rPr>
          <w:rFonts w:ascii="Garamond" w:hAnsi="Garamond"/>
          <w:snapToGrid w:val="0"/>
          <w:sz w:val="24"/>
          <w:szCs w:val="24"/>
        </w:rPr>
        <w:t>“</w:t>
      </w:r>
      <w:r w:rsidRPr="00291458">
        <w:rPr>
          <w:rFonts w:ascii="Garamond" w:hAnsi="Garamond"/>
          <w:b/>
          <w:snapToGrid w:val="0"/>
          <w:sz w:val="24"/>
          <w:szCs w:val="24"/>
        </w:rPr>
        <w:t>Përfitues i IPA III</w:t>
      </w:r>
      <w:r w:rsidR="00850FC7" w:rsidRPr="00291458">
        <w:rPr>
          <w:rFonts w:ascii="Garamond" w:hAnsi="Garamond"/>
          <w:snapToGrid w:val="0"/>
          <w:sz w:val="24"/>
          <w:szCs w:val="24"/>
        </w:rPr>
        <w:t>”</w:t>
      </w:r>
      <w:r w:rsidRPr="00291458">
        <w:rPr>
          <w:rFonts w:ascii="Garamond" w:hAnsi="Garamond"/>
          <w:snapToGrid w:val="0"/>
          <w:sz w:val="24"/>
          <w:szCs w:val="24"/>
        </w:rPr>
        <w:t>, e përfaqësuar nga Këshilli i Ministrave,</w:t>
      </w:r>
    </w:p>
    <w:p w14:paraId="79084917" w14:textId="77777777" w:rsidR="007A2236" w:rsidRPr="00291458" w:rsidRDefault="007A2236" w:rsidP="00FC4C60">
      <w:pPr>
        <w:spacing w:after="0" w:line="240" w:lineRule="auto"/>
        <w:ind w:firstLine="284"/>
        <w:jc w:val="both"/>
        <w:rPr>
          <w:rFonts w:ascii="Garamond" w:hAnsi="Garamond"/>
          <w:b/>
          <w:snapToGrid w:val="0"/>
          <w:sz w:val="24"/>
          <w:szCs w:val="24"/>
        </w:rPr>
      </w:pPr>
      <w:r w:rsidRPr="00291458">
        <w:rPr>
          <w:rFonts w:ascii="Garamond" w:hAnsi="Garamond"/>
          <w:b/>
          <w:snapToGrid w:val="0"/>
          <w:sz w:val="24"/>
          <w:szCs w:val="24"/>
        </w:rPr>
        <w:t>nga ana tjetër,</w:t>
      </w:r>
    </w:p>
    <w:p w14:paraId="4DE8E75F" w14:textId="77777777" w:rsidR="007A2236" w:rsidRPr="00291458" w:rsidRDefault="007A2236" w:rsidP="00FC4C60">
      <w:pPr>
        <w:keepNext/>
        <w:spacing w:after="0" w:line="240" w:lineRule="auto"/>
        <w:ind w:firstLine="284"/>
        <w:jc w:val="both"/>
        <w:outlineLvl w:val="0"/>
        <w:rPr>
          <w:rFonts w:ascii="Garamond" w:hAnsi="Garamond"/>
          <w:b/>
          <w:snapToGrid w:val="0"/>
          <w:sz w:val="24"/>
          <w:szCs w:val="24"/>
        </w:rPr>
      </w:pPr>
      <w:r w:rsidRPr="00291458">
        <w:rPr>
          <w:rFonts w:ascii="Garamond" w:hAnsi="Garamond"/>
          <w:snapToGrid w:val="0"/>
          <w:sz w:val="24"/>
          <w:szCs w:val="24"/>
        </w:rPr>
        <w:t>kanë rënë dakord si më poshtë:</w:t>
      </w:r>
    </w:p>
    <w:p w14:paraId="7B0116A1" w14:textId="77777777" w:rsidR="00FC4C60" w:rsidRPr="00291458" w:rsidRDefault="00FC4C60" w:rsidP="00FC4C60">
      <w:pPr>
        <w:spacing w:after="0" w:line="240" w:lineRule="auto"/>
        <w:ind w:firstLine="284"/>
        <w:jc w:val="both"/>
        <w:outlineLvl w:val="0"/>
        <w:rPr>
          <w:rFonts w:ascii="Garamond" w:hAnsi="Garamond"/>
          <w:b/>
          <w:snapToGrid w:val="0"/>
          <w:sz w:val="24"/>
          <w:szCs w:val="24"/>
        </w:rPr>
      </w:pPr>
    </w:p>
    <w:p w14:paraId="73CE06A3" w14:textId="77777777" w:rsidR="00FC4C60" w:rsidRPr="00291458" w:rsidRDefault="007A2236" w:rsidP="00FC4C60">
      <w:pPr>
        <w:spacing w:after="0" w:line="240" w:lineRule="auto"/>
        <w:ind w:firstLine="284"/>
        <w:jc w:val="center"/>
        <w:outlineLvl w:val="0"/>
        <w:rPr>
          <w:rFonts w:ascii="Garamond" w:hAnsi="Garamond"/>
          <w:snapToGrid w:val="0"/>
          <w:sz w:val="24"/>
          <w:szCs w:val="24"/>
        </w:rPr>
      </w:pPr>
      <w:r w:rsidRPr="00291458">
        <w:rPr>
          <w:rFonts w:ascii="Garamond" w:hAnsi="Garamond"/>
          <w:snapToGrid w:val="0"/>
          <w:sz w:val="24"/>
          <w:szCs w:val="24"/>
        </w:rPr>
        <w:t>Neni 1</w:t>
      </w:r>
    </w:p>
    <w:p w14:paraId="41E187A3" w14:textId="77777777" w:rsidR="007A2236" w:rsidRPr="00291458" w:rsidRDefault="007A2236" w:rsidP="00FC4C60">
      <w:pPr>
        <w:spacing w:after="0" w:line="240" w:lineRule="auto"/>
        <w:ind w:firstLine="284"/>
        <w:jc w:val="center"/>
        <w:outlineLvl w:val="0"/>
        <w:rPr>
          <w:rFonts w:ascii="Garamond" w:hAnsi="Garamond"/>
          <w:b/>
          <w:snapToGrid w:val="0"/>
          <w:sz w:val="24"/>
          <w:szCs w:val="24"/>
        </w:rPr>
      </w:pPr>
      <w:r w:rsidRPr="00291458">
        <w:rPr>
          <w:rFonts w:ascii="Garamond" w:hAnsi="Garamond"/>
          <w:b/>
          <w:snapToGrid w:val="0"/>
          <w:sz w:val="24"/>
          <w:szCs w:val="24"/>
        </w:rPr>
        <w:t xml:space="preserve"> Programi</w:t>
      </w:r>
    </w:p>
    <w:p w14:paraId="041D4BC4" w14:textId="77777777" w:rsidR="00FC4C60" w:rsidRPr="00291458" w:rsidRDefault="00FC4C60" w:rsidP="00FC4C60">
      <w:pPr>
        <w:spacing w:after="0" w:line="240" w:lineRule="auto"/>
        <w:ind w:firstLine="284"/>
        <w:jc w:val="both"/>
        <w:outlineLvl w:val="0"/>
        <w:rPr>
          <w:rFonts w:ascii="Garamond" w:hAnsi="Garamond"/>
          <w:snapToGrid w:val="0"/>
          <w:sz w:val="24"/>
          <w:szCs w:val="24"/>
        </w:rPr>
      </w:pPr>
    </w:p>
    <w:p w14:paraId="72F03F9E" w14:textId="77777777"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napToGrid w:val="0"/>
          <w:sz w:val="24"/>
          <w:szCs w:val="24"/>
        </w:rPr>
        <w:t>1. Unioni pranon të financojë dhe përfituesi i IPA III bie dakord të pranojë financimin e Programit të mëposhtëm:</w:t>
      </w:r>
    </w:p>
    <w:p w14:paraId="075A74EB" w14:textId="0F605F46"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napToGrid w:val="0"/>
          <w:sz w:val="24"/>
          <w:szCs w:val="24"/>
        </w:rPr>
        <w:lastRenderedPageBreak/>
        <w:t>Programi Operacional Shumëvjeçar për Ekonominë dhe Shoqërinë Digjitale në favor të Republikës së Shqipërisë për 2024</w:t>
      </w:r>
      <w:r w:rsidR="00850FC7" w:rsidRPr="00291458">
        <w:rPr>
          <w:rFonts w:ascii="Garamond" w:hAnsi="Garamond" w:cs="Times New Roman"/>
          <w:sz w:val="24"/>
          <w:szCs w:val="24"/>
        </w:rPr>
        <w:t>–</w:t>
      </w:r>
      <w:r w:rsidRPr="00291458">
        <w:rPr>
          <w:rFonts w:ascii="Garamond" w:hAnsi="Garamond"/>
          <w:snapToGrid w:val="0"/>
          <w:sz w:val="24"/>
          <w:szCs w:val="24"/>
        </w:rPr>
        <w:t>2027</w:t>
      </w:r>
      <w:r w:rsidR="00A7726A" w:rsidRPr="00291458">
        <w:rPr>
          <w:rFonts w:ascii="Garamond" w:hAnsi="Garamond"/>
          <w:snapToGrid w:val="0"/>
          <w:sz w:val="24"/>
          <w:szCs w:val="24"/>
        </w:rPr>
        <w:t xml:space="preserve">, </w:t>
      </w:r>
      <w:r w:rsidRPr="00291458">
        <w:rPr>
          <w:rFonts w:ascii="Garamond" w:hAnsi="Garamond"/>
          <w:snapToGrid w:val="0"/>
          <w:sz w:val="24"/>
          <w:szCs w:val="24"/>
        </w:rPr>
        <w:t>që përfshin projektin e mëposhtëm:</w:t>
      </w:r>
    </w:p>
    <w:p w14:paraId="34442301" w14:textId="6A514265"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napToGrid w:val="0"/>
          <w:sz w:val="24"/>
          <w:szCs w:val="24"/>
        </w:rPr>
        <w:t>Programi Operacional Shumëvjeçar për Ekonominë dhe Shoqërinë Digjitale në favor të Republikës së Shqipërisë për 2024</w:t>
      </w:r>
      <w:r w:rsidR="00850FC7" w:rsidRPr="00291458">
        <w:rPr>
          <w:rFonts w:ascii="Garamond" w:hAnsi="Garamond" w:cs="Times New Roman"/>
          <w:sz w:val="24"/>
          <w:szCs w:val="24"/>
        </w:rPr>
        <w:t>–</w:t>
      </w:r>
      <w:r w:rsidRPr="00291458">
        <w:rPr>
          <w:rFonts w:ascii="Garamond" w:hAnsi="Garamond"/>
          <w:snapToGrid w:val="0"/>
          <w:sz w:val="24"/>
          <w:szCs w:val="24"/>
        </w:rPr>
        <w:t>2027</w:t>
      </w:r>
    </w:p>
    <w:p w14:paraId="34FFA9B7" w14:textId="77777777"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napToGrid w:val="0"/>
          <w:sz w:val="24"/>
          <w:szCs w:val="24"/>
        </w:rPr>
        <w:t>Numri global i angazhimit: JAD.1421641</w:t>
      </w:r>
    </w:p>
    <w:p w14:paraId="4F1EAED7" w14:textId="77777777" w:rsidR="007A2236" w:rsidRPr="00291458" w:rsidRDefault="007A2236" w:rsidP="00FC4C60">
      <w:pPr>
        <w:spacing w:after="0" w:line="240" w:lineRule="auto"/>
        <w:ind w:firstLine="284"/>
        <w:jc w:val="both"/>
        <w:outlineLvl w:val="0"/>
        <w:rPr>
          <w:rFonts w:ascii="Garamond" w:hAnsi="Garamond"/>
          <w:b/>
          <w:snapToGrid w:val="0"/>
          <w:sz w:val="24"/>
          <w:szCs w:val="24"/>
        </w:rPr>
      </w:pPr>
      <w:r w:rsidRPr="00291458">
        <w:rPr>
          <w:rFonts w:ascii="Garamond" w:hAnsi="Garamond"/>
          <w:sz w:val="24"/>
          <w:szCs w:val="24"/>
        </w:rPr>
        <w:t xml:space="preserve">Ky Program financohet nga buxheti i Unionit sipas aktit bazë të mëposhtëm: </w:t>
      </w:r>
      <w:r w:rsidRPr="00291458">
        <w:rPr>
          <w:rFonts w:ascii="Garamond" w:hAnsi="Garamond"/>
          <w:snapToGrid w:val="0"/>
          <w:sz w:val="24"/>
          <w:szCs w:val="24"/>
        </w:rPr>
        <w:t>Instrumenti i Ndihmës para Aderimit (IPA III).</w:t>
      </w:r>
      <w:r w:rsidRPr="00291458">
        <w:rPr>
          <w:rStyle w:val="FootnoteReference"/>
          <w:rFonts w:ascii="Garamond" w:hAnsi="Garamond"/>
          <w:snapToGrid w:val="0"/>
          <w:sz w:val="24"/>
          <w:szCs w:val="24"/>
        </w:rPr>
        <w:footnoteReference w:id="2"/>
      </w:r>
    </w:p>
    <w:p w14:paraId="67265461" w14:textId="04A894C8"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napToGrid w:val="0"/>
          <w:sz w:val="24"/>
          <w:szCs w:val="24"/>
        </w:rPr>
        <w:t xml:space="preserve">2. Kostoja totale e përllogaritur e këtij Programi është 44.000.000 </w:t>
      </w:r>
      <w:r w:rsidR="00294D56" w:rsidRPr="00291458">
        <w:rPr>
          <w:rFonts w:ascii="Garamond" w:hAnsi="Garamond"/>
          <w:snapToGrid w:val="0"/>
          <w:sz w:val="24"/>
          <w:szCs w:val="24"/>
        </w:rPr>
        <w:t>e</w:t>
      </w:r>
      <w:r w:rsidRPr="00291458">
        <w:rPr>
          <w:rFonts w:ascii="Garamond" w:hAnsi="Garamond"/>
          <w:snapToGrid w:val="0"/>
          <w:sz w:val="24"/>
          <w:szCs w:val="24"/>
        </w:rPr>
        <w:t>uro dhe kontributi maksimal i Unionit për këtë Program është vendosur në shumën 30</w:t>
      </w:r>
      <w:r w:rsidR="0090228E" w:rsidRPr="00291458">
        <w:rPr>
          <w:rFonts w:ascii="Garamond" w:hAnsi="Garamond"/>
          <w:snapToGrid w:val="0"/>
          <w:sz w:val="24"/>
          <w:szCs w:val="24"/>
        </w:rPr>
        <w:t>.</w:t>
      </w:r>
      <w:r w:rsidRPr="00291458">
        <w:rPr>
          <w:rFonts w:ascii="Garamond" w:hAnsi="Garamond"/>
          <w:snapToGrid w:val="0"/>
          <w:sz w:val="24"/>
          <w:szCs w:val="24"/>
        </w:rPr>
        <w:t>000</w:t>
      </w:r>
      <w:r w:rsidR="0090228E" w:rsidRPr="00291458">
        <w:rPr>
          <w:rFonts w:ascii="Garamond" w:hAnsi="Garamond"/>
          <w:snapToGrid w:val="0"/>
          <w:sz w:val="24"/>
          <w:szCs w:val="24"/>
        </w:rPr>
        <w:t>.</w:t>
      </w:r>
      <w:r w:rsidRPr="00291458">
        <w:rPr>
          <w:rFonts w:ascii="Garamond" w:hAnsi="Garamond"/>
          <w:snapToGrid w:val="0"/>
          <w:sz w:val="24"/>
          <w:szCs w:val="24"/>
        </w:rPr>
        <w:t xml:space="preserve">000 euro. </w:t>
      </w:r>
    </w:p>
    <w:p w14:paraId="44800B1E" w14:textId="507810FF" w:rsidR="007A2236" w:rsidRPr="00291458" w:rsidRDefault="007A2236" w:rsidP="00FC4C60">
      <w:pPr>
        <w:pStyle w:val="ListParagraph"/>
        <w:spacing w:after="0" w:line="240" w:lineRule="auto"/>
        <w:ind w:left="0" w:firstLine="284"/>
        <w:jc w:val="both"/>
        <w:rPr>
          <w:rFonts w:ascii="Garamond" w:eastAsia="Times New Roman" w:hAnsi="Garamond"/>
          <w:snapToGrid w:val="0"/>
          <w:sz w:val="24"/>
          <w:szCs w:val="24"/>
        </w:rPr>
      </w:pPr>
      <w:r w:rsidRPr="00291458">
        <w:rPr>
          <w:rFonts w:ascii="Garamond" w:hAnsi="Garamond"/>
          <w:snapToGrid w:val="0"/>
          <w:sz w:val="24"/>
          <w:szCs w:val="24"/>
        </w:rPr>
        <w:t xml:space="preserve">Kontributi i Unionit do të ndahet në angazhime vjetore për periudhën 2024–2027 në përputhje me </w:t>
      </w:r>
      <w:r w:rsidR="005222A5" w:rsidRPr="00291458">
        <w:rPr>
          <w:rFonts w:ascii="Garamond" w:hAnsi="Garamond"/>
          <w:snapToGrid w:val="0"/>
          <w:sz w:val="24"/>
          <w:szCs w:val="24"/>
        </w:rPr>
        <w:t>a</w:t>
      </w:r>
      <w:r w:rsidRPr="00291458">
        <w:rPr>
          <w:rFonts w:ascii="Garamond" w:hAnsi="Garamond"/>
          <w:snapToGrid w:val="0"/>
          <w:sz w:val="24"/>
          <w:szCs w:val="24"/>
        </w:rPr>
        <w:t xml:space="preserve">neksin I. Asnjë parashikim i kësaj Marrëveshjeje Financimi nuk mund të interpretohet se nënkupton një angazhim financiar të Unionit në lidhje me kreditë që nuk janë miratuar ende me miratimin e buxhetin të BE-së. Komisioni do të informojë me shkrim përfituesin e IPA III për miratimin e angazhimeve financiare të mëvonshme të treguara në </w:t>
      </w:r>
      <w:r w:rsidR="00850FC7" w:rsidRPr="00291458">
        <w:rPr>
          <w:rFonts w:ascii="Garamond" w:hAnsi="Garamond"/>
          <w:snapToGrid w:val="0"/>
          <w:sz w:val="24"/>
          <w:szCs w:val="24"/>
        </w:rPr>
        <w:t>a</w:t>
      </w:r>
      <w:r w:rsidRPr="00291458">
        <w:rPr>
          <w:rFonts w:ascii="Garamond" w:hAnsi="Garamond"/>
          <w:snapToGrid w:val="0"/>
          <w:sz w:val="24"/>
          <w:szCs w:val="24"/>
        </w:rPr>
        <w:t>neksin I.</w:t>
      </w:r>
    </w:p>
    <w:p w14:paraId="7F375DBA" w14:textId="63C4D1AE"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 xml:space="preserve">Ky Program kërkon kontribut financiar si nga përfituesi i IPA III ashtu edhe nga Unioni. Ndarja e kontributeve financiare përkatëse është paraqitur në </w:t>
      </w:r>
      <w:r w:rsidR="007C63DF" w:rsidRPr="00291458">
        <w:rPr>
          <w:rFonts w:ascii="Garamond" w:hAnsi="Garamond"/>
          <w:snapToGrid w:val="0"/>
          <w:sz w:val="24"/>
          <w:szCs w:val="24"/>
        </w:rPr>
        <w:t xml:space="preserve">aneksin </w:t>
      </w:r>
      <w:r w:rsidRPr="00291458">
        <w:rPr>
          <w:rFonts w:ascii="Garamond" w:hAnsi="Garamond"/>
          <w:snapToGrid w:val="0"/>
          <w:sz w:val="24"/>
          <w:szCs w:val="24"/>
        </w:rPr>
        <w:t xml:space="preserve">I. </w:t>
      </w:r>
    </w:p>
    <w:p w14:paraId="0A13B4FD" w14:textId="1B74A74C" w:rsidR="007A2236" w:rsidRPr="00291458" w:rsidRDefault="007A2236" w:rsidP="00FC4C60">
      <w:pPr>
        <w:pStyle w:val="ListParagraph"/>
        <w:spacing w:after="0" w:line="240" w:lineRule="auto"/>
        <w:ind w:left="0" w:firstLine="284"/>
        <w:jc w:val="both"/>
        <w:rPr>
          <w:rFonts w:ascii="Garamond" w:eastAsia="Times New Roman" w:hAnsi="Garamond"/>
          <w:snapToGrid w:val="0"/>
          <w:sz w:val="24"/>
          <w:szCs w:val="24"/>
        </w:rPr>
      </w:pPr>
      <w:r w:rsidRPr="00291458">
        <w:rPr>
          <w:rFonts w:ascii="Garamond" w:hAnsi="Garamond"/>
          <w:snapToGrid w:val="0"/>
          <w:sz w:val="24"/>
          <w:szCs w:val="24"/>
        </w:rPr>
        <w:t xml:space="preserve">3. Programi do të zbatohet në përputhje me programin operacional shumëvjeçar të treguar në </w:t>
      </w:r>
      <w:r w:rsidR="005222A5" w:rsidRPr="00291458">
        <w:rPr>
          <w:rFonts w:ascii="Garamond" w:hAnsi="Garamond"/>
          <w:snapToGrid w:val="0"/>
          <w:sz w:val="24"/>
          <w:szCs w:val="24"/>
        </w:rPr>
        <w:t>a</w:t>
      </w:r>
      <w:r w:rsidRPr="00291458">
        <w:rPr>
          <w:rFonts w:ascii="Garamond" w:hAnsi="Garamond"/>
          <w:snapToGrid w:val="0"/>
          <w:sz w:val="24"/>
          <w:szCs w:val="24"/>
        </w:rPr>
        <w:t>neksin I.</w:t>
      </w:r>
    </w:p>
    <w:p w14:paraId="311310AC" w14:textId="77777777" w:rsidR="00FC4C60" w:rsidRPr="00291458" w:rsidRDefault="00FC4C60" w:rsidP="00FC4C60">
      <w:pPr>
        <w:spacing w:after="0" w:line="240" w:lineRule="auto"/>
        <w:ind w:firstLine="284"/>
        <w:jc w:val="both"/>
        <w:outlineLvl w:val="0"/>
        <w:rPr>
          <w:rFonts w:ascii="Garamond" w:hAnsi="Garamond"/>
          <w:b/>
          <w:snapToGrid w:val="0"/>
          <w:sz w:val="24"/>
          <w:szCs w:val="24"/>
        </w:rPr>
      </w:pPr>
    </w:p>
    <w:p w14:paraId="43736A41" w14:textId="77777777" w:rsidR="00FC4C60" w:rsidRPr="00291458" w:rsidRDefault="007A2236" w:rsidP="00FC4C60">
      <w:pPr>
        <w:spacing w:after="0" w:line="240" w:lineRule="auto"/>
        <w:ind w:firstLine="284"/>
        <w:jc w:val="center"/>
        <w:outlineLvl w:val="0"/>
        <w:rPr>
          <w:rFonts w:ascii="Garamond" w:hAnsi="Garamond"/>
          <w:snapToGrid w:val="0"/>
          <w:sz w:val="24"/>
          <w:szCs w:val="24"/>
        </w:rPr>
      </w:pPr>
      <w:r w:rsidRPr="00291458">
        <w:rPr>
          <w:rFonts w:ascii="Garamond" w:hAnsi="Garamond"/>
          <w:snapToGrid w:val="0"/>
          <w:sz w:val="24"/>
          <w:szCs w:val="24"/>
        </w:rPr>
        <w:t>Neni 2</w:t>
      </w:r>
    </w:p>
    <w:p w14:paraId="3DC01C4D" w14:textId="77777777" w:rsidR="007A2236" w:rsidRPr="00291458" w:rsidRDefault="007A2236" w:rsidP="00FC4C60">
      <w:pPr>
        <w:spacing w:after="0" w:line="240" w:lineRule="auto"/>
        <w:ind w:firstLine="284"/>
        <w:jc w:val="center"/>
        <w:outlineLvl w:val="0"/>
        <w:rPr>
          <w:rFonts w:ascii="Garamond" w:hAnsi="Garamond"/>
          <w:b/>
          <w:snapToGrid w:val="0"/>
          <w:sz w:val="24"/>
          <w:szCs w:val="24"/>
        </w:rPr>
      </w:pPr>
      <w:r w:rsidRPr="00291458">
        <w:rPr>
          <w:rFonts w:ascii="Garamond" w:hAnsi="Garamond"/>
          <w:b/>
          <w:snapToGrid w:val="0"/>
          <w:sz w:val="24"/>
          <w:szCs w:val="24"/>
        </w:rPr>
        <w:t>Periudha e ekzekutimit, periudha e pranueshmërisë dhe çlirimi i angazhimit</w:t>
      </w:r>
    </w:p>
    <w:p w14:paraId="0E0A83E7" w14:textId="77777777" w:rsidR="00FC4C60" w:rsidRPr="00291458" w:rsidRDefault="00FC4C60" w:rsidP="00FC4C60">
      <w:pPr>
        <w:spacing w:after="0" w:line="240" w:lineRule="auto"/>
        <w:ind w:firstLine="284"/>
        <w:jc w:val="both"/>
        <w:outlineLvl w:val="0"/>
        <w:rPr>
          <w:rFonts w:ascii="Garamond" w:hAnsi="Garamond"/>
          <w:snapToGrid w:val="0"/>
          <w:sz w:val="24"/>
          <w:szCs w:val="24"/>
        </w:rPr>
      </w:pPr>
    </w:p>
    <w:p w14:paraId="4472E4CC" w14:textId="77777777"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napToGrid w:val="0"/>
          <w:sz w:val="24"/>
          <w:szCs w:val="24"/>
        </w:rPr>
        <w:t>1. Periudha e ekzekutimit të kësaj Marrëveshjeje Financiare do të fillojë me hyrjen në fuqi të kësaj Marrëveshjeje Financiare dhe do të përfundojë 12 vjet pas kësaj date.</w:t>
      </w:r>
    </w:p>
    <w:p w14:paraId="06C04293" w14:textId="1D720043"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napToGrid w:val="0"/>
          <w:sz w:val="24"/>
          <w:szCs w:val="24"/>
        </w:rPr>
        <w:t xml:space="preserve">2. Periudha e pranueshmërisë, siç përcaktohet në nenin 12(1) të </w:t>
      </w:r>
      <w:r w:rsidR="00294D56" w:rsidRPr="00291458">
        <w:rPr>
          <w:rFonts w:ascii="Garamond" w:hAnsi="Garamond"/>
          <w:snapToGrid w:val="0"/>
          <w:sz w:val="24"/>
          <w:szCs w:val="24"/>
        </w:rPr>
        <w:t>a</w:t>
      </w:r>
      <w:r w:rsidRPr="00291458">
        <w:rPr>
          <w:rFonts w:ascii="Garamond" w:hAnsi="Garamond"/>
          <w:snapToGrid w:val="0"/>
          <w:sz w:val="24"/>
          <w:szCs w:val="24"/>
        </w:rPr>
        <w:t>neksit II (</w:t>
      </w:r>
      <w:r w:rsidR="005222A5" w:rsidRPr="00291458">
        <w:rPr>
          <w:rFonts w:ascii="Garamond" w:hAnsi="Garamond"/>
          <w:snapToGrid w:val="0"/>
          <w:sz w:val="24"/>
          <w:szCs w:val="24"/>
        </w:rPr>
        <w:t>“</w:t>
      </w:r>
      <w:r w:rsidRPr="00291458">
        <w:rPr>
          <w:rFonts w:ascii="Garamond" w:hAnsi="Garamond"/>
          <w:snapToGrid w:val="0"/>
          <w:sz w:val="24"/>
          <w:szCs w:val="24"/>
        </w:rPr>
        <w:t xml:space="preserve">Kushtet e </w:t>
      </w:r>
      <w:r w:rsidR="005222A5" w:rsidRPr="00291458">
        <w:rPr>
          <w:rFonts w:ascii="Garamond" w:hAnsi="Garamond"/>
          <w:snapToGrid w:val="0"/>
          <w:sz w:val="24"/>
          <w:szCs w:val="24"/>
        </w:rPr>
        <w:t>p</w:t>
      </w:r>
      <w:r w:rsidRPr="00291458">
        <w:rPr>
          <w:rFonts w:ascii="Garamond" w:hAnsi="Garamond"/>
          <w:snapToGrid w:val="0"/>
          <w:sz w:val="24"/>
          <w:szCs w:val="24"/>
        </w:rPr>
        <w:t>ërgjithshme</w:t>
      </w:r>
      <w:r w:rsidR="005222A5" w:rsidRPr="00291458">
        <w:rPr>
          <w:rFonts w:ascii="Garamond" w:hAnsi="Garamond"/>
          <w:snapToGrid w:val="0"/>
          <w:sz w:val="24"/>
          <w:szCs w:val="24"/>
        </w:rPr>
        <w:t>”</w:t>
      </w:r>
      <w:r w:rsidRPr="00291458">
        <w:rPr>
          <w:rFonts w:ascii="Garamond" w:hAnsi="Garamond"/>
          <w:snapToGrid w:val="0"/>
          <w:sz w:val="24"/>
          <w:szCs w:val="24"/>
        </w:rPr>
        <w:t xml:space="preserve">) do të fillojë në datën e hyrjes në fuqi të kësaj Marrëveshjeje Financimi dhe do të përfundojë më 31 </w:t>
      </w:r>
      <w:r w:rsidR="005222A5" w:rsidRPr="00291458">
        <w:rPr>
          <w:rFonts w:ascii="Garamond" w:hAnsi="Garamond"/>
          <w:snapToGrid w:val="0"/>
          <w:sz w:val="24"/>
          <w:szCs w:val="24"/>
        </w:rPr>
        <w:t>d</w:t>
      </w:r>
      <w:r w:rsidRPr="00291458">
        <w:rPr>
          <w:rFonts w:ascii="Garamond" w:hAnsi="Garamond"/>
          <w:snapToGrid w:val="0"/>
          <w:sz w:val="24"/>
          <w:szCs w:val="24"/>
        </w:rPr>
        <w:t xml:space="preserve">hjetor 2033. </w:t>
      </w:r>
    </w:p>
    <w:p w14:paraId="18C6BA6D" w14:textId="2229CE7C"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z w:val="24"/>
          <w:szCs w:val="24"/>
        </w:rPr>
        <w:t xml:space="preserve">3. Komisioni do të çlirojë automatikisht çdo pjesë të një angazhimi buxhetor për programin e treguar në </w:t>
      </w:r>
      <w:r w:rsidR="00294D56" w:rsidRPr="00291458">
        <w:rPr>
          <w:rFonts w:ascii="Garamond" w:hAnsi="Garamond"/>
          <w:sz w:val="24"/>
          <w:szCs w:val="24"/>
        </w:rPr>
        <w:t>a</w:t>
      </w:r>
      <w:r w:rsidRPr="00291458">
        <w:rPr>
          <w:rFonts w:ascii="Garamond" w:hAnsi="Garamond"/>
          <w:sz w:val="24"/>
          <w:szCs w:val="24"/>
        </w:rPr>
        <w:t xml:space="preserve">neksin I e cila, deri më 31 dhjetor të vitit të pestë pas atij të angazhimit buxhetor, nuk është përdorur për qëllime të parafinancimit ose kryerjes së pagesave të ndërmjetme, ose për të cilën nuk është paraqitur asnjë deklaratë shpenzimi e vërtetuar ose ndonjë kërkesë për pagesë. </w:t>
      </w:r>
    </w:p>
    <w:p w14:paraId="1AEAA3D8" w14:textId="77777777"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napToGrid w:val="0"/>
          <w:sz w:val="24"/>
          <w:szCs w:val="24"/>
        </w:rPr>
        <w:t>4. Pa cenuar afatin automatik të çlirimit nga angazhimi i përmendur në paragrafin 3, Komisioni do të informojë përfituesin e IPA III 9 muaj</w:t>
      </w:r>
      <w:r w:rsidRPr="00291458">
        <w:rPr>
          <w:rFonts w:ascii="Garamond" w:hAnsi="Garamond"/>
          <w:sz w:val="24"/>
          <w:szCs w:val="24"/>
        </w:rPr>
        <w:t xml:space="preserve"> përpara afatit automatik të çlirimit nga angazhimi për rrezikun e çlirimit nga angazhimi.</w:t>
      </w:r>
    </w:p>
    <w:p w14:paraId="369C4A72" w14:textId="77777777"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napToGrid w:val="0"/>
          <w:sz w:val="24"/>
          <w:szCs w:val="24"/>
        </w:rPr>
        <w:t xml:space="preserve">5. Shuma e prekur nga lirimi nga angazhimi do të reduktohet me shumat ekuivalente për atë pjesë të angazhimit buxhetor për të cilën: </w:t>
      </w:r>
    </w:p>
    <w:p w14:paraId="24E0BB00" w14:textId="77777777"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napToGrid w:val="0"/>
          <w:sz w:val="24"/>
          <w:szCs w:val="24"/>
        </w:rPr>
        <w:t xml:space="preserve">a) operacionet janë pezulluar me një proces ligjor ose me një ankim administrativ me efekt pezullues; ose </w:t>
      </w:r>
    </w:p>
    <w:p w14:paraId="5C72C2B2" w14:textId="77777777"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napToGrid w:val="0"/>
          <w:sz w:val="24"/>
          <w:szCs w:val="24"/>
        </w:rPr>
        <w:t xml:space="preserve">b) nuk ka qenë e mundur të bëhet një kërkesë pagese për arsye të fatkeqësisë natyrore që ndikon seriozisht në zbatimin e të gjithë ose të një pjese të programit. </w:t>
      </w:r>
    </w:p>
    <w:p w14:paraId="39A3FC62" w14:textId="38E33B98" w:rsidR="007A2236" w:rsidRPr="00291458" w:rsidRDefault="007A2236" w:rsidP="00FC4C60">
      <w:pPr>
        <w:spacing w:after="0" w:line="240" w:lineRule="auto"/>
        <w:ind w:firstLine="284"/>
        <w:jc w:val="both"/>
        <w:outlineLvl w:val="0"/>
        <w:rPr>
          <w:rFonts w:ascii="Garamond" w:hAnsi="Garamond"/>
          <w:snapToGrid w:val="0"/>
          <w:sz w:val="24"/>
          <w:szCs w:val="24"/>
        </w:rPr>
      </w:pPr>
      <w:r w:rsidRPr="00291458">
        <w:rPr>
          <w:rFonts w:ascii="Garamond" w:hAnsi="Garamond"/>
          <w:snapToGrid w:val="0"/>
          <w:sz w:val="24"/>
          <w:szCs w:val="24"/>
        </w:rPr>
        <w:t>Përfituesi i IPA III që pretendon për</w:t>
      </w:r>
      <w:r w:rsidR="004449E6" w:rsidRPr="00291458">
        <w:rPr>
          <w:rFonts w:ascii="Garamond" w:hAnsi="Garamond"/>
          <w:snapToGrid w:val="0"/>
          <w:sz w:val="24"/>
          <w:szCs w:val="24"/>
        </w:rPr>
        <w:t xml:space="preserve"> </w:t>
      </w:r>
      <w:r w:rsidRPr="00291458">
        <w:rPr>
          <w:rFonts w:ascii="Garamond" w:hAnsi="Garamond"/>
          <w:snapToGrid w:val="0"/>
          <w:sz w:val="24"/>
          <w:szCs w:val="24"/>
        </w:rPr>
        <w:t>fatkeqësinë natyrore duhet të tregojë pasojat e drejtpërdrejta të fatkeqësisë natyrore mbi zbatimin e të gjithë ose të një pjese të programit.</w:t>
      </w:r>
    </w:p>
    <w:p w14:paraId="63160DA5" w14:textId="77777777" w:rsidR="00FC4C60" w:rsidRPr="00291458" w:rsidRDefault="00FC4C60" w:rsidP="00FC4C60">
      <w:pPr>
        <w:spacing w:after="0" w:line="240" w:lineRule="auto"/>
        <w:ind w:firstLine="284"/>
        <w:jc w:val="both"/>
        <w:outlineLvl w:val="0"/>
        <w:rPr>
          <w:rFonts w:ascii="Garamond" w:hAnsi="Garamond"/>
          <w:b/>
          <w:snapToGrid w:val="0"/>
          <w:sz w:val="24"/>
          <w:szCs w:val="24"/>
        </w:rPr>
      </w:pPr>
    </w:p>
    <w:p w14:paraId="60166F2C" w14:textId="77777777" w:rsidR="00FC4C60" w:rsidRPr="00291458" w:rsidRDefault="007A2236" w:rsidP="00FC4C60">
      <w:pPr>
        <w:spacing w:after="0" w:line="240" w:lineRule="auto"/>
        <w:ind w:firstLine="284"/>
        <w:jc w:val="center"/>
        <w:outlineLvl w:val="0"/>
        <w:rPr>
          <w:rFonts w:ascii="Garamond" w:hAnsi="Garamond"/>
          <w:snapToGrid w:val="0"/>
          <w:sz w:val="24"/>
          <w:szCs w:val="24"/>
        </w:rPr>
      </w:pPr>
      <w:r w:rsidRPr="00291458">
        <w:rPr>
          <w:rFonts w:ascii="Garamond" w:hAnsi="Garamond"/>
          <w:snapToGrid w:val="0"/>
          <w:sz w:val="24"/>
          <w:szCs w:val="24"/>
        </w:rPr>
        <w:t xml:space="preserve">Neni 3 </w:t>
      </w:r>
    </w:p>
    <w:p w14:paraId="57B3CAF7" w14:textId="77777777" w:rsidR="007A2236" w:rsidRPr="00291458" w:rsidRDefault="007A2236" w:rsidP="00FC4C60">
      <w:pPr>
        <w:spacing w:after="0" w:line="240" w:lineRule="auto"/>
        <w:ind w:firstLine="284"/>
        <w:jc w:val="center"/>
        <w:outlineLvl w:val="0"/>
        <w:rPr>
          <w:rFonts w:ascii="Garamond" w:hAnsi="Garamond"/>
          <w:b/>
          <w:snapToGrid w:val="0"/>
          <w:sz w:val="24"/>
          <w:szCs w:val="24"/>
        </w:rPr>
      </w:pPr>
      <w:r w:rsidRPr="00291458">
        <w:rPr>
          <w:rFonts w:ascii="Garamond" w:hAnsi="Garamond"/>
          <w:b/>
          <w:snapToGrid w:val="0"/>
          <w:sz w:val="24"/>
          <w:szCs w:val="24"/>
        </w:rPr>
        <w:t>Adresat dhe komunikimi</w:t>
      </w:r>
    </w:p>
    <w:p w14:paraId="277E59B9" w14:textId="77777777" w:rsidR="00294D56" w:rsidRPr="00291458" w:rsidRDefault="00294D56" w:rsidP="00FC4C60">
      <w:pPr>
        <w:spacing w:after="0" w:line="240" w:lineRule="auto"/>
        <w:ind w:firstLine="284"/>
        <w:jc w:val="both"/>
        <w:rPr>
          <w:rFonts w:ascii="Garamond" w:hAnsi="Garamond"/>
          <w:snapToGrid w:val="0"/>
          <w:sz w:val="24"/>
          <w:szCs w:val="24"/>
        </w:rPr>
      </w:pPr>
    </w:p>
    <w:p w14:paraId="3544C894" w14:textId="11190D6B"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Të gjitha komunikimet në lidhje me zbatimin e kësaj Marrëveshjeje Financiare do të bëhen me shkrim, do t</w:t>
      </w:r>
      <w:r w:rsidR="005222A5" w:rsidRPr="00291458">
        <w:rPr>
          <w:rFonts w:ascii="Garamond" w:hAnsi="Garamond"/>
          <w:snapToGrid w:val="0"/>
          <w:sz w:val="24"/>
          <w:szCs w:val="24"/>
        </w:rPr>
        <w:t>’</w:t>
      </w:r>
      <w:r w:rsidRPr="00291458">
        <w:rPr>
          <w:rFonts w:ascii="Garamond" w:hAnsi="Garamond"/>
          <w:snapToGrid w:val="0"/>
          <w:sz w:val="24"/>
          <w:szCs w:val="24"/>
        </w:rPr>
        <w:t>i referohen shprehimisht Programit</w:t>
      </w:r>
      <w:r w:rsidR="0090228E" w:rsidRPr="00291458">
        <w:rPr>
          <w:rFonts w:ascii="Garamond" w:hAnsi="Garamond"/>
          <w:snapToGrid w:val="0"/>
          <w:sz w:val="24"/>
          <w:szCs w:val="24"/>
        </w:rPr>
        <w:t>,</w:t>
      </w:r>
      <w:r w:rsidRPr="00291458">
        <w:rPr>
          <w:rFonts w:ascii="Garamond" w:hAnsi="Garamond"/>
          <w:snapToGrid w:val="0"/>
          <w:sz w:val="24"/>
          <w:szCs w:val="24"/>
        </w:rPr>
        <w:t xml:space="preserve"> siç është identifikuar në nenin 1(1)</w:t>
      </w:r>
      <w:r w:rsidR="0090228E" w:rsidRPr="00291458">
        <w:rPr>
          <w:rFonts w:ascii="Garamond" w:hAnsi="Garamond"/>
          <w:snapToGrid w:val="0"/>
          <w:sz w:val="24"/>
          <w:szCs w:val="24"/>
        </w:rPr>
        <w:t>,</w:t>
      </w:r>
      <w:r w:rsidRPr="00291458">
        <w:rPr>
          <w:rFonts w:ascii="Garamond" w:hAnsi="Garamond"/>
          <w:snapToGrid w:val="0"/>
          <w:sz w:val="24"/>
          <w:szCs w:val="24"/>
        </w:rPr>
        <w:t xml:space="preserve"> dhe do të dërgohen në adresat e mëposhtme:</w:t>
      </w:r>
    </w:p>
    <w:p w14:paraId="2ACF9C5A" w14:textId="13A8BE81"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b/>
          <w:snapToGrid w:val="0"/>
          <w:sz w:val="24"/>
          <w:szCs w:val="24"/>
        </w:rPr>
        <w:t xml:space="preserve">a) </w:t>
      </w:r>
      <w:r w:rsidR="005A72A1" w:rsidRPr="00291458">
        <w:rPr>
          <w:rFonts w:ascii="Garamond" w:hAnsi="Garamond"/>
          <w:b/>
          <w:snapToGrid w:val="0"/>
          <w:sz w:val="24"/>
          <w:szCs w:val="24"/>
        </w:rPr>
        <w:t>P</w:t>
      </w:r>
      <w:r w:rsidRPr="00291458">
        <w:rPr>
          <w:rFonts w:ascii="Garamond" w:hAnsi="Garamond"/>
          <w:b/>
          <w:snapToGrid w:val="0"/>
          <w:sz w:val="24"/>
          <w:szCs w:val="24"/>
        </w:rPr>
        <w:t>ër Komisionin</w:t>
      </w:r>
      <w:r w:rsidR="005A72A1" w:rsidRPr="00291458">
        <w:rPr>
          <w:rFonts w:ascii="Garamond" w:hAnsi="Garamond"/>
          <w:b/>
          <w:snapToGrid w:val="0"/>
          <w:sz w:val="24"/>
          <w:szCs w:val="24"/>
        </w:rPr>
        <w:t>:</w:t>
      </w:r>
    </w:p>
    <w:p w14:paraId="79ADE037" w14:textId="77777777" w:rsidR="007A2236" w:rsidRPr="00291458" w:rsidRDefault="007A2236" w:rsidP="00FC4C60">
      <w:pPr>
        <w:pStyle w:val="ListParagraph"/>
        <w:spacing w:after="0" w:line="240" w:lineRule="auto"/>
        <w:ind w:left="0" w:firstLine="284"/>
        <w:jc w:val="both"/>
        <w:rPr>
          <w:rFonts w:ascii="Garamond" w:eastAsia="Times New Roman" w:hAnsi="Garamond"/>
          <w:snapToGrid w:val="0"/>
          <w:sz w:val="24"/>
          <w:szCs w:val="24"/>
        </w:rPr>
      </w:pPr>
      <w:r w:rsidRPr="00291458">
        <w:rPr>
          <w:rFonts w:ascii="Garamond" w:hAnsi="Garamond"/>
          <w:snapToGrid w:val="0"/>
          <w:sz w:val="24"/>
          <w:szCs w:val="24"/>
        </w:rPr>
        <w:lastRenderedPageBreak/>
        <w:t>Valentina Superti</w:t>
      </w:r>
    </w:p>
    <w:p w14:paraId="1E7F8EAD" w14:textId="77777777" w:rsidR="007A2236" w:rsidRPr="00291458" w:rsidRDefault="007A2236" w:rsidP="00FC4C60">
      <w:pPr>
        <w:pStyle w:val="ListParagraph"/>
        <w:spacing w:after="0" w:line="240" w:lineRule="auto"/>
        <w:ind w:left="0" w:firstLine="284"/>
        <w:jc w:val="both"/>
        <w:rPr>
          <w:rFonts w:ascii="Garamond" w:eastAsia="Times New Roman" w:hAnsi="Garamond"/>
          <w:snapToGrid w:val="0"/>
          <w:sz w:val="24"/>
          <w:szCs w:val="24"/>
        </w:rPr>
      </w:pPr>
      <w:r w:rsidRPr="00291458">
        <w:rPr>
          <w:rFonts w:ascii="Garamond" w:hAnsi="Garamond"/>
          <w:snapToGrid w:val="0"/>
          <w:sz w:val="24"/>
          <w:szCs w:val="24"/>
        </w:rPr>
        <w:t>Director D, Western Balkans</w:t>
      </w:r>
    </w:p>
    <w:p w14:paraId="1E913D85" w14:textId="77777777" w:rsidR="007A2236" w:rsidRPr="00291458" w:rsidRDefault="007A2236" w:rsidP="00FC4C60">
      <w:pPr>
        <w:pStyle w:val="ListParagraph"/>
        <w:spacing w:after="0" w:line="240" w:lineRule="auto"/>
        <w:ind w:left="0" w:firstLine="284"/>
        <w:jc w:val="both"/>
        <w:rPr>
          <w:rFonts w:ascii="Garamond" w:eastAsia="Times New Roman" w:hAnsi="Garamond"/>
          <w:snapToGrid w:val="0"/>
          <w:sz w:val="24"/>
          <w:szCs w:val="24"/>
        </w:rPr>
      </w:pPr>
      <w:r w:rsidRPr="00291458">
        <w:rPr>
          <w:rFonts w:ascii="Garamond" w:hAnsi="Garamond"/>
          <w:snapToGrid w:val="0"/>
          <w:sz w:val="24"/>
          <w:szCs w:val="24"/>
        </w:rPr>
        <w:t>Directorate-General for Neighbourhood and Enlargement Negotiations (DG NEAR)</w:t>
      </w:r>
    </w:p>
    <w:p w14:paraId="44F1D369" w14:textId="77777777" w:rsidR="007A2236" w:rsidRPr="00291458" w:rsidRDefault="007A2236" w:rsidP="00FC4C60">
      <w:pPr>
        <w:pStyle w:val="ListParagraph"/>
        <w:spacing w:after="0" w:line="240" w:lineRule="auto"/>
        <w:ind w:left="0" w:firstLine="284"/>
        <w:jc w:val="both"/>
        <w:rPr>
          <w:rFonts w:ascii="Garamond" w:eastAsia="Times New Roman" w:hAnsi="Garamond"/>
          <w:snapToGrid w:val="0"/>
          <w:sz w:val="24"/>
          <w:szCs w:val="24"/>
        </w:rPr>
      </w:pPr>
      <w:r w:rsidRPr="00291458">
        <w:rPr>
          <w:rFonts w:ascii="Garamond" w:hAnsi="Garamond"/>
          <w:snapToGrid w:val="0"/>
          <w:sz w:val="24"/>
          <w:szCs w:val="24"/>
        </w:rPr>
        <w:t>European Commission</w:t>
      </w:r>
    </w:p>
    <w:p w14:paraId="0C48308D" w14:textId="77777777" w:rsidR="007A2236" w:rsidRPr="00291458" w:rsidRDefault="007A2236" w:rsidP="00FC4C60">
      <w:pPr>
        <w:pStyle w:val="ListParagraph"/>
        <w:spacing w:after="0" w:line="240" w:lineRule="auto"/>
        <w:ind w:left="0" w:firstLine="284"/>
        <w:jc w:val="both"/>
        <w:rPr>
          <w:rFonts w:ascii="Garamond" w:eastAsia="Times New Roman" w:hAnsi="Garamond"/>
          <w:snapToGrid w:val="0"/>
          <w:sz w:val="24"/>
          <w:szCs w:val="24"/>
        </w:rPr>
      </w:pPr>
      <w:r w:rsidRPr="00291458">
        <w:rPr>
          <w:rFonts w:ascii="Garamond" w:hAnsi="Garamond"/>
          <w:snapToGrid w:val="0"/>
          <w:sz w:val="24"/>
          <w:szCs w:val="24"/>
        </w:rPr>
        <w:t>Rue de la Loi 15</w:t>
      </w:r>
    </w:p>
    <w:p w14:paraId="487B36B0" w14:textId="77777777" w:rsidR="007A2236" w:rsidRPr="00291458" w:rsidRDefault="007A2236" w:rsidP="00FC4C60">
      <w:pPr>
        <w:pStyle w:val="ListParagraph"/>
        <w:spacing w:after="0" w:line="240" w:lineRule="auto"/>
        <w:ind w:left="0" w:firstLine="284"/>
        <w:jc w:val="both"/>
        <w:rPr>
          <w:rFonts w:ascii="Garamond" w:eastAsia="Times New Roman" w:hAnsi="Garamond"/>
          <w:snapToGrid w:val="0"/>
          <w:sz w:val="24"/>
          <w:szCs w:val="24"/>
        </w:rPr>
      </w:pPr>
      <w:r w:rsidRPr="00291458">
        <w:rPr>
          <w:rFonts w:ascii="Garamond" w:hAnsi="Garamond"/>
          <w:snapToGrid w:val="0"/>
          <w:sz w:val="24"/>
          <w:szCs w:val="24"/>
        </w:rPr>
        <w:t>B-1049 Brussels, Belgium</w:t>
      </w:r>
    </w:p>
    <w:p w14:paraId="39EDD0E2" w14:textId="77777777" w:rsidR="007A2236" w:rsidRPr="00291458" w:rsidRDefault="007A2236" w:rsidP="00FC4C60">
      <w:pPr>
        <w:pStyle w:val="ListParagraph"/>
        <w:spacing w:after="0" w:line="240" w:lineRule="auto"/>
        <w:ind w:left="0" w:firstLine="284"/>
        <w:jc w:val="both"/>
        <w:rPr>
          <w:rFonts w:ascii="Garamond" w:eastAsia="Times New Roman" w:hAnsi="Garamond"/>
          <w:snapToGrid w:val="0"/>
          <w:sz w:val="24"/>
          <w:szCs w:val="24"/>
        </w:rPr>
      </w:pPr>
      <w:r w:rsidRPr="00291458">
        <w:rPr>
          <w:rFonts w:ascii="Garamond" w:hAnsi="Garamond"/>
          <w:snapToGrid w:val="0"/>
          <w:sz w:val="24"/>
          <w:szCs w:val="24"/>
        </w:rPr>
        <w:t xml:space="preserve">E-mail: </w:t>
      </w:r>
      <w:hyperlink r:id="rId13" w:history="1">
        <w:r w:rsidRPr="00291458">
          <w:rPr>
            <w:rStyle w:val="Hyperlink"/>
            <w:rFonts w:ascii="Garamond" w:hAnsi="Garamond"/>
            <w:snapToGrid w:val="0"/>
            <w:color w:val="auto"/>
            <w:sz w:val="24"/>
            <w:szCs w:val="24"/>
          </w:rPr>
          <w:t>NEAR-D@ec.europa.eu</w:t>
        </w:r>
      </w:hyperlink>
      <w:r w:rsidRPr="00291458">
        <w:rPr>
          <w:rFonts w:ascii="Garamond" w:hAnsi="Garamond"/>
          <w:snapToGrid w:val="0"/>
          <w:sz w:val="24"/>
          <w:szCs w:val="24"/>
        </w:rPr>
        <w:t xml:space="preserve"> </w:t>
      </w:r>
    </w:p>
    <w:p w14:paraId="73734ADC" w14:textId="4EBC4399" w:rsidR="007A2236" w:rsidRPr="00291458" w:rsidRDefault="007A2236" w:rsidP="00FC4C60">
      <w:pPr>
        <w:spacing w:after="0" w:line="240" w:lineRule="auto"/>
        <w:ind w:firstLine="284"/>
        <w:jc w:val="both"/>
        <w:rPr>
          <w:rFonts w:ascii="Garamond" w:hAnsi="Garamond"/>
          <w:b/>
          <w:snapToGrid w:val="0"/>
          <w:sz w:val="24"/>
          <w:szCs w:val="24"/>
        </w:rPr>
      </w:pPr>
      <w:r w:rsidRPr="00291458">
        <w:rPr>
          <w:rFonts w:ascii="Garamond" w:hAnsi="Garamond"/>
          <w:b/>
          <w:snapToGrid w:val="0"/>
          <w:sz w:val="24"/>
          <w:szCs w:val="24"/>
        </w:rPr>
        <w:t xml:space="preserve">b) </w:t>
      </w:r>
      <w:r w:rsidR="005A72A1" w:rsidRPr="00291458">
        <w:rPr>
          <w:rFonts w:ascii="Garamond" w:hAnsi="Garamond"/>
          <w:b/>
          <w:snapToGrid w:val="0"/>
          <w:sz w:val="24"/>
          <w:szCs w:val="24"/>
        </w:rPr>
        <w:t>P</w:t>
      </w:r>
      <w:r w:rsidRPr="00291458">
        <w:rPr>
          <w:rFonts w:ascii="Garamond" w:hAnsi="Garamond"/>
          <w:b/>
          <w:snapToGrid w:val="0"/>
          <w:sz w:val="24"/>
          <w:szCs w:val="24"/>
        </w:rPr>
        <w:t>ër përfituesin e IPA III</w:t>
      </w:r>
      <w:r w:rsidR="005A72A1" w:rsidRPr="00291458">
        <w:rPr>
          <w:rFonts w:ascii="Garamond" w:hAnsi="Garamond"/>
          <w:b/>
          <w:snapToGrid w:val="0"/>
          <w:sz w:val="24"/>
          <w:szCs w:val="24"/>
        </w:rPr>
        <w:t>:</w:t>
      </w:r>
    </w:p>
    <w:p w14:paraId="290BD52E" w14:textId="77777777" w:rsidR="007A2236" w:rsidRPr="00291458" w:rsidRDefault="007A2236" w:rsidP="00FC4C60">
      <w:pPr>
        <w:spacing w:after="0" w:line="240" w:lineRule="auto"/>
        <w:ind w:firstLine="284"/>
        <w:rPr>
          <w:rFonts w:ascii="Garamond" w:hAnsi="Garamond"/>
          <w:snapToGrid w:val="0"/>
          <w:sz w:val="24"/>
          <w:szCs w:val="24"/>
        </w:rPr>
      </w:pPr>
      <w:r w:rsidRPr="00291458">
        <w:rPr>
          <w:rFonts w:ascii="Garamond" w:hAnsi="Garamond"/>
          <w:snapToGrid w:val="0"/>
          <w:sz w:val="24"/>
          <w:szCs w:val="24"/>
        </w:rPr>
        <w:t xml:space="preserve">Eridana Çano </w:t>
      </w:r>
    </w:p>
    <w:p w14:paraId="45FE17E8" w14:textId="77777777" w:rsidR="007A2236" w:rsidRPr="00291458" w:rsidRDefault="007A2236" w:rsidP="00FC4C60">
      <w:pPr>
        <w:spacing w:after="0" w:line="240" w:lineRule="auto"/>
        <w:ind w:firstLine="284"/>
        <w:rPr>
          <w:rFonts w:ascii="Garamond" w:hAnsi="Garamond"/>
          <w:snapToGrid w:val="0"/>
          <w:sz w:val="24"/>
          <w:szCs w:val="24"/>
        </w:rPr>
      </w:pPr>
      <w:r w:rsidRPr="00291458">
        <w:rPr>
          <w:rFonts w:ascii="Garamond" w:hAnsi="Garamond"/>
          <w:snapToGrid w:val="0"/>
          <w:sz w:val="24"/>
          <w:szCs w:val="24"/>
        </w:rPr>
        <w:t>Koordinatori Kombëtar për IPA-n</w:t>
      </w:r>
    </w:p>
    <w:p w14:paraId="3FE80316" w14:textId="028D705E" w:rsidR="007A2236" w:rsidRPr="00291458" w:rsidRDefault="007A2236" w:rsidP="00FC4C60">
      <w:pPr>
        <w:spacing w:after="0" w:line="240" w:lineRule="auto"/>
        <w:ind w:firstLine="284"/>
        <w:rPr>
          <w:rFonts w:ascii="Garamond" w:hAnsi="Garamond"/>
          <w:snapToGrid w:val="0"/>
          <w:sz w:val="24"/>
          <w:szCs w:val="24"/>
        </w:rPr>
      </w:pPr>
      <w:r w:rsidRPr="00291458">
        <w:rPr>
          <w:rFonts w:ascii="Garamond" w:hAnsi="Garamond"/>
          <w:snapToGrid w:val="0"/>
          <w:sz w:val="24"/>
          <w:szCs w:val="24"/>
        </w:rPr>
        <w:t xml:space="preserve">Drejtor i </w:t>
      </w:r>
      <w:r w:rsidR="007C63DF" w:rsidRPr="00291458">
        <w:rPr>
          <w:rFonts w:ascii="Garamond" w:hAnsi="Garamond"/>
          <w:snapToGrid w:val="0"/>
          <w:sz w:val="24"/>
          <w:szCs w:val="24"/>
        </w:rPr>
        <w:t xml:space="preserve">përgjithshëm </w:t>
      </w:r>
      <w:r w:rsidRPr="00291458">
        <w:rPr>
          <w:rFonts w:ascii="Garamond" w:hAnsi="Garamond"/>
          <w:snapToGrid w:val="0"/>
          <w:sz w:val="24"/>
          <w:szCs w:val="24"/>
        </w:rPr>
        <w:t>i Agjencisë Shtetërore të Programimit Strategjik dhe Koordinimit të Ndihmës</w:t>
      </w:r>
    </w:p>
    <w:p w14:paraId="42CB3ABC" w14:textId="77777777" w:rsidR="007A2236" w:rsidRPr="00291458" w:rsidRDefault="007A2236" w:rsidP="00FC4C60">
      <w:pPr>
        <w:spacing w:after="0" w:line="240" w:lineRule="auto"/>
        <w:ind w:firstLine="284"/>
        <w:rPr>
          <w:rFonts w:ascii="Garamond" w:hAnsi="Garamond"/>
          <w:snapToGrid w:val="0"/>
          <w:sz w:val="24"/>
          <w:szCs w:val="24"/>
        </w:rPr>
      </w:pPr>
      <w:r w:rsidRPr="00291458">
        <w:rPr>
          <w:rFonts w:ascii="Garamond" w:hAnsi="Garamond"/>
          <w:snapToGrid w:val="0"/>
          <w:sz w:val="24"/>
          <w:szCs w:val="24"/>
        </w:rPr>
        <w:t xml:space="preserve">Rruga </w:t>
      </w:r>
      <w:r w:rsidR="00850FC7" w:rsidRPr="00291458">
        <w:rPr>
          <w:rFonts w:ascii="Garamond" w:hAnsi="Garamond"/>
          <w:snapToGrid w:val="0"/>
          <w:sz w:val="24"/>
          <w:szCs w:val="24"/>
        </w:rPr>
        <w:t>“</w:t>
      </w:r>
      <w:r w:rsidRPr="00291458">
        <w:rPr>
          <w:rFonts w:ascii="Garamond" w:hAnsi="Garamond"/>
          <w:snapToGrid w:val="0"/>
          <w:sz w:val="24"/>
          <w:szCs w:val="24"/>
        </w:rPr>
        <w:t>Kuvajt</w:t>
      </w:r>
      <w:r w:rsidR="00850FC7" w:rsidRPr="00291458">
        <w:rPr>
          <w:rFonts w:ascii="Garamond" w:hAnsi="Garamond"/>
          <w:snapToGrid w:val="0"/>
          <w:sz w:val="24"/>
          <w:szCs w:val="24"/>
        </w:rPr>
        <w:t>”</w:t>
      </w:r>
    </w:p>
    <w:p w14:paraId="09990CAD" w14:textId="77777777" w:rsidR="007A2236" w:rsidRPr="00291458" w:rsidRDefault="007A2236" w:rsidP="00FC4C60">
      <w:pPr>
        <w:spacing w:after="0" w:line="240" w:lineRule="auto"/>
        <w:ind w:firstLine="284"/>
        <w:rPr>
          <w:rFonts w:ascii="Garamond" w:hAnsi="Garamond"/>
          <w:snapToGrid w:val="0"/>
          <w:sz w:val="24"/>
          <w:szCs w:val="24"/>
        </w:rPr>
      </w:pPr>
      <w:r w:rsidRPr="00291458">
        <w:rPr>
          <w:rFonts w:ascii="Garamond" w:hAnsi="Garamond"/>
          <w:snapToGrid w:val="0"/>
          <w:sz w:val="24"/>
          <w:szCs w:val="24"/>
        </w:rPr>
        <w:t>Tiranë, Shqipëri</w:t>
      </w:r>
    </w:p>
    <w:p w14:paraId="4F87FC2C" w14:textId="5034D7E4" w:rsidR="007A2236" w:rsidRPr="00291458" w:rsidRDefault="007A2236" w:rsidP="00FC4C60">
      <w:pPr>
        <w:spacing w:after="0" w:line="240" w:lineRule="auto"/>
        <w:ind w:firstLine="284"/>
        <w:rPr>
          <w:rFonts w:ascii="Garamond" w:hAnsi="Garamond"/>
          <w:snapToGrid w:val="0"/>
          <w:sz w:val="24"/>
          <w:szCs w:val="24"/>
        </w:rPr>
      </w:pPr>
      <w:r w:rsidRPr="00291458">
        <w:rPr>
          <w:rFonts w:ascii="Garamond" w:hAnsi="Garamond"/>
          <w:snapToGrid w:val="0"/>
          <w:sz w:val="24"/>
          <w:szCs w:val="24"/>
        </w:rPr>
        <w:t xml:space="preserve">E-mail: </w:t>
      </w:r>
      <w:hyperlink r:id="rId14" w:history="1">
        <w:r w:rsidRPr="00291458">
          <w:rPr>
            <w:rStyle w:val="Hyperlink"/>
            <w:rFonts w:ascii="Garamond" w:hAnsi="Garamond"/>
            <w:snapToGrid w:val="0"/>
            <w:color w:val="auto"/>
            <w:sz w:val="24"/>
            <w:szCs w:val="24"/>
          </w:rPr>
          <w:t>eridana.cano@saspac.gov.al</w:t>
        </w:r>
      </w:hyperlink>
    </w:p>
    <w:p w14:paraId="2EE20E16" w14:textId="77777777" w:rsidR="00FC4C60" w:rsidRPr="00291458" w:rsidRDefault="00FC4C60" w:rsidP="00FC4C60">
      <w:pPr>
        <w:keepNext/>
        <w:keepLines/>
        <w:spacing w:after="0" w:line="240" w:lineRule="auto"/>
        <w:ind w:firstLine="284"/>
        <w:jc w:val="both"/>
        <w:outlineLvl w:val="0"/>
        <w:rPr>
          <w:rFonts w:ascii="Garamond" w:hAnsi="Garamond"/>
          <w:b/>
          <w:snapToGrid w:val="0"/>
          <w:sz w:val="24"/>
          <w:szCs w:val="24"/>
        </w:rPr>
      </w:pPr>
    </w:p>
    <w:p w14:paraId="31431D43" w14:textId="77777777" w:rsidR="00FC4C60" w:rsidRPr="00291458" w:rsidRDefault="007A2236" w:rsidP="00FC4C60">
      <w:pPr>
        <w:keepNext/>
        <w:keepLines/>
        <w:spacing w:after="0" w:line="240" w:lineRule="auto"/>
        <w:ind w:firstLine="284"/>
        <w:jc w:val="center"/>
        <w:outlineLvl w:val="0"/>
        <w:rPr>
          <w:rFonts w:ascii="Garamond" w:hAnsi="Garamond"/>
          <w:snapToGrid w:val="0"/>
          <w:sz w:val="24"/>
          <w:szCs w:val="24"/>
        </w:rPr>
      </w:pPr>
      <w:r w:rsidRPr="00291458">
        <w:rPr>
          <w:rFonts w:ascii="Garamond" w:hAnsi="Garamond"/>
          <w:snapToGrid w:val="0"/>
          <w:sz w:val="24"/>
          <w:szCs w:val="24"/>
        </w:rPr>
        <w:t>Neni 4</w:t>
      </w:r>
    </w:p>
    <w:p w14:paraId="76C660D0" w14:textId="443DDA4F" w:rsidR="007A2236" w:rsidRPr="00291458" w:rsidRDefault="007A2236" w:rsidP="00FC4C60">
      <w:pPr>
        <w:keepNext/>
        <w:keepLines/>
        <w:spacing w:after="0" w:line="240" w:lineRule="auto"/>
        <w:ind w:firstLine="284"/>
        <w:jc w:val="center"/>
        <w:outlineLvl w:val="0"/>
        <w:rPr>
          <w:rFonts w:ascii="Garamond" w:hAnsi="Garamond"/>
          <w:b/>
          <w:snapToGrid w:val="0"/>
          <w:sz w:val="24"/>
          <w:szCs w:val="24"/>
        </w:rPr>
      </w:pPr>
      <w:r w:rsidRPr="00291458">
        <w:rPr>
          <w:rFonts w:ascii="Garamond" w:hAnsi="Garamond"/>
          <w:b/>
          <w:snapToGrid w:val="0"/>
          <w:sz w:val="24"/>
          <w:szCs w:val="24"/>
        </w:rPr>
        <w:t xml:space="preserve">Pika e </w:t>
      </w:r>
      <w:r w:rsidR="007C63DF" w:rsidRPr="00291458">
        <w:rPr>
          <w:rFonts w:ascii="Garamond" w:hAnsi="Garamond"/>
          <w:b/>
          <w:snapToGrid w:val="0"/>
          <w:sz w:val="24"/>
          <w:szCs w:val="24"/>
        </w:rPr>
        <w:t xml:space="preserve">kontaktit </w:t>
      </w:r>
      <w:r w:rsidRPr="00291458">
        <w:rPr>
          <w:rFonts w:ascii="Garamond" w:hAnsi="Garamond"/>
          <w:b/>
          <w:snapToGrid w:val="0"/>
          <w:sz w:val="24"/>
          <w:szCs w:val="24"/>
        </w:rPr>
        <w:t>në OLAF</w:t>
      </w:r>
    </w:p>
    <w:p w14:paraId="337D04B9" w14:textId="77777777" w:rsidR="00FC4C60" w:rsidRPr="00291458" w:rsidRDefault="00FC4C60" w:rsidP="00FC4C60">
      <w:pPr>
        <w:spacing w:after="0" w:line="240" w:lineRule="auto"/>
        <w:ind w:firstLine="284"/>
        <w:jc w:val="both"/>
        <w:rPr>
          <w:rFonts w:ascii="Garamond" w:hAnsi="Garamond"/>
          <w:snapToGrid w:val="0"/>
          <w:sz w:val="24"/>
          <w:szCs w:val="24"/>
        </w:rPr>
      </w:pPr>
    </w:p>
    <w:p w14:paraId="5E2AFC1B" w14:textId="77777777"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Pika e kontaktit e përfituesit të IPA III që ka kompetencat e duhura për të bashkëpunuar drejtpërdrejt me Zyrën Europiane Kundër Mashtrimit (OLAF) për të lehtësuar aktivitetet operacionale të OLAF-it është:</w:t>
      </w:r>
    </w:p>
    <w:p w14:paraId="239C8D43" w14:textId="77777777"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Blerina Naska</w:t>
      </w:r>
    </w:p>
    <w:p w14:paraId="47E4013B" w14:textId="77777777"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Drejtor i Njësisë së Inspektimit Financiar pranë Drejtorisë së Inspektimit të Financave Publike në Ministrinë e Financave</w:t>
      </w:r>
    </w:p>
    <w:p w14:paraId="11100FA0" w14:textId="77777777"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 xml:space="preserve">Ministria e Financave </w:t>
      </w:r>
    </w:p>
    <w:p w14:paraId="303422C6" w14:textId="6A419652"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 xml:space="preserve">Bulevardi </w:t>
      </w:r>
      <w:r w:rsidR="005A72A1" w:rsidRPr="00291458">
        <w:rPr>
          <w:rFonts w:ascii="Garamond" w:hAnsi="Garamond"/>
          <w:snapToGrid w:val="0"/>
          <w:sz w:val="24"/>
          <w:szCs w:val="24"/>
        </w:rPr>
        <w:t>“</w:t>
      </w:r>
      <w:r w:rsidRPr="00291458">
        <w:rPr>
          <w:rFonts w:ascii="Garamond" w:hAnsi="Garamond"/>
          <w:snapToGrid w:val="0"/>
          <w:sz w:val="24"/>
          <w:szCs w:val="24"/>
        </w:rPr>
        <w:t>Dëshmorët e Kombit</w:t>
      </w:r>
      <w:r w:rsidR="005A72A1" w:rsidRPr="00291458">
        <w:rPr>
          <w:rFonts w:ascii="Garamond" w:hAnsi="Garamond"/>
          <w:snapToGrid w:val="0"/>
          <w:sz w:val="24"/>
          <w:szCs w:val="24"/>
        </w:rPr>
        <w:t>”,</w:t>
      </w:r>
      <w:r w:rsidRPr="00291458">
        <w:rPr>
          <w:rFonts w:ascii="Garamond" w:hAnsi="Garamond"/>
          <w:snapToGrid w:val="0"/>
          <w:sz w:val="24"/>
          <w:szCs w:val="24"/>
        </w:rPr>
        <w:t xml:space="preserve"> </w:t>
      </w:r>
      <w:r w:rsidR="005A72A1" w:rsidRPr="00291458">
        <w:rPr>
          <w:rFonts w:ascii="Garamond" w:hAnsi="Garamond"/>
          <w:snapToGrid w:val="0"/>
          <w:sz w:val="24"/>
          <w:szCs w:val="24"/>
        </w:rPr>
        <w:t>n</w:t>
      </w:r>
      <w:r w:rsidRPr="00291458">
        <w:rPr>
          <w:rFonts w:ascii="Garamond" w:hAnsi="Garamond"/>
          <w:snapToGrid w:val="0"/>
          <w:sz w:val="24"/>
          <w:szCs w:val="24"/>
        </w:rPr>
        <w:t>r.</w:t>
      </w:r>
      <w:r w:rsidR="005A72A1" w:rsidRPr="00291458">
        <w:rPr>
          <w:rFonts w:ascii="Garamond" w:hAnsi="Garamond"/>
          <w:snapToGrid w:val="0"/>
          <w:sz w:val="24"/>
          <w:szCs w:val="24"/>
        </w:rPr>
        <w:t xml:space="preserve"> </w:t>
      </w:r>
      <w:r w:rsidRPr="00291458">
        <w:rPr>
          <w:rFonts w:ascii="Garamond" w:hAnsi="Garamond"/>
          <w:snapToGrid w:val="0"/>
          <w:sz w:val="24"/>
          <w:szCs w:val="24"/>
        </w:rPr>
        <w:t>3</w:t>
      </w:r>
    </w:p>
    <w:p w14:paraId="5B26E1DE" w14:textId="77777777"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Tiranë, Shqipëri</w:t>
      </w:r>
    </w:p>
    <w:p w14:paraId="7DB3D69D" w14:textId="77777777"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 xml:space="preserve">E-mail: </w:t>
      </w:r>
      <w:hyperlink r:id="rId15" w:history="1">
        <w:r w:rsidRPr="00291458">
          <w:rPr>
            <w:rStyle w:val="Hyperlink"/>
            <w:rFonts w:ascii="Garamond" w:hAnsi="Garamond"/>
            <w:snapToGrid w:val="0"/>
            <w:color w:val="auto"/>
            <w:sz w:val="24"/>
            <w:szCs w:val="24"/>
          </w:rPr>
          <w:t>blerina.naska@financa.gov.al</w:t>
        </w:r>
      </w:hyperlink>
      <w:r w:rsidRPr="00291458">
        <w:rPr>
          <w:rFonts w:ascii="Garamond" w:hAnsi="Garamond"/>
          <w:snapToGrid w:val="0"/>
          <w:sz w:val="24"/>
          <w:szCs w:val="24"/>
        </w:rPr>
        <w:t xml:space="preserve"> </w:t>
      </w:r>
    </w:p>
    <w:p w14:paraId="773D447C" w14:textId="77777777" w:rsidR="00FC4C60" w:rsidRPr="00291458" w:rsidRDefault="00FC4C60" w:rsidP="00FC4C60">
      <w:pPr>
        <w:spacing w:after="0" w:line="240" w:lineRule="auto"/>
        <w:ind w:firstLine="284"/>
        <w:jc w:val="both"/>
        <w:outlineLvl w:val="0"/>
        <w:rPr>
          <w:rFonts w:ascii="Garamond" w:hAnsi="Garamond"/>
          <w:b/>
          <w:snapToGrid w:val="0"/>
          <w:sz w:val="24"/>
          <w:szCs w:val="24"/>
        </w:rPr>
      </w:pPr>
    </w:p>
    <w:p w14:paraId="04794834" w14:textId="77777777" w:rsidR="00FC4C60" w:rsidRPr="00291458" w:rsidRDefault="007A2236" w:rsidP="00FC4C60">
      <w:pPr>
        <w:spacing w:after="0" w:line="240" w:lineRule="auto"/>
        <w:ind w:firstLine="284"/>
        <w:jc w:val="center"/>
        <w:outlineLvl w:val="0"/>
        <w:rPr>
          <w:rFonts w:ascii="Garamond" w:hAnsi="Garamond"/>
          <w:snapToGrid w:val="0"/>
          <w:sz w:val="24"/>
          <w:szCs w:val="24"/>
        </w:rPr>
      </w:pPr>
      <w:r w:rsidRPr="00291458">
        <w:rPr>
          <w:rFonts w:ascii="Garamond" w:hAnsi="Garamond"/>
          <w:snapToGrid w:val="0"/>
          <w:sz w:val="24"/>
          <w:szCs w:val="24"/>
        </w:rPr>
        <w:t>Neni 5</w:t>
      </w:r>
    </w:p>
    <w:p w14:paraId="3BD3AFCF" w14:textId="77777777" w:rsidR="007A2236" w:rsidRPr="00291458" w:rsidRDefault="007A2236" w:rsidP="00FC4C60">
      <w:pPr>
        <w:spacing w:after="0" w:line="240" w:lineRule="auto"/>
        <w:ind w:firstLine="284"/>
        <w:jc w:val="center"/>
        <w:outlineLvl w:val="0"/>
        <w:rPr>
          <w:rFonts w:ascii="Garamond" w:hAnsi="Garamond"/>
          <w:b/>
          <w:snapToGrid w:val="0"/>
          <w:sz w:val="24"/>
          <w:szCs w:val="24"/>
        </w:rPr>
      </w:pPr>
      <w:r w:rsidRPr="00291458">
        <w:rPr>
          <w:rFonts w:ascii="Garamond" w:hAnsi="Garamond"/>
          <w:b/>
          <w:snapToGrid w:val="0"/>
          <w:sz w:val="24"/>
          <w:szCs w:val="24"/>
        </w:rPr>
        <w:t>Marrëveshje kornizë e partneritetit financiar</w:t>
      </w:r>
    </w:p>
    <w:p w14:paraId="430C6586" w14:textId="77777777" w:rsidR="00FC4C60" w:rsidRPr="00291458" w:rsidRDefault="00FC4C60" w:rsidP="00FC4C60">
      <w:pPr>
        <w:spacing w:after="0" w:line="240" w:lineRule="auto"/>
        <w:ind w:firstLine="284"/>
        <w:jc w:val="both"/>
        <w:rPr>
          <w:rFonts w:ascii="Garamond" w:hAnsi="Garamond"/>
          <w:snapToGrid w:val="0"/>
          <w:sz w:val="24"/>
          <w:szCs w:val="24"/>
        </w:rPr>
      </w:pPr>
    </w:p>
    <w:p w14:paraId="4D9FB0E7" w14:textId="2BFC1FF2" w:rsidR="007A2236" w:rsidRPr="00291458" w:rsidRDefault="007A2236" w:rsidP="00FC4C60">
      <w:pPr>
        <w:spacing w:after="0" w:line="240" w:lineRule="auto"/>
        <w:ind w:firstLine="284"/>
        <w:jc w:val="both"/>
        <w:rPr>
          <w:rFonts w:ascii="Garamond" w:hAnsi="Garamond"/>
          <w:sz w:val="24"/>
          <w:szCs w:val="24"/>
        </w:rPr>
      </w:pPr>
      <w:r w:rsidRPr="00291458">
        <w:rPr>
          <w:rFonts w:ascii="Garamond" w:hAnsi="Garamond"/>
          <w:snapToGrid w:val="0"/>
          <w:sz w:val="24"/>
          <w:szCs w:val="24"/>
        </w:rPr>
        <w:t>Programi do të zbatohet në përputhje me dispozitat e Marrëveshjes Kornizë të Partneritetit Financiar (FFPA) ndërmjet Komisionit E</w:t>
      </w:r>
      <w:r w:rsidR="00A7726A" w:rsidRPr="00291458">
        <w:rPr>
          <w:rFonts w:ascii="Garamond" w:hAnsi="Garamond"/>
          <w:snapToGrid w:val="0"/>
          <w:sz w:val="24"/>
          <w:szCs w:val="24"/>
        </w:rPr>
        <w:t>v</w:t>
      </w:r>
      <w:r w:rsidRPr="00291458">
        <w:rPr>
          <w:rFonts w:ascii="Garamond" w:hAnsi="Garamond"/>
          <w:snapToGrid w:val="0"/>
          <w:sz w:val="24"/>
          <w:szCs w:val="24"/>
        </w:rPr>
        <w:t xml:space="preserve">ropian dhe Republikës së Shqipërisë mbi organizimet për realizimin e ndihmës financiare të Unionit për Republikën e Shqipërisë sipas Instrumentit të Ndihmës </w:t>
      </w:r>
      <w:r w:rsidR="005A72A1" w:rsidRPr="00291458">
        <w:rPr>
          <w:rFonts w:ascii="Garamond" w:hAnsi="Garamond"/>
          <w:snapToGrid w:val="0"/>
          <w:sz w:val="24"/>
          <w:szCs w:val="24"/>
        </w:rPr>
        <w:t xml:space="preserve">Paraaderimit </w:t>
      </w:r>
      <w:r w:rsidRPr="00291458">
        <w:rPr>
          <w:rFonts w:ascii="Garamond" w:hAnsi="Garamond"/>
          <w:snapToGrid w:val="0"/>
          <w:sz w:val="24"/>
          <w:szCs w:val="24"/>
        </w:rPr>
        <w:t>(IPA III)</w:t>
      </w:r>
      <w:r w:rsidR="001A65E0" w:rsidRPr="00291458">
        <w:rPr>
          <w:rFonts w:ascii="Garamond" w:hAnsi="Garamond"/>
          <w:snapToGrid w:val="0"/>
          <w:sz w:val="24"/>
          <w:szCs w:val="24"/>
        </w:rPr>
        <w:t>,</w:t>
      </w:r>
      <w:r w:rsidRPr="00291458">
        <w:rPr>
          <w:rFonts w:ascii="Garamond" w:hAnsi="Garamond"/>
          <w:snapToGrid w:val="0"/>
          <w:sz w:val="24"/>
          <w:szCs w:val="24"/>
        </w:rPr>
        <w:t xml:space="preserve"> </w:t>
      </w:r>
      <w:r w:rsidR="001A65E0" w:rsidRPr="00291458">
        <w:rPr>
          <w:rFonts w:ascii="Garamond" w:hAnsi="Garamond"/>
          <w:snapToGrid w:val="0"/>
          <w:sz w:val="24"/>
          <w:szCs w:val="24"/>
        </w:rPr>
        <w:t>i</w:t>
      </w:r>
      <w:r w:rsidRPr="00291458">
        <w:rPr>
          <w:rFonts w:ascii="Garamond" w:hAnsi="Garamond"/>
          <w:snapToGrid w:val="0"/>
          <w:sz w:val="24"/>
          <w:szCs w:val="24"/>
        </w:rPr>
        <w:t xml:space="preserve"> cili hyri në fuqi më 14 tetor 2022 (më tej e quajtur </w:t>
      </w:r>
      <w:r w:rsidR="00850FC7" w:rsidRPr="00291458">
        <w:rPr>
          <w:rFonts w:ascii="Garamond" w:hAnsi="Garamond"/>
          <w:snapToGrid w:val="0"/>
          <w:sz w:val="24"/>
          <w:szCs w:val="24"/>
        </w:rPr>
        <w:t>“</w:t>
      </w:r>
      <w:r w:rsidRPr="00291458">
        <w:rPr>
          <w:rFonts w:ascii="Garamond" w:hAnsi="Garamond"/>
          <w:snapToGrid w:val="0"/>
          <w:sz w:val="24"/>
          <w:szCs w:val="24"/>
        </w:rPr>
        <w:t>FFPA</w:t>
      </w:r>
      <w:r w:rsidR="00850FC7" w:rsidRPr="00291458">
        <w:rPr>
          <w:rFonts w:ascii="Garamond" w:hAnsi="Garamond"/>
          <w:snapToGrid w:val="0"/>
          <w:sz w:val="24"/>
          <w:szCs w:val="24"/>
        </w:rPr>
        <w:t>”</w:t>
      </w:r>
      <w:r w:rsidRPr="00291458">
        <w:rPr>
          <w:rFonts w:ascii="Garamond" w:hAnsi="Garamond"/>
          <w:snapToGrid w:val="0"/>
          <w:sz w:val="24"/>
          <w:szCs w:val="24"/>
        </w:rPr>
        <w:t>). Kjo Marrëveshje Financimi plotëson dispozitat e FFPA</w:t>
      </w:r>
      <w:r w:rsidR="00913E39" w:rsidRPr="00291458">
        <w:rPr>
          <w:rFonts w:ascii="Garamond" w:hAnsi="Garamond"/>
          <w:snapToGrid w:val="0"/>
          <w:sz w:val="24"/>
          <w:szCs w:val="24"/>
        </w:rPr>
        <w:t>-së</w:t>
      </w:r>
      <w:r w:rsidRPr="00291458">
        <w:rPr>
          <w:rFonts w:ascii="Garamond" w:hAnsi="Garamond"/>
          <w:snapToGrid w:val="0"/>
          <w:sz w:val="24"/>
          <w:szCs w:val="24"/>
        </w:rPr>
        <w:t xml:space="preserve">. Në rast </w:t>
      </w:r>
      <w:r w:rsidRPr="00291458">
        <w:rPr>
          <w:rFonts w:ascii="Garamond" w:hAnsi="Garamond"/>
          <w:sz w:val="24"/>
          <w:szCs w:val="24"/>
        </w:rPr>
        <w:t>konflikti ndërmjet dispozitave të kësaj Marrëveshjeje Financimi dhe dispozitave të FFPA</w:t>
      </w:r>
      <w:r w:rsidR="00913E39" w:rsidRPr="00291458">
        <w:rPr>
          <w:rFonts w:ascii="Garamond" w:hAnsi="Garamond"/>
          <w:snapToGrid w:val="0"/>
          <w:sz w:val="24"/>
          <w:szCs w:val="24"/>
        </w:rPr>
        <w:t>-së</w:t>
      </w:r>
      <w:r w:rsidRPr="00291458">
        <w:rPr>
          <w:rFonts w:ascii="Garamond" w:hAnsi="Garamond"/>
          <w:sz w:val="24"/>
          <w:szCs w:val="24"/>
        </w:rPr>
        <w:t>, kjo e fundit do të ketë epërsi.</w:t>
      </w:r>
    </w:p>
    <w:p w14:paraId="025264FD" w14:textId="77777777" w:rsidR="00FC4C60" w:rsidRPr="00291458" w:rsidRDefault="00FC4C60" w:rsidP="00FC4C60">
      <w:pPr>
        <w:spacing w:after="0" w:line="240" w:lineRule="auto"/>
        <w:ind w:firstLine="284"/>
        <w:jc w:val="both"/>
        <w:outlineLvl w:val="0"/>
        <w:rPr>
          <w:rFonts w:ascii="Garamond" w:hAnsi="Garamond"/>
          <w:b/>
          <w:snapToGrid w:val="0"/>
          <w:sz w:val="24"/>
          <w:szCs w:val="24"/>
        </w:rPr>
      </w:pPr>
    </w:p>
    <w:p w14:paraId="2DF8F3EF" w14:textId="77777777" w:rsidR="00FC4C60" w:rsidRPr="00291458" w:rsidRDefault="007A2236" w:rsidP="00FC4C60">
      <w:pPr>
        <w:spacing w:after="0" w:line="240" w:lineRule="auto"/>
        <w:ind w:firstLine="284"/>
        <w:jc w:val="center"/>
        <w:outlineLvl w:val="0"/>
        <w:rPr>
          <w:rFonts w:ascii="Garamond" w:hAnsi="Garamond"/>
          <w:snapToGrid w:val="0"/>
          <w:sz w:val="24"/>
          <w:szCs w:val="24"/>
        </w:rPr>
      </w:pPr>
      <w:r w:rsidRPr="00291458">
        <w:rPr>
          <w:rFonts w:ascii="Garamond" w:hAnsi="Garamond"/>
          <w:snapToGrid w:val="0"/>
          <w:sz w:val="24"/>
          <w:szCs w:val="24"/>
        </w:rPr>
        <w:t xml:space="preserve">Neni 6 </w:t>
      </w:r>
    </w:p>
    <w:p w14:paraId="42B2F03E" w14:textId="77777777" w:rsidR="007A2236" w:rsidRPr="00291458" w:rsidRDefault="007A2236" w:rsidP="00FC4C60">
      <w:pPr>
        <w:spacing w:after="0" w:line="240" w:lineRule="auto"/>
        <w:ind w:firstLine="284"/>
        <w:jc w:val="center"/>
        <w:outlineLvl w:val="0"/>
        <w:rPr>
          <w:rFonts w:ascii="Garamond" w:hAnsi="Garamond"/>
          <w:b/>
          <w:snapToGrid w:val="0"/>
          <w:sz w:val="24"/>
          <w:szCs w:val="24"/>
        </w:rPr>
      </w:pPr>
      <w:r w:rsidRPr="00291458">
        <w:rPr>
          <w:rFonts w:ascii="Garamond" w:hAnsi="Garamond"/>
          <w:b/>
          <w:snapToGrid w:val="0"/>
          <w:sz w:val="24"/>
          <w:szCs w:val="24"/>
        </w:rPr>
        <w:t>Anekset</w:t>
      </w:r>
    </w:p>
    <w:p w14:paraId="65B751E3" w14:textId="77777777" w:rsidR="00FC4C60" w:rsidRPr="00291458" w:rsidRDefault="00FC4C60" w:rsidP="00FC4C60">
      <w:pPr>
        <w:pStyle w:val="ListParagraph"/>
        <w:spacing w:after="0" w:line="240" w:lineRule="auto"/>
        <w:ind w:left="0" w:firstLine="284"/>
        <w:jc w:val="both"/>
        <w:rPr>
          <w:rFonts w:ascii="Garamond" w:hAnsi="Garamond"/>
          <w:snapToGrid w:val="0"/>
          <w:sz w:val="24"/>
          <w:szCs w:val="24"/>
        </w:rPr>
      </w:pPr>
    </w:p>
    <w:p w14:paraId="44CD69BA" w14:textId="77777777" w:rsidR="007A2236" w:rsidRPr="00291458" w:rsidRDefault="007A2236" w:rsidP="00FC4C60">
      <w:pPr>
        <w:pStyle w:val="ListParagraph"/>
        <w:spacing w:after="0" w:line="240" w:lineRule="auto"/>
        <w:ind w:left="0" w:firstLine="284"/>
        <w:jc w:val="both"/>
        <w:rPr>
          <w:rFonts w:ascii="Garamond" w:eastAsia="Times New Roman" w:hAnsi="Garamond"/>
          <w:snapToGrid w:val="0"/>
          <w:sz w:val="24"/>
          <w:szCs w:val="24"/>
        </w:rPr>
      </w:pPr>
      <w:r w:rsidRPr="00291458">
        <w:rPr>
          <w:rFonts w:ascii="Garamond" w:hAnsi="Garamond"/>
          <w:snapToGrid w:val="0"/>
          <w:sz w:val="24"/>
          <w:szCs w:val="24"/>
        </w:rPr>
        <w:t>1. Kjo Marrëveshje financimi përbëhet nga:</w:t>
      </w:r>
    </w:p>
    <w:p w14:paraId="175DCC81" w14:textId="0A9713CD"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 xml:space="preserve">a) këto </w:t>
      </w:r>
      <w:r w:rsidR="00294D56" w:rsidRPr="00291458">
        <w:rPr>
          <w:rFonts w:ascii="Garamond" w:hAnsi="Garamond"/>
          <w:snapToGrid w:val="0"/>
          <w:sz w:val="24"/>
          <w:szCs w:val="24"/>
        </w:rPr>
        <w:t>kushte të veçanta;</w:t>
      </w:r>
    </w:p>
    <w:p w14:paraId="047B32BB" w14:textId="77777777"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b) Aneksi I: Programi Operacional Shumëvjeçar</w:t>
      </w:r>
      <w:r w:rsidR="00294D56" w:rsidRPr="00291458">
        <w:rPr>
          <w:rFonts w:ascii="Garamond" w:hAnsi="Garamond"/>
          <w:snapToGrid w:val="0"/>
          <w:sz w:val="24"/>
          <w:szCs w:val="24"/>
        </w:rPr>
        <w:t>;</w:t>
      </w:r>
    </w:p>
    <w:p w14:paraId="0555D673" w14:textId="77777777"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c) Aneksi II: Kushte të përgjithshme</w:t>
      </w:r>
      <w:r w:rsidR="00294D56" w:rsidRPr="00291458">
        <w:rPr>
          <w:rFonts w:ascii="Garamond" w:hAnsi="Garamond"/>
          <w:snapToGrid w:val="0"/>
          <w:sz w:val="24"/>
          <w:szCs w:val="24"/>
        </w:rPr>
        <w:t>;</w:t>
      </w:r>
    </w:p>
    <w:p w14:paraId="4910BB31" w14:textId="1BE4441F"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d) Aneksi III:</w:t>
      </w:r>
      <w:r w:rsidR="00693B1A" w:rsidRPr="00291458">
        <w:rPr>
          <w:rFonts w:ascii="Garamond" w:hAnsi="Garamond"/>
          <w:snapToGrid w:val="0"/>
          <w:sz w:val="24"/>
          <w:szCs w:val="24"/>
        </w:rPr>
        <w:t xml:space="preserve"> </w:t>
      </w:r>
      <w:r w:rsidRPr="00291458">
        <w:rPr>
          <w:rFonts w:ascii="Garamond" w:hAnsi="Garamond"/>
          <w:snapToGrid w:val="0"/>
          <w:sz w:val="24"/>
          <w:szCs w:val="24"/>
        </w:rPr>
        <w:t xml:space="preserve">Model </w:t>
      </w:r>
      <w:r w:rsidR="00294D56" w:rsidRPr="00291458">
        <w:rPr>
          <w:rFonts w:ascii="Garamond" w:hAnsi="Garamond"/>
          <w:snapToGrid w:val="0"/>
          <w:sz w:val="24"/>
          <w:szCs w:val="24"/>
        </w:rPr>
        <w:t xml:space="preserve">raporti vjetor </w:t>
      </w:r>
      <w:r w:rsidRPr="00291458">
        <w:rPr>
          <w:rFonts w:ascii="Garamond" w:hAnsi="Garamond"/>
          <w:snapToGrid w:val="0"/>
          <w:sz w:val="24"/>
          <w:szCs w:val="24"/>
        </w:rPr>
        <w:t>për zbatimin e ndihmës IPA III sipas nenit 59 të FFPA</w:t>
      </w:r>
      <w:r w:rsidR="00913E39" w:rsidRPr="00291458">
        <w:rPr>
          <w:rFonts w:ascii="Garamond" w:hAnsi="Garamond"/>
          <w:snapToGrid w:val="0"/>
          <w:sz w:val="24"/>
          <w:szCs w:val="24"/>
        </w:rPr>
        <w:t>-së</w:t>
      </w:r>
      <w:r w:rsidR="00294D56" w:rsidRPr="00291458">
        <w:rPr>
          <w:rFonts w:ascii="Garamond" w:hAnsi="Garamond"/>
          <w:snapToGrid w:val="0"/>
          <w:sz w:val="24"/>
          <w:szCs w:val="24"/>
        </w:rPr>
        <w:t>;</w:t>
      </w:r>
    </w:p>
    <w:p w14:paraId="21EA103C" w14:textId="14A86981"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 xml:space="preserve">e) Aneksi IV: Model </w:t>
      </w:r>
      <w:r w:rsidR="00294D56" w:rsidRPr="00291458">
        <w:rPr>
          <w:rFonts w:ascii="Garamond" w:hAnsi="Garamond"/>
          <w:snapToGrid w:val="0"/>
          <w:sz w:val="24"/>
          <w:szCs w:val="24"/>
        </w:rPr>
        <w:t xml:space="preserve">raporti financiar </w:t>
      </w:r>
      <w:r w:rsidRPr="00291458">
        <w:rPr>
          <w:rFonts w:ascii="Garamond" w:hAnsi="Garamond"/>
          <w:snapToGrid w:val="0"/>
          <w:sz w:val="24"/>
          <w:szCs w:val="24"/>
        </w:rPr>
        <w:t>sipas nenit 61(2)(a) dhe 61(3) të FFPA</w:t>
      </w:r>
      <w:r w:rsidR="00913E39" w:rsidRPr="00291458">
        <w:rPr>
          <w:rFonts w:ascii="Garamond" w:hAnsi="Garamond"/>
          <w:snapToGrid w:val="0"/>
          <w:sz w:val="24"/>
          <w:szCs w:val="24"/>
        </w:rPr>
        <w:t>-së</w:t>
      </w:r>
      <w:r w:rsidRPr="00291458">
        <w:rPr>
          <w:rFonts w:ascii="Garamond" w:hAnsi="Garamond"/>
          <w:snapToGrid w:val="0"/>
          <w:sz w:val="24"/>
          <w:szCs w:val="24"/>
        </w:rPr>
        <w:t>, duke përfshirë</w:t>
      </w:r>
      <w:r w:rsidR="00294D56" w:rsidRPr="00291458">
        <w:rPr>
          <w:rFonts w:ascii="Garamond" w:hAnsi="Garamond"/>
          <w:snapToGrid w:val="0"/>
          <w:sz w:val="24"/>
          <w:szCs w:val="24"/>
        </w:rPr>
        <w:t>;</w:t>
      </w:r>
      <w:r w:rsidRPr="00291458">
        <w:rPr>
          <w:rFonts w:ascii="Garamond" w:hAnsi="Garamond"/>
          <w:snapToGrid w:val="0"/>
          <w:sz w:val="24"/>
          <w:szCs w:val="24"/>
        </w:rPr>
        <w:t xml:space="preserve"> modelin e parashikimeve për kërkesat e mundshme të pagesave sipas nenit 33(3) të FFPA</w:t>
      </w:r>
      <w:r w:rsidR="00913E39" w:rsidRPr="00291458">
        <w:rPr>
          <w:rFonts w:ascii="Garamond" w:hAnsi="Garamond"/>
          <w:snapToGrid w:val="0"/>
          <w:sz w:val="24"/>
          <w:szCs w:val="24"/>
        </w:rPr>
        <w:t>-së</w:t>
      </w:r>
      <w:r w:rsidR="00294D56" w:rsidRPr="00291458">
        <w:rPr>
          <w:rFonts w:ascii="Garamond" w:hAnsi="Garamond"/>
          <w:snapToGrid w:val="0"/>
          <w:sz w:val="24"/>
          <w:szCs w:val="24"/>
        </w:rPr>
        <w:t>;</w:t>
      </w:r>
    </w:p>
    <w:p w14:paraId="2B7D8193" w14:textId="7AB1A3F2"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 xml:space="preserve">f) Aneksi V: Specifikimet </w:t>
      </w:r>
      <w:r w:rsidR="00294D56" w:rsidRPr="00291458">
        <w:rPr>
          <w:rFonts w:ascii="Garamond" w:hAnsi="Garamond"/>
          <w:snapToGrid w:val="0"/>
          <w:sz w:val="24"/>
          <w:szCs w:val="24"/>
        </w:rPr>
        <w:t xml:space="preserve">minimale të sistemit kontabël me </w:t>
      </w:r>
      <w:r w:rsidRPr="00291458">
        <w:rPr>
          <w:rFonts w:ascii="Garamond" w:hAnsi="Garamond"/>
          <w:snapToGrid w:val="0"/>
          <w:sz w:val="24"/>
          <w:szCs w:val="24"/>
        </w:rPr>
        <w:t>bazë rritëse</w:t>
      </w:r>
      <w:r w:rsidR="00294D56" w:rsidRPr="00291458">
        <w:rPr>
          <w:rFonts w:ascii="Garamond" w:hAnsi="Garamond"/>
          <w:snapToGrid w:val="0"/>
          <w:sz w:val="24"/>
          <w:szCs w:val="24"/>
        </w:rPr>
        <w:t>;</w:t>
      </w:r>
    </w:p>
    <w:p w14:paraId="08E0AB97" w14:textId="6091E5AA"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 xml:space="preserve">g) Aneksi VI: </w:t>
      </w:r>
      <w:r w:rsidRPr="00291458">
        <w:rPr>
          <w:rFonts w:ascii="Garamond" w:hAnsi="Garamond"/>
          <w:sz w:val="24"/>
          <w:szCs w:val="24"/>
        </w:rPr>
        <w:t xml:space="preserve">Model </w:t>
      </w:r>
      <w:r w:rsidR="00294D56" w:rsidRPr="00291458">
        <w:rPr>
          <w:rFonts w:ascii="Garamond" w:hAnsi="Garamond"/>
          <w:snapToGrid w:val="0"/>
          <w:sz w:val="24"/>
          <w:szCs w:val="24"/>
        </w:rPr>
        <w:t>aplikimi për projekte madhore.</w:t>
      </w:r>
    </w:p>
    <w:p w14:paraId="2E236266" w14:textId="10526177"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t xml:space="preserve">2. Aneksi VII: Model </w:t>
      </w:r>
      <w:r w:rsidR="00294D56" w:rsidRPr="00291458">
        <w:rPr>
          <w:rFonts w:ascii="Garamond" w:hAnsi="Garamond"/>
          <w:snapToGrid w:val="0"/>
          <w:sz w:val="24"/>
          <w:szCs w:val="24"/>
        </w:rPr>
        <w:t>konstatimi i</w:t>
      </w:r>
      <w:r w:rsidR="00294D56" w:rsidRPr="00291458">
        <w:rPr>
          <w:rFonts w:ascii="Garamond" w:hAnsi="Garamond"/>
          <w:bCs/>
          <w:snapToGrid w:val="0"/>
          <w:sz w:val="24"/>
          <w:szCs w:val="24"/>
        </w:rPr>
        <w:t xml:space="preserve"> veprimeve.</w:t>
      </w:r>
      <w:r w:rsidRPr="00291458">
        <w:rPr>
          <w:rFonts w:ascii="Garamond" w:hAnsi="Garamond"/>
          <w:bCs/>
          <w:snapToGrid w:val="0"/>
          <w:sz w:val="24"/>
          <w:szCs w:val="24"/>
        </w:rPr>
        <w:t xml:space="preserve"> </w:t>
      </w:r>
    </w:p>
    <w:p w14:paraId="1E82B2C8" w14:textId="5CD25DA8" w:rsidR="007A2236" w:rsidRPr="00291458" w:rsidRDefault="007A2236" w:rsidP="00FC4C60">
      <w:pPr>
        <w:spacing w:after="0" w:line="240" w:lineRule="auto"/>
        <w:ind w:firstLine="284"/>
        <w:jc w:val="both"/>
        <w:rPr>
          <w:rFonts w:ascii="Garamond" w:hAnsi="Garamond"/>
          <w:snapToGrid w:val="0"/>
          <w:sz w:val="24"/>
          <w:szCs w:val="24"/>
        </w:rPr>
      </w:pPr>
      <w:r w:rsidRPr="00291458">
        <w:rPr>
          <w:rFonts w:ascii="Garamond" w:hAnsi="Garamond"/>
          <w:snapToGrid w:val="0"/>
          <w:sz w:val="24"/>
          <w:szCs w:val="24"/>
        </w:rPr>
        <w:lastRenderedPageBreak/>
        <w:t xml:space="preserve">3. Në rast konflikti ndërmjet dispozitave të </w:t>
      </w:r>
      <w:r w:rsidR="00294D56" w:rsidRPr="00291458">
        <w:rPr>
          <w:rFonts w:ascii="Garamond" w:hAnsi="Garamond"/>
          <w:snapToGrid w:val="0"/>
          <w:sz w:val="24"/>
          <w:szCs w:val="24"/>
        </w:rPr>
        <w:t>a</w:t>
      </w:r>
      <w:r w:rsidRPr="00291458">
        <w:rPr>
          <w:rFonts w:ascii="Garamond" w:hAnsi="Garamond"/>
          <w:snapToGrid w:val="0"/>
          <w:sz w:val="24"/>
          <w:szCs w:val="24"/>
        </w:rPr>
        <w:t xml:space="preserve">nekseve dhe dispozitave të këtyre </w:t>
      </w:r>
      <w:r w:rsidR="00294D56" w:rsidRPr="00291458">
        <w:rPr>
          <w:rFonts w:ascii="Garamond" w:hAnsi="Garamond"/>
          <w:snapToGrid w:val="0"/>
          <w:sz w:val="24"/>
          <w:szCs w:val="24"/>
        </w:rPr>
        <w:t>kushteve të veçanta, këto të</w:t>
      </w:r>
      <w:r w:rsidRPr="00291458">
        <w:rPr>
          <w:rFonts w:ascii="Garamond" w:hAnsi="Garamond"/>
          <w:snapToGrid w:val="0"/>
          <w:sz w:val="24"/>
          <w:szCs w:val="24"/>
        </w:rPr>
        <w:t xml:space="preserve"> fundit do të kenë epërsi. Në rast konflikti ndërmjet dispozitave të </w:t>
      </w:r>
      <w:r w:rsidR="00294D56" w:rsidRPr="00291458">
        <w:rPr>
          <w:rFonts w:ascii="Garamond" w:hAnsi="Garamond"/>
          <w:snapToGrid w:val="0"/>
          <w:sz w:val="24"/>
          <w:szCs w:val="24"/>
        </w:rPr>
        <w:t xml:space="preserve">aneksit </w:t>
      </w:r>
      <w:r w:rsidRPr="00291458">
        <w:rPr>
          <w:rFonts w:ascii="Garamond" w:hAnsi="Garamond"/>
          <w:snapToGrid w:val="0"/>
          <w:sz w:val="24"/>
          <w:szCs w:val="24"/>
        </w:rPr>
        <w:t xml:space="preserve">I dhe dispozitave të </w:t>
      </w:r>
      <w:r w:rsidR="00294D56" w:rsidRPr="00291458">
        <w:rPr>
          <w:rFonts w:ascii="Garamond" w:hAnsi="Garamond"/>
          <w:snapToGrid w:val="0"/>
          <w:sz w:val="24"/>
          <w:szCs w:val="24"/>
        </w:rPr>
        <w:t xml:space="preserve">aneksit </w:t>
      </w:r>
      <w:r w:rsidRPr="00291458">
        <w:rPr>
          <w:rFonts w:ascii="Garamond" w:hAnsi="Garamond"/>
          <w:snapToGrid w:val="0"/>
          <w:sz w:val="24"/>
          <w:szCs w:val="24"/>
        </w:rPr>
        <w:t xml:space="preserve">II, këto të fundit do të kenë epërsi. </w:t>
      </w:r>
    </w:p>
    <w:p w14:paraId="17116053" w14:textId="77777777" w:rsidR="00FC4C60" w:rsidRPr="00291458" w:rsidRDefault="00FC4C60" w:rsidP="00FC4C60">
      <w:pPr>
        <w:spacing w:after="0" w:line="240" w:lineRule="auto"/>
        <w:ind w:firstLine="284"/>
        <w:jc w:val="both"/>
        <w:outlineLvl w:val="0"/>
        <w:rPr>
          <w:rFonts w:ascii="Garamond" w:hAnsi="Garamond"/>
          <w:b/>
          <w:snapToGrid w:val="0"/>
          <w:sz w:val="24"/>
          <w:szCs w:val="24"/>
        </w:rPr>
      </w:pPr>
    </w:p>
    <w:p w14:paraId="10A91670" w14:textId="77777777" w:rsidR="00FC4C60" w:rsidRPr="00291458" w:rsidRDefault="007A2236" w:rsidP="00FC4C60">
      <w:pPr>
        <w:spacing w:after="0" w:line="240" w:lineRule="auto"/>
        <w:ind w:firstLine="284"/>
        <w:jc w:val="center"/>
        <w:outlineLvl w:val="0"/>
        <w:rPr>
          <w:rFonts w:ascii="Garamond" w:hAnsi="Garamond"/>
          <w:snapToGrid w:val="0"/>
          <w:sz w:val="24"/>
          <w:szCs w:val="24"/>
        </w:rPr>
      </w:pPr>
      <w:r w:rsidRPr="00291458">
        <w:rPr>
          <w:rFonts w:ascii="Garamond" w:hAnsi="Garamond"/>
          <w:snapToGrid w:val="0"/>
          <w:sz w:val="24"/>
          <w:szCs w:val="24"/>
        </w:rPr>
        <w:t>Neni 7</w:t>
      </w:r>
    </w:p>
    <w:p w14:paraId="41CE88B3" w14:textId="0D5FCCA7" w:rsidR="007A2236" w:rsidRPr="00913E39" w:rsidRDefault="007A2236" w:rsidP="00FC4C60">
      <w:pPr>
        <w:spacing w:after="0" w:line="240" w:lineRule="auto"/>
        <w:ind w:firstLine="284"/>
        <w:jc w:val="center"/>
        <w:outlineLvl w:val="0"/>
        <w:rPr>
          <w:rFonts w:ascii="Garamond" w:hAnsi="Garamond"/>
          <w:b/>
          <w:snapToGrid w:val="0"/>
          <w:sz w:val="24"/>
          <w:szCs w:val="24"/>
        </w:rPr>
      </w:pPr>
      <w:r w:rsidRPr="00291458">
        <w:rPr>
          <w:rFonts w:ascii="Garamond" w:hAnsi="Garamond"/>
          <w:b/>
          <w:snapToGrid w:val="0"/>
          <w:sz w:val="24"/>
          <w:szCs w:val="24"/>
        </w:rPr>
        <w:t xml:space="preserve">Dispozita që shmangin ose plotësojnë </w:t>
      </w:r>
      <w:r w:rsidR="00294D56" w:rsidRPr="00291458">
        <w:rPr>
          <w:rFonts w:ascii="Garamond" w:hAnsi="Garamond"/>
          <w:b/>
          <w:snapToGrid w:val="0"/>
          <w:sz w:val="24"/>
          <w:szCs w:val="24"/>
        </w:rPr>
        <w:t xml:space="preserve">aneksin </w:t>
      </w:r>
      <w:r w:rsidRPr="00291458">
        <w:rPr>
          <w:rFonts w:ascii="Garamond" w:hAnsi="Garamond"/>
          <w:b/>
          <w:snapToGrid w:val="0"/>
          <w:sz w:val="24"/>
          <w:szCs w:val="24"/>
        </w:rPr>
        <w:t>II</w:t>
      </w:r>
    </w:p>
    <w:p w14:paraId="2B5F15D8" w14:textId="77777777" w:rsidR="00FC4C60" w:rsidRPr="00913E39" w:rsidRDefault="00FC4C60" w:rsidP="00FC4C60">
      <w:pPr>
        <w:keepNext/>
        <w:spacing w:after="0" w:line="240" w:lineRule="auto"/>
        <w:ind w:firstLine="284"/>
        <w:jc w:val="both"/>
        <w:rPr>
          <w:rFonts w:ascii="Garamond" w:hAnsi="Garamond"/>
          <w:sz w:val="24"/>
          <w:szCs w:val="24"/>
        </w:rPr>
      </w:pPr>
    </w:p>
    <w:p w14:paraId="79D5B8A3" w14:textId="2F3AD53F" w:rsidR="007A2236" w:rsidRPr="00913E39" w:rsidRDefault="007A2236" w:rsidP="00FC4C60">
      <w:pPr>
        <w:keepNext/>
        <w:spacing w:after="0" w:line="240" w:lineRule="auto"/>
        <w:ind w:firstLine="284"/>
        <w:jc w:val="both"/>
        <w:rPr>
          <w:rFonts w:ascii="Garamond" w:hAnsi="Garamond"/>
          <w:sz w:val="24"/>
          <w:szCs w:val="24"/>
          <w:highlight w:val="cyan"/>
        </w:rPr>
      </w:pPr>
      <w:r w:rsidRPr="00913E39">
        <w:rPr>
          <w:rFonts w:ascii="Garamond" w:hAnsi="Garamond"/>
          <w:sz w:val="24"/>
          <w:szCs w:val="24"/>
        </w:rPr>
        <w:t xml:space="preserve">Sa më poshtë plotësojnë </w:t>
      </w:r>
      <w:r w:rsidR="00294D56" w:rsidRPr="00913E39">
        <w:rPr>
          <w:rFonts w:ascii="Garamond" w:hAnsi="Garamond"/>
          <w:sz w:val="24"/>
          <w:szCs w:val="24"/>
        </w:rPr>
        <w:t>a</w:t>
      </w:r>
      <w:r w:rsidRPr="00913E39">
        <w:rPr>
          <w:rFonts w:ascii="Garamond" w:hAnsi="Garamond"/>
          <w:sz w:val="24"/>
          <w:szCs w:val="24"/>
        </w:rPr>
        <w:t>neksin II:</w:t>
      </w:r>
    </w:p>
    <w:p w14:paraId="171935C3" w14:textId="77777777" w:rsidR="007A2236" w:rsidRPr="00913E39" w:rsidRDefault="007A2236" w:rsidP="00FC4C60">
      <w:pPr>
        <w:pStyle w:val="ListParagraph"/>
        <w:autoSpaceDE w:val="0"/>
        <w:autoSpaceDN w:val="0"/>
        <w:adjustRightInd w:val="0"/>
        <w:spacing w:after="0" w:line="240" w:lineRule="auto"/>
        <w:ind w:left="0" w:firstLine="284"/>
        <w:jc w:val="both"/>
        <w:rPr>
          <w:rFonts w:ascii="Garamond" w:hAnsi="Garamond"/>
          <w:sz w:val="24"/>
          <w:szCs w:val="24"/>
        </w:rPr>
      </w:pPr>
      <w:r w:rsidRPr="00913E39">
        <w:rPr>
          <w:rFonts w:ascii="Garamond" w:hAnsi="Garamond"/>
          <w:sz w:val="24"/>
          <w:szCs w:val="24"/>
        </w:rPr>
        <w:t>1. Pas vlerësimit pozitiv të misionit verifikues për dhënien e detyrave të zbatimit të buxhetit, të kryer nga DG NEAR në qershor 2024, një mision pasues do të kryhet nga DG NEAR në vitin 2025 për të verifikuar që linjat e komunikimit ndërmjet Zyrtarit Kombëtar Autorizues (NAO), Zyrës Mbështetëse të Zyrtarit Kombëtar Autorizues (NAOSO) dhe Organit Kontabël (AB) të mbeten të formalizuara dhe të drejtpërdrejta siç kërkohet nga IPA III FFPA. Kjo do të jetë një shtesë për gjetjet e raportit përfundimtar të auditit, të cilat kërkojnë një ndjekje në përputhje me afatet kohore të përcaktuara për çdo gjetje.</w:t>
      </w:r>
    </w:p>
    <w:p w14:paraId="3D3026B9" w14:textId="77777777" w:rsidR="007A2236" w:rsidRPr="00913E39" w:rsidRDefault="007A2236" w:rsidP="00FC4C60">
      <w:pPr>
        <w:pStyle w:val="ListParagraph"/>
        <w:autoSpaceDE w:val="0"/>
        <w:autoSpaceDN w:val="0"/>
        <w:adjustRightInd w:val="0"/>
        <w:spacing w:after="0" w:line="240" w:lineRule="auto"/>
        <w:ind w:left="0" w:firstLine="284"/>
        <w:jc w:val="both"/>
        <w:rPr>
          <w:rFonts w:ascii="Garamond" w:hAnsi="Garamond"/>
          <w:sz w:val="24"/>
          <w:szCs w:val="24"/>
        </w:rPr>
      </w:pPr>
      <w:r w:rsidRPr="00913E39">
        <w:rPr>
          <w:rFonts w:ascii="Garamond" w:hAnsi="Garamond"/>
          <w:sz w:val="24"/>
          <w:szCs w:val="24"/>
        </w:rPr>
        <w:t>2. Komisioni ka prezantuar një sistem shkëmbimi elektronik për raportimin e kontratave nën menaxhim indirekt nga përfituesi IPA III (</w:t>
      </w:r>
      <w:r w:rsidR="00850FC7" w:rsidRPr="00913E39">
        <w:rPr>
          <w:rFonts w:ascii="Garamond" w:hAnsi="Garamond"/>
          <w:sz w:val="24"/>
          <w:szCs w:val="24"/>
        </w:rPr>
        <w:t>“</w:t>
      </w:r>
      <w:r w:rsidRPr="00913E39">
        <w:rPr>
          <w:rFonts w:ascii="Garamond" w:hAnsi="Garamond"/>
          <w:sz w:val="24"/>
          <w:szCs w:val="24"/>
        </w:rPr>
        <w:t>IPA-APP</w:t>
      </w:r>
      <w:r w:rsidR="00850FC7" w:rsidRPr="00913E39">
        <w:rPr>
          <w:rFonts w:ascii="Garamond" w:hAnsi="Garamond"/>
          <w:sz w:val="24"/>
          <w:szCs w:val="24"/>
        </w:rPr>
        <w:t>”</w:t>
      </w:r>
      <w:r w:rsidRPr="00913E39">
        <w:rPr>
          <w:rFonts w:ascii="Garamond" w:hAnsi="Garamond"/>
          <w:sz w:val="24"/>
          <w:szCs w:val="24"/>
        </w:rPr>
        <w:t xml:space="preserve">). Përfituesit të IPA III i kërkohet të regjistrohet dhe të përdorë IPA-APP për të lejuar menaxhimin elektronik të Marrëveshjeve të Financimit. </w:t>
      </w:r>
    </w:p>
    <w:p w14:paraId="7B4A597A" w14:textId="77777777" w:rsidR="007A2236" w:rsidRPr="00913E39" w:rsidRDefault="007A2236" w:rsidP="00FC4C60">
      <w:pPr>
        <w:autoSpaceDE w:val="0"/>
        <w:autoSpaceDN w:val="0"/>
        <w:adjustRightInd w:val="0"/>
        <w:spacing w:after="0" w:line="240" w:lineRule="auto"/>
        <w:ind w:firstLine="284"/>
        <w:rPr>
          <w:rFonts w:ascii="Garamond" w:hAnsi="Garamond"/>
          <w:sz w:val="24"/>
          <w:szCs w:val="24"/>
          <w:highlight w:val="yellow"/>
        </w:rPr>
      </w:pPr>
    </w:p>
    <w:p w14:paraId="6E578817" w14:textId="77777777" w:rsidR="00FC4C60" w:rsidRPr="00913E39" w:rsidRDefault="007A2236" w:rsidP="00FC4C60">
      <w:pPr>
        <w:spacing w:after="0" w:line="240" w:lineRule="auto"/>
        <w:ind w:firstLine="284"/>
        <w:jc w:val="center"/>
        <w:rPr>
          <w:rFonts w:ascii="Garamond" w:hAnsi="Garamond"/>
          <w:sz w:val="24"/>
          <w:szCs w:val="24"/>
        </w:rPr>
      </w:pPr>
      <w:r w:rsidRPr="00913E39">
        <w:rPr>
          <w:rFonts w:ascii="Garamond" w:hAnsi="Garamond"/>
          <w:sz w:val="24"/>
          <w:szCs w:val="24"/>
        </w:rPr>
        <w:t xml:space="preserve">Neni 8 </w:t>
      </w:r>
    </w:p>
    <w:p w14:paraId="2F0CD46A" w14:textId="77777777" w:rsidR="007A2236" w:rsidRPr="00913E39" w:rsidRDefault="007A2236" w:rsidP="00FC4C60">
      <w:pPr>
        <w:spacing w:after="0" w:line="240" w:lineRule="auto"/>
        <w:ind w:firstLine="284"/>
        <w:jc w:val="center"/>
        <w:rPr>
          <w:rFonts w:ascii="Garamond" w:hAnsi="Garamond"/>
          <w:b/>
          <w:sz w:val="24"/>
          <w:szCs w:val="24"/>
        </w:rPr>
      </w:pPr>
      <w:r w:rsidRPr="00913E39">
        <w:rPr>
          <w:rFonts w:ascii="Garamond" w:hAnsi="Garamond"/>
          <w:b/>
          <w:sz w:val="24"/>
          <w:szCs w:val="24"/>
        </w:rPr>
        <w:t>Hyrja në fuqi</w:t>
      </w:r>
    </w:p>
    <w:p w14:paraId="1A3DBC4E" w14:textId="77777777" w:rsidR="00FC4C60" w:rsidRPr="00913E39" w:rsidRDefault="00FC4C60" w:rsidP="00FC4C60">
      <w:pPr>
        <w:spacing w:after="0" w:line="240" w:lineRule="auto"/>
        <w:ind w:firstLine="284"/>
        <w:jc w:val="center"/>
        <w:rPr>
          <w:rFonts w:ascii="Garamond" w:hAnsi="Garamond"/>
          <w:snapToGrid w:val="0"/>
          <w:sz w:val="24"/>
          <w:szCs w:val="24"/>
        </w:rPr>
      </w:pPr>
    </w:p>
    <w:p w14:paraId="4D6DAEFD" w14:textId="77777777" w:rsidR="007A2236" w:rsidRPr="00913E39" w:rsidRDefault="007A2236" w:rsidP="00FC4C60">
      <w:pPr>
        <w:spacing w:after="0" w:line="240" w:lineRule="auto"/>
        <w:ind w:firstLine="284"/>
        <w:jc w:val="both"/>
        <w:rPr>
          <w:rFonts w:ascii="Garamond" w:hAnsi="Garamond"/>
          <w:snapToGrid w:val="0"/>
          <w:sz w:val="24"/>
          <w:szCs w:val="24"/>
        </w:rPr>
      </w:pPr>
      <w:r w:rsidRPr="00913E39">
        <w:rPr>
          <w:rFonts w:ascii="Garamond" w:hAnsi="Garamond"/>
          <w:snapToGrid w:val="0"/>
          <w:sz w:val="24"/>
          <w:szCs w:val="24"/>
        </w:rPr>
        <w:t xml:space="preserve">Kjo Marrëveshje Financimi hyn në fuqi në datën në të cilën Komisioni merr një njoftim nga përfituesi i IPA III që konfirmon përfundimin e procedurave të brendshme të përfituesit të IPA III të nevojshme për hyrjen e saj në fuqi. Komisioni do të informojë përfituesin e IPA III për datën e marrjes së këtij njoftimi. </w:t>
      </w:r>
    </w:p>
    <w:p w14:paraId="03DEF1A9" w14:textId="77777777" w:rsidR="007A2236" w:rsidRPr="00913E39" w:rsidRDefault="007A2236" w:rsidP="00FC4C60">
      <w:pPr>
        <w:spacing w:after="0" w:line="240" w:lineRule="auto"/>
        <w:ind w:firstLine="284"/>
        <w:jc w:val="both"/>
        <w:rPr>
          <w:rFonts w:ascii="Garamond" w:hAnsi="Garamond"/>
          <w:snapToGrid w:val="0"/>
          <w:sz w:val="24"/>
          <w:szCs w:val="24"/>
        </w:rPr>
      </w:pPr>
      <w:r w:rsidRPr="00913E39">
        <w:rPr>
          <w:rFonts w:ascii="Garamond" w:hAnsi="Garamond"/>
          <w:snapToGrid w:val="0"/>
          <w:sz w:val="24"/>
          <w:szCs w:val="24"/>
        </w:rPr>
        <w:t>Kjo Marrëveshje Financimi është bërë në dy kopje në gjuhën angleze, njëra i dorëzohet Komisionit dhe tjetra përfituesit të IPA III.</w:t>
      </w:r>
    </w:p>
    <w:p w14:paraId="1AE99A64" w14:textId="77777777" w:rsidR="00FC4C60" w:rsidRPr="00913E39" w:rsidRDefault="00FC4C60" w:rsidP="00FC4C60">
      <w:pPr>
        <w:spacing w:after="0" w:line="240" w:lineRule="auto"/>
        <w:ind w:firstLine="284"/>
        <w:jc w:val="both"/>
        <w:rPr>
          <w:rFonts w:ascii="Garamond" w:hAnsi="Garamond"/>
          <w:snapToGrid w:val="0"/>
          <w:sz w:val="24"/>
          <w:szCs w:val="24"/>
        </w:rPr>
      </w:pPr>
    </w:p>
    <w:tbl>
      <w:tblPr>
        <w:tblW w:w="9889" w:type="dxa"/>
        <w:tblLook w:val="04A0" w:firstRow="1" w:lastRow="0" w:firstColumn="1" w:lastColumn="0" w:noHBand="0" w:noVBand="1"/>
      </w:tblPr>
      <w:tblGrid>
        <w:gridCol w:w="4644"/>
        <w:gridCol w:w="5245"/>
      </w:tblGrid>
      <w:tr w:rsidR="007A2236" w:rsidRPr="00913E39" w14:paraId="14CA65EC" w14:textId="77777777" w:rsidTr="00A81A3B">
        <w:tc>
          <w:tcPr>
            <w:tcW w:w="4644" w:type="dxa"/>
            <w:shd w:val="clear" w:color="auto" w:fill="auto"/>
          </w:tcPr>
          <w:p w14:paraId="0ED4B86F" w14:textId="77777777" w:rsidR="007A2236" w:rsidRPr="00913E39" w:rsidRDefault="007A2236" w:rsidP="00FC4C60">
            <w:pPr>
              <w:spacing w:after="0" w:line="240" w:lineRule="auto"/>
              <w:rPr>
                <w:rFonts w:ascii="Garamond" w:hAnsi="Garamond"/>
                <w:sz w:val="24"/>
              </w:rPr>
            </w:pPr>
            <w:bookmarkStart w:id="0" w:name="_Hlk201825449"/>
            <w:r w:rsidRPr="00913E39">
              <w:rPr>
                <w:rFonts w:ascii="Garamond" w:hAnsi="Garamond"/>
                <w:snapToGrid w:val="0"/>
                <w:sz w:val="24"/>
                <w:szCs w:val="24"/>
              </w:rPr>
              <w:t>Për përfituesin e IPA III:</w:t>
            </w:r>
            <w:r w:rsidR="00693B1A" w:rsidRPr="00913E39">
              <w:rPr>
                <w:rFonts w:ascii="Garamond" w:hAnsi="Garamond"/>
                <w:snapToGrid w:val="0"/>
                <w:sz w:val="24"/>
                <w:szCs w:val="24"/>
              </w:rPr>
              <w:t xml:space="preserve"> </w:t>
            </w:r>
          </w:p>
          <w:p w14:paraId="11B44674" w14:textId="77777777" w:rsidR="007A2236" w:rsidRPr="00913E39" w:rsidRDefault="007A2236" w:rsidP="00FC4C60">
            <w:pPr>
              <w:spacing w:after="0" w:line="240" w:lineRule="auto"/>
              <w:rPr>
                <w:rFonts w:ascii="Garamond" w:hAnsi="Garamond"/>
                <w:snapToGrid w:val="0"/>
                <w:sz w:val="24"/>
                <w:szCs w:val="24"/>
              </w:rPr>
            </w:pPr>
            <w:r w:rsidRPr="00913E39">
              <w:rPr>
                <w:rFonts w:ascii="Garamond" w:hAnsi="Garamond"/>
                <w:snapToGrid w:val="0"/>
                <w:sz w:val="24"/>
                <w:szCs w:val="24"/>
              </w:rPr>
              <w:t xml:space="preserve">Eridana Çano </w:t>
            </w:r>
          </w:p>
          <w:p w14:paraId="4BFF9899" w14:textId="77777777" w:rsidR="007A2236" w:rsidRPr="00913E39" w:rsidRDefault="007A2236" w:rsidP="00FC4C60">
            <w:pPr>
              <w:spacing w:after="0" w:line="240" w:lineRule="auto"/>
              <w:rPr>
                <w:rFonts w:ascii="Garamond" w:hAnsi="Garamond"/>
                <w:snapToGrid w:val="0"/>
                <w:sz w:val="24"/>
                <w:szCs w:val="24"/>
              </w:rPr>
            </w:pPr>
            <w:r w:rsidRPr="00913E39">
              <w:rPr>
                <w:rFonts w:ascii="Garamond" w:hAnsi="Garamond"/>
                <w:snapToGrid w:val="0"/>
                <w:sz w:val="24"/>
                <w:szCs w:val="24"/>
              </w:rPr>
              <w:t>Koordinator Kombëtar për IPA dhe Drejtor i Përgjithshëm</w:t>
            </w:r>
          </w:p>
          <w:p w14:paraId="278DF1DC" w14:textId="77777777" w:rsidR="007A2236" w:rsidRPr="00913E39" w:rsidRDefault="007A2236" w:rsidP="00FC4C60">
            <w:pPr>
              <w:spacing w:after="0" w:line="240" w:lineRule="auto"/>
              <w:rPr>
                <w:rFonts w:ascii="Garamond" w:hAnsi="Garamond"/>
                <w:snapToGrid w:val="0"/>
                <w:sz w:val="24"/>
                <w:szCs w:val="24"/>
              </w:rPr>
            </w:pPr>
            <w:r w:rsidRPr="00913E39">
              <w:rPr>
                <w:rFonts w:ascii="Garamond" w:hAnsi="Garamond"/>
                <w:snapToGrid w:val="0"/>
                <w:sz w:val="24"/>
                <w:szCs w:val="24"/>
              </w:rPr>
              <w:t>Agjencia Shtetërore e Programimit Strategjik dhe Koordinimit të Ndihmës</w:t>
            </w:r>
          </w:p>
          <w:p w14:paraId="0B845B51" w14:textId="77777777" w:rsidR="007A2236" w:rsidRPr="00913E39" w:rsidRDefault="007A2236" w:rsidP="00FC4C60">
            <w:pPr>
              <w:spacing w:after="0" w:line="240" w:lineRule="auto"/>
              <w:rPr>
                <w:rFonts w:ascii="Garamond" w:hAnsi="Garamond"/>
                <w:snapToGrid w:val="0"/>
                <w:sz w:val="24"/>
                <w:szCs w:val="24"/>
              </w:rPr>
            </w:pPr>
            <w:r w:rsidRPr="00913E39">
              <w:rPr>
                <w:rFonts w:ascii="Garamond" w:hAnsi="Garamond"/>
                <w:snapToGrid w:val="0"/>
                <w:sz w:val="24"/>
                <w:szCs w:val="24"/>
              </w:rPr>
              <w:t>Tiranë,</w:t>
            </w:r>
          </w:p>
          <w:p w14:paraId="6FAFF675" w14:textId="77777777" w:rsidR="007A2236" w:rsidRPr="00913E39" w:rsidRDefault="007A2236" w:rsidP="00FC4C60">
            <w:pPr>
              <w:spacing w:after="0" w:line="240" w:lineRule="auto"/>
              <w:rPr>
                <w:rFonts w:ascii="Garamond" w:hAnsi="Garamond"/>
                <w:snapToGrid w:val="0"/>
                <w:sz w:val="24"/>
                <w:szCs w:val="24"/>
              </w:rPr>
            </w:pPr>
          </w:p>
          <w:p w14:paraId="4C8EE402" w14:textId="343181C1" w:rsidR="007A2236" w:rsidRPr="00913E39" w:rsidRDefault="007A2236" w:rsidP="00FC4C60">
            <w:pPr>
              <w:spacing w:after="0" w:line="240" w:lineRule="auto"/>
              <w:rPr>
                <w:rFonts w:ascii="Garamond" w:hAnsi="Garamond"/>
                <w:snapToGrid w:val="0"/>
                <w:sz w:val="24"/>
                <w:szCs w:val="24"/>
              </w:rPr>
            </w:pPr>
            <w:r w:rsidRPr="00913E39">
              <w:rPr>
                <w:rFonts w:ascii="Garamond" w:hAnsi="Garamond"/>
                <w:snapToGrid w:val="0"/>
                <w:sz w:val="24"/>
                <w:szCs w:val="24"/>
              </w:rPr>
              <w:t>Data:</w:t>
            </w:r>
          </w:p>
          <w:p w14:paraId="20CE0429" w14:textId="77777777" w:rsidR="007A2236" w:rsidRPr="00913E39" w:rsidRDefault="007A2236" w:rsidP="00FC4C60">
            <w:pPr>
              <w:spacing w:after="0" w:line="240" w:lineRule="auto"/>
              <w:rPr>
                <w:rFonts w:ascii="Garamond" w:hAnsi="Garamond"/>
                <w:sz w:val="24"/>
                <w:szCs w:val="24"/>
              </w:rPr>
            </w:pPr>
            <w:r w:rsidRPr="00913E39">
              <w:rPr>
                <w:rFonts w:ascii="Garamond" w:hAnsi="Garamond"/>
                <w:snapToGrid w:val="0"/>
                <w:sz w:val="24"/>
                <w:szCs w:val="24"/>
              </w:rPr>
              <w:t>Nënshkrimi:</w:t>
            </w:r>
          </w:p>
        </w:tc>
        <w:tc>
          <w:tcPr>
            <w:tcW w:w="5245" w:type="dxa"/>
            <w:shd w:val="clear" w:color="auto" w:fill="auto"/>
          </w:tcPr>
          <w:p w14:paraId="1A824DCC" w14:textId="77777777" w:rsidR="007A2236" w:rsidRPr="00913E39" w:rsidRDefault="007A2236" w:rsidP="00FC4C60">
            <w:pPr>
              <w:spacing w:after="0" w:line="240" w:lineRule="auto"/>
              <w:rPr>
                <w:rFonts w:ascii="Garamond" w:hAnsi="Garamond"/>
                <w:sz w:val="24"/>
              </w:rPr>
            </w:pPr>
            <w:r w:rsidRPr="00913E39">
              <w:rPr>
                <w:rFonts w:ascii="Garamond" w:hAnsi="Garamond"/>
                <w:snapToGrid w:val="0"/>
                <w:sz w:val="24"/>
                <w:szCs w:val="24"/>
              </w:rPr>
              <w:t>Për Komisionin</w:t>
            </w:r>
          </w:p>
          <w:p w14:paraId="13EF47BB" w14:textId="77777777" w:rsidR="007A2236" w:rsidRPr="00913E39" w:rsidRDefault="007A2236" w:rsidP="00FC4C60">
            <w:pPr>
              <w:spacing w:after="0" w:line="240" w:lineRule="auto"/>
              <w:rPr>
                <w:rFonts w:ascii="Garamond" w:hAnsi="Garamond"/>
                <w:snapToGrid w:val="0"/>
                <w:sz w:val="24"/>
                <w:szCs w:val="24"/>
              </w:rPr>
            </w:pPr>
            <w:r w:rsidRPr="00913E39">
              <w:rPr>
                <w:rFonts w:ascii="Garamond" w:hAnsi="Garamond"/>
                <w:snapToGrid w:val="0"/>
                <w:sz w:val="24"/>
                <w:szCs w:val="24"/>
              </w:rPr>
              <w:t>Valentina Superti</w:t>
            </w:r>
          </w:p>
          <w:p w14:paraId="5D9F8263" w14:textId="77777777" w:rsidR="007A2236" w:rsidRPr="00913E39" w:rsidRDefault="007A2236" w:rsidP="00FC4C60">
            <w:pPr>
              <w:spacing w:after="0" w:line="240" w:lineRule="auto"/>
              <w:rPr>
                <w:rFonts w:ascii="Garamond" w:hAnsi="Garamond"/>
                <w:snapToGrid w:val="0"/>
                <w:sz w:val="24"/>
                <w:szCs w:val="24"/>
              </w:rPr>
            </w:pPr>
            <w:r w:rsidRPr="00913E39">
              <w:rPr>
                <w:rFonts w:ascii="Garamond" w:hAnsi="Garamond"/>
                <w:snapToGrid w:val="0"/>
                <w:sz w:val="24"/>
                <w:szCs w:val="24"/>
              </w:rPr>
              <w:t>Director D, Western Balkans</w:t>
            </w:r>
          </w:p>
          <w:p w14:paraId="4B59E54F" w14:textId="77777777" w:rsidR="007A2236" w:rsidRPr="00913E39" w:rsidRDefault="007A2236" w:rsidP="00FC4C60">
            <w:pPr>
              <w:spacing w:after="0" w:line="240" w:lineRule="auto"/>
              <w:rPr>
                <w:rFonts w:ascii="Garamond" w:hAnsi="Garamond"/>
                <w:snapToGrid w:val="0"/>
                <w:sz w:val="24"/>
                <w:szCs w:val="24"/>
              </w:rPr>
            </w:pPr>
            <w:r w:rsidRPr="00913E39">
              <w:rPr>
                <w:rFonts w:ascii="Garamond" w:hAnsi="Garamond"/>
                <w:snapToGrid w:val="0"/>
                <w:sz w:val="24"/>
                <w:szCs w:val="24"/>
              </w:rPr>
              <w:t>Directorate-General for Neighbourhood and Enlargement Negotiations</w:t>
            </w:r>
          </w:p>
          <w:p w14:paraId="52BEDD44" w14:textId="77777777" w:rsidR="007A2236" w:rsidRPr="00913E39" w:rsidRDefault="007A2236" w:rsidP="00FC4C60">
            <w:pPr>
              <w:spacing w:after="0" w:line="240" w:lineRule="auto"/>
              <w:rPr>
                <w:rFonts w:ascii="Garamond" w:hAnsi="Garamond"/>
                <w:snapToGrid w:val="0"/>
                <w:sz w:val="24"/>
                <w:szCs w:val="24"/>
              </w:rPr>
            </w:pPr>
            <w:r w:rsidRPr="00913E39">
              <w:rPr>
                <w:rFonts w:ascii="Garamond" w:hAnsi="Garamond"/>
                <w:snapToGrid w:val="0"/>
                <w:sz w:val="24"/>
                <w:szCs w:val="24"/>
              </w:rPr>
              <w:t>European Commission</w:t>
            </w:r>
          </w:p>
          <w:p w14:paraId="7F3B642C" w14:textId="77777777" w:rsidR="007A2236" w:rsidRPr="00913E39" w:rsidRDefault="007A2236" w:rsidP="00FC4C60">
            <w:pPr>
              <w:spacing w:after="0" w:line="240" w:lineRule="auto"/>
              <w:rPr>
                <w:rFonts w:ascii="Garamond" w:hAnsi="Garamond"/>
                <w:snapToGrid w:val="0"/>
                <w:sz w:val="24"/>
                <w:szCs w:val="24"/>
              </w:rPr>
            </w:pPr>
            <w:r w:rsidRPr="00913E39">
              <w:rPr>
                <w:rFonts w:ascii="Garamond" w:hAnsi="Garamond"/>
                <w:snapToGrid w:val="0"/>
                <w:sz w:val="24"/>
                <w:szCs w:val="24"/>
              </w:rPr>
              <w:t xml:space="preserve">Brussels, </w:t>
            </w:r>
          </w:p>
          <w:p w14:paraId="247EF076" w14:textId="77777777" w:rsidR="007A2236" w:rsidRPr="00913E39" w:rsidRDefault="007A2236" w:rsidP="00FC4C60">
            <w:pPr>
              <w:spacing w:after="0" w:line="240" w:lineRule="auto"/>
              <w:rPr>
                <w:rFonts w:ascii="Garamond" w:hAnsi="Garamond"/>
                <w:snapToGrid w:val="0"/>
                <w:sz w:val="24"/>
                <w:szCs w:val="24"/>
                <w:highlight w:val="yellow"/>
              </w:rPr>
            </w:pPr>
          </w:p>
          <w:p w14:paraId="34DB97BD" w14:textId="4B660E47" w:rsidR="007A2236" w:rsidRPr="00913E39" w:rsidRDefault="007A2236" w:rsidP="00FC4C60">
            <w:pPr>
              <w:spacing w:after="0" w:line="240" w:lineRule="auto"/>
              <w:rPr>
                <w:rFonts w:ascii="Garamond" w:hAnsi="Garamond"/>
                <w:snapToGrid w:val="0"/>
                <w:sz w:val="24"/>
                <w:szCs w:val="24"/>
              </w:rPr>
            </w:pPr>
            <w:r w:rsidRPr="00913E39">
              <w:rPr>
                <w:rFonts w:ascii="Garamond" w:hAnsi="Garamond"/>
                <w:snapToGrid w:val="0"/>
                <w:sz w:val="24"/>
                <w:szCs w:val="24"/>
              </w:rPr>
              <w:t>Data:</w:t>
            </w:r>
          </w:p>
          <w:p w14:paraId="3F50520C" w14:textId="77777777" w:rsidR="007A2236" w:rsidRPr="00913E39" w:rsidRDefault="007A2236" w:rsidP="005A72A1">
            <w:pPr>
              <w:spacing w:after="0" w:line="240" w:lineRule="auto"/>
              <w:rPr>
                <w:rFonts w:ascii="Garamond" w:hAnsi="Garamond"/>
                <w:snapToGrid w:val="0"/>
                <w:sz w:val="24"/>
                <w:szCs w:val="24"/>
              </w:rPr>
            </w:pPr>
            <w:r w:rsidRPr="00913E39">
              <w:rPr>
                <w:rFonts w:ascii="Garamond" w:hAnsi="Garamond"/>
                <w:snapToGrid w:val="0"/>
                <w:sz w:val="24"/>
                <w:szCs w:val="24"/>
              </w:rPr>
              <w:t>Nënshkrimi:</w:t>
            </w:r>
          </w:p>
          <w:p w14:paraId="5CBB3418" w14:textId="78786F3C" w:rsidR="005A72A1" w:rsidRPr="00913E39" w:rsidRDefault="005A72A1" w:rsidP="005A72A1">
            <w:pPr>
              <w:spacing w:after="0" w:line="240" w:lineRule="auto"/>
              <w:rPr>
                <w:rFonts w:ascii="Garamond" w:hAnsi="Garamond"/>
                <w:sz w:val="24"/>
                <w:szCs w:val="24"/>
              </w:rPr>
            </w:pPr>
          </w:p>
        </w:tc>
      </w:tr>
      <w:bookmarkEnd w:id="0"/>
    </w:tbl>
    <w:p w14:paraId="33B4C31C" w14:textId="77777777" w:rsidR="00847F23" w:rsidRPr="00913E39" w:rsidRDefault="00847F23" w:rsidP="00FC4C60">
      <w:pPr>
        <w:spacing w:after="0" w:line="240" w:lineRule="auto"/>
        <w:ind w:firstLine="284"/>
        <w:jc w:val="center"/>
        <w:rPr>
          <w:rFonts w:ascii="Garamond" w:eastAsia="DengXian" w:hAnsi="Garamond" w:cs="Times New Roman"/>
          <w:b/>
          <w:bCs/>
          <w:smallCaps/>
          <w:sz w:val="24"/>
          <w:szCs w:val="24"/>
          <w:lang w:eastAsia="ja-JP"/>
        </w:rPr>
      </w:pPr>
    </w:p>
    <w:p w14:paraId="38ADE1BD" w14:textId="77777777" w:rsidR="00847F23" w:rsidRPr="00913E39" w:rsidRDefault="00847F23" w:rsidP="00FC4C60">
      <w:pPr>
        <w:spacing w:after="0" w:line="240" w:lineRule="auto"/>
        <w:ind w:firstLine="284"/>
        <w:jc w:val="center"/>
        <w:rPr>
          <w:rFonts w:ascii="Garamond" w:eastAsia="DengXian" w:hAnsi="Garamond" w:cs="Times New Roman"/>
          <w:b/>
          <w:bCs/>
          <w:smallCaps/>
          <w:sz w:val="24"/>
          <w:szCs w:val="24"/>
          <w:lang w:eastAsia="ja-JP"/>
        </w:rPr>
      </w:pPr>
      <w:bookmarkStart w:id="1" w:name="_Hlk188923655"/>
      <w:r w:rsidRPr="00913E39">
        <w:rPr>
          <w:rFonts w:ascii="Garamond" w:eastAsia="DengXian" w:hAnsi="Garamond" w:cs="Times New Roman"/>
          <w:noProof/>
          <w:sz w:val="24"/>
          <w:szCs w:val="24"/>
          <w:lang w:eastAsia="sq-AL"/>
        </w:rPr>
        <w:drawing>
          <wp:anchor distT="0" distB="0" distL="114300" distR="114300" simplePos="0" relativeHeight="251658240" behindDoc="1" locked="0" layoutInCell="1" allowOverlap="1" wp14:anchorId="1BD26E7F" wp14:editId="72E5D1E7">
            <wp:simplePos x="0" y="0"/>
            <wp:positionH relativeFrom="margin">
              <wp:posOffset>83820</wp:posOffset>
            </wp:positionH>
            <wp:positionV relativeFrom="paragraph">
              <wp:posOffset>7620</wp:posOffset>
            </wp:positionV>
            <wp:extent cx="701040" cy="492760"/>
            <wp:effectExtent l="0" t="0" r="0" b="0"/>
            <wp:wrapNone/>
            <wp:docPr id="63523141" name="Picture 1" descr="flag_2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ag_2colors"/>
                    <pic:cNvPicPr>
                      <a:picLocks noChangeAspect="1" noChangeArrowheads="1"/>
                    </pic:cNvPicPr>
                  </pic:nvPicPr>
                  <pic:blipFill>
                    <a:blip r:embed="rId16">
                      <a:lum bright="-12000"/>
                      <a:extLst>
                        <a:ext uri="{28A0092B-C50C-407E-A947-70E740481C1C}">
                          <a14:useLocalDpi xmlns:a14="http://schemas.microsoft.com/office/drawing/2010/main" val="0"/>
                        </a:ext>
                      </a:extLst>
                    </a:blip>
                    <a:srcRect/>
                    <a:stretch>
                      <a:fillRect/>
                    </a:stretch>
                  </pic:blipFill>
                  <pic:spPr bwMode="auto">
                    <a:xfrm>
                      <a:off x="0" y="0"/>
                      <a:ext cx="701040"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3E39">
        <w:rPr>
          <w:rFonts w:ascii="Garamond" w:eastAsia="DengXian" w:hAnsi="Garamond" w:cs="Times New Roman"/>
          <w:b/>
          <w:bCs/>
          <w:smallCaps/>
          <w:sz w:val="24"/>
          <w:szCs w:val="24"/>
          <w:lang w:eastAsia="ja-JP"/>
        </w:rPr>
        <w:t>EN</w:t>
      </w:r>
    </w:p>
    <w:p w14:paraId="01B9DDF7" w14:textId="77777777" w:rsidR="00847F23" w:rsidRPr="00913E39" w:rsidRDefault="00364C67" w:rsidP="00FC4C60">
      <w:pPr>
        <w:spacing w:after="0" w:line="240" w:lineRule="auto"/>
        <w:ind w:firstLine="284"/>
        <w:jc w:val="center"/>
        <w:rPr>
          <w:rFonts w:ascii="Garamond" w:hAnsi="Garamond"/>
          <w:b/>
          <w:smallCaps/>
          <w:sz w:val="24"/>
        </w:rPr>
      </w:pPr>
      <w:r w:rsidRPr="00913E39">
        <w:rPr>
          <w:rFonts w:ascii="Garamond" w:hAnsi="Garamond"/>
          <w:b/>
          <w:smallCaps/>
          <w:sz w:val="24"/>
        </w:rPr>
        <w:t>KY PROJEKT FINANCOHET NGA BASHKIMI EVROPIAN</w:t>
      </w:r>
    </w:p>
    <w:p w14:paraId="5284F916" w14:textId="77777777" w:rsidR="00847F23" w:rsidRPr="00913E39" w:rsidRDefault="00847F23" w:rsidP="00FC4C60">
      <w:pPr>
        <w:spacing w:after="0" w:line="240" w:lineRule="auto"/>
        <w:ind w:firstLine="284"/>
        <w:jc w:val="center"/>
        <w:rPr>
          <w:rFonts w:ascii="Garamond" w:hAnsi="Garamond"/>
          <w:b/>
          <w:smallCaps/>
          <w:sz w:val="24"/>
        </w:rPr>
      </w:pPr>
      <w:r w:rsidRPr="00913E39">
        <w:rPr>
          <w:rFonts w:ascii="Garamond" w:hAnsi="Garamond"/>
          <w:b/>
          <w:smallCaps/>
          <w:sz w:val="24"/>
        </w:rPr>
        <w:t xml:space="preserve">Aneks </w:t>
      </w:r>
    </w:p>
    <w:p w14:paraId="5254AF37" w14:textId="19A80C62" w:rsidR="00847F23" w:rsidRPr="00913E39" w:rsidRDefault="00847F23" w:rsidP="00B5319C">
      <w:pPr>
        <w:spacing w:after="0" w:line="240" w:lineRule="auto"/>
        <w:jc w:val="center"/>
        <w:rPr>
          <w:rFonts w:ascii="Garamond" w:hAnsi="Garamond"/>
          <w:b/>
          <w:sz w:val="24"/>
        </w:rPr>
      </w:pPr>
      <w:r w:rsidRPr="00913E39">
        <w:rPr>
          <w:rFonts w:ascii="Garamond" w:hAnsi="Garamond"/>
          <w:b/>
          <w:sz w:val="24"/>
        </w:rPr>
        <w:t xml:space="preserve">i </w:t>
      </w:r>
      <w:r w:rsidR="00B5319C" w:rsidRPr="00913E39">
        <w:rPr>
          <w:rFonts w:ascii="Garamond" w:hAnsi="Garamond"/>
          <w:b/>
          <w:sz w:val="24"/>
        </w:rPr>
        <w:t xml:space="preserve">vendimit zbatues </w:t>
      </w:r>
      <w:r w:rsidRPr="00913E39">
        <w:rPr>
          <w:rFonts w:ascii="Garamond" w:hAnsi="Garamond"/>
          <w:b/>
          <w:sz w:val="24"/>
        </w:rPr>
        <w:t>të Komisionit për financimin e Programit Operacional shumëvjeçar të BE-së për</w:t>
      </w:r>
      <w:r w:rsidRPr="00913E39">
        <w:rPr>
          <w:rFonts w:ascii="Garamond" w:hAnsi="Garamond"/>
          <w:sz w:val="24"/>
        </w:rPr>
        <w:t xml:space="preserve"> </w:t>
      </w:r>
      <w:r w:rsidRPr="00913E39">
        <w:rPr>
          <w:rFonts w:ascii="Garamond" w:hAnsi="Garamond"/>
          <w:b/>
          <w:sz w:val="24"/>
        </w:rPr>
        <w:t>Ekonominë dhe Shoqërinë Digjitale në favor të Republikës së Shqipërisë për 2024</w:t>
      </w:r>
      <w:r w:rsidR="006C7C29" w:rsidRPr="00913E39">
        <w:rPr>
          <w:rFonts w:ascii="Garamond" w:hAnsi="Garamond"/>
          <w:b/>
          <w:sz w:val="24"/>
        </w:rPr>
        <w:t>–</w:t>
      </w:r>
      <w:r w:rsidRPr="00913E39">
        <w:rPr>
          <w:rFonts w:ascii="Garamond" w:hAnsi="Garamond"/>
          <w:b/>
          <w:sz w:val="24"/>
        </w:rPr>
        <w:t>2027</w:t>
      </w:r>
    </w:p>
    <w:p w14:paraId="15D2A2E1" w14:textId="5EEFDCD3" w:rsidR="00847F23" w:rsidRPr="00913E39" w:rsidRDefault="00847F23" w:rsidP="00FC4C60">
      <w:pPr>
        <w:spacing w:after="0" w:line="240" w:lineRule="auto"/>
        <w:ind w:firstLine="284"/>
        <w:jc w:val="both"/>
        <w:rPr>
          <w:rFonts w:ascii="Garamond" w:hAnsi="Garamond"/>
          <w:b/>
          <w:caps/>
          <w:sz w:val="24"/>
          <w:u w:val="single"/>
        </w:rPr>
      </w:pPr>
    </w:p>
    <w:tbl>
      <w:tblPr>
        <w:tblStyle w:val="TableGrid"/>
        <w:tblW w:w="0" w:type="auto"/>
        <w:tblLook w:val="04A0" w:firstRow="1" w:lastRow="0" w:firstColumn="1" w:lastColumn="0" w:noHBand="0" w:noVBand="1"/>
      </w:tblPr>
      <w:tblGrid>
        <w:gridCol w:w="9074"/>
      </w:tblGrid>
      <w:tr w:rsidR="00B5319C" w:rsidRPr="00913E39" w14:paraId="0E0F2DBE" w14:textId="77777777" w:rsidTr="00B5319C">
        <w:tc>
          <w:tcPr>
            <w:tcW w:w="9074" w:type="dxa"/>
          </w:tcPr>
          <w:p w14:paraId="13CBB63F" w14:textId="7048A56E" w:rsidR="00B5319C" w:rsidRPr="00913E39" w:rsidRDefault="00B5319C" w:rsidP="00B5319C">
            <w:pPr>
              <w:ind w:firstLine="284"/>
              <w:jc w:val="center"/>
              <w:rPr>
                <w:rFonts w:ascii="Garamond" w:hAnsi="Garamond"/>
                <w:b/>
                <w:sz w:val="24"/>
                <w:lang w:val="sq-AL"/>
              </w:rPr>
            </w:pPr>
            <w:r w:rsidRPr="00913E39">
              <w:rPr>
                <w:rFonts w:ascii="Garamond" w:hAnsi="Garamond"/>
                <w:b/>
                <w:sz w:val="24"/>
                <w:lang w:val="sq-AL"/>
              </w:rPr>
              <w:t xml:space="preserve">PROGRAMI OPERACIONAL </w:t>
            </w:r>
            <w:r w:rsidR="00B37250" w:rsidRPr="00913E39">
              <w:rPr>
                <w:rFonts w:ascii="Garamond" w:hAnsi="Garamond"/>
                <w:b/>
                <w:sz w:val="24"/>
                <w:lang w:val="sq-AL"/>
              </w:rPr>
              <w:t>SHUMËVJEÇAR</w:t>
            </w:r>
          </w:p>
          <w:p w14:paraId="44E13085" w14:textId="1650913C" w:rsidR="00B5319C" w:rsidRPr="00913E39" w:rsidRDefault="00B5319C" w:rsidP="00B37250">
            <w:pPr>
              <w:jc w:val="center"/>
              <w:rPr>
                <w:rFonts w:ascii="Garamond" w:hAnsi="Garamond"/>
                <w:b/>
                <w:caps/>
                <w:sz w:val="24"/>
                <w:u w:val="single"/>
                <w:lang w:val="sq-AL"/>
              </w:rPr>
            </w:pPr>
            <w:r w:rsidRPr="00913E39">
              <w:rPr>
                <w:rFonts w:ascii="Garamond" w:hAnsi="Garamond"/>
                <w:sz w:val="24"/>
                <w:lang w:val="sq-AL"/>
              </w:rPr>
              <w:t xml:space="preserve">Ky dokument përbën programin shumëvjeçar të punës sipas nenit 110(2) të </w:t>
            </w:r>
            <w:r w:rsidR="00A7726A" w:rsidRPr="00913E39">
              <w:rPr>
                <w:rFonts w:ascii="Garamond" w:hAnsi="Garamond"/>
                <w:sz w:val="24"/>
                <w:lang w:val="sq-AL"/>
              </w:rPr>
              <w:t>rregullores financiare dhe pl</w:t>
            </w:r>
            <w:r w:rsidRPr="00913E39">
              <w:rPr>
                <w:rFonts w:ascii="Garamond" w:hAnsi="Garamond"/>
                <w:sz w:val="24"/>
                <w:lang w:val="sq-AL"/>
              </w:rPr>
              <w:t xml:space="preserve">anit shumëvjeçar të veprimit sipas nenit 9 të </w:t>
            </w:r>
            <w:r w:rsidR="00A7726A" w:rsidRPr="00913E39">
              <w:rPr>
                <w:rFonts w:ascii="Garamond" w:hAnsi="Garamond"/>
                <w:sz w:val="24"/>
                <w:lang w:val="sq-AL"/>
              </w:rPr>
              <w:t xml:space="preserve">rregullores </w:t>
            </w:r>
            <w:r w:rsidRPr="00913E39">
              <w:rPr>
                <w:rFonts w:ascii="Garamond" w:hAnsi="Garamond"/>
                <w:sz w:val="24"/>
                <w:lang w:val="sq-AL"/>
              </w:rPr>
              <w:t>IPA III dhe nenit 23 të NDICI</w:t>
            </w:r>
            <w:r w:rsidR="00A7726A" w:rsidRPr="00913E39">
              <w:rPr>
                <w:rFonts w:ascii="Garamond" w:hAnsi="Garamond"/>
                <w:sz w:val="24"/>
                <w:lang w:val="sq-AL"/>
              </w:rPr>
              <w:t xml:space="preserve"> </w:t>
            </w:r>
            <w:r w:rsidRPr="00913E39">
              <w:rPr>
                <w:rFonts w:ascii="Garamond" w:hAnsi="Garamond"/>
                <w:sz w:val="24"/>
                <w:lang w:val="sq-AL"/>
              </w:rPr>
              <w:t>- Bashkimi Evropian si Rregullator Global.</w:t>
            </w:r>
          </w:p>
        </w:tc>
      </w:tr>
    </w:tbl>
    <w:p w14:paraId="1E3B6C36" w14:textId="77777777" w:rsidR="00847F23" w:rsidRPr="00913E39" w:rsidRDefault="00847F23" w:rsidP="00693B1A">
      <w:pPr>
        <w:spacing w:after="0" w:line="240" w:lineRule="auto"/>
        <w:ind w:firstLine="284"/>
        <w:jc w:val="center"/>
        <w:rPr>
          <w:rFonts w:ascii="Garamond" w:hAnsi="Garamond"/>
          <w:sz w:val="24"/>
        </w:rPr>
      </w:pPr>
    </w:p>
    <w:p w14:paraId="393A9D56" w14:textId="77777777" w:rsidR="00847F23" w:rsidRPr="00913E39" w:rsidRDefault="00847F23" w:rsidP="00693B1A">
      <w:pPr>
        <w:spacing w:after="0" w:line="240" w:lineRule="auto"/>
        <w:ind w:left="284"/>
        <w:contextualSpacing/>
        <w:rPr>
          <w:rFonts w:ascii="Garamond" w:hAnsi="Garamond"/>
          <w:sz w:val="24"/>
        </w:rPr>
      </w:pPr>
      <w:bookmarkStart w:id="2" w:name="_Hlk106633934"/>
      <w:bookmarkStart w:id="3" w:name="_Hlk108688905"/>
      <w:r w:rsidRPr="00913E39">
        <w:rPr>
          <w:rFonts w:ascii="Garamond" w:hAnsi="Garamond"/>
          <w:sz w:val="24"/>
        </w:rPr>
        <w:t>1. Programi shkurtimisht</w:t>
      </w:r>
    </w:p>
    <w:p w14:paraId="18B2C662" w14:textId="1620926A" w:rsidR="00847F23" w:rsidRPr="00913E39" w:rsidRDefault="00847F23" w:rsidP="00FC4C60">
      <w:pPr>
        <w:spacing w:after="0" w:line="240" w:lineRule="auto"/>
        <w:ind w:firstLine="284"/>
        <w:contextualSpacing/>
        <w:rPr>
          <w:rFonts w:ascii="Garamond" w:hAnsi="Garamond"/>
          <w:sz w:val="24"/>
        </w:rPr>
      </w:pPr>
      <w:r w:rsidRPr="00913E39">
        <w:rPr>
          <w:rFonts w:ascii="Garamond" w:hAnsi="Garamond"/>
          <w:sz w:val="24"/>
        </w:rPr>
        <w:t xml:space="preserve">1.1 Tabela </w:t>
      </w:r>
      <w:r w:rsidR="00294D56" w:rsidRPr="00913E39">
        <w:rPr>
          <w:rFonts w:ascii="Garamond" w:eastAsia="Calibri" w:hAnsi="Garamond" w:cs="Times New Roman"/>
          <w:bCs/>
          <w:sz w:val="24"/>
          <w:szCs w:val="24"/>
        </w:rPr>
        <w:t>p</w:t>
      </w:r>
      <w:r w:rsidRPr="00913E39">
        <w:rPr>
          <w:rFonts w:ascii="Garamond" w:eastAsia="Calibri" w:hAnsi="Garamond" w:cs="Times New Roman"/>
          <w:bCs/>
          <w:sz w:val="24"/>
          <w:szCs w:val="24"/>
        </w:rPr>
        <w:t>ërmbledhëse</w:t>
      </w:r>
      <w:r w:rsidRPr="00913E39">
        <w:rPr>
          <w:rFonts w:ascii="Garamond" w:hAnsi="Garamond"/>
          <w:sz w:val="24"/>
        </w:rPr>
        <w:t xml:space="preserve"> e Programit</w:t>
      </w:r>
    </w:p>
    <w:p w14:paraId="1D7164C9" w14:textId="77777777" w:rsidR="00847F23" w:rsidRPr="00913E39" w:rsidRDefault="00847F23" w:rsidP="00FC4C60">
      <w:pPr>
        <w:spacing w:after="0" w:line="240" w:lineRule="auto"/>
        <w:ind w:firstLine="284"/>
        <w:rPr>
          <w:rFonts w:ascii="Garamond" w:hAnsi="Garamond"/>
          <w:sz w:val="24"/>
        </w:rPr>
      </w:pPr>
      <w:r w:rsidRPr="00913E39">
        <w:rPr>
          <w:rFonts w:ascii="Garamond" w:hAnsi="Garamond"/>
          <w:sz w:val="24"/>
        </w:rPr>
        <w:t>1.2</w:t>
      </w:r>
      <w:r w:rsidR="00693B1A" w:rsidRPr="00913E39">
        <w:rPr>
          <w:rFonts w:ascii="Garamond" w:hAnsi="Garamond"/>
          <w:sz w:val="24"/>
        </w:rPr>
        <w:t xml:space="preserve"> </w:t>
      </w:r>
      <w:r w:rsidRPr="00913E39">
        <w:rPr>
          <w:rFonts w:ascii="Garamond" w:hAnsi="Garamond"/>
          <w:sz w:val="24"/>
        </w:rPr>
        <w:t>Përmbledhje e programit</w:t>
      </w:r>
    </w:p>
    <w:p w14:paraId="22343BED" w14:textId="77777777" w:rsidR="00847F23" w:rsidRPr="00913E39" w:rsidRDefault="00847F23" w:rsidP="00693B1A">
      <w:pPr>
        <w:spacing w:after="0" w:line="240" w:lineRule="auto"/>
        <w:ind w:left="284"/>
        <w:contextualSpacing/>
        <w:rPr>
          <w:rFonts w:ascii="Garamond" w:hAnsi="Garamond"/>
          <w:sz w:val="24"/>
        </w:rPr>
      </w:pPr>
      <w:r w:rsidRPr="00913E39">
        <w:rPr>
          <w:rFonts w:ascii="Garamond" w:hAnsi="Garamond"/>
          <w:sz w:val="24"/>
        </w:rPr>
        <w:t xml:space="preserve">2. Analiza e sektorit </w:t>
      </w:r>
    </w:p>
    <w:p w14:paraId="48EBC2D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2.1 Konteksti dhe politikat sektoriale kombëtare</w:t>
      </w:r>
    </w:p>
    <w:p w14:paraId="179DD65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2.2 Kuadri ligjor</w:t>
      </w:r>
    </w:p>
    <w:p w14:paraId="1D33CE13"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2.3 Organizimi institucional, menaxhimi dhe funksionimi</w:t>
      </w:r>
    </w:p>
    <w:p w14:paraId="677570E9"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2.4 Sektori (sektorët) dhe koordinimi i donatorëve</w:t>
      </w:r>
    </w:p>
    <w:p w14:paraId="1F799BD3"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2.5 Perspektivat buxhetore afatmesme</w:t>
      </w:r>
    </w:p>
    <w:p w14:paraId="175BA6D3"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2.6 Kuadri i vlerësimit të performancës</w:t>
      </w:r>
    </w:p>
    <w:p w14:paraId="321BB6D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2.7 Analiza social-ekonomike (përfshirë analizën SWOT) </w:t>
      </w:r>
    </w:p>
    <w:p w14:paraId="6C41DC79" w14:textId="7142A22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3. Objektivi i përgjithshëm dhe </w:t>
      </w:r>
      <w:r w:rsidR="00294D56" w:rsidRPr="00913E39">
        <w:rPr>
          <w:rFonts w:ascii="Garamond" w:eastAsia="Times New Roman" w:hAnsi="Garamond" w:cs="Times New Roman"/>
          <w:bCs/>
          <w:sz w:val="24"/>
          <w:szCs w:val="24"/>
        </w:rPr>
        <w:t>objektivat specifikë</w:t>
      </w:r>
      <w:r w:rsidR="00294D56" w:rsidRPr="00913E39">
        <w:rPr>
          <w:rFonts w:ascii="Garamond" w:hAnsi="Garamond"/>
          <w:sz w:val="24"/>
        </w:rPr>
        <w:t xml:space="preserve"> </w:t>
      </w:r>
      <w:r w:rsidRPr="00913E39">
        <w:rPr>
          <w:rFonts w:ascii="Garamond" w:hAnsi="Garamond"/>
          <w:sz w:val="24"/>
        </w:rPr>
        <w:t xml:space="preserve">të Programit Operacional </w:t>
      </w:r>
    </w:p>
    <w:p w14:paraId="35B3F8A8"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3.1 Përputhshmëria me Kuadrin e Programimit IPA III dhe me instrumentet specifike të politikave të procesit të zgjerimit</w:t>
      </w:r>
    </w:p>
    <w:p w14:paraId="545711AF" w14:textId="77777777" w:rsidR="00847F23" w:rsidRPr="00913E39" w:rsidRDefault="00847F23" w:rsidP="00693B1A">
      <w:pPr>
        <w:spacing w:after="0" w:line="240" w:lineRule="auto"/>
        <w:ind w:left="284"/>
        <w:contextualSpacing/>
        <w:rPr>
          <w:rFonts w:ascii="Garamond" w:hAnsi="Garamond"/>
          <w:sz w:val="24"/>
        </w:rPr>
      </w:pPr>
      <w:r w:rsidRPr="00913E39">
        <w:rPr>
          <w:rFonts w:ascii="Garamond" w:hAnsi="Garamond"/>
          <w:sz w:val="24"/>
        </w:rPr>
        <w:t xml:space="preserve">4. Karakteristikat operacionale të programit </w:t>
      </w:r>
    </w:p>
    <w:p w14:paraId="2B4E3972" w14:textId="0E28E00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4.1 Ndërveprimi i programit me planet vjetore të veprimit të IPA III ose masat dhe ndërhyrjet nga donatorë të tjerë/</w:t>
      </w:r>
      <w:r w:rsidR="00294D56" w:rsidRPr="00913E39">
        <w:rPr>
          <w:rFonts w:ascii="Garamond" w:eastAsia="Times New Roman" w:hAnsi="Garamond" w:cs="Times New Roman"/>
          <w:bCs/>
          <w:sz w:val="24"/>
          <w:szCs w:val="24"/>
        </w:rPr>
        <w:t>institucione financiare ndërkombëtare</w:t>
      </w:r>
    </w:p>
    <w:p w14:paraId="72FEA034"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4.2 Përshkrimi i programit</w:t>
      </w:r>
    </w:p>
    <w:p w14:paraId="2D54EA4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4.2.1 Logjika e ndërhyrjes</w:t>
      </w:r>
    </w:p>
    <w:p w14:paraId="2DAC2AD1"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4.2.2 Përshkrim i detajuar i çdo fushe të mbështetjes</w:t>
      </w:r>
    </w:p>
    <w:p w14:paraId="40F34DE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4.2.3 Pasqyra treguese e projekteve madhore për çdo fushë të mbështetjes</w:t>
      </w:r>
    </w:p>
    <w:p w14:paraId="510120D6"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4.3 Integrimi</w:t>
      </w:r>
    </w:p>
    <w:p w14:paraId="3355A43C" w14:textId="51278F5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4.3.1 Mbrojtja e </w:t>
      </w:r>
      <w:r w:rsidR="00294D56" w:rsidRPr="00913E39">
        <w:rPr>
          <w:rFonts w:ascii="Garamond" w:eastAsia="Times New Roman" w:hAnsi="Garamond" w:cs="Times New Roman"/>
          <w:bCs/>
          <w:sz w:val="24"/>
          <w:szCs w:val="24"/>
        </w:rPr>
        <w:t>mjedisit, ndryshimet klimatike dhe biodiversiteti</w:t>
      </w:r>
    </w:p>
    <w:p w14:paraId="778A5A4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4.3.2 Barazia gjinore dhe fuqizimi i grave dhe vajzave</w:t>
      </w:r>
    </w:p>
    <w:p w14:paraId="11B53BE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4.3.3 Të drejtat e njeriut</w:t>
      </w:r>
    </w:p>
    <w:p w14:paraId="70C7705E"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4.3.4 Personat me aftësi të kufizuara</w:t>
      </w:r>
    </w:p>
    <w:p w14:paraId="2E2EBE7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4.3.5 Demokracia</w:t>
      </w:r>
    </w:p>
    <w:p w14:paraId="524E6A18"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4.3.6 Ndërgjegjësimi ndaj konfliktit, paqja dhe fleksibiliteti</w:t>
      </w:r>
    </w:p>
    <w:p w14:paraId="25490CC3" w14:textId="09A60B5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4.3.7 Zbutja e </w:t>
      </w:r>
      <w:r w:rsidR="00294D56" w:rsidRPr="00913E39">
        <w:rPr>
          <w:rFonts w:ascii="Garamond" w:eastAsia="Times New Roman" w:hAnsi="Garamond" w:cs="Times New Roman"/>
          <w:bCs/>
          <w:sz w:val="24"/>
          <w:szCs w:val="24"/>
        </w:rPr>
        <w:t>rrezikut</w:t>
      </w:r>
      <w:r w:rsidR="00294D56" w:rsidRPr="00913E39">
        <w:rPr>
          <w:rFonts w:ascii="Garamond" w:hAnsi="Garamond"/>
          <w:sz w:val="24"/>
        </w:rPr>
        <w:t xml:space="preserve"> nga </w:t>
      </w:r>
      <w:r w:rsidR="00294D56" w:rsidRPr="00913E39">
        <w:rPr>
          <w:rFonts w:ascii="Garamond" w:eastAsia="Times New Roman" w:hAnsi="Garamond" w:cs="Times New Roman"/>
          <w:bCs/>
          <w:sz w:val="24"/>
          <w:szCs w:val="24"/>
        </w:rPr>
        <w:t>katastrofat</w:t>
      </w:r>
    </w:p>
    <w:p w14:paraId="7E7B59D8"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4.4. Risqet dhe hipotezat </w:t>
      </w:r>
    </w:p>
    <w:p w14:paraId="5D32BED5" w14:textId="2453F76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5. Pasqyrë e procesit të konsultimit për përgatitjen e Programit Operacional</w:t>
      </w:r>
    </w:p>
    <w:p w14:paraId="7ECFEBE2" w14:textId="3173FA1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6</w:t>
      </w:r>
      <w:r w:rsidR="006C7C29" w:rsidRPr="00913E39">
        <w:rPr>
          <w:rFonts w:ascii="Garamond" w:hAnsi="Garamond"/>
          <w:sz w:val="24"/>
        </w:rPr>
        <w:t xml:space="preserve">. </w:t>
      </w:r>
      <w:r w:rsidRPr="00913E39">
        <w:rPr>
          <w:rFonts w:ascii="Garamond" w:hAnsi="Garamond"/>
          <w:sz w:val="24"/>
        </w:rPr>
        <w:t>Plani i zbatimit</w:t>
      </w:r>
    </w:p>
    <w:p w14:paraId="09993CA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6.1 Marrëveshja e financimit</w:t>
      </w:r>
    </w:p>
    <w:p w14:paraId="56B7CC5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6.2 Metodat e zbatimit</w:t>
      </w:r>
    </w:p>
    <w:p w14:paraId="64264BD7"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6.3 Shtrirja e faktorit gjeografik për prokurime dhe grante</w:t>
      </w:r>
    </w:p>
    <w:p w14:paraId="2C38601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7. Tabelat financiare sipas fushave të mbështetjes dhe sipas vitit (përfshirë normat e bashkëfinancimit nëse ka)</w:t>
      </w:r>
    </w:p>
    <w:p w14:paraId="09CACB77"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8. Matja e performancës</w:t>
      </w:r>
    </w:p>
    <w:p w14:paraId="43EC52C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8.1 Monitorimi dhe raportimi</w:t>
      </w:r>
    </w:p>
    <w:p w14:paraId="5C312949"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8.2 Vlerësimi </w:t>
      </w:r>
    </w:p>
    <w:p w14:paraId="6509B2CE"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8.3 Auditi dhe verifikimet</w:t>
      </w:r>
    </w:p>
    <w:p w14:paraId="401D682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9. Komunikimi strategjik dhe diplomacia në marrëdhëniet publike</w:t>
      </w:r>
    </w:p>
    <w:p w14:paraId="43312F14" w14:textId="494E8FC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10. Qëndrueshmëria</w:t>
      </w:r>
    </w:p>
    <w:p w14:paraId="50E7F1B9" w14:textId="2C9E97F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Aneksi 1</w:t>
      </w:r>
      <w:r w:rsidR="005A72A1" w:rsidRPr="00913E39">
        <w:rPr>
          <w:rFonts w:ascii="Garamond" w:hAnsi="Garamond"/>
          <w:sz w:val="24"/>
        </w:rPr>
        <w:t>.</w:t>
      </w:r>
      <w:r w:rsidRPr="00913E39">
        <w:rPr>
          <w:rFonts w:ascii="Garamond" w:hAnsi="Garamond"/>
          <w:sz w:val="24"/>
        </w:rPr>
        <w:t xml:space="preserve"> Takime konsultimi me partnerët për Programin Operacional për Ekonominë dhe Shoqërinë Digjitale, 12 qershor 2023</w:t>
      </w:r>
    </w:p>
    <w:p w14:paraId="6D312FC7" w14:textId="10B8AE7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Aneksi 2</w:t>
      </w:r>
      <w:r w:rsidR="005A72A1" w:rsidRPr="00913E39">
        <w:rPr>
          <w:rFonts w:ascii="Garamond" w:hAnsi="Garamond"/>
          <w:sz w:val="24"/>
        </w:rPr>
        <w:t>.</w:t>
      </w:r>
      <w:r w:rsidRPr="00913E39">
        <w:rPr>
          <w:rFonts w:ascii="Garamond" w:hAnsi="Garamond"/>
          <w:sz w:val="24"/>
        </w:rPr>
        <w:t xml:space="preserve"> Zhvillimi i Projektit Pilot</w:t>
      </w:r>
    </w:p>
    <w:p w14:paraId="1302E2E0" w14:textId="564E1D0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Aneksi 3</w:t>
      </w:r>
      <w:r w:rsidR="005A72A1" w:rsidRPr="00913E39">
        <w:rPr>
          <w:rFonts w:ascii="Garamond" w:hAnsi="Garamond"/>
          <w:sz w:val="24"/>
        </w:rPr>
        <w:t>.</w:t>
      </w:r>
      <w:r w:rsidRPr="00913E39">
        <w:rPr>
          <w:rFonts w:ascii="Garamond" w:hAnsi="Garamond"/>
          <w:sz w:val="24"/>
        </w:rPr>
        <w:t xml:space="preserve"> Lista e akronimeve</w:t>
      </w:r>
    </w:p>
    <w:bookmarkEnd w:id="2"/>
    <w:bookmarkEnd w:id="3"/>
    <w:p w14:paraId="70C66F55" w14:textId="77777777" w:rsidR="000619F5" w:rsidRPr="00913E39" w:rsidRDefault="000619F5" w:rsidP="00693B1A">
      <w:pPr>
        <w:spacing w:after="0" w:line="240" w:lineRule="auto"/>
        <w:ind w:left="284"/>
        <w:contextualSpacing/>
        <w:rPr>
          <w:rFonts w:ascii="Garamond" w:hAnsi="Garamond"/>
          <w:sz w:val="24"/>
        </w:rPr>
      </w:pPr>
    </w:p>
    <w:p w14:paraId="20C4F823" w14:textId="77777777" w:rsidR="00847F23" w:rsidRPr="00913E39" w:rsidRDefault="00847F23" w:rsidP="00693B1A">
      <w:pPr>
        <w:spacing w:after="0" w:line="240" w:lineRule="auto"/>
        <w:ind w:left="284"/>
        <w:contextualSpacing/>
        <w:rPr>
          <w:rFonts w:ascii="Garamond" w:hAnsi="Garamond"/>
          <w:b/>
          <w:sz w:val="24"/>
        </w:rPr>
      </w:pPr>
      <w:r w:rsidRPr="00913E39">
        <w:rPr>
          <w:rFonts w:ascii="Garamond" w:hAnsi="Garamond"/>
          <w:b/>
          <w:sz w:val="24"/>
        </w:rPr>
        <w:t>1. Përmbledhje e Programit</w:t>
      </w:r>
    </w:p>
    <w:p w14:paraId="49775DA2" w14:textId="2217EAC5" w:rsidR="00847F23" w:rsidRPr="00913E39" w:rsidRDefault="00847F23" w:rsidP="007C63DF">
      <w:pPr>
        <w:spacing w:after="0" w:line="240" w:lineRule="auto"/>
        <w:ind w:left="284"/>
        <w:contextualSpacing/>
        <w:rPr>
          <w:rFonts w:ascii="Garamond" w:hAnsi="Garamond"/>
          <w:i/>
          <w:sz w:val="24"/>
        </w:rPr>
      </w:pPr>
      <w:r w:rsidRPr="00913E39">
        <w:rPr>
          <w:rFonts w:ascii="Garamond" w:hAnsi="Garamond"/>
          <w:i/>
          <w:sz w:val="24"/>
        </w:rPr>
        <w:t xml:space="preserve">1.1 Tabela </w:t>
      </w:r>
      <w:r w:rsidR="007C63DF" w:rsidRPr="00913E39">
        <w:rPr>
          <w:rFonts w:ascii="Garamond" w:hAnsi="Garamond"/>
          <w:i/>
          <w:sz w:val="24"/>
        </w:rPr>
        <w:t xml:space="preserve">përmbledhëse </w:t>
      </w:r>
      <w:r w:rsidRPr="00913E39">
        <w:rPr>
          <w:rFonts w:ascii="Garamond" w:hAnsi="Garamond"/>
          <w:i/>
          <w:sz w:val="24"/>
        </w:rPr>
        <w:t>e Programit</w:t>
      </w:r>
    </w:p>
    <w:tbl>
      <w:tblPr>
        <w:tblW w:w="9192" w:type="dxa"/>
        <w:tblInd w:w="-5" w:type="dxa"/>
        <w:tblLayout w:type="fixed"/>
        <w:tblLook w:val="01E0" w:firstRow="1" w:lastRow="1" w:firstColumn="1" w:lastColumn="1" w:noHBand="0" w:noVBand="0"/>
      </w:tblPr>
      <w:tblGrid>
        <w:gridCol w:w="2041"/>
        <w:gridCol w:w="3051"/>
        <w:gridCol w:w="1366"/>
        <w:gridCol w:w="684"/>
        <w:gridCol w:w="683"/>
        <w:gridCol w:w="1367"/>
      </w:tblGrid>
      <w:tr w:rsidR="00847F23" w:rsidRPr="00913E39" w14:paraId="009D6E5D"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034FFCA7" w14:textId="77777777" w:rsidR="00847F23" w:rsidRPr="00913E39" w:rsidRDefault="00847F23" w:rsidP="00693B1A">
            <w:pPr>
              <w:spacing w:after="0" w:line="240" w:lineRule="auto"/>
              <w:jc w:val="both"/>
              <w:rPr>
                <w:rFonts w:ascii="Garamond" w:hAnsi="Garamond"/>
                <w:b/>
                <w:sz w:val="18"/>
              </w:rPr>
            </w:pPr>
            <w:r w:rsidRPr="00913E39">
              <w:rPr>
                <w:rFonts w:ascii="Garamond" w:hAnsi="Garamond"/>
                <w:b/>
                <w:sz w:val="18"/>
              </w:rPr>
              <w:t>Titulli</w:t>
            </w:r>
          </w:p>
          <w:p w14:paraId="2E9C3C41" w14:textId="77777777" w:rsidR="00847F23" w:rsidRPr="00913E39" w:rsidRDefault="00847F23" w:rsidP="00693B1A">
            <w:pPr>
              <w:spacing w:after="0" w:line="240" w:lineRule="auto"/>
              <w:jc w:val="both"/>
              <w:rPr>
                <w:rFonts w:ascii="Garamond" w:hAnsi="Garamond"/>
                <w:b/>
                <w:sz w:val="18"/>
              </w:rPr>
            </w:pP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3AC05C30" w14:textId="20067681" w:rsidR="00847F23" w:rsidRPr="00913E39" w:rsidRDefault="00847F23" w:rsidP="00693B1A">
            <w:pPr>
              <w:spacing w:after="0" w:line="240" w:lineRule="auto"/>
              <w:jc w:val="both"/>
              <w:rPr>
                <w:rFonts w:ascii="Garamond" w:hAnsi="Garamond"/>
                <w:sz w:val="18"/>
              </w:rPr>
            </w:pPr>
            <w:r w:rsidRPr="00913E39">
              <w:rPr>
                <w:rFonts w:ascii="Garamond" w:hAnsi="Garamond"/>
                <w:sz w:val="18"/>
              </w:rPr>
              <w:t>Programi Operacional Shumëvjeçar për Ekonominë dhe Shoqërinë Digjitale për Republikën e Shqipërisë për 2024-2027</w:t>
            </w:r>
          </w:p>
        </w:tc>
      </w:tr>
      <w:tr w:rsidR="00847F23" w:rsidRPr="00913E39" w14:paraId="1D355FE7"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329F9FDB" w14:textId="77777777" w:rsidR="00847F23" w:rsidRPr="00913E39" w:rsidRDefault="00847F23" w:rsidP="00693B1A">
            <w:pPr>
              <w:spacing w:after="0" w:line="240" w:lineRule="auto"/>
              <w:jc w:val="both"/>
              <w:rPr>
                <w:rFonts w:ascii="Garamond" w:hAnsi="Garamond"/>
                <w:b/>
                <w:sz w:val="18"/>
              </w:rPr>
            </w:pPr>
            <w:r w:rsidRPr="00913E39">
              <w:rPr>
                <w:rFonts w:ascii="Garamond" w:hAnsi="Garamond"/>
                <w:b/>
                <w:sz w:val="18"/>
              </w:rPr>
              <w:t xml:space="preserve">OPSYS </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30C465A2"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AKT-i-62477</w:t>
            </w:r>
          </w:p>
          <w:p w14:paraId="797BCB5B" w14:textId="420D5115" w:rsidR="00847F23" w:rsidRPr="00913E39" w:rsidRDefault="00847F23" w:rsidP="00294D56">
            <w:pPr>
              <w:spacing w:after="0" w:line="240" w:lineRule="auto"/>
              <w:jc w:val="both"/>
              <w:rPr>
                <w:rFonts w:ascii="Garamond" w:hAnsi="Garamond"/>
                <w:sz w:val="18"/>
              </w:rPr>
            </w:pPr>
            <w:r w:rsidRPr="00913E39">
              <w:rPr>
                <w:rFonts w:ascii="Garamond" w:hAnsi="Garamond"/>
                <w:sz w:val="18"/>
              </w:rPr>
              <w:lastRenderedPageBreak/>
              <w:t>JAD.1421641 – alokimi 2024-2027</w:t>
            </w:r>
          </w:p>
        </w:tc>
      </w:tr>
      <w:tr w:rsidR="00847F23" w:rsidRPr="00913E39" w14:paraId="4D74D577"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23ACEA20" w14:textId="77777777" w:rsidR="00847F23" w:rsidRPr="00913E39" w:rsidRDefault="00847F23" w:rsidP="00693B1A">
            <w:pPr>
              <w:spacing w:after="0" w:line="240" w:lineRule="auto"/>
              <w:jc w:val="both"/>
              <w:rPr>
                <w:rFonts w:ascii="Garamond" w:hAnsi="Garamond"/>
                <w:b/>
                <w:sz w:val="18"/>
              </w:rPr>
            </w:pPr>
            <w:r w:rsidRPr="00913E39">
              <w:rPr>
                <w:rFonts w:ascii="Garamond" w:hAnsi="Garamond"/>
                <w:b/>
                <w:sz w:val="18"/>
              </w:rPr>
              <w:lastRenderedPageBreak/>
              <w:t>ABAC</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3B9E92DC"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Niveli 1 i angazhimit ABAC numër: JAD.1421641</w:t>
            </w:r>
          </w:p>
        </w:tc>
      </w:tr>
      <w:tr w:rsidR="00847F23" w:rsidRPr="00913E39" w14:paraId="55D48D60"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162E2461" w14:textId="77777777" w:rsidR="00847F23" w:rsidRPr="00913E39" w:rsidRDefault="00847F23" w:rsidP="00693B1A">
            <w:pPr>
              <w:spacing w:after="0" w:line="240" w:lineRule="auto"/>
              <w:jc w:val="both"/>
              <w:rPr>
                <w:rFonts w:ascii="Garamond" w:hAnsi="Garamond"/>
                <w:b/>
                <w:sz w:val="18"/>
              </w:rPr>
            </w:pPr>
            <w:r w:rsidRPr="00913E39">
              <w:rPr>
                <w:rFonts w:ascii="Garamond" w:hAnsi="Garamond"/>
                <w:b/>
                <w:sz w:val="18"/>
              </w:rPr>
              <w:t>Akti bazë</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0336512B" w14:textId="688994A1"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Financuar sipas Instrumentit të Ndihmës </w:t>
            </w:r>
            <w:r w:rsidR="00A73C88" w:rsidRPr="00913E39">
              <w:rPr>
                <w:rFonts w:ascii="Garamond" w:hAnsi="Garamond"/>
                <w:sz w:val="18"/>
              </w:rPr>
              <w:t xml:space="preserve">së </w:t>
            </w:r>
            <w:r w:rsidR="00A7726A" w:rsidRPr="00913E39">
              <w:rPr>
                <w:rFonts w:ascii="Garamond" w:hAnsi="Garamond"/>
                <w:sz w:val="18"/>
              </w:rPr>
              <w:t xml:space="preserve">Paraaderimit </w:t>
            </w:r>
            <w:r w:rsidRPr="00913E39">
              <w:rPr>
                <w:rFonts w:ascii="Garamond" w:hAnsi="Garamond"/>
                <w:sz w:val="18"/>
              </w:rPr>
              <w:t>(IPA III)</w:t>
            </w:r>
          </w:p>
        </w:tc>
      </w:tr>
      <w:tr w:rsidR="00847F23" w:rsidRPr="00913E39" w14:paraId="5FBD599C"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564082E7" w14:textId="784F94A5" w:rsidR="00847F23" w:rsidRPr="00913E39" w:rsidRDefault="00847F23" w:rsidP="00693B1A">
            <w:pPr>
              <w:spacing w:after="0" w:line="240" w:lineRule="auto"/>
              <w:jc w:val="both"/>
              <w:rPr>
                <w:rFonts w:ascii="Garamond" w:hAnsi="Garamond"/>
                <w:b/>
                <w:sz w:val="18"/>
              </w:rPr>
            </w:pPr>
            <w:r w:rsidRPr="00913E39">
              <w:rPr>
                <w:rFonts w:ascii="Garamond" w:hAnsi="Garamond"/>
                <w:b/>
                <w:sz w:val="18"/>
              </w:rPr>
              <w:t xml:space="preserve">Ekipi </w:t>
            </w:r>
            <w:r w:rsidR="005A72A1" w:rsidRPr="00913E39">
              <w:rPr>
                <w:rFonts w:ascii="Garamond" w:hAnsi="Garamond"/>
                <w:b/>
                <w:sz w:val="18"/>
              </w:rPr>
              <w:t>e</w:t>
            </w:r>
            <w:r w:rsidRPr="00913E39">
              <w:rPr>
                <w:rFonts w:ascii="Garamond" w:hAnsi="Garamond"/>
                <w:b/>
                <w:sz w:val="18"/>
              </w:rPr>
              <w:t xml:space="preserve">vropian </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03EABF66" w14:textId="13EC7BFB" w:rsidR="00847F23" w:rsidRPr="00913E39" w:rsidRDefault="00847F23" w:rsidP="00294D56">
            <w:pPr>
              <w:spacing w:after="0" w:line="240" w:lineRule="auto"/>
              <w:jc w:val="both"/>
              <w:rPr>
                <w:rFonts w:ascii="Garamond" w:hAnsi="Garamond"/>
                <w:sz w:val="18"/>
              </w:rPr>
            </w:pPr>
            <w:r w:rsidRPr="00913E39">
              <w:rPr>
                <w:rFonts w:ascii="Garamond" w:hAnsi="Garamond"/>
                <w:sz w:val="18"/>
              </w:rPr>
              <w:t>Jo</w:t>
            </w:r>
          </w:p>
        </w:tc>
      </w:tr>
      <w:tr w:rsidR="00847F23" w:rsidRPr="00913E39" w14:paraId="400D9963"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7E23A04B" w14:textId="77777777" w:rsidR="00847F23" w:rsidRPr="00913E39" w:rsidRDefault="00847F23" w:rsidP="00693B1A">
            <w:pPr>
              <w:spacing w:after="0" w:line="240" w:lineRule="auto"/>
              <w:jc w:val="both"/>
              <w:rPr>
                <w:rFonts w:ascii="Garamond" w:hAnsi="Garamond"/>
                <w:b/>
                <w:sz w:val="18"/>
              </w:rPr>
            </w:pPr>
            <w:r w:rsidRPr="00913E39">
              <w:rPr>
                <w:rFonts w:ascii="Garamond" w:hAnsi="Garamond"/>
                <w:b/>
                <w:sz w:val="18"/>
              </w:rPr>
              <w:t>Përfituesit e IPA III</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37C9494B"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Shqipëri</w:t>
            </w:r>
          </w:p>
        </w:tc>
      </w:tr>
      <w:tr w:rsidR="00847F23" w:rsidRPr="00913E39" w14:paraId="6FC930BA"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64C24E51" w14:textId="77777777" w:rsidR="00847F23" w:rsidRPr="00913E39" w:rsidRDefault="00847F23" w:rsidP="00693B1A">
            <w:pPr>
              <w:spacing w:after="0" w:line="240" w:lineRule="auto"/>
              <w:jc w:val="both"/>
              <w:rPr>
                <w:rFonts w:ascii="Garamond" w:hAnsi="Garamond"/>
                <w:b/>
                <w:sz w:val="18"/>
              </w:rPr>
            </w:pPr>
            <w:r w:rsidRPr="00913E39">
              <w:rPr>
                <w:rFonts w:ascii="Garamond" w:hAnsi="Garamond"/>
                <w:b/>
                <w:sz w:val="18"/>
              </w:rPr>
              <w:t>Dokumenti i programit</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0D437416"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Kuadri i Programimit IPA III</w:t>
            </w:r>
          </w:p>
        </w:tc>
      </w:tr>
      <w:tr w:rsidR="00847F23" w:rsidRPr="00913E39" w14:paraId="272834D1" w14:textId="77777777" w:rsidTr="00693B1A">
        <w:trPr>
          <w:trHeight w:val="20"/>
        </w:trPr>
        <w:tc>
          <w:tcPr>
            <w:tcW w:w="9192" w:type="dxa"/>
            <w:gridSpan w:val="6"/>
            <w:tcBorders>
              <w:top w:val="single" w:sz="4" w:space="0" w:color="auto"/>
              <w:left w:val="single" w:sz="4" w:space="0" w:color="auto"/>
              <w:bottom w:val="single" w:sz="4" w:space="0" w:color="auto"/>
              <w:right w:val="single" w:sz="4" w:space="0" w:color="auto"/>
            </w:tcBorders>
            <w:shd w:val="clear" w:color="auto" w:fill="auto"/>
          </w:tcPr>
          <w:p w14:paraId="145F4D61" w14:textId="77777777" w:rsidR="00847F23" w:rsidRPr="00913E39" w:rsidRDefault="00847F23" w:rsidP="00693B1A">
            <w:pPr>
              <w:spacing w:after="0" w:line="240" w:lineRule="auto"/>
              <w:jc w:val="both"/>
              <w:rPr>
                <w:rFonts w:ascii="Garamond" w:hAnsi="Garamond"/>
                <w:b/>
                <w:sz w:val="18"/>
              </w:rPr>
            </w:pPr>
            <w:r w:rsidRPr="00913E39">
              <w:rPr>
                <w:rFonts w:ascii="Garamond" w:hAnsi="Garamond"/>
                <w:b/>
                <w:sz w:val="18"/>
              </w:rPr>
              <w:t>INFORMACION PËR FUSHAT PRIORITARE DHE SEKTORËT</w:t>
            </w:r>
          </w:p>
        </w:tc>
      </w:tr>
      <w:tr w:rsidR="00A56912" w:rsidRPr="00913E39" w14:paraId="309AB1AC" w14:textId="77777777" w:rsidTr="00093AA8">
        <w:trPr>
          <w:trHeight w:val="58"/>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4C7F00B4" w14:textId="77777777" w:rsidR="00847F23" w:rsidRPr="00913E39" w:rsidRDefault="00847F23" w:rsidP="00093AA8">
            <w:pPr>
              <w:spacing w:after="0" w:line="240" w:lineRule="auto"/>
              <w:rPr>
                <w:rFonts w:ascii="Garamond" w:hAnsi="Garamond"/>
                <w:b/>
                <w:sz w:val="18"/>
              </w:rPr>
            </w:pPr>
            <w:r w:rsidRPr="00913E39">
              <w:rPr>
                <w:rFonts w:ascii="Garamond" w:hAnsi="Garamond"/>
                <w:b/>
                <w:sz w:val="18"/>
              </w:rPr>
              <w:t>Fusha dhe prioritetet kryesore</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3F4ADDDF"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Fusha 3: Agjenda e Gjelbër dhe LidhjaLidhja e Qëndrueshme</w:t>
            </w:r>
          </w:p>
          <w:p w14:paraId="362E7DBE"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Prioriteti kryesor 2: Transporti, Ekonomia Digjitaledhe Shoqëria Digjitale </w:t>
            </w:r>
          </w:p>
        </w:tc>
      </w:tr>
      <w:tr w:rsidR="00847F23" w:rsidRPr="00913E39" w14:paraId="765DDBD2"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399EF08C" w14:textId="6CB86610" w:rsidR="00847F23" w:rsidRPr="00913E39" w:rsidRDefault="00847F23" w:rsidP="00093AA8">
            <w:pPr>
              <w:spacing w:after="0" w:line="240" w:lineRule="auto"/>
              <w:rPr>
                <w:rFonts w:ascii="Garamond" w:hAnsi="Garamond"/>
                <w:b/>
                <w:sz w:val="18"/>
              </w:rPr>
            </w:pPr>
            <w:r w:rsidRPr="00913E39">
              <w:rPr>
                <w:rFonts w:ascii="Garamond" w:hAnsi="Garamond"/>
                <w:b/>
                <w:sz w:val="18"/>
              </w:rPr>
              <w:t xml:space="preserve">Objektivat e </w:t>
            </w:r>
            <w:r w:rsidR="00093AA8" w:rsidRPr="00913E39">
              <w:rPr>
                <w:rFonts w:ascii="Garamond" w:hAnsi="Garamond"/>
                <w:b/>
                <w:sz w:val="18"/>
              </w:rPr>
              <w:t>zhvillimit të qëndr</w:t>
            </w:r>
            <w:r w:rsidRPr="00913E39">
              <w:rPr>
                <w:rFonts w:ascii="Garamond" w:hAnsi="Garamond"/>
                <w:b/>
                <w:sz w:val="18"/>
              </w:rPr>
              <w:t>ueshëm (OZHQ)</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217EF544"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OZHQ-ja kryesore: OZHQ 9</w:t>
            </w:r>
          </w:p>
          <w:p w14:paraId="1E93F358"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OZHQ-ë të tjera:</w:t>
            </w:r>
          </w:p>
          <w:p w14:paraId="2CEB2EF1"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OZHQ 4: Arsimi</w:t>
            </w:r>
          </w:p>
          <w:p w14:paraId="5574A153" w14:textId="5859E2F0" w:rsidR="00847F23" w:rsidRPr="00913E39" w:rsidRDefault="00847F23" w:rsidP="00294D56">
            <w:pPr>
              <w:spacing w:after="0" w:line="240" w:lineRule="auto"/>
              <w:jc w:val="both"/>
              <w:rPr>
                <w:rFonts w:ascii="Garamond" w:hAnsi="Garamond"/>
                <w:sz w:val="18"/>
                <w:highlight w:val="yellow"/>
              </w:rPr>
            </w:pPr>
            <w:r w:rsidRPr="00913E39">
              <w:rPr>
                <w:rFonts w:ascii="Garamond" w:hAnsi="Garamond"/>
                <w:sz w:val="18"/>
              </w:rPr>
              <w:t xml:space="preserve">OZHQ 3: Shëndeti i </w:t>
            </w:r>
            <w:r w:rsidR="00A7726A" w:rsidRPr="00913E39">
              <w:rPr>
                <w:rFonts w:ascii="Garamond" w:hAnsi="Garamond"/>
                <w:sz w:val="18"/>
              </w:rPr>
              <w:t>mirë</w:t>
            </w:r>
          </w:p>
        </w:tc>
      </w:tr>
      <w:tr w:rsidR="00847F23" w:rsidRPr="00913E39" w14:paraId="5F5DD6A5"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09C6EBFF" w14:textId="77777777" w:rsidR="00847F23" w:rsidRPr="00913E39" w:rsidRDefault="00847F23" w:rsidP="00093AA8">
            <w:pPr>
              <w:spacing w:after="0" w:line="240" w:lineRule="auto"/>
              <w:rPr>
                <w:rFonts w:ascii="Garamond" w:hAnsi="Garamond"/>
                <w:b/>
                <w:sz w:val="18"/>
              </w:rPr>
            </w:pPr>
            <w:r w:rsidRPr="00913E39">
              <w:rPr>
                <w:rFonts w:ascii="Garamond" w:hAnsi="Garamond"/>
                <w:b/>
                <w:sz w:val="18"/>
              </w:rPr>
              <w:t>Kodi (kodet) DAC</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2F584DE9"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Kodet kryesore DAC – 22040 - ITC – 50 %</w:t>
            </w:r>
          </w:p>
          <w:p w14:paraId="69B1A6EE" w14:textId="3095C631" w:rsidR="00847F23" w:rsidRPr="00913E39" w:rsidRDefault="00847F23" w:rsidP="00693B1A">
            <w:pPr>
              <w:spacing w:after="0" w:line="240" w:lineRule="auto"/>
              <w:jc w:val="both"/>
              <w:rPr>
                <w:rFonts w:ascii="Garamond" w:hAnsi="Garamond"/>
                <w:sz w:val="18"/>
                <w:vertAlign w:val="superscript"/>
              </w:rPr>
            </w:pPr>
            <w:r w:rsidRPr="00913E39">
              <w:rPr>
                <w:rFonts w:ascii="Garamond" w:hAnsi="Garamond"/>
                <w:sz w:val="18"/>
              </w:rPr>
              <w:t>Kodi mbështetës 1 – 430 - Sektorë të tjerë – 50%</w:t>
            </w:r>
          </w:p>
        </w:tc>
      </w:tr>
      <w:tr w:rsidR="00847F23" w:rsidRPr="00913E39" w14:paraId="641AC5F6"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2E005E25" w14:textId="77777777" w:rsidR="00847F23" w:rsidRPr="00913E39" w:rsidRDefault="00847F23" w:rsidP="00093AA8">
            <w:pPr>
              <w:spacing w:after="0" w:line="240" w:lineRule="auto"/>
              <w:rPr>
                <w:rFonts w:ascii="Garamond" w:hAnsi="Garamond"/>
                <w:b/>
                <w:sz w:val="18"/>
              </w:rPr>
            </w:pPr>
            <w:r w:rsidRPr="00913E39">
              <w:rPr>
                <w:rFonts w:ascii="Garamond" w:hAnsi="Garamond"/>
                <w:b/>
                <w:sz w:val="18"/>
              </w:rPr>
              <w:t xml:space="preserve">Rruga kryesore e komunikimit </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5F2881FD"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Qeverisja qendrore - 12000</w:t>
            </w:r>
          </w:p>
          <w:p w14:paraId="300FAADE" w14:textId="77777777" w:rsidR="00847F23" w:rsidRPr="00913E39" w:rsidRDefault="00847F23" w:rsidP="00693B1A">
            <w:pPr>
              <w:spacing w:after="0" w:line="240" w:lineRule="auto"/>
              <w:jc w:val="both"/>
              <w:rPr>
                <w:rFonts w:ascii="Garamond" w:hAnsi="Garamond"/>
                <w:sz w:val="18"/>
              </w:rPr>
            </w:pPr>
          </w:p>
        </w:tc>
      </w:tr>
      <w:tr w:rsidR="00847F23" w:rsidRPr="00913E39" w14:paraId="69ED79BC"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72295ADC" w14:textId="77777777" w:rsidR="00847F23" w:rsidRPr="00913E39" w:rsidRDefault="00847F23" w:rsidP="00093AA8">
            <w:pPr>
              <w:spacing w:after="0" w:line="240" w:lineRule="auto"/>
              <w:rPr>
                <w:rFonts w:ascii="Garamond" w:hAnsi="Garamond"/>
                <w:b/>
                <w:sz w:val="18"/>
              </w:rPr>
            </w:pPr>
            <w:r w:rsidRPr="00913E39">
              <w:rPr>
                <w:rFonts w:ascii="Garamond" w:hAnsi="Garamond"/>
                <w:b/>
                <w:sz w:val="18"/>
              </w:rPr>
              <w:t>Fokusi</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378FAAB9"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r w:rsidRPr="00913E39">
              <w:rPr>
                <w:rFonts w:ascii="Garamond" w:hAnsi="Garamond"/>
                <w:sz w:val="18"/>
              </w:rPr>
              <w:t xml:space="preserve"> Klima</w:t>
            </w:r>
          </w:p>
          <w:p w14:paraId="1D955E57"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 Gjinia</w:t>
            </w:r>
          </w:p>
          <w:p w14:paraId="0650EF00"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r w:rsidRPr="00913E39">
              <w:rPr>
                <w:rFonts w:ascii="Garamond" w:hAnsi="Garamond"/>
                <w:sz w:val="18"/>
              </w:rPr>
              <w:t xml:space="preserve"> Biodiversiteti</w:t>
            </w:r>
          </w:p>
        </w:tc>
      </w:tr>
      <w:tr w:rsidR="00847F23" w:rsidRPr="00913E39" w14:paraId="4583067C" w14:textId="77777777" w:rsidTr="00693B1A">
        <w:trPr>
          <w:trHeight w:val="20"/>
        </w:trPr>
        <w:tc>
          <w:tcPr>
            <w:tcW w:w="2041" w:type="dxa"/>
            <w:vMerge w:val="restart"/>
            <w:tcBorders>
              <w:top w:val="single" w:sz="4" w:space="0" w:color="auto"/>
              <w:left w:val="single" w:sz="4" w:space="0" w:color="auto"/>
              <w:right w:val="single" w:sz="4" w:space="0" w:color="auto"/>
            </w:tcBorders>
            <w:shd w:val="clear" w:color="auto" w:fill="auto"/>
          </w:tcPr>
          <w:p w14:paraId="56641DFA"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 xml:space="preserve">Orientimet </w:t>
            </w:r>
          </w:p>
          <w:p w14:paraId="59DEE340" w14:textId="77777777" w:rsidR="00847F23" w:rsidRPr="00913E39" w:rsidRDefault="00847F23" w:rsidP="00693B1A">
            <w:pPr>
              <w:spacing w:after="0" w:line="240" w:lineRule="auto"/>
              <w:jc w:val="both"/>
              <w:rPr>
                <w:rFonts w:ascii="Garamond" w:hAnsi="Garamond"/>
                <w:b/>
                <w:sz w:val="18"/>
              </w:rPr>
            </w:pPr>
            <w:r w:rsidRPr="00913E39">
              <w:rPr>
                <w:rFonts w:ascii="Garamond" w:hAnsi="Garamond"/>
                <w:b/>
                <w:sz w:val="18"/>
              </w:rPr>
              <w:t xml:space="preserve"> (sipas formularit DAC)</w:t>
            </w: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56C0E983"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 xml:space="preserve">Objektivi i përgjithshëm i politikave </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41CB2992"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Pa objektiv</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2A069DDB"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 xml:space="preserve">Objektiv i rëndësishëm </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5AE2AFE7"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Objektiv parësor</w:t>
            </w:r>
          </w:p>
        </w:tc>
      </w:tr>
      <w:tr w:rsidR="00847F23" w:rsidRPr="00913E39" w14:paraId="23CE5648" w14:textId="77777777" w:rsidTr="00693B1A">
        <w:trPr>
          <w:trHeight w:val="20"/>
        </w:trPr>
        <w:tc>
          <w:tcPr>
            <w:tcW w:w="2041" w:type="dxa"/>
            <w:vMerge/>
          </w:tcPr>
          <w:p w14:paraId="4E9CAD85"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6BB9A56D"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Pjesëmarrje në zhvillim/ qeverisja e mirë</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4C0C25D5"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09143120"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66AD5CCF"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5A4DF343" w14:textId="77777777" w:rsidTr="00693B1A">
        <w:trPr>
          <w:trHeight w:val="20"/>
        </w:trPr>
        <w:tc>
          <w:tcPr>
            <w:tcW w:w="2041" w:type="dxa"/>
            <w:vMerge/>
          </w:tcPr>
          <w:p w14:paraId="3DD0BCE8"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0BEBE554"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Ndihma për mjedisin</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73C98135"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146EC937"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7929F94D"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5FDBCB7C" w14:textId="77777777" w:rsidTr="00693B1A">
        <w:trPr>
          <w:trHeight w:val="20"/>
        </w:trPr>
        <w:tc>
          <w:tcPr>
            <w:tcW w:w="2041" w:type="dxa"/>
            <w:vMerge/>
          </w:tcPr>
          <w:p w14:paraId="7B7A2794"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184D5B98"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Barazia gjinore, fuqizimi i grave dhe vajzave</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6ABF8F63"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51ECB982"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01958354"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74EDAC2D" w14:textId="77777777" w:rsidTr="00693B1A">
        <w:trPr>
          <w:trHeight w:val="20"/>
        </w:trPr>
        <w:tc>
          <w:tcPr>
            <w:tcW w:w="2041" w:type="dxa"/>
            <w:vMerge/>
          </w:tcPr>
          <w:p w14:paraId="0E1A4711"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21250F26"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Shëndeti riprodhues, i nënës, i të porsalindurit dhe i fëmijës</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25C2F295"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42E1066F"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4DC0B507"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6BF08D38" w14:textId="77777777" w:rsidTr="00693B1A">
        <w:trPr>
          <w:trHeight w:val="20"/>
        </w:trPr>
        <w:tc>
          <w:tcPr>
            <w:tcW w:w="2041" w:type="dxa"/>
            <w:vMerge/>
          </w:tcPr>
          <w:p w14:paraId="5CF323FF"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76B8CBF8" w14:textId="55797BF8"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Zbutja e rrezikshmërisë nga </w:t>
            </w:r>
            <w:r w:rsidR="00A7726A" w:rsidRPr="00913E39">
              <w:rPr>
                <w:rFonts w:ascii="Garamond" w:hAnsi="Garamond"/>
                <w:sz w:val="18"/>
              </w:rPr>
              <w:t>katastrofat</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2A75DD3C"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06B50F42"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6B16FCE3"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7BA22C64" w14:textId="77777777" w:rsidTr="00693B1A">
        <w:trPr>
          <w:trHeight w:val="20"/>
        </w:trPr>
        <w:tc>
          <w:tcPr>
            <w:tcW w:w="2041" w:type="dxa"/>
            <w:vMerge/>
          </w:tcPr>
          <w:p w14:paraId="066687D2"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tbl>
            <w:tblPr>
              <w:tblW w:w="2956" w:type="dxa"/>
              <w:tblCellSpacing w:w="0" w:type="dxa"/>
              <w:tblLayout w:type="fixed"/>
              <w:tblCellMar>
                <w:left w:w="0" w:type="dxa"/>
                <w:right w:w="0" w:type="dxa"/>
              </w:tblCellMar>
              <w:tblLook w:val="04A0" w:firstRow="1" w:lastRow="0" w:firstColumn="1" w:lastColumn="0" w:noHBand="0" w:noVBand="1"/>
            </w:tblPr>
            <w:tblGrid>
              <w:gridCol w:w="2956"/>
            </w:tblGrid>
            <w:tr w:rsidR="00847F23" w:rsidRPr="00913E39" w14:paraId="3D7B3E6C" w14:textId="77777777" w:rsidTr="00B27420">
              <w:trPr>
                <w:trHeight w:val="456"/>
                <w:tblCellSpacing w:w="0" w:type="dxa"/>
              </w:trPr>
              <w:tc>
                <w:tcPr>
                  <w:tcW w:w="5000" w:type="pct"/>
                  <w:vAlign w:val="center"/>
                </w:tcPr>
                <w:p w14:paraId="26753B1D" w14:textId="77777777" w:rsidR="00847F23" w:rsidRPr="00913E39" w:rsidRDefault="00847F23" w:rsidP="00693B1A">
                  <w:pPr>
                    <w:spacing w:after="0" w:line="240" w:lineRule="auto"/>
                    <w:jc w:val="both"/>
                    <w:rPr>
                      <w:rFonts w:ascii="Garamond" w:eastAsia="Times New Roman" w:hAnsi="Garamond" w:cs="Times New Roman"/>
                      <w:sz w:val="18"/>
                      <w:szCs w:val="20"/>
                    </w:rPr>
                  </w:pPr>
                  <w:r w:rsidRPr="00913E39">
                    <w:rPr>
                      <w:rFonts w:ascii="Garamond" w:eastAsia="Times New Roman" w:hAnsi="Garamond" w:cs="Times New Roman"/>
                      <w:sz w:val="18"/>
                      <w:szCs w:val="20"/>
                    </w:rPr>
                    <w:t>Përfshirja e personave me </w:t>
                  </w:r>
                </w:p>
                <w:p w14:paraId="7A69875F"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Aftësi të kufizuara</w:t>
                  </w:r>
                </w:p>
              </w:tc>
            </w:tr>
          </w:tbl>
          <w:p w14:paraId="3C169944" w14:textId="77777777" w:rsidR="00847F23" w:rsidRPr="00913E39" w:rsidRDefault="00847F23" w:rsidP="00693B1A">
            <w:pPr>
              <w:spacing w:after="0" w:line="240" w:lineRule="auto"/>
              <w:jc w:val="both"/>
              <w:rPr>
                <w:rFonts w:ascii="Garamond" w:hAnsi="Garamond"/>
                <w:sz w:val="18"/>
              </w:rPr>
            </w:pP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4A028BFC"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5EC12AEC"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33987A8C"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5483FA34" w14:textId="77777777" w:rsidTr="00693B1A">
        <w:trPr>
          <w:trHeight w:val="20"/>
        </w:trPr>
        <w:tc>
          <w:tcPr>
            <w:tcW w:w="2041" w:type="dxa"/>
            <w:vMerge/>
          </w:tcPr>
          <w:p w14:paraId="178DE8E0"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3A2B8642"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Të ushqyerit</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32CA6440"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1974AFAA"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2C83BA04"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0CFC65B7" w14:textId="77777777" w:rsidTr="00693B1A">
        <w:trPr>
          <w:trHeight w:val="20"/>
        </w:trPr>
        <w:tc>
          <w:tcPr>
            <w:tcW w:w="2041" w:type="dxa"/>
            <w:vMerge/>
          </w:tcPr>
          <w:p w14:paraId="6622730E"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52A4DBF1"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 xml:space="preserve"> Orientimet e Konventës RIO </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1996900F"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Pa objektiv</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40214B51"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Objektiv i rëndësishëm domethënës</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58534149"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Objektiv parësor</w:t>
            </w:r>
          </w:p>
        </w:tc>
      </w:tr>
      <w:tr w:rsidR="00847F23" w:rsidRPr="00913E39" w14:paraId="73776B37" w14:textId="77777777" w:rsidTr="00693B1A">
        <w:trPr>
          <w:trHeight w:val="20"/>
        </w:trPr>
        <w:tc>
          <w:tcPr>
            <w:tcW w:w="2041" w:type="dxa"/>
            <w:vMerge/>
          </w:tcPr>
          <w:p w14:paraId="49D6C8F0"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4FE78683"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Biodiversiteti</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00203BF1"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6FA832B0"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22AD753D"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2489F535" w14:textId="77777777" w:rsidTr="00693B1A">
        <w:trPr>
          <w:trHeight w:val="20"/>
        </w:trPr>
        <w:tc>
          <w:tcPr>
            <w:tcW w:w="2041" w:type="dxa"/>
            <w:vMerge/>
          </w:tcPr>
          <w:p w14:paraId="475916D0"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3FCD10E4"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Lufta ndaj thatësirës</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390DC0D0"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5FAAB810"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3364291C"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58370A30" w14:textId="77777777" w:rsidTr="00693B1A">
        <w:trPr>
          <w:trHeight w:val="20"/>
        </w:trPr>
        <w:tc>
          <w:tcPr>
            <w:tcW w:w="2041" w:type="dxa"/>
            <w:vMerge/>
          </w:tcPr>
          <w:p w14:paraId="5B90CA85"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5CB6291B"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Zbutja e ndryshimeve klimatike</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5353D403"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51F963CF"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6776EB8A"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484FAF28" w14:textId="77777777" w:rsidTr="00693B1A">
        <w:trPr>
          <w:trHeight w:val="20"/>
        </w:trPr>
        <w:tc>
          <w:tcPr>
            <w:tcW w:w="2041" w:type="dxa"/>
            <w:vMerge/>
          </w:tcPr>
          <w:p w14:paraId="528EB358"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478323FD"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Përshtatja ndaj ndryshimeve klimatike</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0D0885C4"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1B00766A"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7BCB7B8C"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0A00F139" w14:textId="77777777" w:rsidTr="00693B1A">
        <w:trPr>
          <w:trHeight w:val="20"/>
        </w:trPr>
        <w:tc>
          <w:tcPr>
            <w:tcW w:w="2041" w:type="dxa"/>
            <w:vMerge w:val="restart"/>
            <w:tcBorders>
              <w:top w:val="single" w:sz="4" w:space="0" w:color="auto"/>
              <w:left w:val="single" w:sz="4" w:space="0" w:color="auto"/>
              <w:right w:val="single" w:sz="4" w:space="0" w:color="auto"/>
            </w:tcBorders>
            <w:shd w:val="clear" w:color="auto" w:fill="auto"/>
          </w:tcPr>
          <w:p w14:paraId="33FF70C4" w14:textId="77777777" w:rsidR="00847F23" w:rsidRPr="00913E39" w:rsidRDefault="00847F23" w:rsidP="00A7726A">
            <w:pPr>
              <w:spacing w:after="0" w:line="240" w:lineRule="auto"/>
              <w:rPr>
                <w:rFonts w:ascii="Garamond" w:hAnsi="Garamond"/>
                <w:b/>
                <w:sz w:val="18"/>
              </w:rPr>
            </w:pPr>
            <w:r w:rsidRPr="00913E39">
              <w:rPr>
                <w:rFonts w:ascii="Garamond" w:hAnsi="Garamond"/>
                <w:b/>
                <w:sz w:val="18"/>
              </w:rPr>
              <w:t>Orientimet e brendshme dhe treguesit</w:t>
            </w: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6995E3DF"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Objektivat e politikave</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3653C598"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Nuk synohet</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46D01B0E"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Objektiv domethënës</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38AAC2D3"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Objektiv parësor</w:t>
            </w:r>
          </w:p>
        </w:tc>
      </w:tr>
      <w:tr w:rsidR="00847F23" w:rsidRPr="00913E39" w14:paraId="104CBDD2" w14:textId="77777777" w:rsidTr="00693B1A">
        <w:trPr>
          <w:trHeight w:val="20"/>
        </w:trPr>
        <w:tc>
          <w:tcPr>
            <w:tcW w:w="2041" w:type="dxa"/>
            <w:vMerge/>
          </w:tcPr>
          <w:p w14:paraId="6132BFA4"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72EEEFA9"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Digjitalizimi</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536D149D"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1ABCAC5F"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532D6A1D"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r>
      <w:tr w:rsidR="00847F23" w:rsidRPr="00913E39" w14:paraId="4399181F" w14:textId="77777777" w:rsidTr="00693B1A">
        <w:trPr>
          <w:trHeight w:val="20"/>
        </w:trPr>
        <w:tc>
          <w:tcPr>
            <w:tcW w:w="2041" w:type="dxa"/>
            <w:vMerge/>
          </w:tcPr>
          <w:p w14:paraId="6B1AC840"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7D812A78" w14:textId="0C6C39B1" w:rsidR="00847F23" w:rsidRPr="00913E39" w:rsidRDefault="00847F23" w:rsidP="00693B1A">
            <w:pPr>
              <w:spacing w:after="0" w:line="240" w:lineRule="auto"/>
              <w:jc w:val="both"/>
              <w:rPr>
                <w:rFonts w:ascii="Garamond" w:hAnsi="Garamond"/>
                <w:sz w:val="18"/>
              </w:rPr>
            </w:pPr>
            <w:r w:rsidRPr="00913E39">
              <w:rPr>
                <w:rFonts w:ascii="Garamond" w:hAnsi="Garamond"/>
                <w:sz w:val="18"/>
              </w:rPr>
              <w:t>Treguesit</w:t>
            </w:r>
            <w:r w:rsidR="00662001" w:rsidRPr="00913E39">
              <w:rPr>
                <w:rFonts w:ascii="Garamond" w:hAnsi="Garamond"/>
                <w:sz w:val="18"/>
              </w:rPr>
              <w:t>:</w:t>
            </w:r>
          </w:p>
          <w:p w14:paraId="5F473B19" w14:textId="77502C96" w:rsidR="00847F23" w:rsidRPr="00913E39" w:rsidRDefault="00662001" w:rsidP="00693B1A">
            <w:pPr>
              <w:spacing w:after="0" w:line="240" w:lineRule="auto"/>
              <w:jc w:val="both"/>
              <w:rPr>
                <w:rFonts w:ascii="Garamond" w:hAnsi="Garamond"/>
                <w:sz w:val="18"/>
              </w:rPr>
            </w:pPr>
            <w:r w:rsidRPr="00913E39">
              <w:rPr>
                <w:rFonts w:ascii="Garamond" w:hAnsi="Garamond"/>
                <w:sz w:val="18"/>
              </w:rPr>
              <w:t xml:space="preserve">    ndërlidhja digjitale</w:t>
            </w:r>
          </w:p>
          <w:p w14:paraId="4AB31183" w14:textId="6A76405C" w:rsidR="00847F23" w:rsidRPr="00913E39" w:rsidRDefault="00662001" w:rsidP="00693B1A">
            <w:pPr>
              <w:spacing w:after="0" w:line="240" w:lineRule="auto"/>
              <w:jc w:val="both"/>
              <w:rPr>
                <w:rFonts w:ascii="Garamond" w:hAnsi="Garamond"/>
                <w:sz w:val="18"/>
              </w:rPr>
            </w:pPr>
            <w:r w:rsidRPr="00913E39">
              <w:rPr>
                <w:rFonts w:ascii="Garamond" w:hAnsi="Garamond"/>
                <w:sz w:val="18"/>
              </w:rPr>
              <w:t xml:space="preserve">    qeverisja </w:t>
            </w:r>
            <w:r w:rsidR="00847F23" w:rsidRPr="00913E39">
              <w:rPr>
                <w:rFonts w:ascii="Garamond" w:hAnsi="Garamond"/>
                <w:sz w:val="18"/>
              </w:rPr>
              <w:t xml:space="preserve">digjitale </w:t>
            </w:r>
          </w:p>
          <w:p w14:paraId="52B3A9DA"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    sipërmarrja digjitale</w:t>
            </w:r>
          </w:p>
          <w:p w14:paraId="5187F32D"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    aftësitë/njohuritë digjital</w:t>
            </w:r>
          </w:p>
          <w:p w14:paraId="6788DD29"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    shërbimet digjitale</w:t>
            </w:r>
          </w:p>
        </w:tc>
        <w:tc>
          <w:tcPr>
            <w:tcW w:w="2050" w:type="dxa"/>
            <w:gridSpan w:val="2"/>
            <w:tcBorders>
              <w:top w:val="single" w:sz="4" w:space="0" w:color="auto"/>
              <w:left w:val="single" w:sz="4" w:space="0" w:color="auto"/>
              <w:bottom w:val="single" w:sz="4" w:space="0" w:color="auto"/>
            </w:tcBorders>
            <w:shd w:val="clear" w:color="auto" w:fill="auto"/>
          </w:tcPr>
          <w:p w14:paraId="0899699B"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PO</w:t>
            </w:r>
          </w:p>
          <w:p w14:paraId="00750E85"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p w14:paraId="25BAA211"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p w14:paraId="03E81DED"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p w14:paraId="7AD0D177"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p w14:paraId="3800CBE9"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2050" w:type="dxa"/>
            <w:gridSpan w:val="2"/>
            <w:tcBorders>
              <w:top w:val="single" w:sz="4" w:space="0" w:color="auto"/>
              <w:bottom w:val="single" w:sz="4" w:space="0" w:color="auto"/>
              <w:right w:val="single" w:sz="4" w:space="0" w:color="auto"/>
            </w:tcBorders>
            <w:shd w:val="clear" w:color="auto" w:fill="auto"/>
          </w:tcPr>
          <w:p w14:paraId="119B8DAD"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JO</w:t>
            </w:r>
          </w:p>
          <w:p w14:paraId="1796EC22"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p w14:paraId="13ED965E"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p w14:paraId="1CAE489A"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p w14:paraId="6523F51D"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p w14:paraId="4149B45D" w14:textId="5FA5F09A" w:rsidR="00847F23" w:rsidRPr="00913E39" w:rsidRDefault="00847F23" w:rsidP="005A72A1">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72B7108A" w14:textId="77777777" w:rsidTr="00693B1A">
        <w:trPr>
          <w:trHeight w:val="20"/>
        </w:trPr>
        <w:tc>
          <w:tcPr>
            <w:tcW w:w="2041" w:type="dxa"/>
            <w:vMerge/>
          </w:tcPr>
          <w:p w14:paraId="633F29E9"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0937C8E2"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Ndërlidhja</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3C223588"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076C7B6D"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67C7AFFB"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r>
      <w:tr w:rsidR="00847F23" w:rsidRPr="00913E39" w14:paraId="68213D41" w14:textId="77777777" w:rsidTr="00693B1A">
        <w:trPr>
          <w:trHeight w:val="20"/>
        </w:trPr>
        <w:tc>
          <w:tcPr>
            <w:tcW w:w="2041" w:type="dxa"/>
            <w:vMerge/>
          </w:tcPr>
          <w:p w14:paraId="74026E99"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1C59D626" w14:textId="55900AE6" w:rsidR="00847F23" w:rsidRPr="00913E39" w:rsidRDefault="00847F23" w:rsidP="00693B1A">
            <w:pPr>
              <w:spacing w:after="0" w:line="240" w:lineRule="auto"/>
              <w:jc w:val="both"/>
              <w:rPr>
                <w:rFonts w:ascii="Garamond" w:hAnsi="Garamond"/>
                <w:sz w:val="18"/>
              </w:rPr>
            </w:pPr>
            <w:r w:rsidRPr="00913E39">
              <w:rPr>
                <w:rFonts w:ascii="Garamond" w:hAnsi="Garamond"/>
                <w:sz w:val="18"/>
              </w:rPr>
              <w:t>Treguesit</w:t>
            </w:r>
            <w:r w:rsidR="00662001" w:rsidRPr="00913E39">
              <w:rPr>
                <w:rFonts w:ascii="Garamond" w:hAnsi="Garamond"/>
                <w:sz w:val="18"/>
              </w:rPr>
              <w:t>:</w:t>
            </w:r>
          </w:p>
          <w:p w14:paraId="3D793F4E" w14:textId="7C1443A3"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    </w:t>
            </w:r>
            <w:r w:rsidR="00662001" w:rsidRPr="00913E39">
              <w:rPr>
                <w:rFonts w:ascii="Garamond" w:hAnsi="Garamond"/>
                <w:sz w:val="18"/>
              </w:rPr>
              <w:t xml:space="preserve">ndërlidhja </w:t>
            </w:r>
            <w:r w:rsidRPr="00913E39">
              <w:rPr>
                <w:rFonts w:ascii="Garamond" w:hAnsi="Garamond"/>
                <w:sz w:val="18"/>
              </w:rPr>
              <w:t>digjitale</w:t>
            </w:r>
          </w:p>
          <w:p w14:paraId="6F7E6275"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     energjia</w:t>
            </w:r>
          </w:p>
          <w:p w14:paraId="5E941B83"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     transporti</w:t>
            </w:r>
          </w:p>
          <w:p w14:paraId="72F057EA"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     shëndeti</w:t>
            </w:r>
          </w:p>
          <w:p w14:paraId="0969985C" w14:textId="65EEF1C7"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     arsimi dhe kërkimi shkencor</w:t>
            </w:r>
          </w:p>
        </w:tc>
        <w:tc>
          <w:tcPr>
            <w:tcW w:w="2050" w:type="dxa"/>
            <w:gridSpan w:val="2"/>
            <w:tcBorders>
              <w:top w:val="single" w:sz="4" w:space="0" w:color="auto"/>
              <w:left w:val="single" w:sz="4" w:space="0" w:color="auto"/>
              <w:bottom w:val="single" w:sz="4" w:space="0" w:color="auto"/>
              <w:right w:val="single" w:sz="4" w:space="0" w:color="FFFFFF"/>
            </w:tcBorders>
            <w:shd w:val="clear" w:color="auto" w:fill="auto"/>
          </w:tcPr>
          <w:p w14:paraId="3306A7B6"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PO</w:t>
            </w:r>
          </w:p>
          <w:p w14:paraId="215CC3FD"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p w14:paraId="7ED796B3"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p w14:paraId="2FBD5068"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p w14:paraId="0CC27788"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p w14:paraId="1B705667" w14:textId="7701EE75" w:rsidR="00847F23" w:rsidRPr="00913E39" w:rsidRDefault="00847F23" w:rsidP="00294D56">
            <w:pPr>
              <w:spacing w:after="0" w:line="240" w:lineRule="auto"/>
              <w:jc w:val="both"/>
              <w:rPr>
                <w:rFonts w:ascii="Garamond" w:hAnsi="Garamond"/>
                <w:sz w:val="18"/>
              </w:rPr>
            </w:pPr>
            <w:r w:rsidRPr="00913E39">
              <w:rPr>
                <w:rFonts w:ascii="Garamond" w:hAnsi="Garamond"/>
                <w:sz w:val="18"/>
              </w:rPr>
              <w:t>X</w:t>
            </w:r>
          </w:p>
        </w:tc>
        <w:tc>
          <w:tcPr>
            <w:tcW w:w="2050" w:type="dxa"/>
            <w:gridSpan w:val="2"/>
            <w:tcBorders>
              <w:top w:val="single" w:sz="4" w:space="0" w:color="auto"/>
              <w:left w:val="single" w:sz="4" w:space="0" w:color="FFFFFF"/>
              <w:bottom w:val="single" w:sz="4" w:space="0" w:color="auto"/>
              <w:right w:val="single" w:sz="4" w:space="0" w:color="auto"/>
            </w:tcBorders>
            <w:shd w:val="clear" w:color="auto" w:fill="auto"/>
          </w:tcPr>
          <w:p w14:paraId="3FAF7786"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JO</w:t>
            </w:r>
          </w:p>
          <w:p w14:paraId="49891BCE"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p w14:paraId="2BFC9CA8"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p w14:paraId="1512A550"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p w14:paraId="075C9E18"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p w14:paraId="0729C2C2" w14:textId="2025F3EB" w:rsidR="00847F23" w:rsidRPr="00913E39" w:rsidRDefault="00847F23" w:rsidP="00294D56">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35E181AA" w14:textId="77777777" w:rsidTr="00693B1A">
        <w:trPr>
          <w:trHeight w:val="20"/>
        </w:trPr>
        <w:tc>
          <w:tcPr>
            <w:tcW w:w="2041" w:type="dxa"/>
            <w:vMerge/>
          </w:tcPr>
          <w:p w14:paraId="5E37C9F7"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1D4C0364"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Migracioni</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082AD412"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6E16679D"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6C91F143"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1DEDDAA1" w14:textId="77777777" w:rsidTr="00693B1A">
        <w:trPr>
          <w:trHeight w:val="20"/>
        </w:trPr>
        <w:tc>
          <w:tcPr>
            <w:tcW w:w="2041" w:type="dxa"/>
            <w:vMerge/>
          </w:tcPr>
          <w:p w14:paraId="27382702"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303D3FCF"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Zbutja e pabarazisë</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38C5B800"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14309CA3"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27F5DB61"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24C4FBDB" w14:textId="77777777" w:rsidTr="00693B1A">
        <w:trPr>
          <w:trHeight w:val="20"/>
        </w:trPr>
        <w:tc>
          <w:tcPr>
            <w:tcW w:w="2041" w:type="dxa"/>
            <w:vMerge/>
          </w:tcPr>
          <w:p w14:paraId="48E9036B" w14:textId="77777777" w:rsidR="00847F23" w:rsidRPr="00913E39" w:rsidRDefault="00847F23" w:rsidP="00693B1A">
            <w:pPr>
              <w:spacing w:after="0" w:line="240" w:lineRule="auto"/>
              <w:jc w:val="both"/>
              <w:rPr>
                <w:rFonts w:ascii="Garamond" w:hAnsi="Garamond"/>
                <w:b/>
                <w:sz w:val="18"/>
              </w:rPr>
            </w:pPr>
          </w:p>
        </w:tc>
        <w:tc>
          <w:tcPr>
            <w:tcW w:w="3051" w:type="dxa"/>
            <w:tcBorders>
              <w:top w:val="single" w:sz="4" w:space="0" w:color="auto"/>
              <w:left w:val="single" w:sz="4" w:space="0" w:color="auto"/>
              <w:bottom w:val="single" w:sz="4" w:space="0" w:color="auto"/>
              <w:right w:val="single" w:sz="4" w:space="0" w:color="auto"/>
            </w:tcBorders>
            <w:shd w:val="clear" w:color="auto" w:fill="auto"/>
          </w:tcPr>
          <w:p w14:paraId="2E34EACD"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COVID-19</w:t>
            </w:r>
          </w:p>
        </w:tc>
        <w:tc>
          <w:tcPr>
            <w:tcW w:w="1366" w:type="dxa"/>
            <w:tcBorders>
              <w:top w:val="single" w:sz="4" w:space="0" w:color="auto"/>
              <w:left w:val="single" w:sz="4" w:space="0" w:color="auto"/>
              <w:bottom w:val="single" w:sz="4" w:space="0" w:color="auto"/>
              <w:right w:val="single" w:sz="4" w:space="0" w:color="auto"/>
            </w:tcBorders>
            <w:shd w:val="clear" w:color="auto" w:fill="auto"/>
          </w:tcPr>
          <w:p w14:paraId="3F208686"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X</w:t>
            </w:r>
          </w:p>
        </w:tc>
        <w:tc>
          <w:tcPr>
            <w:tcW w:w="1367" w:type="dxa"/>
            <w:gridSpan w:val="2"/>
            <w:tcBorders>
              <w:top w:val="single" w:sz="4" w:space="0" w:color="auto"/>
              <w:left w:val="single" w:sz="4" w:space="0" w:color="auto"/>
              <w:bottom w:val="single" w:sz="4" w:space="0" w:color="auto"/>
              <w:right w:val="single" w:sz="4" w:space="0" w:color="auto"/>
            </w:tcBorders>
            <w:shd w:val="clear" w:color="auto" w:fill="auto"/>
          </w:tcPr>
          <w:p w14:paraId="5DD5AA87"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c>
          <w:tcPr>
            <w:tcW w:w="1367" w:type="dxa"/>
            <w:tcBorders>
              <w:top w:val="single" w:sz="4" w:space="0" w:color="auto"/>
              <w:left w:val="single" w:sz="4" w:space="0" w:color="auto"/>
              <w:bottom w:val="single" w:sz="4" w:space="0" w:color="auto"/>
              <w:right w:val="single" w:sz="4" w:space="0" w:color="auto"/>
            </w:tcBorders>
            <w:shd w:val="clear" w:color="auto" w:fill="auto"/>
          </w:tcPr>
          <w:p w14:paraId="68FBF3CD" w14:textId="77777777" w:rsidR="00847F23" w:rsidRPr="00913E39" w:rsidRDefault="00847F23" w:rsidP="00693B1A">
            <w:pPr>
              <w:spacing w:after="0" w:line="240" w:lineRule="auto"/>
              <w:jc w:val="both"/>
              <w:rPr>
                <w:rFonts w:ascii="Garamond" w:hAnsi="Garamond"/>
                <w:sz w:val="18"/>
              </w:rPr>
            </w:pPr>
            <w:r w:rsidRPr="00913E39">
              <w:rPr>
                <w:rFonts w:ascii="Segoe UI Symbol" w:hAnsi="Segoe UI Symbol"/>
                <w:sz w:val="18"/>
              </w:rPr>
              <w:t>☐</w:t>
            </w:r>
          </w:p>
        </w:tc>
      </w:tr>
      <w:tr w:rsidR="00847F23" w:rsidRPr="00913E39" w14:paraId="504FEC48" w14:textId="77777777" w:rsidTr="00693B1A">
        <w:trPr>
          <w:trHeight w:val="20"/>
        </w:trPr>
        <w:tc>
          <w:tcPr>
            <w:tcW w:w="9192" w:type="dxa"/>
            <w:gridSpan w:val="6"/>
            <w:tcBorders>
              <w:top w:val="single" w:sz="4" w:space="0" w:color="auto"/>
              <w:left w:val="single" w:sz="4" w:space="0" w:color="auto"/>
              <w:bottom w:val="single" w:sz="4" w:space="0" w:color="auto"/>
              <w:right w:val="single" w:sz="4" w:space="0" w:color="auto"/>
            </w:tcBorders>
            <w:shd w:val="clear" w:color="auto" w:fill="auto"/>
          </w:tcPr>
          <w:p w14:paraId="33FEC81E" w14:textId="77777777" w:rsidR="00847F23" w:rsidRPr="00913E39" w:rsidRDefault="00847F23" w:rsidP="00693B1A">
            <w:pPr>
              <w:spacing w:after="0" w:line="240" w:lineRule="auto"/>
              <w:jc w:val="both"/>
              <w:rPr>
                <w:rFonts w:ascii="Garamond" w:hAnsi="Garamond"/>
                <w:b/>
                <w:sz w:val="18"/>
              </w:rPr>
            </w:pPr>
            <w:r w:rsidRPr="00913E39">
              <w:rPr>
                <w:rFonts w:ascii="Garamond" w:hAnsi="Garamond"/>
                <w:b/>
                <w:sz w:val="18"/>
              </w:rPr>
              <w:t>INFORMACION PËR BUXHETIN</w:t>
            </w:r>
          </w:p>
        </w:tc>
      </w:tr>
      <w:tr w:rsidR="00847F23" w:rsidRPr="00913E39" w14:paraId="2C1B56BA"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252867A4" w14:textId="77777777" w:rsidR="00847F23" w:rsidRPr="00913E39" w:rsidRDefault="00847F23" w:rsidP="00693B1A">
            <w:pPr>
              <w:spacing w:after="0" w:line="240" w:lineRule="auto"/>
              <w:jc w:val="both"/>
              <w:rPr>
                <w:rFonts w:ascii="Garamond" w:hAnsi="Garamond"/>
                <w:b/>
                <w:sz w:val="18"/>
              </w:rPr>
            </w:pPr>
            <w:r w:rsidRPr="00913E39">
              <w:rPr>
                <w:rFonts w:ascii="Garamond" w:hAnsi="Garamond"/>
                <w:b/>
                <w:sz w:val="18"/>
              </w:rPr>
              <w:t>Shumat e përfshira</w:t>
            </w:r>
          </w:p>
          <w:p w14:paraId="1A1CBE1F" w14:textId="77777777" w:rsidR="00847F23" w:rsidRPr="00913E39" w:rsidRDefault="00847F23" w:rsidP="00693B1A">
            <w:pPr>
              <w:spacing w:after="0" w:line="240" w:lineRule="auto"/>
              <w:jc w:val="both"/>
              <w:rPr>
                <w:rFonts w:ascii="Garamond" w:hAnsi="Garamond"/>
                <w:sz w:val="18"/>
              </w:rPr>
            </w:pP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5BB65FEF"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Kufiri financiar: 15 02 02 01</w:t>
            </w:r>
          </w:p>
          <w:p w14:paraId="7E8B4842" w14:textId="5E3CCE83" w:rsidR="00847F23" w:rsidRPr="00913E39" w:rsidRDefault="00847F23" w:rsidP="00693B1A">
            <w:pPr>
              <w:spacing w:after="0" w:line="240" w:lineRule="auto"/>
              <w:jc w:val="both"/>
              <w:rPr>
                <w:rFonts w:ascii="Garamond" w:hAnsi="Garamond"/>
                <w:sz w:val="18"/>
              </w:rPr>
            </w:pPr>
            <w:r w:rsidRPr="00913E39">
              <w:rPr>
                <w:rFonts w:ascii="Garamond" w:hAnsi="Garamond"/>
                <w:sz w:val="18"/>
              </w:rPr>
              <w:t>Kostoja totale e llogaritur për 2024-2027: 44 000 000 euro</w:t>
            </w:r>
          </w:p>
          <w:p w14:paraId="40601685" w14:textId="5DCB69C7" w:rsidR="00847F23" w:rsidRPr="00913E39" w:rsidRDefault="00847F23" w:rsidP="00693B1A">
            <w:pPr>
              <w:spacing w:after="0" w:line="240" w:lineRule="auto"/>
              <w:jc w:val="both"/>
              <w:rPr>
                <w:rFonts w:ascii="Garamond" w:hAnsi="Garamond"/>
                <w:sz w:val="18"/>
              </w:rPr>
            </w:pPr>
            <w:r w:rsidRPr="00913E39">
              <w:rPr>
                <w:rFonts w:ascii="Garamond" w:hAnsi="Garamond"/>
                <w:sz w:val="18"/>
              </w:rPr>
              <w:t>Shuma totale e të ardhurave të e BE-së për 2024-2027: 30 000 000 euro</w:t>
            </w:r>
          </w:p>
          <w:p w14:paraId="414CC09C"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Kontributi i Bashkimit Evropian ndahet në vite si më poshtë::</w:t>
            </w:r>
          </w:p>
          <w:p w14:paraId="388607C6" w14:textId="3281AC3D" w:rsidR="00847F23" w:rsidRPr="00913E39" w:rsidRDefault="00F753BD" w:rsidP="00F753BD">
            <w:pPr>
              <w:spacing w:after="0" w:line="240" w:lineRule="auto"/>
              <w:contextualSpacing/>
              <w:jc w:val="both"/>
              <w:rPr>
                <w:rFonts w:ascii="Garamond" w:hAnsi="Garamond"/>
                <w:sz w:val="18"/>
              </w:rPr>
            </w:pPr>
            <w:r w:rsidRPr="00913E39">
              <w:rPr>
                <w:rFonts w:ascii="Garamond" w:hAnsi="Garamond"/>
                <w:sz w:val="18"/>
              </w:rPr>
              <w:t xml:space="preserve">- </w:t>
            </w:r>
            <w:r w:rsidR="00847F23" w:rsidRPr="00913E39">
              <w:rPr>
                <w:rFonts w:ascii="Garamond" w:hAnsi="Garamond"/>
                <w:sz w:val="18"/>
              </w:rPr>
              <w:t xml:space="preserve">Për 2024 </w:t>
            </w:r>
            <w:r w:rsidR="00294D56" w:rsidRPr="00913E39">
              <w:rPr>
                <w:rFonts w:ascii="Garamond" w:eastAsia="Calibri" w:hAnsi="Garamond" w:cs="Times New Roman"/>
                <w:sz w:val="18"/>
                <w:szCs w:val="20"/>
              </w:rPr>
              <w:t>–</w:t>
            </w:r>
            <w:r w:rsidR="00847F23" w:rsidRPr="00913E39">
              <w:rPr>
                <w:rFonts w:ascii="Garamond" w:hAnsi="Garamond"/>
                <w:sz w:val="18"/>
              </w:rPr>
              <w:t xml:space="preserve"> 6</w:t>
            </w:r>
            <w:r w:rsidR="00294D56" w:rsidRPr="00913E39">
              <w:rPr>
                <w:rFonts w:ascii="Garamond" w:hAnsi="Garamond"/>
                <w:sz w:val="18"/>
              </w:rPr>
              <w:t xml:space="preserve"> </w:t>
            </w:r>
            <w:r w:rsidR="00847F23" w:rsidRPr="00913E39">
              <w:rPr>
                <w:rFonts w:ascii="Garamond" w:hAnsi="Garamond"/>
                <w:sz w:val="18"/>
              </w:rPr>
              <w:t>000 000 euro</w:t>
            </w:r>
          </w:p>
          <w:p w14:paraId="08E50E60" w14:textId="47E2EAEA" w:rsidR="00847F23" w:rsidRPr="00913E39" w:rsidRDefault="00F753BD" w:rsidP="00F753BD">
            <w:pPr>
              <w:spacing w:after="0" w:line="240" w:lineRule="auto"/>
              <w:contextualSpacing/>
              <w:jc w:val="both"/>
              <w:rPr>
                <w:rFonts w:ascii="Garamond" w:hAnsi="Garamond"/>
                <w:sz w:val="18"/>
              </w:rPr>
            </w:pPr>
            <w:r w:rsidRPr="00913E39">
              <w:rPr>
                <w:rFonts w:ascii="Garamond" w:hAnsi="Garamond"/>
                <w:sz w:val="18"/>
              </w:rPr>
              <w:t xml:space="preserve">- </w:t>
            </w:r>
            <w:r w:rsidR="00847F23" w:rsidRPr="00913E39">
              <w:rPr>
                <w:rFonts w:ascii="Garamond" w:hAnsi="Garamond"/>
                <w:sz w:val="18"/>
              </w:rPr>
              <w:t xml:space="preserve">Për 2025 </w:t>
            </w:r>
            <w:r w:rsidR="00294D56" w:rsidRPr="00913E39">
              <w:rPr>
                <w:rFonts w:ascii="Garamond" w:eastAsia="Calibri" w:hAnsi="Garamond" w:cs="Times New Roman"/>
                <w:sz w:val="18"/>
                <w:szCs w:val="20"/>
              </w:rPr>
              <w:t>–</w:t>
            </w:r>
            <w:r w:rsidR="00847F23" w:rsidRPr="00913E39">
              <w:rPr>
                <w:rFonts w:ascii="Garamond" w:hAnsi="Garamond"/>
                <w:sz w:val="18"/>
              </w:rPr>
              <w:t xml:space="preserve"> 5</w:t>
            </w:r>
            <w:r w:rsidR="00294D56" w:rsidRPr="00913E39">
              <w:rPr>
                <w:rFonts w:ascii="Garamond" w:hAnsi="Garamond"/>
                <w:sz w:val="18"/>
              </w:rPr>
              <w:t xml:space="preserve"> </w:t>
            </w:r>
            <w:r w:rsidR="00847F23" w:rsidRPr="00913E39">
              <w:rPr>
                <w:rFonts w:ascii="Garamond" w:hAnsi="Garamond"/>
                <w:sz w:val="18"/>
              </w:rPr>
              <w:t xml:space="preserve">850 000 euro </w:t>
            </w:r>
          </w:p>
          <w:p w14:paraId="56652B60" w14:textId="25657C35" w:rsidR="00847F23" w:rsidRPr="00913E39" w:rsidRDefault="00F753BD" w:rsidP="00F753BD">
            <w:pPr>
              <w:spacing w:after="0" w:line="240" w:lineRule="auto"/>
              <w:contextualSpacing/>
              <w:jc w:val="both"/>
              <w:rPr>
                <w:rFonts w:ascii="Garamond" w:hAnsi="Garamond"/>
                <w:sz w:val="18"/>
              </w:rPr>
            </w:pPr>
            <w:r w:rsidRPr="00913E39">
              <w:rPr>
                <w:rFonts w:ascii="Garamond" w:hAnsi="Garamond"/>
                <w:sz w:val="18"/>
              </w:rPr>
              <w:lastRenderedPageBreak/>
              <w:t xml:space="preserve">- </w:t>
            </w:r>
            <w:r w:rsidR="00847F23" w:rsidRPr="00913E39">
              <w:rPr>
                <w:rFonts w:ascii="Garamond" w:hAnsi="Garamond"/>
                <w:sz w:val="18"/>
              </w:rPr>
              <w:t xml:space="preserve">Për 2026 </w:t>
            </w:r>
            <w:r w:rsidR="00294D56" w:rsidRPr="00913E39">
              <w:rPr>
                <w:rFonts w:ascii="Garamond" w:eastAsia="Calibri" w:hAnsi="Garamond" w:cs="Times New Roman"/>
                <w:sz w:val="18"/>
                <w:szCs w:val="20"/>
              </w:rPr>
              <w:t>–</w:t>
            </w:r>
            <w:r w:rsidR="00847F23" w:rsidRPr="00913E39">
              <w:rPr>
                <w:rFonts w:ascii="Garamond" w:hAnsi="Garamond"/>
                <w:sz w:val="18"/>
              </w:rPr>
              <w:t xml:space="preserve"> 7</w:t>
            </w:r>
            <w:r w:rsidR="00294D56" w:rsidRPr="00913E39">
              <w:rPr>
                <w:rFonts w:ascii="Garamond" w:hAnsi="Garamond"/>
                <w:sz w:val="18"/>
              </w:rPr>
              <w:t xml:space="preserve"> </w:t>
            </w:r>
            <w:r w:rsidR="00847F23" w:rsidRPr="00913E39">
              <w:rPr>
                <w:rFonts w:ascii="Garamond" w:hAnsi="Garamond"/>
                <w:sz w:val="18"/>
              </w:rPr>
              <w:t>150 000 euro</w:t>
            </w:r>
          </w:p>
          <w:p w14:paraId="023DEC0D" w14:textId="675AE73A" w:rsidR="00847F23" w:rsidRPr="00913E39" w:rsidRDefault="00F753BD" w:rsidP="00F753BD">
            <w:pPr>
              <w:spacing w:after="0" w:line="240" w:lineRule="auto"/>
              <w:contextualSpacing/>
              <w:jc w:val="both"/>
              <w:rPr>
                <w:rFonts w:ascii="Garamond" w:hAnsi="Garamond"/>
                <w:sz w:val="18"/>
              </w:rPr>
            </w:pPr>
            <w:r w:rsidRPr="00913E39">
              <w:rPr>
                <w:rFonts w:ascii="Garamond" w:hAnsi="Garamond"/>
                <w:sz w:val="18"/>
              </w:rPr>
              <w:t xml:space="preserve">- </w:t>
            </w:r>
            <w:r w:rsidR="00847F23" w:rsidRPr="00913E39">
              <w:rPr>
                <w:rFonts w:ascii="Garamond" w:hAnsi="Garamond"/>
                <w:sz w:val="18"/>
              </w:rPr>
              <w:t>Për 2027</w:t>
            </w:r>
            <w:r w:rsidR="00294D56" w:rsidRPr="00913E39">
              <w:rPr>
                <w:rFonts w:ascii="Garamond" w:eastAsia="Calibri" w:hAnsi="Garamond" w:cs="Times New Roman"/>
                <w:sz w:val="18"/>
                <w:szCs w:val="20"/>
              </w:rPr>
              <w:t xml:space="preserve"> </w:t>
            </w:r>
            <w:r w:rsidR="00847F23" w:rsidRPr="00913E39">
              <w:rPr>
                <w:rFonts w:ascii="Garamond" w:hAnsi="Garamond"/>
                <w:sz w:val="18"/>
              </w:rPr>
              <w:t>– 11 000 000 euro</w:t>
            </w:r>
          </w:p>
          <w:p w14:paraId="1C9570F6"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Të ardhurat e përgjithshme të Bashkimit Evropian për vitet në vijim i nënshtrohen sigurimit të fondeve për vitet përkatëse financiare pas miratimit të buxhetit vjetor përkatës, ose siç parashikohet në sistemin e përkohshëm 1/12.</w:t>
            </w:r>
          </w:p>
        </w:tc>
      </w:tr>
      <w:tr w:rsidR="00847F23" w:rsidRPr="00913E39" w14:paraId="7B052ED6" w14:textId="77777777" w:rsidTr="00693B1A">
        <w:trPr>
          <w:trHeight w:val="20"/>
        </w:trPr>
        <w:tc>
          <w:tcPr>
            <w:tcW w:w="9192" w:type="dxa"/>
            <w:gridSpan w:val="6"/>
            <w:tcBorders>
              <w:top w:val="single" w:sz="4" w:space="0" w:color="auto"/>
              <w:left w:val="single" w:sz="4" w:space="0" w:color="auto"/>
              <w:bottom w:val="single" w:sz="4" w:space="0" w:color="auto"/>
              <w:right w:val="single" w:sz="4" w:space="0" w:color="auto"/>
            </w:tcBorders>
            <w:shd w:val="clear" w:color="auto" w:fill="auto"/>
          </w:tcPr>
          <w:p w14:paraId="2FDAE162" w14:textId="77777777" w:rsidR="00847F23" w:rsidRPr="00913E39" w:rsidRDefault="00847F23" w:rsidP="00693B1A">
            <w:pPr>
              <w:spacing w:after="0" w:line="240" w:lineRule="auto"/>
              <w:jc w:val="both"/>
              <w:rPr>
                <w:rFonts w:ascii="Garamond" w:hAnsi="Garamond"/>
                <w:b/>
                <w:sz w:val="18"/>
              </w:rPr>
            </w:pPr>
            <w:r w:rsidRPr="00913E39">
              <w:rPr>
                <w:rFonts w:ascii="Garamond" w:hAnsi="Garamond"/>
                <w:b/>
                <w:sz w:val="18"/>
              </w:rPr>
              <w:lastRenderedPageBreak/>
              <w:t>MENAXHIMI DHE ZBATIMI</w:t>
            </w:r>
          </w:p>
        </w:tc>
      </w:tr>
      <w:tr w:rsidR="00847F23" w:rsidRPr="00913E39" w14:paraId="13F7B09D"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10E2B777" w14:textId="77777777" w:rsidR="00847F23" w:rsidRPr="00913E39" w:rsidRDefault="00847F23" w:rsidP="00693B1A">
            <w:pPr>
              <w:spacing w:after="0" w:line="240" w:lineRule="auto"/>
              <w:rPr>
                <w:rFonts w:ascii="Garamond" w:hAnsi="Garamond"/>
                <w:sz w:val="18"/>
              </w:rPr>
            </w:pPr>
            <w:r w:rsidRPr="00913E39">
              <w:rPr>
                <w:rFonts w:ascii="Garamond" w:hAnsi="Garamond"/>
                <w:b/>
                <w:sz w:val="18"/>
              </w:rPr>
              <w:t>Modalitetet e zbatimit (mënyra e menaxhimit dhe metodat e zbatimit)</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64A4FD1C" w14:textId="77777777" w:rsidR="00847F23" w:rsidRPr="00913E39" w:rsidRDefault="00847F23" w:rsidP="00693B1A">
            <w:pPr>
              <w:spacing w:after="0" w:line="240" w:lineRule="auto"/>
              <w:jc w:val="both"/>
              <w:rPr>
                <w:rFonts w:ascii="Garamond" w:hAnsi="Garamond"/>
                <w:sz w:val="18"/>
              </w:rPr>
            </w:pPr>
            <w:r w:rsidRPr="00913E39">
              <w:rPr>
                <w:rFonts w:ascii="Garamond" w:hAnsi="Garamond"/>
                <w:b/>
                <w:sz w:val="18"/>
              </w:rPr>
              <w:t>Menaxhim indirekt me</w:t>
            </w:r>
            <w:r w:rsidRPr="00913E39">
              <w:rPr>
                <w:rFonts w:ascii="Garamond" w:hAnsi="Garamond"/>
                <w:sz w:val="18"/>
              </w:rPr>
              <w:t xml:space="preserve"> </w:t>
            </w:r>
            <w:r w:rsidRPr="00913E39">
              <w:rPr>
                <w:rFonts w:ascii="Garamond" w:hAnsi="Garamond"/>
                <w:b/>
                <w:sz w:val="18"/>
              </w:rPr>
              <w:t>Republikën e Shqipërisë</w:t>
            </w:r>
          </w:p>
          <w:p w14:paraId="288F13CF" w14:textId="77777777" w:rsidR="00847F23" w:rsidRPr="00913E39" w:rsidRDefault="00847F23" w:rsidP="00693B1A">
            <w:pPr>
              <w:spacing w:after="0" w:line="240" w:lineRule="auto"/>
              <w:jc w:val="both"/>
              <w:rPr>
                <w:rFonts w:ascii="Garamond" w:hAnsi="Garamond"/>
                <w:sz w:val="18"/>
              </w:rPr>
            </w:pPr>
          </w:p>
        </w:tc>
      </w:tr>
      <w:tr w:rsidR="00847F23" w:rsidRPr="00913E39" w14:paraId="49F0D30C"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203F244B" w14:textId="77777777" w:rsidR="00847F23" w:rsidRPr="00913E39" w:rsidRDefault="00847F23" w:rsidP="00693B1A">
            <w:pPr>
              <w:spacing w:after="0" w:line="240" w:lineRule="auto"/>
              <w:rPr>
                <w:rFonts w:ascii="Garamond" w:hAnsi="Garamond"/>
                <w:b/>
                <w:sz w:val="18"/>
              </w:rPr>
            </w:pPr>
            <w:r w:rsidRPr="00913E39">
              <w:rPr>
                <w:rFonts w:ascii="Garamond" w:hAnsi="Garamond"/>
                <w:b/>
                <w:sz w:val="18"/>
              </w:rPr>
              <w:t>Prioritetet dhe programet kyçe të rëndësishme nga Plani Ekonomik dhe i Investimeve për Ballkanin Perëndimor [vetëm për Ballkanin Perëndimor].</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31601FFF" w14:textId="77777777" w:rsidR="00847F23" w:rsidRPr="00913E39" w:rsidRDefault="00847F23" w:rsidP="00693B1A">
            <w:pPr>
              <w:spacing w:after="0" w:line="240" w:lineRule="auto"/>
              <w:jc w:val="both"/>
              <w:rPr>
                <w:rFonts w:ascii="Garamond" w:hAnsi="Garamond"/>
                <w:sz w:val="18"/>
              </w:rPr>
            </w:pPr>
            <w:bookmarkStart w:id="4" w:name="_Hlk149124808"/>
          </w:p>
          <w:p w14:paraId="4FB84FCE"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Prioriteti </w:t>
            </w:r>
            <w:r w:rsidR="00850FC7" w:rsidRPr="00913E39">
              <w:rPr>
                <w:rFonts w:ascii="Garamond" w:hAnsi="Garamond"/>
                <w:sz w:val="18"/>
              </w:rPr>
              <w:t>“</w:t>
            </w:r>
            <w:r w:rsidRPr="00913E39">
              <w:rPr>
                <w:rFonts w:ascii="Garamond" w:hAnsi="Garamond"/>
                <w:sz w:val="18"/>
              </w:rPr>
              <w:t>Tranzicioni digjital</w:t>
            </w:r>
            <w:r w:rsidR="00850FC7" w:rsidRPr="00913E39">
              <w:rPr>
                <w:rFonts w:ascii="Garamond" w:hAnsi="Garamond"/>
                <w:sz w:val="18"/>
              </w:rPr>
              <w:t>”</w:t>
            </w:r>
          </w:p>
          <w:p w14:paraId="6CDA6754" w14:textId="77777777" w:rsidR="00847F23" w:rsidRPr="00913E39" w:rsidRDefault="00847F23" w:rsidP="00693B1A">
            <w:pPr>
              <w:spacing w:after="0" w:line="240" w:lineRule="auto"/>
              <w:jc w:val="both"/>
              <w:rPr>
                <w:rFonts w:ascii="Garamond" w:hAnsi="Garamond"/>
                <w:sz w:val="18"/>
              </w:rPr>
            </w:pPr>
          </w:p>
          <w:p w14:paraId="11BAE506" w14:textId="297D2564"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Programet </w:t>
            </w:r>
            <w:r w:rsidR="00662001" w:rsidRPr="00913E39">
              <w:rPr>
                <w:rFonts w:ascii="Garamond" w:hAnsi="Garamond"/>
                <w:sz w:val="18"/>
              </w:rPr>
              <w:t xml:space="preserve">kryesore </w:t>
            </w:r>
            <w:r w:rsidRPr="00913E39">
              <w:rPr>
                <w:rFonts w:ascii="Garamond" w:hAnsi="Garamond"/>
                <w:sz w:val="18"/>
              </w:rPr>
              <w:t xml:space="preserve">(Pioniere): </w:t>
            </w:r>
            <w:r w:rsidR="00850FC7" w:rsidRPr="00913E39">
              <w:rPr>
                <w:rFonts w:ascii="Garamond" w:hAnsi="Garamond"/>
                <w:sz w:val="18"/>
              </w:rPr>
              <w:t>“</w:t>
            </w:r>
            <w:r w:rsidRPr="00913E39">
              <w:rPr>
                <w:rFonts w:ascii="Garamond" w:hAnsi="Garamond"/>
                <w:sz w:val="18"/>
              </w:rPr>
              <w:t xml:space="preserve">Infrastruktura </w:t>
            </w:r>
            <w:r w:rsidR="00662001" w:rsidRPr="00913E39">
              <w:rPr>
                <w:rFonts w:ascii="Garamond" w:hAnsi="Garamond"/>
                <w:sz w:val="18"/>
              </w:rPr>
              <w:t xml:space="preserve">digjitale </w:t>
            </w:r>
            <w:r w:rsidRPr="00913E39">
              <w:rPr>
                <w:rFonts w:ascii="Garamond" w:hAnsi="Garamond"/>
                <w:sz w:val="18"/>
              </w:rPr>
              <w:t>VIII</w:t>
            </w:r>
            <w:r w:rsidR="00850FC7" w:rsidRPr="00913E39">
              <w:rPr>
                <w:rFonts w:ascii="Garamond" w:hAnsi="Garamond"/>
                <w:sz w:val="18"/>
              </w:rPr>
              <w:t>”</w:t>
            </w:r>
            <w:bookmarkEnd w:id="4"/>
          </w:p>
        </w:tc>
      </w:tr>
      <w:tr w:rsidR="00847F23" w:rsidRPr="00913E39" w14:paraId="2ED1932F"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36DD5238" w14:textId="1ACCFE47" w:rsidR="00847F23" w:rsidRPr="00913E39" w:rsidRDefault="00847F23" w:rsidP="00294D56">
            <w:pPr>
              <w:spacing w:after="0" w:line="240" w:lineRule="auto"/>
              <w:rPr>
                <w:rFonts w:ascii="Garamond" w:hAnsi="Garamond"/>
                <w:b/>
                <w:sz w:val="18"/>
              </w:rPr>
            </w:pPr>
            <w:r w:rsidRPr="00913E39">
              <w:rPr>
                <w:rFonts w:ascii="Garamond" w:hAnsi="Garamond"/>
                <w:b/>
                <w:sz w:val="18"/>
              </w:rPr>
              <w:t xml:space="preserve">Data përfundimtare e nënshkrimit të Marrëveshjes së Financimit </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63A80688" w14:textId="4543B732"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Të paktën deri </w:t>
            </w:r>
            <w:r w:rsidR="00294D56" w:rsidRPr="00913E39">
              <w:rPr>
                <w:rFonts w:ascii="Garamond" w:eastAsia="Times New Roman" w:hAnsi="Garamond" w:cs="Times New Roman"/>
                <w:sz w:val="18"/>
                <w:szCs w:val="20"/>
              </w:rPr>
              <w:t>m</w:t>
            </w:r>
            <w:r w:rsidRPr="00913E39">
              <w:rPr>
                <w:rFonts w:ascii="Garamond" w:eastAsia="Times New Roman" w:hAnsi="Garamond" w:cs="Times New Roman"/>
                <w:sz w:val="18"/>
                <w:szCs w:val="20"/>
              </w:rPr>
              <w:t>ë</w:t>
            </w:r>
            <w:r w:rsidRPr="00913E39">
              <w:rPr>
                <w:rFonts w:ascii="Garamond" w:hAnsi="Garamond"/>
                <w:sz w:val="18"/>
              </w:rPr>
              <w:t xml:space="preserve"> 31 dhjetor 2025</w:t>
            </w:r>
          </w:p>
          <w:p w14:paraId="400F8797" w14:textId="77777777" w:rsidR="00847F23" w:rsidRPr="00913E39" w:rsidRDefault="00847F23" w:rsidP="00693B1A">
            <w:pPr>
              <w:spacing w:after="0" w:line="240" w:lineRule="auto"/>
              <w:jc w:val="both"/>
              <w:rPr>
                <w:rFonts w:ascii="Garamond" w:hAnsi="Garamond"/>
                <w:sz w:val="18"/>
              </w:rPr>
            </w:pPr>
          </w:p>
        </w:tc>
      </w:tr>
      <w:tr w:rsidR="00847F23" w:rsidRPr="00913E39" w14:paraId="52FAD26E"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3908380F" w14:textId="77777777" w:rsidR="00847F23" w:rsidRPr="00913E39" w:rsidRDefault="00847F23" w:rsidP="00693B1A">
            <w:pPr>
              <w:spacing w:after="0" w:line="240" w:lineRule="auto"/>
              <w:rPr>
                <w:rFonts w:ascii="Garamond" w:hAnsi="Garamond"/>
                <w:b/>
                <w:sz w:val="18"/>
              </w:rPr>
            </w:pPr>
            <w:r w:rsidRPr="00913E39">
              <w:rPr>
                <w:rFonts w:ascii="Garamond" w:hAnsi="Garamond"/>
                <w:b/>
                <w:sz w:val="18"/>
              </w:rPr>
              <w:t>Afati i përfundimit për çdo angazhim buxhetor</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0B5B63F4" w14:textId="54609C1B"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Angazhimi financiar 2024: deri </w:t>
            </w:r>
            <w:r w:rsidR="00294D56" w:rsidRPr="00913E39">
              <w:rPr>
                <w:rFonts w:ascii="Garamond" w:eastAsia="Times New Roman" w:hAnsi="Garamond" w:cs="Times New Roman"/>
                <w:sz w:val="18"/>
                <w:szCs w:val="20"/>
              </w:rPr>
              <w:t>m</w:t>
            </w:r>
            <w:r w:rsidRPr="00913E39">
              <w:rPr>
                <w:rFonts w:ascii="Garamond" w:eastAsia="Times New Roman" w:hAnsi="Garamond" w:cs="Times New Roman"/>
                <w:sz w:val="18"/>
                <w:szCs w:val="20"/>
              </w:rPr>
              <w:t>ë</w:t>
            </w:r>
            <w:r w:rsidRPr="00913E39">
              <w:rPr>
                <w:rFonts w:ascii="Garamond" w:hAnsi="Garamond"/>
                <w:sz w:val="18"/>
              </w:rPr>
              <w:t xml:space="preserve"> 31</w:t>
            </w:r>
            <w:r w:rsidR="00294D56" w:rsidRPr="00913E39">
              <w:rPr>
                <w:rFonts w:ascii="Garamond" w:eastAsia="Times New Roman" w:hAnsi="Garamond" w:cs="Times New Roman"/>
                <w:sz w:val="18"/>
                <w:szCs w:val="20"/>
              </w:rPr>
              <w:t>.</w:t>
            </w:r>
            <w:r w:rsidRPr="00913E39">
              <w:rPr>
                <w:rFonts w:ascii="Garamond" w:hAnsi="Garamond"/>
                <w:sz w:val="18"/>
              </w:rPr>
              <w:t>12</w:t>
            </w:r>
            <w:r w:rsidR="00294D56" w:rsidRPr="00913E39">
              <w:rPr>
                <w:rFonts w:ascii="Garamond" w:eastAsia="Times New Roman" w:hAnsi="Garamond" w:cs="Times New Roman"/>
                <w:sz w:val="18"/>
                <w:szCs w:val="20"/>
              </w:rPr>
              <w:t>.</w:t>
            </w:r>
            <w:r w:rsidRPr="00913E39">
              <w:rPr>
                <w:rFonts w:ascii="Garamond" w:hAnsi="Garamond"/>
                <w:sz w:val="18"/>
              </w:rPr>
              <w:t>2029</w:t>
            </w:r>
          </w:p>
          <w:p w14:paraId="4C164C93" w14:textId="6A1A296C"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Angazhimi financiar 2025: deri </w:t>
            </w:r>
            <w:r w:rsidR="00294D56" w:rsidRPr="00913E39">
              <w:rPr>
                <w:rFonts w:ascii="Garamond" w:eastAsia="Times New Roman" w:hAnsi="Garamond" w:cs="Times New Roman"/>
                <w:sz w:val="18"/>
                <w:szCs w:val="20"/>
              </w:rPr>
              <w:t>m</w:t>
            </w:r>
            <w:r w:rsidRPr="00913E39">
              <w:rPr>
                <w:rFonts w:ascii="Garamond" w:eastAsia="Times New Roman" w:hAnsi="Garamond" w:cs="Times New Roman"/>
                <w:sz w:val="18"/>
                <w:szCs w:val="20"/>
              </w:rPr>
              <w:t>ë</w:t>
            </w:r>
            <w:r w:rsidRPr="00913E39">
              <w:rPr>
                <w:rFonts w:ascii="Garamond" w:hAnsi="Garamond"/>
                <w:sz w:val="18"/>
              </w:rPr>
              <w:t xml:space="preserve"> 31</w:t>
            </w:r>
            <w:r w:rsidR="00294D56" w:rsidRPr="00913E39">
              <w:rPr>
                <w:rFonts w:ascii="Garamond" w:eastAsia="Times New Roman" w:hAnsi="Garamond" w:cs="Times New Roman"/>
                <w:sz w:val="18"/>
                <w:szCs w:val="20"/>
              </w:rPr>
              <w:t>.</w:t>
            </w:r>
            <w:r w:rsidRPr="00913E39">
              <w:rPr>
                <w:rFonts w:ascii="Garamond" w:hAnsi="Garamond"/>
                <w:sz w:val="18"/>
              </w:rPr>
              <w:t>12</w:t>
            </w:r>
            <w:r w:rsidR="00294D56" w:rsidRPr="00913E39">
              <w:rPr>
                <w:rFonts w:ascii="Garamond" w:eastAsia="Times New Roman" w:hAnsi="Garamond" w:cs="Times New Roman"/>
                <w:sz w:val="18"/>
                <w:szCs w:val="20"/>
              </w:rPr>
              <w:t>.</w:t>
            </w:r>
            <w:r w:rsidRPr="00913E39">
              <w:rPr>
                <w:rFonts w:ascii="Garamond" w:hAnsi="Garamond"/>
                <w:sz w:val="18"/>
              </w:rPr>
              <w:t>2029</w:t>
            </w:r>
          </w:p>
          <w:p w14:paraId="0E848171" w14:textId="2F4C73DC" w:rsidR="00847F23" w:rsidRPr="00913E39" w:rsidRDefault="00847F23" w:rsidP="00693B1A">
            <w:pPr>
              <w:spacing w:after="0" w:line="240" w:lineRule="auto"/>
              <w:jc w:val="both"/>
              <w:rPr>
                <w:rFonts w:ascii="Garamond" w:hAnsi="Garamond"/>
                <w:sz w:val="18"/>
              </w:rPr>
            </w:pPr>
            <w:r w:rsidRPr="00913E39">
              <w:rPr>
                <w:rFonts w:ascii="Garamond" w:hAnsi="Garamond"/>
                <w:sz w:val="18"/>
              </w:rPr>
              <w:t xml:space="preserve">Angazhimi buxhetor 2026: deri </w:t>
            </w:r>
            <w:r w:rsidR="00294D56" w:rsidRPr="00913E39">
              <w:rPr>
                <w:rFonts w:ascii="Garamond" w:eastAsia="Times New Roman" w:hAnsi="Garamond" w:cs="Times New Roman"/>
                <w:sz w:val="18"/>
                <w:szCs w:val="20"/>
              </w:rPr>
              <w:t>m</w:t>
            </w:r>
            <w:r w:rsidRPr="00913E39">
              <w:rPr>
                <w:rFonts w:ascii="Garamond" w:eastAsia="Times New Roman" w:hAnsi="Garamond" w:cs="Times New Roman"/>
                <w:sz w:val="18"/>
                <w:szCs w:val="20"/>
              </w:rPr>
              <w:t>ë</w:t>
            </w:r>
            <w:r w:rsidRPr="00913E39">
              <w:rPr>
                <w:rFonts w:ascii="Garamond" w:hAnsi="Garamond"/>
                <w:sz w:val="18"/>
              </w:rPr>
              <w:t xml:space="preserve"> 31</w:t>
            </w:r>
            <w:r w:rsidR="00294D56" w:rsidRPr="00913E39">
              <w:rPr>
                <w:rFonts w:ascii="Garamond" w:eastAsia="Times New Roman" w:hAnsi="Garamond" w:cs="Times New Roman"/>
                <w:sz w:val="18"/>
                <w:szCs w:val="20"/>
              </w:rPr>
              <w:t>.</w:t>
            </w:r>
            <w:r w:rsidRPr="00913E39">
              <w:rPr>
                <w:rFonts w:ascii="Garamond" w:hAnsi="Garamond"/>
                <w:sz w:val="18"/>
              </w:rPr>
              <w:t>12</w:t>
            </w:r>
            <w:r w:rsidR="00294D56" w:rsidRPr="00913E39">
              <w:rPr>
                <w:rFonts w:ascii="Garamond" w:eastAsia="Times New Roman" w:hAnsi="Garamond" w:cs="Times New Roman"/>
                <w:sz w:val="18"/>
                <w:szCs w:val="20"/>
              </w:rPr>
              <w:t>.</w:t>
            </w:r>
            <w:r w:rsidRPr="00913E39">
              <w:rPr>
                <w:rFonts w:ascii="Garamond" w:hAnsi="Garamond"/>
                <w:sz w:val="18"/>
              </w:rPr>
              <w:t>2029</w:t>
            </w:r>
          </w:p>
          <w:p w14:paraId="0C667DF5" w14:textId="2F644B5B" w:rsidR="00847F23" w:rsidRPr="00913E39" w:rsidRDefault="00847F23" w:rsidP="00294D56">
            <w:pPr>
              <w:spacing w:after="0" w:line="240" w:lineRule="auto"/>
              <w:jc w:val="both"/>
              <w:rPr>
                <w:rFonts w:ascii="Garamond" w:hAnsi="Garamond"/>
                <w:sz w:val="18"/>
              </w:rPr>
            </w:pPr>
            <w:r w:rsidRPr="00913E39">
              <w:rPr>
                <w:rFonts w:ascii="Garamond" w:hAnsi="Garamond"/>
                <w:sz w:val="18"/>
              </w:rPr>
              <w:t xml:space="preserve">Angazhimi financiar 2027: deri </w:t>
            </w:r>
            <w:r w:rsidR="00294D56" w:rsidRPr="00913E39">
              <w:rPr>
                <w:rFonts w:ascii="Garamond" w:eastAsia="Times New Roman" w:hAnsi="Garamond" w:cs="Times New Roman"/>
                <w:sz w:val="18"/>
                <w:szCs w:val="20"/>
              </w:rPr>
              <w:t>m</w:t>
            </w:r>
            <w:r w:rsidRPr="00913E39">
              <w:rPr>
                <w:rFonts w:ascii="Garamond" w:eastAsia="Times New Roman" w:hAnsi="Garamond" w:cs="Times New Roman"/>
                <w:sz w:val="18"/>
                <w:szCs w:val="20"/>
              </w:rPr>
              <w:t>ë</w:t>
            </w:r>
            <w:r w:rsidRPr="00913E39">
              <w:rPr>
                <w:rFonts w:ascii="Garamond" w:hAnsi="Garamond"/>
                <w:sz w:val="18"/>
              </w:rPr>
              <w:t xml:space="preserve"> 31</w:t>
            </w:r>
            <w:r w:rsidR="00294D56" w:rsidRPr="00913E39">
              <w:rPr>
                <w:rFonts w:ascii="Garamond" w:eastAsia="Times New Roman" w:hAnsi="Garamond" w:cs="Times New Roman"/>
                <w:sz w:val="18"/>
                <w:szCs w:val="20"/>
              </w:rPr>
              <w:t>.</w:t>
            </w:r>
            <w:r w:rsidRPr="00913E39">
              <w:rPr>
                <w:rFonts w:ascii="Garamond" w:hAnsi="Garamond"/>
                <w:sz w:val="18"/>
              </w:rPr>
              <w:t>12</w:t>
            </w:r>
            <w:r w:rsidR="00294D56" w:rsidRPr="00913E39">
              <w:rPr>
                <w:rFonts w:ascii="Garamond" w:eastAsia="Times New Roman" w:hAnsi="Garamond" w:cs="Times New Roman"/>
                <w:sz w:val="18"/>
                <w:szCs w:val="20"/>
              </w:rPr>
              <w:t>.</w:t>
            </w:r>
            <w:r w:rsidRPr="00913E39">
              <w:rPr>
                <w:rFonts w:ascii="Garamond" w:hAnsi="Garamond"/>
                <w:sz w:val="18"/>
              </w:rPr>
              <w:t>2029</w:t>
            </w:r>
          </w:p>
        </w:tc>
      </w:tr>
      <w:tr w:rsidR="00847F23" w:rsidRPr="00913E39" w14:paraId="4E80123D"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7B67A92A" w14:textId="77777777" w:rsidR="00847F23" w:rsidRPr="00913E39" w:rsidRDefault="00847F23" w:rsidP="00693B1A">
            <w:pPr>
              <w:spacing w:after="0" w:line="240" w:lineRule="auto"/>
              <w:rPr>
                <w:rFonts w:ascii="Garamond" w:hAnsi="Garamond"/>
                <w:b/>
                <w:sz w:val="18"/>
              </w:rPr>
            </w:pPr>
            <w:r w:rsidRPr="00913E39">
              <w:rPr>
                <w:rFonts w:ascii="Garamond" w:hAnsi="Garamond"/>
                <w:b/>
                <w:sz w:val="18"/>
              </w:rPr>
              <w:t xml:space="preserve">Periudha përcaktuese e kualifikimit  </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52D19CFA" w14:textId="15465B68" w:rsidR="00847F23" w:rsidRPr="00913E39" w:rsidRDefault="00847F23" w:rsidP="00693B1A">
            <w:pPr>
              <w:spacing w:after="0" w:line="240" w:lineRule="auto"/>
              <w:jc w:val="both"/>
              <w:rPr>
                <w:rFonts w:ascii="Garamond" w:hAnsi="Garamond"/>
                <w:sz w:val="18"/>
              </w:rPr>
            </w:pPr>
            <w:r w:rsidRPr="00913E39">
              <w:rPr>
                <w:rFonts w:ascii="Garamond" w:hAnsi="Garamond"/>
                <w:sz w:val="18"/>
              </w:rPr>
              <w:t>31</w:t>
            </w:r>
            <w:r w:rsidR="00294D56" w:rsidRPr="00913E39">
              <w:rPr>
                <w:rFonts w:ascii="Garamond" w:eastAsia="Times New Roman" w:hAnsi="Garamond" w:cs="Times New Roman"/>
                <w:sz w:val="18"/>
                <w:szCs w:val="20"/>
              </w:rPr>
              <w:t>.</w:t>
            </w:r>
            <w:r w:rsidRPr="00913E39">
              <w:rPr>
                <w:rFonts w:ascii="Garamond" w:hAnsi="Garamond"/>
                <w:sz w:val="18"/>
              </w:rPr>
              <w:t>12</w:t>
            </w:r>
            <w:r w:rsidR="00294D56" w:rsidRPr="00913E39">
              <w:rPr>
                <w:rFonts w:ascii="Garamond" w:eastAsia="Times New Roman" w:hAnsi="Garamond" w:cs="Times New Roman"/>
                <w:sz w:val="18"/>
                <w:szCs w:val="20"/>
              </w:rPr>
              <w:t>.</w:t>
            </w:r>
            <w:r w:rsidRPr="00913E39">
              <w:rPr>
                <w:rFonts w:ascii="Garamond" w:hAnsi="Garamond"/>
                <w:sz w:val="18"/>
              </w:rPr>
              <w:t>2033</w:t>
            </w:r>
          </w:p>
        </w:tc>
      </w:tr>
      <w:tr w:rsidR="00847F23" w:rsidRPr="00913E39" w14:paraId="3D366D4C" w14:textId="77777777" w:rsidTr="00693B1A">
        <w:trPr>
          <w:trHeight w:val="20"/>
        </w:trPr>
        <w:tc>
          <w:tcPr>
            <w:tcW w:w="2041" w:type="dxa"/>
            <w:tcBorders>
              <w:top w:val="single" w:sz="4" w:space="0" w:color="auto"/>
              <w:left w:val="single" w:sz="4" w:space="0" w:color="auto"/>
              <w:bottom w:val="single" w:sz="4" w:space="0" w:color="auto"/>
              <w:right w:val="single" w:sz="4" w:space="0" w:color="auto"/>
            </w:tcBorders>
            <w:shd w:val="clear" w:color="auto" w:fill="auto"/>
          </w:tcPr>
          <w:p w14:paraId="22488BD3" w14:textId="77777777" w:rsidR="00847F23" w:rsidRPr="00913E39" w:rsidRDefault="00847F23" w:rsidP="00693B1A">
            <w:pPr>
              <w:spacing w:after="0" w:line="240" w:lineRule="auto"/>
              <w:rPr>
                <w:rFonts w:ascii="Garamond" w:hAnsi="Garamond"/>
                <w:b/>
                <w:sz w:val="18"/>
              </w:rPr>
            </w:pPr>
            <w:r w:rsidRPr="00913E39">
              <w:rPr>
                <w:rFonts w:ascii="Garamond" w:hAnsi="Garamond"/>
                <w:b/>
                <w:sz w:val="18"/>
              </w:rPr>
              <w:t>Data përfundimtare për zbatimin e Marrëveshjes së Financimit</w:t>
            </w:r>
          </w:p>
        </w:tc>
        <w:tc>
          <w:tcPr>
            <w:tcW w:w="7151" w:type="dxa"/>
            <w:gridSpan w:val="5"/>
            <w:tcBorders>
              <w:top w:val="single" w:sz="4" w:space="0" w:color="auto"/>
              <w:left w:val="single" w:sz="4" w:space="0" w:color="auto"/>
              <w:bottom w:val="single" w:sz="4" w:space="0" w:color="auto"/>
              <w:right w:val="single" w:sz="4" w:space="0" w:color="auto"/>
            </w:tcBorders>
            <w:shd w:val="clear" w:color="auto" w:fill="auto"/>
          </w:tcPr>
          <w:p w14:paraId="5428D313" w14:textId="77777777" w:rsidR="00847F23" w:rsidRPr="00913E39" w:rsidRDefault="00847F23" w:rsidP="00693B1A">
            <w:pPr>
              <w:spacing w:after="0" w:line="240" w:lineRule="auto"/>
              <w:jc w:val="both"/>
              <w:rPr>
                <w:rFonts w:ascii="Garamond" w:hAnsi="Garamond"/>
                <w:sz w:val="18"/>
              </w:rPr>
            </w:pPr>
            <w:r w:rsidRPr="00913E39">
              <w:rPr>
                <w:rFonts w:ascii="Garamond" w:hAnsi="Garamond"/>
                <w:sz w:val="18"/>
              </w:rPr>
              <w:t>12 vjet pas nënshkrimit të Marrëveshjes së Financimit</w:t>
            </w:r>
          </w:p>
        </w:tc>
      </w:tr>
    </w:tbl>
    <w:p w14:paraId="6C0BDDF0" w14:textId="77777777" w:rsidR="00847F23" w:rsidRPr="00913E39" w:rsidRDefault="00847F23" w:rsidP="00FC4C60">
      <w:pPr>
        <w:spacing w:after="0" w:line="240" w:lineRule="auto"/>
        <w:ind w:firstLine="284"/>
        <w:jc w:val="both"/>
        <w:rPr>
          <w:rFonts w:ascii="Garamond" w:hAnsi="Garamond"/>
          <w:b/>
          <w:sz w:val="24"/>
        </w:rPr>
      </w:pPr>
    </w:p>
    <w:p w14:paraId="1E4E3E85" w14:textId="472D6033" w:rsidR="00847F23" w:rsidRPr="00913E39" w:rsidRDefault="00847F23" w:rsidP="00693B1A">
      <w:pPr>
        <w:spacing w:after="0" w:line="240" w:lineRule="auto"/>
        <w:ind w:firstLine="284"/>
        <w:jc w:val="both"/>
        <w:rPr>
          <w:rFonts w:ascii="Garamond" w:hAnsi="Garamond"/>
          <w:i/>
          <w:sz w:val="24"/>
        </w:rPr>
      </w:pPr>
      <w:r w:rsidRPr="00913E39">
        <w:rPr>
          <w:rFonts w:ascii="Garamond" w:hAnsi="Garamond"/>
          <w:i/>
          <w:sz w:val="24"/>
        </w:rPr>
        <w:t>1.2 Përmbledhja e Programit</w:t>
      </w:r>
    </w:p>
    <w:p w14:paraId="50035D97" w14:textId="77777777" w:rsidR="005A72A1" w:rsidRPr="00913E39" w:rsidRDefault="00847F23" w:rsidP="00693B1A">
      <w:pPr>
        <w:spacing w:after="0" w:line="240" w:lineRule="auto"/>
        <w:ind w:firstLine="284"/>
        <w:jc w:val="both"/>
        <w:rPr>
          <w:rFonts w:ascii="Garamond" w:hAnsi="Garamond"/>
          <w:sz w:val="24"/>
        </w:rPr>
      </w:pPr>
      <w:r w:rsidRPr="00913E39">
        <w:rPr>
          <w:rFonts w:ascii="Garamond" w:hAnsi="Garamond"/>
          <w:sz w:val="24"/>
        </w:rPr>
        <w:t>Transformimi digjital është vendosur në krye të agjendës politike të qeverisë shqiptare. Agjendë e re Digjitale e Shqipërisë 2022</w:t>
      </w:r>
      <w:r w:rsidR="00294D56" w:rsidRPr="00913E39">
        <w:rPr>
          <w:rFonts w:ascii="Garamond" w:hAnsi="Garamond" w:cs="Times New Roman"/>
          <w:sz w:val="24"/>
          <w:szCs w:val="24"/>
        </w:rPr>
        <w:t>–</w:t>
      </w:r>
      <w:r w:rsidRPr="00913E39">
        <w:rPr>
          <w:rFonts w:ascii="Garamond" w:hAnsi="Garamond"/>
          <w:sz w:val="24"/>
        </w:rPr>
        <w:t>2026, e miratuar në qershor 2022, bazohet në katër shtylla kryesore:</w:t>
      </w:r>
    </w:p>
    <w:p w14:paraId="3AC13162" w14:textId="1F6419C1"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1</w:t>
      </w:r>
      <w:r w:rsidR="005A72A1" w:rsidRPr="00913E39">
        <w:rPr>
          <w:rFonts w:ascii="Garamond" w:hAnsi="Garamond"/>
          <w:sz w:val="24"/>
        </w:rPr>
        <w:t>.</w:t>
      </w:r>
      <w:r w:rsidRPr="00913E39">
        <w:rPr>
          <w:rFonts w:ascii="Garamond" w:hAnsi="Garamond"/>
          <w:sz w:val="24"/>
        </w:rPr>
        <w:t xml:space="preserve"> Qeveria digjitale: Mundësimi i politikave digjitale, proceseve inteligjente dhe zgjidhjeve të përparuara në platforma të sigurta</w:t>
      </w:r>
      <w:r w:rsidR="005A72A1" w:rsidRPr="00913E39">
        <w:rPr>
          <w:rFonts w:ascii="Garamond" w:hAnsi="Garamond"/>
          <w:sz w:val="24"/>
        </w:rPr>
        <w:t>;</w:t>
      </w:r>
    </w:p>
    <w:p w14:paraId="209057DE" w14:textId="68E55319"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2</w:t>
      </w:r>
      <w:r w:rsidR="005A72A1" w:rsidRPr="00913E39">
        <w:rPr>
          <w:rFonts w:ascii="Garamond" w:hAnsi="Garamond"/>
          <w:sz w:val="24"/>
        </w:rPr>
        <w:t>.</w:t>
      </w:r>
      <w:r w:rsidRPr="00913E39">
        <w:rPr>
          <w:rFonts w:ascii="Garamond" w:hAnsi="Garamond"/>
          <w:sz w:val="24"/>
        </w:rPr>
        <w:t xml:space="preserve"> Biznesi digjital: Shërbime të aksesueshme, proaktive dhe veprime të gatshme për biznes</w:t>
      </w:r>
      <w:r w:rsidR="005A72A1" w:rsidRPr="00913E39">
        <w:rPr>
          <w:rFonts w:ascii="Garamond" w:hAnsi="Garamond"/>
          <w:sz w:val="24"/>
        </w:rPr>
        <w:t>;</w:t>
      </w:r>
    </w:p>
    <w:p w14:paraId="5C879C44" w14:textId="40B1C398"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3</w:t>
      </w:r>
      <w:r w:rsidR="005A72A1" w:rsidRPr="00913E39">
        <w:rPr>
          <w:rFonts w:ascii="Garamond" w:hAnsi="Garamond"/>
          <w:sz w:val="24"/>
        </w:rPr>
        <w:t xml:space="preserve">. </w:t>
      </w:r>
      <w:r w:rsidRPr="00913E39">
        <w:rPr>
          <w:rFonts w:ascii="Garamond" w:hAnsi="Garamond"/>
          <w:sz w:val="24"/>
        </w:rPr>
        <w:t>Edukimi digjital dhe aftësitë digjitale: transformimi i të mësuarit dhe mësimdhënies</w:t>
      </w:r>
      <w:r w:rsidR="005A72A1" w:rsidRPr="00913E39">
        <w:rPr>
          <w:rFonts w:ascii="Garamond" w:hAnsi="Garamond"/>
          <w:sz w:val="24"/>
        </w:rPr>
        <w:t>;</w:t>
      </w:r>
      <w:r w:rsidRPr="00913E39">
        <w:rPr>
          <w:rFonts w:ascii="Garamond" w:hAnsi="Garamond"/>
          <w:sz w:val="24"/>
        </w:rPr>
        <w:t xml:space="preserve"> </w:t>
      </w:r>
    </w:p>
    <w:p w14:paraId="5982B485" w14:textId="7EA96C11"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4</w:t>
      </w:r>
      <w:r w:rsidR="005A72A1" w:rsidRPr="00913E39">
        <w:rPr>
          <w:rFonts w:ascii="Garamond" w:hAnsi="Garamond"/>
          <w:sz w:val="24"/>
        </w:rPr>
        <w:t xml:space="preserve">. </w:t>
      </w:r>
      <w:r w:rsidRPr="00913E39">
        <w:rPr>
          <w:rFonts w:ascii="Garamond" w:hAnsi="Garamond"/>
          <w:sz w:val="24"/>
        </w:rPr>
        <w:t>Qytetarët digjitalë: qytetarët dhe privatësia, transparenca e të dhënave dhe shërbimeve ndaj qytetarëve</w:t>
      </w:r>
      <w:r w:rsidR="005A72A1" w:rsidRPr="00913E39">
        <w:rPr>
          <w:rFonts w:ascii="Garamond" w:hAnsi="Garamond"/>
          <w:sz w:val="24"/>
        </w:rPr>
        <w:t>.</w:t>
      </w:r>
    </w:p>
    <w:p w14:paraId="065427AA" w14:textId="299602DE"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Programi Operacional Ekonomia dhe Shoqëria Digjitale synon të avancojë përpjekjet e vendit për të vijuar më tej procesin e digjitalizimit në tr</w:t>
      </w:r>
      <w:r w:rsidR="001B7903" w:rsidRPr="00913E39">
        <w:rPr>
          <w:rFonts w:ascii="Garamond" w:hAnsi="Garamond"/>
          <w:sz w:val="24"/>
        </w:rPr>
        <w:t>i</w:t>
      </w:r>
      <w:r w:rsidRPr="00913E39">
        <w:rPr>
          <w:rFonts w:ascii="Garamond" w:hAnsi="Garamond"/>
          <w:sz w:val="24"/>
        </w:rPr>
        <w:t xml:space="preserve"> nga katër shtyllat e mësipërme, dhe paralelisht do të mbështesë reformat sektoriale dhe përafrimin e legjislacionit kombëtar me </w:t>
      </w:r>
      <w:r w:rsidRPr="00913E39">
        <w:rPr>
          <w:rFonts w:ascii="Garamond" w:hAnsi="Garamond"/>
          <w:i/>
          <w:sz w:val="24"/>
        </w:rPr>
        <w:t xml:space="preserve">acquis </w:t>
      </w:r>
      <w:r w:rsidRPr="00913E39">
        <w:rPr>
          <w:rFonts w:ascii="Garamond" w:hAnsi="Garamond"/>
          <w:sz w:val="24"/>
        </w:rPr>
        <w:t xml:space="preserve">të BE-së. </w:t>
      </w:r>
    </w:p>
    <w:p w14:paraId="658253F6" w14:textId="232BEBFC"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xml:space="preserve">Programi Operacional është në përputhje me politikat kryesore të BE-së për Agjendën Digjitale, Agjendën Digjitale për Ballkanin Perëndimor dhe objektivat dhe </w:t>
      </w:r>
      <w:r w:rsidR="005A72A1" w:rsidRPr="00913E39">
        <w:rPr>
          <w:rFonts w:ascii="Garamond" w:hAnsi="Garamond"/>
          <w:sz w:val="24"/>
        </w:rPr>
        <w:t xml:space="preserve">ndërlidhja e fushës </w:t>
      </w:r>
      <w:r w:rsidRPr="00913E39">
        <w:rPr>
          <w:rFonts w:ascii="Garamond" w:hAnsi="Garamond"/>
          <w:sz w:val="24"/>
        </w:rPr>
        <w:t xml:space="preserve">3 të Kuadrit të Programimit IPA III. Ky Program Operacional ka dy </w:t>
      </w:r>
      <w:r w:rsidR="005A72A1" w:rsidRPr="00913E39">
        <w:rPr>
          <w:rFonts w:ascii="Garamond" w:hAnsi="Garamond"/>
          <w:sz w:val="24"/>
        </w:rPr>
        <w:t xml:space="preserve">fusha sektoriale të mbështetjes </w:t>
      </w:r>
      <w:r w:rsidRPr="00913E39">
        <w:rPr>
          <w:rFonts w:ascii="Garamond" w:hAnsi="Garamond"/>
          <w:sz w:val="24"/>
        </w:rPr>
        <w:t xml:space="preserve">dhe një </w:t>
      </w:r>
      <w:r w:rsidR="005A72A1" w:rsidRPr="00913E39">
        <w:rPr>
          <w:rFonts w:ascii="Garamond" w:hAnsi="Garamond"/>
          <w:sz w:val="24"/>
        </w:rPr>
        <w:t xml:space="preserve">fushë tjetër mbështetjeje e </w:t>
      </w:r>
      <w:r w:rsidRPr="00913E39">
        <w:rPr>
          <w:rFonts w:ascii="Garamond" w:hAnsi="Garamond"/>
          <w:sz w:val="24"/>
        </w:rPr>
        <w:t>fokusuar për menaxhimin dhe kontrollin e programit</w:t>
      </w:r>
      <w:r w:rsidR="00662001" w:rsidRPr="00913E39">
        <w:rPr>
          <w:rFonts w:ascii="Garamond" w:hAnsi="Garamond"/>
          <w:sz w:val="24"/>
        </w:rPr>
        <w:t xml:space="preserve">, </w:t>
      </w:r>
      <w:r w:rsidRPr="00913E39">
        <w:rPr>
          <w:rFonts w:ascii="Garamond" w:hAnsi="Garamond"/>
          <w:sz w:val="24"/>
        </w:rPr>
        <w:t xml:space="preserve">si dhe komunikimin dhe rritjen e ndërgjegjësimit. </w:t>
      </w:r>
    </w:p>
    <w:p w14:paraId="53DBEED7" w14:textId="77777777"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xml:space="preserve">Raporti DESI (Indeksi i Ekonomisë dhe Shoqërisë Digjitale) 2022 e paraqet Shqipërinë si performuesin më të mirë digjital në Ballkanin Perëndimor, kryesisht për shkak të shërbimeve elektronike të ofruara nga qeveria. Megjithatë, disa nën grupe të ekonomisë digjitale duhet të përmirësohen, duke përfshirë, </w:t>
      </w:r>
      <w:r w:rsidRPr="00913E39">
        <w:rPr>
          <w:rFonts w:ascii="Garamond" w:hAnsi="Garamond"/>
          <w:i/>
          <w:sz w:val="24"/>
        </w:rPr>
        <w:t>ndër të tjera</w:t>
      </w:r>
      <w:r w:rsidRPr="00913E39">
        <w:rPr>
          <w:rFonts w:ascii="Garamond" w:hAnsi="Garamond"/>
          <w:sz w:val="24"/>
        </w:rPr>
        <w:t>, aftësitë e kapitalit njerëzor (si në aspektin sasior ashtu edhe në atë cilësor), afrinë dhe menaxhimin e të dhënave voluminoze. Këto fusha janë vlerësuar për financim në kuadër të Programit.</w:t>
      </w:r>
    </w:p>
    <w:p w14:paraId="37668C37" w14:textId="6131FE5D"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xml:space="preserve">Për më tepër, veçanërisht në </w:t>
      </w:r>
      <w:r w:rsidR="00B52CE0" w:rsidRPr="00913E39">
        <w:rPr>
          <w:rFonts w:ascii="Garamond" w:hAnsi="Garamond"/>
          <w:sz w:val="24"/>
        </w:rPr>
        <w:t xml:space="preserve">fushën e mbështetjes </w:t>
      </w:r>
      <w:r w:rsidRPr="00913E39">
        <w:rPr>
          <w:rFonts w:ascii="Garamond" w:hAnsi="Garamond"/>
          <w:sz w:val="24"/>
        </w:rPr>
        <w:t xml:space="preserve">1 të paraqitur më poshtë, Programi do të ndihmojë në avancimin e përfshirjes sociale të komuniteteve me të ardhura të ulëta, rurale dhe të margjinalizuara dhe të pakicave rome dhe egjiptiane. Programi do të ketë gjithashtu një efekt pozitiv në sigurimin e aksesit më të mirë dhe më të drejtë në kujdes shëndetësor dhe arsim cilësor, në </w:t>
      </w:r>
      <w:r w:rsidRPr="00913E39">
        <w:rPr>
          <w:rFonts w:ascii="Garamond" w:hAnsi="Garamond"/>
          <w:sz w:val="24"/>
        </w:rPr>
        <w:lastRenderedPageBreak/>
        <w:t xml:space="preserve">kuadrin e </w:t>
      </w:r>
      <w:r w:rsidR="00FF4EAA" w:rsidRPr="00913E39">
        <w:rPr>
          <w:rFonts w:ascii="Garamond" w:hAnsi="Garamond"/>
          <w:sz w:val="24"/>
        </w:rPr>
        <w:t>s</w:t>
      </w:r>
      <w:r w:rsidRPr="00913E39">
        <w:rPr>
          <w:rFonts w:ascii="Garamond" w:hAnsi="Garamond"/>
          <w:sz w:val="24"/>
        </w:rPr>
        <w:t xml:space="preserve">ë drejtës për privatësi, duke pasur ndër të tjera një ndikim pozitiv për personat me aftësi të kufizuar. </w:t>
      </w:r>
    </w:p>
    <w:p w14:paraId="741DF936" w14:textId="3FA2A23C" w:rsidR="00847F23" w:rsidRPr="00913E39" w:rsidRDefault="00847F23" w:rsidP="00693B1A">
      <w:pPr>
        <w:spacing w:after="0" w:line="240" w:lineRule="auto"/>
        <w:ind w:firstLine="284"/>
        <w:jc w:val="both"/>
        <w:rPr>
          <w:rFonts w:ascii="Garamond" w:hAnsi="Garamond"/>
          <w:i/>
          <w:sz w:val="24"/>
        </w:rPr>
      </w:pPr>
      <w:r w:rsidRPr="00913E39">
        <w:rPr>
          <w:rFonts w:ascii="Garamond" w:hAnsi="Garamond"/>
          <w:i/>
          <w:sz w:val="24"/>
        </w:rPr>
        <w:t>Fusha e mbështetjes 1</w:t>
      </w:r>
      <w:r w:rsidR="007C63DF" w:rsidRPr="00913E39">
        <w:rPr>
          <w:rFonts w:ascii="Garamond" w:hAnsi="Garamond"/>
          <w:i/>
          <w:sz w:val="24"/>
        </w:rPr>
        <w:t>.</w:t>
      </w:r>
      <w:r w:rsidRPr="00913E39">
        <w:rPr>
          <w:rFonts w:ascii="Garamond" w:hAnsi="Garamond"/>
          <w:i/>
          <w:sz w:val="24"/>
        </w:rPr>
        <w:t xml:space="preserve"> Infrastruktura TIK për shërbime më të mira për shoqërinë</w:t>
      </w:r>
    </w:p>
    <w:p w14:paraId="3CEE87A6" w14:textId="4C4F81BA" w:rsidR="00847F23" w:rsidRPr="00913E39" w:rsidRDefault="00847F23" w:rsidP="00693B1A">
      <w:pPr>
        <w:widowControl w:val="0"/>
        <w:autoSpaceDE w:val="0"/>
        <w:autoSpaceDN w:val="0"/>
        <w:adjustRightInd w:val="0"/>
        <w:spacing w:after="0" w:line="240" w:lineRule="auto"/>
        <w:ind w:firstLine="284"/>
        <w:jc w:val="both"/>
        <w:rPr>
          <w:rFonts w:ascii="Garamond" w:hAnsi="Garamond"/>
          <w:sz w:val="24"/>
        </w:rPr>
      </w:pPr>
      <w:r w:rsidRPr="00913E39">
        <w:rPr>
          <w:rFonts w:ascii="Garamond" w:hAnsi="Garamond"/>
          <w:sz w:val="24"/>
        </w:rPr>
        <w:t>Në politikat kombëtare, ndër t</w:t>
      </w:r>
      <w:r w:rsidR="00FF4EAA" w:rsidRPr="00913E39">
        <w:rPr>
          <w:rFonts w:ascii="Garamond" w:hAnsi="Garamond"/>
          <w:sz w:val="24"/>
        </w:rPr>
        <w:t>ë</w:t>
      </w:r>
      <w:r w:rsidRPr="00913E39">
        <w:rPr>
          <w:rFonts w:ascii="Garamond" w:hAnsi="Garamond"/>
          <w:sz w:val="24"/>
        </w:rPr>
        <w:t xml:space="preserve"> tjera</w:t>
      </w:r>
      <w:r w:rsidR="00FF4EAA" w:rsidRPr="00913E39">
        <w:rPr>
          <w:rFonts w:ascii="Garamond" w:hAnsi="Garamond"/>
          <w:sz w:val="24"/>
        </w:rPr>
        <w:t>,</w:t>
      </w:r>
      <w:r w:rsidRPr="00913E39">
        <w:rPr>
          <w:rFonts w:ascii="Garamond" w:hAnsi="Garamond"/>
          <w:sz w:val="24"/>
        </w:rPr>
        <w:t xml:space="preserve"> me fokus në shëndetësi dhe arsim, duke nxitur transformimin inovativ digjital përmes inkurajimit të implementimit të platformave dhe politikave siç janë, për shembull, Shëndetësia digjitale dhe aftësitë digjitale në arsim.</w:t>
      </w:r>
    </w:p>
    <w:p w14:paraId="25D6CF09" w14:textId="230E2717" w:rsidR="00847F23" w:rsidRPr="00913E39" w:rsidRDefault="00847F23" w:rsidP="00693B1A">
      <w:pPr>
        <w:widowControl w:val="0"/>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Mungesa e lidhjes me shpejtësi të lartë në zonat rurale dhe të thella në Shqipëri shihet si problem për përdorimin efektiv të TIK-ut. Në këtë drejtim, Korniza e Investimeve në Ballkanin Perëndimor (WBIF) ka financuar </w:t>
      </w:r>
      <w:r w:rsidR="00331E2C" w:rsidRPr="00913E39">
        <w:rPr>
          <w:rFonts w:ascii="Garamond" w:hAnsi="Garamond"/>
          <w:sz w:val="24"/>
        </w:rPr>
        <w:t xml:space="preserve">një studim fizibiliteti, </w:t>
      </w:r>
      <w:r w:rsidRPr="00913E39">
        <w:rPr>
          <w:rFonts w:ascii="Garamond" w:hAnsi="Garamond"/>
          <w:sz w:val="24"/>
        </w:rPr>
        <w:t xml:space="preserve">i cili përfshin </w:t>
      </w:r>
      <w:r w:rsidR="006C7C29" w:rsidRPr="00913E39">
        <w:rPr>
          <w:rFonts w:ascii="Garamond" w:hAnsi="Garamond"/>
          <w:sz w:val="24"/>
        </w:rPr>
        <w:t xml:space="preserve">analizat e avantazheve dhe disavantazheve për </w:t>
      </w:r>
      <w:r w:rsidRPr="00913E39">
        <w:rPr>
          <w:rFonts w:ascii="Garamond" w:hAnsi="Garamond"/>
          <w:sz w:val="24"/>
        </w:rPr>
        <w:t xml:space="preserve">zhvillimin e komunikimit </w:t>
      </w:r>
      <w:r w:rsidRPr="00913E39">
        <w:rPr>
          <w:rFonts w:ascii="Garamond" w:hAnsi="Garamond"/>
          <w:i/>
          <w:sz w:val="24"/>
        </w:rPr>
        <w:t>broadband</w:t>
      </w:r>
      <w:r w:rsidRPr="00913E39">
        <w:rPr>
          <w:rFonts w:ascii="Garamond" w:hAnsi="Garamond"/>
          <w:sz w:val="24"/>
        </w:rPr>
        <w:t xml:space="preserve"> në Shqipëri për të mbështetur përgatitjen e dokumentacionit teknik të kërkuar për vendosjen e infrastrukturës fikse </w:t>
      </w:r>
      <w:r w:rsidRPr="00913E39">
        <w:rPr>
          <w:rFonts w:ascii="Garamond" w:hAnsi="Garamond"/>
          <w:i/>
          <w:sz w:val="24"/>
        </w:rPr>
        <w:t>broadband</w:t>
      </w:r>
      <w:r w:rsidRPr="00913E39">
        <w:rPr>
          <w:rFonts w:ascii="Garamond" w:hAnsi="Garamond"/>
          <w:sz w:val="24"/>
        </w:rPr>
        <w:t xml:space="preserve"> me shpejtësi të lartë. Gjithashtu, Agjencia Kombëtare e Shoqërisë së Informacionit, me grantin e WBIF, po kryen një studim fizibiliteti për shtrirjen e Rrjetit Qeveritar në qendrat shëndetësore në të gjithë vendin dhe në shkolla të përzgjedhura. Ky studim pritet të hapë rrugën që zyrat rajonale të të gjitha institucioneve, përfshirë qendrat shëndetësore dhe arsimore (përfshi shkollat) të kenë akses në internet me shpejtësi të lartë nëpërmjet </w:t>
      </w:r>
      <w:r w:rsidRPr="00913E39">
        <w:rPr>
          <w:rFonts w:ascii="Garamond" w:hAnsi="Garamond"/>
          <w:i/>
          <w:sz w:val="24"/>
        </w:rPr>
        <w:t>dark fiber</w:t>
      </w:r>
      <w:r w:rsidRPr="00913E39">
        <w:rPr>
          <w:rFonts w:ascii="Garamond" w:hAnsi="Garamond"/>
          <w:sz w:val="24"/>
        </w:rPr>
        <w:t>.</w:t>
      </w:r>
    </w:p>
    <w:p w14:paraId="3CD15D0B" w14:textId="33D88549" w:rsidR="00847F23" w:rsidRPr="00913E39" w:rsidRDefault="00847F23" w:rsidP="00693B1A">
      <w:pPr>
        <w:widowControl w:val="0"/>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Sipas Programit, </w:t>
      </w:r>
      <w:r w:rsidR="006C7C29" w:rsidRPr="00913E39">
        <w:rPr>
          <w:rFonts w:ascii="Garamond" w:hAnsi="Garamond"/>
          <w:sz w:val="24"/>
        </w:rPr>
        <w:t xml:space="preserve">fusha e mbështetjes 1 do të fokusohet në shëndetësia digjitale dhe edukimi </w:t>
      </w:r>
      <w:r w:rsidRPr="00913E39">
        <w:rPr>
          <w:rFonts w:ascii="Garamond" w:hAnsi="Garamond"/>
          <w:sz w:val="24"/>
        </w:rPr>
        <w:t xml:space="preserve">digjital respektivisht, si më poshtë: </w:t>
      </w:r>
    </w:p>
    <w:p w14:paraId="46EB417E" w14:textId="262386BF" w:rsidR="00847F23" w:rsidRPr="00913E39" w:rsidRDefault="00847F23" w:rsidP="00693B1A">
      <w:pPr>
        <w:widowControl w:val="0"/>
        <w:autoSpaceDE w:val="0"/>
        <w:autoSpaceDN w:val="0"/>
        <w:adjustRightInd w:val="0"/>
        <w:spacing w:after="0" w:line="240" w:lineRule="auto"/>
        <w:ind w:firstLine="284"/>
        <w:jc w:val="both"/>
        <w:rPr>
          <w:rFonts w:ascii="Garamond" w:hAnsi="Garamond"/>
          <w:sz w:val="24"/>
        </w:rPr>
      </w:pPr>
      <w:r w:rsidRPr="00913E39">
        <w:rPr>
          <w:rFonts w:ascii="Garamond" w:hAnsi="Garamond"/>
          <w:b/>
          <w:sz w:val="24"/>
        </w:rPr>
        <w:t>Shëndetësia digjitale</w:t>
      </w:r>
      <w:r w:rsidR="00331E2C" w:rsidRPr="00913E39">
        <w:rPr>
          <w:rFonts w:ascii="Garamond" w:hAnsi="Garamond"/>
          <w:b/>
          <w:sz w:val="24"/>
        </w:rPr>
        <w:t>.</w:t>
      </w:r>
      <w:r w:rsidRPr="00913E39">
        <w:rPr>
          <w:rFonts w:ascii="Garamond" w:hAnsi="Garamond"/>
          <w:sz w:val="24"/>
        </w:rPr>
        <w:t xml:space="preserve"> Në përputhje me </w:t>
      </w:r>
      <w:r w:rsidR="00DB24A2" w:rsidRPr="00913E39">
        <w:rPr>
          <w:rFonts w:ascii="Garamond" w:hAnsi="Garamond"/>
          <w:sz w:val="24"/>
          <w:shd w:val="clear" w:color="auto" w:fill="FFFFFF"/>
        </w:rPr>
        <w:t>d</w:t>
      </w:r>
      <w:r w:rsidRPr="00913E39">
        <w:rPr>
          <w:rFonts w:ascii="Garamond" w:hAnsi="Garamond"/>
          <w:sz w:val="24"/>
          <w:shd w:val="clear" w:color="auto" w:fill="FFFFFF"/>
        </w:rPr>
        <w:t>irektivën 2011/24/BE të Parlamentit dhe Këshillit Evropian</w:t>
      </w:r>
      <w:r w:rsidR="006C7C29" w:rsidRPr="00913E39">
        <w:rPr>
          <w:rFonts w:ascii="Garamond" w:hAnsi="Garamond"/>
          <w:sz w:val="24"/>
          <w:shd w:val="clear" w:color="auto" w:fill="FFFFFF"/>
        </w:rPr>
        <w:t>,</w:t>
      </w:r>
      <w:r w:rsidRPr="00913E39">
        <w:rPr>
          <w:rFonts w:ascii="Garamond" w:hAnsi="Garamond"/>
          <w:sz w:val="24"/>
          <w:shd w:val="clear" w:color="auto" w:fill="FFFFFF"/>
        </w:rPr>
        <w:t xml:space="preserve"> të datës 9 mars 2011</w:t>
      </w:r>
      <w:r w:rsidR="006C7C29" w:rsidRPr="00913E39">
        <w:rPr>
          <w:rFonts w:ascii="Garamond" w:hAnsi="Garamond"/>
          <w:sz w:val="24"/>
          <w:shd w:val="clear" w:color="auto" w:fill="FFFFFF"/>
        </w:rPr>
        <w:t>,</w:t>
      </w:r>
      <w:r w:rsidRPr="00913E39">
        <w:rPr>
          <w:rFonts w:ascii="Garamond" w:hAnsi="Garamond"/>
          <w:sz w:val="24"/>
          <w:shd w:val="clear" w:color="auto" w:fill="FFFFFF"/>
        </w:rPr>
        <w:t xml:space="preserve"> mbi zbatimin e të drejtave të pacientëve në kujdesin shëndetësor ndërshtetëror</w:t>
      </w:r>
      <w:r w:rsidR="006C7C29" w:rsidRPr="00913E39">
        <w:rPr>
          <w:rFonts w:ascii="Garamond" w:hAnsi="Garamond"/>
          <w:sz w:val="24"/>
          <w:shd w:val="clear" w:color="auto" w:fill="FFFFFF"/>
        </w:rPr>
        <w:t>,</w:t>
      </w:r>
      <w:r w:rsidRPr="00913E39">
        <w:rPr>
          <w:rFonts w:ascii="Garamond" w:hAnsi="Garamond"/>
          <w:sz w:val="24"/>
        </w:rPr>
        <w:t xml:space="preserve"> si dhe </w:t>
      </w:r>
      <w:r w:rsidR="00961102" w:rsidRPr="00913E39">
        <w:rPr>
          <w:rFonts w:ascii="Garamond" w:hAnsi="Garamond"/>
          <w:sz w:val="24"/>
        </w:rPr>
        <w:t xml:space="preserve">rekomandimin </w:t>
      </w:r>
      <w:r w:rsidRPr="00913E39">
        <w:rPr>
          <w:rFonts w:ascii="Garamond" w:hAnsi="Garamond"/>
          <w:sz w:val="24"/>
        </w:rPr>
        <w:t>e Komisionit C(2019) 800 Final</w:t>
      </w:r>
      <w:r w:rsidR="006C7C29" w:rsidRPr="00913E39">
        <w:rPr>
          <w:rFonts w:ascii="Garamond" w:hAnsi="Garamond"/>
          <w:sz w:val="24"/>
        </w:rPr>
        <w:t>,</w:t>
      </w:r>
      <w:r w:rsidRPr="00913E39">
        <w:rPr>
          <w:rFonts w:ascii="Garamond" w:hAnsi="Garamond"/>
          <w:sz w:val="24"/>
        </w:rPr>
        <w:t xml:space="preserve"> datë 6.2.2019</w:t>
      </w:r>
      <w:r w:rsidR="006C7C29" w:rsidRPr="00913E39">
        <w:rPr>
          <w:rFonts w:ascii="Garamond" w:hAnsi="Garamond"/>
          <w:sz w:val="24"/>
        </w:rPr>
        <w:t>,</w:t>
      </w:r>
      <w:r w:rsidRPr="00913E39">
        <w:rPr>
          <w:rFonts w:ascii="Garamond" w:hAnsi="Garamond"/>
          <w:sz w:val="24"/>
        </w:rPr>
        <w:t xml:space="preserve"> për format shkëmbimi të Regjistrit Elektronik Shëndetësor Evropian dhe </w:t>
      </w:r>
      <w:r w:rsidR="007C63DF" w:rsidRPr="00913E39">
        <w:rPr>
          <w:rFonts w:ascii="Garamond" w:hAnsi="Garamond"/>
          <w:sz w:val="24"/>
        </w:rPr>
        <w:t xml:space="preserve">shtyllën </w:t>
      </w:r>
      <w:r w:rsidRPr="00913E39">
        <w:rPr>
          <w:rFonts w:ascii="Garamond" w:hAnsi="Garamond"/>
          <w:sz w:val="24"/>
        </w:rPr>
        <w:t>1 të Agjendës Digjitale të Shqipërisë 2022</w:t>
      </w:r>
      <w:r w:rsidR="00B52CE0" w:rsidRPr="00913E39">
        <w:rPr>
          <w:rFonts w:ascii="Garamond" w:eastAsia="Times New Roman" w:hAnsi="Garamond" w:cs="Times New Roman"/>
          <w:sz w:val="24"/>
          <w:szCs w:val="24"/>
          <w:shd w:val="clear" w:color="auto" w:fill="FFFFFF"/>
          <w:lang w:eastAsia="ja-JP"/>
        </w:rPr>
        <w:t>–</w:t>
      </w:r>
      <w:r w:rsidRPr="00913E39">
        <w:rPr>
          <w:rFonts w:ascii="Garamond" w:hAnsi="Garamond"/>
          <w:sz w:val="24"/>
        </w:rPr>
        <w:t>2026, Programi do të mbështesë digjitalizimin e të dhënave shëndetësore dhe krijimin e sistemeve që mundësojnë aksesin e tyre të sigurt nga qytetarët, duke përfshirë ata vulnerabël, dhe ndarjen e sigurt brenda dhe ndërmjet aktorëve të ndryshëm në sistemin shëndetësor (pacientët, ekipet e tyre klinike në komunitet dhe qendrat spitalore) si një hap i rëndësishëm drejt integrimit të teknologjive digjitale në drejtim të shëndetit dhe kujdesit. Ky integrim kërkon që të dhënat elektronike shëndetësore të jenë ndërveprueshme në të gjithë Shqipërinë. </w:t>
      </w:r>
    </w:p>
    <w:p w14:paraId="4A3C5816" w14:textId="62C261E4" w:rsidR="00847F23" w:rsidRPr="00913E39" w:rsidRDefault="00847F23" w:rsidP="00693B1A">
      <w:pPr>
        <w:shd w:val="clear" w:color="auto" w:fill="FFFFFF"/>
        <w:spacing w:after="0" w:line="240" w:lineRule="auto"/>
        <w:ind w:firstLine="284"/>
        <w:jc w:val="both"/>
        <w:rPr>
          <w:rFonts w:ascii="Garamond" w:eastAsia="Times New Roman" w:hAnsi="Garamond" w:cs="Times New Roman"/>
          <w:sz w:val="24"/>
          <w:szCs w:val="24"/>
          <w:lang w:eastAsia="ja-JP"/>
        </w:rPr>
      </w:pPr>
      <w:r w:rsidRPr="00913E39">
        <w:rPr>
          <w:rFonts w:ascii="Garamond" w:hAnsi="Garamond"/>
          <w:sz w:val="24"/>
        </w:rPr>
        <w:t xml:space="preserve">Megjithëse pjesë të rëndësishme të sistemit të informacionit të shëndetësisë digjitale tashmë janë funksionionale, mungojnë funksionalitete të tilla si një Regjistër Elektronik Shëndetësor për mundësimin e versionit elektronik të historikut mjekësor të çdo pacienti dhe një Sistem i Informacionit për Radiologjinë për menaxhimin e imazheve mjekësore dhe të dhënave të lidhura me to. </w:t>
      </w:r>
      <w:r w:rsidRPr="00913E39">
        <w:rPr>
          <w:rFonts w:ascii="Garamond" w:eastAsia="Times New Roman" w:hAnsi="Garamond" w:cs="Times New Roman"/>
          <w:sz w:val="24"/>
          <w:szCs w:val="24"/>
          <w:lang w:eastAsia="ja-JP"/>
        </w:rPr>
        <w:t xml:space="preserve">Nëpërmjet aksesit </w:t>
      </w:r>
      <w:r w:rsidRPr="00913E39">
        <w:rPr>
          <w:rFonts w:ascii="Garamond" w:eastAsia="Times New Roman" w:hAnsi="Garamond" w:cs="Times New Roman"/>
          <w:i/>
          <w:sz w:val="24"/>
          <w:szCs w:val="24"/>
          <w:lang w:eastAsia="ja-JP"/>
        </w:rPr>
        <w:t>online</w:t>
      </w:r>
      <w:r w:rsidRPr="00913E39">
        <w:rPr>
          <w:rFonts w:ascii="Garamond" w:eastAsia="Times New Roman" w:hAnsi="Garamond" w:cs="Times New Roman"/>
          <w:sz w:val="24"/>
          <w:szCs w:val="24"/>
          <w:lang w:eastAsia="ja-JP"/>
        </w:rPr>
        <w:t xml:space="preserve"> për të dhënat dhe informacionin e të dhënave të pacientit, do të shmangen testet ose trajtimet e panevojshme dhe do të përshpejtohet ofrimi i trajtimit ose procedurave të shpejta/urgjente. Standardet për sigurinë dhe mbrojtjen e të dhënave do të sigurohen në përputhje me kërkesat e </w:t>
      </w:r>
      <w:r w:rsidR="00B52CE0" w:rsidRPr="00913E39">
        <w:rPr>
          <w:rFonts w:ascii="Garamond" w:eastAsia="Times New Roman" w:hAnsi="Garamond" w:cs="Times New Roman"/>
          <w:sz w:val="24"/>
          <w:szCs w:val="24"/>
          <w:lang w:eastAsia="ja-JP"/>
        </w:rPr>
        <w:t>rregullores së përgjithshme për mbrojtjen e të dhënave</w:t>
      </w:r>
      <w:r w:rsidRPr="00913E39">
        <w:rPr>
          <w:rFonts w:ascii="Garamond" w:eastAsia="Times New Roman" w:hAnsi="Garamond" w:cs="Times New Roman"/>
          <w:sz w:val="24"/>
          <w:szCs w:val="24"/>
          <w:lang w:eastAsia="ja-JP"/>
        </w:rPr>
        <w:t>. Programi do</w:t>
      </w:r>
      <w:r w:rsidRPr="00913E39">
        <w:rPr>
          <w:rFonts w:ascii="Garamond" w:eastAsia="Times New Roman" w:hAnsi="Garamond" w:cs="Times New Roman"/>
          <w:sz w:val="24"/>
          <w:szCs w:val="24"/>
          <w:shd w:val="clear" w:color="auto" w:fill="FFFFFF"/>
          <w:lang w:eastAsia="ja-JP"/>
        </w:rPr>
        <w:t xml:space="preserve"> </w:t>
      </w:r>
      <w:r w:rsidRPr="00913E39">
        <w:rPr>
          <w:rFonts w:ascii="Garamond" w:eastAsia="Times New Roman" w:hAnsi="Garamond" w:cs="Times New Roman"/>
          <w:sz w:val="24"/>
          <w:szCs w:val="24"/>
          <w:lang w:eastAsia="ja-JP"/>
        </w:rPr>
        <w:t>mbështesë studimet e nevojshme për të krijuar sistemin dhe për të zgjeruar blerjen e pajisjeve (serverat, arkivin) dhe programin (ose përmirësimin, modifikimin e tij) në bazë të standardeve të BE-së për shërbimet shëndetësia digjitale (IHE/HL7/CDA</w:t>
      </w:r>
      <w:r w:rsidRPr="00913E39">
        <w:rPr>
          <w:rFonts w:ascii="Garamond" w:hAnsi="Garamond"/>
          <w:sz w:val="24"/>
          <w:vertAlign w:val="superscript"/>
        </w:rPr>
        <w:footnoteReference w:id="3"/>
      </w:r>
      <w:r w:rsidRPr="00913E39">
        <w:rPr>
          <w:rFonts w:ascii="Garamond" w:eastAsia="Times New Roman" w:hAnsi="Garamond" w:cs="Times New Roman"/>
          <w:sz w:val="24"/>
          <w:szCs w:val="24"/>
          <w:lang w:eastAsia="ja-JP"/>
        </w:rPr>
        <w:t>, DCOM). Do të mbështeten gjithashtu aktivitetet e komunikimit dhe rritjes së ndërgjegjësimit.</w:t>
      </w:r>
    </w:p>
    <w:p w14:paraId="080C319E" w14:textId="4C0F8008" w:rsidR="00847F23" w:rsidRPr="00913E39" w:rsidRDefault="00847F23" w:rsidP="00693B1A">
      <w:pPr>
        <w:shd w:val="clear" w:color="auto" w:fill="FFFFFF"/>
        <w:spacing w:after="0" w:line="240" w:lineRule="auto"/>
        <w:ind w:firstLine="284"/>
        <w:jc w:val="both"/>
        <w:rPr>
          <w:rFonts w:ascii="Garamond" w:eastAsia="Times New Roman" w:hAnsi="Garamond" w:cs="Times New Roman"/>
          <w:sz w:val="24"/>
          <w:szCs w:val="24"/>
          <w:lang w:eastAsia="ja-JP"/>
        </w:rPr>
      </w:pPr>
      <w:r w:rsidRPr="00913E39">
        <w:rPr>
          <w:rFonts w:ascii="Garamond" w:eastAsia="Times New Roman" w:hAnsi="Garamond" w:cs="Times New Roman"/>
          <w:b/>
          <w:bCs/>
          <w:sz w:val="24"/>
          <w:szCs w:val="24"/>
          <w:shd w:val="clear" w:color="auto" w:fill="FFFFFF"/>
          <w:lang w:eastAsia="ja-JP"/>
        </w:rPr>
        <w:t xml:space="preserve">Edukimi </w:t>
      </w:r>
      <w:r w:rsidR="00331E2C" w:rsidRPr="00913E39">
        <w:rPr>
          <w:rFonts w:ascii="Garamond" w:eastAsia="Times New Roman" w:hAnsi="Garamond" w:cs="Times New Roman"/>
          <w:b/>
          <w:bCs/>
          <w:sz w:val="24"/>
          <w:szCs w:val="24"/>
          <w:shd w:val="clear" w:color="auto" w:fill="FFFFFF"/>
          <w:lang w:eastAsia="ja-JP"/>
        </w:rPr>
        <w:t>digjital</w:t>
      </w:r>
      <w:r w:rsidRPr="00913E39">
        <w:rPr>
          <w:rFonts w:ascii="Garamond" w:eastAsia="Times New Roman" w:hAnsi="Garamond" w:cs="Times New Roman"/>
          <w:sz w:val="24"/>
          <w:szCs w:val="24"/>
          <w:shd w:val="clear" w:color="auto" w:fill="FFFFFF"/>
          <w:lang w:eastAsia="ja-JP"/>
        </w:rPr>
        <w:t xml:space="preserve">. Ndërhyrja në këtë </w:t>
      </w:r>
      <w:r w:rsidR="00B52CE0" w:rsidRPr="00913E39">
        <w:rPr>
          <w:rFonts w:ascii="Garamond" w:eastAsia="Times New Roman" w:hAnsi="Garamond" w:cs="Times New Roman"/>
          <w:sz w:val="24"/>
          <w:szCs w:val="24"/>
          <w:shd w:val="clear" w:color="auto" w:fill="FFFFFF"/>
          <w:lang w:eastAsia="ja-JP"/>
        </w:rPr>
        <w:t xml:space="preserve">fushë të mbështetjes </w:t>
      </w:r>
      <w:r w:rsidRPr="00913E39">
        <w:rPr>
          <w:rFonts w:ascii="Garamond" w:eastAsia="Times New Roman" w:hAnsi="Garamond" w:cs="Times New Roman"/>
          <w:sz w:val="24"/>
          <w:szCs w:val="24"/>
          <w:shd w:val="clear" w:color="auto" w:fill="FFFFFF"/>
          <w:lang w:eastAsia="ja-JP"/>
        </w:rPr>
        <w:t>do të ndihmojë në zbatimin</w:t>
      </w:r>
      <w:r w:rsidRPr="00913E39">
        <w:rPr>
          <w:rFonts w:ascii="Garamond" w:eastAsia="Times New Roman" w:hAnsi="Garamond" w:cs="Times New Roman"/>
          <w:sz w:val="24"/>
          <w:szCs w:val="24"/>
          <w:lang w:eastAsia="ja-JP"/>
        </w:rPr>
        <w:t xml:space="preserve"> e Strategjisë Kombëtare të Arsimit 2021</w:t>
      </w:r>
      <w:r w:rsidR="00B52CE0" w:rsidRPr="00913E39">
        <w:rPr>
          <w:rFonts w:ascii="Garamond" w:eastAsia="Times New Roman" w:hAnsi="Garamond" w:cs="Times New Roman"/>
          <w:sz w:val="24"/>
          <w:szCs w:val="24"/>
          <w:lang w:eastAsia="ja-JP"/>
        </w:rPr>
        <w:t>–</w:t>
      </w:r>
      <w:r w:rsidRPr="00913E39">
        <w:rPr>
          <w:rFonts w:ascii="Garamond" w:eastAsia="Times New Roman" w:hAnsi="Garamond" w:cs="Times New Roman"/>
          <w:sz w:val="24"/>
          <w:szCs w:val="24"/>
          <w:lang w:eastAsia="ja-JP"/>
        </w:rPr>
        <w:t>2026</w:t>
      </w:r>
      <w:r w:rsidR="00B52CE0" w:rsidRPr="00913E39">
        <w:rPr>
          <w:rFonts w:ascii="Garamond" w:eastAsia="Times New Roman" w:hAnsi="Garamond" w:cs="Times New Roman"/>
          <w:sz w:val="24"/>
          <w:szCs w:val="24"/>
          <w:lang w:eastAsia="ja-JP"/>
        </w:rPr>
        <w:t xml:space="preserve"> </w:t>
      </w:r>
      <w:r w:rsidRPr="00913E39">
        <w:rPr>
          <w:rFonts w:ascii="Garamond" w:eastAsia="Times New Roman" w:hAnsi="Garamond" w:cs="Times New Roman"/>
          <w:sz w:val="24"/>
          <w:szCs w:val="24"/>
          <w:lang w:eastAsia="ja-JP"/>
        </w:rPr>
        <w:t xml:space="preserve">duke mbështetur përmirësimin e zhvillimit profesional dhe trajnimin e mësuesve, me fokus të veçantë në aftësitë pedagogjike që lidhen me zbatimin e modelit gjithëpërfshirës të bazuar në njohuritë kompjuterike të nivelit parauniversitar dhe në përputhje me </w:t>
      </w:r>
      <w:r w:rsidR="00B52CE0" w:rsidRPr="00913E39">
        <w:rPr>
          <w:rFonts w:ascii="Garamond" w:eastAsia="Times New Roman" w:hAnsi="Garamond" w:cs="Times New Roman"/>
          <w:sz w:val="24"/>
          <w:szCs w:val="24"/>
          <w:lang w:eastAsia="ja-JP"/>
        </w:rPr>
        <w:t xml:space="preserve">shtyllën </w:t>
      </w:r>
      <w:r w:rsidRPr="00913E39">
        <w:rPr>
          <w:rFonts w:ascii="Garamond" w:eastAsia="Times New Roman" w:hAnsi="Garamond" w:cs="Times New Roman"/>
          <w:sz w:val="24"/>
          <w:szCs w:val="24"/>
          <w:lang w:eastAsia="ja-JP"/>
        </w:rPr>
        <w:t>3 të Agjendës Digjitale për Shqipërinë 2022</w:t>
      </w:r>
      <w:r w:rsidR="00B52CE0" w:rsidRPr="00913E39">
        <w:rPr>
          <w:rFonts w:ascii="Garamond" w:eastAsia="Times New Roman" w:hAnsi="Garamond" w:cs="Times New Roman"/>
          <w:sz w:val="24"/>
          <w:szCs w:val="24"/>
          <w:shd w:val="clear" w:color="auto" w:fill="FFFFFF"/>
          <w:lang w:eastAsia="ja-JP"/>
        </w:rPr>
        <w:t>–</w:t>
      </w:r>
      <w:r w:rsidRPr="00913E39">
        <w:rPr>
          <w:rFonts w:ascii="Garamond" w:eastAsia="Times New Roman" w:hAnsi="Garamond" w:cs="Times New Roman"/>
          <w:sz w:val="24"/>
          <w:szCs w:val="24"/>
          <w:lang w:eastAsia="ja-JP"/>
        </w:rPr>
        <w:t xml:space="preserve">2026. Programi </w:t>
      </w:r>
      <w:r w:rsidRPr="00913E39">
        <w:rPr>
          <w:rFonts w:ascii="Garamond" w:eastAsia="Times New Roman" w:hAnsi="Garamond" w:cs="Times New Roman"/>
          <w:sz w:val="24"/>
          <w:szCs w:val="24"/>
          <w:shd w:val="clear" w:color="auto" w:fill="FFFFFF"/>
          <w:lang w:eastAsia="ja-JP"/>
        </w:rPr>
        <w:t xml:space="preserve">do të mbështesë reformën e kurrikulave të orientuara drejt TIK-ut të zhvilluara për ciklin e shkollës së mesme </w:t>
      </w:r>
      <w:r w:rsidR="00B52CE0" w:rsidRPr="00913E39">
        <w:rPr>
          <w:rFonts w:ascii="Garamond" w:eastAsia="Times New Roman" w:hAnsi="Garamond" w:cs="Times New Roman"/>
          <w:sz w:val="24"/>
          <w:szCs w:val="24"/>
          <w:shd w:val="clear" w:color="auto" w:fill="FFFFFF"/>
          <w:lang w:eastAsia="ja-JP"/>
        </w:rPr>
        <w:t>–</w:t>
      </w:r>
      <w:r w:rsidRPr="00913E39">
        <w:rPr>
          <w:rFonts w:ascii="Garamond" w:eastAsia="Times New Roman" w:hAnsi="Garamond" w:cs="Times New Roman"/>
          <w:sz w:val="24"/>
          <w:szCs w:val="24"/>
          <w:shd w:val="clear" w:color="auto" w:fill="FFFFFF"/>
          <w:lang w:eastAsia="ja-JP"/>
        </w:rPr>
        <w:t xml:space="preserve"> tre</w:t>
      </w:r>
      <w:r w:rsidR="00B52CE0" w:rsidRPr="00913E39">
        <w:rPr>
          <w:rFonts w:ascii="Garamond" w:eastAsia="Times New Roman" w:hAnsi="Garamond" w:cs="Times New Roman"/>
          <w:sz w:val="24"/>
          <w:szCs w:val="24"/>
          <w:shd w:val="clear" w:color="auto" w:fill="FFFFFF"/>
          <w:lang w:eastAsia="ja-JP"/>
        </w:rPr>
        <w:t xml:space="preserve"> </w:t>
      </w:r>
      <w:r w:rsidRPr="00913E39">
        <w:rPr>
          <w:rFonts w:ascii="Garamond" w:eastAsia="Times New Roman" w:hAnsi="Garamond" w:cs="Times New Roman"/>
          <w:sz w:val="24"/>
          <w:szCs w:val="24"/>
          <w:shd w:val="clear" w:color="auto" w:fill="FFFFFF"/>
          <w:lang w:eastAsia="ja-JP"/>
        </w:rPr>
        <w:t xml:space="preserve">vitet e fundit të arsimit parauniversitar </w:t>
      </w:r>
      <w:r w:rsidR="00B52CE0" w:rsidRPr="00913E39">
        <w:rPr>
          <w:rFonts w:ascii="Garamond" w:eastAsia="Times New Roman" w:hAnsi="Garamond" w:cs="Times New Roman"/>
          <w:sz w:val="24"/>
          <w:szCs w:val="24"/>
          <w:shd w:val="clear" w:color="auto" w:fill="FFFFFF"/>
          <w:lang w:eastAsia="ja-JP"/>
        </w:rPr>
        <w:t>–</w:t>
      </w:r>
      <w:r w:rsidRPr="00913E39">
        <w:rPr>
          <w:rFonts w:ascii="Garamond" w:eastAsia="Times New Roman" w:hAnsi="Garamond" w:cs="Times New Roman"/>
          <w:sz w:val="24"/>
          <w:szCs w:val="24"/>
          <w:shd w:val="clear" w:color="auto" w:fill="FFFFFF"/>
          <w:lang w:eastAsia="ja-JP"/>
        </w:rPr>
        <w:t xml:space="preserve"> si</w:t>
      </w:r>
      <w:r w:rsidR="00B52CE0" w:rsidRPr="00913E39">
        <w:rPr>
          <w:rFonts w:ascii="Garamond" w:eastAsia="Times New Roman" w:hAnsi="Garamond" w:cs="Times New Roman"/>
          <w:sz w:val="24"/>
          <w:szCs w:val="24"/>
          <w:shd w:val="clear" w:color="auto" w:fill="FFFFFF"/>
          <w:lang w:eastAsia="ja-JP"/>
        </w:rPr>
        <w:t xml:space="preserve"> </w:t>
      </w:r>
      <w:r w:rsidRPr="00913E39">
        <w:rPr>
          <w:rFonts w:ascii="Garamond" w:eastAsia="Times New Roman" w:hAnsi="Garamond" w:cs="Times New Roman"/>
          <w:sz w:val="24"/>
          <w:szCs w:val="24"/>
          <w:shd w:val="clear" w:color="auto" w:fill="FFFFFF"/>
          <w:lang w:eastAsia="ja-JP"/>
        </w:rPr>
        <w:t>dhe trajnimin e mësuesve mbi aftësitë digjitale dhe përdorimin e TIK-ut për qëllime didaktike për të siguruar transformimin digjital efektiv dhe afatgjatë të arsimit dhe ofrimin e pajisjeve (laptopë) për mësuesit e shkollave të mesme.</w:t>
      </w:r>
      <w:r w:rsidRPr="00913E39">
        <w:rPr>
          <w:rFonts w:ascii="Garamond" w:eastAsia="Times New Roman" w:hAnsi="Garamond" w:cs="Times New Roman"/>
          <w:sz w:val="24"/>
          <w:szCs w:val="24"/>
          <w:lang w:eastAsia="ja-JP"/>
        </w:rPr>
        <w:t xml:space="preserve"> Programi</w:t>
      </w:r>
      <w:r w:rsidRPr="00913E39">
        <w:rPr>
          <w:rFonts w:ascii="Garamond" w:eastAsia="Times New Roman" w:hAnsi="Garamond" w:cs="Times New Roman"/>
          <w:sz w:val="24"/>
          <w:szCs w:val="24"/>
          <w:shd w:val="clear" w:color="auto" w:fill="FFFFFF"/>
          <w:lang w:eastAsia="ja-JP"/>
        </w:rPr>
        <w:t xml:space="preserve"> </w:t>
      </w:r>
      <w:r w:rsidRPr="00913E39">
        <w:rPr>
          <w:rFonts w:ascii="Garamond" w:eastAsia="Times New Roman" w:hAnsi="Garamond" w:cs="Times New Roman"/>
          <w:sz w:val="24"/>
          <w:szCs w:val="24"/>
          <w:lang w:eastAsia="ja-JP"/>
        </w:rPr>
        <w:t xml:space="preserve">gjithashtu </w:t>
      </w:r>
      <w:r w:rsidRPr="00913E39">
        <w:rPr>
          <w:rFonts w:ascii="Garamond" w:eastAsia="Times New Roman" w:hAnsi="Garamond" w:cs="Times New Roman"/>
          <w:sz w:val="24"/>
          <w:szCs w:val="24"/>
          <w:shd w:val="clear" w:color="auto" w:fill="FFFFFF"/>
          <w:lang w:eastAsia="ja-JP"/>
        </w:rPr>
        <w:t xml:space="preserve">do të sigurojë akses në edukimin digjital në shkolla për fëmijët në nevojë, duke përfshirë </w:t>
      </w:r>
      <w:r w:rsidRPr="00913E39">
        <w:rPr>
          <w:rFonts w:ascii="Garamond" w:eastAsia="Times New Roman" w:hAnsi="Garamond" w:cs="Times New Roman"/>
          <w:sz w:val="24"/>
          <w:szCs w:val="24"/>
          <w:shd w:val="clear" w:color="auto" w:fill="FFFFFF"/>
          <w:lang w:eastAsia="ja-JP"/>
        </w:rPr>
        <w:lastRenderedPageBreak/>
        <w:t xml:space="preserve">ofrimin e laptopëve dhe emërimin e mësuesve të aftë. Do të mbështeten gjithashtu aktivitetet e komunikimit dhe rritjes së ndërgjegjësimit. </w:t>
      </w:r>
    </w:p>
    <w:p w14:paraId="56D823E8" w14:textId="623C47AD" w:rsidR="00847F23" w:rsidRPr="00913E39" w:rsidRDefault="00847F23" w:rsidP="00693B1A">
      <w:pPr>
        <w:spacing w:after="0" w:line="240" w:lineRule="auto"/>
        <w:ind w:firstLine="284"/>
        <w:jc w:val="both"/>
        <w:rPr>
          <w:rFonts w:ascii="Garamond" w:eastAsia="Times New Roman" w:hAnsi="Garamond" w:cs="Times New Roman"/>
          <w:sz w:val="24"/>
          <w:szCs w:val="24"/>
          <w:shd w:val="clear" w:color="auto" w:fill="FFFFFF"/>
        </w:rPr>
      </w:pPr>
      <w:r w:rsidRPr="00913E39">
        <w:rPr>
          <w:rFonts w:ascii="Garamond" w:eastAsia="Times New Roman" w:hAnsi="Garamond" w:cs="Times New Roman"/>
          <w:sz w:val="24"/>
          <w:szCs w:val="24"/>
          <w:shd w:val="clear" w:color="auto" w:fill="FFFFFF"/>
        </w:rPr>
        <w:t xml:space="preserve">Kjo do të kërkojë ndryshime në standardet, mjetet dhe profilet ekzistuese mësimore, të cilat do të mbështeten në kuadër të Programit. Ndërhyrjet do të përmirësojnë aksesin e studentëve në tregun e punës në mënyrë të tërthortë. Të gjitha sa më sipër do të çojnë </w:t>
      </w:r>
      <w:r w:rsidRPr="00913E39">
        <w:rPr>
          <w:rFonts w:ascii="Garamond" w:hAnsi="Garamond"/>
          <w:sz w:val="24"/>
          <w:shd w:val="clear" w:color="auto" w:fill="FFFFFF"/>
        </w:rPr>
        <w:t>në një digjitalizim më të avancuar të sistemit arsimor kombëtar d</w:t>
      </w:r>
      <w:r w:rsidRPr="00913E39">
        <w:rPr>
          <w:rFonts w:ascii="Garamond" w:eastAsia="Times New Roman" w:hAnsi="Garamond" w:cs="Times New Roman"/>
          <w:sz w:val="24"/>
          <w:szCs w:val="24"/>
          <w:shd w:val="clear" w:color="auto" w:fill="FFFFFF"/>
        </w:rPr>
        <w:t>uke përmirësuar rezultatet e të nxënit të nxënësve në nivelin parauniversitar dhe duke hapur më shumë mundësi punësimi për ta, në përputhje, ndër të tjera, me rekomandimin e Raportit 2022 DESI të Komisionit: Kapital më i mirë njerëzor për një digjitalizim më të avancuar të ekonomisë shqiptare. Programi do të mundësojë gjithashtu forcimin e kapaciteteve institucionale për përdoruesit e sistemit të përmirësuar me synimin për një bashkëpunim digjital më efektiv mes mësuesve, nxënësve dhe familjeve të tyre. Siç u përmend më parë, kjo nismë në kuadër të</w:t>
      </w:r>
      <w:r w:rsidRPr="00913E39">
        <w:rPr>
          <w:rFonts w:ascii="Garamond" w:eastAsia="Times New Roman" w:hAnsi="Garamond" w:cs="Times New Roman"/>
          <w:sz w:val="24"/>
          <w:szCs w:val="24"/>
        </w:rPr>
        <w:t xml:space="preserve"> </w:t>
      </w:r>
      <w:r w:rsidRPr="00913E39">
        <w:rPr>
          <w:rFonts w:ascii="Garamond" w:eastAsia="Times New Roman" w:hAnsi="Garamond" w:cs="Times New Roman"/>
          <w:sz w:val="24"/>
          <w:szCs w:val="24"/>
          <w:shd w:val="clear" w:color="auto" w:fill="FFFFFF"/>
        </w:rPr>
        <w:t xml:space="preserve">edukimit digjital synon ciklin e shkollës së mesme. Për sa i përket gjithëpërfshirjes, ky është prioritet i Ministrisë së Arsimit dhe Sportit (MAS) siç parashikohet në </w:t>
      </w:r>
      <w:r w:rsidR="00850FC7" w:rsidRPr="00913E39">
        <w:rPr>
          <w:rFonts w:ascii="Garamond" w:eastAsia="Times New Roman" w:hAnsi="Garamond" w:cs="Times New Roman"/>
          <w:sz w:val="24"/>
          <w:szCs w:val="24"/>
          <w:shd w:val="clear" w:color="auto" w:fill="FFFFFF"/>
        </w:rPr>
        <w:t>“</w:t>
      </w:r>
      <w:r w:rsidRPr="00913E39">
        <w:rPr>
          <w:rFonts w:ascii="Garamond" w:eastAsia="Times New Roman" w:hAnsi="Garamond" w:cs="Times New Roman"/>
          <w:sz w:val="24"/>
          <w:szCs w:val="24"/>
          <w:shd w:val="clear" w:color="auto" w:fill="FFFFFF"/>
        </w:rPr>
        <w:t>Strategjinë e Arsimit</w:t>
      </w:r>
      <w:r w:rsidR="00850FC7" w:rsidRPr="00913E39">
        <w:rPr>
          <w:rFonts w:ascii="Garamond" w:eastAsia="Times New Roman" w:hAnsi="Garamond" w:cs="Times New Roman"/>
          <w:sz w:val="24"/>
          <w:szCs w:val="24"/>
          <w:shd w:val="clear" w:color="auto" w:fill="FFFFFF"/>
        </w:rPr>
        <w:t>”</w:t>
      </w:r>
      <w:r w:rsidRPr="00913E39">
        <w:rPr>
          <w:rFonts w:ascii="Garamond" w:eastAsia="Times New Roman" w:hAnsi="Garamond" w:cs="Times New Roman"/>
          <w:sz w:val="24"/>
          <w:szCs w:val="24"/>
          <w:shd w:val="clear" w:color="auto" w:fill="FFFFFF"/>
        </w:rPr>
        <w:t xml:space="preserve">. Në lidhje me përfshirjen digjitale, MAS-i po i kushton vëmendje të veçantë arsimit në shkollat kolektive dhe shkollat me numër të vogël nxënësish, të gjitha të vendosura në komunitete rurale dhe në nevojë, në disa projekte që janë duke u zbatuar. Për shembull, AKSHI dhe MAS, me mbështetjen e WBIF dhe CEB, po zhvillojnë një projekt në shkolla në lidhje me sigurimin e </w:t>
      </w:r>
      <w:r w:rsidRPr="00913E39">
        <w:rPr>
          <w:rFonts w:ascii="Garamond" w:eastAsia="Times New Roman" w:hAnsi="Garamond" w:cs="Times New Roman"/>
          <w:i/>
          <w:sz w:val="24"/>
          <w:szCs w:val="24"/>
          <w:shd w:val="clear" w:color="auto" w:fill="FFFFFF"/>
        </w:rPr>
        <w:t>SmartLabs</w:t>
      </w:r>
      <w:r w:rsidRPr="00913E39">
        <w:rPr>
          <w:rFonts w:ascii="Garamond" w:eastAsia="Times New Roman" w:hAnsi="Garamond" w:cs="Times New Roman"/>
          <w:sz w:val="24"/>
          <w:szCs w:val="24"/>
          <w:shd w:val="clear" w:color="auto" w:fill="FFFFFF"/>
        </w:rPr>
        <w:t>. Projekti aplikohet në 25 shkolla pu</w:t>
      </w:r>
      <w:r w:rsidR="005B3100" w:rsidRPr="00913E39">
        <w:rPr>
          <w:rFonts w:ascii="Garamond" w:eastAsia="Times New Roman" w:hAnsi="Garamond" w:cs="Times New Roman"/>
          <w:sz w:val="24"/>
          <w:szCs w:val="24"/>
          <w:shd w:val="clear" w:color="auto" w:fill="FFFFFF"/>
        </w:rPr>
        <w:t>b</w:t>
      </w:r>
      <w:r w:rsidRPr="00913E39">
        <w:rPr>
          <w:rFonts w:ascii="Garamond" w:eastAsia="Times New Roman" w:hAnsi="Garamond" w:cs="Times New Roman"/>
          <w:sz w:val="24"/>
          <w:szCs w:val="24"/>
          <w:shd w:val="clear" w:color="auto" w:fill="FFFFFF"/>
        </w:rPr>
        <w:t>like dhe 35 shkolla të mesme me më pak se 81 nxënës. Një tjetër ndërhyrje është Programi GovTech,</w:t>
      </w:r>
      <w:r w:rsidR="005B3100" w:rsidRPr="00913E39">
        <w:rPr>
          <w:rFonts w:ascii="Garamond" w:eastAsia="Times New Roman" w:hAnsi="Garamond" w:cs="Times New Roman"/>
          <w:sz w:val="24"/>
          <w:szCs w:val="24"/>
          <w:shd w:val="clear" w:color="auto" w:fill="FFFFFF"/>
        </w:rPr>
        <w:t xml:space="preserve"> </w:t>
      </w:r>
      <w:r w:rsidRPr="00913E39">
        <w:rPr>
          <w:rFonts w:ascii="Garamond" w:eastAsia="Times New Roman" w:hAnsi="Garamond" w:cs="Times New Roman"/>
          <w:sz w:val="24"/>
          <w:szCs w:val="24"/>
          <w:shd w:val="clear" w:color="auto" w:fill="FFFFFF"/>
        </w:rPr>
        <w:t>i cili do të financohet nga Banka Botërore,</w:t>
      </w:r>
      <w:r w:rsidRPr="00913E39">
        <w:rPr>
          <w:rFonts w:ascii="Garamond" w:eastAsia="Times New Roman" w:hAnsi="Garamond" w:cs="Times New Roman"/>
          <w:sz w:val="24"/>
          <w:szCs w:val="24"/>
        </w:rPr>
        <w:t xml:space="preserve"> </w:t>
      </w:r>
      <w:r w:rsidRPr="00913E39">
        <w:rPr>
          <w:rFonts w:ascii="Garamond" w:eastAsia="Times New Roman" w:hAnsi="Garamond" w:cs="Times New Roman"/>
          <w:sz w:val="24"/>
          <w:szCs w:val="24"/>
          <w:shd w:val="clear" w:color="auto" w:fill="FFFFFF"/>
        </w:rPr>
        <w:t xml:space="preserve">dhe synon fusha të ndryshme, si përmirësimin e ofrimit të shërbimeve publike, trajtimin e aftësive digjitale dhe mundësuesve parësorë të GovTech. Programi GovTech synon krijimin e </w:t>
      </w:r>
      <w:r w:rsidR="006C7C29" w:rsidRPr="00913E39">
        <w:rPr>
          <w:rFonts w:ascii="Garamond" w:eastAsia="Times New Roman" w:hAnsi="Garamond" w:cs="Times New Roman"/>
          <w:sz w:val="24"/>
          <w:szCs w:val="24"/>
          <w:shd w:val="clear" w:color="auto" w:fill="FFFFFF"/>
        </w:rPr>
        <w:t xml:space="preserve">216 laboratorëve </w:t>
      </w:r>
      <w:r w:rsidR="006C7C29" w:rsidRPr="00913E39">
        <w:rPr>
          <w:rFonts w:ascii="Garamond" w:eastAsia="Times New Roman" w:hAnsi="Garamond" w:cs="Times New Roman"/>
          <w:i/>
          <w:sz w:val="24"/>
          <w:szCs w:val="24"/>
          <w:shd w:val="clear" w:color="auto" w:fill="FFFFFF"/>
        </w:rPr>
        <w:t>smart</w:t>
      </w:r>
      <w:r w:rsidRPr="00913E39">
        <w:rPr>
          <w:rFonts w:ascii="Garamond" w:eastAsia="Times New Roman" w:hAnsi="Garamond" w:cs="Times New Roman"/>
          <w:sz w:val="24"/>
          <w:szCs w:val="24"/>
          <w:shd w:val="clear" w:color="auto" w:fill="FFFFFF"/>
        </w:rPr>
        <w:t>, duke i kushtuar vëmendje të veçantë shkollave në zonat rurale dhe ato në komunitetet e margjinalizuara.</w:t>
      </w:r>
    </w:p>
    <w:p w14:paraId="6EF9EE4A" w14:textId="214A7E10" w:rsidR="00847F23" w:rsidRPr="00913E39" w:rsidRDefault="00847F23" w:rsidP="00693B1A">
      <w:pPr>
        <w:spacing w:after="0" w:line="240" w:lineRule="auto"/>
        <w:ind w:firstLine="284"/>
        <w:jc w:val="both"/>
        <w:rPr>
          <w:rFonts w:ascii="Garamond" w:eastAsia="Times New Roman" w:hAnsi="Garamond" w:cs="Times New Roman"/>
          <w:sz w:val="24"/>
          <w:szCs w:val="24"/>
          <w:shd w:val="clear" w:color="auto" w:fill="FFFFFF"/>
        </w:rPr>
      </w:pPr>
      <w:r w:rsidRPr="00913E39">
        <w:rPr>
          <w:rFonts w:ascii="Garamond" w:eastAsia="Times New Roman" w:hAnsi="Garamond" w:cs="Times New Roman"/>
          <w:sz w:val="24"/>
          <w:szCs w:val="24"/>
          <w:shd w:val="clear" w:color="auto" w:fill="FFFFFF"/>
        </w:rPr>
        <w:t>Që nga viti 2023, Shqipëria ka marrë pjesë edhe si vëzhguese në pilotimin për vendet në zgjerim, në kuadër të </w:t>
      </w:r>
      <w:r w:rsidRPr="00913E39">
        <w:rPr>
          <w:rFonts w:ascii="Garamond" w:hAnsi="Garamond"/>
          <w:sz w:val="24"/>
          <w:shd w:val="clear" w:color="auto" w:fill="FFFFFF"/>
        </w:rPr>
        <w:t>Instrumentit të</w:t>
      </w:r>
      <w:r w:rsidRPr="00913E39">
        <w:rPr>
          <w:rFonts w:ascii="Garamond" w:eastAsia="Times New Roman" w:hAnsi="Garamond" w:cs="Times New Roman"/>
          <w:sz w:val="24"/>
          <w:szCs w:val="24"/>
          <w:shd w:val="clear" w:color="auto" w:fill="FFFFFF"/>
        </w:rPr>
        <w:t xml:space="preserve"> Mbështetjes Teknike</w:t>
      </w:r>
      <w:r w:rsidRPr="00913E39">
        <w:rPr>
          <w:rFonts w:ascii="Garamond" w:hAnsi="Garamond"/>
          <w:sz w:val="24"/>
          <w:shd w:val="clear" w:color="auto" w:fill="FFFFFF"/>
          <w:vertAlign w:val="superscript"/>
        </w:rPr>
        <w:footnoteReference w:id="4"/>
      </w:r>
      <w:r w:rsidRPr="00913E39">
        <w:rPr>
          <w:rFonts w:ascii="Garamond" w:eastAsia="Times New Roman" w:hAnsi="Garamond" w:cs="Times New Roman"/>
          <w:sz w:val="24"/>
          <w:szCs w:val="24"/>
          <w:shd w:val="clear" w:color="auto" w:fill="FFFFFF"/>
        </w:rPr>
        <w:t>. Shqipëria vë theksin në një projekt shumëpalësh të zbatuar për Portugalinë, Holandën dhe Spanjën për pjesëmarrjen qytetare dhe teknologjitë e reja në zhvillim. Synimi i projektit pilot është të përshpejtojë anëtarësimin në BE të vendeve në zgjerim duke vendosur lidhje ndërmjet vendeve të zgjerimit dhe shteteve anëtare të BE-së dhe duke i njohur vendet në zgjerim me llojet e reformave dhe projekteve të zbatuara nga shtetet anëtare të BE-së pas anëtarësimit.</w:t>
      </w:r>
      <w:bookmarkStart w:id="5" w:name="_Hlk162350214"/>
    </w:p>
    <w:p w14:paraId="05377603" w14:textId="1364E8FA" w:rsidR="00847F23" w:rsidRPr="00913E39" w:rsidRDefault="00847F23" w:rsidP="00693B1A">
      <w:pPr>
        <w:spacing w:after="0" w:line="240" w:lineRule="auto"/>
        <w:ind w:firstLine="284"/>
        <w:jc w:val="both"/>
        <w:rPr>
          <w:rFonts w:ascii="Garamond" w:eastAsia="Times New Roman" w:hAnsi="Garamond" w:cs="Times New Roman"/>
          <w:bCs/>
          <w:i/>
          <w:sz w:val="24"/>
          <w:szCs w:val="24"/>
        </w:rPr>
      </w:pPr>
      <w:r w:rsidRPr="00913E39">
        <w:rPr>
          <w:rFonts w:ascii="Garamond" w:eastAsia="Times New Roman" w:hAnsi="Garamond" w:cs="Times New Roman"/>
          <w:bCs/>
          <w:i/>
          <w:sz w:val="24"/>
          <w:szCs w:val="24"/>
        </w:rPr>
        <w:t>Fusha e mbështetjes 2: Integrimi me sistemet e teknologjisë së informacionit të BE-së, siguria kibernetike dhe ndërlidhja digjitale</w:t>
      </w:r>
    </w:p>
    <w:bookmarkEnd w:id="5"/>
    <w:p w14:paraId="3BB6FE92" w14:textId="5EE72240" w:rsidR="00847F23" w:rsidRPr="00913E39" w:rsidRDefault="00847F23" w:rsidP="00693B1A">
      <w:pPr>
        <w:autoSpaceDE w:val="0"/>
        <w:autoSpaceDN w:val="0"/>
        <w:adjustRightInd w:val="0"/>
        <w:spacing w:after="0" w:line="240" w:lineRule="auto"/>
        <w:ind w:firstLine="284"/>
        <w:jc w:val="both"/>
        <w:rPr>
          <w:rFonts w:ascii="Garamond" w:eastAsia="Times New Roman" w:hAnsi="Garamond" w:cs="Times New Roman"/>
          <w:sz w:val="24"/>
          <w:szCs w:val="24"/>
        </w:rPr>
      </w:pPr>
      <w:r w:rsidRPr="00913E39">
        <w:rPr>
          <w:rFonts w:ascii="Garamond" w:eastAsia="Times New Roman" w:hAnsi="Garamond" w:cs="Times New Roman"/>
          <w:sz w:val="24"/>
          <w:szCs w:val="24"/>
        </w:rPr>
        <w:t xml:space="preserve">Sipas </w:t>
      </w:r>
      <w:r w:rsidR="00331E2C" w:rsidRPr="00913E39">
        <w:rPr>
          <w:rFonts w:ascii="Garamond" w:eastAsia="Times New Roman" w:hAnsi="Garamond" w:cs="Times New Roman"/>
          <w:sz w:val="24"/>
          <w:szCs w:val="24"/>
        </w:rPr>
        <w:t xml:space="preserve">shtyllës </w:t>
      </w:r>
      <w:r w:rsidRPr="00913E39">
        <w:rPr>
          <w:rFonts w:ascii="Garamond" w:eastAsia="Times New Roman" w:hAnsi="Garamond" w:cs="Times New Roman"/>
          <w:sz w:val="24"/>
          <w:szCs w:val="24"/>
        </w:rPr>
        <w:t>1 të Agjendës Digjitale të Shqipërisë 2022</w:t>
      </w:r>
      <w:r w:rsidR="007C63DF" w:rsidRPr="00913E39">
        <w:rPr>
          <w:rFonts w:ascii="Garamond" w:eastAsia="Times New Roman" w:hAnsi="Garamond" w:cs="Times New Roman"/>
          <w:sz w:val="24"/>
          <w:szCs w:val="24"/>
          <w:shd w:val="clear" w:color="auto" w:fill="FFFFFF"/>
          <w:lang w:eastAsia="ja-JP"/>
        </w:rPr>
        <w:t>–</w:t>
      </w:r>
      <w:r w:rsidRPr="00913E39">
        <w:rPr>
          <w:rFonts w:ascii="Garamond" w:eastAsia="Times New Roman" w:hAnsi="Garamond" w:cs="Times New Roman"/>
          <w:sz w:val="24"/>
          <w:szCs w:val="24"/>
        </w:rPr>
        <w:t xml:space="preserve">2026, ndërhyrja në </w:t>
      </w:r>
      <w:r w:rsidR="00331E2C" w:rsidRPr="00913E39">
        <w:rPr>
          <w:rFonts w:ascii="Garamond" w:eastAsia="Times New Roman" w:hAnsi="Garamond" w:cs="Times New Roman"/>
          <w:sz w:val="24"/>
          <w:szCs w:val="24"/>
        </w:rPr>
        <w:t>fushën e mbështetjes 2 do të zbat</w:t>
      </w:r>
      <w:r w:rsidRPr="00913E39">
        <w:rPr>
          <w:rFonts w:ascii="Garamond" w:eastAsia="Times New Roman" w:hAnsi="Garamond" w:cs="Times New Roman"/>
          <w:sz w:val="24"/>
          <w:szCs w:val="24"/>
        </w:rPr>
        <w:t>ojë masa të rëndësishme për të luftuar korrupsionin, si dhe për të rritur kapacitetin e sigurisë kibernetike dhe luftën kundër krimit kibernetik. Kjo ndërhyrje do të sigurojë sinergji në parandalimin, gatishmërinë dhe reagimin ndaj sulmeve kibernetike, në përputhje me nismën rajonale të sigurisë kibernetike (DG NEAR D1, 2023</w:t>
      </w:r>
      <w:r w:rsidR="007C63DF" w:rsidRPr="00913E39">
        <w:rPr>
          <w:rFonts w:ascii="Garamond" w:eastAsia="Times New Roman" w:hAnsi="Garamond" w:cs="Times New Roman"/>
          <w:sz w:val="24"/>
          <w:szCs w:val="24"/>
          <w:shd w:val="clear" w:color="auto" w:fill="FFFFFF"/>
          <w:lang w:eastAsia="ja-JP"/>
        </w:rPr>
        <w:t>–</w:t>
      </w:r>
      <w:r w:rsidRPr="00913E39">
        <w:rPr>
          <w:rFonts w:ascii="Garamond" w:eastAsia="Times New Roman" w:hAnsi="Garamond" w:cs="Times New Roman"/>
          <w:sz w:val="24"/>
          <w:szCs w:val="24"/>
        </w:rPr>
        <w:t>2026). Mbështetja e BE-së do të përqendrohet në prioritetet e mëposhtme:</w:t>
      </w:r>
    </w:p>
    <w:p w14:paraId="1E141879" w14:textId="498F1B12" w:rsidR="00847F23" w:rsidRPr="00913E39" w:rsidRDefault="00847F23" w:rsidP="00FC4C60">
      <w:pPr>
        <w:spacing w:after="0" w:line="240" w:lineRule="auto"/>
        <w:ind w:firstLine="284"/>
        <w:jc w:val="both"/>
        <w:rPr>
          <w:rFonts w:ascii="Garamond" w:eastAsia="Times New Roman" w:hAnsi="Garamond" w:cs="Times New Roman"/>
          <w:sz w:val="24"/>
          <w:szCs w:val="24"/>
        </w:rPr>
      </w:pPr>
      <w:bookmarkStart w:id="6" w:name="_Hlk137915884"/>
      <w:r w:rsidRPr="00913E39">
        <w:rPr>
          <w:rFonts w:ascii="Garamond" w:eastAsia="Times New Roman" w:hAnsi="Garamond" w:cs="Times New Roman"/>
          <w:b/>
          <w:bCs/>
          <w:sz w:val="24"/>
          <w:szCs w:val="24"/>
        </w:rPr>
        <w:t xml:space="preserve">Tatimet. </w:t>
      </w:r>
      <w:r w:rsidRPr="00913E39">
        <w:rPr>
          <w:rFonts w:ascii="Garamond" w:eastAsia="Times New Roman" w:hAnsi="Garamond" w:cs="Times New Roman"/>
          <w:sz w:val="24"/>
          <w:szCs w:val="24"/>
        </w:rPr>
        <w:t xml:space="preserve">Mbështetja e BE-së do të nxisë digjitalizimin në sektorin e tatimeve sipas </w:t>
      </w:r>
      <w:r w:rsidR="00961102" w:rsidRPr="00913E39">
        <w:rPr>
          <w:rFonts w:ascii="Garamond" w:eastAsia="Times New Roman" w:hAnsi="Garamond" w:cs="Times New Roman"/>
          <w:sz w:val="24"/>
          <w:szCs w:val="24"/>
        </w:rPr>
        <w:t>s</w:t>
      </w:r>
      <w:r w:rsidRPr="00913E39">
        <w:rPr>
          <w:rFonts w:ascii="Garamond" w:eastAsia="Times New Roman" w:hAnsi="Garamond" w:cs="Times New Roman"/>
          <w:sz w:val="24"/>
          <w:szCs w:val="24"/>
        </w:rPr>
        <w:t>htyllës 1 të Agjendës Digjitale për Shqipërinë 2022</w:t>
      </w:r>
      <w:r w:rsidR="007C63DF" w:rsidRPr="00913E39">
        <w:rPr>
          <w:rFonts w:ascii="Garamond" w:eastAsia="Times New Roman" w:hAnsi="Garamond" w:cs="Times New Roman"/>
          <w:sz w:val="24"/>
          <w:szCs w:val="24"/>
          <w:shd w:val="clear" w:color="auto" w:fill="FFFFFF"/>
          <w:lang w:eastAsia="ja-JP"/>
        </w:rPr>
        <w:t>–</w:t>
      </w:r>
      <w:r w:rsidRPr="00913E39">
        <w:rPr>
          <w:rFonts w:ascii="Garamond" w:eastAsia="Times New Roman" w:hAnsi="Garamond" w:cs="Times New Roman"/>
          <w:sz w:val="24"/>
          <w:szCs w:val="24"/>
        </w:rPr>
        <w:t xml:space="preserve">2026. </w:t>
      </w:r>
      <w:r w:rsidRPr="00913E39">
        <w:rPr>
          <w:rFonts w:ascii="Garamond" w:hAnsi="Garamond"/>
          <w:sz w:val="24"/>
        </w:rPr>
        <w:t xml:space="preserve">Fokusi kryesor është integrimi dhe ndërveprimi i sistemit kombëtar të tatimeve me VIES/VIDA, duke zbatuar </w:t>
      </w:r>
      <w:r w:rsidR="00961102" w:rsidRPr="00913E39">
        <w:rPr>
          <w:rFonts w:ascii="Garamond" w:hAnsi="Garamond"/>
          <w:sz w:val="24"/>
        </w:rPr>
        <w:t>d</w:t>
      </w:r>
      <w:r w:rsidRPr="00913E39">
        <w:rPr>
          <w:rFonts w:ascii="Garamond" w:hAnsi="Garamond"/>
          <w:sz w:val="24"/>
        </w:rPr>
        <w:t xml:space="preserve">irektivën e Këshillit 2006/112/EC të 28 </w:t>
      </w:r>
      <w:r w:rsidR="007C63DF" w:rsidRPr="00913E39">
        <w:rPr>
          <w:rFonts w:ascii="Garamond" w:hAnsi="Garamond"/>
          <w:sz w:val="24"/>
        </w:rPr>
        <w:t xml:space="preserve">nëntorit </w:t>
      </w:r>
      <w:r w:rsidRPr="00913E39">
        <w:rPr>
          <w:rFonts w:ascii="Garamond" w:hAnsi="Garamond"/>
          <w:sz w:val="24"/>
        </w:rPr>
        <w:t xml:space="preserve">2006 që vendos sistemin e përbashkët </w:t>
      </w:r>
      <w:r w:rsidR="007C63DF" w:rsidRPr="00913E39">
        <w:rPr>
          <w:rFonts w:ascii="Garamond" w:hAnsi="Garamond"/>
          <w:sz w:val="24"/>
        </w:rPr>
        <w:t xml:space="preserve">të tatimit mbi vlerën e shtuar </w:t>
      </w:r>
      <w:r w:rsidRPr="00913E39">
        <w:rPr>
          <w:rFonts w:ascii="Garamond" w:hAnsi="Garamond"/>
          <w:sz w:val="24"/>
        </w:rPr>
        <w:t xml:space="preserve">(TVSH) brenda Bashkimit Evropian, dhe Raportimi </w:t>
      </w:r>
      <w:r w:rsidR="007C63DF" w:rsidRPr="00913E39">
        <w:rPr>
          <w:rFonts w:ascii="Garamond" w:hAnsi="Garamond"/>
          <w:sz w:val="24"/>
        </w:rPr>
        <w:t xml:space="preserve">sipas </w:t>
      </w:r>
      <w:r w:rsidRPr="00913E39">
        <w:rPr>
          <w:rFonts w:ascii="Garamond" w:hAnsi="Garamond"/>
          <w:sz w:val="24"/>
        </w:rPr>
        <w:t xml:space="preserve">Vendeve (standardi OECD) për të përmbushur kërkesat e </w:t>
      </w:r>
      <w:r w:rsidR="00DB24A2" w:rsidRPr="00913E39">
        <w:rPr>
          <w:rFonts w:ascii="Garamond" w:hAnsi="Garamond"/>
          <w:sz w:val="24"/>
        </w:rPr>
        <w:t xml:space="preserve">direktivit </w:t>
      </w:r>
      <w:r w:rsidRPr="00913E39">
        <w:rPr>
          <w:rFonts w:ascii="Garamond" w:hAnsi="Garamond"/>
          <w:sz w:val="24"/>
        </w:rPr>
        <w:t xml:space="preserve">të Këshillit 2016/881/EU të 25 </w:t>
      </w:r>
      <w:r w:rsidR="0067569D" w:rsidRPr="00913E39">
        <w:rPr>
          <w:rFonts w:ascii="Garamond" w:hAnsi="Garamond"/>
          <w:sz w:val="24"/>
        </w:rPr>
        <w:t xml:space="preserve">majit </w:t>
      </w:r>
      <w:r w:rsidRPr="00913E39">
        <w:rPr>
          <w:rFonts w:ascii="Garamond" w:hAnsi="Garamond"/>
          <w:sz w:val="24"/>
        </w:rPr>
        <w:t xml:space="preserve">2016 që ndryshon </w:t>
      </w:r>
      <w:r w:rsidR="00DB24A2" w:rsidRPr="00913E39">
        <w:rPr>
          <w:rFonts w:ascii="Garamond" w:hAnsi="Garamond"/>
          <w:sz w:val="24"/>
        </w:rPr>
        <w:t xml:space="preserve">direktivën </w:t>
      </w:r>
      <w:r w:rsidRPr="00913E39">
        <w:rPr>
          <w:rFonts w:ascii="Garamond" w:hAnsi="Garamond"/>
          <w:sz w:val="24"/>
        </w:rPr>
        <w:t xml:space="preserve">2011/16/EU në lidhje me shkëmbimin e detyruar automatik të informacionit në fushën e tatimeve (DAC4 - ende pa u harmonizuar). Veprimi i planifikuar i Programit do të ndihmojë në monitorimin më të mirë të të ardhurave të buxhetit dhe do të mbështesë decentralizimin fiskal në të ardhmen duke reduktuar hendekun e TVSH-së, duke adresuar punën e padeklaruar dhe duke hetuar pasurinë ose fitimin e pasurisë të paqartë, për të kontribuar kështu në luftën kundër korrupsionit, në parandalimin e shmangien e deklaratave/ pagesave tatimore, menaxhimin më të mirë të borxhit publik, adresimin </w:t>
      </w:r>
      <w:r w:rsidRPr="00913E39">
        <w:rPr>
          <w:rFonts w:ascii="Garamond" w:hAnsi="Garamond"/>
          <w:sz w:val="24"/>
        </w:rPr>
        <w:lastRenderedPageBreak/>
        <w:t>e informalitetit etj. </w:t>
      </w:r>
      <w:r w:rsidRPr="00913E39">
        <w:rPr>
          <w:rFonts w:ascii="Garamond" w:eastAsia="Times New Roman" w:hAnsi="Garamond" w:cs="Times New Roman"/>
          <w:sz w:val="24"/>
          <w:szCs w:val="24"/>
        </w:rPr>
        <w:t>Programi do të mbështesë miratimin e ligjeve/rregulloreve përkatëse, ofrimin e zgjidhjeve të përshtatshme të programeve kompjuterike, ngritjen e kapaciteteve të konsumatorëve në forma të ndryshme, komunikimin me palët e interesuara dhe ndërgjegjësimin e publikut të gjerë.</w:t>
      </w:r>
    </w:p>
    <w:p w14:paraId="03FB8A4A" w14:textId="77CA1C63" w:rsidR="00847F23" w:rsidRPr="00913E39" w:rsidRDefault="00847F23" w:rsidP="00FC4C60">
      <w:pPr>
        <w:spacing w:after="0" w:line="240" w:lineRule="auto"/>
        <w:ind w:firstLine="284"/>
        <w:jc w:val="both"/>
        <w:rPr>
          <w:rFonts w:ascii="Garamond" w:eastAsia="Times New Roman" w:hAnsi="Garamond" w:cs="Times New Roman"/>
          <w:sz w:val="24"/>
          <w:szCs w:val="24"/>
        </w:rPr>
      </w:pPr>
      <w:bookmarkStart w:id="7" w:name="_Hlk137971221"/>
      <w:r w:rsidRPr="00913E39">
        <w:rPr>
          <w:rFonts w:ascii="Garamond" w:eastAsia="Times New Roman" w:hAnsi="Garamond" w:cs="Times New Roman"/>
          <w:b/>
          <w:bCs/>
          <w:sz w:val="24"/>
          <w:szCs w:val="24"/>
        </w:rPr>
        <w:t xml:space="preserve">Siguria kibernetike. </w:t>
      </w:r>
      <w:r w:rsidRPr="00913E39">
        <w:rPr>
          <w:rFonts w:ascii="Garamond" w:eastAsia="Times New Roman" w:hAnsi="Garamond" w:cs="Times New Roman"/>
          <w:sz w:val="24"/>
          <w:szCs w:val="24"/>
        </w:rPr>
        <w:t>Kjo është një fushë thelbësore e politikave të BE-së, siç pasqyrohet në propozimin e Komisionit të datës 18 prill 2023 për të ndryshuar Aktin e BE-së për Sigurinë Kibernetike</w:t>
      </w:r>
      <w:r w:rsidRPr="00913E39">
        <w:rPr>
          <w:rFonts w:ascii="Garamond" w:hAnsi="Garamond"/>
          <w:sz w:val="24"/>
          <w:vertAlign w:val="superscript"/>
        </w:rPr>
        <w:footnoteReference w:id="5"/>
      </w:r>
      <w:r w:rsidRPr="00913E39">
        <w:rPr>
          <w:rFonts w:ascii="Garamond" w:eastAsia="Times New Roman" w:hAnsi="Garamond" w:cs="Times New Roman"/>
          <w:sz w:val="24"/>
          <w:szCs w:val="24"/>
        </w:rPr>
        <w:t>, dhe është gjithashtu një fushë reformuese prioritare nën Planin e Investimeve Ekonomike për Ballkanin Perëndimor. Objektivi specifik i mbështetjes në këtë fushë është të përmirësojë aftësinë e autoriteteve shqiptare për t</w:t>
      </w:r>
      <w:r w:rsidR="005222A5"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 xml:space="preserve">u mbrojtur kundër kërcënimeve kibernetike duke forcuar ndërgjegjësimin kibernetik, aftësinë analitike parandaluese, si edhe qëndrueshmërinë kibernetike dhe reagimin e organizatave të sektorit publik që marrin pjesë në rrjetin e menaxhimit të sigurisë kibernetike të infrastrukturave kritike të informacionit. Programi përfshin një grup masash gjithëpërfshirëse për të mbrojtur informacionin dhe të dhënat sekrete dhe të klasifikuara. Kjo përfshin rritjen e </w:t>
      </w:r>
      <w:r w:rsidRPr="00913E39">
        <w:rPr>
          <w:rFonts w:ascii="Garamond" w:hAnsi="Garamond"/>
          <w:sz w:val="24"/>
        </w:rPr>
        <w:t>kapaciteti fizik hostues të qendrës së të dhënave qeveritare (</w:t>
      </w:r>
      <w:r w:rsidRPr="00913E39">
        <w:rPr>
          <w:rFonts w:ascii="Garamond" w:hAnsi="Garamond"/>
          <w:i/>
          <w:sz w:val="24"/>
        </w:rPr>
        <w:t>Datacenter</w:t>
      </w:r>
      <w:r w:rsidRPr="00913E39">
        <w:rPr>
          <w:rFonts w:ascii="Garamond" w:hAnsi="Garamond"/>
          <w:sz w:val="24"/>
        </w:rPr>
        <w:t xml:space="preserve">-i qeveritar) </w:t>
      </w:r>
      <w:r w:rsidRPr="00913E39">
        <w:rPr>
          <w:rFonts w:ascii="Garamond" w:eastAsia="Times New Roman" w:hAnsi="Garamond" w:cs="Times New Roman"/>
          <w:sz w:val="24"/>
          <w:szCs w:val="24"/>
        </w:rPr>
        <w:t xml:space="preserve">dhe përmirësimin e pajisjeve të lidhura me </w:t>
      </w:r>
      <w:r w:rsidRPr="00913E39">
        <w:rPr>
          <w:rFonts w:ascii="Garamond" w:eastAsia="Times New Roman" w:hAnsi="Garamond" w:cs="Times New Roman"/>
          <w:i/>
          <w:sz w:val="24"/>
          <w:szCs w:val="24"/>
        </w:rPr>
        <w:t>hardware/software</w:t>
      </w:r>
      <w:r w:rsidR="0067569D" w:rsidRPr="00913E39">
        <w:rPr>
          <w:rFonts w:ascii="Garamond" w:eastAsia="Times New Roman" w:hAnsi="Garamond" w:cs="Times New Roman"/>
          <w:i/>
          <w:sz w:val="24"/>
          <w:szCs w:val="24"/>
        </w:rPr>
        <w:t>,</w:t>
      </w:r>
      <w:r w:rsidRPr="00913E39">
        <w:rPr>
          <w:rFonts w:ascii="Garamond" w:eastAsia="Times New Roman" w:hAnsi="Garamond" w:cs="Times New Roman"/>
          <w:sz w:val="24"/>
          <w:szCs w:val="24"/>
        </w:rPr>
        <w:t xml:space="preserve"> si dhe kontributin e mëtejshëm në ngritjen e kapacitetit të menaxhimit të sigurisë kibernetike nëpërmjet aksesit në </w:t>
      </w:r>
      <w:r w:rsidRPr="00913E39">
        <w:rPr>
          <w:rFonts w:ascii="Garamond" w:hAnsi="Garamond"/>
          <w:sz w:val="24"/>
        </w:rPr>
        <w:t xml:space="preserve">platformat e </w:t>
      </w:r>
      <w:r w:rsidRPr="00913E39">
        <w:rPr>
          <w:rFonts w:ascii="Garamond" w:hAnsi="Garamond"/>
          <w:i/>
          <w:sz w:val="24"/>
        </w:rPr>
        <w:t>Threat Intelligence</w:t>
      </w:r>
      <w:r w:rsidRPr="00913E39">
        <w:rPr>
          <w:rFonts w:ascii="Garamond" w:hAnsi="Garamond"/>
          <w:sz w:val="24"/>
        </w:rPr>
        <w:t xml:space="preserve">. </w:t>
      </w:r>
      <w:r w:rsidRPr="00913E39">
        <w:rPr>
          <w:rFonts w:ascii="Garamond" w:eastAsia="Times New Roman" w:hAnsi="Garamond" w:cs="Times New Roman"/>
          <w:sz w:val="24"/>
          <w:szCs w:val="24"/>
        </w:rPr>
        <w:t xml:space="preserve">për zbulimin paraprak ndaj sulmeve të sofistikuara dhe në </w:t>
      </w:r>
      <w:r w:rsidRPr="00913E39">
        <w:rPr>
          <w:rFonts w:ascii="Garamond" w:eastAsia="Times New Roman" w:hAnsi="Garamond" w:cs="Times New Roman"/>
          <w:i/>
          <w:sz w:val="24"/>
          <w:szCs w:val="24"/>
        </w:rPr>
        <w:t>Dark Web Monitoring</w:t>
      </w:r>
      <w:r w:rsidRPr="00913E39">
        <w:rPr>
          <w:rFonts w:ascii="Garamond" w:eastAsia="Times New Roman" w:hAnsi="Garamond" w:cs="Times New Roman"/>
          <w:sz w:val="24"/>
          <w:szCs w:val="24"/>
        </w:rPr>
        <w:t xml:space="preserve"> për skanimin dhe monitorimin e Dark Web për informacione sekrete që mund të publikohen në lidhje me infrastrukturat ose të dhënat shtetërore.</w:t>
      </w:r>
    </w:p>
    <w:bookmarkEnd w:id="7"/>
    <w:p w14:paraId="63F4F26D" w14:textId="562BC9EB" w:rsidR="00847F23" w:rsidRPr="00913E39" w:rsidRDefault="00847F23" w:rsidP="00FC4C60">
      <w:pPr>
        <w:shd w:val="clear" w:color="auto" w:fill="FFFFFF"/>
        <w:spacing w:after="0" w:line="240" w:lineRule="auto"/>
        <w:ind w:firstLine="284"/>
        <w:jc w:val="both"/>
        <w:rPr>
          <w:rFonts w:ascii="Garamond" w:eastAsia="Times New Roman" w:hAnsi="Garamond" w:cs="Times New Roman"/>
          <w:sz w:val="24"/>
          <w:szCs w:val="24"/>
          <w:lang w:eastAsia="ja-JP"/>
        </w:rPr>
      </w:pPr>
      <w:r w:rsidRPr="00913E39">
        <w:rPr>
          <w:rFonts w:ascii="Garamond" w:hAnsi="Garamond"/>
          <w:b/>
          <w:sz w:val="24"/>
        </w:rPr>
        <w:t xml:space="preserve">Ndërlidhja digjitale me </w:t>
      </w:r>
      <w:r w:rsidR="0067569D" w:rsidRPr="00913E39">
        <w:rPr>
          <w:rFonts w:ascii="Garamond" w:hAnsi="Garamond"/>
          <w:b/>
          <w:sz w:val="24"/>
        </w:rPr>
        <w:t xml:space="preserve">rrjetet e kapacitetit të lartë </w:t>
      </w:r>
      <w:r w:rsidRPr="00913E39">
        <w:rPr>
          <w:rFonts w:ascii="Garamond" w:hAnsi="Garamond"/>
          <w:b/>
          <w:sz w:val="24"/>
        </w:rPr>
        <w:t xml:space="preserve">(VHCN) dhe infrastrukturë </w:t>
      </w:r>
      <w:r w:rsidRPr="00913E39">
        <w:rPr>
          <w:rFonts w:ascii="Garamond" w:hAnsi="Garamond"/>
          <w:b/>
          <w:i/>
          <w:sz w:val="24"/>
        </w:rPr>
        <w:t>gigabit</w:t>
      </w:r>
      <w:r w:rsidRPr="00913E39">
        <w:rPr>
          <w:rFonts w:ascii="Garamond" w:hAnsi="Garamond"/>
          <w:b/>
          <w:sz w:val="24"/>
        </w:rPr>
        <w:t xml:space="preserve"> me </w:t>
      </w:r>
      <w:r w:rsidR="006C7C29" w:rsidRPr="00913E39">
        <w:rPr>
          <w:rFonts w:ascii="Garamond" w:hAnsi="Garamond"/>
          <w:b/>
          <w:sz w:val="24"/>
        </w:rPr>
        <w:t xml:space="preserve">fibra optike </w:t>
      </w:r>
      <w:r w:rsidRPr="00913E39">
        <w:rPr>
          <w:rFonts w:ascii="Garamond" w:hAnsi="Garamond"/>
          <w:b/>
          <w:sz w:val="24"/>
        </w:rPr>
        <w:t>(FO) dhe 5G.</w:t>
      </w:r>
      <w:r w:rsidRPr="00913E39">
        <w:rPr>
          <w:rFonts w:ascii="Garamond" w:hAnsi="Garamond"/>
          <w:sz w:val="24"/>
        </w:rPr>
        <w:t xml:space="preserve"> </w:t>
      </w:r>
      <w:r w:rsidRPr="00913E39">
        <w:rPr>
          <w:rFonts w:ascii="Garamond" w:eastAsia="Times New Roman" w:hAnsi="Garamond" w:cs="Times New Roman"/>
          <w:sz w:val="24"/>
          <w:szCs w:val="24"/>
          <w:lang w:eastAsia="ja-JP"/>
        </w:rPr>
        <w:t>Sipas programit, Shqipëria do të promovojë transformimin digjitale nëpërmjet përmirësimit të kuadrit</w:t>
      </w:r>
      <w:r w:rsidRPr="00913E39">
        <w:rPr>
          <w:rFonts w:ascii="Garamond" w:eastAsia="Times New Roman" w:hAnsi="Garamond" w:cs="Arial"/>
          <w:sz w:val="24"/>
          <w:szCs w:val="24"/>
          <w:lang w:eastAsia="ja-JP"/>
        </w:rPr>
        <w:t xml:space="preserve"> </w:t>
      </w:r>
      <w:r w:rsidR="005B3100" w:rsidRPr="00913E39">
        <w:rPr>
          <w:rFonts w:ascii="Garamond" w:eastAsia="Times New Roman" w:hAnsi="Garamond" w:cs="Arial"/>
          <w:sz w:val="24"/>
          <w:szCs w:val="24"/>
          <w:lang w:eastAsia="ja-JP"/>
        </w:rPr>
        <w:t>l</w:t>
      </w:r>
      <w:r w:rsidRPr="00913E39">
        <w:rPr>
          <w:rFonts w:ascii="Garamond" w:eastAsia="Times New Roman" w:hAnsi="Garamond" w:cs="Times New Roman"/>
          <w:sz w:val="24"/>
          <w:szCs w:val="24"/>
          <w:lang w:eastAsia="ja-JP"/>
        </w:rPr>
        <w:t xml:space="preserve">igjor dhe rregullator për infrastrukturën </w:t>
      </w:r>
      <w:r w:rsidRPr="00913E39">
        <w:rPr>
          <w:rFonts w:ascii="Garamond" w:eastAsia="Times New Roman" w:hAnsi="Garamond" w:cs="Times New Roman"/>
          <w:i/>
          <w:sz w:val="24"/>
          <w:szCs w:val="24"/>
          <w:lang w:eastAsia="ja-JP"/>
        </w:rPr>
        <w:t>gigabit</w:t>
      </w:r>
      <w:r w:rsidRPr="00913E39">
        <w:rPr>
          <w:rFonts w:ascii="Garamond" w:eastAsia="Times New Roman" w:hAnsi="Garamond" w:cs="Times New Roman"/>
          <w:sz w:val="24"/>
          <w:szCs w:val="24"/>
          <w:lang w:eastAsia="ja-JP"/>
        </w:rPr>
        <w:t>, duke rritur qëndrueshmërinë dhe besimin për një lidhje më të mirë digjitale dhe duke promovuar inovacionin dhe Agjenda e gjelbër në ndërtimin e infrastrukturës digjitale dhe 5G, përfshirë zbatimin e masave të bazuara në instrumentet 5G.</w:t>
      </w:r>
      <w:r w:rsidRPr="00913E39">
        <w:rPr>
          <w:rFonts w:ascii="Garamond" w:hAnsi="Garamond"/>
          <w:sz w:val="24"/>
          <w:vertAlign w:val="superscript"/>
        </w:rPr>
        <w:footnoteReference w:id="6"/>
      </w:r>
      <w:r w:rsidRPr="00913E39">
        <w:rPr>
          <w:rFonts w:ascii="Garamond" w:eastAsia="Times New Roman" w:hAnsi="Garamond" w:cs="Times New Roman"/>
          <w:sz w:val="24"/>
          <w:szCs w:val="24"/>
          <w:lang w:eastAsia="ja-JP"/>
        </w:rPr>
        <w:t xml:space="preserve"> Ndërhyrja nëpërmjet këtij Programi do të ndihmojë gjithashtu në zhvillimin dhe zbatimin e masave për të pasur rrjete 5G të sigurta dhe të qëndrueshme bazuar në përvojën e fundit të BE-së me </w:t>
      </w:r>
      <w:r w:rsidR="007C63DF" w:rsidRPr="00913E39">
        <w:rPr>
          <w:rFonts w:ascii="Garamond" w:eastAsia="Times New Roman" w:hAnsi="Garamond" w:cs="Times New Roman"/>
          <w:sz w:val="24"/>
          <w:szCs w:val="24"/>
          <w:lang w:eastAsia="ja-JP"/>
        </w:rPr>
        <w:t xml:space="preserve">instrumentet </w:t>
      </w:r>
      <w:r w:rsidRPr="00913E39">
        <w:rPr>
          <w:rFonts w:ascii="Garamond" w:eastAsia="Times New Roman" w:hAnsi="Garamond" w:cs="Times New Roman"/>
          <w:sz w:val="24"/>
          <w:szCs w:val="24"/>
          <w:lang w:eastAsia="ja-JP"/>
        </w:rPr>
        <w:t xml:space="preserve">5G. Ndërhyrja është në përputhje me Planin Ekonomik të Investimeve për Ballkanin Perëndimor dhe Agjendën e gjelbër duke theksuar infrastrukturën dhe lidhjen digjitale. Programi do të mbështesë përgatitjen e një studimi gjeografik për rrjetin </w:t>
      </w:r>
      <w:r w:rsidRPr="00913E39">
        <w:rPr>
          <w:rFonts w:ascii="Garamond" w:eastAsia="Times New Roman" w:hAnsi="Garamond" w:cs="Times New Roman"/>
          <w:i/>
          <w:sz w:val="24"/>
          <w:szCs w:val="24"/>
          <w:lang w:eastAsia="ja-JP"/>
        </w:rPr>
        <w:t>broadband</w:t>
      </w:r>
      <w:r w:rsidRPr="00913E39">
        <w:rPr>
          <w:rFonts w:ascii="Garamond" w:eastAsia="Times New Roman" w:hAnsi="Garamond" w:cs="Times New Roman"/>
          <w:sz w:val="24"/>
          <w:szCs w:val="24"/>
          <w:lang w:eastAsia="ja-JP"/>
        </w:rPr>
        <w:t xml:space="preserve">, </w:t>
      </w:r>
      <w:r w:rsidR="00B52CE0" w:rsidRPr="00913E39">
        <w:rPr>
          <w:rFonts w:ascii="Garamond" w:eastAsia="Times New Roman" w:hAnsi="Garamond" w:cs="Times New Roman"/>
          <w:sz w:val="24"/>
          <w:szCs w:val="24"/>
          <w:lang w:eastAsia="ja-JP"/>
        </w:rPr>
        <w:t>rrjetet me kapacitet shumë të lartë</w:t>
      </w:r>
      <w:r w:rsidRPr="00913E39">
        <w:rPr>
          <w:rFonts w:ascii="Garamond" w:eastAsia="Times New Roman" w:hAnsi="Garamond" w:cs="Times New Roman"/>
          <w:sz w:val="24"/>
          <w:szCs w:val="24"/>
          <w:lang w:eastAsia="ja-JP"/>
        </w:rPr>
        <w:t xml:space="preserve">, miratimin e legjislacionit për infrastrukturën </w:t>
      </w:r>
      <w:r w:rsidRPr="00913E39">
        <w:rPr>
          <w:rFonts w:ascii="Garamond" w:eastAsia="Times New Roman" w:hAnsi="Garamond" w:cs="Times New Roman"/>
          <w:i/>
          <w:sz w:val="24"/>
          <w:szCs w:val="24"/>
          <w:lang w:eastAsia="ja-JP"/>
        </w:rPr>
        <w:t>gigabit</w:t>
      </w:r>
      <w:r w:rsidRPr="00913E39">
        <w:rPr>
          <w:rFonts w:ascii="Garamond" w:eastAsia="Times New Roman" w:hAnsi="Garamond" w:cs="Times New Roman"/>
          <w:sz w:val="24"/>
          <w:szCs w:val="24"/>
          <w:lang w:eastAsia="ja-JP"/>
        </w:rPr>
        <w:t xml:space="preserve">, studimet për përdorimin e 5G komunitetet digjitale dhe hartimin e projekteve pilot 5G. Do të mbështeten gjithashtu aktivitetet e komunikimit dhe rritjes së ndërgjegjësimit. </w:t>
      </w:r>
      <w:r w:rsidRPr="00913E39">
        <w:rPr>
          <w:rFonts w:ascii="Garamond" w:eastAsia="Times New Roman" w:hAnsi="Garamond" w:cs="Times New Roman"/>
          <w:sz w:val="24"/>
          <w:szCs w:val="24"/>
          <w:bdr w:val="none" w:sz="0" w:space="0" w:color="auto" w:frame="1"/>
          <w:shd w:val="clear" w:color="auto" w:fill="FFFFFF"/>
          <w:lang w:eastAsia="ja-JP"/>
        </w:rPr>
        <w:t xml:space="preserve">Ndërhyrja do të mbështesë gjithashtu institucionet shqiptare për të rritur aftësitë e tyre në zbatimin e rregulloreve të reja për infrastrukturën </w:t>
      </w:r>
      <w:r w:rsidRPr="00913E39">
        <w:rPr>
          <w:rFonts w:ascii="Garamond" w:eastAsia="Times New Roman" w:hAnsi="Garamond" w:cs="Times New Roman"/>
          <w:i/>
          <w:sz w:val="24"/>
          <w:szCs w:val="24"/>
          <w:bdr w:val="none" w:sz="0" w:space="0" w:color="auto" w:frame="1"/>
          <w:shd w:val="clear" w:color="auto" w:fill="FFFFFF"/>
          <w:lang w:eastAsia="ja-JP"/>
        </w:rPr>
        <w:t>gigabit</w:t>
      </w:r>
      <w:r w:rsidRPr="00913E39">
        <w:rPr>
          <w:rFonts w:ascii="Garamond" w:eastAsia="Times New Roman" w:hAnsi="Garamond" w:cs="Times New Roman"/>
          <w:sz w:val="24"/>
          <w:szCs w:val="24"/>
          <w:bdr w:val="none" w:sz="0" w:space="0" w:color="auto" w:frame="1"/>
          <w:shd w:val="clear" w:color="auto" w:fill="FFFFFF"/>
          <w:lang w:eastAsia="ja-JP"/>
        </w:rPr>
        <w:t xml:space="preserve"> në përputhje me praktikat më të mira të BE-së dhe për të promovuar besimin në ekosistemin digjitale global duke </w:t>
      </w:r>
      <w:r w:rsidR="00B52CE0" w:rsidRPr="00913E39">
        <w:rPr>
          <w:rFonts w:ascii="Garamond" w:eastAsia="Times New Roman" w:hAnsi="Garamond" w:cs="Times New Roman"/>
          <w:sz w:val="24"/>
          <w:szCs w:val="24"/>
          <w:bdr w:val="none" w:sz="0" w:space="0" w:color="auto" w:frame="1"/>
          <w:shd w:val="clear" w:color="auto" w:fill="FFFFFF"/>
          <w:lang w:eastAsia="ja-JP"/>
        </w:rPr>
        <w:t>përmirësuar</w:t>
      </w:r>
      <w:r w:rsidRPr="00913E39">
        <w:rPr>
          <w:rFonts w:ascii="Garamond" w:eastAsia="Times New Roman" w:hAnsi="Garamond" w:cs="Times New Roman"/>
          <w:sz w:val="24"/>
          <w:szCs w:val="24"/>
          <w:bdr w:val="none" w:sz="0" w:space="0" w:color="auto" w:frame="1"/>
          <w:shd w:val="clear" w:color="auto" w:fill="FFFFFF"/>
          <w:lang w:eastAsia="ja-JP"/>
        </w:rPr>
        <w:t xml:space="preserve"> lidhjen gjithëpërfshirëse dhe të përballueshme në mënyrë që të gjithë qytetarët të mund të përfitojnë nga ekonomia digjitale dhe e ardhmja e internetit. </w:t>
      </w:r>
    </w:p>
    <w:bookmarkEnd w:id="6"/>
    <w:p w14:paraId="47052C9E" w14:textId="1A316139" w:rsidR="00847F23" w:rsidRPr="00913E39" w:rsidRDefault="00847F23" w:rsidP="00FC4C60">
      <w:pPr>
        <w:spacing w:after="0" w:line="240" w:lineRule="auto"/>
        <w:ind w:firstLine="284"/>
        <w:jc w:val="both"/>
        <w:rPr>
          <w:rFonts w:ascii="Garamond" w:eastAsia="Times New Roman" w:hAnsi="Garamond" w:cs="Times New Roman"/>
          <w:sz w:val="24"/>
          <w:szCs w:val="24"/>
        </w:rPr>
      </w:pPr>
      <w:r w:rsidRPr="00913E39">
        <w:rPr>
          <w:rFonts w:ascii="Garamond" w:eastAsia="Times New Roman" w:hAnsi="Garamond" w:cs="Times New Roman"/>
          <w:b/>
          <w:bCs/>
          <w:sz w:val="24"/>
          <w:szCs w:val="24"/>
        </w:rPr>
        <w:t xml:space="preserve">Fusha e mbështetjes: </w:t>
      </w:r>
      <w:r w:rsidR="00284DFC" w:rsidRPr="00913E39">
        <w:rPr>
          <w:rFonts w:ascii="Garamond" w:eastAsia="Times New Roman" w:hAnsi="Garamond" w:cs="Times New Roman"/>
          <w:b/>
          <w:bCs/>
          <w:sz w:val="24"/>
          <w:szCs w:val="24"/>
        </w:rPr>
        <w:t>a</w:t>
      </w:r>
      <w:r w:rsidRPr="00913E39">
        <w:rPr>
          <w:rFonts w:ascii="Garamond" w:eastAsia="Times New Roman" w:hAnsi="Garamond" w:cs="Times New Roman"/>
          <w:b/>
          <w:bCs/>
          <w:sz w:val="24"/>
          <w:szCs w:val="24"/>
        </w:rPr>
        <w:t>sistencë teknike</w:t>
      </w:r>
      <w:r w:rsidR="005B3100" w:rsidRPr="00913E39">
        <w:rPr>
          <w:rFonts w:ascii="Garamond" w:eastAsia="Times New Roman" w:hAnsi="Garamond" w:cs="Times New Roman"/>
          <w:b/>
          <w:bCs/>
          <w:sz w:val="24"/>
          <w:szCs w:val="24"/>
        </w:rPr>
        <w:t>.</w:t>
      </w:r>
      <w:r w:rsidRPr="00913E39">
        <w:rPr>
          <w:rFonts w:ascii="Garamond" w:eastAsia="Times New Roman" w:hAnsi="Garamond" w:cs="Times New Roman"/>
          <w:b/>
          <w:bCs/>
          <w:sz w:val="24"/>
          <w:szCs w:val="24"/>
        </w:rPr>
        <w:t xml:space="preserve"> </w:t>
      </w:r>
      <w:r w:rsidRPr="00913E39">
        <w:rPr>
          <w:rFonts w:ascii="Garamond" w:eastAsia="Times New Roman" w:hAnsi="Garamond" w:cs="Times New Roman"/>
          <w:sz w:val="24"/>
          <w:szCs w:val="24"/>
        </w:rPr>
        <w:t xml:space="preserve">Një objektiv shtesë i Programit është të ndihmojë Autoritetin Menaxhues, </w:t>
      </w:r>
      <w:r w:rsidR="007C63DF" w:rsidRPr="00913E39">
        <w:rPr>
          <w:rFonts w:ascii="Garamond" w:eastAsia="Times New Roman" w:hAnsi="Garamond" w:cs="Times New Roman"/>
          <w:sz w:val="24"/>
          <w:szCs w:val="24"/>
        </w:rPr>
        <w:t xml:space="preserve">organin e ndërmjetëm për menaxhimin financiar </w:t>
      </w:r>
      <w:r w:rsidRPr="00913E39">
        <w:rPr>
          <w:rFonts w:ascii="Garamond" w:eastAsia="Times New Roman" w:hAnsi="Garamond" w:cs="Times New Roman"/>
          <w:sz w:val="24"/>
          <w:szCs w:val="24"/>
        </w:rPr>
        <w:t xml:space="preserve">strukturat dhe autoritetet e tjera, duke përfshirë </w:t>
      </w:r>
      <w:r w:rsidR="007C63DF" w:rsidRPr="00913E39">
        <w:rPr>
          <w:rFonts w:ascii="Garamond" w:eastAsia="Times New Roman" w:hAnsi="Garamond" w:cs="Times New Roman"/>
          <w:sz w:val="24"/>
          <w:szCs w:val="24"/>
        </w:rPr>
        <w:t xml:space="preserve">partnerët </w:t>
      </w:r>
      <w:r w:rsidRPr="00913E39">
        <w:rPr>
          <w:rFonts w:ascii="Garamond" w:eastAsia="Times New Roman" w:hAnsi="Garamond" w:cs="Times New Roman"/>
          <w:sz w:val="24"/>
          <w:szCs w:val="24"/>
        </w:rPr>
        <w:t xml:space="preserve">e Programit, me zbatimin e Programit duke forcuar kapacitetet e tyre nëpërmjet një game të gjerë aktivitetesh për ngritjen e kapaciteteve, si dhe duke i dhënë shtesë page stafit të përzgjedhur për të parandaluar largimet e stafit dhe krijimin e një mjedisi të qëndrueshëm pune. Për të siguruar menaxhim efektiv, kontroll, monitorim dhe vlerësim të Programit, institucionet do të ndihmohen për përgatitjen e dokumentacionit teknik të nevojshëm për zbatimin e Programit, krijimin dhe zbatimin e aktiviteteve të komunikimit dhe transparencë, përgatitjen e raporteve të vlerësimit, monitorimin e rezultateve të Programit në vazhdimësi, dhe mbështetjen e kontrollit administrativ dhe auditimeve teknike. Objekti i ndërhyrjeve në </w:t>
      </w:r>
      <w:r w:rsidR="00425FAB" w:rsidRPr="00913E39">
        <w:rPr>
          <w:rFonts w:ascii="Garamond" w:eastAsia="Times New Roman" w:hAnsi="Garamond" w:cs="Times New Roman"/>
          <w:sz w:val="24"/>
          <w:szCs w:val="24"/>
        </w:rPr>
        <w:t>m</w:t>
      </w:r>
      <w:r w:rsidRPr="00913E39">
        <w:rPr>
          <w:rFonts w:ascii="Garamond" w:eastAsia="Times New Roman" w:hAnsi="Garamond" w:cs="Times New Roman"/>
          <w:sz w:val="24"/>
          <w:szCs w:val="24"/>
        </w:rPr>
        <w:t xml:space="preserve">bështetjen tjetër do të jenë në përputhje me krijimin e kapaciteteve institucionale dhe veprimtaritë e komunikimit të zbatuara </w:t>
      </w:r>
      <w:r w:rsidR="00425FAB" w:rsidRPr="00913E39">
        <w:rPr>
          <w:rFonts w:ascii="Garamond" w:eastAsia="Times New Roman" w:hAnsi="Garamond" w:cs="Times New Roman"/>
          <w:sz w:val="24"/>
          <w:szCs w:val="24"/>
        </w:rPr>
        <w:t xml:space="preserve">nënfushat e mbështetjes </w:t>
      </w:r>
      <w:r w:rsidRPr="00913E39">
        <w:rPr>
          <w:rFonts w:ascii="Garamond" w:eastAsia="Times New Roman" w:hAnsi="Garamond" w:cs="Times New Roman"/>
          <w:sz w:val="24"/>
          <w:szCs w:val="24"/>
        </w:rPr>
        <w:t>1 dhe 2.</w:t>
      </w:r>
    </w:p>
    <w:p w14:paraId="2C8D8E41" w14:textId="77777777" w:rsidR="00847F23" w:rsidRPr="00913E39" w:rsidRDefault="00847F23" w:rsidP="00693B1A">
      <w:pPr>
        <w:spacing w:after="0" w:line="240" w:lineRule="auto"/>
        <w:ind w:firstLine="284"/>
        <w:contextualSpacing/>
        <w:rPr>
          <w:rFonts w:ascii="Garamond" w:hAnsi="Garamond"/>
          <w:b/>
          <w:sz w:val="24"/>
        </w:rPr>
      </w:pPr>
      <w:r w:rsidRPr="00913E39">
        <w:rPr>
          <w:rFonts w:ascii="Garamond" w:hAnsi="Garamond"/>
          <w:b/>
          <w:sz w:val="24"/>
        </w:rPr>
        <w:t>2. Analiza e sektorit</w:t>
      </w:r>
    </w:p>
    <w:p w14:paraId="4D9719D2" w14:textId="77777777" w:rsidR="00847F23" w:rsidRPr="00913E39" w:rsidRDefault="00847F23" w:rsidP="00693B1A">
      <w:pPr>
        <w:spacing w:after="0" w:line="240" w:lineRule="auto"/>
        <w:ind w:firstLine="284"/>
        <w:jc w:val="both"/>
        <w:rPr>
          <w:rFonts w:ascii="Garamond" w:hAnsi="Garamond"/>
          <w:i/>
          <w:sz w:val="24"/>
        </w:rPr>
      </w:pPr>
      <w:r w:rsidRPr="00913E39">
        <w:rPr>
          <w:rFonts w:ascii="Garamond" w:hAnsi="Garamond"/>
          <w:i/>
          <w:sz w:val="24"/>
        </w:rPr>
        <w:lastRenderedPageBreak/>
        <w:t xml:space="preserve">2.1 Konteksti dhe politikat sektoriale kombëtare </w:t>
      </w:r>
    </w:p>
    <w:p w14:paraId="38C66EB2" w14:textId="77777777" w:rsidR="00847F23" w:rsidRPr="00913E39" w:rsidRDefault="00847F23" w:rsidP="00693B1A">
      <w:pPr>
        <w:spacing w:after="0" w:line="240" w:lineRule="auto"/>
        <w:ind w:firstLine="284"/>
        <w:jc w:val="both"/>
        <w:rPr>
          <w:rFonts w:ascii="Garamond" w:hAnsi="Garamond"/>
          <w:i/>
          <w:sz w:val="24"/>
        </w:rPr>
      </w:pPr>
      <w:r w:rsidRPr="00913E39">
        <w:rPr>
          <w:rFonts w:ascii="Garamond" w:hAnsi="Garamond"/>
          <w:i/>
          <w:sz w:val="24"/>
        </w:rPr>
        <w:t>Fusha e mbështetjes 1: Infrastruktura TIK për shërbime më të mira për shoqërinë</w:t>
      </w:r>
    </w:p>
    <w:p w14:paraId="2F918199" w14:textId="3557FB22" w:rsidR="00847F23" w:rsidRPr="00913E39" w:rsidRDefault="00847F23" w:rsidP="00693B1A">
      <w:pPr>
        <w:spacing w:after="0" w:line="240" w:lineRule="auto"/>
        <w:ind w:firstLine="284"/>
        <w:jc w:val="both"/>
        <w:rPr>
          <w:rFonts w:ascii="Garamond" w:hAnsi="Garamond"/>
          <w:i/>
          <w:sz w:val="24"/>
        </w:rPr>
      </w:pPr>
      <w:r w:rsidRPr="00913E39">
        <w:rPr>
          <w:rFonts w:ascii="Garamond" w:hAnsi="Garamond"/>
          <w:i/>
          <w:sz w:val="24"/>
        </w:rPr>
        <w:t>Nën</w:t>
      </w:r>
      <w:r w:rsidR="004B42B2" w:rsidRPr="00913E39">
        <w:rPr>
          <w:rFonts w:ascii="Garamond" w:hAnsi="Garamond"/>
          <w:i/>
          <w:sz w:val="24"/>
        </w:rPr>
        <w:t>f</w:t>
      </w:r>
      <w:r w:rsidRPr="00913E39">
        <w:rPr>
          <w:rFonts w:ascii="Garamond" w:hAnsi="Garamond"/>
          <w:i/>
          <w:sz w:val="24"/>
        </w:rPr>
        <w:t xml:space="preserve">usha e mbështetjes 1.1: Shëndetësia </w:t>
      </w:r>
      <w:r w:rsidR="004B42B2" w:rsidRPr="00913E39">
        <w:rPr>
          <w:rFonts w:ascii="Garamond" w:hAnsi="Garamond"/>
          <w:i/>
          <w:sz w:val="24"/>
        </w:rPr>
        <w:t>d</w:t>
      </w:r>
      <w:r w:rsidRPr="00913E39">
        <w:rPr>
          <w:rFonts w:ascii="Garamond" w:hAnsi="Garamond"/>
          <w:i/>
          <w:sz w:val="24"/>
        </w:rPr>
        <w:t>igjitale</w:t>
      </w:r>
    </w:p>
    <w:p w14:paraId="7C25A9BD" w14:textId="44EB7DC7" w:rsidR="00847F23" w:rsidRPr="00913E39" w:rsidRDefault="00847F23" w:rsidP="00693B1A">
      <w:pPr>
        <w:spacing w:after="0" w:line="240" w:lineRule="auto"/>
        <w:ind w:firstLine="284"/>
        <w:jc w:val="both"/>
        <w:rPr>
          <w:rFonts w:ascii="Garamond" w:hAnsi="Garamond"/>
          <w:sz w:val="24"/>
        </w:rPr>
      </w:pPr>
      <w:r w:rsidRPr="00913E39">
        <w:rPr>
          <w:rFonts w:ascii="Garamond" w:hAnsi="Garamond"/>
          <w:b/>
          <w:sz w:val="24"/>
        </w:rPr>
        <w:t>Strategjia Kombëtare për Zhvillim dhe Integrim Evropian 2022</w:t>
      </w:r>
      <w:r w:rsidR="005A153F" w:rsidRPr="00913E39">
        <w:rPr>
          <w:rFonts w:ascii="Garamond" w:hAnsi="Garamond"/>
          <w:b/>
          <w:sz w:val="24"/>
        </w:rPr>
        <w:t>–</w:t>
      </w:r>
      <w:r w:rsidRPr="00913E39">
        <w:rPr>
          <w:rFonts w:ascii="Garamond" w:hAnsi="Garamond"/>
          <w:b/>
          <w:sz w:val="24"/>
        </w:rPr>
        <w:t>2030; (SKZHIE)</w:t>
      </w:r>
      <w:r w:rsidRPr="00913E39">
        <w:rPr>
          <w:rFonts w:ascii="Garamond" w:hAnsi="Garamond"/>
          <w:sz w:val="24"/>
          <w:u w:val="single"/>
          <w:vertAlign w:val="superscript"/>
        </w:rPr>
        <w:footnoteReference w:id="7"/>
      </w:r>
      <w:r w:rsidRPr="00913E39">
        <w:rPr>
          <w:rFonts w:ascii="Garamond" w:hAnsi="Garamond"/>
          <w:sz w:val="24"/>
        </w:rPr>
        <w:t xml:space="preserve"> parashikon një sistem shëndetësor më të aksesueshëm nën prioritetin e kohezionit social. </w:t>
      </w:r>
    </w:p>
    <w:p w14:paraId="4BEDABB9" w14:textId="30BDCFF2"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xml:space="preserve">Sipas objektivit të politikës 5: Politika e </w:t>
      </w:r>
      <w:r w:rsidR="004B42B2" w:rsidRPr="00913E39">
        <w:rPr>
          <w:rFonts w:ascii="Garamond" w:hAnsi="Garamond"/>
          <w:sz w:val="24"/>
        </w:rPr>
        <w:t>shëndetësia digjitale,</w:t>
      </w:r>
      <w:r w:rsidRPr="00913E39">
        <w:rPr>
          <w:rFonts w:ascii="Garamond" w:hAnsi="Garamond"/>
          <w:sz w:val="24"/>
        </w:rPr>
        <w:t xml:space="preserve"> </w:t>
      </w:r>
      <w:r w:rsidRPr="00913E39">
        <w:rPr>
          <w:rFonts w:ascii="Garamond" w:hAnsi="Garamond"/>
          <w:b/>
          <w:sz w:val="24"/>
        </w:rPr>
        <w:t>Strategjia Kombëtare e Shëndetësisë 2021</w:t>
      </w:r>
      <w:r w:rsidR="00425FAB" w:rsidRPr="00913E39">
        <w:rPr>
          <w:rFonts w:ascii="Garamond" w:hAnsi="Garamond"/>
          <w:b/>
          <w:sz w:val="24"/>
        </w:rPr>
        <w:t>–</w:t>
      </w:r>
      <w:r w:rsidRPr="00913E39">
        <w:rPr>
          <w:rFonts w:ascii="Garamond" w:hAnsi="Garamond"/>
          <w:b/>
          <w:sz w:val="24"/>
        </w:rPr>
        <w:t>2030</w:t>
      </w:r>
      <w:r w:rsidRPr="00913E39">
        <w:rPr>
          <w:rFonts w:ascii="Garamond" w:hAnsi="Garamond"/>
          <w:sz w:val="24"/>
          <w:vertAlign w:val="superscript"/>
        </w:rPr>
        <w:footnoteReference w:id="8"/>
      </w:r>
      <w:r w:rsidRPr="00913E39">
        <w:rPr>
          <w:rFonts w:ascii="Garamond" w:hAnsi="Garamond"/>
          <w:sz w:val="24"/>
        </w:rPr>
        <w:t xml:space="preserve"> synon modernizimin </w:t>
      </w:r>
      <w:r w:rsidR="004B42B2" w:rsidRPr="00913E39">
        <w:rPr>
          <w:rFonts w:ascii="Garamond" w:hAnsi="Garamond"/>
          <w:sz w:val="24"/>
        </w:rPr>
        <w:t>e infrastrukturës dhe teknologjisë shëndetësore</w:t>
      </w:r>
      <w:r w:rsidRPr="00913E39">
        <w:rPr>
          <w:rFonts w:ascii="Garamond" w:hAnsi="Garamond"/>
          <w:sz w:val="24"/>
        </w:rPr>
        <w:t>, duke u fokusuar në adresimin e nevojave reale të përdoruesit, duke siguruar privatësinë dhe sigurinë e sistemit, integrim-ndërveprim</w:t>
      </w:r>
      <w:r w:rsidR="005A153F" w:rsidRPr="00913E39">
        <w:rPr>
          <w:rFonts w:ascii="Garamond" w:hAnsi="Garamond"/>
          <w:sz w:val="24"/>
        </w:rPr>
        <w:t>,</w:t>
      </w:r>
      <w:r w:rsidRPr="00913E39">
        <w:rPr>
          <w:rFonts w:ascii="Garamond" w:hAnsi="Garamond"/>
          <w:sz w:val="24"/>
        </w:rPr>
        <w:t xml:space="preserve"> si dhe përfshirje dhe akses.</w:t>
      </w:r>
    </w:p>
    <w:p w14:paraId="77E1BFFB" w14:textId="146BE6B7" w:rsidR="00847F23" w:rsidRPr="00913E39" w:rsidRDefault="00847F23" w:rsidP="00693B1A">
      <w:pPr>
        <w:spacing w:after="0" w:line="240" w:lineRule="auto"/>
        <w:ind w:firstLine="284"/>
        <w:jc w:val="both"/>
        <w:rPr>
          <w:rFonts w:ascii="Garamond" w:hAnsi="Garamond"/>
          <w:sz w:val="24"/>
        </w:rPr>
      </w:pPr>
      <w:r w:rsidRPr="00913E39">
        <w:rPr>
          <w:rFonts w:ascii="Garamond" w:hAnsi="Garamond"/>
          <w:b/>
          <w:sz w:val="24"/>
        </w:rPr>
        <w:t>Agjenda Digjitale e Shqipërisë 2022</w:t>
      </w:r>
      <w:r w:rsidR="007456FE" w:rsidRPr="00913E39">
        <w:rPr>
          <w:rFonts w:ascii="Garamond" w:hAnsi="Garamond"/>
          <w:b/>
          <w:sz w:val="24"/>
        </w:rPr>
        <w:t>–</w:t>
      </w:r>
      <w:r w:rsidRPr="00913E39">
        <w:rPr>
          <w:rFonts w:ascii="Garamond" w:hAnsi="Garamond"/>
          <w:b/>
          <w:sz w:val="24"/>
        </w:rPr>
        <w:t>2026</w:t>
      </w:r>
      <w:r w:rsidRPr="00913E39">
        <w:rPr>
          <w:rFonts w:ascii="Garamond" w:hAnsi="Garamond"/>
          <w:sz w:val="24"/>
          <w:vertAlign w:val="superscript"/>
        </w:rPr>
        <w:footnoteReference w:id="9"/>
      </w:r>
      <w:r w:rsidRPr="00913E39">
        <w:rPr>
          <w:rFonts w:ascii="Garamond" w:hAnsi="Garamond"/>
          <w:sz w:val="24"/>
        </w:rPr>
        <w:t xml:space="preserve"> planifikon të maksimizojë potencialin ekonomik dhe social të teknologjisë së informacionit dhe komunikimit, të përmirësojë ofrimin e shërbimeve cilësore, të parashikojë investimet në integrimin e teknologjive të reja në sistemet e menaxhimit elektronik shtetëror të përmirësojë aftësitë digjitale të nevojshme për zhvillim. Për sa i përket sektorit të shëndetësisë, nën</w:t>
      </w:r>
      <w:r w:rsidR="005A153F" w:rsidRPr="00913E39">
        <w:rPr>
          <w:rFonts w:ascii="Garamond" w:hAnsi="Garamond"/>
          <w:sz w:val="24"/>
        </w:rPr>
        <w:t>s</w:t>
      </w:r>
      <w:r w:rsidRPr="00913E39">
        <w:rPr>
          <w:rFonts w:ascii="Garamond" w:hAnsi="Garamond"/>
          <w:sz w:val="24"/>
        </w:rPr>
        <w:t xml:space="preserve">htyllën 1 </w:t>
      </w:r>
      <w:r w:rsidR="00850FC7" w:rsidRPr="00913E39">
        <w:rPr>
          <w:rFonts w:ascii="Garamond" w:hAnsi="Garamond"/>
          <w:sz w:val="24"/>
        </w:rPr>
        <w:t>“</w:t>
      </w:r>
      <w:r w:rsidRPr="00913E39">
        <w:rPr>
          <w:rFonts w:ascii="Garamond" w:hAnsi="Garamond"/>
          <w:sz w:val="24"/>
        </w:rPr>
        <w:t xml:space="preserve">Qeveria </w:t>
      </w:r>
      <w:r w:rsidR="004B42B2" w:rsidRPr="00913E39">
        <w:rPr>
          <w:rFonts w:ascii="Garamond" w:hAnsi="Garamond"/>
          <w:sz w:val="24"/>
        </w:rPr>
        <w:t xml:space="preserve">digjitale mundësimi i politikave </w:t>
      </w:r>
      <w:r w:rsidRPr="00913E39">
        <w:rPr>
          <w:rFonts w:ascii="Garamond" w:hAnsi="Garamond"/>
          <w:sz w:val="24"/>
        </w:rPr>
        <w:t>digjitale, proceseve inteligjente dhe zgjidhjeve të përparuara në platforma të sigurta</w:t>
      </w:r>
      <w:r w:rsidR="00850FC7" w:rsidRPr="00913E39">
        <w:rPr>
          <w:rFonts w:ascii="Garamond" w:hAnsi="Garamond"/>
          <w:sz w:val="24"/>
        </w:rPr>
        <w:t>”</w:t>
      </w:r>
      <w:r w:rsidRPr="00913E39">
        <w:rPr>
          <w:rFonts w:ascii="Garamond" w:hAnsi="Garamond"/>
          <w:sz w:val="24"/>
        </w:rPr>
        <w:t>, Agjenda përcakton përdorimin e mjeteve për të zhvilluar një mjedis digjital të besueshëm, siç është përdorimi i standardeve HL7 për ruajtjen e të dhënave shëndetësore të pacientit, dhe promovon përdorimin e telemjekësisë në sektorin publik dhe jopublik për diagnostikimin paraprak të pacientëve dhe dhënien e trajtimit në distancë, me qëllim aksesin më të shpejtë të pacientëve në shërbimin e kujdesit shëndetësor dhe zbatimin e distancimit social.</w:t>
      </w:r>
    </w:p>
    <w:p w14:paraId="2A8EEFFA" w14:textId="4DA220B2" w:rsidR="00847F23" w:rsidRPr="00913E39" w:rsidRDefault="00847F23" w:rsidP="00693B1A">
      <w:pPr>
        <w:spacing w:after="0" w:line="240" w:lineRule="auto"/>
        <w:ind w:firstLine="284"/>
        <w:jc w:val="both"/>
        <w:rPr>
          <w:rFonts w:ascii="Garamond" w:hAnsi="Garamond"/>
          <w:i/>
          <w:sz w:val="24"/>
        </w:rPr>
      </w:pPr>
      <w:r w:rsidRPr="00913E39">
        <w:rPr>
          <w:rFonts w:ascii="Garamond" w:hAnsi="Garamond"/>
          <w:i/>
          <w:sz w:val="24"/>
        </w:rPr>
        <w:t>Nën</w:t>
      </w:r>
      <w:r w:rsidR="004B42B2" w:rsidRPr="00913E39">
        <w:rPr>
          <w:rFonts w:ascii="Garamond" w:hAnsi="Garamond"/>
          <w:i/>
          <w:sz w:val="24"/>
        </w:rPr>
        <w:t>f</w:t>
      </w:r>
      <w:r w:rsidRPr="00913E39">
        <w:rPr>
          <w:rFonts w:ascii="Garamond" w:hAnsi="Garamond"/>
          <w:i/>
          <w:sz w:val="24"/>
        </w:rPr>
        <w:t xml:space="preserve">usha e mbështetjes 1.2: Edukimi </w:t>
      </w:r>
      <w:r w:rsidR="004B42B2" w:rsidRPr="00913E39">
        <w:rPr>
          <w:rFonts w:ascii="Garamond" w:hAnsi="Garamond"/>
          <w:i/>
          <w:sz w:val="24"/>
        </w:rPr>
        <w:t>digjital</w:t>
      </w:r>
    </w:p>
    <w:p w14:paraId="489923F5" w14:textId="180E1E7F" w:rsidR="00847F23" w:rsidRPr="00913E39" w:rsidRDefault="00850FC7" w:rsidP="00693B1A">
      <w:pPr>
        <w:spacing w:after="0" w:line="240" w:lineRule="auto"/>
        <w:ind w:firstLine="284"/>
        <w:jc w:val="both"/>
        <w:rPr>
          <w:rFonts w:ascii="Garamond" w:hAnsi="Garamond"/>
          <w:sz w:val="24"/>
        </w:rPr>
      </w:pPr>
      <w:r w:rsidRPr="00913E39">
        <w:rPr>
          <w:rFonts w:ascii="Garamond" w:hAnsi="Garamond"/>
          <w:sz w:val="24"/>
        </w:rPr>
        <w:t>“</w:t>
      </w:r>
      <w:r w:rsidR="00847F23" w:rsidRPr="00913E39">
        <w:rPr>
          <w:rFonts w:ascii="Garamond" w:hAnsi="Garamond"/>
          <w:b/>
          <w:sz w:val="24"/>
        </w:rPr>
        <w:t>Strategjia Kombëtare për Zhvillim dhe Integrim Evropian 2022</w:t>
      </w:r>
      <w:r w:rsidR="004B42B2" w:rsidRPr="00913E39">
        <w:rPr>
          <w:rFonts w:ascii="Garamond" w:hAnsi="Garamond"/>
          <w:b/>
          <w:sz w:val="24"/>
        </w:rPr>
        <w:t>–</w:t>
      </w:r>
      <w:r w:rsidR="00847F23" w:rsidRPr="00913E39">
        <w:rPr>
          <w:rFonts w:ascii="Garamond" w:hAnsi="Garamond"/>
          <w:b/>
          <w:sz w:val="24"/>
        </w:rPr>
        <w:t>2030 (SKZHIE)</w:t>
      </w:r>
      <w:r w:rsidRPr="00913E39">
        <w:rPr>
          <w:rFonts w:ascii="Garamond" w:hAnsi="Garamond"/>
          <w:sz w:val="24"/>
        </w:rPr>
        <w:t>”</w:t>
      </w:r>
      <w:r w:rsidR="00847F23" w:rsidRPr="00913E39">
        <w:rPr>
          <w:rFonts w:ascii="Garamond" w:hAnsi="Garamond"/>
          <w:sz w:val="24"/>
          <w:vertAlign w:val="superscript"/>
        </w:rPr>
        <w:footnoteReference w:id="10"/>
      </w:r>
      <w:r w:rsidR="00847F23" w:rsidRPr="00913E39">
        <w:rPr>
          <w:rFonts w:ascii="Garamond" w:hAnsi="Garamond"/>
          <w:sz w:val="24"/>
        </w:rPr>
        <w:t xml:space="preserve"> përfshin arsimin brenda kohezionit social të </w:t>
      </w:r>
      <w:r w:rsidR="004B42B2" w:rsidRPr="00913E39">
        <w:rPr>
          <w:rFonts w:ascii="Garamond" w:hAnsi="Garamond"/>
          <w:sz w:val="24"/>
        </w:rPr>
        <w:t xml:space="preserve">shtyllës </w:t>
      </w:r>
      <w:r w:rsidR="00847F23" w:rsidRPr="00913E39">
        <w:rPr>
          <w:rFonts w:ascii="Garamond" w:hAnsi="Garamond"/>
          <w:sz w:val="24"/>
        </w:rPr>
        <w:t>III. Në kuadër të kësaj shtylle parashikohen: Qëllimi strategjik 1: Sistem arsimor gjithëpërfshirës dhe i bazuar në parimet e barazisë dhe mësimit gjatë gjithë jetës, që mundëson formimin cilësor të të gjithë individëve, duke kontribuar në mirëq</w:t>
      </w:r>
      <w:r w:rsidR="006234F9" w:rsidRPr="00913E39">
        <w:rPr>
          <w:rFonts w:ascii="Garamond" w:hAnsi="Garamond"/>
          <w:sz w:val="24"/>
        </w:rPr>
        <w:t>e</w:t>
      </w:r>
      <w:r w:rsidR="00847F23" w:rsidRPr="00913E39">
        <w:rPr>
          <w:rFonts w:ascii="Garamond" w:hAnsi="Garamond"/>
          <w:sz w:val="24"/>
        </w:rPr>
        <w:t>nien personale të tyre, si dhe në forcimin e demokracisë dhe integrimin e vendit në Bashkimin Evropian. Objektivat e politikave 1: Arsim parauniversitar cilësor dhe gjithëpërfshirës që krijon kushte që nxënësit të zhvillojnë njohuri, aftësi, qëndrime dhe vlera në pajtim me kërkesat e shoqërisë demokratike; të përballen në mënyrë konstruktive me sfidat e jetës, si dhe të kontribuojnë në ndërtimin e mirëqenies vetjake dhe të shoqërisë. Objektivi specifik 1.2</w:t>
      </w:r>
      <w:r w:rsidR="006234F9" w:rsidRPr="00913E39">
        <w:rPr>
          <w:rFonts w:ascii="Garamond" w:hAnsi="Garamond"/>
          <w:sz w:val="24"/>
        </w:rPr>
        <w:t>:</w:t>
      </w:r>
      <w:r w:rsidR="00847F23" w:rsidRPr="00913E39">
        <w:rPr>
          <w:rFonts w:ascii="Garamond" w:hAnsi="Garamond"/>
          <w:sz w:val="24"/>
        </w:rPr>
        <w:t xml:space="preserve"> Krijimi i mundësive për trajnim cilësor të mësuesve dhe përmirësimi i karrierës së tyre që i inkurajon ata të zhvillojnë nivele më të larta të aftësive për mësimdhënie. Objektivi specifik 1.3: Zbatimi i plotë i kurrikulave të bazuara në aftësi nëpërmjet mësimdhënies efektive dhe përdorimit të burimeve të nivelit të lartë. Objektivi specifik 1.4: Zhvillimi i aftësive digjitale nëpërmjet përdorimit më të mirë të TIK-ut për mësimdhënie dhe të nxënë. Qëllimi i politikave 2: Menaxhim efektiv dhe efi</w:t>
      </w:r>
      <w:r w:rsidR="006234F9" w:rsidRPr="00913E39">
        <w:rPr>
          <w:rFonts w:ascii="Garamond" w:hAnsi="Garamond"/>
          <w:sz w:val="24"/>
        </w:rPr>
        <w:t>ci</w:t>
      </w:r>
      <w:r w:rsidR="00847F23" w:rsidRPr="00913E39">
        <w:rPr>
          <w:rFonts w:ascii="Garamond" w:hAnsi="Garamond"/>
          <w:sz w:val="24"/>
        </w:rPr>
        <w:t xml:space="preserve">ent i sistemit të arsimit në të gjitha nivelet, i bazuar në mekanizma funksionalë për sigurimin e cilësisë, transparencës dhe llogaridhënies. Objektivi 2.1. Rritja e performancës së shkollës nëpërmjet drejtimit dhe menaxhimit profesional dhe sigurimit të cilësisë. </w:t>
      </w:r>
    </w:p>
    <w:p w14:paraId="36055B8D" w14:textId="750B8D24"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xml:space="preserve">Për sa i përket digjitalizimit të arsimit parauniversitar, </w:t>
      </w:r>
      <w:r w:rsidR="00850FC7" w:rsidRPr="00913E39">
        <w:rPr>
          <w:rFonts w:ascii="Garamond" w:hAnsi="Garamond"/>
          <w:sz w:val="24"/>
        </w:rPr>
        <w:t>“</w:t>
      </w:r>
      <w:r w:rsidRPr="00913E39">
        <w:rPr>
          <w:rFonts w:ascii="Garamond" w:hAnsi="Garamond"/>
          <w:b/>
          <w:sz w:val="24"/>
        </w:rPr>
        <w:t>Strategjia Kombëtare e Arsimit 2021</w:t>
      </w:r>
      <w:r w:rsidR="006234F9" w:rsidRPr="00913E39">
        <w:rPr>
          <w:rFonts w:ascii="Garamond" w:hAnsi="Garamond"/>
          <w:b/>
          <w:sz w:val="24"/>
        </w:rPr>
        <w:t>–</w:t>
      </w:r>
      <w:r w:rsidRPr="00913E39">
        <w:rPr>
          <w:rFonts w:ascii="Garamond" w:hAnsi="Garamond"/>
          <w:b/>
          <w:sz w:val="24"/>
        </w:rPr>
        <w:t>2026 (SKA)</w:t>
      </w:r>
      <w:r w:rsidR="00850FC7" w:rsidRPr="00913E39">
        <w:rPr>
          <w:rFonts w:ascii="Garamond" w:hAnsi="Garamond"/>
          <w:sz w:val="24"/>
        </w:rPr>
        <w:t>”</w:t>
      </w:r>
      <w:r w:rsidRPr="00913E39">
        <w:rPr>
          <w:rFonts w:ascii="Garamond" w:hAnsi="Garamond"/>
          <w:sz w:val="24"/>
          <w:vertAlign w:val="superscript"/>
        </w:rPr>
        <w:footnoteReference w:id="11"/>
      </w:r>
      <w:r w:rsidRPr="00913E39">
        <w:rPr>
          <w:rFonts w:ascii="Garamond" w:hAnsi="Garamond"/>
          <w:sz w:val="24"/>
        </w:rPr>
        <w:t xml:space="preserve"> parashikon në </w:t>
      </w:r>
      <w:r w:rsidR="006234F9" w:rsidRPr="00913E39">
        <w:rPr>
          <w:rFonts w:ascii="Garamond" w:hAnsi="Garamond"/>
          <w:sz w:val="24"/>
        </w:rPr>
        <w:t xml:space="preserve">objektivin e politikës </w:t>
      </w:r>
      <w:r w:rsidRPr="00913E39">
        <w:rPr>
          <w:rFonts w:ascii="Garamond" w:hAnsi="Garamond"/>
          <w:sz w:val="24"/>
        </w:rPr>
        <w:t xml:space="preserve">A: Arsim parauniversitar cilësor dhe të barabartë që krijon kushte në mënyrë që nxënësit të zhvillojnë njohuri, aftësi dhe ide në përputhje me kërkesat e shoqërisë demokratike; të përballen në mënyrë konstruktive me sfidat e jetës, si dhe të kontribuojnë në ndërtimin e mirëqenies vetjake dhe të shoqërisë, </w:t>
      </w:r>
      <w:r w:rsidR="006234F9" w:rsidRPr="00913E39">
        <w:rPr>
          <w:rFonts w:ascii="Garamond" w:hAnsi="Garamond"/>
          <w:sz w:val="24"/>
        </w:rPr>
        <w:t xml:space="preserve">objektivi strategjik </w:t>
      </w:r>
      <w:r w:rsidRPr="00913E39">
        <w:rPr>
          <w:rFonts w:ascii="Garamond" w:hAnsi="Garamond"/>
          <w:sz w:val="24"/>
        </w:rPr>
        <w:t>A5: Zhvillimi i aftësive digjitale duke shfrytëzuar sa më mirë informacionin, teknologjinë dhe komunikimin për produktet</w:t>
      </w:r>
      <w:r w:rsidR="006234F9" w:rsidRPr="00913E39">
        <w:rPr>
          <w:rFonts w:ascii="Garamond" w:hAnsi="Garamond"/>
          <w:sz w:val="24"/>
        </w:rPr>
        <w:t xml:space="preserve"> </w:t>
      </w:r>
      <w:r w:rsidRPr="00913E39">
        <w:rPr>
          <w:rFonts w:ascii="Garamond" w:hAnsi="Garamond"/>
          <w:sz w:val="24"/>
        </w:rPr>
        <w:t xml:space="preserve">e mëposhtme: Krijimi i infrastrukturës së duhur për përdorimin e TIK-ut në shkolla dhe </w:t>
      </w:r>
      <w:r w:rsidRPr="00913E39">
        <w:rPr>
          <w:rFonts w:ascii="Garamond" w:hAnsi="Garamond"/>
          <w:sz w:val="24"/>
        </w:rPr>
        <w:lastRenderedPageBreak/>
        <w:t xml:space="preserve">mirëmbajtja e saj; Zhvillimi i aftësisë digjitale nëpërmjet përdorimit të zgjeruar të TIK-ut në të gjitha lëndët; ofrimi i shërbimeve cilësore TIK për arsimin parauniversitar. </w:t>
      </w:r>
    </w:p>
    <w:p w14:paraId="0695F922" w14:textId="77777777"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Ministria e Arsimit dhe Sportit dhe Agjencia e Sigurimit të Cilësisë së Arsimit Parauniversitar (ASCAP) kanë miratuar kurrikulën e TIK-ut për klasat e 1</w:t>
      </w:r>
      <w:r w:rsidRPr="00913E39">
        <w:rPr>
          <w:rFonts w:ascii="Garamond" w:hAnsi="Garamond"/>
          <w:sz w:val="24"/>
          <w:vertAlign w:val="superscript"/>
        </w:rPr>
        <w:t>ra</w:t>
      </w:r>
      <w:r w:rsidRPr="00913E39">
        <w:rPr>
          <w:rFonts w:ascii="Garamond" w:hAnsi="Garamond"/>
          <w:sz w:val="24"/>
        </w:rPr>
        <w:t xml:space="preserve"> dhe të 2</w:t>
      </w:r>
      <w:r w:rsidRPr="00913E39">
        <w:rPr>
          <w:rFonts w:ascii="Garamond" w:hAnsi="Garamond"/>
          <w:sz w:val="24"/>
          <w:vertAlign w:val="superscript"/>
        </w:rPr>
        <w:t>ta</w:t>
      </w:r>
      <w:r w:rsidRPr="00913E39">
        <w:rPr>
          <w:rFonts w:ascii="Garamond" w:hAnsi="Garamond"/>
          <w:sz w:val="24"/>
        </w:rPr>
        <w:t xml:space="preserve"> të sistemit arsimor parauniversitar</w:t>
      </w:r>
      <w:r w:rsidRPr="00913E39">
        <w:rPr>
          <w:rFonts w:ascii="Garamond" w:hAnsi="Garamond"/>
          <w:sz w:val="24"/>
          <w:vertAlign w:val="superscript"/>
        </w:rPr>
        <w:footnoteReference w:id="12"/>
      </w:r>
      <w:r w:rsidRPr="00913E39">
        <w:rPr>
          <w:rFonts w:ascii="Garamond" w:hAnsi="Garamond"/>
          <w:sz w:val="24"/>
        </w:rPr>
        <w:t xml:space="preserve">. Në kornizën kurrikulare të arsimit parauniversitar, aftësia digjitale </w:t>
      </w:r>
      <w:r w:rsidRPr="00913E39">
        <w:rPr>
          <w:rFonts w:ascii="Garamond" w:hAnsi="Garamond"/>
          <w:sz w:val="24"/>
          <w:vertAlign w:val="superscript"/>
        </w:rPr>
        <w:footnoteReference w:id="13"/>
      </w:r>
      <w:r w:rsidRPr="00913E39">
        <w:rPr>
          <w:rFonts w:ascii="Garamond" w:hAnsi="Garamond"/>
          <w:sz w:val="24"/>
        </w:rPr>
        <w:t xml:space="preserve"> është një kompetencë ndërdisiplinore e cila synohet të zhvillohet me të gjitha lëndët përkatëse dhe jo vetëm me lëndën e Teknologjisë së Informacionit dhe Komunikimit.</w:t>
      </w:r>
      <w:r w:rsidRPr="00913E39">
        <w:rPr>
          <w:rFonts w:ascii="Garamond" w:hAnsi="Garamond"/>
          <w:sz w:val="24"/>
          <w:vertAlign w:val="superscript"/>
        </w:rPr>
        <w:footnoteReference w:id="14"/>
      </w:r>
      <w:r w:rsidRPr="00913E39">
        <w:rPr>
          <w:rFonts w:ascii="Garamond" w:hAnsi="Garamond"/>
          <w:sz w:val="24"/>
        </w:rPr>
        <w:t xml:space="preserve"> </w:t>
      </w:r>
    </w:p>
    <w:p w14:paraId="428336B6" w14:textId="6C4A1B85"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xml:space="preserve">Strategjia ndërsektoriale </w:t>
      </w:r>
      <w:r w:rsidR="00850FC7" w:rsidRPr="00913E39">
        <w:rPr>
          <w:rFonts w:ascii="Garamond" w:hAnsi="Garamond"/>
          <w:sz w:val="24"/>
        </w:rPr>
        <w:t>“</w:t>
      </w:r>
      <w:r w:rsidRPr="00913E39">
        <w:rPr>
          <w:rFonts w:ascii="Garamond" w:hAnsi="Garamond"/>
          <w:b/>
          <w:sz w:val="24"/>
        </w:rPr>
        <w:t>Agjenda Digjitale e Shqipërisë 2022</w:t>
      </w:r>
      <w:r w:rsidR="006234F9" w:rsidRPr="00913E39">
        <w:rPr>
          <w:rFonts w:ascii="Garamond" w:hAnsi="Garamond"/>
          <w:b/>
          <w:sz w:val="24"/>
        </w:rPr>
        <w:t>–</w:t>
      </w:r>
      <w:r w:rsidRPr="00913E39">
        <w:rPr>
          <w:rFonts w:ascii="Garamond" w:hAnsi="Garamond"/>
          <w:b/>
          <w:sz w:val="24"/>
        </w:rPr>
        <w:t>2026</w:t>
      </w:r>
      <w:r w:rsidR="00850FC7" w:rsidRPr="00913E39">
        <w:rPr>
          <w:rFonts w:ascii="Garamond" w:hAnsi="Garamond"/>
          <w:sz w:val="24"/>
        </w:rPr>
        <w:t>”</w:t>
      </w:r>
      <w:r w:rsidRPr="00913E39">
        <w:rPr>
          <w:rFonts w:ascii="Garamond" w:hAnsi="Garamond"/>
          <w:sz w:val="24"/>
          <w:vertAlign w:val="superscript"/>
        </w:rPr>
        <w:footnoteReference w:id="15"/>
      </w:r>
      <w:r w:rsidR="005B5FD1" w:rsidRPr="00913E39">
        <w:rPr>
          <w:rFonts w:ascii="Garamond" w:hAnsi="Garamond"/>
          <w:sz w:val="24"/>
        </w:rPr>
        <w:t xml:space="preserve"> </w:t>
      </w:r>
      <w:r w:rsidRPr="00913E39">
        <w:rPr>
          <w:rFonts w:ascii="Garamond" w:hAnsi="Garamond"/>
          <w:sz w:val="24"/>
        </w:rPr>
        <w:t xml:space="preserve">luan një rol të rëndësishëm për përmirësimin e cilësisë së shërbimeve ndaj qytetarëve dhe biznesit në vend. Për të mundësuar që të gjithë shqiptarët të përfitojnë plotësisht nga mirëqenia që sjell krijimi i një shoqërie digjitale gjithëpërfshirëse, arritjet në aspektin e aftësive të bazuara në zhvillimin digjital është një prioritet i qeverisë shqiptare. Agjenda digjitale e qeverisë shqiptare ka edhe një akt dedikuar digjitalizimin në arsim. Në lidhje me digjitalizimin arsimor dhe aftësitë digjitale, në qëllimin 4 strategjia parashikon të arrihet sa më poshtë: 1. Nëpërmjet qendrave të trajnimit dhe kurseve të programimit, synohet që brenda vitit 2025 të jenë certifikuar 10,000 programues. 2. Krijimi i 10 qendrave teknologjike rinore në rang vendi brenda vitit 2024. 3. Integrimi i lëndës së teknologjisë së informacionit dhe komunikimit dhe njohurive të programimit si pjesë e kurrikulës duke filluar nga klasa e parë e arsimit fillor brenda vitit 2022. Krijimi i </w:t>
      </w:r>
      <w:r w:rsidRPr="00913E39">
        <w:rPr>
          <w:rFonts w:ascii="Garamond" w:hAnsi="Garamond"/>
          <w:i/>
          <w:sz w:val="24"/>
        </w:rPr>
        <w:t>Smart Labs</w:t>
      </w:r>
      <w:r w:rsidRPr="00913E39">
        <w:rPr>
          <w:rFonts w:ascii="Garamond" w:hAnsi="Garamond"/>
          <w:sz w:val="24"/>
        </w:rPr>
        <w:t xml:space="preserve"> në të gjitha institucionet e arsimit parauniversitar në vend brenda vitit 2023. </w:t>
      </w:r>
    </w:p>
    <w:p w14:paraId="3ED6C826" w14:textId="2374E59D"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Sistemi i Menaxhimit të Informacionit të Arsimit Parauniversitar (SMIP) është një sistem kombëtar i të dhënave arsimore për sistemin arsimor parauniversitar</w:t>
      </w:r>
      <w:r w:rsidRPr="00913E39">
        <w:rPr>
          <w:rFonts w:ascii="Garamond" w:hAnsi="Garamond"/>
          <w:sz w:val="24"/>
          <w:vertAlign w:val="superscript"/>
        </w:rPr>
        <w:footnoteReference w:id="16"/>
      </w:r>
      <w:r w:rsidRPr="00913E39">
        <w:rPr>
          <w:rFonts w:ascii="Garamond" w:hAnsi="Garamond"/>
          <w:sz w:val="24"/>
        </w:rPr>
        <w:t>. Sistemi lidhet drejtpërdrejt me përmirësimin e sistemit arsimor duke mbledhur dhe përditësuar të gjithë informacionin mbi arsimin parauniversitar, duke rritur nivelin e ndërveprimit në nivel digjitale të shkollave dhe duke inkurajuar përdorimin e teknologjisë së re brenda sistemit. Gjithashtu, ky sistem u mundëson prindërve të informohen në kohë reale për notat dhe mungesat e fëmijëve të tyre, duke rritur kështu transparencën dhe përgjegjshmërinë. SMIP</w:t>
      </w:r>
      <w:r w:rsidR="00A73C88" w:rsidRPr="00913E39">
        <w:rPr>
          <w:rFonts w:ascii="Garamond" w:hAnsi="Garamond"/>
          <w:sz w:val="24"/>
        </w:rPr>
        <w:t>-i</w:t>
      </w:r>
      <w:r w:rsidRPr="00913E39">
        <w:rPr>
          <w:rFonts w:ascii="Garamond" w:hAnsi="Garamond"/>
          <w:sz w:val="24"/>
        </w:rPr>
        <w:t xml:space="preserve"> është një mjet i rëndësishëm për të përmirësuar përdorimin e digjitalizimit arsimor. Megjithatë, në mënyrë që SMIP</w:t>
      </w:r>
      <w:r w:rsidR="00A73C88" w:rsidRPr="00913E39">
        <w:rPr>
          <w:rFonts w:ascii="Garamond" w:hAnsi="Garamond"/>
          <w:sz w:val="24"/>
        </w:rPr>
        <w:t>-i</w:t>
      </w:r>
      <w:r w:rsidRPr="00913E39">
        <w:rPr>
          <w:rFonts w:ascii="Garamond" w:hAnsi="Garamond"/>
          <w:sz w:val="24"/>
        </w:rPr>
        <w:t xml:space="preserve"> të zbatohet siç duhet, nevojitet përmirësimi i infrastrukturës në lidhje me TIK-un që të mundësohet përditësimi i vazhdueshëm i sistemit nga mësuesit dhe aksesimi i tij nga nxënësit. Aktualisht, përdoruesit e SMIP</w:t>
      </w:r>
      <w:r w:rsidR="00A73C88" w:rsidRPr="00913E39">
        <w:rPr>
          <w:rFonts w:ascii="Garamond" w:hAnsi="Garamond"/>
          <w:sz w:val="24"/>
        </w:rPr>
        <w:t>-it</w:t>
      </w:r>
      <w:r w:rsidRPr="00913E39">
        <w:rPr>
          <w:rFonts w:ascii="Garamond" w:hAnsi="Garamond"/>
          <w:sz w:val="24"/>
        </w:rPr>
        <w:t xml:space="preserve"> përfshijnë: 338.965 nxënës të regjistruar, 1.409 shkolla (publike</w:t>
      </w:r>
      <w:r w:rsidR="00520FD5" w:rsidRPr="00913E39">
        <w:rPr>
          <w:rFonts w:ascii="Garamond" w:hAnsi="Garamond"/>
          <w:sz w:val="24"/>
        </w:rPr>
        <w:t xml:space="preserve"> </w:t>
      </w:r>
      <w:r w:rsidRPr="00913E39">
        <w:rPr>
          <w:rFonts w:ascii="Garamond" w:hAnsi="Garamond"/>
          <w:sz w:val="24"/>
        </w:rPr>
        <w:t>+</w:t>
      </w:r>
      <w:r w:rsidR="00520FD5" w:rsidRPr="00913E39">
        <w:rPr>
          <w:rFonts w:ascii="Garamond" w:hAnsi="Garamond"/>
          <w:sz w:val="24"/>
        </w:rPr>
        <w:t xml:space="preserve"> </w:t>
      </w:r>
      <w:r w:rsidRPr="00913E39">
        <w:rPr>
          <w:rFonts w:ascii="Garamond" w:hAnsi="Garamond"/>
          <w:sz w:val="24"/>
        </w:rPr>
        <w:t>private), 36.266 mësues (publik</w:t>
      </w:r>
      <w:r w:rsidR="00520FD5" w:rsidRPr="00913E39">
        <w:rPr>
          <w:rFonts w:ascii="Garamond" w:hAnsi="Garamond"/>
          <w:sz w:val="24"/>
        </w:rPr>
        <w:t xml:space="preserve"> </w:t>
      </w:r>
      <w:r w:rsidRPr="00913E39">
        <w:rPr>
          <w:rFonts w:ascii="Garamond" w:hAnsi="Garamond"/>
          <w:sz w:val="24"/>
        </w:rPr>
        <w:t>+</w:t>
      </w:r>
      <w:r w:rsidR="00520FD5" w:rsidRPr="00913E39">
        <w:rPr>
          <w:rFonts w:ascii="Garamond" w:hAnsi="Garamond"/>
          <w:sz w:val="24"/>
        </w:rPr>
        <w:t xml:space="preserve"> </w:t>
      </w:r>
      <w:r w:rsidRPr="00913E39">
        <w:rPr>
          <w:rFonts w:ascii="Garamond" w:hAnsi="Garamond"/>
          <w:sz w:val="24"/>
        </w:rPr>
        <w:t>privat) dhe 18.509 klasa.</w:t>
      </w:r>
    </w:p>
    <w:p w14:paraId="50C92016" w14:textId="77777777" w:rsidR="00847F23" w:rsidRPr="00913E39" w:rsidRDefault="00847F23" w:rsidP="00693B1A">
      <w:pPr>
        <w:spacing w:after="0" w:line="240" w:lineRule="auto"/>
        <w:ind w:firstLine="284"/>
        <w:jc w:val="both"/>
        <w:rPr>
          <w:rFonts w:ascii="Garamond" w:hAnsi="Garamond"/>
          <w:i/>
          <w:sz w:val="24"/>
        </w:rPr>
      </w:pPr>
      <w:r w:rsidRPr="00913E39">
        <w:rPr>
          <w:rFonts w:ascii="Garamond" w:hAnsi="Garamond"/>
          <w:i/>
          <w:sz w:val="24"/>
        </w:rPr>
        <w:t>Fusha e mbështetjes 2: Integrimi me sistemet e teknologjisë së informacionit të BE-së, siguria kibernetike dhe ndërlidhja digjitale</w:t>
      </w:r>
    </w:p>
    <w:p w14:paraId="4EE0D45E" w14:textId="4DFC9444" w:rsidR="00847F23" w:rsidRPr="00913E39" w:rsidRDefault="00847F23" w:rsidP="00693B1A">
      <w:pPr>
        <w:spacing w:after="0" w:line="240" w:lineRule="auto"/>
        <w:ind w:firstLine="284"/>
        <w:jc w:val="both"/>
        <w:rPr>
          <w:rFonts w:ascii="Garamond" w:hAnsi="Garamond"/>
          <w:i/>
          <w:sz w:val="24"/>
        </w:rPr>
      </w:pPr>
      <w:r w:rsidRPr="00913E39">
        <w:rPr>
          <w:rFonts w:ascii="Garamond" w:hAnsi="Garamond"/>
          <w:i/>
          <w:sz w:val="24"/>
        </w:rPr>
        <w:t>Nën</w:t>
      </w:r>
      <w:r w:rsidR="00520FD5" w:rsidRPr="00913E39">
        <w:rPr>
          <w:rFonts w:ascii="Garamond" w:hAnsi="Garamond"/>
          <w:i/>
          <w:sz w:val="24"/>
        </w:rPr>
        <w:t>f</w:t>
      </w:r>
      <w:r w:rsidRPr="00913E39">
        <w:rPr>
          <w:rFonts w:ascii="Garamond" w:hAnsi="Garamond"/>
          <w:i/>
          <w:sz w:val="24"/>
        </w:rPr>
        <w:t>usha e mbështetjes 2.1: Tatimet</w:t>
      </w:r>
    </w:p>
    <w:p w14:paraId="0AA560E8" w14:textId="0727B9E5" w:rsidR="00847F23" w:rsidRPr="00913E39" w:rsidRDefault="00847F23" w:rsidP="00497B25">
      <w:pPr>
        <w:spacing w:after="0" w:line="240" w:lineRule="auto"/>
        <w:ind w:firstLine="284"/>
        <w:jc w:val="both"/>
        <w:rPr>
          <w:rFonts w:ascii="Garamond" w:hAnsi="Garamond"/>
          <w:sz w:val="24"/>
        </w:rPr>
      </w:pPr>
      <w:r w:rsidRPr="00913E39">
        <w:rPr>
          <w:rFonts w:ascii="Garamond" w:hAnsi="Garamond"/>
          <w:sz w:val="24"/>
        </w:rPr>
        <w:t xml:space="preserve">Shqipëria ka një koeficient relativisht të ulët të efikasitetit (C-koeficienti) për TVSH-në. Ky koeficient në Shqipëri llogaritet të jetë 0.54, që do të thotë se 54% e të ardhurave të mundshme nga </w:t>
      </w:r>
      <w:r w:rsidRPr="00913E39">
        <w:rPr>
          <w:rFonts w:ascii="Garamond" w:hAnsi="Garamond"/>
          <w:sz w:val="24"/>
        </w:rPr>
        <w:lastRenderedPageBreak/>
        <w:t>TVSH-ja mblidhet me normën standarde. Megjithëse Shqipëria ka një normë standarde të lartë (20%) në krahasim me fqinjët e Ballkanit jashtë BE-së, ky raport mbetet më i vogël se vendet si Serbia, Mali i Zi, Bosnja dhe Hercegovina ose Maqedonia e Veriut.</w:t>
      </w:r>
      <w:r w:rsidR="00497B25">
        <w:rPr>
          <w:rFonts w:ascii="Garamond" w:hAnsi="Garamond"/>
          <w:sz w:val="24"/>
        </w:rPr>
        <w:t xml:space="preserve"> </w:t>
      </w:r>
      <w:r w:rsidRPr="00913E39">
        <w:rPr>
          <w:rFonts w:ascii="Garamond" w:hAnsi="Garamond"/>
          <w:sz w:val="24"/>
        </w:rPr>
        <w:t>Të ardhurat nga tatimi i drejtpërdrejtë i të ardhurave personale dhe kontributet mbeten një nga burimet më të rëndësishme të të ardhurave për Shqipërinë. Të dhënat ndër vite tregojnë se niveli i të ardhurave të mbledhura nga këto burime korrespondon mesatarisht me 16% të PBB-së.</w:t>
      </w:r>
    </w:p>
    <w:p w14:paraId="0583481A" w14:textId="64F7D20E"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Bashkimi Evropian (BE) ka përcaktuar norma që rregullojnë aspekte të ndryshme të tatimit, duke përfshirë tatimin mbi vlerën e shtuar, akcizën dhe tatimin korporativ. Këto rregulla përfshijnë gjithashtu bashkëpunimin ndërmjet administratave tatimore, duke përfshirë shkëmbimin e informacionit për të luftuar evazionin fiskal. Shqipëria, në përputhje me ligjin nr. 35/2019</w:t>
      </w:r>
      <w:r w:rsidRPr="00913E39">
        <w:rPr>
          <w:rFonts w:ascii="Garamond" w:hAnsi="Garamond"/>
          <w:sz w:val="24"/>
          <w:vertAlign w:val="superscript"/>
        </w:rPr>
        <w:footnoteReference w:id="17"/>
      </w:r>
      <w:r w:rsidRPr="00913E39">
        <w:rPr>
          <w:rFonts w:ascii="Garamond" w:hAnsi="Garamond"/>
          <w:sz w:val="24"/>
        </w:rPr>
        <w:t>, ka ratifikuar një marrëveshje me Organizatën për Bashkëpunim dhe Zhvillim Ekonomik (OECD) për t</w:t>
      </w:r>
      <w:r w:rsidR="005222A5" w:rsidRPr="00913E39">
        <w:rPr>
          <w:rFonts w:ascii="Garamond" w:hAnsi="Garamond"/>
          <w:sz w:val="24"/>
        </w:rPr>
        <w:t>’</w:t>
      </w:r>
      <w:r w:rsidRPr="00913E39">
        <w:rPr>
          <w:rFonts w:ascii="Garamond" w:hAnsi="Garamond"/>
          <w:sz w:val="24"/>
        </w:rPr>
        <w:t>iu bashkuar Kornizës Gjithëpërfshirëse për Parandalimin e Erozionit të Bazës dhe Transferimit të Fitimeve (në gusht 2019. Brenda kësaj kornize një nga katër standardet minimale që duhet të përmbushen është Plan</w:t>
      </w:r>
      <w:r w:rsidR="00BE688F" w:rsidRPr="00913E39">
        <w:rPr>
          <w:rFonts w:ascii="Garamond" w:hAnsi="Garamond"/>
          <w:sz w:val="24"/>
        </w:rPr>
        <w:t>v</w:t>
      </w:r>
      <w:r w:rsidRPr="00913E39">
        <w:rPr>
          <w:rFonts w:ascii="Garamond" w:hAnsi="Garamond"/>
          <w:sz w:val="24"/>
        </w:rPr>
        <w:t xml:space="preserve">eprimi 13, i njohur si </w:t>
      </w:r>
      <w:r w:rsidR="00850FC7" w:rsidRPr="00913E39">
        <w:rPr>
          <w:rFonts w:ascii="Garamond" w:eastAsia="Times New Roman" w:hAnsi="Garamond" w:cs="Times New Roman"/>
          <w:sz w:val="24"/>
          <w:szCs w:val="24"/>
        </w:rPr>
        <w:t>“</w:t>
      </w:r>
      <w:r w:rsidRPr="00913E39">
        <w:rPr>
          <w:rFonts w:ascii="Garamond" w:hAnsi="Garamond"/>
          <w:sz w:val="24"/>
        </w:rPr>
        <w:t xml:space="preserve">RAPORTIMI PËR </w:t>
      </w:r>
      <w:r w:rsidR="006E17B5" w:rsidRPr="00913E39">
        <w:rPr>
          <w:rFonts w:ascii="Garamond" w:hAnsi="Garamond"/>
          <w:sz w:val="24"/>
        </w:rPr>
        <w:t>ÇDO</w:t>
      </w:r>
      <w:r w:rsidRPr="00913E39">
        <w:rPr>
          <w:rFonts w:ascii="Garamond" w:hAnsi="Garamond"/>
          <w:sz w:val="24"/>
        </w:rPr>
        <w:t xml:space="preserve"> VEND</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Zbatimi i kësaj mase përputhet me </w:t>
      </w:r>
      <w:r w:rsidR="006E17B5" w:rsidRPr="00913E39">
        <w:rPr>
          <w:rFonts w:ascii="Garamond" w:hAnsi="Garamond"/>
          <w:sz w:val="24"/>
        </w:rPr>
        <w:t>d</w:t>
      </w:r>
      <w:r w:rsidRPr="00913E39">
        <w:rPr>
          <w:rFonts w:ascii="Garamond" w:hAnsi="Garamond"/>
          <w:sz w:val="24"/>
        </w:rPr>
        <w:t xml:space="preserve">irektivat e BE-së të përshkruara në </w:t>
      </w:r>
      <w:r w:rsidR="00BE688F" w:rsidRPr="00913E39">
        <w:rPr>
          <w:rFonts w:ascii="Garamond" w:hAnsi="Garamond"/>
          <w:sz w:val="24"/>
        </w:rPr>
        <w:t>k</w:t>
      </w:r>
      <w:r w:rsidRPr="00913E39">
        <w:rPr>
          <w:rFonts w:ascii="Garamond" w:hAnsi="Garamond"/>
          <w:sz w:val="24"/>
        </w:rPr>
        <w:t xml:space="preserve">apitullin 16, </w:t>
      </w:r>
      <w:r w:rsidR="00850FC7" w:rsidRPr="00913E39">
        <w:rPr>
          <w:rFonts w:ascii="Garamond" w:eastAsia="Times New Roman" w:hAnsi="Garamond" w:cs="Times New Roman"/>
          <w:sz w:val="24"/>
          <w:szCs w:val="24"/>
        </w:rPr>
        <w:t>“</w:t>
      </w:r>
      <w:r w:rsidRPr="00913E39">
        <w:rPr>
          <w:rFonts w:ascii="Garamond" w:hAnsi="Garamond"/>
          <w:sz w:val="24"/>
        </w:rPr>
        <w:t>Tatimet të Raportit të Komisionit Evropian për Zgjerimin. Për zbatimin efektiv të kësaj mase, do të hartohet legjislacioni i nevojshëm, i ndjekur nga përfshirja i tij në sistemet kompjuterike për zbatim të pandërprerë.</w:t>
      </w:r>
    </w:p>
    <w:p w14:paraId="1871BA2E" w14:textId="29AFB009"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xml:space="preserve">Për sa i përket bashkëpunimit administrativ dhe ndihmës reciproke, Shqipërisë i duhet të finalizojë marrëveshjet e tatimit të dyfishtë me disa vende të BE-së. Ndërsa </w:t>
      </w:r>
      <w:r w:rsidR="00DD183D" w:rsidRPr="00913E39">
        <w:rPr>
          <w:rFonts w:ascii="Garamond" w:hAnsi="Garamond"/>
          <w:sz w:val="24"/>
        </w:rPr>
        <w:t xml:space="preserve">ligji </w:t>
      </w:r>
      <w:r w:rsidRPr="00913E39">
        <w:rPr>
          <w:rFonts w:ascii="Garamond" w:hAnsi="Garamond"/>
          <w:sz w:val="24"/>
        </w:rPr>
        <w:t xml:space="preserve">për shkëmbimin automatik të informacionit për llogaritë financiare përputhet pjesërisht me </w:t>
      </w:r>
      <w:r w:rsidR="00DD183D" w:rsidRPr="00913E39">
        <w:rPr>
          <w:rFonts w:ascii="Garamond" w:hAnsi="Garamond"/>
          <w:sz w:val="24"/>
        </w:rPr>
        <w:t xml:space="preserve">direktivën </w:t>
      </w:r>
      <w:r w:rsidRPr="00913E39">
        <w:rPr>
          <w:rFonts w:ascii="Garamond" w:hAnsi="Garamond"/>
          <w:sz w:val="24"/>
        </w:rPr>
        <w:t xml:space="preserve">përkatëse të BE-së të vitit 2014, nevojiten përmirësime të mëtejshme. Shqipëria ka marrë një angazhim për të marrë pjesë në shkëmbimet e informacionit të llogarive financiare në përputhje me Standardin për Shkëmbimin Automatik të Informacionit të </w:t>
      </w:r>
      <w:r w:rsidR="00DD183D" w:rsidRPr="00913E39">
        <w:rPr>
          <w:rFonts w:ascii="Garamond" w:hAnsi="Garamond"/>
          <w:sz w:val="24"/>
        </w:rPr>
        <w:t xml:space="preserve">Llogarive </w:t>
      </w:r>
      <w:r w:rsidRPr="00913E39">
        <w:rPr>
          <w:rFonts w:ascii="Garamond" w:hAnsi="Garamond"/>
          <w:sz w:val="24"/>
        </w:rPr>
        <w:t>Financiare në Çështjet Tatimore (Standar</w:t>
      </w:r>
      <w:r w:rsidR="00DD183D" w:rsidRPr="00913E39">
        <w:rPr>
          <w:rFonts w:ascii="Garamond" w:hAnsi="Garamond"/>
          <w:sz w:val="24"/>
        </w:rPr>
        <w:t>d</w:t>
      </w:r>
      <w:r w:rsidRPr="00913E39">
        <w:rPr>
          <w:rFonts w:ascii="Garamond" w:hAnsi="Garamond"/>
          <w:sz w:val="24"/>
        </w:rPr>
        <w:t>i AEOI) duke filluar nga viti 2020. Në vitin 2020, Shqipëria ka filluar të kryej shkëmbime joreciproke dhe më pas i është nënshtruar një vlerësimi duke përdorur metodologjinë për juridiksionet joreciproke. Vlerësimi përcaktoi se konfidencialiteti dhe mbrojtja e të dhënave të Shqipërisë janë në përputhje me standardin AEOI. Nuk u identifikuan probleme që do të përbënin një rrezik të papranueshëm të sigurisë për të dhënat e shkëmbyera. Si rezultat, nuk janë bërë rekomandime të rëndësishme për përmirësim.</w:t>
      </w:r>
    </w:p>
    <w:p w14:paraId="5E003B0B" w14:textId="125B13A7"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Për</w:t>
      </w:r>
      <w:r w:rsidR="00DD183D" w:rsidRPr="00913E39">
        <w:rPr>
          <w:rFonts w:ascii="Garamond" w:hAnsi="Garamond"/>
          <w:sz w:val="24"/>
        </w:rPr>
        <w:t xml:space="preserve"> </w:t>
      </w:r>
      <w:r w:rsidRPr="00913E39">
        <w:rPr>
          <w:rFonts w:ascii="Garamond" w:hAnsi="Garamond"/>
          <w:sz w:val="24"/>
        </w:rPr>
        <w:t xml:space="preserve">sa </w:t>
      </w:r>
      <w:r w:rsidR="00DD183D" w:rsidRPr="00913E39">
        <w:rPr>
          <w:rFonts w:ascii="Garamond" w:hAnsi="Garamond"/>
          <w:sz w:val="24"/>
        </w:rPr>
        <w:t>u</w:t>
      </w:r>
      <w:r w:rsidRPr="00913E39">
        <w:rPr>
          <w:rFonts w:ascii="Garamond" w:hAnsi="Garamond"/>
          <w:sz w:val="24"/>
        </w:rPr>
        <w:t xml:space="preserve"> përket politikave kombëtare, </w:t>
      </w:r>
      <w:r w:rsidRPr="00913E39">
        <w:rPr>
          <w:rFonts w:ascii="Garamond" w:hAnsi="Garamond"/>
          <w:b/>
          <w:sz w:val="24"/>
        </w:rPr>
        <w:t>Strategjia Kombëtare për Zhvillim dhe Integrim Evropian 2022</w:t>
      </w:r>
      <w:r w:rsidR="00DD183D" w:rsidRPr="00913E39">
        <w:rPr>
          <w:rFonts w:ascii="Garamond" w:hAnsi="Garamond"/>
          <w:b/>
          <w:sz w:val="24"/>
        </w:rPr>
        <w:t>–</w:t>
      </w:r>
      <w:r w:rsidRPr="00913E39">
        <w:rPr>
          <w:rFonts w:ascii="Garamond" w:hAnsi="Garamond"/>
          <w:b/>
          <w:sz w:val="24"/>
        </w:rPr>
        <w:t>2030 (SKZHIE)</w:t>
      </w:r>
      <w:r w:rsidRPr="00913E39">
        <w:rPr>
          <w:rFonts w:ascii="Garamond" w:hAnsi="Garamond"/>
          <w:sz w:val="24"/>
        </w:rPr>
        <w:t xml:space="preserve"> përcakton synimet e politikave të vendit dhe objektivat e zhvillimit të qëndrueshëm. Ajo shpreh edhe njëherë angazhimin e qeverisë për forcimin e financave publike dhe sigurimin e stabilitetit fiskal në të gjithë sektorët. Për më tepër, ajo është bazuar në vizionin e zhvillimit të një sistemi të të ardhurave buxhetore që është efikas, i mirorganizuar, transparent, i qëndrueshëm dhe praktik. Ky sistem synon të mbështesë ofrimin e shërbimeve publike të përmirësuara, të nxisë rritjen ekonomike dhe të përforcojë stabilitetin e financave publike të vendit. Vizioni synon të gjenerojë të ardhura të qëndrueshme për buxhetin duke zbatuar një sistem tatimor efektiv, të barabartë dhe të paanshëm.</w:t>
      </w:r>
    </w:p>
    <w:p w14:paraId="49E60803" w14:textId="7DE0D6BC"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xml:space="preserve">Ministria e Financave dhe Ekonomisë (MFE) ka iniciuar përgatitjen e </w:t>
      </w:r>
      <w:r w:rsidRPr="00913E39">
        <w:rPr>
          <w:rFonts w:ascii="Garamond" w:hAnsi="Garamond"/>
          <w:b/>
          <w:sz w:val="24"/>
        </w:rPr>
        <w:t>Strategjisë së re Sektoriale për Menaxhimin e Financave Publike 2023</w:t>
      </w:r>
      <w:r w:rsidR="00152CDE" w:rsidRPr="00913E39">
        <w:rPr>
          <w:rFonts w:ascii="Garamond" w:hAnsi="Garamond"/>
          <w:b/>
          <w:sz w:val="24"/>
        </w:rPr>
        <w:t>–</w:t>
      </w:r>
      <w:r w:rsidRPr="00913E39">
        <w:rPr>
          <w:rFonts w:ascii="Garamond" w:hAnsi="Garamond"/>
          <w:b/>
          <w:sz w:val="24"/>
        </w:rPr>
        <w:t>2030,</w:t>
      </w:r>
      <w:r w:rsidRPr="00913E39">
        <w:rPr>
          <w:rFonts w:ascii="Garamond" w:hAnsi="Garamond"/>
          <w:sz w:val="24"/>
        </w:rPr>
        <w:t xml:space="preserve"> e cila do të shoqërohet me një plan veprimi trevjeçar. Strategjia e re do të vazhdojë të theksojë objektivin e rritjes së mobilizimit të të ardhurave të brendshme nëpërmjet përmirësimeve në </w:t>
      </w:r>
      <w:r w:rsidR="00152CDE" w:rsidRPr="00913E39">
        <w:rPr>
          <w:rFonts w:ascii="Garamond" w:hAnsi="Garamond"/>
          <w:sz w:val="24"/>
        </w:rPr>
        <w:t>administratën tatimore</w:t>
      </w:r>
      <w:r w:rsidRPr="00913E39">
        <w:rPr>
          <w:rFonts w:ascii="Garamond" w:hAnsi="Garamond"/>
          <w:sz w:val="24"/>
          <w:vertAlign w:val="superscript"/>
        </w:rPr>
        <w:footnoteReference w:id="18"/>
      </w:r>
      <w:r w:rsidRPr="00913E39">
        <w:rPr>
          <w:rFonts w:ascii="Garamond" w:hAnsi="Garamond"/>
          <w:sz w:val="24"/>
        </w:rPr>
        <w:t xml:space="preserve">. Në mënyrë të veçantë, objektivi është rritja e efikasitetit të mbledhjes së të ardhurave, duke siguruar stabilitet </w:t>
      </w:r>
      <w:r w:rsidRPr="00913E39">
        <w:rPr>
          <w:rFonts w:ascii="Garamond" w:hAnsi="Garamond"/>
          <w:sz w:val="24"/>
        </w:rPr>
        <w:lastRenderedPageBreak/>
        <w:t>financiar si në nivel qendror ashtu edhe në atë lokal. Gjithashtu</w:t>
      </w:r>
      <w:r w:rsidR="00963665" w:rsidRPr="00913E39">
        <w:rPr>
          <w:rFonts w:ascii="Garamond" w:hAnsi="Garamond"/>
          <w:sz w:val="24"/>
        </w:rPr>
        <w:t>,</w:t>
      </w:r>
      <w:r w:rsidRPr="00913E39">
        <w:rPr>
          <w:rFonts w:ascii="Garamond" w:hAnsi="Garamond"/>
          <w:sz w:val="24"/>
        </w:rPr>
        <w:t xml:space="preserve"> do të bëhen përpjekje për të ulur informalitetin. Menaxhimi efektiv, organizativ dhe transparent i të ardhurave tatimore, së bashku me mbledhjen progresive të detyrimeve tatimore, përfshirë tatimin e pronës, janë vendimtare për të ardhmen. Administrata </w:t>
      </w:r>
      <w:r w:rsidR="00963665" w:rsidRPr="00913E39">
        <w:rPr>
          <w:rFonts w:ascii="Garamond" w:hAnsi="Garamond"/>
          <w:sz w:val="24"/>
        </w:rPr>
        <w:t>t</w:t>
      </w:r>
      <w:r w:rsidRPr="00913E39">
        <w:rPr>
          <w:rFonts w:ascii="Garamond" w:hAnsi="Garamond"/>
          <w:sz w:val="24"/>
        </w:rPr>
        <w:t xml:space="preserve">atimore do të përpiqet që të rrisë numrin e tatimpaguesve që përmbushin detyrimin e tyre ligjor për të paguar tatimet dhe do të synojë të rrisë shkallën e mbledhjes së tatimit së pronës. Ministria e Financave dhe Ekonomisë ka iniciuar gjithashtu procesin e konsultimit publik për </w:t>
      </w:r>
      <w:r w:rsidRPr="00913E39">
        <w:rPr>
          <w:rFonts w:ascii="Garamond" w:hAnsi="Garamond"/>
          <w:b/>
          <w:sz w:val="24"/>
        </w:rPr>
        <w:t>Strategjinë Afatmesme të të Ardhurave 2022</w:t>
      </w:r>
      <w:r w:rsidR="00A7323D" w:rsidRPr="00913E39">
        <w:rPr>
          <w:rFonts w:ascii="Garamond" w:hAnsi="Garamond"/>
          <w:b/>
          <w:sz w:val="24"/>
        </w:rPr>
        <w:t>–</w:t>
      </w:r>
      <w:r w:rsidRPr="00913E39">
        <w:rPr>
          <w:rFonts w:ascii="Garamond" w:hAnsi="Garamond"/>
          <w:b/>
          <w:sz w:val="24"/>
        </w:rPr>
        <w:t>2026 (SAMA)</w:t>
      </w:r>
      <w:r w:rsidRPr="00913E39">
        <w:rPr>
          <w:rFonts w:ascii="Garamond" w:hAnsi="Garamond"/>
          <w:sz w:val="24"/>
        </w:rPr>
        <w:t>, duke shënuar fillimin e reformave të rëndësishme në politikën tatimore, administratën tatimore dhe doganat që do të zbatohen gjatë pesë viteve të ardhshme. Qëllimi kryesor i kësaj strategjie është forcimi i politikave fiskale, rritja e të ardhurave tatimore dhe përmirësimi i efikasitetit të proceseve të mbledhjes së taksave dhe detyrimeve doganore.</w:t>
      </w:r>
    </w:p>
    <w:p w14:paraId="18CE2DF7" w14:textId="5F3B35B7" w:rsidR="00847F23" w:rsidRPr="00913E39" w:rsidRDefault="00847F23" w:rsidP="00693B1A">
      <w:pPr>
        <w:spacing w:after="0" w:line="240" w:lineRule="auto"/>
        <w:ind w:firstLine="284"/>
        <w:jc w:val="both"/>
        <w:rPr>
          <w:rFonts w:ascii="Garamond" w:hAnsi="Garamond"/>
          <w:i/>
          <w:sz w:val="24"/>
        </w:rPr>
      </w:pPr>
      <w:r w:rsidRPr="00913E39">
        <w:rPr>
          <w:rFonts w:ascii="Garamond" w:hAnsi="Garamond"/>
          <w:i/>
          <w:sz w:val="24"/>
        </w:rPr>
        <w:t>Nën</w:t>
      </w:r>
      <w:r w:rsidR="00092F25" w:rsidRPr="00913E39">
        <w:rPr>
          <w:rFonts w:ascii="Garamond" w:hAnsi="Garamond"/>
          <w:i/>
          <w:sz w:val="24"/>
        </w:rPr>
        <w:t>f</w:t>
      </w:r>
      <w:r w:rsidRPr="00913E39">
        <w:rPr>
          <w:rFonts w:ascii="Garamond" w:hAnsi="Garamond"/>
          <w:i/>
          <w:sz w:val="24"/>
        </w:rPr>
        <w:t>usha e mbështetjes 2.2: Siguria kibernetike</w:t>
      </w:r>
    </w:p>
    <w:p w14:paraId="38C60C29" w14:textId="602A09D1"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xml:space="preserve">Siguria kibernetike është një fushë politikash në zhvillim në Shqipëri. Strategjia ndërsektoriale </w:t>
      </w:r>
      <w:r w:rsidRPr="00913E39">
        <w:rPr>
          <w:rFonts w:ascii="Garamond" w:hAnsi="Garamond"/>
          <w:b/>
          <w:sz w:val="24"/>
        </w:rPr>
        <w:t>Agjenda Digjitale e Shqipërisë 2022</w:t>
      </w:r>
      <w:r w:rsidR="00963665" w:rsidRPr="00913E39">
        <w:rPr>
          <w:rFonts w:ascii="Garamond" w:hAnsi="Garamond"/>
          <w:b/>
          <w:sz w:val="24"/>
        </w:rPr>
        <w:t>–</w:t>
      </w:r>
      <w:r w:rsidRPr="00913E39">
        <w:rPr>
          <w:rFonts w:ascii="Garamond" w:hAnsi="Garamond"/>
          <w:b/>
          <w:sz w:val="24"/>
        </w:rPr>
        <w:t>2026</w:t>
      </w:r>
      <w:r w:rsidRPr="00913E39">
        <w:rPr>
          <w:rFonts w:ascii="Garamond" w:hAnsi="Garamond"/>
          <w:sz w:val="24"/>
        </w:rPr>
        <w:t xml:space="preserve"> dhe Plani i Veprimit të saj përfshin dispozita specifike për sigurinë kibernetike. Nënobjektivin 4 </w:t>
      </w:r>
      <w:r w:rsidR="00850FC7" w:rsidRPr="00913E39">
        <w:rPr>
          <w:rFonts w:ascii="Garamond" w:eastAsia="Times New Roman" w:hAnsi="Garamond" w:cs="Times New Roman"/>
          <w:sz w:val="24"/>
          <w:szCs w:val="24"/>
        </w:rPr>
        <w:t>“</w:t>
      </w:r>
      <w:r w:rsidRPr="00913E39">
        <w:rPr>
          <w:rFonts w:ascii="Garamond" w:hAnsi="Garamond"/>
          <w:sz w:val="24"/>
        </w:rPr>
        <w:t>Edukimi digjital dhe aftësitë digjitale</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pika 6.8 </w:t>
      </w:r>
      <w:r w:rsidR="00850FC7" w:rsidRPr="00913E39">
        <w:rPr>
          <w:rFonts w:ascii="Garamond" w:eastAsia="Times New Roman" w:hAnsi="Garamond" w:cs="Times New Roman"/>
          <w:sz w:val="24"/>
          <w:szCs w:val="24"/>
        </w:rPr>
        <w:t>“</w:t>
      </w:r>
      <w:r w:rsidRPr="00913E39">
        <w:rPr>
          <w:rFonts w:ascii="Garamond" w:hAnsi="Garamond"/>
          <w:sz w:val="24"/>
        </w:rPr>
        <w:t>Siguria kibernetike</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objektivi është të zbatohen platforma dhe teknologji kompjuterike me hapësira hibride </w:t>
      </w:r>
      <w:r w:rsidRPr="00913E39">
        <w:rPr>
          <w:rFonts w:ascii="Garamond" w:hAnsi="Garamond"/>
          <w:i/>
          <w:sz w:val="24"/>
        </w:rPr>
        <w:t>cloud</w:t>
      </w:r>
      <w:r w:rsidRPr="00913E39">
        <w:rPr>
          <w:rFonts w:ascii="Garamond" w:hAnsi="Garamond"/>
          <w:sz w:val="24"/>
        </w:rPr>
        <w:t xml:space="preserve"> për të përmirësuar qëndrueshmërisë e sistemeve të sigurisë kibernetike në</w:t>
      </w:r>
      <w:r w:rsidR="00092F25" w:rsidRPr="00913E39">
        <w:rPr>
          <w:rFonts w:ascii="Garamond" w:hAnsi="Garamond"/>
          <w:sz w:val="24"/>
        </w:rPr>
        <w:t xml:space="preserve"> </w:t>
      </w:r>
      <w:r w:rsidRPr="00913E39">
        <w:rPr>
          <w:rFonts w:ascii="Garamond" w:hAnsi="Garamond"/>
          <w:sz w:val="24"/>
        </w:rPr>
        <w:t>disa komponentë specifikë kryesorë. Sipas strategjisë:</w:t>
      </w:r>
    </w:p>
    <w:p w14:paraId="20CD59E9" w14:textId="206F129E"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Qeveria do të përdorë një identitet të vetëm si bërthamë të sigurisë brenda intitucioneve qeveritare. Duhet të ketë vetëm një reference identifikimi për të rritur përdorshmërinë dhe mundësuar kontrolle shtesë sigurie si autentifikimi me shumë faktorë.</w:t>
      </w:r>
    </w:p>
    <w:p w14:paraId="00FF1165" w14:textId="3D8E8AC9"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Qeveria do të përdorë një qasje</w:t>
      </w:r>
      <w:r w:rsidR="00092F25" w:rsidRPr="00913E39">
        <w:rPr>
          <w:rFonts w:ascii="Garamond" w:hAnsi="Garamond"/>
          <w:sz w:val="24"/>
        </w:rPr>
        <w:t xml:space="preserve"> </w:t>
      </w:r>
      <w:r w:rsidRPr="00913E39">
        <w:rPr>
          <w:rFonts w:ascii="Garamond" w:hAnsi="Garamond"/>
          <w:sz w:val="24"/>
        </w:rPr>
        <w:t>që do të përcaktojë mbrojtjen qendrore të të dhënave. Ky model do të prodhojë një sistem ku siguria perimetrike nuk do të mund të mbrojë asetet kudo që janë dhe se duhet të merret një model sigurie përqendrimi të të dhënave. Kjo konsiston në sigurimin e vetë të dhënave, në vend të rrjeteve, serverave, aplikacioneve ose pajisjeve. Për të dhënat sensitive, do të përdoret enkriptimi si një nivel shtesë i kontrollit të aksesit. Qeveria do të implementojë zgjidhje që do të enkriptojnë përherë dokumentet dhe do të ndihmojnë në klasifikimin dhe mbrojtjen e përmbajtjes.</w:t>
      </w:r>
    </w:p>
    <w:p w14:paraId="544B09AF" w14:textId="1384F009"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Në një botë ku kërcënimi nuk mund të kontrollohet plotësisht nga shtresa e rrjetit dhe ku punonjësit përdorin pajisje sipas zgjedhjes së tyre, qeveria e konsideron parësore përqendrimin në sigurimin e një platforme që mbështet integritetin e pajisjes. Vëllimi i ngjarjeve që do të menaxhohen dikton që çdo gjë që mund të automatizohet, duhet të bëhet e tillë. Administratorët m</w:t>
      </w:r>
      <w:r w:rsidR="009B70D5" w:rsidRPr="00913E39">
        <w:rPr>
          <w:rFonts w:ascii="Garamond" w:hAnsi="Garamond"/>
          <w:sz w:val="24"/>
        </w:rPr>
        <w:t>ë</w:t>
      </w:r>
      <w:r w:rsidRPr="00913E39">
        <w:rPr>
          <w:rFonts w:ascii="Garamond" w:hAnsi="Garamond"/>
          <w:sz w:val="24"/>
        </w:rPr>
        <w:t xml:space="preserve"> tej mund të personalizojnë politikat e kontrollit për të lejuar aksesin në ngarkesa pune</w:t>
      </w:r>
      <w:r w:rsidR="00092F25" w:rsidRPr="00913E39">
        <w:rPr>
          <w:rFonts w:ascii="Garamond" w:hAnsi="Garamond"/>
          <w:sz w:val="24"/>
        </w:rPr>
        <w:t xml:space="preserve"> </w:t>
      </w:r>
      <w:r w:rsidRPr="00913E39">
        <w:rPr>
          <w:rFonts w:ascii="Garamond" w:hAnsi="Garamond"/>
          <w:sz w:val="24"/>
        </w:rPr>
        <w:t>(</w:t>
      </w:r>
      <w:r w:rsidRPr="00913E39">
        <w:rPr>
          <w:rFonts w:ascii="Garamond" w:hAnsi="Garamond"/>
          <w:i/>
          <w:sz w:val="24"/>
        </w:rPr>
        <w:t>workloads</w:t>
      </w:r>
      <w:r w:rsidRPr="00913E39">
        <w:rPr>
          <w:rFonts w:ascii="Garamond" w:hAnsi="Garamond"/>
          <w:sz w:val="24"/>
        </w:rPr>
        <w:t>) të ndjeshme vetëm nga pajisje të mirëmbajtura.</w:t>
      </w:r>
    </w:p>
    <w:p w14:paraId="5DBF6F0B" w14:textId="2BCAB27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Sasia e ngjarjeve që duhet të menaxhohet kërkon që të bëhet çdo gjë që kërkon kontroll automatik. Për këtë qëllim do të bëhen kërkime për të vendosur dhe mundësuar Menaxhim i Automatizuar i Riskut sepse ekspertët njerëzorë duhet të përqendrojnë vëmendjen e tyre vetëm në aktivitete me vlerë të lartë dhe zgjidhjet e zbatuara duhet t</w:t>
      </w:r>
      <w:r w:rsidR="005222A5" w:rsidRPr="00913E39">
        <w:rPr>
          <w:rFonts w:ascii="Garamond" w:hAnsi="Garamond"/>
          <w:sz w:val="24"/>
        </w:rPr>
        <w:t>’</w:t>
      </w:r>
      <w:r w:rsidRPr="00913E39">
        <w:rPr>
          <w:rFonts w:ascii="Garamond" w:hAnsi="Garamond"/>
          <w:sz w:val="24"/>
        </w:rPr>
        <w:t>i ndihmojnë ata të jetë më produktiv.</w:t>
      </w:r>
    </w:p>
    <w:p w14:paraId="1413D097" w14:textId="1020201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 Një </w:t>
      </w:r>
      <w:r w:rsidR="009B70D5" w:rsidRPr="00913E39">
        <w:rPr>
          <w:rFonts w:ascii="Garamond" w:hAnsi="Garamond"/>
          <w:sz w:val="24"/>
        </w:rPr>
        <w:t>objektiv</w:t>
      </w:r>
      <w:r w:rsidRPr="00913E39">
        <w:rPr>
          <w:rFonts w:ascii="Garamond" w:hAnsi="Garamond"/>
          <w:sz w:val="24"/>
        </w:rPr>
        <w:t xml:space="preserve"> tjetër është përdorimi i një sistemi të ndërtuar mbi aktivitetet e drejtuara nga inteligjenca. Është e kuptueshme që edhe pse mbrojtja nga kërcënimet mbetet praktika më efikase, është e pamundur të kesh mbrojtje perfekte kudo, për çdo aset. Prandaj, është e rëndësishme të jemi në gjendje të zbulojmë dhe t</w:t>
      </w:r>
      <w:r w:rsidR="005222A5" w:rsidRPr="00913E39">
        <w:rPr>
          <w:rFonts w:ascii="Garamond" w:hAnsi="Garamond"/>
          <w:sz w:val="24"/>
        </w:rPr>
        <w:t>’</w:t>
      </w:r>
      <w:r w:rsidRPr="00913E39">
        <w:rPr>
          <w:rFonts w:ascii="Garamond" w:hAnsi="Garamond"/>
          <w:sz w:val="24"/>
        </w:rPr>
        <w:t>u përgjigjemi kërcënimeve shpejt nëpërmjet inteligjencës së automatizuar që do të drejtojë aktivitetet mbrojtëse.</w:t>
      </w:r>
    </w:p>
    <w:p w14:paraId="5735F14B" w14:textId="5E9AA14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Hartimi i </w:t>
      </w:r>
      <w:r w:rsidRPr="00913E39">
        <w:rPr>
          <w:rFonts w:ascii="Garamond" w:hAnsi="Garamond"/>
          <w:b/>
          <w:sz w:val="24"/>
        </w:rPr>
        <w:t>Strategjisë Kombëtare për Sigurinë Kibernetike 2020</w:t>
      </w:r>
      <w:r w:rsidR="009B70D5" w:rsidRPr="00913E39">
        <w:rPr>
          <w:rFonts w:ascii="Garamond" w:hAnsi="Garamond"/>
          <w:b/>
          <w:sz w:val="24"/>
        </w:rPr>
        <w:t>–</w:t>
      </w:r>
      <w:r w:rsidRPr="00913E39">
        <w:rPr>
          <w:rFonts w:ascii="Garamond" w:hAnsi="Garamond"/>
          <w:b/>
          <w:sz w:val="24"/>
        </w:rPr>
        <w:t>2025</w:t>
      </w:r>
      <w:r w:rsidRPr="00913E39">
        <w:rPr>
          <w:rFonts w:ascii="Garamond" w:hAnsi="Garamond"/>
          <w:sz w:val="24"/>
        </w:rPr>
        <w:t xml:space="preserve"> bazohet në Strategjinë e Bashkimit Evropian për Sigurinë Kibernetike. Ky akt respekton detyrimet që rrjedhin nga procesi i integrimit Evropian rekomandimet e bëra në këtë drejtim nga Direktiva e Rrjetit dhe Sistemit të Informacionit (NIS) dhe adaptimi i BE-së për Agjencinë e Bashkimit Evropian për Sigurinë Kibernetike (ENISA); si Ekipi i BE-së për Reagimin ndaj Emergjencave Kompjuterike (CERT), dhe angazhimet përkatëse si vend anëtar i NATO-s.</w:t>
      </w:r>
    </w:p>
    <w:p w14:paraId="4B76AC2D" w14:textId="0D698FD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Sipas </w:t>
      </w:r>
      <w:r w:rsidR="00E305CF" w:rsidRPr="00913E39">
        <w:rPr>
          <w:rFonts w:ascii="Garamond" w:hAnsi="Garamond"/>
          <w:sz w:val="24"/>
        </w:rPr>
        <w:t>v</w:t>
      </w:r>
      <w:r w:rsidRPr="00913E39">
        <w:rPr>
          <w:rFonts w:ascii="Garamond" w:hAnsi="Garamond"/>
          <w:sz w:val="24"/>
        </w:rPr>
        <w:t>endimit nr. 1084/24.12.2020</w:t>
      </w:r>
      <w:r w:rsidRPr="00913E39">
        <w:rPr>
          <w:rFonts w:ascii="Garamond" w:hAnsi="Garamond"/>
          <w:sz w:val="24"/>
          <w:vertAlign w:val="superscript"/>
        </w:rPr>
        <w:footnoteReference w:id="19"/>
      </w:r>
      <w:r w:rsidRPr="00913E39">
        <w:rPr>
          <w:rFonts w:ascii="Garamond" w:hAnsi="Garamond"/>
          <w:sz w:val="24"/>
        </w:rPr>
        <w:t xml:space="preserve"> për miratimin e </w:t>
      </w:r>
      <w:r w:rsidR="00850FC7" w:rsidRPr="00913E39">
        <w:rPr>
          <w:rFonts w:ascii="Garamond" w:hAnsi="Garamond"/>
          <w:sz w:val="24"/>
        </w:rPr>
        <w:t>“</w:t>
      </w:r>
      <w:r w:rsidRPr="00913E39">
        <w:rPr>
          <w:rFonts w:ascii="Garamond" w:hAnsi="Garamond"/>
          <w:sz w:val="24"/>
        </w:rPr>
        <w:t>Strategjisë Kombëtare të Sigurisë Kibernetike dhe Planit të Veprimit 2020</w:t>
      </w:r>
      <w:r w:rsidR="00E305CF" w:rsidRPr="00913E39">
        <w:rPr>
          <w:rFonts w:ascii="Garamond" w:hAnsi="Garamond"/>
          <w:sz w:val="24"/>
        </w:rPr>
        <w:t>–</w:t>
      </w:r>
      <w:r w:rsidRPr="00913E39">
        <w:rPr>
          <w:rFonts w:ascii="Garamond" w:hAnsi="Garamond"/>
          <w:sz w:val="24"/>
        </w:rPr>
        <w:t>2025</w:t>
      </w:r>
      <w:r w:rsidR="00850FC7" w:rsidRPr="00913E39">
        <w:rPr>
          <w:rFonts w:ascii="Garamond" w:hAnsi="Garamond"/>
          <w:sz w:val="24"/>
        </w:rPr>
        <w:t>”</w:t>
      </w:r>
      <w:r w:rsidRPr="00913E39">
        <w:rPr>
          <w:rFonts w:ascii="Garamond" w:hAnsi="Garamond"/>
          <w:sz w:val="24"/>
        </w:rPr>
        <w:t xml:space="preserve">, qëllimi i politikës 1 është </w:t>
      </w:r>
      <w:r w:rsidR="00850FC7" w:rsidRPr="00913E39">
        <w:rPr>
          <w:rFonts w:ascii="Garamond" w:eastAsia="Times New Roman" w:hAnsi="Garamond" w:cs="Times New Roman"/>
          <w:sz w:val="24"/>
          <w:szCs w:val="24"/>
        </w:rPr>
        <w:t>“</w:t>
      </w:r>
      <w:r w:rsidRPr="00913E39">
        <w:rPr>
          <w:rFonts w:ascii="Garamond" w:hAnsi="Garamond"/>
          <w:sz w:val="24"/>
        </w:rPr>
        <w:t xml:space="preserve">garantimi i sigurisë </w:t>
      </w:r>
      <w:r w:rsidRPr="00913E39">
        <w:rPr>
          <w:rFonts w:ascii="Garamond" w:hAnsi="Garamond"/>
          <w:sz w:val="24"/>
        </w:rPr>
        <w:lastRenderedPageBreak/>
        <w:t>kibernetike në nivel kombëtar, nëpërmjet mbrojtjes së infrastrukturave së informacionit, duke fuqizuar mjetet teknologjike dhe juridike</w:t>
      </w:r>
      <w:r w:rsidR="00850FC7" w:rsidRPr="00913E39">
        <w:rPr>
          <w:rFonts w:ascii="Garamond" w:hAnsi="Garamond"/>
          <w:sz w:val="24"/>
        </w:rPr>
        <w:t>”</w:t>
      </w:r>
      <w:r w:rsidRPr="00913E39">
        <w:rPr>
          <w:rFonts w:ascii="Garamond" w:hAnsi="Garamond"/>
          <w:sz w:val="24"/>
        </w:rPr>
        <w:t xml:space="preserve">, siç detajohet tek </w:t>
      </w:r>
      <w:r w:rsidR="00E305CF" w:rsidRPr="00913E39">
        <w:rPr>
          <w:rFonts w:ascii="Garamond" w:hAnsi="Garamond"/>
          <w:sz w:val="24"/>
        </w:rPr>
        <w:t xml:space="preserve">objektivat specifikë </w:t>
      </w:r>
      <w:r w:rsidRPr="00913E39">
        <w:rPr>
          <w:rFonts w:ascii="Garamond" w:hAnsi="Garamond"/>
          <w:sz w:val="24"/>
        </w:rPr>
        <w:t>3 dhe 4, respektivisht: Fuqizimi dhe implementimi i masave të sigurisë në infrastrukturat kritike dhe të rëndësishme të informacionit; dhe, përmirësimi i infrastrukturave të informacionit për të luftuar krimin kibernetik, radikalizimin dhe ekstremizmin e dhunshëm</w:t>
      </w:r>
      <w:r w:rsidR="00730AC6">
        <w:rPr>
          <w:rFonts w:ascii="Garamond" w:hAnsi="Garamond"/>
          <w:sz w:val="24"/>
        </w:rPr>
        <w:t>.</w:t>
      </w:r>
    </w:p>
    <w:p w14:paraId="22B823B3" w14:textId="0ACA3EE8"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E305CF" w:rsidRPr="00913E39">
        <w:rPr>
          <w:rFonts w:ascii="Garamond" w:hAnsi="Garamond"/>
          <w:i/>
          <w:sz w:val="24"/>
        </w:rPr>
        <w:t>f</w:t>
      </w:r>
      <w:r w:rsidRPr="00913E39">
        <w:rPr>
          <w:rFonts w:ascii="Garamond" w:hAnsi="Garamond"/>
          <w:i/>
          <w:sz w:val="24"/>
        </w:rPr>
        <w:t xml:space="preserve">usha e mbështetjes 2.3: Ndërlidhja </w:t>
      </w:r>
      <w:r w:rsidR="00E305CF" w:rsidRPr="00913E39">
        <w:rPr>
          <w:rFonts w:ascii="Garamond" w:hAnsi="Garamond"/>
          <w:i/>
          <w:sz w:val="24"/>
        </w:rPr>
        <w:t>d</w:t>
      </w:r>
      <w:r w:rsidRPr="00913E39">
        <w:rPr>
          <w:rFonts w:ascii="Garamond" w:hAnsi="Garamond"/>
          <w:i/>
          <w:sz w:val="24"/>
        </w:rPr>
        <w:t>igjitale</w:t>
      </w:r>
    </w:p>
    <w:p w14:paraId="0D3E4C58" w14:textId="1146D14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Prioritetet sektoriale për zhvillimin e internetit me shpejtësi të lartë dhe infrastrukturës digjitale janë një pjesë e rëndësishme e kuadrit strategjik afatgjatë të vendit të përcaktuar në </w:t>
      </w:r>
      <w:r w:rsidRPr="00913E39">
        <w:rPr>
          <w:rFonts w:ascii="Garamond" w:hAnsi="Garamond"/>
          <w:b/>
          <w:sz w:val="24"/>
        </w:rPr>
        <w:t>Strategjinë Kombëtare për Zhvillim dhe Integrim Evropian 2022</w:t>
      </w:r>
      <w:r w:rsidR="00E305CF" w:rsidRPr="00913E39">
        <w:rPr>
          <w:rFonts w:ascii="Garamond" w:hAnsi="Garamond"/>
          <w:b/>
          <w:sz w:val="24"/>
        </w:rPr>
        <w:t>–</w:t>
      </w:r>
      <w:r w:rsidRPr="00913E39">
        <w:rPr>
          <w:rFonts w:ascii="Garamond" w:hAnsi="Garamond"/>
          <w:b/>
          <w:sz w:val="24"/>
        </w:rPr>
        <w:t>2030 (SKZHIE).</w:t>
      </w:r>
    </w:p>
    <w:p w14:paraId="2A0375EE" w14:textId="4F9E746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SKZHIE</w:t>
      </w:r>
      <w:r w:rsidR="002007CE" w:rsidRPr="00913E39">
        <w:rPr>
          <w:rFonts w:ascii="Garamond" w:hAnsi="Garamond"/>
          <w:sz w:val="24"/>
        </w:rPr>
        <w:t>-ja</w:t>
      </w:r>
      <w:r w:rsidRPr="00913E39">
        <w:rPr>
          <w:rFonts w:ascii="Garamond" w:hAnsi="Garamond"/>
          <w:sz w:val="24"/>
        </w:rPr>
        <w:t xml:space="preserve"> synon të pasqyrojë prioritetet e zhvillimit në një periudhë relativisht më të gjatë kohore, duke konsideruar si fusha prioritare digjitalizimin dhe telekomunikacionin, përfshirë zhvillimin e infrastrukturës digjitale </w:t>
      </w:r>
      <w:r w:rsidRPr="00913E39">
        <w:rPr>
          <w:rFonts w:ascii="Garamond" w:hAnsi="Garamond"/>
          <w:i/>
          <w:sz w:val="24"/>
        </w:rPr>
        <w:t>gigabit</w:t>
      </w:r>
      <w:r w:rsidRPr="00913E39">
        <w:rPr>
          <w:rFonts w:ascii="Garamond" w:hAnsi="Garamond"/>
          <w:sz w:val="24"/>
        </w:rPr>
        <w:t xml:space="preserve">. Objektivi Strategjik i përcaktuar në SKZHIE është: </w:t>
      </w:r>
      <w:r w:rsidRPr="00913E39">
        <w:rPr>
          <w:rFonts w:ascii="Garamond" w:hAnsi="Garamond"/>
          <w:b/>
          <w:sz w:val="24"/>
        </w:rPr>
        <w:t xml:space="preserve">Shqipëria me </w:t>
      </w:r>
      <w:r w:rsidR="00E305CF" w:rsidRPr="00913E39">
        <w:rPr>
          <w:rFonts w:ascii="Garamond" w:hAnsi="Garamond"/>
          <w:b/>
          <w:sz w:val="24"/>
        </w:rPr>
        <w:t xml:space="preserve">infrastrukturë digjitale </w:t>
      </w:r>
      <w:r w:rsidRPr="00913E39">
        <w:rPr>
          <w:rFonts w:ascii="Garamond" w:hAnsi="Garamond"/>
          <w:b/>
          <w:i/>
          <w:sz w:val="24"/>
        </w:rPr>
        <w:t>Broadband</w:t>
      </w:r>
      <w:r w:rsidRPr="00913E39">
        <w:rPr>
          <w:rFonts w:ascii="Garamond" w:hAnsi="Garamond"/>
          <w:b/>
          <w:sz w:val="24"/>
        </w:rPr>
        <w:t xml:space="preserve"> të </w:t>
      </w:r>
      <w:r w:rsidR="00E305CF" w:rsidRPr="00913E39">
        <w:rPr>
          <w:rFonts w:ascii="Garamond" w:hAnsi="Garamond"/>
          <w:b/>
          <w:sz w:val="24"/>
        </w:rPr>
        <w:t xml:space="preserve">shpejtësisë së lartë dhe shumë të lartë në të gjithë vendin, për të ngritur </w:t>
      </w:r>
      <w:r w:rsidRPr="00913E39">
        <w:rPr>
          <w:rFonts w:ascii="Garamond" w:hAnsi="Garamond"/>
          <w:b/>
          <w:sz w:val="24"/>
        </w:rPr>
        <w:t xml:space="preserve">themelet për një shoqëri </w:t>
      </w:r>
      <w:r w:rsidR="00E305CF" w:rsidRPr="00913E39">
        <w:rPr>
          <w:rFonts w:ascii="Garamond" w:hAnsi="Garamond"/>
          <w:b/>
          <w:i/>
          <w:sz w:val="24"/>
        </w:rPr>
        <w:t>gigabit</w:t>
      </w:r>
      <w:r w:rsidRPr="00913E39">
        <w:rPr>
          <w:rFonts w:ascii="Garamond" w:hAnsi="Garamond"/>
          <w:b/>
          <w:sz w:val="24"/>
        </w:rPr>
        <w:t xml:space="preserve">. </w:t>
      </w:r>
      <w:r w:rsidRPr="00913E39">
        <w:rPr>
          <w:rFonts w:ascii="Garamond" w:hAnsi="Garamond"/>
          <w:sz w:val="24"/>
        </w:rPr>
        <w:t>Rrjetet 5G njihen si jetike për të mundësuar valën e ardhshme të produktivitetit dhe inovacionit të biznesit në sektorë të ndryshëm të ekonomisë shqiptare.</w:t>
      </w:r>
    </w:p>
    <w:p w14:paraId="61CFFA82" w14:textId="6B719C3C"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Agjenda Digjitale e Shqipërisë 2022</w:t>
      </w:r>
      <w:r w:rsidR="00E305CF" w:rsidRPr="00913E39">
        <w:rPr>
          <w:rFonts w:ascii="Garamond" w:hAnsi="Garamond"/>
          <w:b/>
          <w:sz w:val="24"/>
        </w:rPr>
        <w:t>–</w:t>
      </w:r>
      <w:r w:rsidRPr="00913E39">
        <w:rPr>
          <w:rFonts w:ascii="Garamond" w:hAnsi="Garamond"/>
          <w:b/>
          <w:sz w:val="24"/>
        </w:rPr>
        <w:t>2026</w:t>
      </w:r>
      <w:r w:rsidRPr="00913E39">
        <w:rPr>
          <w:rFonts w:ascii="Garamond" w:hAnsi="Garamond"/>
          <w:sz w:val="24"/>
        </w:rPr>
        <w:t xml:space="preserve"> përfshin infrastrukturën digjitale dhe broadband si pjesë e prioriteteve të ndërlidhura me sektorë të ndryshëm dhe procesin e digjitalizimit në arsim, shëndetësi, menaxhim elektronik etj. </w:t>
      </w:r>
    </w:p>
    <w:p w14:paraId="02CA3F45" w14:textId="27AFC97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rëndësinë e infrastrukturës digjitale për zhvillimin e gjithë ekonomisë, veçanërisht në frymën e transformimit digjital, u miratua në qershor 2020 </w:t>
      </w:r>
      <w:r w:rsidRPr="00913E39">
        <w:rPr>
          <w:rFonts w:ascii="Garamond" w:hAnsi="Garamond"/>
          <w:b/>
          <w:sz w:val="24"/>
        </w:rPr>
        <w:t xml:space="preserve">Plani Kombëtar për Zhvillimin e Qëndrueshëm të Infrastrukturës Digjitale, </w:t>
      </w:r>
      <w:r w:rsidRPr="00913E39">
        <w:rPr>
          <w:rFonts w:ascii="Garamond" w:hAnsi="Garamond"/>
          <w:b/>
          <w:i/>
          <w:sz w:val="24"/>
        </w:rPr>
        <w:t>Broadband</w:t>
      </w:r>
      <w:r w:rsidRPr="00913E39">
        <w:rPr>
          <w:rFonts w:ascii="Garamond" w:hAnsi="Garamond"/>
          <w:b/>
          <w:sz w:val="24"/>
        </w:rPr>
        <w:t xml:space="preserve"> 2020</w:t>
      </w:r>
      <w:r w:rsidR="000459B6" w:rsidRPr="00913E39">
        <w:rPr>
          <w:rFonts w:ascii="Garamond" w:hAnsi="Garamond"/>
          <w:b/>
          <w:sz w:val="24"/>
        </w:rPr>
        <w:t>–</w:t>
      </w:r>
      <w:r w:rsidRPr="00913E39">
        <w:rPr>
          <w:rFonts w:ascii="Garamond" w:hAnsi="Garamond"/>
          <w:b/>
          <w:sz w:val="24"/>
        </w:rPr>
        <w:t>2025</w:t>
      </w:r>
      <w:r w:rsidRPr="00913E39">
        <w:rPr>
          <w:rFonts w:ascii="Garamond" w:hAnsi="Garamond"/>
          <w:sz w:val="24"/>
          <w:vertAlign w:val="superscript"/>
        </w:rPr>
        <w:footnoteReference w:id="20"/>
      </w:r>
      <w:r w:rsidRPr="00913E39">
        <w:rPr>
          <w:rFonts w:ascii="Garamond" w:hAnsi="Garamond"/>
          <w:sz w:val="24"/>
        </w:rPr>
        <w:t xml:space="preserve"> (Plani Kombëtar </w:t>
      </w:r>
      <w:r w:rsidRPr="00913E39">
        <w:rPr>
          <w:rFonts w:ascii="Garamond" w:hAnsi="Garamond"/>
          <w:i/>
          <w:sz w:val="24"/>
        </w:rPr>
        <w:t>Broadband</w:t>
      </w:r>
      <w:r w:rsidRPr="00913E39">
        <w:rPr>
          <w:rFonts w:ascii="Garamond" w:hAnsi="Garamond"/>
          <w:sz w:val="24"/>
        </w:rPr>
        <w:t xml:space="preserve">), që përcakton objektivat strategjikë të zhvillimit të </w:t>
      </w:r>
      <w:r w:rsidRPr="00913E39">
        <w:rPr>
          <w:rFonts w:ascii="Garamond" w:hAnsi="Garamond"/>
          <w:i/>
          <w:sz w:val="24"/>
        </w:rPr>
        <w:t>broadbands</w:t>
      </w:r>
      <w:r w:rsidRPr="00913E39">
        <w:rPr>
          <w:rFonts w:ascii="Garamond" w:hAnsi="Garamond"/>
          <w:sz w:val="24"/>
        </w:rPr>
        <w:t>:</w:t>
      </w:r>
    </w:p>
    <w:p w14:paraId="23E9FF14"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Objektivi strategjik 1: Zhvillimi i qëndrueshëm i infrastrukturës </w:t>
      </w:r>
      <w:r w:rsidRPr="00913E39">
        <w:rPr>
          <w:rFonts w:ascii="Garamond" w:hAnsi="Garamond"/>
          <w:i/>
          <w:sz w:val="24"/>
        </w:rPr>
        <w:t>broadband</w:t>
      </w:r>
      <w:r w:rsidRPr="00913E39">
        <w:rPr>
          <w:rFonts w:ascii="Garamond" w:hAnsi="Garamond"/>
          <w:sz w:val="24"/>
        </w:rPr>
        <w:t>;</w:t>
      </w:r>
    </w:p>
    <w:p w14:paraId="62EB60E8"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Objektivi strategjik 2: Reduktimi i ndarjes digjitale dhe ofrimi i shërbimeve </w:t>
      </w:r>
      <w:r w:rsidRPr="00913E39">
        <w:rPr>
          <w:rFonts w:ascii="Garamond" w:hAnsi="Garamond"/>
          <w:i/>
          <w:sz w:val="24"/>
        </w:rPr>
        <w:t>broadband</w:t>
      </w:r>
      <w:r w:rsidRPr="00913E39">
        <w:rPr>
          <w:rFonts w:ascii="Garamond" w:hAnsi="Garamond"/>
          <w:sz w:val="24"/>
        </w:rPr>
        <w:t xml:space="preserve"> gjithëpërfshirëse</w:t>
      </w:r>
    </w:p>
    <w:p w14:paraId="7AF18F6D" w14:textId="00D2BC5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Objektivi strategjik 3: Rritje e kërkesës për zhvillimin e ekonomisë digjitale dhe një të një shoqërie </w:t>
      </w:r>
      <w:r w:rsidR="00317983" w:rsidRPr="00913E39">
        <w:rPr>
          <w:rFonts w:ascii="Garamond" w:hAnsi="Garamond"/>
          <w:i/>
          <w:sz w:val="24"/>
        </w:rPr>
        <w:t>gigabit</w:t>
      </w:r>
      <w:r w:rsidRPr="00913E39">
        <w:rPr>
          <w:rFonts w:ascii="Garamond" w:hAnsi="Garamond"/>
          <w:sz w:val="24"/>
        </w:rPr>
        <w:t xml:space="preserve">. </w:t>
      </w:r>
    </w:p>
    <w:p w14:paraId="20183F10" w14:textId="01735E0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Plani Kombëtar </w:t>
      </w:r>
      <w:r w:rsidRPr="00913E39">
        <w:rPr>
          <w:rFonts w:ascii="Garamond" w:hAnsi="Garamond"/>
          <w:i/>
          <w:sz w:val="24"/>
        </w:rPr>
        <w:t>Broadband</w:t>
      </w:r>
      <w:r w:rsidRPr="00913E39">
        <w:rPr>
          <w:rFonts w:ascii="Garamond" w:hAnsi="Garamond"/>
          <w:sz w:val="24"/>
        </w:rPr>
        <w:t xml:space="preserve"> synon të avancojë më tej zhvillimin e infrastrukturës </w:t>
      </w:r>
      <w:r w:rsidRPr="00913E39">
        <w:rPr>
          <w:rFonts w:ascii="Garamond" w:hAnsi="Garamond"/>
          <w:i/>
          <w:sz w:val="24"/>
        </w:rPr>
        <w:t>broadband</w:t>
      </w:r>
      <w:r w:rsidRPr="00913E39">
        <w:rPr>
          <w:rFonts w:ascii="Garamond" w:hAnsi="Garamond"/>
          <w:sz w:val="24"/>
        </w:rPr>
        <w:t xml:space="preserve"> në të gjithë vendin dhe të adresojë hendekun digjital. Ai gjithashtu përfshin masa dhe veprime për zhvillimin e rrjeteve 5G. Katër shtyllat prioritare mbi të cilat bazohet Plani Kombëtar </w:t>
      </w:r>
      <w:r w:rsidRPr="00913E39">
        <w:rPr>
          <w:rFonts w:ascii="Garamond" w:hAnsi="Garamond"/>
          <w:i/>
          <w:sz w:val="24"/>
        </w:rPr>
        <w:t>Broadband</w:t>
      </w:r>
      <w:r w:rsidRPr="00913E39">
        <w:rPr>
          <w:rFonts w:ascii="Garamond" w:hAnsi="Garamond"/>
          <w:sz w:val="24"/>
        </w:rPr>
        <w:t xml:space="preserve"> janë: 1) Ndërtimi i infrastrukturës </w:t>
      </w:r>
      <w:r w:rsidRPr="00913E39">
        <w:rPr>
          <w:rFonts w:ascii="Garamond" w:hAnsi="Garamond"/>
          <w:i/>
          <w:sz w:val="24"/>
        </w:rPr>
        <w:t>broadband</w:t>
      </w:r>
      <w:r w:rsidRPr="00913E39">
        <w:rPr>
          <w:rFonts w:ascii="Garamond" w:hAnsi="Garamond"/>
          <w:sz w:val="24"/>
        </w:rPr>
        <w:t xml:space="preserve">; 2) Forcimi i financimit dhe zgjerimi i bazës së financimit; 3) Menaxhimi i spektrit; dhe 4) Konkurrenca e qëndrueshme. Zhvillimi i infrastrukturës digjitale </w:t>
      </w:r>
      <w:r w:rsidRPr="00913E39">
        <w:rPr>
          <w:rFonts w:ascii="Garamond" w:hAnsi="Garamond"/>
          <w:i/>
          <w:sz w:val="24"/>
        </w:rPr>
        <w:t>broadband</w:t>
      </w:r>
      <w:r w:rsidRPr="00913E39">
        <w:rPr>
          <w:rFonts w:ascii="Garamond" w:hAnsi="Garamond"/>
          <w:sz w:val="24"/>
        </w:rPr>
        <w:t xml:space="preserve"> dhe arritja e objektivave strategjik</w:t>
      </w:r>
      <w:r w:rsidR="00093AA8" w:rsidRPr="00913E39">
        <w:rPr>
          <w:rFonts w:ascii="Garamond" w:hAnsi="Garamond"/>
          <w:sz w:val="24"/>
        </w:rPr>
        <w:t>ë</w:t>
      </w:r>
      <w:r w:rsidRPr="00913E39">
        <w:rPr>
          <w:rFonts w:ascii="Garamond" w:hAnsi="Garamond"/>
          <w:sz w:val="24"/>
        </w:rPr>
        <w:t xml:space="preserve"> kërkon investime të mëdha. </w:t>
      </w:r>
    </w:p>
    <w:p w14:paraId="5D380308"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Plani Kombëtar </w:t>
      </w:r>
      <w:r w:rsidRPr="00913E39">
        <w:rPr>
          <w:rFonts w:ascii="Garamond" w:hAnsi="Garamond"/>
          <w:i/>
          <w:sz w:val="24"/>
        </w:rPr>
        <w:t>Broadband</w:t>
      </w:r>
      <w:r w:rsidRPr="00913E39">
        <w:rPr>
          <w:rFonts w:ascii="Garamond" w:hAnsi="Garamond"/>
          <w:sz w:val="24"/>
        </w:rPr>
        <w:t xml:space="preserve"> bazohet gjithashtu në Agjendën Gjelbër. Në kuadër të zbatimit të Planit Kombëtar </w:t>
      </w:r>
      <w:r w:rsidRPr="00913E39">
        <w:rPr>
          <w:rFonts w:ascii="Garamond" w:hAnsi="Garamond"/>
          <w:i/>
          <w:sz w:val="24"/>
        </w:rPr>
        <w:t>Broadband</w:t>
      </w:r>
      <w:r w:rsidRPr="00913E39">
        <w:rPr>
          <w:rFonts w:ascii="Garamond" w:hAnsi="Garamond"/>
          <w:sz w:val="24"/>
        </w:rPr>
        <w:t xml:space="preserve">, zhvillimi i rrjeteve </w:t>
      </w:r>
      <w:r w:rsidRPr="00913E39">
        <w:rPr>
          <w:rFonts w:ascii="Garamond" w:hAnsi="Garamond"/>
          <w:i/>
          <w:sz w:val="24"/>
        </w:rPr>
        <w:t>broadband</w:t>
      </w:r>
      <w:r w:rsidRPr="00913E39">
        <w:rPr>
          <w:rFonts w:ascii="Garamond" w:hAnsi="Garamond"/>
          <w:sz w:val="24"/>
        </w:rPr>
        <w:t xml:space="preserve"> do të përfshijë masa për të promovuar zhvillime ekologjike pozitive, si shfrytëzimi i teknologjive alternative për sistemet e komunikimit (p.sh. sistemet e ngrohjes diellore të vendosura në zona dhe stacione të largëta), si dhe masa për të reduktuar ndotjen e mjedisit nga përdorimi i pajisjeve elektronike.</w:t>
      </w:r>
    </w:p>
    <w:p w14:paraId="48D928EA"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Zhvillimi i ekonomisë dhe shoqërisë digjitale dhe zhvillimi i infrastrukturës digjitale kërkon përmirësimin dhe përditësimin e kuadrit ligjor dhe rregullator për mbështetjen e investimeve në infrastrukturën </w:t>
      </w:r>
      <w:r w:rsidRPr="00913E39">
        <w:rPr>
          <w:rFonts w:ascii="Garamond" w:hAnsi="Garamond"/>
          <w:i/>
          <w:sz w:val="24"/>
        </w:rPr>
        <w:t>broadband</w:t>
      </w:r>
      <w:r w:rsidRPr="00913E39">
        <w:rPr>
          <w:rFonts w:ascii="Garamond" w:hAnsi="Garamond"/>
          <w:sz w:val="24"/>
        </w:rPr>
        <w:t xml:space="preserve">, rritjen/forcimin e kapaciteteve institucionale përgjegjëse për zhvillimin e </w:t>
      </w:r>
      <w:r w:rsidRPr="00913E39">
        <w:rPr>
          <w:rFonts w:ascii="Garamond" w:hAnsi="Garamond"/>
          <w:i/>
          <w:sz w:val="24"/>
        </w:rPr>
        <w:t>broadbands</w:t>
      </w:r>
      <w:r w:rsidRPr="00913E39">
        <w:rPr>
          <w:rFonts w:ascii="Garamond" w:hAnsi="Garamond"/>
          <w:sz w:val="24"/>
        </w:rPr>
        <w:t xml:space="preserve">, si në nivelin qendror (ministri linje, organ rregullator) ashtu edhe në nivel lokal në bashki dhe përgatitjen për investime në zonat e pashfrytëzuara. Zhvillimi i koordinuar dhe i harmonizuar i politikave për zhvillimin e infrastrukturave të shërbimeve është gjithashtu i nevojshëm për të ulur kostot e zhvillimit të infrastrukturës digjitale </w:t>
      </w:r>
      <w:r w:rsidRPr="00913E39">
        <w:rPr>
          <w:rFonts w:ascii="Garamond" w:hAnsi="Garamond"/>
          <w:i/>
          <w:sz w:val="24"/>
        </w:rPr>
        <w:t>broadbands</w:t>
      </w:r>
      <w:r w:rsidRPr="00913E39">
        <w:rPr>
          <w:rFonts w:ascii="Garamond" w:hAnsi="Garamond"/>
          <w:sz w:val="24"/>
        </w:rPr>
        <w:t xml:space="preserve"> dhe për të promovuar ekonominë e gjelbër. </w:t>
      </w:r>
    </w:p>
    <w:p w14:paraId="4E037F2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Zhvillimi i ekonomisë dhe shoqërisë digjitale është i lidhur ngushtë me rritjen e besimit nëpërmjet zhvillimit të rrjeteve të sigurta dhe elastike të telekomunikacionit në nivel kombëtar, duke përfshirë rrjetet 5G drejt transformimit digjitale.</w:t>
      </w:r>
    </w:p>
    <w:p w14:paraId="77312B4B" w14:textId="38A0DF9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 xml:space="preserve">Për më tepër, ndërlidhja digjitale është e lidhur ngushtë me qëllimet e OZHQ-së, të tilla si </w:t>
      </w:r>
      <w:r w:rsidR="00A22A81" w:rsidRPr="00913E39">
        <w:rPr>
          <w:rFonts w:ascii="Garamond" w:hAnsi="Garamond"/>
          <w:sz w:val="24"/>
        </w:rPr>
        <w:t>o</w:t>
      </w:r>
      <w:r w:rsidRPr="00913E39">
        <w:rPr>
          <w:rFonts w:ascii="Garamond" w:hAnsi="Garamond"/>
          <w:sz w:val="24"/>
        </w:rPr>
        <w:t>bjektivi 9 (</w:t>
      </w:r>
      <w:r w:rsidR="004449E6" w:rsidRPr="00913E39">
        <w:rPr>
          <w:rFonts w:ascii="Garamond" w:hAnsi="Garamond"/>
          <w:sz w:val="24"/>
        </w:rPr>
        <w:t>i</w:t>
      </w:r>
      <w:r w:rsidRPr="00913E39">
        <w:rPr>
          <w:rFonts w:ascii="Garamond" w:hAnsi="Garamond"/>
          <w:sz w:val="24"/>
        </w:rPr>
        <w:t xml:space="preserve">ndustria, </w:t>
      </w:r>
      <w:r w:rsidR="00A22A81" w:rsidRPr="00913E39">
        <w:rPr>
          <w:rFonts w:ascii="Garamond" w:hAnsi="Garamond"/>
          <w:sz w:val="24"/>
        </w:rPr>
        <w:t>inovacioni dhe infrastruktura</w:t>
      </w:r>
      <w:r w:rsidRPr="00913E39">
        <w:rPr>
          <w:rFonts w:ascii="Garamond" w:hAnsi="Garamond"/>
          <w:sz w:val="24"/>
        </w:rPr>
        <w:t xml:space="preserve">) dhe në veçanti me objektivin 9.c për të rritur ndjeshëm aksesin në teknologjitë e komunikimit të informacionit (TIK) dhe për të siguruar akses universal dhe të përballueshëm në internet në vendet më pak të zhvilluara. </w:t>
      </w:r>
    </w:p>
    <w:p w14:paraId="3456C453" w14:textId="427874E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Si vend kandidat për anëtarësim në BE, Shqipëria është e angazhuar të harmonizojë politikat e saj kombëtare në lidhje me zhvillimin e komunikimeve elektronike, me objektivat strategjikë të nismës së BE-së në vitin 2010 për Agjendën Digjitale për E</w:t>
      </w:r>
      <w:r w:rsidR="00A22A81" w:rsidRPr="00913E39">
        <w:rPr>
          <w:rFonts w:ascii="Garamond" w:hAnsi="Garamond"/>
          <w:sz w:val="24"/>
        </w:rPr>
        <w:t>v</w:t>
      </w:r>
      <w:r w:rsidRPr="00913E39">
        <w:rPr>
          <w:rFonts w:ascii="Garamond" w:hAnsi="Garamond"/>
          <w:sz w:val="24"/>
        </w:rPr>
        <w:t xml:space="preserve">ropën si një strategji gjithëpërfshirëse për zhvillimin e shoqërisë së informacionit dhe strategjinë e BE-së 2016 </w:t>
      </w:r>
      <w:r w:rsidR="00850FC7" w:rsidRPr="00913E39">
        <w:rPr>
          <w:rFonts w:ascii="Garamond" w:eastAsia="Times New Roman" w:hAnsi="Garamond" w:cs="Times New Roman"/>
          <w:sz w:val="24"/>
          <w:szCs w:val="24"/>
        </w:rPr>
        <w:t>“</w:t>
      </w:r>
      <w:r w:rsidRPr="00913E39">
        <w:rPr>
          <w:rFonts w:ascii="Garamond" w:hAnsi="Garamond"/>
          <w:sz w:val="24"/>
        </w:rPr>
        <w:t xml:space="preserve">Drejt një shoqërie </w:t>
      </w:r>
      <w:r w:rsidR="004449E6" w:rsidRPr="00913E39">
        <w:rPr>
          <w:rFonts w:ascii="Garamond" w:hAnsi="Garamond"/>
          <w:i/>
          <w:sz w:val="24"/>
        </w:rPr>
        <w:t>gigabit</w:t>
      </w:r>
      <w:r w:rsidR="004449E6" w:rsidRPr="00913E39">
        <w:rPr>
          <w:rFonts w:ascii="Garamond" w:hAnsi="Garamond"/>
          <w:sz w:val="24"/>
        </w:rPr>
        <w:t xml:space="preserve"> </w:t>
      </w:r>
      <w:r w:rsidR="00DE5BB1" w:rsidRPr="00913E39">
        <w:rPr>
          <w:rFonts w:ascii="Garamond" w:hAnsi="Garamond"/>
          <w:sz w:val="24"/>
        </w:rPr>
        <w:t>m</w:t>
      </w:r>
      <w:r w:rsidRPr="00913E39">
        <w:rPr>
          <w:rFonts w:ascii="Garamond" w:hAnsi="Garamond"/>
          <w:sz w:val="24"/>
        </w:rPr>
        <w:t>ë 2025</w:t>
      </w:r>
      <w:r w:rsidR="00850FC7" w:rsidRPr="00913E39">
        <w:rPr>
          <w:rFonts w:ascii="Garamond" w:eastAsia="Times New Roman" w:hAnsi="Garamond" w:cs="Times New Roman"/>
          <w:sz w:val="24"/>
          <w:szCs w:val="24"/>
        </w:rPr>
        <w:t>”</w:t>
      </w:r>
      <w:r w:rsidRPr="00913E39">
        <w:rPr>
          <w:rFonts w:ascii="Garamond" w:hAnsi="Garamond"/>
          <w:sz w:val="24"/>
        </w:rPr>
        <w:t xml:space="preserve"> dhe më tej Programin e Dekadës Digjitale ku infrastruktura </w:t>
      </w:r>
      <w:r w:rsidRPr="00913E39">
        <w:rPr>
          <w:rFonts w:ascii="Garamond" w:hAnsi="Garamond"/>
          <w:i/>
          <w:sz w:val="24"/>
        </w:rPr>
        <w:t>gigabit</w:t>
      </w:r>
      <w:r w:rsidRPr="00913E39">
        <w:rPr>
          <w:rFonts w:ascii="Garamond" w:hAnsi="Garamond"/>
          <w:sz w:val="24"/>
        </w:rPr>
        <w:t xml:space="preserve"> është një komponent thelbësor.</w:t>
      </w:r>
    </w:p>
    <w:p w14:paraId="7FB6632A"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praktikë, kostot e larta të vendosjes dhe procedurat komplekse me lejet e ndërtimit, harmonizimi midis infrastrukturave të ndryshme ekzistuese fizike dhe në veçanti aksesit në ndërtesa vazhdojnë të jenë barriera serioze për ngritjen e Rrjeteve me Kapacitet Shumë të Lartë (VHCN). </w:t>
      </w:r>
    </w:p>
    <w:p w14:paraId="1307393F" w14:textId="4378BB8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vitin 2021, Autoriteti i Komunikimeve Elektronike dhe Postare (AKEP) përgatiti një Plan-Studimi, duke përfshirë një vlerësim të aspekteve të teknologjisë 5G, sigurisë, përballueshmërisë dhe kapacitetit. Studimi u plotësua dhe u miratua nga Bordi Drejtues i AKEP-it me </w:t>
      </w:r>
      <w:r w:rsidR="00105B8E" w:rsidRPr="00913E39">
        <w:rPr>
          <w:rFonts w:ascii="Garamond" w:hAnsi="Garamond"/>
          <w:sz w:val="24"/>
        </w:rPr>
        <w:t>v</w:t>
      </w:r>
      <w:r w:rsidRPr="00913E39">
        <w:rPr>
          <w:rFonts w:ascii="Garamond" w:hAnsi="Garamond"/>
          <w:sz w:val="24"/>
        </w:rPr>
        <w:t>endimin nr. 7, datë 31.3.2022</w:t>
      </w:r>
      <w:r w:rsidR="004449E6" w:rsidRPr="00913E39">
        <w:rPr>
          <w:rFonts w:ascii="Garamond" w:hAnsi="Garamond"/>
          <w:sz w:val="24"/>
        </w:rPr>
        <w:t>,</w:t>
      </w:r>
      <w:r w:rsidR="00A22A81" w:rsidRPr="00913E39">
        <w:rPr>
          <w:rFonts w:ascii="Garamond" w:hAnsi="Garamond"/>
          <w:sz w:val="24"/>
        </w:rPr>
        <w:t xml:space="preserve"> </w:t>
      </w:r>
      <w:r w:rsidR="00105B8E" w:rsidRPr="00913E39">
        <w:rPr>
          <w:rFonts w:ascii="Garamond" w:hAnsi="Garamond"/>
          <w:sz w:val="24"/>
        </w:rPr>
        <w:t>“</w:t>
      </w:r>
      <w:r w:rsidRPr="00913E39">
        <w:rPr>
          <w:rFonts w:ascii="Garamond" w:hAnsi="Garamond"/>
          <w:sz w:val="24"/>
        </w:rPr>
        <w:t xml:space="preserve">Mbi miratimin e dokumentit: </w:t>
      </w:r>
      <w:r w:rsidR="00105B8E" w:rsidRPr="00913E39">
        <w:rPr>
          <w:rFonts w:ascii="Garamond" w:hAnsi="Garamond"/>
          <w:sz w:val="24"/>
        </w:rPr>
        <w:t>‘</w:t>
      </w:r>
      <w:r w:rsidRPr="00913E39">
        <w:rPr>
          <w:rFonts w:ascii="Garamond" w:hAnsi="Garamond"/>
          <w:sz w:val="24"/>
        </w:rPr>
        <w:t xml:space="preserve">Studim/analizë për teknologjitë e reja të mobile </w:t>
      </w:r>
      <w:r w:rsidRPr="00913E39">
        <w:rPr>
          <w:rFonts w:ascii="Garamond" w:hAnsi="Garamond"/>
          <w:i/>
          <w:sz w:val="24"/>
        </w:rPr>
        <w:t>broadband</w:t>
      </w:r>
      <w:r w:rsidRPr="00913E39">
        <w:rPr>
          <w:rFonts w:ascii="Garamond" w:hAnsi="Garamond"/>
          <w:sz w:val="24"/>
        </w:rPr>
        <w:t xml:space="preserve"> në Shqipëri</w:t>
      </w:r>
      <w:r w:rsidR="00105B8E" w:rsidRPr="00913E39">
        <w:rPr>
          <w:rFonts w:ascii="Garamond" w:hAnsi="Garamond"/>
          <w:sz w:val="24"/>
        </w:rPr>
        <w:t>’</w:t>
      </w:r>
      <w:r w:rsidR="00850FC7" w:rsidRPr="00913E39">
        <w:rPr>
          <w:rFonts w:ascii="Garamond" w:hAnsi="Garamond"/>
          <w:sz w:val="24"/>
        </w:rPr>
        <w:t>”</w:t>
      </w:r>
      <w:r w:rsidR="00A22A81" w:rsidRPr="00913E39">
        <w:rPr>
          <w:rFonts w:ascii="Garamond" w:hAnsi="Garamond"/>
          <w:sz w:val="24"/>
        </w:rPr>
        <w:t xml:space="preserve">. </w:t>
      </w:r>
      <w:r w:rsidRPr="00913E39">
        <w:rPr>
          <w:rFonts w:ascii="Garamond" w:hAnsi="Garamond"/>
          <w:sz w:val="24"/>
        </w:rPr>
        <w:t>Ky Plan përshkruan procesin e dhënies së të drejtave të përdorimit në mënyrë sa më objektive dhe transparente në të mirë të konsumatorëve shqiptarë dhe ekonomisë shqiptare, krijimin e një tregu konkurrues në Shqipëri dhe përdorimin efektiv të spektrit dhe përmbushjen e objektivave rregullator</w:t>
      </w:r>
      <w:r w:rsidR="00C41722" w:rsidRPr="00913E39">
        <w:rPr>
          <w:rFonts w:ascii="Garamond" w:hAnsi="Garamond"/>
          <w:sz w:val="24"/>
        </w:rPr>
        <w:t>ë</w:t>
      </w:r>
      <w:r w:rsidRPr="00913E39">
        <w:rPr>
          <w:rFonts w:ascii="Garamond" w:hAnsi="Garamond"/>
          <w:sz w:val="24"/>
        </w:rPr>
        <w:t>. Ligji i ri i komunikimit elektronik i bazuar në EECC përfshin një dispozitë specifike për sigurinë 5G. Nevojitet zbatimi efektiv i ligjit të ri duke përfshirë ato masa të bazuara në instrumentet 5G të BE-së.</w:t>
      </w:r>
    </w:p>
    <w:p w14:paraId="172BEA73" w14:textId="4483334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Akti i politikës së transmetimit të valëve është miratuar me vendimin e Këshillit të Ministrave nr. 636, datë 29.7.2020</w:t>
      </w:r>
      <w:r w:rsidR="00105B8E"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miratimin e programit shumëvjeçar të politikës spektrale dhe të planit të veprimit</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00105B8E" w:rsidRPr="00913E39">
        <w:rPr>
          <w:rFonts w:ascii="Garamond" w:eastAsia="Times New Roman" w:hAnsi="Garamond" w:cs="Times New Roman"/>
          <w:sz w:val="24"/>
          <w:szCs w:val="24"/>
        </w:rPr>
        <w:t xml:space="preserve"> </w:t>
      </w:r>
      <w:r w:rsidRPr="00913E39">
        <w:rPr>
          <w:rFonts w:ascii="Garamond" w:hAnsi="Garamond"/>
          <w:sz w:val="24"/>
        </w:rPr>
        <w:t xml:space="preserve">Ai përputhet pjesërisht me </w:t>
      </w:r>
      <w:r w:rsidR="00105B8E" w:rsidRPr="00913E39">
        <w:rPr>
          <w:rFonts w:ascii="Garamond" w:hAnsi="Garamond"/>
          <w:sz w:val="24"/>
        </w:rPr>
        <w:t>v</w:t>
      </w:r>
      <w:r w:rsidRPr="00913E39">
        <w:rPr>
          <w:rFonts w:ascii="Garamond" w:hAnsi="Garamond"/>
          <w:sz w:val="24"/>
        </w:rPr>
        <w:t>endimin nr. 243/2012/BE</w:t>
      </w:r>
      <w:r w:rsidR="00057CFB" w:rsidRPr="00913E39">
        <w:rPr>
          <w:rFonts w:ascii="Garamond" w:hAnsi="Garamond"/>
          <w:sz w:val="24"/>
        </w:rPr>
        <w:t>,</w:t>
      </w:r>
      <w:r w:rsidRPr="00913E39">
        <w:rPr>
          <w:rFonts w:ascii="Garamond" w:hAnsi="Garamond"/>
          <w:sz w:val="24"/>
        </w:rPr>
        <w:t xml:space="preserve"> të Parlamentit dhe Këshillit Evropian</w:t>
      </w:r>
      <w:r w:rsidR="00057CFB" w:rsidRPr="00913E39">
        <w:rPr>
          <w:rFonts w:ascii="Garamond" w:hAnsi="Garamond"/>
          <w:sz w:val="24"/>
        </w:rPr>
        <w:t>,</w:t>
      </w:r>
      <w:r w:rsidRPr="00913E39">
        <w:rPr>
          <w:rFonts w:ascii="Garamond" w:hAnsi="Garamond"/>
          <w:sz w:val="24"/>
        </w:rPr>
        <w:t xml:space="preserve"> datë 14 mars 2012</w:t>
      </w:r>
      <w:r w:rsidR="004449E6" w:rsidRPr="00913E39">
        <w:rPr>
          <w:rFonts w:ascii="Garamond" w:hAnsi="Garamond"/>
          <w:sz w:val="24"/>
        </w:rPr>
        <w:t>,</w:t>
      </w:r>
      <w:r w:rsidRPr="00913E39">
        <w:rPr>
          <w:rFonts w:ascii="Garamond" w:hAnsi="Garamond"/>
          <w:sz w:val="24"/>
        </w:rPr>
        <w:t xml:space="preserve"> për krijimin e një programi politikash shumëvjeçar të valëve të radios.</w:t>
      </w:r>
    </w:p>
    <w:p w14:paraId="0ACDF8F9" w14:textId="77777777" w:rsidR="00847F23" w:rsidRPr="00913E39" w:rsidRDefault="00847F23" w:rsidP="00FC4C60">
      <w:pPr>
        <w:spacing w:after="0" w:line="240" w:lineRule="auto"/>
        <w:ind w:firstLine="284"/>
        <w:jc w:val="both"/>
        <w:rPr>
          <w:rFonts w:ascii="Garamond" w:hAnsi="Garamond"/>
          <w:i/>
          <w:sz w:val="24"/>
          <w:u w:val="single"/>
        </w:rPr>
      </w:pPr>
      <w:r w:rsidRPr="00913E39">
        <w:rPr>
          <w:rFonts w:ascii="Garamond" w:hAnsi="Garamond"/>
          <w:i/>
          <w:sz w:val="24"/>
        </w:rPr>
        <w:t>2.2 Kuadri ligjor</w:t>
      </w:r>
    </w:p>
    <w:p w14:paraId="1AD52EF8" w14:textId="77777777" w:rsidR="00847F23" w:rsidRPr="00913E39" w:rsidRDefault="00847F23" w:rsidP="00FC4C60">
      <w:pPr>
        <w:spacing w:after="0" w:line="240" w:lineRule="auto"/>
        <w:ind w:firstLine="284"/>
        <w:jc w:val="both"/>
        <w:rPr>
          <w:rFonts w:ascii="Garamond" w:hAnsi="Garamond"/>
          <w:i/>
          <w:sz w:val="24"/>
        </w:rPr>
      </w:pPr>
      <w:bookmarkStart w:id="8" w:name="_Hlk138845930"/>
      <w:r w:rsidRPr="00913E39">
        <w:rPr>
          <w:rFonts w:ascii="Garamond" w:hAnsi="Garamond"/>
          <w:i/>
          <w:sz w:val="24"/>
        </w:rPr>
        <w:t>Fusha e mbështetjes 1: Infrastruktura TIK për shërbime më të mira për shoqërinë</w:t>
      </w:r>
    </w:p>
    <w:p w14:paraId="7F7790A5" w14:textId="52E5B9F4"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105B8E" w:rsidRPr="00913E39">
        <w:rPr>
          <w:rFonts w:ascii="Garamond" w:hAnsi="Garamond"/>
          <w:i/>
          <w:sz w:val="24"/>
        </w:rPr>
        <w:t>f</w:t>
      </w:r>
      <w:r w:rsidRPr="00913E39">
        <w:rPr>
          <w:rFonts w:ascii="Garamond" w:hAnsi="Garamond"/>
          <w:i/>
          <w:sz w:val="24"/>
        </w:rPr>
        <w:t xml:space="preserve">usha e mbështetjes 1.1: Shëndetësia </w:t>
      </w:r>
      <w:r w:rsidR="00105B8E" w:rsidRPr="00913E39">
        <w:rPr>
          <w:rFonts w:ascii="Garamond" w:hAnsi="Garamond"/>
          <w:i/>
          <w:sz w:val="24"/>
        </w:rPr>
        <w:t>d</w:t>
      </w:r>
      <w:r w:rsidRPr="00913E39">
        <w:rPr>
          <w:rFonts w:ascii="Garamond" w:hAnsi="Garamond"/>
          <w:i/>
          <w:sz w:val="24"/>
        </w:rPr>
        <w:t>igjitale</w:t>
      </w:r>
    </w:p>
    <w:bookmarkEnd w:id="8"/>
    <w:p w14:paraId="28F4FEC2" w14:textId="22CD2D2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Ligji për </w:t>
      </w:r>
      <w:r w:rsidR="00170184" w:rsidRPr="00913E39">
        <w:rPr>
          <w:rFonts w:ascii="Garamond" w:hAnsi="Garamond"/>
          <w:b/>
          <w:sz w:val="24"/>
        </w:rPr>
        <w:t xml:space="preserve">kujdesin shëndetësor </w:t>
      </w:r>
      <w:r w:rsidRPr="00913E39">
        <w:rPr>
          <w:rFonts w:ascii="Garamond" w:hAnsi="Garamond"/>
          <w:b/>
          <w:sz w:val="24"/>
        </w:rPr>
        <w:t>në Republikën e Shqipërisë (nr. 10 107/2009)</w:t>
      </w:r>
      <w:r w:rsidRPr="00913E39">
        <w:rPr>
          <w:rFonts w:ascii="Garamond" w:hAnsi="Garamond"/>
          <w:sz w:val="24"/>
        </w:rPr>
        <w:t xml:space="preserve"> (</w:t>
      </w:r>
      <w:r w:rsidR="00170184" w:rsidRPr="00913E39">
        <w:rPr>
          <w:rFonts w:ascii="Garamond" w:hAnsi="Garamond"/>
          <w:sz w:val="24"/>
        </w:rPr>
        <w:t>n</w:t>
      </w:r>
      <w:r w:rsidRPr="00913E39">
        <w:rPr>
          <w:rFonts w:ascii="Garamond" w:hAnsi="Garamond"/>
          <w:sz w:val="24"/>
        </w:rPr>
        <w:t>dryshuar me ligjin nr. 51/2013, ligjin nr. 76/2015 dhe ligjin nr. 27/2019) përcakton parimet kryesore dhe kuadrin ligjor për rregullimin, organizimin dhe funksionimin e sistemit të kujdesit shëndetësor në Republikën e Shqipërisë. Ky ligj zbatohet për të gjithë personat fizikë apo juridikë, shqiptarë apo të huaj, që operojnë në sistemin e kujdesit shëndetësor. Kujdesi shëndetësor udhëhiqet nga parimet e mëposhtme: a) e drejta për kujdes shëndetësor është një e drejtë themelore e individit; b) garantimi i të drejtave të barabarta në kujdesin shëndetësor, bazuar në mosdiskriminim; c) sistemi i kujdesit shëndetësor funksionon mbështetur në efi</w:t>
      </w:r>
      <w:r w:rsidR="00FD645F" w:rsidRPr="00913E39">
        <w:rPr>
          <w:rFonts w:ascii="Garamond" w:hAnsi="Garamond"/>
          <w:sz w:val="24"/>
        </w:rPr>
        <w:t>ci</w:t>
      </w:r>
      <w:r w:rsidRPr="00913E39">
        <w:rPr>
          <w:rFonts w:ascii="Garamond" w:hAnsi="Garamond"/>
          <w:sz w:val="24"/>
        </w:rPr>
        <w:t xml:space="preserve">encën dhe cilësinë e shërbimit, duke garantuar sigurinë e pacientit dhe </w:t>
      </w:r>
      <w:r w:rsidR="00FD645F" w:rsidRPr="00913E39">
        <w:rPr>
          <w:rFonts w:ascii="Garamond" w:hAnsi="Garamond"/>
          <w:sz w:val="24"/>
        </w:rPr>
        <w:t>paanësinë;</w:t>
      </w:r>
      <w:r w:rsidRPr="00913E39">
        <w:rPr>
          <w:rFonts w:ascii="Garamond" w:hAnsi="Garamond"/>
          <w:sz w:val="24"/>
        </w:rPr>
        <w:t xml:space="preserve"> ç) pjesëmarrja e aktorëve të ndryshëm, pacientëve, konsumatorëve dhe qytetarëve; d) llogaridhënia ndaj qytetarëve. Gjithashtu, sipas nenit 4 </w:t>
      </w:r>
      <w:r w:rsidR="00850FC7" w:rsidRPr="00913E39">
        <w:rPr>
          <w:rFonts w:ascii="Garamond" w:hAnsi="Garamond"/>
          <w:sz w:val="24"/>
        </w:rPr>
        <w:t>“</w:t>
      </w:r>
      <w:r w:rsidR="00FD645F" w:rsidRPr="00913E39">
        <w:rPr>
          <w:rFonts w:ascii="Garamond" w:hAnsi="Garamond"/>
          <w:sz w:val="24"/>
        </w:rPr>
        <w:t>përgjegjësitë</w:t>
      </w:r>
      <w:r w:rsidRPr="00913E39">
        <w:rPr>
          <w:rFonts w:ascii="Garamond" w:hAnsi="Garamond"/>
          <w:sz w:val="24"/>
        </w:rPr>
        <w:t xml:space="preserve"> e shtetit dhe </w:t>
      </w:r>
      <w:r w:rsidRPr="00730AC6">
        <w:rPr>
          <w:rFonts w:ascii="Garamond" w:hAnsi="Garamond"/>
          <w:sz w:val="24"/>
        </w:rPr>
        <w:t>shtetave</w:t>
      </w:r>
      <w:r w:rsidR="00850FC7" w:rsidRPr="00730AC6">
        <w:rPr>
          <w:rFonts w:ascii="Garamond" w:hAnsi="Garamond"/>
          <w:sz w:val="24"/>
        </w:rPr>
        <w:t>”</w:t>
      </w:r>
      <w:r w:rsidRPr="00730AC6">
        <w:rPr>
          <w:rFonts w:ascii="Garamond" w:hAnsi="Garamond"/>
          <w:sz w:val="24"/>
        </w:rPr>
        <w:t>,</w:t>
      </w:r>
      <w:r w:rsidRPr="00913E39">
        <w:rPr>
          <w:rFonts w:ascii="Garamond" w:hAnsi="Garamond"/>
          <w:sz w:val="24"/>
        </w:rPr>
        <w:t xml:space="preserve"> </w:t>
      </w:r>
      <w:r w:rsidR="002F0D74" w:rsidRPr="00913E39">
        <w:rPr>
          <w:rFonts w:ascii="Garamond" w:hAnsi="Garamond"/>
          <w:sz w:val="24"/>
        </w:rPr>
        <w:t>m</w:t>
      </w:r>
      <w:r w:rsidRPr="00913E39">
        <w:rPr>
          <w:rFonts w:ascii="Garamond" w:hAnsi="Garamond"/>
          <w:sz w:val="24"/>
        </w:rPr>
        <w:t xml:space="preserve">inistria përgjegjëse për shëndetësinë përgatit strategjinë e sistemit të kujdesit shëndetësor, e cila përfshin politika dhe programe </w:t>
      </w:r>
      <w:r w:rsidR="00FD645F" w:rsidRPr="00913E39">
        <w:rPr>
          <w:rFonts w:ascii="Garamond" w:hAnsi="Garamond"/>
          <w:sz w:val="24"/>
        </w:rPr>
        <w:t>përkatëse</w:t>
      </w:r>
      <w:r w:rsidRPr="00913E39">
        <w:rPr>
          <w:rFonts w:ascii="Garamond" w:hAnsi="Garamond"/>
          <w:sz w:val="24"/>
        </w:rPr>
        <w:t xml:space="preserve"> </w:t>
      </w:r>
      <w:r w:rsidR="00FD645F" w:rsidRPr="00913E39">
        <w:rPr>
          <w:rFonts w:ascii="Garamond" w:hAnsi="Garamond"/>
          <w:sz w:val="24"/>
        </w:rPr>
        <w:t xml:space="preserve">të </w:t>
      </w:r>
      <w:r w:rsidRPr="00913E39">
        <w:rPr>
          <w:rFonts w:ascii="Garamond" w:hAnsi="Garamond"/>
          <w:sz w:val="24"/>
        </w:rPr>
        <w:t>shëndetësisë dhe protokolle kombëtare të trajtimit. Politikat dhe programet lidhur me çështjet e kujdesit shëndetësor dhe mbrojtjes sociale në Republikën e Shqipërisë hartohen në Drejtorinë e Përgjithshme të Politikave dhe Zhvillimit të Shëndetësisë dhe Mbrojtjes Sociale në Ministrinë e Shëndetësisë dhe Mbrojtjes Sociale</w:t>
      </w:r>
      <w:r w:rsidR="00EC0D96" w:rsidRPr="00913E39">
        <w:rPr>
          <w:rFonts w:ascii="Garamond" w:hAnsi="Garamond"/>
          <w:sz w:val="24"/>
        </w:rPr>
        <w:t>,</w:t>
      </w:r>
      <w:r w:rsidRPr="00913E39">
        <w:rPr>
          <w:rFonts w:ascii="Garamond" w:hAnsi="Garamond"/>
          <w:sz w:val="24"/>
        </w:rPr>
        <w:t xml:space="preserve"> </w:t>
      </w:r>
      <w:r w:rsidR="00EC0D96" w:rsidRPr="00913E39">
        <w:rPr>
          <w:rFonts w:ascii="Garamond" w:hAnsi="Garamond"/>
          <w:sz w:val="24"/>
        </w:rPr>
        <w:t xml:space="preserve">institucionet </w:t>
      </w:r>
      <w:r w:rsidRPr="00913E39">
        <w:rPr>
          <w:rFonts w:ascii="Garamond" w:hAnsi="Garamond"/>
          <w:sz w:val="24"/>
        </w:rPr>
        <w:t>e tjera të kujdesit shëndetësor dhe mbrojtjes sociale në bashkëpunim ndërinstitucional në nivel qendror dhe vendor bashkëpunojnë me ministrinë përgjegjëse që mbulon çështjet e shëndetësisë dhe mbrojtjes sociale për hartimin e politikave dhe shkëmbimeve.</w:t>
      </w:r>
    </w:p>
    <w:p w14:paraId="3785D56A" w14:textId="5B0A7E5C" w:rsidR="00847F23" w:rsidRPr="00913E39" w:rsidRDefault="00847F23" w:rsidP="00693B1A">
      <w:pPr>
        <w:spacing w:after="0" w:line="240" w:lineRule="auto"/>
        <w:ind w:firstLine="284"/>
        <w:jc w:val="both"/>
        <w:rPr>
          <w:rFonts w:ascii="Garamond" w:hAnsi="Garamond"/>
          <w:sz w:val="24"/>
        </w:rPr>
      </w:pPr>
      <w:r w:rsidRPr="00913E39">
        <w:rPr>
          <w:rFonts w:ascii="Garamond" w:hAnsi="Garamond"/>
          <w:b/>
          <w:sz w:val="24"/>
        </w:rPr>
        <w:t>VKM nr. 210, datë 6.4.2022</w:t>
      </w:r>
      <w:r w:rsidR="00140FA1" w:rsidRPr="00913E39">
        <w:rPr>
          <w:rFonts w:ascii="Garamond" w:hAnsi="Garamond"/>
          <w:sz w:val="24"/>
        </w:rPr>
        <w:t>,</w:t>
      </w:r>
      <w:r w:rsidRPr="00913E39">
        <w:rPr>
          <w:rFonts w:ascii="Garamond" w:hAnsi="Garamond"/>
          <w:sz w:val="24"/>
        </w:rPr>
        <w:t xml:space="preserve"> </w:t>
      </w:r>
      <w:r w:rsidR="00140FA1" w:rsidRPr="00913E39">
        <w:rPr>
          <w:rFonts w:ascii="Garamond" w:hAnsi="Garamond"/>
          <w:sz w:val="24"/>
        </w:rPr>
        <w:t>“</w:t>
      </w:r>
      <w:r w:rsidRPr="00913E39">
        <w:rPr>
          <w:rFonts w:ascii="Garamond" w:hAnsi="Garamond"/>
          <w:sz w:val="24"/>
        </w:rPr>
        <w:t>Për miratimin e Strategjisë Kombëtare të Shëndetësisë 2021</w:t>
      </w:r>
      <w:r w:rsidR="00082F1D" w:rsidRPr="00913E39">
        <w:rPr>
          <w:rFonts w:ascii="Garamond" w:hAnsi="Garamond"/>
          <w:sz w:val="24"/>
        </w:rPr>
        <w:t>–</w:t>
      </w:r>
      <w:r w:rsidRPr="00913E39">
        <w:rPr>
          <w:rFonts w:ascii="Garamond" w:hAnsi="Garamond"/>
          <w:sz w:val="24"/>
        </w:rPr>
        <w:t>2030</w:t>
      </w:r>
      <w:r w:rsidR="00140FA1" w:rsidRPr="00913E39">
        <w:rPr>
          <w:rFonts w:ascii="Garamond" w:hAnsi="Garamond"/>
          <w:sz w:val="24"/>
        </w:rPr>
        <w:t>”</w:t>
      </w:r>
      <w:r w:rsidRPr="00913E39">
        <w:rPr>
          <w:rFonts w:ascii="Garamond" w:hAnsi="Garamond"/>
          <w:sz w:val="24"/>
        </w:rPr>
        <w:t xml:space="preserve"> parashikon në objektivin strategjik 5.2.2d Krijimi i rrjetit të interpretimit imazherik (</w:t>
      </w:r>
      <w:r w:rsidRPr="00913E39">
        <w:rPr>
          <w:rFonts w:ascii="Garamond" w:hAnsi="Garamond"/>
          <w:i/>
          <w:sz w:val="24"/>
        </w:rPr>
        <w:t>Reading Virtual Center Imagery</w:t>
      </w:r>
      <w:r w:rsidRPr="00913E39">
        <w:rPr>
          <w:rFonts w:ascii="Garamond" w:hAnsi="Garamond"/>
          <w:sz w:val="24"/>
        </w:rPr>
        <w:t>) nëpërmjet</w:t>
      </w:r>
      <w:r w:rsidR="00082F1D" w:rsidRPr="00913E39">
        <w:rPr>
          <w:rFonts w:ascii="Garamond" w:hAnsi="Garamond"/>
          <w:sz w:val="24"/>
        </w:rPr>
        <w:t xml:space="preserve"> </w:t>
      </w:r>
      <w:r w:rsidRPr="00913E39">
        <w:rPr>
          <w:rFonts w:ascii="Garamond" w:hAnsi="Garamond"/>
          <w:sz w:val="24"/>
        </w:rPr>
        <w:t>zhvillimit të Sistemit Kombëtar të Imazheve Digjitale Mjekësore.</w:t>
      </w:r>
    </w:p>
    <w:p w14:paraId="24592165" w14:textId="2AB612F7" w:rsidR="00847F23" w:rsidRPr="00913E39" w:rsidRDefault="00847F23" w:rsidP="00693B1A">
      <w:pPr>
        <w:spacing w:after="0" w:line="240" w:lineRule="auto"/>
        <w:ind w:firstLine="284"/>
        <w:jc w:val="both"/>
        <w:rPr>
          <w:rFonts w:ascii="Garamond" w:hAnsi="Garamond"/>
          <w:sz w:val="24"/>
        </w:rPr>
      </w:pPr>
      <w:r w:rsidRPr="00913E39">
        <w:rPr>
          <w:rFonts w:ascii="Garamond" w:hAnsi="Garamond"/>
          <w:b/>
          <w:sz w:val="24"/>
        </w:rPr>
        <w:t>VKM nr. 138, datë 22.2.2017</w:t>
      </w:r>
      <w:r w:rsidR="00140FA1"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 xml:space="preserve">Për krijimin e bazës së të dhënave shtetërore </w:t>
      </w:r>
      <w:r w:rsidR="00140FA1" w:rsidRPr="00913E39">
        <w:rPr>
          <w:rFonts w:ascii="Garamond" w:hAnsi="Garamond"/>
          <w:sz w:val="24"/>
        </w:rPr>
        <w:t>‘</w:t>
      </w:r>
      <w:r w:rsidRPr="00913E39">
        <w:rPr>
          <w:rFonts w:ascii="Garamond" w:hAnsi="Garamond"/>
          <w:sz w:val="24"/>
        </w:rPr>
        <w:t>Regjistri elektronik shëndetësor kombëtar</w:t>
      </w:r>
      <w:r w:rsidR="00140FA1" w:rsidRPr="00913E39">
        <w:rPr>
          <w:rFonts w:ascii="Garamond" w:hAnsi="Garamond"/>
          <w:sz w:val="24"/>
        </w:rPr>
        <w:t>’</w:t>
      </w:r>
      <w:r w:rsidR="00850FC7" w:rsidRPr="00913E39">
        <w:rPr>
          <w:rFonts w:ascii="Garamond" w:hAnsi="Garamond"/>
          <w:sz w:val="24"/>
        </w:rPr>
        <w:t>”</w:t>
      </w:r>
      <w:r w:rsidRPr="00913E39">
        <w:rPr>
          <w:rFonts w:ascii="Garamond" w:hAnsi="Garamond"/>
          <w:sz w:val="24"/>
        </w:rPr>
        <w:t xml:space="preserve">. Regjistri Elektronik Shëndetësor Kombëtar mban të dhëna për </w:t>
      </w:r>
      <w:r w:rsidRPr="00913E39">
        <w:rPr>
          <w:rFonts w:ascii="Garamond" w:hAnsi="Garamond"/>
          <w:sz w:val="24"/>
        </w:rPr>
        <w:lastRenderedPageBreak/>
        <w:t xml:space="preserve">dokumentet mjekësore elektronike të shtetasve që kanë marrë shërbim shëndetësor në institucionet e kujdesit shëndetësor. Institucioni administrues i Regjistrit Elektronik Shëndetësor Kombëtar është Ministria e Shëndetësisë. </w:t>
      </w:r>
      <w:r w:rsidR="00850FC7" w:rsidRPr="00913E39">
        <w:rPr>
          <w:rFonts w:ascii="Garamond" w:hAnsi="Garamond"/>
          <w:sz w:val="24"/>
        </w:rPr>
        <w:t>“</w:t>
      </w:r>
      <w:r w:rsidRPr="00913E39">
        <w:rPr>
          <w:rFonts w:ascii="Garamond" w:hAnsi="Garamond"/>
          <w:sz w:val="24"/>
        </w:rPr>
        <w:t>Dokument mjekësor elektronik</w:t>
      </w:r>
      <w:r w:rsidR="00850FC7" w:rsidRPr="00913E39">
        <w:rPr>
          <w:rFonts w:ascii="Garamond" w:hAnsi="Garamond"/>
          <w:sz w:val="24"/>
        </w:rPr>
        <w:t>”</w:t>
      </w:r>
      <w:r w:rsidRPr="00913E39">
        <w:rPr>
          <w:rFonts w:ascii="Garamond" w:hAnsi="Garamond"/>
          <w:sz w:val="24"/>
        </w:rPr>
        <w:t xml:space="preserve"> janë të gjitha dokumentet që krijohen nga profesionistët e shëndetit, nga përdorimi i sistemeve t</w:t>
      </w:r>
      <w:r w:rsidR="00082F1D" w:rsidRPr="00913E39">
        <w:rPr>
          <w:rFonts w:ascii="Garamond" w:hAnsi="Garamond"/>
          <w:sz w:val="24"/>
        </w:rPr>
        <w:t>ë</w:t>
      </w:r>
      <w:r w:rsidRPr="00913E39">
        <w:rPr>
          <w:rFonts w:ascii="Garamond" w:hAnsi="Garamond"/>
          <w:sz w:val="24"/>
        </w:rPr>
        <w:t xml:space="preserve"> </w:t>
      </w:r>
      <w:r w:rsidR="00082F1D" w:rsidRPr="00913E39">
        <w:rPr>
          <w:rFonts w:ascii="Garamond" w:hAnsi="Garamond"/>
          <w:sz w:val="24"/>
        </w:rPr>
        <w:t>shëndetësisë</w:t>
      </w:r>
      <w:r w:rsidRPr="00913E39">
        <w:rPr>
          <w:rFonts w:ascii="Garamond" w:hAnsi="Garamond"/>
          <w:sz w:val="24"/>
        </w:rPr>
        <w:t xml:space="preserve"> elektronike. Vlefshmëria e dokumentit mjekësor elektronik realizohet nëpërmjet nënshkrimit elektronik nga profesionistët e shëndetit, në përputhje me legjislacionin në fuqi për nënshkrimin elektronik. </w:t>
      </w:r>
    </w:p>
    <w:p w14:paraId="0A62EA06" w14:textId="0FA75018" w:rsidR="00847F23" w:rsidRPr="00913E39" w:rsidRDefault="00847F23" w:rsidP="00693B1A">
      <w:pPr>
        <w:spacing w:after="0" w:line="240" w:lineRule="auto"/>
        <w:ind w:firstLine="284"/>
        <w:jc w:val="both"/>
        <w:rPr>
          <w:rFonts w:ascii="Garamond" w:hAnsi="Garamond"/>
          <w:sz w:val="24"/>
        </w:rPr>
      </w:pPr>
      <w:r w:rsidRPr="00913E39">
        <w:rPr>
          <w:rFonts w:ascii="Garamond" w:hAnsi="Garamond"/>
          <w:b/>
          <w:sz w:val="24"/>
        </w:rPr>
        <w:t xml:space="preserve">VKM </w:t>
      </w:r>
      <w:r w:rsidR="00082F1D" w:rsidRPr="00913E39">
        <w:rPr>
          <w:rFonts w:ascii="Garamond" w:hAnsi="Garamond"/>
          <w:b/>
          <w:sz w:val="24"/>
        </w:rPr>
        <w:t>n</w:t>
      </w:r>
      <w:r w:rsidRPr="00913E39">
        <w:rPr>
          <w:rFonts w:ascii="Garamond" w:hAnsi="Garamond"/>
          <w:b/>
          <w:sz w:val="24"/>
        </w:rPr>
        <w:t>r. 503, datë 24.6.2020</w:t>
      </w:r>
      <w:r w:rsidR="0044332A"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mënyrën e administrimit të informacionit elektronik shëndetësor</w:t>
      </w:r>
      <w:r w:rsidR="00850FC7" w:rsidRPr="00913E39">
        <w:rPr>
          <w:rFonts w:ascii="Garamond" w:hAnsi="Garamond"/>
          <w:sz w:val="24"/>
        </w:rPr>
        <w:t>”</w:t>
      </w:r>
      <w:r w:rsidRPr="00913E39">
        <w:rPr>
          <w:rFonts w:ascii="Garamond" w:hAnsi="Garamond"/>
          <w:sz w:val="24"/>
        </w:rPr>
        <w:t>.</w:t>
      </w:r>
    </w:p>
    <w:p w14:paraId="0FB8A2DA" w14:textId="290767AF" w:rsidR="00847F23" w:rsidRPr="00913E39" w:rsidRDefault="00847F23" w:rsidP="00693B1A">
      <w:pPr>
        <w:spacing w:after="0" w:line="240" w:lineRule="auto"/>
        <w:ind w:firstLine="284"/>
        <w:jc w:val="both"/>
        <w:rPr>
          <w:rFonts w:ascii="Garamond" w:hAnsi="Garamond"/>
          <w:sz w:val="24"/>
        </w:rPr>
      </w:pPr>
      <w:r w:rsidRPr="00913E39">
        <w:rPr>
          <w:rFonts w:ascii="Garamond" w:hAnsi="Garamond"/>
          <w:b/>
          <w:sz w:val="24"/>
        </w:rPr>
        <w:t xml:space="preserve">Ligji </w:t>
      </w:r>
      <w:r w:rsidR="00082F1D" w:rsidRPr="00913E39">
        <w:rPr>
          <w:rFonts w:ascii="Garamond" w:hAnsi="Garamond"/>
          <w:b/>
          <w:sz w:val="24"/>
        </w:rPr>
        <w:t xml:space="preserve">nr. </w:t>
      </w:r>
      <w:r w:rsidRPr="00913E39">
        <w:rPr>
          <w:rFonts w:ascii="Garamond" w:hAnsi="Garamond"/>
          <w:b/>
          <w:sz w:val="24"/>
        </w:rPr>
        <w:t>9887/10.3.2008</w:t>
      </w:r>
      <w:r w:rsidRPr="00913E39">
        <w:rPr>
          <w:rFonts w:ascii="Garamond" w:hAnsi="Garamond"/>
          <w:sz w:val="24"/>
        </w:rPr>
        <w:t xml:space="preserve">: </w:t>
      </w:r>
      <w:r w:rsidR="00082F1D" w:rsidRPr="00913E39">
        <w:rPr>
          <w:rFonts w:ascii="Garamond" w:hAnsi="Garamond"/>
          <w:sz w:val="24"/>
        </w:rPr>
        <w:t>n</w:t>
      </w:r>
      <w:r w:rsidRPr="00913E39">
        <w:rPr>
          <w:rFonts w:ascii="Garamond" w:hAnsi="Garamond"/>
          <w:sz w:val="24"/>
        </w:rPr>
        <w:t>ë qershor 2022</w:t>
      </w:r>
      <w:r w:rsidR="00082F1D" w:rsidRPr="00913E39">
        <w:rPr>
          <w:rFonts w:ascii="Garamond" w:hAnsi="Garamond"/>
          <w:sz w:val="24"/>
        </w:rPr>
        <w:t>,</w:t>
      </w:r>
      <w:r w:rsidRPr="00913E39">
        <w:rPr>
          <w:rFonts w:ascii="Garamond" w:hAnsi="Garamond"/>
          <w:sz w:val="24"/>
        </w:rPr>
        <w:t xml:space="preserve"> Ministria e Drejtësisë të Republikës së Shqipërisë pati nisur një proces konsultimi publik për një projektligj </w:t>
      </w:r>
      <w:r w:rsidR="00850FC7" w:rsidRPr="00913E39">
        <w:rPr>
          <w:rFonts w:ascii="Garamond" w:hAnsi="Garamond"/>
          <w:sz w:val="24"/>
        </w:rPr>
        <w:t>“</w:t>
      </w:r>
      <w:r w:rsidRPr="00913E39">
        <w:rPr>
          <w:rFonts w:ascii="Garamond" w:hAnsi="Garamond"/>
          <w:sz w:val="24"/>
        </w:rPr>
        <w:t>Për mbrojtjen e të dhënave personale</w:t>
      </w:r>
      <w:r w:rsidR="00850FC7" w:rsidRPr="00913E39">
        <w:rPr>
          <w:rFonts w:ascii="Garamond" w:hAnsi="Garamond"/>
          <w:sz w:val="24"/>
        </w:rPr>
        <w:t>”</w:t>
      </w:r>
      <w:r w:rsidRPr="00913E39">
        <w:rPr>
          <w:rFonts w:ascii="Garamond" w:hAnsi="Garamond"/>
          <w:sz w:val="24"/>
        </w:rPr>
        <w:t xml:space="preserve"> i cili është i përafruar me GDPR-në. Që nga qershori 2023, ky projektligj nuk është miratuar ende nga Kuvendi i Shqipërisë.</w:t>
      </w:r>
    </w:p>
    <w:p w14:paraId="394C414A" w14:textId="2D72BCE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Më 28 janar 2022, Shqipëria nënshkroi Protokollin për ndryshimin e Konventës për Mbrojtjen e Individëve në lidhje me Përpunimin Automatik të të Dhënave Personale, i cili më pas u ratifikua me </w:t>
      </w:r>
      <w:r w:rsidR="009F231D" w:rsidRPr="00913E39">
        <w:rPr>
          <w:rFonts w:ascii="Garamond" w:hAnsi="Garamond"/>
          <w:b/>
          <w:sz w:val="24"/>
        </w:rPr>
        <w:t>l</w:t>
      </w:r>
      <w:r w:rsidRPr="00913E39">
        <w:rPr>
          <w:rFonts w:ascii="Garamond" w:hAnsi="Garamond"/>
          <w:b/>
          <w:sz w:val="24"/>
        </w:rPr>
        <w:t>igjin nr. 49/2022</w:t>
      </w:r>
      <w:r w:rsidRPr="00913E39">
        <w:rPr>
          <w:rFonts w:ascii="Garamond" w:hAnsi="Garamond"/>
          <w:sz w:val="24"/>
        </w:rPr>
        <w:t xml:space="preserve"> për ratifikimin e protokollit që ndryshon Konventën për Mbrojtjen e Individëve në lidhje me Përpunimin Automatik të të Dhënave Personale.</w:t>
      </w:r>
    </w:p>
    <w:p w14:paraId="3D718149"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Ligji për bazat e të dhënave dhe regjistrin shtetëror (nr. 10 325/2010). </w:t>
      </w:r>
      <w:r w:rsidRPr="00913E39">
        <w:rPr>
          <w:rFonts w:ascii="Garamond" w:hAnsi="Garamond"/>
          <w:sz w:val="24"/>
        </w:rPr>
        <w:t>Ky ligj përcakton rregullat bazë për krijimin, administrimin e bazave të të dhënave shtetërore dhe ndërveprimin ndërmjet tyre, për të siguruar përdorimin me efektivitet, për interesa dhe shërbime publike, nga çdo subjekt i interesuar.</w:t>
      </w:r>
    </w:p>
    <w:p w14:paraId="46799959" w14:textId="7036792B"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Ligji për </w:t>
      </w:r>
      <w:r w:rsidR="00374A9D" w:rsidRPr="00913E39">
        <w:rPr>
          <w:rFonts w:ascii="Garamond" w:hAnsi="Garamond"/>
          <w:b/>
          <w:sz w:val="24"/>
        </w:rPr>
        <w:t xml:space="preserve">dokumentin elektronik </w:t>
      </w:r>
      <w:r w:rsidRPr="00913E39">
        <w:rPr>
          <w:rFonts w:ascii="Garamond" w:hAnsi="Garamond"/>
          <w:b/>
          <w:sz w:val="24"/>
        </w:rPr>
        <w:t>(nr. 10 273/2010</w:t>
      </w:r>
      <w:r w:rsidRPr="00913E39">
        <w:rPr>
          <w:rFonts w:ascii="Garamond" w:hAnsi="Garamond"/>
          <w:sz w:val="24"/>
        </w:rPr>
        <w:t>, i ndryshuar). Ky ligj rregullon përdorimin e dokumentit elektronik nga personat fizikë, juridikë, publikë dhe privatë, programet dhe pajisjet elektronike të të cilëve mundësojnë realizimin, prodhimin, transmetimin, marrjen, ruajtjen dhe sigurinë e informacionit të dokumentit elektronik.</w:t>
      </w:r>
    </w:p>
    <w:p w14:paraId="41FCBE47" w14:textId="5F6F53AA"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374A9D" w:rsidRPr="00913E39">
        <w:rPr>
          <w:rFonts w:ascii="Garamond" w:hAnsi="Garamond"/>
          <w:i/>
          <w:sz w:val="24"/>
        </w:rPr>
        <w:t>f</w:t>
      </w:r>
      <w:r w:rsidRPr="00913E39">
        <w:rPr>
          <w:rFonts w:ascii="Garamond" w:hAnsi="Garamond"/>
          <w:i/>
          <w:sz w:val="24"/>
        </w:rPr>
        <w:t xml:space="preserve">usha e mbështetjes 1.2: Edukimi </w:t>
      </w:r>
      <w:r w:rsidR="00374A9D" w:rsidRPr="00913E39">
        <w:rPr>
          <w:rFonts w:ascii="Garamond" w:hAnsi="Garamond"/>
          <w:i/>
          <w:sz w:val="24"/>
        </w:rPr>
        <w:t>d</w:t>
      </w:r>
      <w:r w:rsidRPr="00913E39">
        <w:rPr>
          <w:rFonts w:ascii="Garamond" w:hAnsi="Garamond"/>
          <w:i/>
          <w:sz w:val="24"/>
        </w:rPr>
        <w:t>igjital</w:t>
      </w:r>
    </w:p>
    <w:p w14:paraId="181C868F"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Kuadri ligjor në arsimin parauniversitar bazohet në ligjet e mëposhtme: </w:t>
      </w:r>
    </w:p>
    <w:p w14:paraId="1962CA7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Ligji për sistemin arsimor parauniversitar në Republikën e Shqipërisë</w:t>
      </w:r>
      <w:r w:rsidRPr="00913E39">
        <w:rPr>
          <w:rFonts w:ascii="Garamond" w:hAnsi="Garamond"/>
          <w:sz w:val="24"/>
        </w:rPr>
        <w:t xml:space="preserve"> (</w:t>
      </w:r>
      <w:r w:rsidRPr="00913E39">
        <w:rPr>
          <w:rFonts w:ascii="Garamond" w:hAnsi="Garamond"/>
          <w:b/>
          <w:sz w:val="24"/>
        </w:rPr>
        <w:t>nr. 69/2012, i ndryshuar</w:t>
      </w:r>
      <w:r w:rsidRPr="00913E39">
        <w:rPr>
          <w:rFonts w:ascii="Garamond" w:hAnsi="Garamond"/>
          <w:sz w:val="24"/>
        </w:rPr>
        <w:t>). Ligji për arsimin parauniversitar është ndryshuar në vitin 2015 dhe 2018 dhe në këtë drejtim janë miratuar disa akte nënligjore. Ligji njeh aftësinë digjitale si një aftësi kyçe për nxënësit sipas nenit 13.</w:t>
      </w:r>
    </w:p>
    <w:p w14:paraId="7DFEA2CD" w14:textId="0C907AD8"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Ligji për arsimin dhe formimin profesional në Republikën e Shqipërisë </w:t>
      </w:r>
      <w:r w:rsidRPr="00913E39">
        <w:rPr>
          <w:rFonts w:ascii="Garamond" w:hAnsi="Garamond"/>
          <w:sz w:val="24"/>
        </w:rPr>
        <w:t>(</w:t>
      </w:r>
      <w:r w:rsidRPr="00913E39">
        <w:rPr>
          <w:rFonts w:ascii="Garamond" w:hAnsi="Garamond"/>
          <w:b/>
          <w:sz w:val="24"/>
        </w:rPr>
        <w:t>nr. 15/2017</w:t>
      </w:r>
      <w:r w:rsidRPr="00913E39">
        <w:rPr>
          <w:rFonts w:ascii="Garamond" w:hAnsi="Garamond"/>
          <w:sz w:val="24"/>
        </w:rPr>
        <w:t xml:space="preserve">). Ligji përkatës për arsimin dhe formimin profesional rregullon aspektet </w:t>
      </w:r>
      <w:r w:rsidR="009F231D" w:rsidRPr="00913E39">
        <w:rPr>
          <w:rFonts w:ascii="Garamond" w:hAnsi="Garamond"/>
          <w:sz w:val="24"/>
        </w:rPr>
        <w:t xml:space="preserve">e arsimit dhe formimit profesional </w:t>
      </w:r>
      <w:r w:rsidRPr="00913E39">
        <w:rPr>
          <w:rFonts w:ascii="Garamond" w:hAnsi="Garamond"/>
          <w:sz w:val="24"/>
        </w:rPr>
        <w:t>(AFP) dhe është nën kompetencën e Ministrisë përgjegjëse për AFP-në.</w:t>
      </w:r>
    </w:p>
    <w:p w14:paraId="2CB895A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Ligji për Kornizën Shqiptare të Kualifikimeve</w:t>
      </w:r>
      <w:r w:rsidRPr="00913E39">
        <w:rPr>
          <w:rFonts w:ascii="Garamond" w:hAnsi="Garamond"/>
          <w:sz w:val="24"/>
        </w:rPr>
        <w:t xml:space="preserve"> (</w:t>
      </w:r>
      <w:r w:rsidRPr="00913E39">
        <w:rPr>
          <w:rFonts w:ascii="Garamond" w:hAnsi="Garamond"/>
          <w:b/>
          <w:sz w:val="24"/>
        </w:rPr>
        <w:t>nr. 10 247/2010, i ndryshuar</w:t>
      </w:r>
      <w:r w:rsidRPr="00913E39">
        <w:rPr>
          <w:rFonts w:ascii="Garamond" w:hAnsi="Garamond"/>
          <w:sz w:val="24"/>
        </w:rPr>
        <w:t xml:space="preserve">). </w:t>
      </w:r>
    </w:p>
    <w:p w14:paraId="4052C36C" w14:textId="3792785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Me rëndësi për këtë fushë të mbështetjes janë edhe </w:t>
      </w:r>
      <w:r w:rsidR="009F231D" w:rsidRPr="00913E39">
        <w:rPr>
          <w:rFonts w:ascii="Garamond" w:hAnsi="Garamond"/>
          <w:sz w:val="24"/>
        </w:rPr>
        <w:t>v</w:t>
      </w:r>
      <w:r w:rsidRPr="00913E39">
        <w:rPr>
          <w:rFonts w:ascii="Garamond" w:hAnsi="Garamond"/>
          <w:sz w:val="24"/>
        </w:rPr>
        <w:t>endimi dhe Marrëveshja e mëposhtme:</w:t>
      </w:r>
    </w:p>
    <w:p w14:paraId="421FDB34" w14:textId="632C8B4D" w:rsidR="00847F23" w:rsidRPr="00913E39" w:rsidRDefault="00847F23" w:rsidP="00693B1A">
      <w:pPr>
        <w:spacing w:after="0" w:line="240" w:lineRule="auto"/>
        <w:ind w:firstLine="284"/>
        <w:jc w:val="both"/>
        <w:rPr>
          <w:rFonts w:ascii="Garamond" w:hAnsi="Garamond"/>
          <w:sz w:val="24"/>
        </w:rPr>
      </w:pPr>
      <w:r w:rsidRPr="00913E39">
        <w:rPr>
          <w:rFonts w:ascii="Garamond" w:hAnsi="Garamond"/>
          <w:b/>
          <w:sz w:val="24"/>
        </w:rPr>
        <w:t xml:space="preserve">Vendim </w:t>
      </w:r>
      <w:r w:rsidR="009F231D" w:rsidRPr="00913E39">
        <w:rPr>
          <w:rFonts w:ascii="Garamond" w:hAnsi="Garamond"/>
          <w:b/>
          <w:sz w:val="24"/>
        </w:rPr>
        <w:t>p</w:t>
      </w:r>
      <w:r w:rsidRPr="00913E39">
        <w:rPr>
          <w:rFonts w:ascii="Garamond" w:hAnsi="Garamond"/>
          <w:b/>
          <w:sz w:val="24"/>
        </w:rPr>
        <w:t>ër miratimin e Memorandumit të Mirëkuptimit ndërmjet Këshillit të Ministrave të Republikës së Shqipërisë dhe Fondacionit Shqiptaro-Amerikan për Zhvillim (AADF) për zbatimin e projektit Elementi IT</w:t>
      </w:r>
      <w:r w:rsidRPr="00913E39">
        <w:rPr>
          <w:rFonts w:ascii="Garamond" w:hAnsi="Garamond"/>
          <w:sz w:val="24"/>
        </w:rPr>
        <w:t xml:space="preserve"> (</w:t>
      </w:r>
      <w:r w:rsidRPr="00913E39">
        <w:rPr>
          <w:rFonts w:ascii="Garamond" w:hAnsi="Garamond"/>
          <w:b/>
          <w:sz w:val="24"/>
        </w:rPr>
        <w:t>nr. 594, datë 7.9.2022</w:t>
      </w:r>
      <w:r w:rsidRPr="00913E39">
        <w:rPr>
          <w:rFonts w:ascii="Garamond" w:hAnsi="Garamond"/>
          <w:sz w:val="24"/>
        </w:rPr>
        <w:t>).</w:t>
      </w:r>
    </w:p>
    <w:p w14:paraId="2670DA03" w14:textId="77777777" w:rsidR="00711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 xml:space="preserve">Marrëveshja e licencimit dhe shërbimit ndërmjet </w:t>
      </w:r>
      <w:r w:rsidR="00850FC7" w:rsidRPr="00913E39">
        <w:rPr>
          <w:rFonts w:ascii="Garamond" w:hAnsi="Garamond"/>
          <w:sz w:val="24"/>
        </w:rPr>
        <w:t>“</w:t>
      </w:r>
      <w:r w:rsidRPr="00913E39">
        <w:rPr>
          <w:rFonts w:ascii="Garamond" w:hAnsi="Garamond"/>
          <w:sz w:val="24"/>
        </w:rPr>
        <w:t xml:space="preserve">Ministrisë së Arsimit dhe Sportit dhe AADF-së dhe Agjencisë Kombëtare të Shoqërisë së Informacionit (AKSHI) dhe </w:t>
      </w:r>
      <w:r w:rsidRPr="00913E39">
        <w:rPr>
          <w:rFonts w:ascii="Garamond" w:hAnsi="Garamond"/>
          <w:i/>
          <w:sz w:val="24"/>
        </w:rPr>
        <w:t>Code Monkey Studios ltd.</w:t>
      </w:r>
      <w:r w:rsidRPr="00913E39">
        <w:rPr>
          <w:rFonts w:ascii="Garamond" w:hAnsi="Garamond"/>
          <w:sz w:val="24"/>
        </w:rPr>
        <w:t xml:space="preserve"> për ofrimin e shërbimit dhe platformës CodeMonkey</w:t>
      </w:r>
      <w:r w:rsidR="00850FC7" w:rsidRPr="00913E39">
        <w:rPr>
          <w:rFonts w:ascii="Garamond" w:hAnsi="Garamond"/>
          <w:sz w:val="24"/>
        </w:rPr>
        <w:t>”</w:t>
      </w:r>
      <w:r w:rsidRPr="00913E39">
        <w:rPr>
          <w:rFonts w:ascii="Garamond" w:hAnsi="Garamond"/>
          <w:sz w:val="24"/>
        </w:rPr>
        <w:t>.</w:t>
      </w:r>
    </w:p>
    <w:p w14:paraId="5B2932FB" w14:textId="3C1FAE5C" w:rsidR="00847F23" w:rsidRPr="00913E39" w:rsidRDefault="00847F23" w:rsidP="00693B1A">
      <w:pPr>
        <w:spacing w:after="0" w:line="240" w:lineRule="auto"/>
        <w:ind w:firstLine="284"/>
        <w:jc w:val="both"/>
        <w:rPr>
          <w:rFonts w:ascii="Garamond" w:hAnsi="Garamond"/>
          <w:i/>
          <w:sz w:val="24"/>
        </w:rPr>
      </w:pPr>
      <w:r w:rsidRPr="00913E39">
        <w:rPr>
          <w:rFonts w:ascii="Garamond" w:hAnsi="Garamond"/>
          <w:i/>
          <w:sz w:val="24"/>
        </w:rPr>
        <w:t>Fusha e mbështetjes 2: Integrimi me sistemet e teknologjisë së informacionit të BE-së, siguria kibernetike dhe ndërlidhja digjitale</w:t>
      </w:r>
    </w:p>
    <w:p w14:paraId="56959FE6" w14:textId="782948A8" w:rsidR="00847F23" w:rsidRPr="00913E39" w:rsidRDefault="00847F23" w:rsidP="00693B1A">
      <w:pPr>
        <w:spacing w:after="0" w:line="240" w:lineRule="auto"/>
        <w:ind w:firstLine="284"/>
        <w:jc w:val="both"/>
        <w:rPr>
          <w:rFonts w:ascii="Garamond" w:hAnsi="Garamond"/>
          <w:i/>
          <w:sz w:val="24"/>
        </w:rPr>
      </w:pPr>
      <w:r w:rsidRPr="00913E39">
        <w:rPr>
          <w:rFonts w:ascii="Garamond" w:hAnsi="Garamond"/>
          <w:i/>
          <w:sz w:val="24"/>
        </w:rPr>
        <w:t>Nën</w:t>
      </w:r>
      <w:r w:rsidR="00374A9D" w:rsidRPr="00913E39">
        <w:rPr>
          <w:rFonts w:ascii="Garamond" w:hAnsi="Garamond"/>
          <w:i/>
          <w:sz w:val="24"/>
        </w:rPr>
        <w:t>f</w:t>
      </w:r>
      <w:r w:rsidRPr="00913E39">
        <w:rPr>
          <w:rFonts w:ascii="Garamond" w:hAnsi="Garamond"/>
          <w:i/>
          <w:sz w:val="24"/>
        </w:rPr>
        <w:t>usha e mbështetjes 2.1: Tatimet</w:t>
      </w:r>
    </w:p>
    <w:p w14:paraId="452416CB" w14:textId="77777777" w:rsidR="00847F23" w:rsidRPr="00913E39" w:rsidRDefault="00847F23" w:rsidP="00693B1A">
      <w:pPr>
        <w:spacing w:after="0" w:line="240" w:lineRule="auto"/>
        <w:ind w:firstLine="284"/>
        <w:jc w:val="both"/>
        <w:rPr>
          <w:rFonts w:ascii="Garamond" w:hAnsi="Garamond"/>
          <w:sz w:val="24"/>
        </w:rPr>
      </w:pPr>
      <w:r w:rsidRPr="00913E39">
        <w:rPr>
          <w:rFonts w:ascii="Garamond" w:hAnsi="Garamond"/>
          <w:sz w:val="24"/>
        </w:rPr>
        <w:t>Administrimi i tatimeve (në përgjithësi) dhe TVSH-së (në veçanti) në Shqipëri rregullohet nga dy ligje kryesore:</w:t>
      </w:r>
    </w:p>
    <w:p w14:paraId="148B343A" w14:textId="01B4CE02"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Ligji për procedurat tatimore në Republikën e Shqipërisë</w:t>
      </w:r>
      <w:r w:rsidRPr="00913E39">
        <w:rPr>
          <w:rFonts w:ascii="Garamond" w:hAnsi="Garamond"/>
          <w:sz w:val="24"/>
        </w:rPr>
        <w:t xml:space="preserve"> (</w:t>
      </w:r>
      <w:r w:rsidRPr="00913E39">
        <w:rPr>
          <w:rFonts w:ascii="Garamond" w:hAnsi="Garamond"/>
          <w:b/>
          <w:sz w:val="24"/>
        </w:rPr>
        <w:t>nr. 9920/2008</w:t>
      </w:r>
      <w:r w:rsidRPr="00913E39">
        <w:rPr>
          <w:rFonts w:ascii="Garamond" w:hAnsi="Garamond"/>
          <w:sz w:val="24"/>
        </w:rPr>
        <w:t>,</w:t>
      </w:r>
      <w:r w:rsidRPr="00913E39">
        <w:rPr>
          <w:rFonts w:ascii="Garamond" w:hAnsi="Garamond"/>
          <w:b/>
          <w:sz w:val="24"/>
        </w:rPr>
        <w:t xml:space="preserve"> </w:t>
      </w:r>
      <w:r w:rsidRPr="00913E39">
        <w:rPr>
          <w:rFonts w:ascii="Garamond" w:hAnsi="Garamond"/>
          <w:sz w:val="24"/>
        </w:rPr>
        <w:t>i ndryshuar)</w:t>
      </w:r>
      <w:r w:rsidRPr="00913E39">
        <w:rPr>
          <w:rFonts w:ascii="Garamond" w:hAnsi="Garamond"/>
          <w:sz w:val="24"/>
          <w:vertAlign w:val="superscript"/>
        </w:rPr>
        <w:footnoteReference w:id="21"/>
      </w:r>
      <w:r w:rsidRPr="00913E39">
        <w:rPr>
          <w:rFonts w:ascii="Garamond" w:hAnsi="Garamond"/>
          <w:sz w:val="24"/>
        </w:rPr>
        <w:t xml:space="preserve"> dhe </w:t>
      </w:r>
      <w:r w:rsidR="002879C8" w:rsidRPr="00913E39">
        <w:rPr>
          <w:rFonts w:ascii="Garamond" w:hAnsi="Garamond"/>
          <w:b/>
          <w:sz w:val="24"/>
        </w:rPr>
        <w:t>l</w:t>
      </w:r>
      <w:r w:rsidRPr="00913E39">
        <w:rPr>
          <w:rFonts w:ascii="Garamond" w:hAnsi="Garamond"/>
          <w:b/>
          <w:sz w:val="24"/>
        </w:rPr>
        <w:t>igji për tatimin mbi vlerën e shtuar në Republikën e Shqipërisë</w:t>
      </w:r>
      <w:r w:rsidRPr="00913E39">
        <w:rPr>
          <w:rFonts w:ascii="Garamond" w:hAnsi="Garamond"/>
          <w:sz w:val="24"/>
        </w:rPr>
        <w:t xml:space="preserve"> (</w:t>
      </w:r>
      <w:r w:rsidRPr="00913E39">
        <w:rPr>
          <w:rFonts w:ascii="Garamond" w:hAnsi="Garamond"/>
          <w:b/>
          <w:sz w:val="24"/>
        </w:rPr>
        <w:t>nr. 92/2014</w:t>
      </w:r>
      <w:r w:rsidRPr="00913E39">
        <w:rPr>
          <w:rFonts w:ascii="Garamond" w:hAnsi="Garamond"/>
          <w:sz w:val="24"/>
        </w:rPr>
        <w:t>, i ndryshuar)</w:t>
      </w:r>
      <w:r w:rsidRPr="00913E39">
        <w:rPr>
          <w:rFonts w:ascii="Garamond" w:hAnsi="Garamond"/>
          <w:sz w:val="24"/>
          <w:vertAlign w:val="superscript"/>
        </w:rPr>
        <w:footnoteReference w:id="22"/>
      </w:r>
      <w:r w:rsidRPr="00913E39">
        <w:rPr>
          <w:rFonts w:ascii="Garamond" w:hAnsi="Garamond"/>
          <w:sz w:val="24"/>
        </w:rPr>
        <w:t>. Ky i fundit (</w:t>
      </w:r>
      <w:r w:rsidR="00CE2A6B" w:rsidRPr="00913E39">
        <w:rPr>
          <w:rFonts w:ascii="Garamond" w:hAnsi="Garamond"/>
          <w:sz w:val="24"/>
        </w:rPr>
        <w:t>l</w:t>
      </w:r>
      <w:r w:rsidRPr="00913E39">
        <w:rPr>
          <w:rFonts w:ascii="Garamond" w:hAnsi="Garamond"/>
          <w:sz w:val="24"/>
        </w:rPr>
        <w:t xml:space="preserve">igji i TVSH-së) përafrohet pjesërisht me </w:t>
      </w:r>
      <w:r w:rsidR="009F231D" w:rsidRPr="00913E39">
        <w:rPr>
          <w:rFonts w:ascii="Garamond" w:hAnsi="Garamond"/>
          <w:sz w:val="24"/>
        </w:rPr>
        <w:t xml:space="preserve">direktivën </w:t>
      </w:r>
      <w:r w:rsidRPr="00913E39">
        <w:rPr>
          <w:rFonts w:ascii="Garamond" w:hAnsi="Garamond"/>
          <w:sz w:val="24"/>
        </w:rPr>
        <w:t xml:space="preserve">e Bashkimit Evropian </w:t>
      </w:r>
      <w:r w:rsidRPr="00913E39">
        <w:rPr>
          <w:rFonts w:ascii="Garamond" w:hAnsi="Garamond"/>
          <w:sz w:val="24"/>
        </w:rPr>
        <w:lastRenderedPageBreak/>
        <w:t xml:space="preserve">2006/112/KE </w:t>
      </w:r>
      <w:r w:rsidR="00850FC7" w:rsidRPr="00913E39">
        <w:rPr>
          <w:rFonts w:ascii="Garamond" w:eastAsia="Times New Roman" w:hAnsi="Garamond" w:cs="Times New Roman"/>
          <w:sz w:val="24"/>
          <w:szCs w:val="24"/>
        </w:rPr>
        <w:t>“</w:t>
      </w:r>
      <w:r w:rsidRPr="00913E39">
        <w:rPr>
          <w:rFonts w:ascii="Garamond" w:hAnsi="Garamond"/>
          <w:sz w:val="24"/>
        </w:rPr>
        <w:t xml:space="preserve">Për </w:t>
      </w:r>
      <w:r w:rsidR="009F231D" w:rsidRPr="00913E39">
        <w:rPr>
          <w:rFonts w:ascii="Garamond" w:hAnsi="Garamond"/>
          <w:sz w:val="24"/>
        </w:rPr>
        <w:t>sistemin e përbashkët të tatimit mbi vlerën e shtuar</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i ndryshuar. Sa i përket reformës për </w:t>
      </w:r>
      <w:r w:rsidR="009F231D" w:rsidRPr="00913E39">
        <w:rPr>
          <w:rFonts w:ascii="Garamond" w:hAnsi="Garamond"/>
          <w:sz w:val="24"/>
        </w:rPr>
        <w:t>f</w:t>
      </w:r>
      <w:r w:rsidRPr="00913E39">
        <w:rPr>
          <w:rFonts w:ascii="Garamond" w:hAnsi="Garamond"/>
          <w:sz w:val="24"/>
        </w:rPr>
        <w:t xml:space="preserve">iskalizimin (transmetimi i faturave elektronike në një platformë të centralizuar të faturimit në kohë reale), u prezantua një rregullore e re: </w:t>
      </w:r>
      <w:r w:rsidR="00BE2BB5" w:rsidRPr="00913E39">
        <w:rPr>
          <w:rFonts w:ascii="Garamond" w:hAnsi="Garamond"/>
          <w:b/>
          <w:sz w:val="24"/>
        </w:rPr>
        <w:t>l</w:t>
      </w:r>
      <w:r w:rsidRPr="00913E39">
        <w:rPr>
          <w:rFonts w:ascii="Garamond" w:hAnsi="Garamond"/>
          <w:b/>
          <w:sz w:val="24"/>
        </w:rPr>
        <w:t>igji për faturën dhe sistemi i monitorimit të qarkullimit</w:t>
      </w:r>
      <w:r w:rsidRPr="00913E39">
        <w:rPr>
          <w:rFonts w:ascii="Garamond" w:hAnsi="Garamond"/>
          <w:sz w:val="24"/>
        </w:rPr>
        <w:t xml:space="preserve"> (</w:t>
      </w:r>
      <w:r w:rsidRPr="00913E39">
        <w:rPr>
          <w:rFonts w:ascii="Garamond" w:hAnsi="Garamond"/>
          <w:b/>
          <w:sz w:val="24"/>
        </w:rPr>
        <w:t>nr. 87/2019)</w:t>
      </w:r>
      <w:r w:rsidRPr="00913E39">
        <w:rPr>
          <w:rFonts w:ascii="Garamond" w:hAnsi="Garamond"/>
          <w:sz w:val="24"/>
          <w:vertAlign w:val="superscript"/>
        </w:rPr>
        <w:footnoteReference w:id="23"/>
      </w:r>
      <w:r w:rsidRPr="00913E39">
        <w:rPr>
          <w:rFonts w:ascii="Garamond" w:hAnsi="Garamond"/>
          <w:sz w:val="24"/>
        </w:rPr>
        <w:t>.</w:t>
      </w:r>
    </w:p>
    <w:p w14:paraId="3B5F5DAD" w14:textId="5A49DED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Republika e Shqipërisë rregullon mbrojtjen e të dhënave personale në zbatim të </w:t>
      </w:r>
      <w:r w:rsidR="000F0BAF" w:rsidRPr="00913E39">
        <w:rPr>
          <w:rFonts w:ascii="Garamond" w:hAnsi="Garamond"/>
          <w:b/>
          <w:sz w:val="24"/>
        </w:rPr>
        <w:t>l</w:t>
      </w:r>
      <w:r w:rsidRPr="00913E39">
        <w:rPr>
          <w:rFonts w:ascii="Garamond" w:hAnsi="Garamond"/>
          <w:b/>
          <w:sz w:val="24"/>
        </w:rPr>
        <w:t>igjit për Mbrojtjen e të Dhënave Personale (nr. 9887/2008,</w:t>
      </w:r>
      <w:r w:rsidRPr="00913E39">
        <w:rPr>
          <w:rFonts w:ascii="Garamond" w:hAnsi="Garamond"/>
          <w:sz w:val="24"/>
        </w:rPr>
        <w:t xml:space="preserve"> i ndryshuar)</w:t>
      </w:r>
      <w:r w:rsidRPr="00913E39">
        <w:rPr>
          <w:rFonts w:ascii="Garamond" w:hAnsi="Garamond"/>
          <w:sz w:val="24"/>
          <w:vertAlign w:val="superscript"/>
        </w:rPr>
        <w:footnoteReference w:id="24"/>
      </w:r>
      <w:r w:rsidRPr="00913E39">
        <w:rPr>
          <w:rFonts w:ascii="Garamond" w:hAnsi="Garamond"/>
          <w:sz w:val="24"/>
        </w:rPr>
        <w:t xml:space="preserve"> </w:t>
      </w:r>
      <w:r w:rsidRPr="00913E39">
        <w:rPr>
          <w:rFonts w:ascii="Garamond" w:eastAsia="Times New Roman" w:hAnsi="Garamond" w:cs="Times New Roman"/>
          <w:sz w:val="24"/>
          <w:szCs w:val="24"/>
        </w:rPr>
        <w:t>(</w:t>
      </w:r>
      <w:r w:rsidR="00850FC7" w:rsidRPr="00913E39">
        <w:rPr>
          <w:rFonts w:ascii="Garamond" w:eastAsia="Times New Roman" w:hAnsi="Garamond" w:cs="Times New Roman"/>
          <w:sz w:val="24"/>
          <w:szCs w:val="24"/>
        </w:rPr>
        <w:t>“</w:t>
      </w:r>
      <w:r w:rsidRPr="00913E39">
        <w:rPr>
          <w:rFonts w:ascii="Garamond" w:hAnsi="Garamond"/>
          <w:sz w:val="24"/>
        </w:rPr>
        <w:t>Ligji për mbrojtjen e të dhënave</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Ligji për </w:t>
      </w:r>
      <w:r w:rsidR="009F231D" w:rsidRPr="00913E39">
        <w:rPr>
          <w:rFonts w:ascii="Garamond" w:hAnsi="Garamond"/>
          <w:sz w:val="24"/>
        </w:rPr>
        <w:t xml:space="preserve">mbrojtjen e të dhënave </w:t>
      </w:r>
      <w:r w:rsidRPr="00913E39">
        <w:rPr>
          <w:rFonts w:ascii="Garamond" w:hAnsi="Garamond"/>
          <w:sz w:val="24"/>
        </w:rPr>
        <w:t xml:space="preserve">u ndryshua për herë të fundit në vitin 2014, kështu që ende nuk është harmonizuar me </w:t>
      </w:r>
      <w:r w:rsidR="009F231D" w:rsidRPr="00913E39">
        <w:rPr>
          <w:rFonts w:ascii="Garamond" w:hAnsi="Garamond"/>
          <w:sz w:val="24"/>
        </w:rPr>
        <w:t>r</w:t>
      </w:r>
      <w:r w:rsidRPr="00913E39">
        <w:rPr>
          <w:rFonts w:ascii="Garamond" w:hAnsi="Garamond"/>
          <w:sz w:val="24"/>
        </w:rPr>
        <w:t xml:space="preserve">regulloren (BE) 2016/679 të Parlamentit dhe Këshillit Evropian të vitit 2016 për mbrojtjen e personave fizikë në lidhje me përpunimin e të dhënave personale dhe mbi lëvizjen e lirë të të dhënave </w:t>
      </w:r>
      <w:r w:rsidRPr="00913E39">
        <w:rPr>
          <w:rFonts w:ascii="Garamond" w:eastAsia="Times New Roman" w:hAnsi="Garamond" w:cs="Times New Roman"/>
          <w:sz w:val="24"/>
          <w:szCs w:val="24"/>
        </w:rPr>
        <w:t>(</w:t>
      </w:r>
      <w:r w:rsidR="00850FC7" w:rsidRPr="00913E39">
        <w:rPr>
          <w:rFonts w:ascii="Garamond" w:eastAsia="Times New Roman" w:hAnsi="Garamond" w:cs="Times New Roman"/>
          <w:sz w:val="24"/>
          <w:szCs w:val="24"/>
        </w:rPr>
        <w:t>“</w:t>
      </w:r>
      <w:r w:rsidRPr="00913E39">
        <w:rPr>
          <w:rFonts w:ascii="Garamond" w:hAnsi="Garamond"/>
          <w:sz w:val="24"/>
        </w:rPr>
        <w:t>GDPR</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Harmonizimi i plotë i legjislacionit aktual shqiptar në fuqi për mbrojtjen e të dhënave me GDPR ka qenë një nga objektivat kryesor</w:t>
      </w:r>
      <w:r w:rsidR="00FB608D" w:rsidRPr="00913E39">
        <w:rPr>
          <w:rFonts w:ascii="Garamond" w:hAnsi="Garamond"/>
          <w:sz w:val="24"/>
        </w:rPr>
        <w:t>ë</w:t>
      </w:r>
      <w:r w:rsidRPr="00913E39">
        <w:rPr>
          <w:rFonts w:ascii="Garamond" w:hAnsi="Garamond"/>
          <w:sz w:val="24"/>
        </w:rPr>
        <w:t xml:space="preserve"> të Zyrës së Komisionerit për Mbrojtjen e të Dhënave dhe Informimin që nga viti 2018, megjithatë ky objektiv ende nuk është arritur (pjesërisht për shkak të pandemisë COVID-19).</w:t>
      </w:r>
    </w:p>
    <w:p w14:paraId="5499900F" w14:textId="02B53BD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Më 28 janar 2022, Shqipëria nënshkroi </w:t>
      </w:r>
      <w:r w:rsidR="000F0BAF" w:rsidRPr="00913E39">
        <w:rPr>
          <w:rFonts w:ascii="Garamond" w:hAnsi="Garamond"/>
          <w:sz w:val="24"/>
        </w:rPr>
        <w:t>p</w:t>
      </w:r>
      <w:r w:rsidRPr="00913E39">
        <w:rPr>
          <w:rFonts w:ascii="Garamond" w:hAnsi="Garamond"/>
          <w:sz w:val="24"/>
        </w:rPr>
        <w:t xml:space="preserve">rotokollin për ndryshimin e Konventës për Mbrojtjen e Individëve në lidhje me Përpunimin Automatik të të Dhënave Personale, i cili më pas u ratifikua me </w:t>
      </w:r>
      <w:r w:rsidR="000F0BAF" w:rsidRPr="00913E39">
        <w:rPr>
          <w:rFonts w:ascii="Garamond" w:hAnsi="Garamond"/>
          <w:b/>
          <w:sz w:val="24"/>
        </w:rPr>
        <w:t xml:space="preserve">ligjin për ratifikimin e protokollit që </w:t>
      </w:r>
      <w:r w:rsidRPr="00913E39">
        <w:rPr>
          <w:rFonts w:ascii="Garamond" w:hAnsi="Garamond"/>
          <w:b/>
          <w:sz w:val="24"/>
        </w:rPr>
        <w:t>ndryshon Konventën për Mbrojtjen e Individëve</w:t>
      </w:r>
      <w:r w:rsidRPr="00913E39">
        <w:rPr>
          <w:rFonts w:ascii="Garamond" w:hAnsi="Garamond"/>
          <w:sz w:val="24"/>
        </w:rPr>
        <w:t xml:space="preserve"> (</w:t>
      </w:r>
      <w:r w:rsidRPr="00913E39">
        <w:rPr>
          <w:rFonts w:ascii="Garamond" w:hAnsi="Garamond"/>
          <w:b/>
          <w:sz w:val="24"/>
        </w:rPr>
        <w:t>nr. 49 /2022)</w:t>
      </w:r>
      <w:r w:rsidRPr="00913E39">
        <w:rPr>
          <w:rFonts w:ascii="Garamond" w:hAnsi="Garamond"/>
          <w:sz w:val="24"/>
        </w:rPr>
        <w:t xml:space="preserve"> në lidhje me Përpunimin Automatik të të Dhënave Personale. Në qershor 2022, Ministria e Drejtësisë të Republikës së Shqipërisë nisi një proces konsultimi publik për projektligjin </w:t>
      </w:r>
      <w:r w:rsidR="00850FC7" w:rsidRPr="00913E39">
        <w:rPr>
          <w:rFonts w:ascii="Garamond" w:hAnsi="Garamond"/>
          <w:sz w:val="24"/>
        </w:rPr>
        <w:t>“</w:t>
      </w:r>
      <w:r w:rsidRPr="00913E39">
        <w:rPr>
          <w:rFonts w:ascii="Garamond" w:hAnsi="Garamond"/>
          <w:sz w:val="24"/>
        </w:rPr>
        <w:t>Për mbrojtjen e të dhënave personale</w:t>
      </w:r>
      <w:r w:rsidR="00850FC7" w:rsidRPr="00913E39">
        <w:rPr>
          <w:rFonts w:ascii="Garamond" w:hAnsi="Garamond"/>
          <w:sz w:val="24"/>
        </w:rPr>
        <w:t>”</w:t>
      </w:r>
      <w:r w:rsidR="00471D08" w:rsidRPr="00913E39">
        <w:rPr>
          <w:rFonts w:ascii="Garamond" w:hAnsi="Garamond"/>
          <w:sz w:val="24"/>
        </w:rPr>
        <w:t>,</w:t>
      </w:r>
      <w:r w:rsidRPr="00913E39">
        <w:rPr>
          <w:rFonts w:ascii="Garamond" w:hAnsi="Garamond"/>
          <w:sz w:val="24"/>
        </w:rPr>
        <w:t xml:space="preserve"> i cili është i përafruar me GDPR-në. Ky projektligj ende nuk është miratuar nga Kuvendi i Shqipërisë.</w:t>
      </w:r>
    </w:p>
    <w:p w14:paraId="223883F7" w14:textId="4DD2DF46"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D84C4E" w:rsidRPr="00913E39">
        <w:rPr>
          <w:rFonts w:ascii="Garamond" w:hAnsi="Garamond"/>
          <w:i/>
          <w:sz w:val="24"/>
        </w:rPr>
        <w:t>f</w:t>
      </w:r>
      <w:r w:rsidRPr="00913E39">
        <w:rPr>
          <w:rFonts w:ascii="Garamond" w:hAnsi="Garamond"/>
          <w:i/>
          <w:sz w:val="24"/>
        </w:rPr>
        <w:t>usha e mbështetjes 2.2: Siguria kibernetike</w:t>
      </w:r>
    </w:p>
    <w:p w14:paraId="6D2B5F83"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Legjislacioni kryesor në lidhje me krimin kibernetik është si më poshtë: </w:t>
      </w:r>
    </w:p>
    <w:p w14:paraId="33FC1B0D"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Ligji për Kodin Penal të Republikës së Shqipërisë</w:t>
      </w:r>
      <w:r w:rsidRPr="00913E39">
        <w:rPr>
          <w:rFonts w:ascii="Garamond" w:hAnsi="Garamond"/>
          <w:sz w:val="24"/>
        </w:rPr>
        <w:t xml:space="preserve"> (</w:t>
      </w:r>
      <w:r w:rsidRPr="00913E39">
        <w:rPr>
          <w:rFonts w:ascii="Garamond" w:hAnsi="Garamond"/>
          <w:b/>
          <w:sz w:val="24"/>
        </w:rPr>
        <w:t>nr. 7895/1995</w:t>
      </w:r>
      <w:r w:rsidRPr="00913E39">
        <w:rPr>
          <w:rFonts w:ascii="Garamond" w:hAnsi="Garamond"/>
          <w:sz w:val="24"/>
        </w:rPr>
        <w:t>, i ndryshuar). Kodi Penal bazohet në Kushtetutën e Republikës së Shqipërisë, në parimet e përgjithshme të së drejtës penale ndërkombëtare dhe në traktatet ndërkombëtare të ratifikuara nga shteti shqiptar. Kodi Penal përbëhet nga ky Kod dhe ligjet e tjera që rregullojnë veprat penale. Legjislacioni penal i Republikës së Shqipërisë ka për detyrë të mbrojë shtetin dhe të gjithë territorin e tij, dinjitetin e njeriut, të drejtat dhe liritë e njeriut, rendin kushtetues, pronën, mjedisin, bashkëjetesën e shqiptarëve dhe mirëkuptimin e shqiptarëve me pakicat kombëtare, si dhe bashkëjetesën fetare nga aktet kriminale dhe të parandalojë këto të fundit.</w:t>
      </w:r>
    </w:p>
    <w:p w14:paraId="69A6A24E" w14:textId="5937275E"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Ligji për </w:t>
      </w:r>
      <w:r w:rsidR="00A45EB0" w:rsidRPr="00913E39">
        <w:rPr>
          <w:rFonts w:ascii="Garamond" w:hAnsi="Garamond"/>
          <w:b/>
          <w:sz w:val="24"/>
        </w:rPr>
        <w:t>sigurinë kibernetike</w:t>
      </w:r>
      <w:r w:rsidR="00A45EB0" w:rsidRPr="00913E39">
        <w:rPr>
          <w:rFonts w:ascii="Garamond" w:hAnsi="Garamond"/>
          <w:sz w:val="24"/>
        </w:rPr>
        <w:t xml:space="preserve"> </w:t>
      </w:r>
      <w:r w:rsidRPr="00913E39">
        <w:rPr>
          <w:rFonts w:ascii="Garamond" w:hAnsi="Garamond"/>
          <w:b/>
          <w:sz w:val="24"/>
        </w:rPr>
        <w:t>(nr. 2/2017)</w:t>
      </w:r>
      <w:r w:rsidRPr="00913E39">
        <w:rPr>
          <w:rFonts w:ascii="Garamond" w:hAnsi="Garamond"/>
          <w:sz w:val="24"/>
        </w:rPr>
        <w:t>.</w:t>
      </w:r>
      <w:r w:rsidRPr="00913E39">
        <w:rPr>
          <w:rFonts w:ascii="Garamond" w:hAnsi="Garamond"/>
          <w:b/>
          <w:sz w:val="24"/>
        </w:rPr>
        <w:t xml:space="preserve"> </w:t>
      </w:r>
      <w:r w:rsidRPr="00913E39">
        <w:rPr>
          <w:rFonts w:ascii="Garamond" w:hAnsi="Garamond"/>
          <w:sz w:val="24"/>
        </w:rPr>
        <w:t>Qëllimi i këtij ligji është arritja e një niveli të lartë të sigurisë kibernetike duke vendosur masa sigurie, të drejta, detyrime dhe bashkëpunim të ndërsjellë ndërmjet subjekteve që punojnë në fushën e sigurisë kibernetike. Ky ligj zbatohet për rrjetet e komunikimit dhe sistemet e informacionit, cenimi ose shkatërrimi i të cilave do të ndikonte në shëndetin, sigurinë, prosperitetin e qytetarëve dhe funksionimin efektiv të ekonomisë në Republikën e Shqipërisë. Përjashtohen nga zbatimi i këtij ligji rrjetet e komunikimit elektronik dhe sistemet e informacionit që i nënshtrohen legjislacionit në fuqi për nënshkrimet elektronike, identifikimin elektronik dhe shërbimet e besueshme, rrjetet e komunikimit elektronik dhe sistemet e informacionit për përpunimin, arkivimin ose transmetimin e informacionit të klasifikuar të shtetit, si dhe rrjetet e komunikimit elektronik dhe sistemet e informacionit në masën e parashikuar në legjislacionin për komunikimet elektronike në Republikën e Shqipërisë.</w:t>
      </w:r>
    </w:p>
    <w:p w14:paraId="38AD6959" w14:textId="4CE5EB74"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Ligji për </w:t>
      </w:r>
      <w:r w:rsidR="00A45EB0" w:rsidRPr="00913E39">
        <w:rPr>
          <w:rFonts w:ascii="Garamond" w:hAnsi="Garamond"/>
          <w:b/>
          <w:sz w:val="24"/>
        </w:rPr>
        <w:t xml:space="preserve">komunikimet elektronike </w:t>
      </w:r>
      <w:r w:rsidRPr="00913E39">
        <w:rPr>
          <w:rFonts w:ascii="Garamond" w:hAnsi="Garamond"/>
          <w:b/>
          <w:sz w:val="24"/>
        </w:rPr>
        <w:t>në Republikën e Shqipërisë</w:t>
      </w:r>
      <w:r w:rsidRPr="00913E39">
        <w:rPr>
          <w:rFonts w:ascii="Garamond" w:hAnsi="Garamond"/>
          <w:sz w:val="24"/>
        </w:rPr>
        <w:t xml:space="preserve"> (</w:t>
      </w:r>
      <w:r w:rsidRPr="00913E39">
        <w:rPr>
          <w:rFonts w:ascii="Garamond" w:hAnsi="Garamond"/>
          <w:b/>
          <w:sz w:val="24"/>
        </w:rPr>
        <w:t>nr. 9918/2014</w:t>
      </w:r>
      <w:r w:rsidRPr="00913E39">
        <w:rPr>
          <w:rFonts w:ascii="Garamond" w:hAnsi="Garamond"/>
          <w:sz w:val="24"/>
        </w:rPr>
        <w:t xml:space="preserve"> i ndryshuar). Qëllimi i këtij ligji është që nëpërmjet parimit të asnjanësisë teknologjike të promovojë konkurrencë dhe infrastrukturë efi</w:t>
      </w:r>
      <w:r w:rsidR="00A45EB0" w:rsidRPr="00913E39">
        <w:rPr>
          <w:rFonts w:ascii="Garamond" w:hAnsi="Garamond"/>
          <w:sz w:val="24"/>
        </w:rPr>
        <w:t>ci</w:t>
      </w:r>
      <w:r w:rsidRPr="00913E39">
        <w:rPr>
          <w:rFonts w:ascii="Garamond" w:hAnsi="Garamond"/>
          <w:sz w:val="24"/>
        </w:rPr>
        <w:t xml:space="preserve">ente në komunikimet elektronike dhe të garantojë shërbimet e duhura dhe të përshtatshme në territorin e Republikës së Shqipërisë. </w:t>
      </w:r>
    </w:p>
    <w:p w14:paraId="6FAF3B18" w14:textId="43AFC48A"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Ligji për </w:t>
      </w:r>
      <w:r w:rsidR="00F46B23" w:rsidRPr="00913E39">
        <w:rPr>
          <w:rFonts w:ascii="Garamond" w:hAnsi="Garamond"/>
          <w:b/>
          <w:sz w:val="24"/>
        </w:rPr>
        <w:t>mbrojtjen e të dhënave personale</w:t>
      </w:r>
      <w:r w:rsidR="00F46B23" w:rsidRPr="00913E39">
        <w:rPr>
          <w:rFonts w:ascii="Garamond" w:hAnsi="Garamond"/>
          <w:sz w:val="24"/>
        </w:rPr>
        <w:t xml:space="preserve"> </w:t>
      </w:r>
      <w:r w:rsidRPr="00913E39">
        <w:rPr>
          <w:rFonts w:ascii="Garamond" w:hAnsi="Garamond"/>
          <w:sz w:val="24"/>
        </w:rPr>
        <w:t>(</w:t>
      </w:r>
      <w:r w:rsidRPr="00913E39">
        <w:rPr>
          <w:rFonts w:ascii="Garamond" w:hAnsi="Garamond"/>
          <w:b/>
          <w:sz w:val="24"/>
        </w:rPr>
        <w:t>nr. 9887/2008</w:t>
      </w:r>
      <w:r w:rsidR="00F46B23" w:rsidRPr="00913E39">
        <w:rPr>
          <w:rFonts w:ascii="Garamond" w:hAnsi="Garamond"/>
          <w:sz w:val="24"/>
        </w:rPr>
        <w:t>,</w:t>
      </w:r>
      <w:r w:rsidRPr="00913E39">
        <w:rPr>
          <w:rFonts w:ascii="Garamond" w:hAnsi="Garamond"/>
          <w:sz w:val="24"/>
        </w:rPr>
        <w:t xml:space="preserve"> i ndryshuar). Qëllimi i këtij ligji është vendosja e rregullave për mbrojtjen ligjore dhe përpunimin e të dhënave personale. Sipas këtij ligji, përpunimi ligjor i të dhënave personale do të kryhet duke respektuar dhe garantuar të drejtat dhe liritë themelore të individëve, dhe në veçanti të drejtën e privatësisë.</w:t>
      </w:r>
    </w:p>
    <w:p w14:paraId="307AF7AA" w14:textId="04355975"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lastRenderedPageBreak/>
        <w:t>Ligji për informacionin e klasifikuar</w:t>
      </w:r>
      <w:r w:rsidRPr="00913E39">
        <w:rPr>
          <w:rFonts w:ascii="Garamond" w:hAnsi="Garamond"/>
          <w:sz w:val="24"/>
        </w:rPr>
        <w:t xml:space="preserve"> (</w:t>
      </w:r>
      <w:r w:rsidRPr="00913E39">
        <w:rPr>
          <w:rFonts w:ascii="Garamond" w:hAnsi="Garamond"/>
          <w:b/>
          <w:sz w:val="24"/>
        </w:rPr>
        <w:t>nr. 8457/1999</w:t>
      </w:r>
      <w:r w:rsidRPr="00913E39">
        <w:rPr>
          <w:rFonts w:ascii="Garamond" w:hAnsi="Garamond"/>
          <w:sz w:val="24"/>
        </w:rPr>
        <w:t xml:space="preserve"> i ndryshuar). Objekti i këtij ligji është përcaktimi i rregullave për krijimin, administrimin, deklasifikimin, zhvlerësimin dhe mbikëqyrjen e informacionit të klasifikuar, që do të konsiderohet sekret shtetëror. Ky ligj zbatohet për të gjitha institucionet shtetërore apo qendrore ose të varësisë, për organet e drejtësisë, prokurorisë dhe/ose personat juridikë/fizikë, personat me imunitet, kur për ushtrimin e detyrave të tyre, duhet të kenë akses në informacionin e klasifikuar – </w:t>
      </w:r>
      <w:r w:rsidR="00850FC7" w:rsidRPr="00913E39">
        <w:rPr>
          <w:rFonts w:ascii="Garamond" w:hAnsi="Garamond"/>
          <w:sz w:val="24"/>
        </w:rPr>
        <w:t>“</w:t>
      </w:r>
      <w:r w:rsidRPr="00913E39">
        <w:rPr>
          <w:rFonts w:ascii="Garamond" w:hAnsi="Garamond"/>
          <w:sz w:val="24"/>
        </w:rPr>
        <w:t>sekret shtetëror</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Në bazë të </w:t>
      </w:r>
      <w:r w:rsidR="00F46B23" w:rsidRPr="00913E39">
        <w:rPr>
          <w:rFonts w:ascii="Garamond" w:hAnsi="Garamond"/>
          <w:b/>
          <w:sz w:val="24"/>
        </w:rPr>
        <w:t>ligjit për informacionin e klasifikuar</w:t>
      </w:r>
      <w:r w:rsidR="00F46B23" w:rsidRPr="00913E39">
        <w:rPr>
          <w:rFonts w:ascii="Garamond" w:hAnsi="Garamond"/>
          <w:sz w:val="24"/>
        </w:rPr>
        <w:t xml:space="preserve"> (</w:t>
      </w:r>
      <w:r w:rsidR="00F46B23" w:rsidRPr="00913E39">
        <w:rPr>
          <w:rFonts w:ascii="Garamond" w:hAnsi="Garamond"/>
          <w:b/>
          <w:sz w:val="24"/>
        </w:rPr>
        <w:t xml:space="preserve">nr. </w:t>
      </w:r>
      <w:r w:rsidRPr="00913E39">
        <w:rPr>
          <w:rFonts w:ascii="Garamond" w:hAnsi="Garamond"/>
          <w:b/>
          <w:sz w:val="24"/>
        </w:rPr>
        <w:t>8457/1999)</w:t>
      </w:r>
      <w:r w:rsidRPr="00913E39">
        <w:rPr>
          <w:rFonts w:ascii="Garamond" w:hAnsi="Garamond"/>
          <w:sz w:val="24"/>
        </w:rPr>
        <w:t xml:space="preserve"> i ndryshuar me </w:t>
      </w:r>
      <w:r w:rsidR="00F46B23" w:rsidRPr="00913E39">
        <w:rPr>
          <w:rFonts w:ascii="Garamond" w:hAnsi="Garamond"/>
          <w:b/>
          <w:sz w:val="24"/>
        </w:rPr>
        <w:t xml:space="preserve">ligjin </w:t>
      </w:r>
      <w:r w:rsidRPr="00913E39">
        <w:rPr>
          <w:rFonts w:ascii="Garamond" w:hAnsi="Garamond"/>
          <w:b/>
          <w:sz w:val="24"/>
        </w:rPr>
        <w:t xml:space="preserve">për disa ndryshime dhe rregullime në </w:t>
      </w:r>
      <w:r w:rsidR="00F46B23" w:rsidRPr="00913E39">
        <w:rPr>
          <w:rFonts w:ascii="Garamond" w:hAnsi="Garamond"/>
          <w:b/>
          <w:sz w:val="24"/>
        </w:rPr>
        <w:t xml:space="preserve">ligjin </w:t>
      </w:r>
      <w:r w:rsidRPr="00913E39">
        <w:rPr>
          <w:rFonts w:ascii="Garamond" w:hAnsi="Garamond"/>
          <w:b/>
          <w:sz w:val="24"/>
        </w:rPr>
        <w:t>nr. 8457/1999</w:t>
      </w:r>
      <w:r w:rsidRPr="00913E39">
        <w:rPr>
          <w:rFonts w:ascii="Garamond" w:hAnsi="Garamond"/>
          <w:sz w:val="24"/>
        </w:rPr>
        <w:t xml:space="preserve"> (</w:t>
      </w:r>
      <w:r w:rsidRPr="00913E39">
        <w:rPr>
          <w:rFonts w:ascii="Garamond" w:hAnsi="Garamond"/>
          <w:b/>
          <w:sz w:val="24"/>
        </w:rPr>
        <w:t>nr. 9541/2006</w:t>
      </w:r>
      <w:r w:rsidRPr="00913E39">
        <w:rPr>
          <w:rFonts w:ascii="Garamond" w:hAnsi="Garamond"/>
          <w:sz w:val="24"/>
        </w:rPr>
        <w:t>), u krijua Drejtoria e Sigurimit të Informacionit të Klasifikuar.</w:t>
      </w:r>
    </w:p>
    <w:p w14:paraId="787BF69E" w14:textId="3BB7BF46"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Ligji për </w:t>
      </w:r>
      <w:r w:rsidR="00F46B23" w:rsidRPr="00913E39">
        <w:rPr>
          <w:rFonts w:ascii="Garamond" w:hAnsi="Garamond"/>
          <w:b/>
          <w:sz w:val="24"/>
        </w:rPr>
        <w:t xml:space="preserve">nënshkrimin elektronik </w:t>
      </w:r>
      <w:r w:rsidRPr="00913E39">
        <w:rPr>
          <w:rFonts w:ascii="Garamond" w:hAnsi="Garamond"/>
          <w:b/>
          <w:sz w:val="24"/>
        </w:rPr>
        <w:t>(nr. 9880/2008</w:t>
      </w:r>
      <w:r w:rsidRPr="00913E39">
        <w:rPr>
          <w:rFonts w:ascii="Garamond" w:hAnsi="Garamond"/>
          <w:sz w:val="24"/>
        </w:rPr>
        <w:t>, i ndryshuar). Qëllimi i këtij ligji është krijimi i kuadrit ligjor të nevojshëm për njohjen dhe përdorimin e nënshkrimeve elektronike në Republikën e Shqipërisë.</w:t>
      </w:r>
    </w:p>
    <w:p w14:paraId="46B0FEA3" w14:textId="5436EDB3"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Ligji për </w:t>
      </w:r>
      <w:r w:rsidR="00F46B23" w:rsidRPr="00913E39">
        <w:rPr>
          <w:rFonts w:ascii="Garamond" w:hAnsi="Garamond"/>
          <w:b/>
          <w:sz w:val="24"/>
        </w:rPr>
        <w:t xml:space="preserve">identifikimin elektronik dhe shërbimet e besuara </w:t>
      </w:r>
      <w:r w:rsidRPr="00913E39">
        <w:rPr>
          <w:rFonts w:ascii="Garamond" w:hAnsi="Garamond"/>
          <w:b/>
          <w:sz w:val="24"/>
        </w:rPr>
        <w:t>(nr. 107/2015</w:t>
      </w:r>
      <w:r w:rsidRPr="00913E39">
        <w:rPr>
          <w:rFonts w:ascii="Garamond" w:hAnsi="Garamond"/>
          <w:sz w:val="24"/>
        </w:rPr>
        <w:t>, i ndryshuar). Në këtë kontekst, legjislacioni i sigurisë kibernetike duhet të harmonizohet me legjislacionin e BE-së për të siguruar një mekanizëm të plotë dhe të kodifikuar për t</w:t>
      </w:r>
      <w:r w:rsidR="005222A5" w:rsidRPr="00913E39">
        <w:rPr>
          <w:rFonts w:ascii="Garamond" w:hAnsi="Garamond"/>
          <w:sz w:val="24"/>
        </w:rPr>
        <w:t>’</w:t>
      </w:r>
      <w:r w:rsidRPr="00913E39">
        <w:rPr>
          <w:rFonts w:ascii="Garamond" w:hAnsi="Garamond"/>
          <w:sz w:val="24"/>
        </w:rPr>
        <w:t xml:space="preserve">i ditur dhe zgjidhur çështjet në mënyrë të përshtatshme. Përveç kësaj, mekanizmat ndërkombëtarë të sigurisë kibernetike duhet të përdoren, nënshkruhen, ratifikohen dhe zbatohen aty ku është e mundur, duke përfshirë alokimin e burimeve të mjaftueshme bazuar në prioritetet kombëtare, analizimin e zhvillimeve teknologjike dhe zbatimin e parimeve të teknologjisë </w:t>
      </w:r>
      <w:r w:rsidR="00F46B23" w:rsidRPr="00913E39">
        <w:rPr>
          <w:rFonts w:ascii="Garamond" w:hAnsi="Garamond"/>
          <w:sz w:val="24"/>
        </w:rPr>
        <w:t>asnjanëse</w:t>
      </w:r>
      <w:r w:rsidRPr="00913E39">
        <w:rPr>
          <w:rFonts w:ascii="Garamond" w:hAnsi="Garamond"/>
          <w:sz w:val="24"/>
        </w:rPr>
        <w:t>.</w:t>
      </w:r>
    </w:p>
    <w:p w14:paraId="0F259B25" w14:textId="3C9E868F"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F46B23" w:rsidRPr="00913E39">
        <w:rPr>
          <w:rFonts w:ascii="Garamond" w:hAnsi="Garamond"/>
          <w:i/>
          <w:sz w:val="24"/>
        </w:rPr>
        <w:t>f</w:t>
      </w:r>
      <w:r w:rsidRPr="00913E39">
        <w:rPr>
          <w:rFonts w:ascii="Garamond" w:hAnsi="Garamond"/>
          <w:i/>
          <w:sz w:val="24"/>
        </w:rPr>
        <w:t>usha e mbështetjes 2.3: Ndërlidhja digjitale</w:t>
      </w:r>
    </w:p>
    <w:p w14:paraId="30BD8B72" w14:textId="0D953A0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Kuadri ligjor në sektorin e telekomunikacionit përfshin ligjin parësor për komunikimet elektronike, ligjin për krijimin e rrjeteve të komunikimeve elektronike me shpejtësi të lartë dhe për sigurimin e të drejtave të kalimit</w:t>
      </w:r>
      <w:r w:rsidR="00961102" w:rsidRPr="00913E39">
        <w:rPr>
          <w:rFonts w:ascii="Garamond" w:hAnsi="Garamond"/>
          <w:sz w:val="24"/>
        </w:rPr>
        <w:t>,</w:t>
      </w:r>
      <w:r w:rsidRPr="00913E39">
        <w:rPr>
          <w:rFonts w:ascii="Garamond" w:hAnsi="Garamond"/>
          <w:sz w:val="24"/>
        </w:rPr>
        <w:t xml:space="preserve"> si dhe një sërë aktesh nënligjore për çështje të ndryshme rregullatore në tregun e komunikimeve elektronike. Kuadri ligjor është i rëndësishëm për të dy komponentët:</w:t>
      </w:r>
    </w:p>
    <w:p w14:paraId="729B664F" w14:textId="02514E4C"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 xml:space="preserve">Komponenti 1: Ligji i </w:t>
      </w:r>
      <w:r w:rsidR="00F46B23" w:rsidRPr="00913E39">
        <w:rPr>
          <w:rFonts w:ascii="Garamond" w:hAnsi="Garamond"/>
          <w:i/>
          <w:sz w:val="24"/>
        </w:rPr>
        <w:t xml:space="preserve">infrastrukturës gigabit </w:t>
      </w:r>
      <w:r w:rsidRPr="00913E39">
        <w:rPr>
          <w:rFonts w:ascii="Garamond" w:hAnsi="Garamond"/>
          <w:i/>
          <w:sz w:val="24"/>
        </w:rPr>
        <w:t>dhe masat zbatuese të tij</w:t>
      </w:r>
    </w:p>
    <w:p w14:paraId="4EB0D2FE" w14:textId="7E41D933"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Komponenti 2: Zbatimi i rasteve të përdorimit të 5G për komunitetin digjital, si dhe masat e instrumentit 5G</w:t>
      </w:r>
    </w:p>
    <w:p w14:paraId="709B427F" w14:textId="77259A65"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Ligji për komunikimet elektronike në Republikën e Shqipërisë</w:t>
      </w:r>
      <w:r w:rsidRPr="00913E39">
        <w:rPr>
          <w:rFonts w:ascii="Garamond" w:hAnsi="Garamond"/>
          <w:sz w:val="24"/>
        </w:rPr>
        <w:t xml:space="preserve"> (</w:t>
      </w:r>
      <w:r w:rsidRPr="00913E39">
        <w:rPr>
          <w:rFonts w:ascii="Garamond" w:hAnsi="Garamond"/>
          <w:b/>
          <w:sz w:val="24"/>
        </w:rPr>
        <w:t>nr. 9918/2008</w:t>
      </w:r>
      <w:r w:rsidR="00711F23" w:rsidRPr="00913E39">
        <w:rPr>
          <w:rFonts w:ascii="Garamond" w:hAnsi="Garamond"/>
          <w:sz w:val="24"/>
        </w:rPr>
        <w:t>,</w:t>
      </w:r>
      <w:r w:rsidRPr="00913E39">
        <w:rPr>
          <w:rFonts w:ascii="Garamond" w:hAnsi="Garamond"/>
          <w:sz w:val="24"/>
        </w:rPr>
        <w:t xml:space="preserve"> i ndryshuar) bazohet në paketën e komunikimit elektronik të BE-së të vitit 2002, ndryshuar me direktivat e vitit 2009. Në vitin 2008, </w:t>
      </w:r>
      <w:r w:rsidR="00F46B23" w:rsidRPr="00913E39">
        <w:rPr>
          <w:rFonts w:ascii="Garamond" w:hAnsi="Garamond"/>
          <w:sz w:val="24"/>
        </w:rPr>
        <w:t xml:space="preserve">ligji i komunikimeve elektronike </w:t>
      </w:r>
      <w:r w:rsidRPr="00913E39">
        <w:rPr>
          <w:rFonts w:ascii="Garamond" w:hAnsi="Garamond"/>
          <w:sz w:val="24"/>
        </w:rPr>
        <w:t xml:space="preserve">prezantoi </w:t>
      </w:r>
      <w:r w:rsidR="00F46B23" w:rsidRPr="00913E39">
        <w:rPr>
          <w:rFonts w:ascii="Garamond" w:hAnsi="Garamond"/>
          <w:sz w:val="24"/>
        </w:rPr>
        <w:t>regjimin e autorizimit të përgjithshëm për të gjitha rrjetet e komunikimeve elektronike dhe shërbimet në përputhje me kuadrin rregull</w:t>
      </w:r>
      <w:r w:rsidR="000755EA" w:rsidRPr="00913E39">
        <w:rPr>
          <w:rFonts w:ascii="Garamond" w:hAnsi="Garamond"/>
          <w:sz w:val="24"/>
        </w:rPr>
        <w:t>at</w:t>
      </w:r>
      <w:r w:rsidR="00F46B23" w:rsidRPr="00913E39">
        <w:rPr>
          <w:rFonts w:ascii="Garamond" w:hAnsi="Garamond"/>
          <w:sz w:val="24"/>
        </w:rPr>
        <w:t>or</w:t>
      </w:r>
      <w:r w:rsidRPr="00913E39">
        <w:rPr>
          <w:rFonts w:ascii="Garamond" w:hAnsi="Garamond"/>
          <w:sz w:val="24"/>
          <w:vertAlign w:val="superscript"/>
        </w:rPr>
        <w:footnoteReference w:id="25"/>
      </w:r>
      <w:r w:rsidR="00F46B23" w:rsidRPr="00913E39">
        <w:rPr>
          <w:rFonts w:ascii="Garamond" w:hAnsi="Garamond"/>
          <w:sz w:val="24"/>
        </w:rPr>
        <w:t xml:space="preserve"> të vitit 2002 të ndryshuar </w:t>
      </w:r>
      <w:r w:rsidR="00DE5BB1" w:rsidRPr="00913E39">
        <w:rPr>
          <w:rFonts w:ascii="Garamond" w:hAnsi="Garamond"/>
          <w:sz w:val="24"/>
        </w:rPr>
        <w:t>m</w:t>
      </w:r>
      <w:r w:rsidR="00F46B23" w:rsidRPr="00913E39">
        <w:rPr>
          <w:rFonts w:ascii="Garamond" w:hAnsi="Garamond"/>
          <w:sz w:val="24"/>
        </w:rPr>
        <w:t>ë 2009</w:t>
      </w:r>
      <w:r w:rsidRPr="00913E39">
        <w:rPr>
          <w:rFonts w:ascii="Garamond" w:hAnsi="Garamond"/>
          <w:sz w:val="24"/>
        </w:rPr>
        <w:t xml:space="preserve">. Ligji për </w:t>
      </w:r>
      <w:r w:rsidR="00F46B23" w:rsidRPr="00913E39">
        <w:rPr>
          <w:rFonts w:ascii="Garamond" w:hAnsi="Garamond"/>
          <w:sz w:val="24"/>
        </w:rPr>
        <w:t xml:space="preserve">komunikimet elektronike, ligji nr. </w:t>
      </w:r>
      <w:r w:rsidRPr="00913E39">
        <w:rPr>
          <w:rFonts w:ascii="Garamond" w:hAnsi="Garamond"/>
          <w:sz w:val="24"/>
        </w:rPr>
        <w:t>9918, u ndryshua në vitin 2012 dhe përfshin të gjitha kërkesat e BE-së për të krijuar një kuadër rregullator efektiv për zhvillimin e rrjetit dhe shërbimeve të telekomunikacionit.</w:t>
      </w:r>
    </w:p>
    <w:p w14:paraId="0F52F561"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bazë të këtij ligji janë miratuar një sërë aktesh nënligjore si:</w:t>
      </w:r>
    </w:p>
    <w:p w14:paraId="7C9C4BCC" w14:textId="13DBBA59"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VKM </w:t>
      </w:r>
      <w:r w:rsidR="00F46B23" w:rsidRPr="00913E39">
        <w:rPr>
          <w:rFonts w:ascii="Garamond" w:hAnsi="Garamond"/>
          <w:b/>
          <w:sz w:val="24"/>
        </w:rPr>
        <w:t>n</w:t>
      </w:r>
      <w:r w:rsidRPr="00913E39">
        <w:rPr>
          <w:rFonts w:ascii="Garamond" w:hAnsi="Garamond"/>
          <w:b/>
          <w:sz w:val="24"/>
        </w:rPr>
        <w:t>r. 434</w:t>
      </w:r>
      <w:r w:rsidR="00F46B23" w:rsidRPr="00913E39">
        <w:rPr>
          <w:rFonts w:ascii="Garamond" w:hAnsi="Garamond"/>
          <w:b/>
          <w:sz w:val="24"/>
        </w:rPr>
        <w:t>,</w:t>
      </w:r>
      <w:r w:rsidRPr="00913E39">
        <w:rPr>
          <w:rFonts w:ascii="Garamond" w:hAnsi="Garamond"/>
          <w:b/>
          <w:sz w:val="24"/>
        </w:rPr>
        <w:t xml:space="preserve"> datë 3.6.2020</w:t>
      </w:r>
      <w:r w:rsidR="00F04393"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 xml:space="preserve">Për miratimin e Planit Kombëtar për Zhvillimin e Qëndrueshëm të Infrastrukturës Digjitale </w:t>
      </w:r>
      <w:r w:rsidRPr="00913E39">
        <w:rPr>
          <w:rFonts w:ascii="Garamond" w:hAnsi="Garamond"/>
          <w:i/>
          <w:sz w:val="24"/>
        </w:rPr>
        <w:t>Broadband</w:t>
      </w:r>
      <w:r w:rsidRPr="00913E39">
        <w:rPr>
          <w:rFonts w:ascii="Garamond" w:hAnsi="Garamond"/>
          <w:sz w:val="24"/>
        </w:rPr>
        <w:t xml:space="preserve"> 2020–2025</w:t>
      </w:r>
      <w:r w:rsidR="00850FC7" w:rsidRPr="00913E39">
        <w:rPr>
          <w:rFonts w:ascii="Garamond" w:hAnsi="Garamond"/>
          <w:sz w:val="24"/>
        </w:rPr>
        <w:t>”</w:t>
      </w:r>
      <w:r w:rsidRPr="00913E39">
        <w:rPr>
          <w:rFonts w:ascii="Garamond" w:hAnsi="Garamond"/>
          <w:sz w:val="24"/>
        </w:rPr>
        <w:t xml:space="preserve"> (PBP).</w:t>
      </w:r>
    </w:p>
    <w:p w14:paraId="1314CED8" w14:textId="78A10920"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VKM </w:t>
      </w:r>
      <w:r w:rsidR="00F46B23" w:rsidRPr="00913E39">
        <w:rPr>
          <w:rFonts w:ascii="Garamond" w:hAnsi="Garamond"/>
          <w:b/>
          <w:sz w:val="24"/>
        </w:rPr>
        <w:t>n</w:t>
      </w:r>
      <w:r w:rsidRPr="00913E39">
        <w:rPr>
          <w:rFonts w:ascii="Garamond" w:hAnsi="Garamond"/>
          <w:b/>
          <w:sz w:val="24"/>
        </w:rPr>
        <w:t>r. 636</w:t>
      </w:r>
      <w:r w:rsidR="00F46B23" w:rsidRPr="00913E39">
        <w:rPr>
          <w:rFonts w:ascii="Garamond" w:hAnsi="Garamond"/>
          <w:b/>
          <w:sz w:val="24"/>
        </w:rPr>
        <w:t>,</w:t>
      </w:r>
      <w:r w:rsidRPr="00913E39">
        <w:rPr>
          <w:rFonts w:ascii="Garamond" w:hAnsi="Garamond"/>
          <w:b/>
          <w:sz w:val="24"/>
        </w:rPr>
        <w:t xml:space="preserve"> datë 29.7.2020</w:t>
      </w:r>
      <w:r w:rsidR="00F46B23"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miratimin e programit shumëvjeçar të politikave të spektrit</w:t>
      </w:r>
      <w:r w:rsidR="00DE5BB1" w:rsidRPr="00913E39">
        <w:rPr>
          <w:rFonts w:ascii="Garamond" w:hAnsi="Garamond"/>
          <w:sz w:val="24"/>
        </w:rPr>
        <w:t xml:space="preserve"> </w:t>
      </w:r>
      <w:r w:rsidRPr="00913E39">
        <w:rPr>
          <w:rFonts w:ascii="Garamond" w:hAnsi="Garamond"/>
          <w:sz w:val="24"/>
        </w:rPr>
        <w:t>dhe të planit të veprimit</w:t>
      </w:r>
      <w:r w:rsidR="00850FC7" w:rsidRPr="00913E39">
        <w:rPr>
          <w:rFonts w:ascii="Garamond" w:hAnsi="Garamond"/>
          <w:sz w:val="24"/>
        </w:rPr>
        <w:t>”</w:t>
      </w:r>
      <w:r w:rsidRPr="00913E39">
        <w:rPr>
          <w:rFonts w:ascii="Garamond" w:hAnsi="Garamond"/>
          <w:sz w:val="24"/>
        </w:rPr>
        <w:t>, i cili e ka ndryshuar vendimin e BE-së nr. 243/2012.</w:t>
      </w:r>
    </w:p>
    <w:p w14:paraId="204FE027" w14:textId="5818AEC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VKM nr. 1187</w:t>
      </w:r>
      <w:r w:rsidR="00F46B23" w:rsidRPr="00913E39">
        <w:rPr>
          <w:rFonts w:ascii="Garamond" w:hAnsi="Garamond"/>
          <w:b/>
          <w:sz w:val="24"/>
        </w:rPr>
        <w:t>,</w:t>
      </w:r>
      <w:r w:rsidRPr="00913E39">
        <w:rPr>
          <w:rFonts w:ascii="Garamond" w:hAnsi="Garamond"/>
          <w:b/>
          <w:sz w:val="24"/>
        </w:rPr>
        <w:t xml:space="preserve"> datë 24.12.2020</w:t>
      </w:r>
      <w:r w:rsidR="00F46B23"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miratimin e Planit Kombëtar të Frekuencave</w:t>
      </w:r>
      <w:r w:rsidR="00850FC7" w:rsidRPr="00913E39">
        <w:rPr>
          <w:rFonts w:ascii="Garamond" w:hAnsi="Garamond"/>
          <w:sz w:val="24"/>
        </w:rPr>
        <w:t>”</w:t>
      </w:r>
      <w:r w:rsidR="00F46B23" w:rsidRPr="00913E39">
        <w:rPr>
          <w:rFonts w:ascii="Garamond" w:hAnsi="Garamond"/>
          <w:sz w:val="24"/>
        </w:rPr>
        <w:t>,</w:t>
      </w:r>
      <w:r w:rsidRPr="00913E39">
        <w:rPr>
          <w:rFonts w:ascii="Garamond" w:hAnsi="Garamond"/>
          <w:sz w:val="24"/>
        </w:rPr>
        <w:t xml:space="preserve"> bazuar në Planin Evropian të Alokimit (ECA 2020).</w:t>
      </w:r>
    </w:p>
    <w:p w14:paraId="33570E09" w14:textId="1BF7009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Udhëzimi i </w:t>
      </w:r>
      <w:r w:rsidR="00F46B23" w:rsidRPr="00913E39">
        <w:rPr>
          <w:rFonts w:ascii="Garamond" w:hAnsi="Garamond"/>
          <w:sz w:val="24"/>
        </w:rPr>
        <w:t>m</w:t>
      </w:r>
      <w:r w:rsidRPr="00913E39">
        <w:rPr>
          <w:rFonts w:ascii="Garamond" w:hAnsi="Garamond"/>
          <w:sz w:val="24"/>
        </w:rPr>
        <w:t xml:space="preserve">inistrit nr. 7, datë 22.10.2019, </w:t>
      </w:r>
      <w:r w:rsidR="00850FC7" w:rsidRPr="00913E39">
        <w:rPr>
          <w:rFonts w:ascii="Garamond" w:hAnsi="Garamond"/>
          <w:sz w:val="24"/>
        </w:rPr>
        <w:t>“</w:t>
      </w:r>
      <w:r w:rsidRPr="00913E39">
        <w:rPr>
          <w:rFonts w:ascii="Garamond" w:hAnsi="Garamond"/>
          <w:sz w:val="24"/>
        </w:rPr>
        <w:t>Për përcaktimin e rregullave të përgjithshme për menaxhimin e trafikut të komunikimeve dhe mbrojtjen e të drejtave të përdoruesve</w:t>
      </w:r>
      <w:r w:rsidR="00850FC7" w:rsidRPr="00913E39">
        <w:rPr>
          <w:rFonts w:ascii="Garamond" w:hAnsi="Garamond"/>
          <w:sz w:val="24"/>
        </w:rPr>
        <w:t>”</w:t>
      </w:r>
      <w:r w:rsidRPr="00913E39">
        <w:rPr>
          <w:rFonts w:ascii="Garamond" w:hAnsi="Garamond"/>
          <w:sz w:val="24"/>
        </w:rPr>
        <w:t xml:space="preserve">, i cili e ka ndryshuar pjesërisht </w:t>
      </w:r>
      <w:r w:rsidR="00F46B23" w:rsidRPr="00913E39">
        <w:rPr>
          <w:rFonts w:ascii="Garamond" w:hAnsi="Garamond"/>
          <w:sz w:val="24"/>
        </w:rPr>
        <w:t>r</w:t>
      </w:r>
      <w:r w:rsidRPr="00913E39">
        <w:rPr>
          <w:rFonts w:ascii="Garamond" w:hAnsi="Garamond"/>
          <w:sz w:val="24"/>
        </w:rPr>
        <w:t>regulloren (BE) 2015/2120</w:t>
      </w:r>
      <w:r w:rsidR="00F04393" w:rsidRPr="00913E39">
        <w:rPr>
          <w:rFonts w:ascii="Garamond" w:hAnsi="Garamond"/>
          <w:sz w:val="24"/>
        </w:rPr>
        <w:t>,</w:t>
      </w:r>
      <w:r w:rsidRPr="00913E39">
        <w:rPr>
          <w:rFonts w:ascii="Garamond" w:hAnsi="Garamond"/>
          <w:sz w:val="24"/>
        </w:rPr>
        <w:t xml:space="preserve"> të Parlamentit dhe Këshillit Evropian</w:t>
      </w:r>
      <w:r w:rsidR="00F04393" w:rsidRPr="00913E39">
        <w:rPr>
          <w:rFonts w:ascii="Garamond" w:hAnsi="Garamond"/>
          <w:sz w:val="24"/>
        </w:rPr>
        <w:t>,</w:t>
      </w:r>
      <w:r w:rsidRPr="00913E39">
        <w:rPr>
          <w:rFonts w:ascii="Garamond" w:hAnsi="Garamond"/>
          <w:sz w:val="24"/>
        </w:rPr>
        <w:t xml:space="preserve"> datë 25 nëntor 2015, që përcakton masat në lidhje me aksesin e lirë në internet dhe ndryshon </w:t>
      </w:r>
      <w:r w:rsidR="00F46B23" w:rsidRPr="00913E39">
        <w:rPr>
          <w:rFonts w:ascii="Garamond" w:hAnsi="Garamond"/>
          <w:sz w:val="24"/>
        </w:rPr>
        <w:t>d</w:t>
      </w:r>
      <w:r w:rsidRPr="00913E39">
        <w:rPr>
          <w:rFonts w:ascii="Garamond" w:hAnsi="Garamond"/>
          <w:sz w:val="24"/>
        </w:rPr>
        <w:t xml:space="preserve">irektivën 2002/22/KE </w:t>
      </w:r>
      <w:r w:rsidR="00850FC7" w:rsidRPr="00913E39">
        <w:rPr>
          <w:rFonts w:ascii="Garamond" w:hAnsi="Garamond"/>
          <w:sz w:val="24"/>
        </w:rPr>
        <w:t>“</w:t>
      </w:r>
      <w:r w:rsidRPr="00913E39">
        <w:rPr>
          <w:rFonts w:ascii="Garamond" w:hAnsi="Garamond"/>
          <w:sz w:val="24"/>
        </w:rPr>
        <w:t>Për shërbimin e përgjithshëm dhe të drejtat e përdoruesve në fushën e rrjeteve dhe shërbimeve të komunikimeve elektronike</w:t>
      </w:r>
      <w:r w:rsidR="00850FC7" w:rsidRPr="00913E39">
        <w:rPr>
          <w:rFonts w:ascii="Garamond" w:hAnsi="Garamond"/>
          <w:sz w:val="24"/>
        </w:rPr>
        <w:t>”</w:t>
      </w:r>
      <w:r w:rsidRPr="00913E39">
        <w:rPr>
          <w:rFonts w:ascii="Garamond" w:hAnsi="Garamond"/>
          <w:sz w:val="24"/>
        </w:rPr>
        <w:t xml:space="preserve">, si dhe </w:t>
      </w:r>
      <w:r w:rsidR="00F04393" w:rsidRPr="00913E39">
        <w:rPr>
          <w:rFonts w:ascii="Garamond" w:hAnsi="Garamond"/>
          <w:sz w:val="24"/>
        </w:rPr>
        <w:t>r</w:t>
      </w:r>
      <w:r w:rsidRPr="00913E39">
        <w:rPr>
          <w:rFonts w:ascii="Garamond" w:hAnsi="Garamond"/>
          <w:sz w:val="24"/>
        </w:rPr>
        <w:t xml:space="preserve">regulloren (BE) </w:t>
      </w:r>
      <w:r w:rsidR="00F04393" w:rsidRPr="00913E39">
        <w:rPr>
          <w:rFonts w:ascii="Garamond" w:hAnsi="Garamond"/>
          <w:sz w:val="24"/>
        </w:rPr>
        <w:t>n</w:t>
      </w:r>
      <w:r w:rsidRPr="00913E39">
        <w:rPr>
          <w:rFonts w:ascii="Garamond" w:hAnsi="Garamond"/>
          <w:sz w:val="24"/>
        </w:rPr>
        <w:t xml:space="preserve">r. 531/2012 në lidhje me shërbimin </w:t>
      </w:r>
      <w:r w:rsidRPr="00913E39">
        <w:rPr>
          <w:rFonts w:ascii="Garamond" w:hAnsi="Garamond"/>
          <w:i/>
          <w:sz w:val="24"/>
        </w:rPr>
        <w:t>roaming</w:t>
      </w:r>
      <w:r w:rsidRPr="00913E39">
        <w:rPr>
          <w:rFonts w:ascii="Garamond" w:hAnsi="Garamond"/>
          <w:sz w:val="24"/>
        </w:rPr>
        <w:t xml:space="preserve"> në rrjetet publike të komunikimeve celularë brenda Bashkimit Evropian.</w:t>
      </w:r>
    </w:p>
    <w:p w14:paraId="2DC24F41" w14:textId="6367B0D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Gjithashtu, AKEP</w:t>
      </w:r>
      <w:r w:rsidR="00F04393" w:rsidRPr="00913E39">
        <w:rPr>
          <w:rFonts w:ascii="Garamond" w:hAnsi="Garamond"/>
          <w:sz w:val="24"/>
        </w:rPr>
        <w:t>-i</w:t>
      </w:r>
      <w:r w:rsidRPr="00913E39">
        <w:rPr>
          <w:rFonts w:ascii="Garamond" w:hAnsi="Garamond"/>
          <w:sz w:val="24"/>
        </w:rPr>
        <w:t>, Organi Rregullator Kombëtar i Komunikimit Elektronik, ka miratuar një sërë rregulloresh që lidhen me aspektet rregullatore në këtë sektor</w:t>
      </w:r>
      <w:r w:rsidRPr="00913E39">
        <w:rPr>
          <w:rFonts w:ascii="Garamond" w:hAnsi="Garamond"/>
          <w:sz w:val="24"/>
          <w:vertAlign w:val="superscript"/>
        </w:rPr>
        <w:footnoteReference w:id="26"/>
      </w:r>
      <w:r w:rsidR="00F04393" w:rsidRPr="00913E39">
        <w:rPr>
          <w:rFonts w:ascii="Garamond" w:hAnsi="Garamond"/>
          <w:sz w:val="24"/>
        </w:rPr>
        <w:t>,</w:t>
      </w:r>
      <w:r w:rsidRPr="00913E39">
        <w:rPr>
          <w:rFonts w:ascii="Garamond" w:hAnsi="Garamond"/>
          <w:sz w:val="24"/>
        </w:rPr>
        <w:t xml:space="preserve"> si:</w:t>
      </w:r>
    </w:p>
    <w:p w14:paraId="12673E3E" w14:textId="0A81A788" w:rsidR="00847F23" w:rsidRPr="00913E39" w:rsidRDefault="00F04393" w:rsidP="00FC4C60">
      <w:pPr>
        <w:spacing w:after="0" w:line="240" w:lineRule="auto"/>
        <w:ind w:firstLine="284"/>
        <w:jc w:val="both"/>
        <w:rPr>
          <w:rFonts w:ascii="Garamond" w:hAnsi="Garamond"/>
          <w:sz w:val="24"/>
        </w:rPr>
      </w:pPr>
      <w:r w:rsidRPr="00913E39">
        <w:rPr>
          <w:rFonts w:ascii="Garamond" w:hAnsi="Garamond"/>
          <w:sz w:val="24"/>
        </w:rPr>
        <w:lastRenderedPageBreak/>
        <w:t xml:space="preserve">Rregullorja </w:t>
      </w:r>
      <w:r w:rsidR="00847F23" w:rsidRPr="00913E39">
        <w:rPr>
          <w:rFonts w:ascii="Garamond" w:hAnsi="Garamond"/>
          <w:sz w:val="24"/>
        </w:rPr>
        <w:t>nr.</w:t>
      </w:r>
      <w:r w:rsidRPr="00913E39">
        <w:rPr>
          <w:rFonts w:ascii="Garamond" w:hAnsi="Garamond"/>
          <w:sz w:val="24"/>
        </w:rPr>
        <w:t xml:space="preserve"> </w:t>
      </w:r>
      <w:r w:rsidR="00847F23" w:rsidRPr="00913E39">
        <w:rPr>
          <w:rFonts w:ascii="Garamond" w:hAnsi="Garamond"/>
          <w:sz w:val="24"/>
        </w:rPr>
        <w:t>47, datë 26.10.2017</w:t>
      </w:r>
      <w:r w:rsidRPr="00913E39">
        <w:rPr>
          <w:rFonts w:ascii="Garamond" w:hAnsi="Garamond"/>
          <w:sz w:val="24"/>
        </w:rPr>
        <w:t>,</w:t>
      </w:r>
      <w:r w:rsidR="00847F23" w:rsidRPr="00913E39">
        <w:rPr>
          <w:rFonts w:ascii="Garamond" w:hAnsi="Garamond"/>
          <w:sz w:val="24"/>
        </w:rPr>
        <w:t xml:space="preserve"> </w:t>
      </w:r>
      <w:r w:rsidR="00850FC7" w:rsidRPr="00913E39">
        <w:rPr>
          <w:rFonts w:ascii="Garamond" w:hAnsi="Garamond"/>
          <w:sz w:val="24"/>
        </w:rPr>
        <w:t>“</w:t>
      </w:r>
      <w:r w:rsidR="00847F23" w:rsidRPr="00913E39">
        <w:rPr>
          <w:rFonts w:ascii="Garamond" w:hAnsi="Garamond"/>
          <w:sz w:val="24"/>
        </w:rPr>
        <w:t xml:space="preserve">Për zbatimin e regjimit të autorizimit të </w:t>
      </w:r>
      <w:r w:rsidRPr="00913E39">
        <w:rPr>
          <w:rFonts w:ascii="Garamond" w:hAnsi="Garamond"/>
          <w:sz w:val="24"/>
        </w:rPr>
        <w:t>p</w:t>
      </w:r>
      <w:r w:rsidR="00847F23" w:rsidRPr="00913E39">
        <w:rPr>
          <w:rFonts w:ascii="Garamond" w:hAnsi="Garamond"/>
          <w:sz w:val="24"/>
        </w:rPr>
        <w:t>ërgjithshëm</w:t>
      </w:r>
      <w:r w:rsidR="00850FC7" w:rsidRPr="00913E39">
        <w:rPr>
          <w:rFonts w:ascii="Garamond" w:hAnsi="Garamond"/>
          <w:sz w:val="24"/>
        </w:rPr>
        <w:t>”</w:t>
      </w:r>
      <w:r w:rsidR="00847F23" w:rsidRPr="00913E39">
        <w:rPr>
          <w:rFonts w:ascii="Garamond" w:hAnsi="Garamond"/>
          <w:sz w:val="24"/>
        </w:rPr>
        <w:t xml:space="preserve"> në përputhje me </w:t>
      </w:r>
      <w:r w:rsidRPr="00913E39">
        <w:rPr>
          <w:rFonts w:ascii="Garamond" w:hAnsi="Garamond"/>
          <w:sz w:val="24"/>
        </w:rPr>
        <w:t>d</w:t>
      </w:r>
      <w:r w:rsidR="00847F23" w:rsidRPr="00913E39">
        <w:rPr>
          <w:rFonts w:ascii="Garamond" w:hAnsi="Garamond"/>
          <w:sz w:val="24"/>
        </w:rPr>
        <w:t xml:space="preserve">irektivën 2002/20/KE dhe </w:t>
      </w:r>
      <w:r w:rsidRPr="00913E39">
        <w:rPr>
          <w:rFonts w:ascii="Garamond" w:hAnsi="Garamond"/>
          <w:sz w:val="24"/>
        </w:rPr>
        <w:t>d</w:t>
      </w:r>
      <w:r w:rsidR="00847F23" w:rsidRPr="00913E39">
        <w:rPr>
          <w:rFonts w:ascii="Garamond" w:hAnsi="Garamond"/>
          <w:sz w:val="24"/>
        </w:rPr>
        <w:t>irektivën 2002/21/KE.</w:t>
      </w:r>
    </w:p>
    <w:p w14:paraId="1DCB8AE5" w14:textId="793DB528" w:rsidR="00847F23" w:rsidRPr="00913E39" w:rsidRDefault="00F04393" w:rsidP="00FC4C60">
      <w:pPr>
        <w:spacing w:after="0" w:line="240" w:lineRule="auto"/>
        <w:ind w:firstLine="284"/>
        <w:jc w:val="both"/>
        <w:rPr>
          <w:rFonts w:ascii="Garamond" w:hAnsi="Garamond"/>
          <w:sz w:val="24"/>
        </w:rPr>
      </w:pPr>
      <w:r w:rsidRPr="00913E39">
        <w:rPr>
          <w:rFonts w:ascii="Garamond" w:hAnsi="Garamond"/>
          <w:sz w:val="24"/>
        </w:rPr>
        <w:t xml:space="preserve">Rregullorja </w:t>
      </w:r>
      <w:r w:rsidR="00847F23" w:rsidRPr="00913E39">
        <w:rPr>
          <w:rFonts w:ascii="Garamond" w:hAnsi="Garamond"/>
          <w:sz w:val="24"/>
        </w:rPr>
        <w:t xml:space="preserve">nr. 30, datë 5.12.2013, </w:t>
      </w:r>
      <w:r w:rsidR="00850FC7" w:rsidRPr="00913E39">
        <w:rPr>
          <w:rFonts w:ascii="Garamond" w:hAnsi="Garamond"/>
          <w:sz w:val="24"/>
        </w:rPr>
        <w:t>“</w:t>
      </w:r>
      <w:r w:rsidR="00847F23" w:rsidRPr="00913E39">
        <w:rPr>
          <w:rFonts w:ascii="Garamond" w:hAnsi="Garamond"/>
          <w:sz w:val="24"/>
        </w:rPr>
        <w:t>Për dhënien e autorizimit individual për përdorimin e frekuencave</w:t>
      </w:r>
      <w:r w:rsidR="00850FC7" w:rsidRPr="00913E39">
        <w:rPr>
          <w:rFonts w:ascii="Garamond" w:hAnsi="Garamond"/>
          <w:sz w:val="24"/>
        </w:rPr>
        <w:t>”</w:t>
      </w:r>
      <w:r w:rsidR="00847F23" w:rsidRPr="00913E39">
        <w:rPr>
          <w:rFonts w:ascii="Garamond" w:hAnsi="Garamond"/>
          <w:sz w:val="24"/>
        </w:rPr>
        <w:t>.</w:t>
      </w:r>
    </w:p>
    <w:p w14:paraId="249C39C7" w14:textId="7D08DEEA" w:rsidR="00847F23" w:rsidRPr="00913E39" w:rsidRDefault="00F04393" w:rsidP="00FC4C60">
      <w:pPr>
        <w:spacing w:after="0" w:line="240" w:lineRule="auto"/>
        <w:ind w:firstLine="284"/>
        <w:jc w:val="both"/>
        <w:rPr>
          <w:rFonts w:ascii="Garamond" w:hAnsi="Garamond"/>
          <w:sz w:val="24"/>
        </w:rPr>
      </w:pPr>
      <w:r w:rsidRPr="00913E39">
        <w:rPr>
          <w:rFonts w:ascii="Garamond" w:hAnsi="Garamond"/>
          <w:sz w:val="24"/>
        </w:rPr>
        <w:t xml:space="preserve">Rregullorja </w:t>
      </w:r>
      <w:r w:rsidR="00847F23" w:rsidRPr="00913E39">
        <w:rPr>
          <w:rFonts w:ascii="Garamond" w:hAnsi="Garamond"/>
          <w:sz w:val="24"/>
        </w:rPr>
        <w:t>nr.</w:t>
      </w:r>
      <w:r w:rsidRPr="00913E39">
        <w:rPr>
          <w:rFonts w:ascii="Garamond" w:hAnsi="Garamond"/>
          <w:sz w:val="24"/>
        </w:rPr>
        <w:t xml:space="preserve"> </w:t>
      </w:r>
      <w:r w:rsidR="00847F23" w:rsidRPr="00913E39">
        <w:rPr>
          <w:rFonts w:ascii="Garamond" w:hAnsi="Garamond"/>
          <w:sz w:val="24"/>
        </w:rPr>
        <w:t>33, datë 15.5.2014</w:t>
      </w:r>
      <w:r w:rsidRPr="00913E39">
        <w:rPr>
          <w:rFonts w:ascii="Garamond" w:hAnsi="Garamond"/>
          <w:sz w:val="24"/>
        </w:rPr>
        <w:t>,</w:t>
      </w:r>
      <w:r w:rsidR="00847F23" w:rsidRPr="00913E39">
        <w:rPr>
          <w:rFonts w:ascii="Garamond" w:hAnsi="Garamond"/>
          <w:sz w:val="24"/>
        </w:rPr>
        <w:t xml:space="preserve"> </w:t>
      </w:r>
      <w:r w:rsidR="00850FC7" w:rsidRPr="00913E39">
        <w:rPr>
          <w:rFonts w:ascii="Garamond" w:hAnsi="Garamond"/>
          <w:sz w:val="24"/>
        </w:rPr>
        <w:t>“</w:t>
      </w:r>
      <w:r w:rsidR="00847F23" w:rsidRPr="00913E39">
        <w:rPr>
          <w:rFonts w:ascii="Garamond" w:hAnsi="Garamond"/>
          <w:sz w:val="24"/>
        </w:rPr>
        <w:t>Për kushtet e përdorimit të frekuencave pa autorizim individual dhe kërkesat teknike për pajisjet radio që përdoren në këto fasha</w:t>
      </w:r>
      <w:r w:rsidR="00850FC7" w:rsidRPr="00913E39">
        <w:rPr>
          <w:rFonts w:ascii="Garamond" w:hAnsi="Garamond"/>
          <w:sz w:val="24"/>
        </w:rPr>
        <w:t>”</w:t>
      </w:r>
      <w:r w:rsidR="00847F23" w:rsidRPr="00913E39">
        <w:rPr>
          <w:rFonts w:ascii="Garamond" w:hAnsi="Garamond"/>
          <w:sz w:val="24"/>
        </w:rPr>
        <w:t>.</w:t>
      </w:r>
    </w:p>
    <w:p w14:paraId="18613ED1" w14:textId="4ABC7E4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Rregullorja nr.</w:t>
      </w:r>
      <w:r w:rsidR="00F04393" w:rsidRPr="00913E39">
        <w:rPr>
          <w:rFonts w:ascii="Garamond" w:hAnsi="Garamond"/>
          <w:sz w:val="24"/>
        </w:rPr>
        <w:t xml:space="preserve"> </w:t>
      </w:r>
      <w:r w:rsidRPr="00913E39">
        <w:rPr>
          <w:rFonts w:ascii="Garamond" w:hAnsi="Garamond"/>
          <w:sz w:val="24"/>
        </w:rPr>
        <w:t>43 datë 22.9.2016</w:t>
      </w:r>
      <w:r w:rsidR="00F04393"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mënyrën e zbatimit të bartjes së numrit</w:t>
      </w:r>
      <w:r w:rsidR="00850FC7" w:rsidRPr="00913E39">
        <w:rPr>
          <w:rFonts w:ascii="Garamond" w:hAnsi="Garamond"/>
          <w:sz w:val="24"/>
        </w:rPr>
        <w:t>”</w:t>
      </w:r>
      <w:r w:rsidRPr="00913E39">
        <w:rPr>
          <w:rFonts w:ascii="Garamond" w:hAnsi="Garamond"/>
          <w:sz w:val="24"/>
        </w:rPr>
        <w:t xml:space="preserve"> e ndryshuar.</w:t>
      </w:r>
    </w:p>
    <w:p w14:paraId="65B3A241" w14:textId="6C1747E3" w:rsidR="00847F23" w:rsidRPr="00913E39" w:rsidRDefault="00F04393" w:rsidP="00FC4C60">
      <w:pPr>
        <w:spacing w:after="0" w:line="240" w:lineRule="auto"/>
        <w:ind w:firstLine="284"/>
        <w:jc w:val="both"/>
        <w:rPr>
          <w:rFonts w:ascii="Garamond" w:hAnsi="Garamond"/>
          <w:sz w:val="24"/>
        </w:rPr>
      </w:pPr>
      <w:r w:rsidRPr="00913E39">
        <w:rPr>
          <w:rFonts w:ascii="Garamond" w:hAnsi="Garamond"/>
          <w:sz w:val="24"/>
        </w:rPr>
        <w:t xml:space="preserve">Rregullorja </w:t>
      </w:r>
      <w:r w:rsidR="00847F23" w:rsidRPr="00913E39">
        <w:rPr>
          <w:rFonts w:ascii="Garamond" w:hAnsi="Garamond"/>
          <w:sz w:val="24"/>
        </w:rPr>
        <w:t>nr. 35, datë 10.9.2015</w:t>
      </w:r>
      <w:r w:rsidRPr="00913E39">
        <w:rPr>
          <w:rFonts w:ascii="Garamond" w:hAnsi="Garamond"/>
          <w:sz w:val="24"/>
        </w:rPr>
        <w:t>,</w:t>
      </w:r>
      <w:r w:rsidR="00847F23" w:rsidRPr="00913E39">
        <w:rPr>
          <w:rFonts w:ascii="Garamond" w:hAnsi="Garamond"/>
          <w:sz w:val="24"/>
        </w:rPr>
        <w:t xml:space="preserve"> </w:t>
      </w:r>
      <w:r w:rsidR="00850FC7" w:rsidRPr="00913E39">
        <w:rPr>
          <w:rFonts w:ascii="Garamond" w:hAnsi="Garamond"/>
          <w:sz w:val="24"/>
        </w:rPr>
        <w:t>“</w:t>
      </w:r>
      <w:r w:rsidR="00847F23" w:rsidRPr="00913E39">
        <w:rPr>
          <w:rFonts w:ascii="Garamond" w:hAnsi="Garamond"/>
          <w:sz w:val="24"/>
        </w:rPr>
        <w:t>Rregullat për shfrytëzimin e përbashkët të kushteve dhe aseteve të rrjeteve të komunikimeve elektronik publik</w:t>
      </w:r>
      <w:r w:rsidR="00850FC7" w:rsidRPr="00913E39">
        <w:rPr>
          <w:rFonts w:ascii="Garamond" w:hAnsi="Garamond"/>
          <w:sz w:val="24"/>
        </w:rPr>
        <w:t>”</w:t>
      </w:r>
      <w:r w:rsidR="00847F23" w:rsidRPr="00913E39">
        <w:rPr>
          <w:rFonts w:ascii="Garamond" w:hAnsi="Garamond"/>
          <w:sz w:val="24"/>
        </w:rPr>
        <w:t>.</w:t>
      </w:r>
    </w:p>
    <w:p w14:paraId="376478A5" w14:textId="4A8426B9" w:rsidR="00847F23" w:rsidRPr="00913E39" w:rsidRDefault="00F04393" w:rsidP="00FC4C60">
      <w:pPr>
        <w:spacing w:after="0" w:line="240" w:lineRule="auto"/>
        <w:ind w:firstLine="284"/>
        <w:jc w:val="both"/>
        <w:rPr>
          <w:rFonts w:ascii="Garamond" w:hAnsi="Garamond"/>
          <w:sz w:val="24"/>
        </w:rPr>
      </w:pPr>
      <w:r w:rsidRPr="00913E39">
        <w:rPr>
          <w:rFonts w:ascii="Garamond" w:hAnsi="Garamond"/>
          <w:sz w:val="24"/>
        </w:rPr>
        <w:t xml:space="preserve">Rregullorja </w:t>
      </w:r>
      <w:r w:rsidR="00847F23" w:rsidRPr="00913E39">
        <w:rPr>
          <w:rFonts w:ascii="Garamond" w:hAnsi="Garamond"/>
          <w:sz w:val="24"/>
        </w:rPr>
        <w:t>nr. 37, datë 19.10.2015</w:t>
      </w:r>
      <w:r w:rsidRPr="00913E39">
        <w:rPr>
          <w:rFonts w:ascii="Garamond" w:hAnsi="Garamond"/>
          <w:sz w:val="24"/>
        </w:rPr>
        <w:t>,</w:t>
      </w:r>
      <w:r w:rsidR="00847F23" w:rsidRPr="00913E39">
        <w:rPr>
          <w:rFonts w:ascii="Garamond" w:hAnsi="Garamond"/>
          <w:sz w:val="24"/>
        </w:rPr>
        <w:t xml:space="preserve"> </w:t>
      </w:r>
      <w:r w:rsidR="00850FC7" w:rsidRPr="00913E39">
        <w:rPr>
          <w:rFonts w:ascii="Garamond" w:hAnsi="Garamond"/>
          <w:sz w:val="24"/>
        </w:rPr>
        <w:t>“</w:t>
      </w:r>
      <w:r w:rsidR="00847F23" w:rsidRPr="00913E39">
        <w:rPr>
          <w:rFonts w:ascii="Garamond" w:hAnsi="Garamond"/>
          <w:sz w:val="24"/>
        </w:rPr>
        <w:t>Për masat teknike dhe organizative për të garantuar sigurinë dhe integritetin e rrjeteve dhe/ose shërbimeve komunikimeve elektronik</w:t>
      </w:r>
      <w:r w:rsidR="00850FC7" w:rsidRPr="00913E39">
        <w:rPr>
          <w:rFonts w:ascii="Garamond" w:hAnsi="Garamond"/>
          <w:sz w:val="24"/>
        </w:rPr>
        <w:t>”</w:t>
      </w:r>
      <w:r w:rsidR="00847F23" w:rsidRPr="00913E39">
        <w:rPr>
          <w:rFonts w:ascii="Garamond" w:hAnsi="Garamond"/>
          <w:sz w:val="24"/>
        </w:rPr>
        <w:t>.</w:t>
      </w:r>
    </w:p>
    <w:p w14:paraId="24753466" w14:textId="449F7F7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Rregullorja nr. 16, datë 16.4.2010</w:t>
      </w:r>
      <w:r w:rsidR="00F04393"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treguesit e cilësisë së shërbimit</w:t>
      </w:r>
      <w:r w:rsidR="00850FC7" w:rsidRPr="00913E39">
        <w:rPr>
          <w:rFonts w:ascii="Garamond" w:hAnsi="Garamond"/>
          <w:sz w:val="24"/>
        </w:rPr>
        <w:t>”</w:t>
      </w:r>
      <w:r w:rsidRPr="00913E39">
        <w:rPr>
          <w:rFonts w:ascii="Garamond" w:hAnsi="Garamond"/>
          <w:sz w:val="24"/>
        </w:rPr>
        <w:t>.</w:t>
      </w:r>
    </w:p>
    <w:p w14:paraId="3F67FA75" w14:textId="35B23283" w:rsidR="00847F23" w:rsidRPr="00913E39" w:rsidRDefault="00F04393" w:rsidP="00FC4C60">
      <w:pPr>
        <w:spacing w:after="0" w:line="240" w:lineRule="auto"/>
        <w:ind w:firstLine="284"/>
        <w:jc w:val="both"/>
        <w:rPr>
          <w:rFonts w:ascii="Garamond" w:hAnsi="Garamond"/>
          <w:sz w:val="24"/>
        </w:rPr>
      </w:pPr>
      <w:r w:rsidRPr="00913E39">
        <w:rPr>
          <w:rFonts w:ascii="Garamond" w:hAnsi="Garamond"/>
          <w:sz w:val="24"/>
        </w:rPr>
        <w:t xml:space="preserve">Rregullorja </w:t>
      </w:r>
      <w:r w:rsidR="00847F23" w:rsidRPr="00913E39">
        <w:rPr>
          <w:rFonts w:ascii="Garamond" w:hAnsi="Garamond"/>
          <w:sz w:val="24"/>
        </w:rPr>
        <w:t>nr.</w:t>
      </w:r>
      <w:r w:rsidRPr="00913E39">
        <w:rPr>
          <w:rFonts w:ascii="Garamond" w:hAnsi="Garamond"/>
          <w:sz w:val="24"/>
        </w:rPr>
        <w:t xml:space="preserve"> </w:t>
      </w:r>
      <w:r w:rsidR="00847F23" w:rsidRPr="00913E39">
        <w:rPr>
          <w:rFonts w:ascii="Garamond" w:hAnsi="Garamond"/>
          <w:sz w:val="24"/>
        </w:rPr>
        <w:t>9, datë 17.7.2009</w:t>
      </w:r>
      <w:r w:rsidRPr="00913E39">
        <w:rPr>
          <w:rFonts w:ascii="Garamond" w:hAnsi="Garamond"/>
          <w:sz w:val="24"/>
        </w:rPr>
        <w:t>,</w:t>
      </w:r>
      <w:r w:rsidR="00847F23" w:rsidRPr="00913E39">
        <w:rPr>
          <w:rFonts w:ascii="Garamond" w:hAnsi="Garamond"/>
          <w:sz w:val="24"/>
        </w:rPr>
        <w:t xml:space="preserve"> </w:t>
      </w:r>
      <w:r w:rsidR="00850FC7" w:rsidRPr="00913E39">
        <w:rPr>
          <w:rFonts w:ascii="Garamond" w:hAnsi="Garamond"/>
          <w:sz w:val="24"/>
        </w:rPr>
        <w:t>“</w:t>
      </w:r>
      <w:r w:rsidR="00847F23" w:rsidRPr="00913E39">
        <w:rPr>
          <w:rFonts w:ascii="Garamond" w:hAnsi="Garamond"/>
          <w:sz w:val="24"/>
        </w:rPr>
        <w:t>Për analizën e tregut</w:t>
      </w:r>
      <w:r w:rsidR="00850FC7" w:rsidRPr="00913E39">
        <w:rPr>
          <w:rFonts w:ascii="Garamond" w:hAnsi="Garamond"/>
          <w:sz w:val="24"/>
        </w:rPr>
        <w:t>”</w:t>
      </w:r>
      <w:r w:rsidR="00847F23" w:rsidRPr="00913E39">
        <w:rPr>
          <w:rFonts w:ascii="Garamond" w:hAnsi="Garamond"/>
          <w:sz w:val="24"/>
        </w:rPr>
        <w:t>, ndryshuar me vendimin e Bordit të Drejtorëve nr.</w:t>
      </w:r>
      <w:r w:rsidRPr="00913E39">
        <w:rPr>
          <w:rFonts w:ascii="Garamond" w:hAnsi="Garamond"/>
          <w:sz w:val="24"/>
        </w:rPr>
        <w:t xml:space="preserve"> </w:t>
      </w:r>
      <w:r w:rsidR="00847F23" w:rsidRPr="00913E39">
        <w:rPr>
          <w:rFonts w:ascii="Garamond" w:hAnsi="Garamond"/>
          <w:sz w:val="24"/>
        </w:rPr>
        <w:t xml:space="preserve">2342, datë 31.7.2013, në përputhje me </w:t>
      </w:r>
      <w:r w:rsidRPr="00913E39">
        <w:rPr>
          <w:rFonts w:ascii="Garamond" w:hAnsi="Garamond"/>
          <w:sz w:val="24"/>
        </w:rPr>
        <w:t>r</w:t>
      </w:r>
      <w:r w:rsidR="00847F23" w:rsidRPr="00913E39">
        <w:rPr>
          <w:rFonts w:ascii="Garamond" w:hAnsi="Garamond"/>
          <w:sz w:val="24"/>
        </w:rPr>
        <w:t>ekomandimin 2007/879/KE dhe udhëzimet e Komisionit për analizën dhe vlerësimin e fuqisë së konsiderueshme të tregut në kuadrin rregullator të Komunitetit për rrjetet dhe shërbimet e komunikimeve elektronik (2002/C 165/03).</w:t>
      </w:r>
    </w:p>
    <w:p w14:paraId="13002656" w14:textId="5C58B5F8" w:rsidR="00847F23" w:rsidRPr="00913E39" w:rsidRDefault="00F04393" w:rsidP="00FC4C60">
      <w:pPr>
        <w:spacing w:after="0" w:line="240" w:lineRule="auto"/>
        <w:ind w:firstLine="284"/>
        <w:jc w:val="both"/>
        <w:rPr>
          <w:rFonts w:ascii="Garamond" w:hAnsi="Garamond"/>
          <w:sz w:val="24"/>
        </w:rPr>
      </w:pPr>
      <w:r w:rsidRPr="00913E39">
        <w:rPr>
          <w:rFonts w:ascii="Garamond" w:hAnsi="Garamond"/>
          <w:sz w:val="24"/>
        </w:rPr>
        <w:t xml:space="preserve">Rregullorja </w:t>
      </w:r>
      <w:r w:rsidR="00847F23" w:rsidRPr="00913E39">
        <w:rPr>
          <w:rFonts w:ascii="Garamond" w:hAnsi="Garamond"/>
          <w:sz w:val="24"/>
        </w:rPr>
        <w:t xml:space="preserve">nr. 32, datë 26.12.2013, </w:t>
      </w:r>
      <w:r w:rsidR="00850FC7" w:rsidRPr="00913E39">
        <w:rPr>
          <w:rFonts w:ascii="Garamond" w:hAnsi="Garamond"/>
          <w:sz w:val="24"/>
        </w:rPr>
        <w:t>“</w:t>
      </w:r>
      <w:r w:rsidR="00847F23" w:rsidRPr="00913E39">
        <w:rPr>
          <w:rFonts w:ascii="Garamond" w:hAnsi="Garamond"/>
          <w:sz w:val="24"/>
        </w:rPr>
        <w:t>Rregullat dhe udhëzimet për ndarjen e financave dhe përllogaritjen e shpenzimeve për sipërmarrësit me fuqi të ndjeshme në treg (FNT)</w:t>
      </w:r>
      <w:r w:rsidR="00850FC7" w:rsidRPr="00913E39">
        <w:rPr>
          <w:rFonts w:ascii="Garamond" w:hAnsi="Garamond"/>
          <w:sz w:val="24"/>
        </w:rPr>
        <w:t>”</w:t>
      </w:r>
      <w:r w:rsidR="00847F23" w:rsidRPr="00913E39">
        <w:rPr>
          <w:rFonts w:ascii="Garamond" w:hAnsi="Garamond"/>
          <w:sz w:val="24"/>
        </w:rPr>
        <w:t xml:space="preserve">, në përputhje të plotë me </w:t>
      </w:r>
      <w:r w:rsidR="00961102" w:rsidRPr="00913E39">
        <w:rPr>
          <w:rFonts w:ascii="Garamond" w:hAnsi="Garamond"/>
          <w:sz w:val="24"/>
        </w:rPr>
        <w:t xml:space="preserve">rekomandimin </w:t>
      </w:r>
      <w:r w:rsidR="00847F23" w:rsidRPr="00913E39">
        <w:rPr>
          <w:rFonts w:ascii="Garamond" w:hAnsi="Garamond"/>
          <w:sz w:val="24"/>
        </w:rPr>
        <w:t xml:space="preserve">2005/698/KE dhe </w:t>
      </w:r>
      <w:r w:rsidR="00961102" w:rsidRPr="00913E39">
        <w:rPr>
          <w:rFonts w:ascii="Garamond" w:hAnsi="Garamond"/>
          <w:sz w:val="24"/>
        </w:rPr>
        <w:t xml:space="preserve">rekomandimin </w:t>
      </w:r>
      <w:r w:rsidR="00847F23" w:rsidRPr="00913E39">
        <w:rPr>
          <w:rFonts w:ascii="Garamond" w:hAnsi="Garamond"/>
          <w:sz w:val="24"/>
        </w:rPr>
        <w:t>2009/396.</w:t>
      </w:r>
    </w:p>
    <w:p w14:paraId="07CB5DD4" w14:textId="079BCDFB" w:rsidR="00847F23" w:rsidRPr="00913E39" w:rsidRDefault="00F04393" w:rsidP="00FC4C60">
      <w:pPr>
        <w:spacing w:after="0" w:line="240" w:lineRule="auto"/>
        <w:ind w:firstLine="284"/>
        <w:jc w:val="both"/>
        <w:rPr>
          <w:rFonts w:ascii="Garamond" w:hAnsi="Garamond"/>
          <w:sz w:val="24"/>
        </w:rPr>
      </w:pPr>
      <w:r w:rsidRPr="00913E39">
        <w:rPr>
          <w:rFonts w:ascii="Garamond" w:hAnsi="Garamond"/>
          <w:sz w:val="24"/>
        </w:rPr>
        <w:t xml:space="preserve">Rregullorja </w:t>
      </w:r>
      <w:r w:rsidR="00847F23" w:rsidRPr="00913E39">
        <w:rPr>
          <w:rFonts w:ascii="Garamond" w:hAnsi="Garamond"/>
          <w:sz w:val="24"/>
        </w:rPr>
        <w:t>nr.</w:t>
      </w:r>
      <w:r w:rsidRPr="00913E39">
        <w:rPr>
          <w:rFonts w:ascii="Garamond" w:hAnsi="Garamond"/>
          <w:sz w:val="24"/>
        </w:rPr>
        <w:t xml:space="preserve"> </w:t>
      </w:r>
      <w:r w:rsidR="00847F23" w:rsidRPr="00913E39">
        <w:rPr>
          <w:rFonts w:ascii="Garamond" w:hAnsi="Garamond"/>
          <w:sz w:val="24"/>
        </w:rPr>
        <w:t xml:space="preserve">19, datë 14.6.2010, </w:t>
      </w:r>
      <w:r w:rsidR="00850FC7" w:rsidRPr="00913E39">
        <w:rPr>
          <w:rFonts w:ascii="Garamond" w:hAnsi="Garamond"/>
          <w:sz w:val="24"/>
        </w:rPr>
        <w:t>“</w:t>
      </w:r>
      <w:r w:rsidR="00847F23" w:rsidRPr="00913E39">
        <w:rPr>
          <w:rFonts w:ascii="Garamond" w:hAnsi="Garamond"/>
          <w:sz w:val="24"/>
        </w:rPr>
        <w:t>Për aksesin dhe interkoneksionin</w:t>
      </w:r>
      <w:r w:rsidR="00850FC7" w:rsidRPr="00913E39">
        <w:rPr>
          <w:rFonts w:ascii="Garamond" w:hAnsi="Garamond"/>
          <w:sz w:val="24"/>
        </w:rPr>
        <w:t>”</w:t>
      </w:r>
      <w:r w:rsidR="00847F23" w:rsidRPr="00913E39">
        <w:rPr>
          <w:rFonts w:ascii="Garamond" w:hAnsi="Garamond"/>
          <w:sz w:val="24"/>
        </w:rPr>
        <w:t>.</w:t>
      </w:r>
    </w:p>
    <w:p w14:paraId="1FDB446A"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Rregullorja </w:t>
      </w:r>
      <w:r w:rsidR="00850FC7" w:rsidRPr="00913E39">
        <w:rPr>
          <w:rFonts w:ascii="Garamond" w:hAnsi="Garamond"/>
          <w:sz w:val="24"/>
        </w:rPr>
        <w:t>“</w:t>
      </w:r>
      <w:r w:rsidRPr="00913E39">
        <w:rPr>
          <w:rFonts w:ascii="Garamond" w:hAnsi="Garamond"/>
          <w:sz w:val="24"/>
        </w:rPr>
        <w:t>Për zbatimin e politikës së përdorimit të drejtë (FUP) dhe qëndrueshmërinë e RLAH me Ballkanin Perëndimor</w:t>
      </w:r>
      <w:r w:rsidR="00850FC7" w:rsidRPr="00913E39">
        <w:rPr>
          <w:rFonts w:ascii="Garamond" w:hAnsi="Garamond"/>
          <w:sz w:val="24"/>
        </w:rPr>
        <w:t>”</w:t>
      </w:r>
      <w:r w:rsidRPr="00913E39">
        <w:rPr>
          <w:rFonts w:ascii="Garamond" w:hAnsi="Garamond"/>
          <w:sz w:val="24"/>
        </w:rPr>
        <w:t>, miratuar me vendimin nr. 9, datë 9.6.2021 të Bordit të AKEP-it.</w:t>
      </w:r>
    </w:p>
    <w:p w14:paraId="39DC6B67" w14:textId="7F39B98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Rregullorja nr. 49, datë 11.3.2021</w:t>
      </w:r>
      <w:r w:rsidR="00F04393"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mbrojtjen e konsumatorëve dhe abonentëve të shërbimeve të përdoruesve elektronik publik</w:t>
      </w:r>
      <w:r w:rsidR="00850FC7" w:rsidRPr="00913E39">
        <w:rPr>
          <w:rFonts w:ascii="Garamond" w:hAnsi="Garamond"/>
          <w:sz w:val="24"/>
        </w:rPr>
        <w:t>”</w:t>
      </w:r>
      <w:r w:rsidRPr="00913E39">
        <w:rPr>
          <w:rFonts w:ascii="Garamond" w:hAnsi="Garamond"/>
          <w:sz w:val="24"/>
        </w:rPr>
        <w:t>.</w:t>
      </w:r>
    </w:p>
    <w:p w14:paraId="5811208A" w14:textId="7D767A3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Gjatë vitit 2022, bazuar në Planin Kombëtar të Integrimit Evropian, Ministria e Infrastrukturës dhe Energjisë, e mbështetur nga BE-ja nëpërmjet projektit të asistencës teknike </w:t>
      </w:r>
      <w:r w:rsidR="00850FC7" w:rsidRPr="00913E39">
        <w:rPr>
          <w:rFonts w:ascii="Garamond" w:hAnsi="Garamond"/>
          <w:sz w:val="24"/>
        </w:rPr>
        <w:t>“</w:t>
      </w:r>
      <w:r w:rsidRPr="00913E39">
        <w:rPr>
          <w:rFonts w:ascii="Garamond" w:hAnsi="Garamond"/>
          <w:sz w:val="24"/>
        </w:rPr>
        <w:t>Mbështetje për Ministrinë e Infrastrukturës dhe Energjisë për zbatimin e Kodit të ri Evropian të Komunikimeve Elektronike dhe Internetit të Hapur</w:t>
      </w:r>
      <w:r w:rsidR="00850FC7" w:rsidRPr="00913E39">
        <w:rPr>
          <w:rFonts w:ascii="Garamond" w:hAnsi="Garamond"/>
          <w:sz w:val="24"/>
        </w:rPr>
        <w:t>”</w:t>
      </w:r>
      <w:r w:rsidRPr="00913E39">
        <w:rPr>
          <w:rFonts w:ascii="Garamond" w:hAnsi="Garamond"/>
          <w:sz w:val="24"/>
        </w:rPr>
        <w:t>, hartoi një ligji i ri për komunikimin elektronik për të nd</w:t>
      </w:r>
      <w:r w:rsidR="00F04393" w:rsidRPr="00913E39">
        <w:rPr>
          <w:rFonts w:ascii="Garamond" w:hAnsi="Garamond"/>
          <w:sz w:val="24"/>
        </w:rPr>
        <w:t>r</w:t>
      </w:r>
      <w:r w:rsidRPr="00913E39">
        <w:rPr>
          <w:rFonts w:ascii="Garamond" w:hAnsi="Garamond"/>
          <w:sz w:val="24"/>
        </w:rPr>
        <w:t xml:space="preserve">yshuar </w:t>
      </w:r>
      <w:r w:rsidR="00F04393" w:rsidRPr="00913E39">
        <w:rPr>
          <w:rFonts w:ascii="Garamond" w:hAnsi="Garamond"/>
          <w:sz w:val="24"/>
        </w:rPr>
        <w:t>d</w:t>
      </w:r>
      <w:r w:rsidRPr="00913E39">
        <w:rPr>
          <w:rFonts w:ascii="Garamond" w:hAnsi="Garamond"/>
          <w:sz w:val="24"/>
        </w:rPr>
        <w:t xml:space="preserve">irektivën (BE) 2018/1972 e Parlamentit dhe Këshillit Evropian datë 11 dhjetor 2018 që krijon Kodin Evropian të Komunikimeve Elektronike (Rishikuar). Projektligji për komunikimin elektronik është në fazën përfundimtare të konsultimeve dhe planifikohet të miratohet brenda vitit 2023. </w:t>
      </w:r>
    </w:p>
    <w:p w14:paraId="241A2AF9"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Dispozitat e kodit përfshijnë masa për të stimuluar investimet dhe përvetësimin e rrjeteve me kapacitet shumë të lartë në Bashkimin Evropian, rregulla të reja të spektrit për lidhjen celulare dhe 5G, si dhe ndryshime në menaxhimin, regjimin e shërbimit të përgjithshëm, rregullat e mbrojtjes së përdoruesit konsumator, dhe rregullat e komunikimit të numrave dhe emergjencave. Projektligji i ri vendos si objektiv strategjik zhvillimin e rrjeteve me kapacitet shumë të lartë (VHCN). </w:t>
      </w:r>
    </w:p>
    <w:p w14:paraId="1AEF47F5" w14:textId="30DECBFF"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Ligji për zhvillimin e rrjeteve të komunikimeve elektronike të shpejtësisë së lartë dhe sigurimin e të drejtave të kalimit</w:t>
      </w:r>
      <w:r w:rsidRPr="00913E39">
        <w:rPr>
          <w:rFonts w:ascii="Garamond" w:hAnsi="Garamond"/>
          <w:sz w:val="24"/>
        </w:rPr>
        <w:t xml:space="preserve"> (</w:t>
      </w:r>
      <w:r w:rsidRPr="00913E39">
        <w:rPr>
          <w:rFonts w:ascii="Garamond" w:hAnsi="Garamond"/>
          <w:b/>
          <w:sz w:val="24"/>
        </w:rPr>
        <w:t>nr. 120/2016)</w:t>
      </w:r>
      <w:r w:rsidRPr="00913E39">
        <w:rPr>
          <w:rFonts w:ascii="Garamond" w:hAnsi="Garamond"/>
          <w:sz w:val="24"/>
        </w:rPr>
        <w:t>. Ky ligj ka për qëllim të lehtësojë e nxisë ndërtimin e rrjeteve të komunikimeve elektronike të shpejtësisë së lartë, duke promovuar përdorimin e përbashkët të infrastrukturës fizike ekzistuese dhe një zhvillim më efikas të infrastrukturës së re fizike. Objektivi i tij është të zvogëlojë koston e procedurave</w:t>
      </w:r>
      <w:r w:rsidR="00961102" w:rsidRPr="00913E39">
        <w:rPr>
          <w:rFonts w:ascii="Garamond" w:hAnsi="Garamond"/>
          <w:sz w:val="24"/>
        </w:rPr>
        <w:t>,</w:t>
      </w:r>
      <w:r w:rsidRPr="00913E39">
        <w:rPr>
          <w:rFonts w:ascii="Garamond" w:hAnsi="Garamond"/>
          <w:sz w:val="24"/>
        </w:rPr>
        <w:t xml:space="preserve"> si dhe të sigurojë të drejtat e kalimit për përdorimin e </w:t>
      </w:r>
      <w:r w:rsidRPr="00913E39">
        <w:rPr>
          <w:rFonts w:ascii="Garamond" w:hAnsi="Garamond"/>
          <w:i/>
          <w:sz w:val="24"/>
        </w:rPr>
        <w:t>broadbands</w:t>
      </w:r>
      <w:r w:rsidRPr="00913E39">
        <w:rPr>
          <w:rFonts w:ascii="Garamond" w:hAnsi="Garamond"/>
          <w:sz w:val="24"/>
        </w:rPr>
        <w:t xml:space="preserve">. Ky ligj synon rritjen e investimeve, përmirësimin e promovimit të </w:t>
      </w:r>
      <w:r w:rsidRPr="00913E39">
        <w:rPr>
          <w:rFonts w:ascii="Garamond" w:hAnsi="Garamond"/>
          <w:i/>
          <w:sz w:val="24"/>
        </w:rPr>
        <w:t>broadbands</w:t>
      </w:r>
      <w:r w:rsidRPr="00913E39">
        <w:rPr>
          <w:rFonts w:ascii="Garamond" w:hAnsi="Garamond"/>
          <w:sz w:val="24"/>
        </w:rPr>
        <w:t xml:space="preserve">, rritjen e efikasitetit të infrastrukturës ekzistuese nëpërmjet ndarjes së infrastrukturës, si dhe rritjen e konkurrencës. Përveç kësaj, ka disa përfitime sociale dhe mjedisore. Ligji nr. 120/2016 e ka ndryshuar </w:t>
      </w:r>
      <w:r w:rsidR="00F04393" w:rsidRPr="00913E39">
        <w:rPr>
          <w:rFonts w:ascii="Garamond" w:hAnsi="Garamond"/>
          <w:sz w:val="24"/>
        </w:rPr>
        <w:t>d</w:t>
      </w:r>
      <w:r w:rsidRPr="00913E39">
        <w:rPr>
          <w:rFonts w:ascii="Garamond" w:hAnsi="Garamond"/>
          <w:sz w:val="24"/>
        </w:rPr>
        <w:t>irektivën e BE-së 2014/61/BE të Parlamentit dhe Këshillit Evropian datë 15 maj 2014</w:t>
      </w:r>
      <w:r w:rsidR="00B8514E"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Mbi masat për uljen e shpenzimeve të krijimit të rrjeteve të komunikimeve elektronike të shpejtësisë së lartë</w:t>
      </w:r>
      <w:r w:rsidR="00850FC7" w:rsidRPr="00913E39">
        <w:rPr>
          <w:rFonts w:ascii="Garamond" w:hAnsi="Garamond"/>
          <w:sz w:val="24"/>
        </w:rPr>
        <w:t>”</w:t>
      </w:r>
      <w:r w:rsidRPr="00913E39">
        <w:rPr>
          <w:rFonts w:ascii="Garamond" w:hAnsi="Garamond"/>
          <w:sz w:val="24"/>
        </w:rPr>
        <w:t>.</w:t>
      </w:r>
    </w:p>
    <w:p w14:paraId="68A85001" w14:textId="437AB50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përputhje me </w:t>
      </w:r>
      <w:r w:rsidRPr="00913E39">
        <w:rPr>
          <w:rFonts w:ascii="Garamond" w:hAnsi="Garamond"/>
          <w:b/>
          <w:sz w:val="24"/>
        </w:rPr>
        <w:t>ligjin nr.</w:t>
      </w:r>
      <w:r w:rsidR="008B1D57" w:rsidRPr="00913E39">
        <w:rPr>
          <w:rFonts w:ascii="Garamond" w:hAnsi="Garamond"/>
          <w:b/>
          <w:sz w:val="24"/>
        </w:rPr>
        <w:t xml:space="preserve"> </w:t>
      </w:r>
      <w:r w:rsidRPr="00913E39">
        <w:rPr>
          <w:rFonts w:ascii="Garamond" w:hAnsi="Garamond"/>
          <w:b/>
          <w:sz w:val="24"/>
        </w:rPr>
        <w:t>120/2016</w:t>
      </w:r>
      <w:r w:rsidRPr="00913E39">
        <w:rPr>
          <w:rFonts w:ascii="Garamond" w:hAnsi="Garamond"/>
          <w:sz w:val="24"/>
        </w:rPr>
        <w:t xml:space="preserve"> janë miratuar një sërë aktesh nënligjore dhe janë duke u hartuar dy të tjera:</w:t>
      </w:r>
    </w:p>
    <w:p w14:paraId="1C121394" w14:textId="2FE828D8"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lastRenderedPageBreak/>
        <w:t>VKM nr. 189, datë 30.3.2022</w:t>
      </w:r>
      <w:r w:rsidR="00441E33"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përcaktimin e rregullave për infrastrukturën e brendshme për rrjetet e komunikimeve elektronike me shpejtësi të lartë dhe menaxhimin/administrimin e pikës së aksesit në godina</w:t>
      </w:r>
      <w:r w:rsidR="00850FC7" w:rsidRPr="00913E39">
        <w:rPr>
          <w:rFonts w:ascii="Garamond" w:hAnsi="Garamond"/>
          <w:sz w:val="24"/>
        </w:rPr>
        <w:t>”</w:t>
      </w:r>
      <w:r w:rsidRPr="00913E39">
        <w:rPr>
          <w:rFonts w:ascii="Garamond" w:hAnsi="Garamond"/>
          <w:sz w:val="24"/>
        </w:rPr>
        <w:t xml:space="preserve">. </w:t>
      </w:r>
    </w:p>
    <w:p w14:paraId="7C85C6BD" w14:textId="741A4C25"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VKM nr. 22, datë 13.1.2022</w:t>
      </w:r>
      <w:r w:rsidR="00441E33"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përcaktimin e kategorive të ndërtesave, që përjashtohen nga detyrimi i pikës së aksesit për infrastrukturën e rrjeteve të komunikimeve elektronike</w:t>
      </w:r>
      <w:r w:rsidR="00850FC7" w:rsidRPr="00913E39">
        <w:rPr>
          <w:rFonts w:ascii="Garamond" w:hAnsi="Garamond"/>
          <w:sz w:val="24"/>
        </w:rPr>
        <w:t>”</w:t>
      </w:r>
      <w:r w:rsidRPr="00913E39">
        <w:rPr>
          <w:rFonts w:ascii="Garamond" w:hAnsi="Garamond"/>
          <w:sz w:val="24"/>
        </w:rPr>
        <w:t>.</w:t>
      </w:r>
    </w:p>
    <w:p w14:paraId="332646C8" w14:textId="15763D4C"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VKM nr. 155, datë 11.3.2022</w:t>
      </w:r>
      <w:r w:rsidR="00441E33"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miratimin e rregullave të përgjithshme për procedurat e dhënies të së drejtës së kalimit për ndërtimin e rrjeteve të komunikimeve elektronike me shpejtësi të lartë</w:t>
      </w:r>
      <w:r w:rsidR="00850FC7" w:rsidRPr="00913E39">
        <w:rPr>
          <w:rFonts w:ascii="Garamond" w:hAnsi="Garamond"/>
          <w:sz w:val="24"/>
        </w:rPr>
        <w:t>”</w:t>
      </w:r>
      <w:r w:rsidRPr="00913E39">
        <w:rPr>
          <w:rFonts w:ascii="Garamond" w:hAnsi="Garamond"/>
          <w:sz w:val="24"/>
        </w:rPr>
        <w:t>.</w:t>
      </w:r>
    </w:p>
    <w:p w14:paraId="5E7645E3" w14:textId="3CE76E10"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VKM nr. 190, datë 30.3.2022</w:t>
      </w:r>
      <w:r w:rsidR="00441E33"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miratimin e rregullave për shpërndarjen e kostove të lidhura me koordinimin e punimeve civile</w:t>
      </w:r>
      <w:r w:rsidR="00850FC7" w:rsidRPr="00913E39">
        <w:rPr>
          <w:rFonts w:ascii="Garamond" w:hAnsi="Garamond"/>
          <w:sz w:val="24"/>
        </w:rPr>
        <w:t>”</w:t>
      </w:r>
      <w:r w:rsidRPr="00913E39">
        <w:rPr>
          <w:rFonts w:ascii="Garamond" w:hAnsi="Garamond"/>
          <w:sz w:val="24"/>
        </w:rPr>
        <w:t>.</w:t>
      </w:r>
    </w:p>
    <w:p w14:paraId="7A64107E" w14:textId="5C5175D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lehtësimin e krijimit të infrastrukturës digjitale në qershor 2022 është miratuar </w:t>
      </w:r>
      <w:r w:rsidRPr="00913E39">
        <w:rPr>
          <w:rFonts w:ascii="Garamond" w:hAnsi="Garamond"/>
          <w:b/>
          <w:sz w:val="24"/>
        </w:rPr>
        <w:t>VKM nr. 457, datë 29.6.2022</w:t>
      </w:r>
      <w:r w:rsidR="00441E33"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disa ndryshime në VKM</w:t>
      </w:r>
      <w:r w:rsidR="0086631D" w:rsidRPr="00913E39">
        <w:rPr>
          <w:rFonts w:ascii="Garamond" w:hAnsi="Garamond"/>
          <w:sz w:val="24"/>
        </w:rPr>
        <w:t>-në</w:t>
      </w:r>
      <w:r w:rsidRPr="00913E39">
        <w:rPr>
          <w:rFonts w:ascii="Garamond" w:hAnsi="Garamond"/>
          <w:sz w:val="24"/>
        </w:rPr>
        <w:t xml:space="preserve"> nr. 408, datë 13.5.2015</w:t>
      </w:r>
      <w:r w:rsidR="0086631D"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miratimin e rregullores për zhvillimin e territorit</w:t>
      </w:r>
      <w:r w:rsidR="00850FC7" w:rsidRPr="00913E39">
        <w:rPr>
          <w:rFonts w:ascii="Garamond" w:hAnsi="Garamond"/>
          <w:sz w:val="24"/>
        </w:rPr>
        <w:t>”</w:t>
      </w:r>
      <w:r w:rsidRPr="00913E39">
        <w:rPr>
          <w:rFonts w:ascii="Garamond" w:hAnsi="Garamond"/>
          <w:sz w:val="24"/>
        </w:rPr>
        <w:t>. Vendimi i ri vendosi rregulla më të lehta për lejet e ndërtimit për antenat e vogla celulare, rrjetit+</w:t>
      </w:r>
      <w:r w:rsidR="00441E33" w:rsidRPr="00913E39">
        <w:rPr>
          <w:rFonts w:ascii="Garamond" w:hAnsi="Garamond"/>
          <w:sz w:val="24"/>
        </w:rPr>
        <w:t>,</w:t>
      </w:r>
      <w:r w:rsidRPr="00913E39">
        <w:rPr>
          <w:rFonts w:ascii="Garamond" w:hAnsi="Garamond"/>
          <w:sz w:val="24"/>
        </w:rPr>
        <w:t xml:space="preserve"> si dhe për rrjetin e internetit. Ky akt nënligjor synon të lehtësojë procesin e dhënies së lejeve për vendosjen e rrjetit 5G. Rregullimi i lejeve të ndërtimit për rrjetet 5G është gjithashtu pjesë e reformave të politikave të përfshira në planin për uljen e çmimeve të </w:t>
      </w:r>
      <w:r w:rsidRPr="00913E39">
        <w:rPr>
          <w:rFonts w:ascii="Garamond" w:hAnsi="Garamond"/>
          <w:i/>
          <w:sz w:val="24"/>
        </w:rPr>
        <w:t>roaming</w:t>
      </w:r>
      <w:r w:rsidRPr="00913E39">
        <w:rPr>
          <w:rFonts w:ascii="Garamond" w:hAnsi="Garamond"/>
          <w:sz w:val="24"/>
        </w:rPr>
        <w:t xml:space="preserve"> midis BE-së dhe Ballkanit Perëndimor.</w:t>
      </w:r>
    </w:p>
    <w:p w14:paraId="6BD9BBB7" w14:textId="77777777" w:rsidR="00847F23" w:rsidRPr="00913E39" w:rsidRDefault="00847F23" w:rsidP="00FC4C60">
      <w:pPr>
        <w:spacing w:after="0" w:line="240" w:lineRule="auto"/>
        <w:ind w:firstLine="284"/>
        <w:jc w:val="both"/>
        <w:rPr>
          <w:rFonts w:ascii="Garamond" w:hAnsi="Garamond"/>
          <w:sz w:val="24"/>
        </w:rPr>
      </w:pPr>
      <w:bookmarkStart w:id="9" w:name="_Hlk148859065"/>
      <w:r w:rsidRPr="00913E39">
        <w:rPr>
          <w:rFonts w:ascii="Garamond" w:hAnsi="Garamond"/>
          <w:sz w:val="24"/>
        </w:rPr>
        <w:t xml:space="preserve">Katër akte nënligjore janë miratuar gjatë vitit 2022 në bazë të këtij ligji dhe dy akte të tjera janë në pritje të miratimit. </w:t>
      </w:r>
      <w:bookmarkEnd w:id="9"/>
      <w:r w:rsidRPr="00913E39">
        <w:rPr>
          <w:rFonts w:ascii="Garamond" w:hAnsi="Garamond"/>
          <w:sz w:val="24"/>
        </w:rPr>
        <w:t xml:space="preserve">Bazuar në konsultimet me palët e interesuara, zbatimi i ligjit nr. 120/2016 ka hasur në disa pengesa që lidhen kryesisht me aksesin në infrastrukturën ekzistuese fizike dhe aksesin në ndërtesa. Reformat dhe ndërhyrjet e ndërmarra kontribuojnë në zhvillimin e infrastrukturës digjitale, por edhe në masat dhe avancimin e mëtejshëm drejt shoqërisë </w:t>
      </w:r>
      <w:r w:rsidRPr="00913E39">
        <w:rPr>
          <w:rFonts w:ascii="Garamond" w:hAnsi="Garamond"/>
          <w:i/>
          <w:sz w:val="24"/>
        </w:rPr>
        <w:t>gigabit</w:t>
      </w:r>
      <w:r w:rsidRPr="00913E39">
        <w:rPr>
          <w:rFonts w:ascii="Garamond" w:hAnsi="Garamond"/>
          <w:sz w:val="24"/>
        </w:rPr>
        <w:t xml:space="preserve"> që nevojiten për të arritur qëllimet. </w:t>
      </w:r>
    </w:p>
    <w:p w14:paraId="1B0344C2" w14:textId="5886426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Ligji nr. 120/2016 duhet të rishikohet në dritën e objektivave të </w:t>
      </w:r>
      <w:r w:rsidR="00C41722" w:rsidRPr="00913E39">
        <w:rPr>
          <w:rFonts w:ascii="Garamond" w:hAnsi="Garamond"/>
          <w:sz w:val="24"/>
        </w:rPr>
        <w:t>rinj</w:t>
      </w:r>
      <w:r w:rsidRPr="00913E39">
        <w:rPr>
          <w:rFonts w:ascii="Garamond" w:hAnsi="Garamond"/>
          <w:sz w:val="24"/>
        </w:rPr>
        <w:t xml:space="preserve"> të përcaktuar në SKZHIE dhe për të nxitur </w:t>
      </w:r>
      <w:r w:rsidRPr="00913E39">
        <w:rPr>
          <w:rFonts w:ascii="Garamond" w:hAnsi="Garamond"/>
          <w:i/>
          <w:sz w:val="24"/>
        </w:rPr>
        <w:t xml:space="preserve">broadband </w:t>
      </w:r>
      <w:r w:rsidR="0086631D" w:rsidRPr="00913E39">
        <w:rPr>
          <w:rFonts w:ascii="Garamond" w:hAnsi="Garamond"/>
          <w:i/>
          <w:sz w:val="24"/>
        </w:rPr>
        <w:t>gigabit</w:t>
      </w:r>
      <w:r w:rsidR="0086631D" w:rsidRPr="00913E39">
        <w:rPr>
          <w:rFonts w:ascii="Garamond" w:hAnsi="Garamond"/>
          <w:sz w:val="24"/>
        </w:rPr>
        <w:t xml:space="preserve"> </w:t>
      </w:r>
      <w:r w:rsidRPr="00913E39">
        <w:rPr>
          <w:rFonts w:ascii="Garamond" w:hAnsi="Garamond"/>
          <w:sz w:val="24"/>
        </w:rPr>
        <w:t xml:space="preserve">dhe për të mbështetur instalimin e 5G. Gjithashtu, </w:t>
      </w:r>
      <w:r w:rsidR="0086631D" w:rsidRPr="00913E39">
        <w:rPr>
          <w:rFonts w:ascii="Garamond" w:hAnsi="Garamond"/>
          <w:sz w:val="24"/>
        </w:rPr>
        <w:t xml:space="preserve">ligji nr. </w:t>
      </w:r>
      <w:r w:rsidRPr="00913E39">
        <w:rPr>
          <w:rFonts w:ascii="Garamond" w:hAnsi="Garamond"/>
          <w:sz w:val="24"/>
        </w:rPr>
        <w:t xml:space="preserve">120/2016 duhet të harmonizohet me kuadrin e ri ligjor për komunikimin elektronik i cili bazohet në direktivën EECC me objektivin strategjik për zhvillimin e </w:t>
      </w:r>
      <w:r w:rsidR="0086631D" w:rsidRPr="00913E39">
        <w:rPr>
          <w:rFonts w:ascii="Garamond" w:hAnsi="Garamond"/>
          <w:sz w:val="24"/>
        </w:rPr>
        <w:t xml:space="preserve">rrjeteve me kapacitet shumë të lartë </w:t>
      </w:r>
      <w:r w:rsidRPr="00913E39">
        <w:rPr>
          <w:rFonts w:ascii="Garamond" w:hAnsi="Garamond"/>
          <w:sz w:val="24"/>
        </w:rPr>
        <w:t xml:space="preserve">(VHCN). Rishikimi i ligjit nr. 120/2016 duhet të marrë gjithashtu parasysh synimet dhe objektivat e vendosur në SKZHIE, objektivat për shoqërinë </w:t>
      </w:r>
      <w:r w:rsidRPr="00913E39">
        <w:rPr>
          <w:rFonts w:ascii="Garamond" w:hAnsi="Garamond"/>
          <w:i/>
          <w:sz w:val="24"/>
        </w:rPr>
        <w:t>gigabit</w:t>
      </w:r>
      <w:r w:rsidRPr="00913E39">
        <w:rPr>
          <w:rFonts w:ascii="Garamond" w:hAnsi="Garamond"/>
          <w:sz w:val="24"/>
        </w:rPr>
        <w:t xml:space="preserve"> dhe 5G në përputhje me Busullën Digjitale të BE-së, Dekadën Digjitale të BE-së dhe objektivat e vendosur në Marrëveshjen Gjelbër Evropiane, për të siguruar që legjislacioni të jetë plotësisht në përputhje me qëllimet e qëndrueshmërisë.</w:t>
      </w:r>
    </w:p>
    <w:p w14:paraId="677181E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Bazuar në Planin Kombëtar të Integrimit Evropian pritet të miratohen akte të tjera nënligjore. Më tej, masat për harmonizimin e ligjit për </w:t>
      </w:r>
      <w:r w:rsidRPr="00913E39">
        <w:rPr>
          <w:rFonts w:ascii="Garamond" w:hAnsi="Garamond"/>
          <w:i/>
          <w:sz w:val="24"/>
        </w:rPr>
        <w:t>broadband</w:t>
      </w:r>
      <w:r w:rsidRPr="00913E39">
        <w:rPr>
          <w:rFonts w:ascii="Garamond" w:hAnsi="Garamond"/>
          <w:sz w:val="24"/>
        </w:rPr>
        <w:t xml:space="preserve"> me ligjin e ri të komunikimit elektronik, veçanërisht për arritjen e objektivit strategjik për VHCN-në, nevojiten paralelisht me domosdoshmërinë për të kapërcyer pengesat tashmë të evidentuara në zbatimin e ligjit nr. 120/2016.</w:t>
      </w:r>
    </w:p>
    <w:p w14:paraId="0891099C" w14:textId="1915356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Ligji nr. 10463, datë 22.9.2011 </w:t>
      </w:r>
      <w:r w:rsidR="00850FC7" w:rsidRPr="00913E39">
        <w:rPr>
          <w:rFonts w:ascii="Garamond" w:hAnsi="Garamond"/>
          <w:sz w:val="24"/>
        </w:rPr>
        <w:t>“</w:t>
      </w:r>
      <w:r w:rsidRPr="00913E39">
        <w:rPr>
          <w:rFonts w:ascii="Garamond" w:hAnsi="Garamond"/>
          <w:sz w:val="24"/>
        </w:rPr>
        <w:t>Për menaxhimin e integruar të mbetjeve</w:t>
      </w:r>
      <w:r w:rsidR="00850FC7" w:rsidRPr="00913E39">
        <w:rPr>
          <w:rFonts w:ascii="Garamond" w:hAnsi="Garamond"/>
          <w:sz w:val="24"/>
        </w:rPr>
        <w:t>”</w:t>
      </w:r>
      <w:r w:rsidRPr="00913E39">
        <w:rPr>
          <w:rFonts w:ascii="Garamond" w:hAnsi="Garamond"/>
          <w:sz w:val="24"/>
        </w:rPr>
        <w:t xml:space="preserve"> është legjislacioni kryesor që përcakton përgjegjësitë institucionale në fushën e menaxhimit të mbetjeve. Ky ligj është rregulluar me vendimin e Këshillit të Ministrave nr.</w:t>
      </w:r>
      <w:r w:rsidR="0086631D" w:rsidRPr="00913E39">
        <w:rPr>
          <w:rFonts w:ascii="Garamond" w:hAnsi="Garamond"/>
          <w:sz w:val="24"/>
        </w:rPr>
        <w:t xml:space="preserve"> </w:t>
      </w:r>
      <w:r w:rsidRPr="00913E39">
        <w:rPr>
          <w:rFonts w:ascii="Garamond" w:hAnsi="Garamond"/>
          <w:sz w:val="24"/>
        </w:rPr>
        <w:t>957, datë 19.12.2012</w:t>
      </w:r>
      <w:r w:rsidR="0086631D"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mbetjet nga pajisjet elektrike dhe elektronike</w:t>
      </w:r>
      <w:r w:rsidR="00850FC7" w:rsidRPr="00913E39">
        <w:rPr>
          <w:rFonts w:ascii="Garamond" w:hAnsi="Garamond"/>
          <w:sz w:val="24"/>
        </w:rPr>
        <w:t>”</w:t>
      </w:r>
      <w:r w:rsidRPr="00913E39">
        <w:rPr>
          <w:rFonts w:ascii="Garamond" w:hAnsi="Garamond"/>
          <w:sz w:val="24"/>
        </w:rPr>
        <w:t xml:space="preserve">. Aktualisht po hartohet dhe do të publikohet për konsultim një ligj i ri </w:t>
      </w:r>
      <w:r w:rsidR="00850FC7" w:rsidRPr="00913E39">
        <w:rPr>
          <w:rFonts w:ascii="Garamond" w:hAnsi="Garamond"/>
          <w:sz w:val="24"/>
        </w:rPr>
        <w:t>“</w:t>
      </w:r>
      <w:r w:rsidRPr="00913E39">
        <w:rPr>
          <w:rFonts w:ascii="Garamond" w:hAnsi="Garamond"/>
          <w:sz w:val="24"/>
        </w:rPr>
        <w:t>Për përgjegjësitë e ekzagjeruara të prodhuesit</w:t>
      </w:r>
      <w:r w:rsidR="00850FC7" w:rsidRPr="00913E39">
        <w:rPr>
          <w:rFonts w:ascii="Garamond" w:hAnsi="Garamond"/>
          <w:sz w:val="24"/>
        </w:rPr>
        <w:t>”</w:t>
      </w:r>
      <w:r w:rsidRPr="00913E39">
        <w:rPr>
          <w:rFonts w:ascii="Garamond" w:hAnsi="Garamond"/>
          <w:sz w:val="24"/>
        </w:rPr>
        <w:t>, një pjesë e të cilit ka të bëjë me menaxhimin e mbetjeve elektronike (menaxhimi i mbetjeve elektronike). Ky projektligj synon të mundësojë zbatimin e detyrimit të prodhuesve që gjenerojnë mbetje pas konsumit për të pasur përgjegjësi shtesë për fazën pas konsumit të produkteve të tyre, me një objektiv specifik në tr</w:t>
      </w:r>
      <w:r w:rsidR="0086631D" w:rsidRPr="00913E39">
        <w:rPr>
          <w:rFonts w:ascii="Garamond" w:hAnsi="Garamond"/>
          <w:sz w:val="24"/>
        </w:rPr>
        <w:t>i</w:t>
      </w:r>
      <w:r w:rsidRPr="00913E39">
        <w:rPr>
          <w:rFonts w:ascii="Garamond" w:hAnsi="Garamond"/>
          <w:sz w:val="24"/>
        </w:rPr>
        <w:t xml:space="preserve"> kategori mbetjesh, njëra prej të cilave është mbetja elektronike. Ky ligj pritet të hyjë në fuqi nga janari i vitit 2025.</w:t>
      </w:r>
    </w:p>
    <w:p w14:paraId="3F2A49DD" w14:textId="0343394F"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2.3</w:t>
      </w:r>
      <w:r w:rsidR="0086631D" w:rsidRPr="00913E39">
        <w:rPr>
          <w:rFonts w:ascii="Garamond" w:hAnsi="Garamond"/>
          <w:i/>
          <w:sz w:val="24"/>
        </w:rPr>
        <w:t xml:space="preserve"> </w:t>
      </w:r>
      <w:r w:rsidRPr="00913E39">
        <w:rPr>
          <w:rFonts w:ascii="Garamond" w:hAnsi="Garamond"/>
          <w:i/>
          <w:sz w:val="24"/>
        </w:rPr>
        <w:t>Kuadri institucional, funksionimi dhe organizimi</w:t>
      </w:r>
    </w:p>
    <w:p w14:paraId="546072DC" w14:textId="69568FE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Agjencia Kombëtare e Shoqërisë së Informacionit (AKSHI) do të jetë përgjegjëse për menaxhimin e përgjithshëm të Programit Operacional Ekonomia dhe Shoqëria Digjitale. AKSHI u krijua me vendim të Këshillit të Ministrave të Shqipërisë në vitin 2007. Ai është institucioni kryesor në Shqipëri për</w:t>
      </w:r>
      <w:r w:rsidR="0086631D" w:rsidRPr="00913E39">
        <w:rPr>
          <w:rFonts w:ascii="Garamond" w:hAnsi="Garamond"/>
          <w:sz w:val="24"/>
        </w:rPr>
        <w:t xml:space="preserve"> </w:t>
      </w:r>
      <w:r w:rsidRPr="00913E39">
        <w:rPr>
          <w:rFonts w:ascii="Garamond" w:hAnsi="Garamond"/>
          <w:sz w:val="24"/>
        </w:rPr>
        <w:t xml:space="preserve">sa i përket digjitalizimit të shërbimeve qeveritare dhe shtetërore që u ofrohen qytetarëve, bizneseve dhe punonjësve të administratës publike në Shqipëri. Agjencia </w:t>
      </w:r>
      <w:r w:rsidRPr="00913E39">
        <w:rPr>
          <w:rFonts w:ascii="Garamond" w:hAnsi="Garamond"/>
          <w:sz w:val="24"/>
        </w:rPr>
        <w:lastRenderedPageBreak/>
        <w:t>zbaton dhe koordinon politikat, programet dhe strategjitë për zhvillimin e sektorit të shoqërisë së informacionit dhe në veçanti TIK-ut. AKSHI është institucioni shtetëror</w:t>
      </w:r>
      <w:r w:rsidR="00021342" w:rsidRPr="00913E39">
        <w:rPr>
          <w:rFonts w:ascii="Garamond" w:hAnsi="Garamond"/>
          <w:sz w:val="24"/>
        </w:rPr>
        <w:t xml:space="preserve"> përgjegjës </w:t>
      </w:r>
      <w:r w:rsidRPr="00913E39">
        <w:rPr>
          <w:rFonts w:ascii="Garamond" w:hAnsi="Garamond"/>
          <w:sz w:val="24"/>
        </w:rPr>
        <w:t xml:space="preserve">për administrimin dhe </w:t>
      </w:r>
      <w:r w:rsidR="00021342" w:rsidRPr="00913E39">
        <w:rPr>
          <w:rFonts w:ascii="Garamond" w:hAnsi="Garamond"/>
          <w:sz w:val="24"/>
        </w:rPr>
        <w:t>mirëmbajtjen</w:t>
      </w:r>
      <w:r w:rsidRPr="00913E39">
        <w:rPr>
          <w:rFonts w:ascii="Garamond" w:hAnsi="Garamond"/>
          <w:sz w:val="24"/>
        </w:rPr>
        <w:t xml:space="preserve"> e sistemeve elektronike dhe </w:t>
      </w:r>
      <w:r w:rsidR="00021342" w:rsidRPr="00913E39">
        <w:rPr>
          <w:rFonts w:ascii="Garamond" w:hAnsi="Garamond"/>
          <w:sz w:val="24"/>
        </w:rPr>
        <w:t>infrastrukturën</w:t>
      </w:r>
      <w:r w:rsidRPr="00913E39">
        <w:rPr>
          <w:rFonts w:ascii="Garamond" w:hAnsi="Garamond"/>
          <w:sz w:val="24"/>
        </w:rPr>
        <w:t xml:space="preserve"> e pajisjeve </w:t>
      </w:r>
      <w:r w:rsidRPr="00913E39">
        <w:rPr>
          <w:rFonts w:ascii="Garamond" w:hAnsi="Garamond"/>
          <w:i/>
          <w:sz w:val="24"/>
        </w:rPr>
        <w:t>hardware</w:t>
      </w:r>
      <w:r w:rsidRPr="00913E39">
        <w:rPr>
          <w:rFonts w:ascii="Garamond" w:hAnsi="Garamond"/>
          <w:sz w:val="24"/>
        </w:rPr>
        <w:t xml:space="preserve"> dhe </w:t>
      </w:r>
      <w:r w:rsidRPr="00913E39">
        <w:rPr>
          <w:rFonts w:ascii="Garamond" w:hAnsi="Garamond"/>
          <w:i/>
          <w:sz w:val="24"/>
        </w:rPr>
        <w:t>software</w:t>
      </w:r>
      <w:r w:rsidR="00042303" w:rsidRPr="00913E39">
        <w:rPr>
          <w:rFonts w:ascii="Garamond" w:hAnsi="Garamond"/>
          <w:i/>
          <w:sz w:val="24"/>
        </w:rPr>
        <w:t>.</w:t>
      </w:r>
      <w:r w:rsidRPr="00913E39">
        <w:rPr>
          <w:rFonts w:ascii="Garamond" w:hAnsi="Garamond"/>
          <w:sz w:val="24"/>
        </w:rPr>
        <w:t xml:space="preserve"> Krahas aktiviteteve koordinuese ndërmjet ministrive të linjës, institucioneve publike, agjencive dhe aktorëve të tjerë, AKSHI është përgjegjës për: organizimin dhe menaxhimin e strukturave të IT-së në administratën publike, krijimin dhe menaxhimin e sistemeve/zgjidhjeve TIK, ofrimin e shërbimeve publike elektronike në portalin qeveritar </w:t>
      </w:r>
      <w:r w:rsidRPr="00913E39">
        <w:rPr>
          <w:rFonts w:ascii="Garamond" w:hAnsi="Garamond"/>
          <w:i/>
          <w:sz w:val="24"/>
        </w:rPr>
        <w:t>e-Albania</w:t>
      </w:r>
      <w:r w:rsidRPr="00913E39">
        <w:rPr>
          <w:rFonts w:ascii="Garamond" w:hAnsi="Garamond"/>
          <w:sz w:val="24"/>
        </w:rPr>
        <w:t xml:space="preserve">, ofrimin e shërbimit të vulës elektronike dhe të nënshkrimit elektronik, menaxhimin e </w:t>
      </w:r>
      <w:r w:rsidRPr="00913E39">
        <w:rPr>
          <w:rFonts w:ascii="Garamond" w:hAnsi="Garamond"/>
          <w:i/>
          <w:sz w:val="24"/>
        </w:rPr>
        <w:t>Datacenter</w:t>
      </w:r>
      <w:r w:rsidRPr="00913E39">
        <w:rPr>
          <w:rFonts w:ascii="Garamond" w:hAnsi="Garamond"/>
          <w:sz w:val="24"/>
        </w:rPr>
        <w:t xml:space="preserve">-it </w:t>
      </w:r>
      <w:r w:rsidR="007950F4" w:rsidRPr="00913E39">
        <w:rPr>
          <w:rFonts w:ascii="Garamond" w:hAnsi="Garamond"/>
          <w:sz w:val="24"/>
        </w:rPr>
        <w:t xml:space="preserve">qeveritar </w:t>
      </w:r>
      <w:r w:rsidRPr="00913E39">
        <w:rPr>
          <w:rFonts w:ascii="Garamond" w:hAnsi="Garamond"/>
          <w:i/>
          <w:sz w:val="24"/>
        </w:rPr>
        <w:t>e-Gov</w:t>
      </w:r>
      <w:r w:rsidRPr="00913E39">
        <w:rPr>
          <w:rFonts w:ascii="Garamond" w:hAnsi="Garamond"/>
          <w:sz w:val="24"/>
        </w:rPr>
        <w:t xml:space="preserve"> dhe </w:t>
      </w:r>
      <w:r w:rsidR="00021342" w:rsidRPr="00913E39">
        <w:rPr>
          <w:rFonts w:ascii="Garamond" w:hAnsi="Garamond"/>
          <w:sz w:val="24"/>
        </w:rPr>
        <w:t>Platformës</w:t>
      </w:r>
      <w:r w:rsidRPr="00913E39">
        <w:rPr>
          <w:rFonts w:ascii="Garamond" w:hAnsi="Garamond"/>
          <w:sz w:val="24"/>
        </w:rPr>
        <w:t xml:space="preserve"> Qeveritare </w:t>
      </w:r>
      <w:r w:rsidR="00021342" w:rsidRPr="00913E39">
        <w:rPr>
          <w:rFonts w:ascii="Garamond" w:hAnsi="Garamond"/>
          <w:sz w:val="24"/>
        </w:rPr>
        <w:t>të</w:t>
      </w:r>
      <w:r w:rsidRPr="00913E39">
        <w:rPr>
          <w:rFonts w:ascii="Garamond" w:hAnsi="Garamond"/>
          <w:sz w:val="24"/>
        </w:rPr>
        <w:t xml:space="preserve"> Ndërveprimit, menaxhimin e platformës së ndërveprimit, hartimin dhe monitorimin e </w:t>
      </w:r>
      <w:r w:rsidR="00042303" w:rsidRPr="00913E39">
        <w:rPr>
          <w:rFonts w:ascii="Garamond" w:hAnsi="Garamond"/>
          <w:sz w:val="24"/>
        </w:rPr>
        <w:t xml:space="preserve">agjendës </w:t>
      </w:r>
      <w:r w:rsidRPr="00913E39">
        <w:rPr>
          <w:rFonts w:ascii="Garamond" w:hAnsi="Garamond"/>
          <w:sz w:val="24"/>
        </w:rPr>
        <w:t>digjitale etj. Është përgjegjëse për transformimin e funksionimit të institucioneve qeveritare nëpërmjet futjes dhe përdorimit të mjeteve të reja të TIK-ut dhe kontribuimit në edukimin dhe promovimin e përdorimit të TIK-ut nga publiku.</w:t>
      </w:r>
    </w:p>
    <w:p w14:paraId="13233804" w14:textId="75D7764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AKSHI </w:t>
      </w:r>
      <w:r w:rsidR="00021342" w:rsidRPr="00913E39">
        <w:rPr>
          <w:rFonts w:ascii="Garamond" w:hAnsi="Garamond"/>
          <w:sz w:val="24"/>
        </w:rPr>
        <w:t>emëron</w:t>
      </w:r>
      <w:r w:rsidRPr="00913E39">
        <w:rPr>
          <w:rFonts w:ascii="Garamond" w:hAnsi="Garamond"/>
          <w:sz w:val="24"/>
        </w:rPr>
        <w:t xml:space="preserve"> stafin dhe menaxhon strukturat përgjegjëse të TIK-ut në çdo institucion publik nën përgjegjësinë e Këshillit të Ministrave (stafi IT-së i ministrive dhe agjencive të linjës janë pjesë e organ</w:t>
      </w:r>
      <w:r w:rsidR="00021342" w:rsidRPr="00913E39">
        <w:rPr>
          <w:rFonts w:ascii="Garamond" w:hAnsi="Garamond"/>
          <w:sz w:val="24"/>
        </w:rPr>
        <w:t>i</w:t>
      </w:r>
      <w:r w:rsidRPr="00913E39">
        <w:rPr>
          <w:rFonts w:ascii="Garamond" w:hAnsi="Garamond"/>
          <w:sz w:val="24"/>
        </w:rPr>
        <w:t>gramës së AKSHI-it, por ata punojnë fizikisht në zyrat e institucioneve për t</w:t>
      </w:r>
      <w:r w:rsidR="005222A5" w:rsidRPr="00913E39">
        <w:rPr>
          <w:rFonts w:ascii="Garamond" w:hAnsi="Garamond"/>
          <w:sz w:val="24"/>
        </w:rPr>
        <w:t>’</w:t>
      </w:r>
      <w:r w:rsidRPr="00913E39">
        <w:rPr>
          <w:rFonts w:ascii="Garamond" w:hAnsi="Garamond"/>
          <w:sz w:val="24"/>
        </w:rPr>
        <w:t>i mbështetur me detyrat teknike të përditshme). Në këtë drejtim, ajo do të sigurojë bashkëpunim të plotë me institucionet përfituese të PO-së, nëpërmjet koordinimit të stafit të saj IT në ministritë e linjës dhe agjencitë.</w:t>
      </w:r>
    </w:p>
    <w:p w14:paraId="4928BFFA" w14:textId="3E834FD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Organigrama më poshtë jep numrin total të punonjësve të AKSHI-it në zyrën qendrore</w:t>
      </w:r>
      <w:r w:rsidR="00606E39" w:rsidRPr="00913E39">
        <w:rPr>
          <w:rFonts w:ascii="Garamond" w:hAnsi="Garamond"/>
          <w:sz w:val="24"/>
        </w:rPr>
        <w:t>,</w:t>
      </w:r>
      <w:r w:rsidRPr="00913E39">
        <w:rPr>
          <w:rFonts w:ascii="Garamond" w:hAnsi="Garamond"/>
          <w:sz w:val="24"/>
        </w:rPr>
        <w:t xml:space="preserve"> si edhe departamentet e krijuara brenda ministrive të linjës të cilat do të zbatojnë PO-në si përfitues fundorë. </w:t>
      </w:r>
    </w:p>
    <w:p w14:paraId="3B59C172" w14:textId="01417FAC"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Figura 1. Punonjësit e AKSHI-it në zyrën qendrore dhe strukturat e tjera (organigram</w:t>
      </w:r>
      <w:r w:rsidR="00021342" w:rsidRPr="00913E39">
        <w:rPr>
          <w:rFonts w:ascii="Garamond" w:hAnsi="Garamond"/>
          <w:i/>
          <w:sz w:val="24"/>
        </w:rPr>
        <w:t>ë</w:t>
      </w:r>
      <w:r w:rsidRPr="00913E39">
        <w:rPr>
          <w:rFonts w:ascii="Garamond" w:hAnsi="Garamond"/>
          <w:i/>
          <w:sz w:val="24"/>
        </w:rPr>
        <w:t xml:space="preserve"> </w:t>
      </w:r>
      <w:r w:rsidR="00021342" w:rsidRPr="00913E39">
        <w:rPr>
          <w:rFonts w:ascii="Garamond" w:hAnsi="Garamond"/>
          <w:i/>
          <w:sz w:val="24"/>
        </w:rPr>
        <w:t>e</w:t>
      </w:r>
      <w:r w:rsidRPr="00913E39">
        <w:rPr>
          <w:rFonts w:ascii="Garamond" w:hAnsi="Garamond"/>
          <w:i/>
          <w:sz w:val="24"/>
        </w:rPr>
        <w:t xml:space="preserve"> kufizuar që tregon drejtoritë që do të operojnë me PO-në)</w:t>
      </w:r>
    </w:p>
    <w:p w14:paraId="7D5F1444" w14:textId="77777777" w:rsidR="00847F23" w:rsidRPr="00913E39" w:rsidRDefault="00847F23" w:rsidP="00A81A3B">
      <w:pPr>
        <w:spacing w:after="0" w:line="240" w:lineRule="auto"/>
        <w:jc w:val="center"/>
        <w:rPr>
          <w:rFonts w:ascii="Garamond" w:hAnsi="Garamond"/>
          <w:sz w:val="24"/>
        </w:rPr>
      </w:pPr>
      <w:r w:rsidRPr="00913E39">
        <w:rPr>
          <w:rFonts w:ascii="Garamond" w:eastAsia="Times New Roman" w:hAnsi="Garamond" w:cs="Times New Roman"/>
          <w:noProof/>
          <w:sz w:val="24"/>
          <w:szCs w:val="24"/>
          <w:lang w:eastAsia="sq-AL"/>
        </w:rPr>
        <w:drawing>
          <wp:inline distT="0" distB="0" distL="0" distR="0" wp14:anchorId="75B28DF7" wp14:editId="5DFD3118">
            <wp:extent cx="5762625" cy="3248025"/>
            <wp:effectExtent l="0" t="0" r="0" b="0"/>
            <wp:docPr id="1" name="Picture 2" descr="A picture containing text, diagram, screensho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diagram, screenshot, fon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2625" cy="3248025"/>
                    </a:xfrm>
                    <a:prstGeom prst="rect">
                      <a:avLst/>
                    </a:prstGeom>
                    <a:noFill/>
                    <a:ln>
                      <a:noFill/>
                    </a:ln>
                  </pic:spPr>
                </pic:pic>
              </a:graphicData>
            </a:graphic>
          </wp:inline>
        </w:drawing>
      </w:r>
    </w:p>
    <w:p w14:paraId="43997D73" w14:textId="77777777" w:rsidR="00847F23" w:rsidRPr="00913E39" w:rsidRDefault="00847F23" w:rsidP="00FC4C60">
      <w:pPr>
        <w:spacing w:after="0" w:line="240" w:lineRule="auto"/>
        <w:ind w:firstLine="284"/>
        <w:jc w:val="both"/>
        <w:rPr>
          <w:rFonts w:ascii="Garamond" w:hAnsi="Garamond"/>
          <w:sz w:val="24"/>
        </w:rPr>
      </w:pPr>
    </w:p>
    <w:p w14:paraId="726E6B48"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1: Infrastruktura TIK për shërbime më të mira për shoqërinë</w:t>
      </w:r>
    </w:p>
    <w:p w14:paraId="1116A671" w14:textId="5EF2256E"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042303" w:rsidRPr="00913E39">
        <w:rPr>
          <w:rFonts w:ascii="Garamond" w:hAnsi="Garamond"/>
          <w:i/>
          <w:sz w:val="24"/>
        </w:rPr>
        <w:t>f</w:t>
      </w:r>
      <w:r w:rsidRPr="00913E39">
        <w:rPr>
          <w:rFonts w:ascii="Garamond" w:hAnsi="Garamond"/>
          <w:i/>
          <w:sz w:val="24"/>
        </w:rPr>
        <w:t xml:space="preserve">usha e mbështetjes 1.1: Shëndetësia </w:t>
      </w:r>
      <w:r w:rsidR="00042303" w:rsidRPr="00913E39">
        <w:rPr>
          <w:rFonts w:ascii="Garamond" w:hAnsi="Garamond"/>
          <w:i/>
          <w:sz w:val="24"/>
        </w:rPr>
        <w:t>d</w:t>
      </w:r>
      <w:r w:rsidRPr="00913E39">
        <w:rPr>
          <w:rFonts w:ascii="Garamond" w:hAnsi="Garamond"/>
          <w:i/>
          <w:sz w:val="24"/>
        </w:rPr>
        <w:t>igjitale</w:t>
      </w:r>
    </w:p>
    <w:p w14:paraId="2CFBE524"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Ministria e Shëndetësisë dhe Mbrojtjes Sociale </w:t>
      </w:r>
      <w:r w:rsidRPr="00913E39">
        <w:rPr>
          <w:rFonts w:ascii="Garamond" w:hAnsi="Garamond"/>
          <w:sz w:val="24"/>
        </w:rPr>
        <w:t>(MSHMS) ka si mision ushtrimin e funksioneve dhe kompetencave të saj në përputhje me Kushtetutën dhe ligjet e tjera të Republikës së Shqipërisë për hartimin dhe zbatimin e politikave shtetërore që sigurojnë realizimin e politikës për shëndetësinë të programit të qeverisë. Si pjesë përbërëse e strukturës së qeverisë, Ministria e Shëndetësisë jep llogari përpara Kuvendit dhe Këshillit të Ministrave për problemet e shëndetësisë.</w:t>
      </w:r>
    </w:p>
    <w:p w14:paraId="5692505F" w14:textId="2D2DC8B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Struktura e Ministrisë është e organizuar në përputhje me funksionin e saj politik dhe administrative. Funksioni politik kryhet nga ministri, katër zëvendësministrat, drejtori i kabinetit dhe këshilltarët e ministrit. Funksionin administrativ e kryejnë: Sekretari i Përgjithshëm, </w:t>
      </w:r>
      <w:r w:rsidR="00042303" w:rsidRPr="00913E39">
        <w:rPr>
          <w:rFonts w:ascii="Garamond" w:hAnsi="Garamond"/>
          <w:sz w:val="24"/>
        </w:rPr>
        <w:t xml:space="preserve">drejtorët e </w:t>
      </w:r>
      <w:r w:rsidR="00042303" w:rsidRPr="00913E39">
        <w:rPr>
          <w:rFonts w:ascii="Garamond" w:hAnsi="Garamond"/>
          <w:sz w:val="24"/>
        </w:rPr>
        <w:lastRenderedPageBreak/>
        <w:t xml:space="preserve">drejtorive, përgjegjësit e sektorëve, specialistët dhe punonjës </w:t>
      </w:r>
      <w:r w:rsidRPr="00913E39">
        <w:rPr>
          <w:rFonts w:ascii="Garamond" w:hAnsi="Garamond"/>
          <w:sz w:val="24"/>
        </w:rPr>
        <w:t xml:space="preserve">të tjerë të administratës. Të gjitha këto funksione veprojnë në përputhje me ligjin </w:t>
      </w:r>
      <w:r w:rsidR="00850FC7" w:rsidRPr="00913E39">
        <w:rPr>
          <w:rFonts w:ascii="Garamond" w:hAnsi="Garamond"/>
          <w:sz w:val="24"/>
        </w:rPr>
        <w:t>“</w:t>
      </w:r>
      <w:r w:rsidRPr="00913E39">
        <w:rPr>
          <w:rFonts w:ascii="Garamond" w:hAnsi="Garamond"/>
          <w:sz w:val="24"/>
        </w:rPr>
        <w:t>Për nëpunësin civil</w:t>
      </w:r>
      <w:r w:rsidR="00850FC7" w:rsidRPr="00913E39">
        <w:rPr>
          <w:rFonts w:ascii="Garamond" w:hAnsi="Garamond"/>
          <w:sz w:val="24"/>
        </w:rPr>
        <w:t>”</w:t>
      </w:r>
      <w:r w:rsidRPr="00913E39">
        <w:rPr>
          <w:rFonts w:ascii="Garamond" w:hAnsi="Garamond"/>
          <w:sz w:val="24"/>
        </w:rPr>
        <w:t xml:space="preserve"> dhe Kodin e Punës. Numri i përgjithshëm i punonjësve të MSHMS</w:t>
      </w:r>
      <w:r w:rsidR="00042303" w:rsidRPr="00913E39">
        <w:rPr>
          <w:rFonts w:ascii="Garamond" w:hAnsi="Garamond"/>
          <w:sz w:val="24"/>
        </w:rPr>
        <w:t>-së</w:t>
      </w:r>
      <w:r w:rsidRPr="00913E39">
        <w:rPr>
          <w:rFonts w:ascii="Garamond" w:hAnsi="Garamond"/>
          <w:sz w:val="24"/>
        </w:rPr>
        <w:t xml:space="preserve"> është 140 punonjës. Drejtoria e caktuar përgjegjëse për politikat në ministri është</w:t>
      </w:r>
      <w:r w:rsidRPr="00913E39">
        <w:rPr>
          <w:rFonts w:ascii="Garamond" w:hAnsi="Garamond"/>
          <w:b/>
          <w:sz w:val="24"/>
        </w:rPr>
        <w:t xml:space="preserve"> Drejtoria e Jetësimit të Prioriteteve dhe Statistikave</w:t>
      </w:r>
      <w:r w:rsidRPr="00913E39">
        <w:rPr>
          <w:rFonts w:ascii="Garamond" w:hAnsi="Garamond"/>
          <w:sz w:val="24"/>
        </w:rPr>
        <w:t xml:space="preserve"> e cila ka 10 punonjës. </w:t>
      </w:r>
      <w:r w:rsidRPr="00913E39">
        <w:rPr>
          <w:rFonts w:ascii="Garamond" w:hAnsi="Garamond"/>
          <w:b/>
          <w:sz w:val="24"/>
        </w:rPr>
        <w:t>Drejtoria e Përgjithshme e Politikave Shëndetësore</w:t>
      </w:r>
      <w:r w:rsidRPr="00913E39">
        <w:rPr>
          <w:rFonts w:ascii="Garamond" w:hAnsi="Garamond"/>
          <w:sz w:val="24"/>
        </w:rPr>
        <w:t xml:space="preserve"> ka rreth 30 punonjës. </w:t>
      </w:r>
      <w:r w:rsidRPr="00913E39">
        <w:rPr>
          <w:rFonts w:ascii="Garamond" w:hAnsi="Garamond"/>
          <w:b/>
          <w:sz w:val="24"/>
        </w:rPr>
        <w:t>Drejtoria e TIK-ut në Ministrinë e Shëndetësisë dhe Mbrojtjes Sociale</w:t>
      </w:r>
      <w:r w:rsidRPr="00913E39">
        <w:rPr>
          <w:rFonts w:ascii="Garamond" w:hAnsi="Garamond"/>
          <w:sz w:val="24"/>
        </w:rPr>
        <w:t xml:space="preserve">, e cila është në organikën e AKSHI-t, ka të punësuar 24 specialistë. Në Republikën e Shqipërisë janë 44 </w:t>
      </w:r>
      <w:r w:rsidRPr="00913E39">
        <w:rPr>
          <w:rFonts w:ascii="Garamond" w:hAnsi="Garamond"/>
          <w:b/>
          <w:sz w:val="24"/>
        </w:rPr>
        <w:t>spitale publike</w:t>
      </w:r>
      <w:r w:rsidRPr="00913E39">
        <w:rPr>
          <w:rFonts w:ascii="Garamond" w:hAnsi="Garamond"/>
          <w:sz w:val="24"/>
        </w:rPr>
        <w:t xml:space="preserve"> dhe 36</w:t>
      </w:r>
      <w:r w:rsidRPr="00913E39">
        <w:rPr>
          <w:rFonts w:ascii="Garamond" w:hAnsi="Garamond"/>
          <w:b/>
          <w:sz w:val="24"/>
        </w:rPr>
        <w:t xml:space="preserve"> drejtori të kujdesit shëndetësor në</w:t>
      </w:r>
      <w:r w:rsidRPr="00913E39">
        <w:rPr>
          <w:rFonts w:ascii="Garamond" w:hAnsi="Garamond"/>
          <w:sz w:val="24"/>
        </w:rPr>
        <w:t xml:space="preserve"> strukturat e decentralizuara.</w:t>
      </w:r>
      <w:r w:rsidR="00042303" w:rsidRPr="00913E39">
        <w:rPr>
          <w:rFonts w:ascii="Garamond" w:hAnsi="Garamond"/>
          <w:sz w:val="24"/>
        </w:rPr>
        <w:t xml:space="preserve"> </w:t>
      </w:r>
      <w:r w:rsidRPr="00913E39">
        <w:rPr>
          <w:rFonts w:ascii="Garamond" w:hAnsi="Garamond"/>
          <w:sz w:val="24"/>
        </w:rPr>
        <w:t>Çdo drejtori e kujdesit shëndetësor ka specialistët e saj të TIK-ut dhe pajisjeve mjekësore. Kështu, në kujdesin parësor shëndetësor janë 148 specialistë të TIK-ut dhe t</w:t>
      </w:r>
      <w:r w:rsidR="00FF4EAA" w:rsidRPr="00913E39">
        <w:rPr>
          <w:rFonts w:ascii="Garamond" w:hAnsi="Garamond"/>
          <w:sz w:val="24"/>
        </w:rPr>
        <w:t>ë</w:t>
      </w:r>
      <w:r w:rsidRPr="00913E39">
        <w:rPr>
          <w:rFonts w:ascii="Garamond" w:hAnsi="Garamond"/>
          <w:sz w:val="24"/>
        </w:rPr>
        <w:t xml:space="preserve"> pajisjeve mjekësore. Gjithashtu, në spitalet publike janë edhe 132 specialistë të TIK-ut dhe të pajisjeve mjekësore.</w:t>
      </w:r>
    </w:p>
    <w:p w14:paraId="4622327D" w14:textId="0A58C072"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042303" w:rsidRPr="00913E39">
        <w:rPr>
          <w:rFonts w:ascii="Garamond" w:hAnsi="Garamond"/>
          <w:i/>
          <w:sz w:val="24"/>
        </w:rPr>
        <w:t>f</w:t>
      </w:r>
      <w:r w:rsidRPr="00913E39">
        <w:rPr>
          <w:rFonts w:ascii="Garamond" w:hAnsi="Garamond"/>
          <w:i/>
          <w:sz w:val="24"/>
        </w:rPr>
        <w:t xml:space="preserve">usha e mbështetjes 1.2: Edukimi </w:t>
      </w:r>
      <w:r w:rsidR="00042303" w:rsidRPr="00913E39">
        <w:rPr>
          <w:rFonts w:ascii="Garamond" w:hAnsi="Garamond"/>
          <w:i/>
          <w:sz w:val="24"/>
        </w:rPr>
        <w:t xml:space="preserve">digjital </w:t>
      </w:r>
    </w:p>
    <w:p w14:paraId="28F7C76B" w14:textId="1F9E09A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Ministria e Arsimit dhe Sportit është</w:t>
      </w:r>
      <w:r w:rsidRPr="00913E39">
        <w:rPr>
          <w:rFonts w:ascii="Garamond" w:hAnsi="Garamond"/>
          <w:b/>
          <w:sz w:val="24"/>
        </w:rPr>
        <w:t xml:space="preserve"> </w:t>
      </w:r>
      <w:r w:rsidR="00042303" w:rsidRPr="00913E39">
        <w:rPr>
          <w:rFonts w:ascii="Garamond" w:hAnsi="Garamond"/>
          <w:b/>
          <w:sz w:val="24"/>
        </w:rPr>
        <w:t>institucioni kryesor</w:t>
      </w:r>
      <w:r w:rsidR="00042303" w:rsidRPr="00913E39">
        <w:rPr>
          <w:rFonts w:ascii="Garamond" w:hAnsi="Garamond"/>
          <w:sz w:val="24"/>
        </w:rPr>
        <w:t xml:space="preserve"> </w:t>
      </w:r>
      <w:r w:rsidRPr="00913E39">
        <w:rPr>
          <w:rFonts w:ascii="Garamond" w:hAnsi="Garamond"/>
          <w:sz w:val="24"/>
        </w:rPr>
        <w:t>në fushën e arsimit parauniversitar.</w:t>
      </w:r>
    </w:p>
    <w:p w14:paraId="44AA1DD3" w14:textId="737FD45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Përgjegjësia për sigurimin e cilësisë (SC) në arsimin në Shqipëri ndahet në </w:t>
      </w:r>
      <w:r w:rsidRPr="00913E39">
        <w:rPr>
          <w:rFonts w:ascii="Garamond" w:hAnsi="Garamond"/>
          <w:b/>
          <w:sz w:val="24"/>
        </w:rPr>
        <w:t>tr</w:t>
      </w:r>
      <w:r w:rsidR="00042303" w:rsidRPr="00913E39">
        <w:rPr>
          <w:rFonts w:ascii="Garamond" w:hAnsi="Garamond"/>
          <w:b/>
          <w:sz w:val="24"/>
        </w:rPr>
        <w:t>i</w:t>
      </w:r>
      <w:r w:rsidRPr="00913E39">
        <w:rPr>
          <w:rFonts w:ascii="Garamond" w:hAnsi="Garamond"/>
          <w:b/>
          <w:sz w:val="24"/>
        </w:rPr>
        <w:t xml:space="preserve"> nivele:</w:t>
      </w:r>
      <w:r w:rsidRPr="00913E39">
        <w:rPr>
          <w:rFonts w:ascii="Garamond" w:hAnsi="Garamond"/>
          <w:sz w:val="24"/>
        </w:rPr>
        <w:t xml:space="preserve"> 1) </w:t>
      </w:r>
      <w:r w:rsidRPr="00913E39">
        <w:rPr>
          <w:rFonts w:ascii="Garamond" w:hAnsi="Garamond"/>
          <w:b/>
          <w:sz w:val="24"/>
        </w:rPr>
        <w:t>niveli qendror</w:t>
      </w:r>
      <w:r w:rsidRPr="00913E39">
        <w:rPr>
          <w:rFonts w:ascii="Garamond" w:hAnsi="Garamond"/>
          <w:sz w:val="24"/>
        </w:rPr>
        <w:t xml:space="preserve"> i përfaqësuar nga Agjencia Kombëtare e Sigurimit të Cilësisë në Arsimin Parauniversitar (ASCAP), Drejtoria e Përgjithshme e Arsimit Parauniversitar. (DPAP) dhe Qendra e Shërbimeve Arsimore (QSHA); 2) </w:t>
      </w:r>
      <w:r w:rsidR="00042303" w:rsidRPr="00913E39">
        <w:rPr>
          <w:rFonts w:ascii="Garamond" w:hAnsi="Garamond"/>
          <w:b/>
          <w:sz w:val="24"/>
        </w:rPr>
        <w:t>n</w:t>
      </w:r>
      <w:r w:rsidRPr="00913E39">
        <w:rPr>
          <w:rFonts w:ascii="Garamond" w:hAnsi="Garamond"/>
          <w:b/>
          <w:sz w:val="24"/>
        </w:rPr>
        <w:t>iveli rajonal/vendor</w:t>
      </w:r>
      <w:r w:rsidRPr="00913E39">
        <w:rPr>
          <w:rFonts w:ascii="Garamond" w:hAnsi="Garamond"/>
          <w:sz w:val="24"/>
        </w:rPr>
        <w:t xml:space="preserve"> i përfaqësuar nga </w:t>
      </w:r>
      <w:r w:rsidR="00042303" w:rsidRPr="00913E39">
        <w:rPr>
          <w:rFonts w:ascii="Garamond" w:hAnsi="Garamond"/>
          <w:sz w:val="24"/>
        </w:rPr>
        <w:t xml:space="preserve">drejtoritë rajonale të arsimit parauniversitar </w:t>
      </w:r>
      <w:r w:rsidRPr="00913E39">
        <w:rPr>
          <w:rFonts w:ascii="Garamond" w:hAnsi="Garamond"/>
          <w:sz w:val="24"/>
        </w:rPr>
        <w:t xml:space="preserve">(DRAP) dhe </w:t>
      </w:r>
      <w:r w:rsidR="00042303" w:rsidRPr="00913E39">
        <w:rPr>
          <w:rFonts w:ascii="Garamond" w:hAnsi="Garamond"/>
          <w:sz w:val="24"/>
        </w:rPr>
        <w:t xml:space="preserve">zyrat vendore të arsimit parauniversitar </w:t>
      </w:r>
      <w:r w:rsidRPr="00913E39">
        <w:rPr>
          <w:rFonts w:ascii="Garamond" w:hAnsi="Garamond"/>
          <w:sz w:val="24"/>
        </w:rPr>
        <w:t>(ZVAP) në varësi të Drejtorisë së Përgjithshme të Arsimit Parauniversitar (DPAP)</w:t>
      </w:r>
      <w:r w:rsidR="00042303" w:rsidRPr="00913E39">
        <w:rPr>
          <w:rFonts w:ascii="Garamond" w:hAnsi="Garamond"/>
          <w:sz w:val="24"/>
        </w:rPr>
        <w:t>;</w:t>
      </w:r>
      <w:r w:rsidRPr="00913E39">
        <w:rPr>
          <w:rFonts w:ascii="Garamond" w:hAnsi="Garamond"/>
          <w:sz w:val="24"/>
        </w:rPr>
        <w:t xml:space="preserve"> dhe 3) </w:t>
      </w:r>
      <w:r w:rsidR="00042303" w:rsidRPr="00913E39">
        <w:rPr>
          <w:rFonts w:ascii="Garamond" w:hAnsi="Garamond"/>
          <w:b/>
          <w:sz w:val="24"/>
        </w:rPr>
        <w:t>i</w:t>
      </w:r>
      <w:r w:rsidRPr="00913E39">
        <w:rPr>
          <w:rFonts w:ascii="Garamond" w:hAnsi="Garamond"/>
          <w:b/>
          <w:sz w:val="24"/>
        </w:rPr>
        <w:t xml:space="preserve">nstitucione të </w:t>
      </w:r>
      <w:r w:rsidR="00042303" w:rsidRPr="00913E39">
        <w:rPr>
          <w:rFonts w:ascii="Garamond" w:hAnsi="Garamond"/>
          <w:b/>
          <w:sz w:val="24"/>
        </w:rPr>
        <w:t>arsimit parauniversitar</w:t>
      </w:r>
      <w:r w:rsidR="00042303" w:rsidRPr="00913E39">
        <w:rPr>
          <w:rFonts w:ascii="Garamond" w:hAnsi="Garamond"/>
          <w:sz w:val="24"/>
        </w:rPr>
        <w:t xml:space="preserve"> </w:t>
      </w:r>
      <w:r w:rsidRPr="00913E39">
        <w:rPr>
          <w:rFonts w:ascii="Garamond" w:hAnsi="Garamond"/>
          <w:sz w:val="24"/>
        </w:rPr>
        <w:t>si ofrues të drejtpërdrejtë të shërbimeve. Sipas organizimit të ri të qeverisjes së arsimit parauniversitar, përgjegjësia për vlerësimin dhe inspektimin e shkollës i takon DPAP-së, ndërsa ASCAP</w:t>
      </w:r>
      <w:r w:rsidR="00042303" w:rsidRPr="00913E39">
        <w:rPr>
          <w:rFonts w:ascii="Garamond" w:hAnsi="Garamond"/>
          <w:sz w:val="24"/>
        </w:rPr>
        <w:t>-ja</w:t>
      </w:r>
      <w:r w:rsidRPr="00913E39">
        <w:rPr>
          <w:rFonts w:ascii="Garamond" w:hAnsi="Garamond"/>
          <w:sz w:val="24"/>
        </w:rPr>
        <w:t xml:space="preserve"> fokusohet në nivelin e performancës së sistemit dhe vlerësimin me bazë risku të atyre që sigurojnë arsimin parauniversitar. Gjithashtu, ASCAP</w:t>
      </w:r>
      <w:r w:rsidR="00042303" w:rsidRPr="00913E39">
        <w:rPr>
          <w:rFonts w:ascii="Garamond" w:hAnsi="Garamond"/>
          <w:sz w:val="24"/>
        </w:rPr>
        <w:t>-ja</w:t>
      </w:r>
      <w:r w:rsidRPr="00913E39">
        <w:rPr>
          <w:rFonts w:ascii="Garamond" w:hAnsi="Garamond"/>
          <w:sz w:val="24"/>
        </w:rPr>
        <w:t xml:space="preserve"> ofron asistencë teknike për DPAP-in</w:t>
      </w:r>
      <w:r w:rsidR="00042303" w:rsidRPr="00913E39">
        <w:rPr>
          <w:rFonts w:ascii="Garamond" w:hAnsi="Garamond"/>
          <w:sz w:val="24"/>
        </w:rPr>
        <w:t xml:space="preserve"> </w:t>
      </w:r>
      <w:r w:rsidRPr="00913E39">
        <w:rPr>
          <w:rFonts w:ascii="Garamond" w:hAnsi="Garamond"/>
          <w:sz w:val="24"/>
        </w:rPr>
        <w:t>në fushën e kurrikulës, zhvillimit profesional, si dhe monitorimit, vlerësimit dhe inspektimit të shkollave. ASCAP</w:t>
      </w:r>
      <w:r w:rsidR="00042303" w:rsidRPr="00913E39">
        <w:rPr>
          <w:rFonts w:ascii="Garamond" w:hAnsi="Garamond"/>
          <w:sz w:val="24"/>
        </w:rPr>
        <w:t>-ja</w:t>
      </w:r>
      <w:r w:rsidRPr="00913E39">
        <w:rPr>
          <w:rFonts w:ascii="Garamond" w:hAnsi="Garamond"/>
          <w:sz w:val="24"/>
        </w:rPr>
        <w:t xml:space="preserve"> dhe DPAP</w:t>
      </w:r>
      <w:r w:rsidR="00042303" w:rsidRPr="00913E39">
        <w:rPr>
          <w:rFonts w:ascii="Garamond" w:hAnsi="Garamond"/>
          <w:sz w:val="24"/>
        </w:rPr>
        <w:t>-ja</w:t>
      </w:r>
      <w:r w:rsidRPr="00913E39">
        <w:rPr>
          <w:rFonts w:ascii="Garamond" w:hAnsi="Garamond"/>
          <w:sz w:val="24"/>
        </w:rPr>
        <w:t xml:space="preserve"> kanë bashkëpunuar ngushtë për hartimin e protokolleve të inspektimit/vlerësimit dhe forcimin e kapaciteteve inspektuese/vlerësuese.</w:t>
      </w:r>
    </w:p>
    <w:p w14:paraId="4D470C35" w14:textId="619A121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Futja e strukturës së re administrative në arsimin parauniversitar konsiderohet një arritje, pasi harmonizon inspektimin/vlerësimin me shkollat. Në kuadër të ristrukturimit të njësive vendore të arsimimit në vitin 2019, vëmendje e veçantë i është kushtuar mbulimit të institucioneve arsimore ku studiojnë nxënësit e pakicave kombëtare nga </w:t>
      </w:r>
      <w:r w:rsidR="00042303" w:rsidRPr="00913E39">
        <w:rPr>
          <w:rFonts w:ascii="Garamond" w:hAnsi="Garamond"/>
          <w:sz w:val="24"/>
        </w:rPr>
        <w:t xml:space="preserve">zyra vendore e arsimit parauniversitar </w:t>
      </w:r>
      <w:r w:rsidRPr="00913E39">
        <w:rPr>
          <w:rFonts w:ascii="Garamond" w:hAnsi="Garamond"/>
          <w:sz w:val="24"/>
        </w:rPr>
        <w:t>(ZVAP) për të garantuar drejtpërdrejt cilësinë e shërbimeve arsimore. Aktualisht, institucionet arsimore të frekuentuara nga nxënësit e minoritetit kombëtar grek mbështeten nga ZVAP Finiq-Dropull, ZVAP Gjirokastër-Libohovë dhe ZVAP Sarandë-Delvinë-Konispol, ndërsa institucionet arsimore parauniversitare të frekuentuara nga nxënësit e pakicës kombëtare maqedonase mbështeten nga ZVAP Korçë-Pustec.</w:t>
      </w:r>
    </w:p>
    <w:p w14:paraId="39AC1DF4" w14:textId="2BFE0BC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Drejtuesit e shkollave në Shqipëri shihen si pika të dobëta të sistemit arsimor. Ata përqendrohen më shumë në kryerjen e detyrave administrative sesa në udhëheqjen e procesit mësimor, si dhe iu mungon trajnimi i duhur për të realizuar këto funksione. Në shumicën e rasteve, pozicioni i drejtuesit të shkollës shihet si i përkohshëm dhe qarkullimi i drejtuesve është i shpeshtë. Që nga viti 2012, ekziston një procedurë më transparente e rekrutimit të drejtorëve. Ndryshimet ligjore të vitit 2018 kërkojnë që drejtorët të pajisen me një certifikatë të veçantë pas përfundimit të trajnimit të detyrueshëm në Shkollën e Drejtorëve. Shkolla e Drejtorëve u krijua në tetor 2018 si rezultat i mbështetjes së dhënë nga AAD</w:t>
      </w:r>
      <w:r w:rsidR="00042303" w:rsidRPr="00913E39">
        <w:rPr>
          <w:rFonts w:ascii="Garamond" w:hAnsi="Garamond"/>
          <w:sz w:val="24"/>
        </w:rPr>
        <w:t>F</w:t>
      </w:r>
      <w:r w:rsidRPr="00913E39">
        <w:rPr>
          <w:rFonts w:ascii="Garamond" w:hAnsi="Garamond"/>
          <w:sz w:val="24"/>
        </w:rPr>
        <w:t>-ja. Shkolla u krijua fillimisht si një partneritet midis qeverisë shqiptare dhe AADF-së duke ofruar një formë unike për organizimin e një institucioni të tillë për Shqipërinë dhe Rajonin e Ballkanit Perëndimor. Aktualisht Shkolla është një organ publik që funksionon si pjesë e strukturës arsimore. AADF-ja ka marrë përsipër të investojë 2.9 milionë dollarë në 10 vjet, ndërkohë që qeveria ka siguruar ambientet e shkollës. Pas analizës gjithëpërfshirëse të nevojave të kryera nga një ekip ekspertësh ndërkombëtarë dhe vendorë, shkolla ka hartuar kurrikulat dhe është drejt përfundimit të trajnimit të grupit të parë të pjesëmarrësve. Mësuesit kanë treguar interes të madh për të ma</w:t>
      </w:r>
      <w:r w:rsidR="00042303" w:rsidRPr="00913E39">
        <w:rPr>
          <w:rFonts w:ascii="Garamond" w:hAnsi="Garamond"/>
          <w:sz w:val="24"/>
        </w:rPr>
        <w:t>r</w:t>
      </w:r>
      <w:r w:rsidRPr="00913E39">
        <w:rPr>
          <w:rFonts w:ascii="Garamond" w:hAnsi="Garamond"/>
          <w:sz w:val="24"/>
        </w:rPr>
        <w:t xml:space="preserve">rë pjesë në trajnimin e drejtorëve të shkollave. Në vitin 2016 u miratuan standardet e performancës dhe kriteret e vlerësimit për drejtorët e shkollave, të cilat u rishikuan më vonë në vitin 2019. </w:t>
      </w:r>
    </w:p>
    <w:p w14:paraId="1B05E52C" w14:textId="77777777" w:rsidR="00847F23" w:rsidRPr="00913E39" w:rsidRDefault="00847F23" w:rsidP="00FC4C60">
      <w:pPr>
        <w:spacing w:after="0" w:line="240" w:lineRule="auto"/>
        <w:ind w:firstLine="284"/>
        <w:jc w:val="both"/>
        <w:rPr>
          <w:rFonts w:ascii="Garamond" w:hAnsi="Garamond"/>
          <w:sz w:val="24"/>
        </w:rPr>
      </w:pPr>
    </w:p>
    <w:p w14:paraId="4C35800E" w14:textId="6249C7CF"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lastRenderedPageBreak/>
        <w:t>Tabela 1</w:t>
      </w:r>
      <w:r w:rsidR="00042303" w:rsidRPr="00913E39">
        <w:rPr>
          <w:rFonts w:ascii="Garamond" w:hAnsi="Garamond"/>
          <w:i/>
          <w:sz w:val="24"/>
        </w:rPr>
        <w:t xml:space="preserve">. </w:t>
      </w:r>
      <w:r w:rsidRPr="00913E39">
        <w:rPr>
          <w:rFonts w:ascii="Garamond" w:hAnsi="Garamond"/>
          <w:i/>
          <w:sz w:val="24"/>
        </w:rPr>
        <w:t xml:space="preserve">Sfondi institucional sipas nënfushës së </w:t>
      </w:r>
      <w:r w:rsidR="00042303" w:rsidRPr="00913E39">
        <w:rPr>
          <w:rFonts w:ascii="Garamond" w:hAnsi="Garamond"/>
          <w:i/>
          <w:sz w:val="24"/>
        </w:rPr>
        <w:t>m</w:t>
      </w:r>
      <w:r w:rsidRPr="00913E39">
        <w:rPr>
          <w:rFonts w:ascii="Garamond" w:hAnsi="Garamond"/>
          <w:i/>
          <w:sz w:val="24"/>
        </w:rPr>
        <w:t xml:space="preserve">bështetjes 1.2 - Digjitalizimi arsimor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69"/>
        <w:gridCol w:w="1498"/>
        <w:gridCol w:w="2340"/>
        <w:gridCol w:w="1463"/>
        <w:gridCol w:w="2304"/>
      </w:tblGrid>
      <w:tr w:rsidR="00847F23" w:rsidRPr="00913E39" w14:paraId="575E1755" w14:textId="77777777" w:rsidTr="00EF60E1">
        <w:trPr>
          <w:trHeight w:val="20"/>
          <w:tblHeader/>
        </w:trPr>
        <w:tc>
          <w:tcPr>
            <w:tcW w:w="0" w:type="auto"/>
            <w:shd w:val="clear" w:color="auto" w:fill="D9D9D9"/>
            <w:vAlign w:val="center"/>
          </w:tcPr>
          <w:p w14:paraId="3B7E8655" w14:textId="77777777" w:rsidR="00847F23" w:rsidRPr="00913E39" w:rsidRDefault="00847F23" w:rsidP="00EF60E1">
            <w:pPr>
              <w:spacing w:after="0" w:line="240" w:lineRule="auto"/>
              <w:jc w:val="center"/>
              <w:rPr>
                <w:rFonts w:ascii="Garamond" w:hAnsi="Garamond"/>
                <w:b/>
                <w:sz w:val="18"/>
              </w:rPr>
            </w:pPr>
            <w:r w:rsidRPr="00913E39">
              <w:rPr>
                <w:rFonts w:ascii="Garamond" w:hAnsi="Garamond"/>
                <w:b/>
                <w:sz w:val="18"/>
              </w:rPr>
              <w:t>Institucioni</w:t>
            </w:r>
          </w:p>
        </w:tc>
        <w:tc>
          <w:tcPr>
            <w:tcW w:w="0" w:type="auto"/>
            <w:shd w:val="clear" w:color="auto" w:fill="D9D9D9"/>
            <w:vAlign w:val="center"/>
          </w:tcPr>
          <w:p w14:paraId="7FF43E45" w14:textId="77777777" w:rsidR="00847F23" w:rsidRPr="00913E39" w:rsidRDefault="00847F23" w:rsidP="00EF60E1">
            <w:pPr>
              <w:spacing w:after="0" w:line="240" w:lineRule="auto"/>
              <w:jc w:val="center"/>
              <w:rPr>
                <w:rFonts w:ascii="Garamond" w:hAnsi="Garamond"/>
                <w:b/>
                <w:sz w:val="18"/>
              </w:rPr>
            </w:pPr>
            <w:r w:rsidRPr="00913E39">
              <w:rPr>
                <w:rFonts w:ascii="Garamond" w:hAnsi="Garamond"/>
                <w:b/>
                <w:sz w:val="18"/>
              </w:rPr>
              <w:t>Struktura</w:t>
            </w:r>
          </w:p>
        </w:tc>
        <w:tc>
          <w:tcPr>
            <w:tcW w:w="0" w:type="auto"/>
            <w:shd w:val="clear" w:color="auto" w:fill="D9D9D9"/>
            <w:vAlign w:val="center"/>
          </w:tcPr>
          <w:p w14:paraId="5805E3A3" w14:textId="77777777" w:rsidR="00847F23" w:rsidRPr="00913E39" w:rsidRDefault="00847F23" w:rsidP="00EF60E1">
            <w:pPr>
              <w:spacing w:after="0" w:line="240" w:lineRule="auto"/>
              <w:jc w:val="center"/>
              <w:rPr>
                <w:rFonts w:ascii="Garamond" w:hAnsi="Garamond"/>
                <w:b/>
                <w:sz w:val="18"/>
              </w:rPr>
            </w:pPr>
            <w:r w:rsidRPr="00913E39">
              <w:rPr>
                <w:rFonts w:ascii="Garamond" w:hAnsi="Garamond"/>
                <w:b/>
                <w:sz w:val="18"/>
              </w:rPr>
              <w:t>Roli kryesor</w:t>
            </w:r>
          </w:p>
        </w:tc>
        <w:tc>
          <w:tcPr>
            <w:tcW w:w="0" w:type="auto"/>
            <w:shd w:val="clear" w:color="auto" w:fill="D9D9D9"/>
            <w:vAlign w:val="center"/>
          </w:tcPr>
          <w:p w14:paraId="74FAC6BE" w14:textId="77777777" w:rsidR="00847F23" w:rsidRPr="00913E39" w:rsidRDefault="00847F23" w:rsidP="00EF60E1">
            <w:pPr>
              <w:spacing w:after="0" w:line="240" w:lineRule="auto"/>
              <w:jc w:val="center"/>
              <w:rPr>
                <w:rFonts w:ascii="Garamond" w:hAnsi="Garamond"/>
                <w:b/>
                <w:sz w:val="18"/>
              </w:rPr>
            </w:pPr>
            <w:r w:rsidRPr="00913E39">
              <w:rPr>
                <w:rFonts w:ascii="Garamond" w:hAnsi="Garamond"/>
                <w:b/>
                <w:sz w:val="18"/>
              </w:rPr>
              <w:t>Burimet njerëzore (numri i stafit)</w:t>
            </w:r>
          </w:p>
        </w:tc>
        <w:tc>
          <w:tcPr>
            <w:tcW w:w="0" w:type="auto"/>
            <w:shd w:val="clear" w:color="auto" w:fill="D9D9D9"/>
            <w:vAlign w:val="center"/>
          </w:tcPr>
          <w:p w14:paraId="53A761C1" w14:textId="77777777" w:rsidR="00847F23" w:rsidRPr="00913E39" w:rsidRDefault="00847F23" w:rsidP="00EF60E1">
            <w:pPr>
              <w:spacing w:after="0" w:line="240" w:lineRule="auto"/>
              <w:jc w:val="center"/>
              <w:rPr>
                <w:rFonts w:ascii="Garamond" w:hAnsi="Garamond"/>
                <w:b/>
                <w:sz w:val="18"/>
              </w:rPr>
            </w:pPr>
            <w:r w:rsidRPr="00913E39">
              <w:rPr>
                <w:rFonts w:ascii="Garamond" w:hAnsi="Garamond"/>
                <w:b/>
                <w:sz w:val="18"/>
              </w:rPr>
              <w:t>Nevoja për trajnim</w:t>
            </w:r>
          </w:p>
        </w:tc>
      </w:tr>
      <w:tr w:rsidR="00847F23" w:rsidRPr="00913E39" w14:paraId="56377281" w14:textId="77777777" w:rsidTr="00EF60E1">
        <w:trPr>
          <w:trHeight w:val="20"/>
        </w:trPr>
        <w:tc>
          <w:tcPr>
            <w:tcW w:w="0" w:type="auto"/>
            <w:shd w:val="clear" w:color="auto" w:fill="auto"/>
          </w:tcPr>
          <w:p w14:paraId="4FB1F923" w14:textId="77777777" w:rsidR="00847F23" w:rsidRPr="00913E39" w:rsidRDefault="00847F23" w:rsidP="00EF60E1">
            <w:pPr>
              <w:spacing w:after="0" w:line="240" w:lineRule="auto"/>
              <w:rPr>
                <w:rFonts w:ascii="Garamond" w:hAnsi="Garamond"/>
                <w:sz w:val="18"/>
              </w:rPr>
            </w:pPr>
            <w:r w:rsidRPr="00913E39">
              <w:rPr>
                <w:rFonts w:ascii="Garamond" w:hAnsi="Garamond"/>
                <w:sz w:val="18"/>
              </w:rPr>
              <w:t>Ministria e Arsimit dhe Sporteve (MAS)</w:t>
            </w:r>
          </w:p>
        </w:tc>
        <w:tc>
          <w:tcPr>
            <w:tcW w:w="0" w:type="auto"/>
            <w:shd w:val="clear" w:color="auto" w:fill="auto"/>
          </w:tcPr>
          <w:p w14:paraId="79AF84B6" w14:textId="77777777" w:rsidR="00847F23" w:rsidRPr="00913E39" w:rsidRDefault="00847F23" w:rsidP="00EF60E1">
            <w:pPr>
              <w:spacing w:after="0" w:line="240" w:lineRule="auto"/>
              <w:rPr>
                <w:rFonts w:ascii="Garamond" w:hAnsi="Garamond"/>
                <w:sz w:val="18"/>
              </w:rPr>
            </w:pPr>
            <w:r w:rsidRPr="00913E39">
              <w:rPr>
                <w:rFonts w:ascii="Garamond" w:hAnsi="Garamond"/>
                <w:sz w:val="18"/>
              </w:rPr>
              <w:t>Drejtoria e Përgjithshme e Zhvillimit për Arsimin dhe Sportin.</w:t>
            </w:r>
          </w:p>
        </w:tc>
        <w:tc>
          <w:tcPr>
            <w:tcW w:w="0" w:type="auto"/>
            <w:shd w:val="clear" w:color="auto" w:fill="auto"/>
          </w:tcPr>
          <w:p w14:paraId="5D832184" w14:textId="77777777" w:rsidR="00847F23" w:rsidRPr="00913E39" w:rsidRDefault="00847F23" w:rsidP="00EF60E1">
            <w:pPr>
              <w:spacing w:after="0" w:line="240" w:lineRule="auto"/>
              <w:rPr>
                <w:rFonts w:ascii="Garamond" w:hAnsi="Garamond"/>
                <w:sz w:val="18"/>
              </w:rPr>
            </w:pPr>
            <w:r w:rsidRPr="00913E39">
              <w:rPr>
                <w:rFonts w:ascii="Garamond" w:hAnsi="Garamond"/>
                <w:sz w:val="18"/>
              </w:rPr>
              <w:t>Ministria e Arsimit dhe Sportit është përgjegjëse për planifikimin, zbatimin dhe rishikimin e politikave arsimore në të gjitha nivelet. Ministria mbështetet nga një sërë organesh këshillimore dhe institucionesh ekzekutive.</w:t>
            </w:r>
          </w:p>
          <w:p w14:paraId="0AA9B845" w14:textId="77777777" w:rsidR="00847F23" w:rsidRPr="00913E39" w:rsidRDefault="00847F23" w:rsidP="00EF60E1">
            <w:pPr>
              <w:spacing w:after="0" w:line="240" w:lineRule="auto"/>
              <w:rPr>
                <w:rFonts w:ascii="Garamond" w:hAnsi="Garamond"/>
                <w:sz w:val="18"/>
              </w:rPr>
            </w:pPr>
            <w:r w:rsidRPr="00913E39">
              <w:rPr>
                <w:rFonts w:ascii="Garamond" w:hAnsi="Garamond"/>
                <w:sz w:val="18"/>
              </w:rPr>
              <w:t>Drejtoria e Përgjithshme e Zhvillimit për Arsimin dhe Sportin përbëhet nga 4 drejtori: Drejtoria e Arsimit Parauniversitar, Drejtoria e Arsimit të Lartë, Drejtoria e Jetësimit të Prioriteteve dhe Statistikave dhe Drejtoria e Sporteve.</w:t>
            </w:r>
          </w:p>
        </w:tc>
        <w:tc>
          <w:tcPr>
            <w:tcW w:w="0" w:type="auto"/>
            <w:shd w:val="clear" w:color="auto" w:fill="auto"/>
          </w:tcPr>
          <w:p w14:paraId="2C0EF773" w14:textId="77777777" w:rsidR="00847F23" w:rsidRPr="00913E39" w:rsidRDefault="00847F23" w:rsidP="00EF60E1">
            <w:pPr>
              <w:spacing w:after="0" w:line="240" w:lineRule="auto"/>
              <w:rPr>
                <w:rFonts w:ascii="Garamond" w:hAnsi="Garamond"/>
                <w:sz w:val="18"/>
              </w:rPr>
            </w:pPr>
            <w:r w:rsidRPr="00913E39">
              <w:rPr>
                <w:rFonts w:ascii="Garamond" w:hAnsi="Garamond"/>
                <w:sz w:val="18"/>
              </w:rPr>
              <w:t>Përafërsisht 35</w:t>
            </w:r>
          </w:p>
        </w:tc>
        <w:tc>
          <w:tcPr>
            <w:tcW w:w="0" w:type="auto"/>
            <w:shd w:val="clear" w:color="auto" w:fill="auto"/>
          </w:tcPr>
          <w:p w14:paraId="5537BC16" w14:textId="77777777" w:rsidR="00847F23" w:rsidRPr="00913E39" w:rsidRDefault="00847F23" w:rsidP="00EF60E1">
            <w:pPr>
              <w:spacing w:after="0" w:line="240" w:lineRule="auto"/>
              <w:rPr>
                <w:rFonts w:ascii="Garamond" w:hAnsi="Garamond"/>
                <w:sz w:val="18"/>
              </w:rPr>
            </w:pPr>
            <w:r w:rsidRPr="00913E39">
              <w:rPr>
                <w:rFonts w:ascii="Garamond" w:hAnsi="Garamond"/>
                <w:sz w:val="18"/>
              </w:rPr>
              <w:t>Personat e përfshirë mund të kenë nevojë për trajnime të mëtejshme në lidhje me përdorimin e TIK-ut në varësi të përfshirjes së tyre në program.</w:t>
            </w:r>
          </w:p>
        </w:tc>
      </w:tr>
      <w:tr w:rsidR="00847F23" w:rsidRPr="00913E39" w14:paraId="45646154" w14:textId="77777777" w:rsidTr="00EF60E1">
        <w:trPr>
          <w:trHeight w:val="20"/>
        </w:trPr>
        <w:tc>
          <w:tcPr>
            <w:tcW w:w="0" w:type="auto"/>
            <w:shd w:val="clear" w:color="auto" w:fill="auto"/>
          </w:tcPr>
          <w:p w14:paraId="2830A8E3" w14:textId="77777777" w:rsidR="00847F23" w:rsidRPr="00913E39" w:rsidRDefault="00847F23" w:rsidP="00EF60E1">
            <w:pPr>
              <w:spacing w:after="0" w:line="240" w:lineRule="auto"/>
              <w:rPr>
                <w:rFonts w:ascii="Garamond" w:hAnsi="Garamond"/>
                <w:sz w:val="18"/>
              </w:rPr>
            </w:pPr>
            <w:r w:rsidRPr="00913E39">
              <w:rPr>
                <w:rFonts w:ascii="Garamond" w:hAnsi="Garamond"/>
                <w:sz w:val="18"/>
              </w:rPr>
              <w:t xml:space="preserve">Agjencia Kombëtare e Shoqërisë së Informacionit </w:t>
            </w:r>
          </w:p>
        </w:tc>
        <w:tc>
          <w:tcPr>
            <w:tcW w:w="0" w:type="auto"/>
            <w:shd w:val="clear" w:color="auto" w:fill="auto"/>
          </w:tcPr>
          <w:p w14:paraId="6DCBE720" w14:textId="77777777" w:rsidR="00847F23" w:rsidRPr="00913E39" w:rsidRDefault="00847F23" w:rsidP="00EF60E1">
            <w:pPr>
              <w:spacing w:after="0" w:line="240" w:lineRule="auto"/>
              <w:rPr>
                <w:rFonts w:ascii="Garamond" w:hAnsi="Garamond"/>
                <w:sz w:val="18"/>
              </w:rPr>
            </w:pPr>
            <w:r w:rsidRPr="00913E39">
              <w:rPr>
                <w:rFonts w:ascii="Garamond" w:hAnsi="Garamond"/>
                <w:sz w:val="18"/>
              </w:rPr>
              <w:t>Sektori i IT-së në Ministrinë e Arsimit dhe Sportit</w:t>
            </w:r>
          </w:p>
        </w:tc>
        <w:tc>
          <w:tcPr>
            <w:tcW w:w="0" w:type="auto"/>
            <w:shd w:val="clear" w:color="auto" w:fill="auto"/>
          </w:tcPr>
          <w:p w14:paraId="426EAE96" w14:textId="77777777" w:rsidR="00847F23" w:rsidRPr="00913E39" w:rsidRDefault="00847F23" w:rsidP="00EF60E1">
            <w:pPr>
              <w:spacing w:after="0" w:line="240" w:lineRule="auto"/>
              <w:rPr>
                <w:rFonts w:ascii="Garamond" w:hAnsi="Garamond"/>
                <w:sz w:val="18"/>
              </w:rPr>
            </w:pPr>
            <w:r w:rsidRPr="00913E39">
              <w:rPr>
                <w:rFonts w:ascii="Garamond" w:hAnsi="Garamond"/>
                <w:sz w:val="18"/>
              </w:rPr>
              <w:t xml:space="preserve">Përgjegjës për çështjet teknike në lidhje me TIK-un, asiston MAS-in në zbatimin e SMIP-it dhe platformave të tjera arsimore. </w:t>
            </w:r>
          </w:p>
        </w:tc>
        <w:tc>
          <w:tcPr>
            <w:tcW w:w="0" w:type="auto"/>
            <w:shd w:val="clear" w:color="auto" w:fill="auto"/>
          </w:tcPr>
          <w:p w14:paraId="2B2C82FD" w14:textId="15E56B28" w:rsidR="00847F23" w:rsidRPr="00913E39" w:rsidRDefault="00847F23" w:rsidP="00EF60E1">
            <w:pPr>
              <w:spacing w:after="0" w:line="240" w:lineRule="auto"/>
              <w:rPr>
                <w:rFonts w:ascii="Garamond" w:hAnsi="Garamond"/>
                <w:sz w:val="18"/>
              </w:rPr>
            </w:pPr>
            <w:r w:rsidRPr="00913E39">
              <w:rPr>
                <w:rFonts w:ascii="Garamond" w:hAnsi="Garamond"/>
                <w:sz w:val="18"/>
              </w:rPr>
              <w:t>3 (</w:t>
            </w:r>
            <w:r w:rsidR="00B62C97" w:rsidRPr="00913E39">
              <w:rPr>
                <w:rFonts w:ascii="Garamond" w:hAnsi="Garamond"/>
                <w:sz w:val="18"/>
              </w:rPr>
              <w:t>përgjegjës sektori dhe 2 specialistë)</w:t>
            </w:r>
          </w:p>
        </w:tc>
        <w:tc>
          <w:tcPr>
            <w:tcW w:w="0" w:type="auto"/>
            <w:shd w:val="clear" w:color="auto" w:fill="auto"/>
          </w:tcPr>
          <w:p w14:paraId="65A9FD39" w14:textId="77777777" w:rsidR="00847F23" w:rsidRPr="00913E39" w:rsidRDefault="00847F23" w:rsidP="00EF60E1">
            <w:pPr>
              <w:spacing w:after="0" w:line="240" w:lineRule="auto"/>
              <w:rPr>
                <w:rFonts w:ascii="Garamond" w:hAnsi="Garamond"/>
                <w:sz w:val="18"/>
              </w:rPr>
            </w:pPr>
            <w:r w:rsidRPr="00913E39">
              <w:rPr>
                <w:rFonts w:ascii="Garamond" w:hAnsi="Garamond"/>
                <w:sz w:val="18"/>
              </w:rPr>
              <w:t>I specializuar në çështje që lidhen me platformat arsimore dhe menaxhimin e tyre, por mund të kenë nevojë për trajnime të mëtejshme në lidhje me menaxhimin e projektit.</w:t>
            </w:r>
          </w:p>
        </w:tc>
      </w:tr>
      <w:tr w:rsidR="00847F23" w:rsidRPr="00913E39" w14:paraId="07897B7C" w14:textId="77777777" w:rsidTr="00EF60E1">
        <w:trPr>
          <w:trHeight w:val="20"/>
        </w:trPr>
        <w:tc>
          <w:tcPr>
            <w:tcW w:w="0" w:type="auto"/>
            <w:shd w:val="clear" w:color="auto" w:fill="auto"/>
          </w:tcPr>
          <w:p w14:paraId="36F6A364" w14:textId="77777777" w:rsidR="00847F23" w:rsidRPr="00913E39" w:rsidRDefault="00847F23" w:rsidP="00EF60E1">
            <w:pPr>
              <w:spacing w:after="0" w:line="240" w:lineRule="auto"/>
              <w:rPr>
                <w:rFonts w:ascii="Garamond" w:hAnsi="Garamond"/>
                <w:sz w:val="18"/>
              </w:rPr>
            </w:pPr>
            <w:r w:rsidRPr="00913E39">
              <w:rPr>
                <w:rFonts w:ascii="Garamond" w:hAnsi="Garamond"/>
                <w:sz w:val="18"/>
              </w:rPr>
              <w:t>Ministria e Arsimit dhe Sporteve</w:t>
            </w:r>
          </w:p>
        </w:tc>
        <w:tc>
          <w:tcPr>
            <w:tcW w:w="0" w:type="auto"/>
            <w:shd w:val="clear" w:color="auto" w:fill="auto"/>
          </w:tcPr>
          <w:p w14:paraId="2EE6FEEF" w14:textId="77777777" w:rsidR="00847F23" w:rsidRPr="00913E39" w:rsidRDefault="00847F23" w:rsidP="00EF60E1">
            <w:pPr>
              <w:spacing w:after="0" w:line="240" w:lineRule="auto"/>
              <w:rPr>
                <w:rFonts w:ascii="Garamond" w:hAnsi="Garamond"/>
                <w:sz w:val="18"/>
              </w:rPr>
            </w:pPr>
            <w:r w:rsidRPr="00913E39">
              <w:rPr>
                <w:rFonts w:ascii="Garamond" w:hAnsi="Garamond"/>
                <w:sz w:val="18"/>
              </w:rPr>
              <w:t>Sektori i Inovacionit</w:t>
            </w:r>
          </w:p>
          <w:p w14:paraId="6ECED4DD" w14:textId="77777777" w:rsidR="00847F23" w:rsidRPr="00913E39" w:rsidRDefault="00847F23" w:rsidP="00EF60E1">
            <w:pPr>
              <w:spacing w:after="0" w:line="240" w:lineRule="auto"/>
              <w:rPr>
                <w:rFonts w:ascii="Garamond" w:hAnsi="Garamond"/>
                <w:sz w:val="18"/>
              </w:rPr>
            </w:pPr>
          </w:p>
        </w:tc>
        <w:tc>
          <w:tcPr>
            <w:tcW w:w="0" w:type="auto"/>
            <w:shd w:val="clear" w:color="auto" w:fill="auto"/>
          </w:tcPr>
          <w:p w14:paraId="0FC90B6A" w14:textId="77777777" w:rsidR="00847F23" w:rsidRPr="00913E39" w:rsidRDefault="00847F23" w:rsidP="00EF60E1">
            <w:pPr>
              <w:spacing w:after="0" w:line="240" w:lineRule="auto"/>
              <w:rPr>
                <w:rFonts w:ascii="Garamond" w:hAnsi="Garamond"/>
                <w:sz w:val="18"/>
              </w:rPr>
            </w:pPr>
            <w:r w:rsidRPr="00913E39">
              <w:rPr>
                <w:rFonts w:ascii="Garamond" w:hAnsi="Garamond"/>
                <w:sz w:val="18"/>
              </w:rPr>
              <w:t xml:space="preserve">Harton politika dhe udhëzime për përfshirjen e inovacionit në arsim, identifikon prioritetet dhe përgatit plane strategjike. </w:t>
            </w:r>
          </w:p>
        </w:tc>
        <w:tc>
          <w:tcPr>
            <w:tcW w:w="0" w:type="auto"/>
            <w:shd w:val="clear" w:color="auto" w:fill="auto"/>
          </w:tcPr>
          <w:p w14:paraId="2EC78EFE" w14:textId="77777777" w:rsidR="00847F23" w:rsidRPr="00913E39" w:rsidRDefault="00847F23" w:rsidP="00EF60E1">
            <w:pPr>
              <w:spacing w:after="0" w:line="240" w:lineRule="auto"/>
              <w:rPr>
                <w:rFonts w:ascii="Garamond" w:hAnsi="Garamond"/>
                <w:sz w:val="18"/>
              </w:rPr>
            </w:pPr>
            <w:r w:rsidRPr="00913E39">
              <w:rPr>
                <w:rFonts w:ascii="Garamond" w:hAnsi="Garamond"/>
                <w:sz w:val="18"/>
              </w:rPr>
              <w:t>3 (1 përgjegjës sektori dhe 2 specialistë)</w:t>
            </w:r>
          </w:p>
        </w:tc>
        <w:tc>
          <w:tcPr>
            <w:tcW w:w="0" w:type="auto"/>
            <w:shd w:val="clear" w:color="auto" w:fill="auto"/>
          </w:tcPr>
          <w:p w14:paraId="38C56391" w14:textId="77777777" w:rsidR="00847F23" w:rsidRPr="00913E39" w:rsidRDefault="00847F23" w:rsidP="00EF60E1">
            <w:pPr>
              <w:spacing w:after="0" w:line="240" w:lineRule="auto"/>
              <w:rPr>
                <w:rFonts w:ascii="Garamond" w:hAnsi="Garamond"/>
                <w:sz w:val="18"/>
              </w:rPr>
            </w:pPr>
            <w:r w:rsidRPr="00913E39">
              <w:rPr>
                <w:rFonts w:ascii="Garamond" w:hAnsi="Garamond"/>
                <w:sz w:val="18"/>
              </w:rPr>
              <w:t>2 nga 3 punonjës kanë përvojën përkatëse. Stafi mund të ketë nevojë për trajnime për menaxhimin e projekteve dhe ndërhyrjeve të tjera innovative.</w:t>
            </w:r>
          </w:p>
        </w:tc>
      </w:tr>
      <w:tr w:rsidR="00847F23" w:rsidRPr="00913E39" w14:paraId="71D84714" w14:textId="77777777" w:rsidTr="00EF60E1">
        <w:trPr>
          <w:trHeight w:val="20"/>
        </w:trPr>
        <w:tc>
          <w:tcPr>
            <w:tcW w:w="0" w:type="auto"/>
            <w:shd w:val="clear" w:color="auto" w:fill="auto"/>
          </w:tcPr>
          <w:p w14:paraId="4052F44D" w14:textId="77777777" w:rsidR="00847F23" w:rsidRPr="00913E39" w:rsidRDefault="00847F23" w:rsidP="00042303">
            <w:pPr>
              <w:spacing w:after="0" w:line="240" w:lineRule="auto"/>
              <w:rPr>
                <w:rFonts w:ascii="Garamond" w:hAnsi="Garamond"/>
                <w:sz w:val="18"/>
              </w:rPr>
            </w:pPr>
            <w:r w:rsidRPr="00913E39">
              <w:rPr>
                <w:rFonts w:ascii="Garamond" w:hAnsi="Garamond"/>
                <w:sz w:val="18"/>
              </w:rPr>
              <w:t>Agjencia e Sigurimit të Cilësisë në Arsimin Parauniversitar</w:t>
            </w:r>
          </w:p>
        </w:tc>
        <w:tc>
          <w:tcPr>
            <w:tcW w:w="0" w:type="auto"/>
            <w:shd w:val="clear" w:color="auto" w:fill="auto"/>
          </w:tcPr>
          <w:p w14:paraId="497306EA" w14:textId="77777777" w:rsidR="00847F23" w:rsidRPr="00913E39" w:rsidRDefault="00847F23" w:rsidP="00EF60E1">
            <w:pPr>
              <w:spacing w:after="0" w:line="240" w:lineRule="auto"/>
              <w:rPr>
                <w:rFonts w:ascii="Garamond" w:hAnsi="Garamond"/>
                <w:sz w:val="18"/>
              </w:rPr>
            </w:pPr>
            <w:r w:rsidRPr="00913E39">
              <w:rPr>
                <w:rFonts w:ascii="Garamond" w:hAnsi="Garamond"/>
                <w:sz w:val="18"/>
              </w:rPr>
              <w:t>Specialist i kurrikulës për kurrikulat TIK të arsimit parauniversitar</w:t>
            </w:r>
          </w:p>
        </w:tc>
        <w:tc>
          <w:tcPr>
            <w:tcW w:w="0" w:type="auto"/>
            <w:shd w:val="clear" w:color="auto" w:fill="auto"/>
          </w:tcPr>
          <w:p w14:paraId="5CDD09C9" w14:textId="77777777" w:rsidR="00847F23" w:rsidRPr="00913E39" w:rsidRDefault="00847F23" w:rsidP="00EF60E1">
            <w:pPr>
              <w:spacing w:after="0" w:line="240" w:lineRule="auto"/>
              <w:rPr>
                <w:rFonts w:ascii="Garamond" w:hAnsi="Garamond"/>
                <w:sz w:val="18"/>
              </w:rPr>
            </w:pPr>
            <w:r w:rsidRPr="00913E39">
              <w:rPr>
                <w:rFonts w:ascii="Garamond" w:hAnsi="Garamond"/>
                <w:sz w:val="18"/>
              </w:rPr>
              <w:t xml:space="preserve">Ndjek zbatimin me sukses të kurrikulave të TIK-ut dhe koordinon trajnimin e mësuesit të TIK-ut nëpërmjet </w:t>
            </w:r>
            <w:r w:rsidR="00850FC7" w:rsidRPr="00913E39">
              <w:rPr>
                <w:rFonts w:ascii="Garamond" w:hAnsi="Garamond"/>
                <w:sz w:val="18"/>
              </w:rPr>
              <w:t>“</w:t>
            </w:r>
            <w:r w:rsidRPr="00913E39">
              <w:rPr>
                <w:rFonts w:ascii="Garamond" w:hAnsi="Garamond"/>
                <w:sz w:val="18"/>
              </w:rPr>
              <w:t>Rrjetit të Mësuesve</w:t>
            </w:r>
            <w:r w:rsidR="00850FC7" w:rsidRPr="00913E39">
              <w:rPr>
                <w:rFonts w:ascii="Garamond" w:hAnsi="Garamond"/>
                <w:sz w:val="18"/>
              </w:rPr>
              <w:t>”</w:t>
            </w:r>
            <w:r w:rsidRPr="00913E39">
              <w:rPr>
                <w:rFonts w:ascii="Garamond" w:hAnsi="Garamond"/>
                <w:sz w:val="18"/>
              </w:rPr>
              <w:t xml:space="preserve"> për Mësuesin e TIK-ut. </w:t>
            </w:r>
          </w:p>
        </w:tc>
        <w:tc>
          <w:tcPr>
            <w:tcW w:w="0" w:type="auto"/>
            <w:shd w:val="clear" w:color="auto" w:fill="auto"/>
          </w:tcPr>
          <w:p w14:paraId="26CD4880" w14:textId="77777777" w:rsidR="00847F23" w:rsidRPr="00913E39" w:rsidRDefault="00847F23" w:rsidP="00EF60E1">
            <w:pPr>
              <w:spacing w:after="0" w:line="240" w:lineRule="auto"/>
              <w:rPr>
                <w:rFonts w:ascii="Garamond" w:hAnsi="Garamond"/>
                <w:sz w:val="18"/>
              </w:rPr>
            </w:pPr>
            <w:r w:rsidRPr="00913E39">
              <w:rPr>
                <w:rFonts w:ascii="Garamond" w:hAnsi="Garamond"/>
                <w:sz w:val="18"/>
              </w:rPr>
              <w:t xml:space="preserve">22 (1 dhe 21 drejtues të rrjeteve të mësimdhënies së TIK-ut) </w:t>
            </w:r>
          </w:p>
        </w:tc>
        <w:tc>
          <w:tcPr>
            <w:tcW w:w="0" w:type="auto"/>
            <w:shd w:val="clear" w:color="auto" w:fill="auto"/>
          </w:tcPr>
          <w:p w14:paraId="2C63203B" w14:textId="77777777" w:rsidR="00847F23" w:rsidRPr="00913E39" w:rsidRDefault="00847F23" w:rsidP="00EF60E1">
            <w:pPr>
              <w:spacing w:after="0" w:line="240" w:lineRule="auto"/>
              <w:rPr>
                <w:rFonts w:ascii="Garamond" w:hAnsi="Garamond"/>
                <w:sz w:val="18"/>
              </w:rPr>
            </w:pPr>
            <w:r w:rsidRPr="00913E39">
              <w:rPr>
                <w:rFonts w:ascii="Garamond" w:hAnsi="Garamond"/>
                <w:sz w:val="18"/>
              </w:rPr>
              <w:t xml:space="preserve">Në varësi të përfshirjes së tyre në program, ata mund të kenë nevojë për trajnime të mëtejshme për çështje të ndryshme. </w:t>
            </w:r>
          </w:p>
        </w:tc>
      </w:tr>
      <w:tr w:rsidR="00847F23" w:rsidRPr="00913E39" w14:paraId="379571D0" w14:textId="77777777" w:rsidTr="00EF60E1">
        <w:trPr>
          <w:trHeight w:val="20"/>
        </w:trPr>
        <w:tc>
          <w:tcPr>
            <w:tcW w:w="0" w:type="auto"/>
            <w:shd w:val="clear" w:color="auto" w:fill="auto"/>
          </w:tcPr>
          <w:p w14:paraId="112BCDB1" w14:textId="77777777" w:rsidR="00847F23" w:rsidRPr="00913E39" w:rsidRDefault="00847F23" w:rsidP="00042303">
            <w:pPr>
              <w:spacing w:after="0" w:line="240" w:lineRule="auto"/>
              <w:rPr>
                <w:rFonts w:ascii="Garamond" w:hAnsi="Garamond"/>
                <w:sz w:val="18"/>
              </w:rPr>
            </w:pPr>
            <w:r w:rsidRPr="00913E39">
              <w:rPr>
                <w:rFonts w:ascii="Garamond" w:hAnsi="Garamond"/>
                <w:sz w:val="18"/>
              </w:rPr>
              <w:t>Drejtoria e Përgjithshme e Arsimit Parauniversitar</w:t>
            </w:r>
          </w:p>
        </w:tc>
        <w:tc>
          <w:tcPr>
            <w:tcW w:w="0" w:type="auto"/>
            <w:shd w:val="clear" w:color="auto" w:fill="auto"/>
          </w:tcPr>
          <w:p w14:paraId="587EC9DA" w14:textId="77777777" w:rsidR="00847F23" w:rsidRPr="00913E39" w:rsidRDefault="00847F23" w:rsidP="00EF60E1">
            <w:pPr>
              <w:spacing w:after="0" w:line="240" w:lineRule="auto"/>
              <w:rPr>
                <w:rFonts w:ascii="Garamond" w:hAnsi="Garamond"/>
                <w:sz w:val="18"/>
              </w:rPr>
            </w:pPr>
            <w:r w:rsidRPr="00913E39">
              <w:rPr>
                <w:rFonts w:ascii="Garamond" w:hAnsi="Garamond"/>
                <w:sz w:val="18"/>
              </w:rPr>
              <w:t>Sektori i Kurrikulave</w:t>
            </w:r>
          </w:p>
        </w:tc>
        <w:tc>
          <w:tcPr>
            <w:tcW w:w="0" w:type="auto"/>
            <w:shd w:val="clear" w:color="auto" w:fill="auto"/>
          </w:tcPr>
          <w:p w14:paraId="1312A623" w14:textId="77777777" w:rsidR="00847F23" w:rsidRPr="00913E39" w:rsidRDefault="00847F23" w:rsidP="00EF60E1">
            <w:pPr>
              <w:spacing w:after="0" w:line="240" w:lineRule="auto"/>
              <w:rPr>
                <w:rFonts w:ascii="Garamond" w:hAnsi="Garamond"/>
                <w:sz w:val="18"/>
              </w:rPr>
            </w:pPr>
            <w:r w:rsidRPr="00913E39">
              <w:rPr>
                <w:rFonts w:ascii="Garamond" w:hAnsi="Garamond"/>
                <w:sz w:val="18"/>
              </w:rPr>
              <w:t>Ndjek zbatimin e kurrikulave në sistemin e arsimit parauniversitar përfshirë TIK-un</w:t>
            </w:r>
          </w:p>
        </w:tc>
        <w:tc>
          <w:tcPr>
            <w:tcW w:w="0" w:type="auto"/>
            <w:shd w:val="clear" w:color="auto" w:fill="auto"/>
          </w:tcPr>
          <w:p w14:paraId="4D7C3C72" w14:textId="77777777" w:rsidR="00847F23" w:rsidRPr="00913E39" w:rsidRDefault="00847F23" w:rsidP="00EF60E1">
            <w:pPr>
              <w:spacing w:after="0" w:line="240" w:lineRule="auto"/>
              <w:rPr>
                <w:rFonts w:ascii="Garamond" w:hAnsi="Garamond"/>
                <w:sz w:val="18"/>
              </w:rPr>
            </w:pPr>
            <w:r w:rsidRPr="00913E39">
              <w:rPr>
                <w:rFonts w:ascii="Garamond" w:hAnsi="Garamond"/>
                <w:sz w:val="18"/>
              </w:rPr>
              <w:t>6 (1 përgjegjës sektori dhe 5 specialistë)</w:t>
            </w:r>
          </w:p>
        </w:tc>
        <w:tc>
          <w:tcPr>
            <w:tcW w:w="0" w:type="auto"/>
            <w:shd w:val="clear" w:color="auto" w:fill="auto"/>
          </w:tcPr>
          <w:p w14:paraId="3227AFF1" w14:textId="77777777" w:rsidR="00847F23" w:rsidRPr="00913E39" w:rsidRDefault="00847F23" w:rsidP="00EF60E1">
            <w:pPr>
              <w:spacing w:after="0" w:line="240" w:lineRule="auto"/>
              <w:rPr>
                <w:rFonts w:ascii="Garamond" w:hAnsi="Garamond"/>
                <w:sz w:val="18"/>
              </w:rPr>
            </w:pPr>
          </w:p>
        </w:tc>
      </w:tr>
      <w:tr w:rsidR="00847F23" w:rsidRPr="00913E39" w14:paraId="0088E98E" w14:textId="77777777" w:rsidTr="00EF60E1">
        <w:trPr>
          <w:trHeight w:val="20"/>
        </w:trPr>
        <w:tc>
          <w:tcPr>
            <w:tcW w:w="0" w:type="auto"/>
            <w:shd w:val="clear" w:color="auto" w:fill="auto"/>
          </w:tcPr>
          <w:p w14:paraId="7B3C1A6A" w14:textId="77777777" w:rsidR="00847F23" w:rsidRPr="00913E39" w:rsidRDefault="00847F23" w:rsidP="00042303">
            <w:pPr>
              <w:spacing w:after="0" w:line="240" w:lineRule="auto"/>
              <w:rPr>
                <w:rFonts w:ascii="Garamond" w:hAnsi="Garamond"/>
                <w:sz w:val="18"/>
              </w:rPr>
            </w:pPr>
            <w:r w:rsidRPr="00913E39">
              <w:rPr>
                <w:rFonts w:ascii="Garamond" w:hAnsi="Garamond"/>
                <w:sz w:val="18"/>
              </w:rPr>
              <w:t xml:space="preserve">Drejtoritë Arsimore Rajonale </w:t>
            </w:r>
          </w:p>
        </w:tc>
        <w:tc>
          <w:tcPr>
            <w:tcW w:w="0" w:type="auto"/>
            <w:shd w:val="clear" w:color="auto" w:fill="auto"/>
          </w:tcPr>
          <w:p w14:paraId="4BCE5D40" w14:textId="77777777" w:rsidR="00847F23" w:rsidRPr="00913E39" w:rsidRDefault="00847F23" w:rsidP="00EF60E1">
            <w:pPr>
              <w:spacing w:after="0" w:line="240" w:lineRule="auto"/>
              <w:rPr>
                <w:rFonts w:ascii="Garamond" w:hAnsi="Garamond"/>
                <w:sz w:val="18"/>
              </w:rPr>
            </w:pPr>
            <w:r w:rsidRPr="00913E39">
              <w:rPr>
                <w:rFonts w:ascii="Garamond" w:hAnsi="Garamond"/>
                <w:sz w:val="18"/>
              </w:rPr>
              <w:t>Sektori i Kurrikulave</w:t>
            </w:r>
          </w:p>
        </w:tc>
        <w:tc>
          <w:tcPr>
            <w:tcW w:w="0" w:type="auto"/>
            <w:shd w:val="clear" w:color="auto" w:fill="auto"/>
          </w:tcPr>
          <w:p w14:paraId="46DC4D1F" w14:textId="77777777" w:rsidR="00847F23" w:rsidRPr="00913E39" w:rsidRDefault="00847F23" w:rsidP="00EF60E1">
            <w:pPr>
              <w:spacing w:after="0" w:line="240" w:lineRule="auto"/>
              <w:rPr>
                <w:rFonts w:ascii="Garamond" w:hAnsi="Garamond"/>
                <w:sz w:val="18"/>
              </w:rPr>
            </w:pPr>
            <w:r w:rsidRPr="00913E39">
              <w:rPr>
                <w:rFonts w:ascii="Garamond" w:hAnsi="Garamond"/>
                <w:sz w:val="18"/>
              </w:rPr>
              <w:t>Specialist kurrikule</w:t>
            </w:r>
          </w:p>
        </w:tc>
        <w:tc>
          <w:tcPr>
            <w:tcW w:w="0" w:type="auto"/>
            <w:shd w:val="clear" w:color="auto" w:fill="auto"/>
          </w:tcPr>
          <w:p w14:paraId="0C87752F" w14:textId="77777777" w:rsidR="00847F23" w:rsidRPr="00913E39" w:rsidRDefault="00847F23" w:rsidP="00EF60E1">
            <w:pPr>
              <w:spacing w:after="0" w:line="240" w:lineRule="auto"/>
              <w:rPr>
                <w:rFonts w:ascii="Garamond" w:hAnsi="Garamond"/>
                <w:sz w:val="18"/>
              </w:rPr>
            </w:pPr>
            <w:r w:rsidRPr="00913E39">
              <w:rPr>
                <w:rFonts w:ascii="Garamond" w:hAnsi="Garamond"/>
                <w:sz w:val="18"/>
              </w:rPr>
              <w:t>4 (1 përgjegjës sektori dhe 3 specialistë)</w:t>
            </w:r>
          </w:p>
        </w:tc>
        <w:tc>
          <w:tcPr>
            <w:tcW w:w="0" w:type="auto"/>
            <w:shd w:val="clear" w:color="auto" w:fill="auto"/>
          </w:tcPr>
          <w:p w14:paraId="43A73429" w14:textId="77777777" w:rsidR="00847F23" w:rsidRPr="00913E39" w:rsidRDefault="00847F23" w:rsidP="00EF60E1">
            <w:pPr>
              <w:spacing w:after="0" w:line="240" w:lineRule="auto"/>
              <w:rPr>
                <w:rFonts w:ascii="Garamond" w:hAnsi="Garamond"/>
                <w:sz w:val="18"/>
              </w:rPr>
            </w:pPr>
            <w:r w:rsidRPr="00913E39">
              <w:rPr>
                <w:rFonts w:ascii="Garamond" w:hAnsi="Garamond"/>
                <w:sz w:val="18"/>
              </w:rPr>
              <w:t xml:space="preserve">Personat e përfshirë mbulojnë kurrikulat në përgjithësi dhe mund të kenë nevojë për trajnim në lidhje me përdorimin e TIK-ut sipas përfshirjes së tyre në program. </w:t>
            </w:r>
          </w:p>
        </w:tc>
      </w:tr>
      <w:tr w:rsidR="00847F23" w:rsidRPr="00913E39" w14:paraId="3EDB86BB" w14:textId="77777777" w:rsidTr="00EF60E1">
        <w:trPr>
          <w:trHeight w:val="20"/>
        </w:trPr>
        <w:tc>
          <w:tcPr>
            <w:tcW w:w="0" w:type="auto"/>
            <w:shd w:val="clear" w:color="auto" w:fill="auto"/>
          </w:tcPr>
          <w:p w14:paraId="1F74AC34" w14:textId="77777777" w:rsidR="00847F23" w:rsidRPr="00913E39" w:rsidRDefault="00847F23" w:rsidP="00042303">
            <w:pPr>
              <w:spacing w:after="0" w:line="240" w:lineRule="auto"/>
              <w:rPr>
                <w:rFonts w:ascii="Garamond" w:hAnsi="Garamond"/>
                <w:sz w:val="18"/>
              </w:rPr>
            </w:pPr>
            <w:r w:rsidRPr="00913E39">
              <w:rPr>
                <w:rFonts w:ascii="Garamond" w:hAnsi="Garamond"/>
                <w:sz w:val="18"/>
              </w:rPr>
              <w:t>Zyra Arsimore Vendore</w:t>
            </w:r>
          </w:p>
        </w:tc>
        <w:tc>
          <w:tcPr>
            <w:tcW w:w="0" w:type="auto"/>
            <w:shd w:val="clear" w:color="auto" w:fill="auto"/>
          </w:tcPr>
          <w:p w14:paraId="59FF0289" w14:textId="77777777" w:rsidR="00847F23" w:rsidRPr="00913E39" w:rsidRDefault="00847F23" w:rsidP="00EF60E1">
            <w:pPr>
              <w:spacing w:after="0" w:line="240" w:lineRule="auto"/>
              <w:rPr>
                <w:rFonts w:ascii="Garamond" w:hAnsi="Garamond"/>
                <w:sz w:val="18"/>
              </w:rPr>
            </w:pPr>
            <w:r w:rsidRPr="00913E39">
              <w:rPr>
                <w:rFonts w:ascii="Garamond" w:hAnsi="Garamond"/>
                <w:sz w:val="18"/>
              </w:rPr>
              <w:t>Sektori i Kurrikulave</w:t>
            </w:r>
          </w:p>
        </w:tc>
        <w:tc>
          <w:tcPr>
            <w:tcW w:w="0" w:type="auto"/>
            <w:shd w:val="clear" w:color="auto" w:fill="auto"/>
          </w:tcPr>
          <w:p w14:paraId="2711173A" w14:textId="77777777" w:rsidR="00847F23" w:rsidRPr="00913E39" w:rsidRDefault="00847F23" w:rsidP="00EF60E1">
            <w:pPr>
              <w:spacing w:after="0" w:line="240" w:lineRule="auto"/>
              <w:rPr>
                <w:rFonts w:ascii="Garamond" w:hAnsi="Garamond"/>
                <w:sz w:val="18"/>
              </w:rPr>
            </w:pPr>
            <w:r w:rsidRPr="00913E39">
              <w:rPr>
                <w:rFonts w:ascii="Garamond" w:hAnsi="Garamond"/>
                <w:sz w:val="18"/>
              </w:rPr>
              <w:t>Specialist kurrikule</w:t>
            </w:r>
          </w:p>
        </w:tc>
        <w:tc>
          <w:tcPr>
            <w:tcW w:w="0" w:type="auto"/>
            <w:shd w:val="clear" w:color="auto" w:fill="auto"/>
          </w:tcPr>
          <w:p w14:paraId="55B4D8F2" w14:textId="77777777" w:rsidR="00847F23" w:rsidRPr="00913E39" w:rsidRDefault="00847F23" w:rsidP="00EF60E1">
            <w:pPr>
              <w:spacing w:after="0" w:line="240" w:lineRule="auto"/>
              <w:rPr>
                <w:rFonts w:ascii="Garamond" w:hAnsi="Garamond"/>
                <w:sz w:val="18"/>
              </w:rPr>
            </w:pPr>
            <w:r w:rsidRPr="00913E39">
              <w:rPr>
                <w:rFonts w:ascii="Garamond" w:hAnsi="Garamond"/>
                <w:sz w:val="18"/>
              </w:rPr>
              <w:t>Të paktën 1 person për çdo zyrë (janë 52 Zyra Arsimore Vendore)</w:t>
            </w:r>
          </w:p>
        </w:tc>
        <w:tc>
          <w:tcPr>
            <w:tcW w:w="0" w:type="auto"/>
            <w:shd w:val="clear" w:color="auto" w:fill="auto"/>
          </w:tcPr>
          <w:p w14:paraId="15F3A3B1" w14:textId="77777777" w:rsidR="00847F23" w:rsidRPr="00913E39" w:rsidRDefault="00847F23" w:rsidP="00EF60E1">
            <w:pPr>
              <w:spacing w:after="0" w:line="240" w:lineRule="auto"/>
              <w:rPr>
                <w:rFonts w:ascii="Garamond" w:hAnsi="Garamond"/>
                <w:sz w:val="18"/>
              </w:rPr>
            </w:pPr>
            <w:r w:rsidRPr="00913E39">
              <w:rPr>
                <w:rFonts w:ascii="Garamond" w:hAnsi="Garamond"/>
                <w:sz w:val="18"/>
              </w:rPr>
              <w:t xml:space="preserve">Specialistët e përfshirë mbulojnë kurrikulat në përgjithësi dhe mund të kenë nevojë për trajnime të mëtejshme mbi lëndët që lidhen me TIK-un. Numri i punonjësve në zyrat vendore mund të ndryshojë në varësi të numrit të shkollave që ato kanë nën juridiksion. </w:t>
            </w:r>
          </w:p>
        </w:tc>
      </w:tr>
      <w:tr w:rsidR="00847F23" w:rsidRPr="00913E39" w14:paraId="134C12D4" w14:textId="77777777" w:rsidTr="00EF60E1">
        <w:trPr>
          <w:trHeight w:val="20"/>
        </w:trPr>
        <w:tc>
          <w:tcPr>
            <w:tcW w:w="0" w:type="auto"/>
            <w:shd w:val="clear" w:color="auto" w:fill="auto"/>
          </w:tcPr>
          <w:p w14:paraId="06CC8E13" w14:textId="77777777" w:rsidR="00847F23" w:rsidRPr="00913E39" w:rsidRDefault="00847F23" w:rsidP="00042303">
            <w:pPr>
              <w:spacing w:after="0" w:line="240" w:lineRule="auto"/>
              <w:rPr>
                <w:rFonts w:ascii="Garamond" w:hAnsi="Garamond"/>
                <w:sz w:val="18"/>
              </w:rPr>
            </w:pPr>
            <w:r w:rsidRPr="00913E39">
              <w:rPr>
                <w:rFonts w:ascii="Garamond" w:hAnsi="Garamond"/>
                <w:sz w:val="18"/>
              </w:rPr>
              <w:t xml:space="preserve">Qendra e Shërbimeve Arsimore </w:t>
            </w:r>
          </w:p>
        </w:tc>
        <w:tc>
          <w:tcPr>
            <w:tcW w:w="0" w:type="auto"/>
            <w:shd w:val="clear" w:color="auto" w:fill="auto"/>
          </w:tcPr>
          <w:p w14:paraId="70733615" w14:textId="77777777" w:rsidR="00847F23" w:rsidRPr="00913E39" w:rsidRDefault="00847F23" w:rsidP="00EF60E1">
            <w:pPr>
              <w:spacing w:after="0" w:line="240" w:lineRule="auto"/>
              <w:rPr>
                <w:rFonts w:ascii="Garamond" w:hAnsi="Garamond"/>
                <w:sz w:val="18"/>
              </w:rPr>
            </w:pPr>
            <w:r w:rsidRPr="00913E39">
              <w:rPr>
                <w:rFonts w:ascii="Garamond" w:hAnsi="Garamond"/>
                <w:sz w:val="18"/>
              </w:rPr>
              <w:t>Mbështet SMIP-in</w:t>
            </w:r>
          </w:p>
        </w:tc>
        <w:tc>
          <w:tcPr>
            <w:tcW w:w="0" w:type="auto"/>
            <w:shd w:val="clear" w:color="auto" w:fill="auto"/>
          </w:tcPr>
          <w:p w14:paraId="0EEEB2E7" w14:textId="77777777" w:rsidR="00847F23" w:rsidRPr="00913E39" w:rsidRDefault="00847F23" w:rsidP="00EF60E1">
            <w:pPr>
              <w:spacing w:after="0" w:line="240" w:lineRule="auto"/>
              <w:rPr>
                <w:rFonts w:ascii="Garamond" w:hAnsi="Garamond"/>
                <w:sz w:val="18"/>
              </w:rPr>
            </w:pPr>
            <w:r w:rsidRPr="00913E39">
              <w:rPr>
                <w:rFonts w:ascii="Garamond" w:hAnsi="Garamond"/>
                <w:sz w:val="18"/>
              </w:rPr>
              <w:t>Ndjek zbatimin me sukses të sistemit SMIP. Koordinon punën në nivel lokal në lidhje me përditësimet e sistemit.</w:t>
            </w:r>
          </w:p>
        </w:tc>
        <w:tc>
          <w:tcPr>
            <w:tcW w:w="0" w:type="auto"/>
            <w:shd w:val="clear" w:color="auto" w:fill="auto"/>
          </w:tcPr>
          <w:p w14:paraId="7651F15A" w14:textId="77777777" w:rsidR="00847F23" w:rsidRPr="00913E39" w:rsidRDefault="00847F23" w:rsidP="00EF60E1">
            <w:pPr>
              <w:spacing w:after="0" w:line="240" w:lineRule="auto"/>
              <w:rPr>
                <w:rFonts w:ascii="Garamond" w:hAnsi="Garamond"/>
                <w:sz w:val="18"/>
              </w:rPr>
            </w:pPr>
            <w:r w:rsidRPr="00913E39">
              <w:rPr>
                <w:rFonts w:ascii="Garamond" w:hAnsi="Garamond"/>
                <w:sz w:val="18"/>
              </w:rPr>
              <w:t xml:space="preserve">3 </w:t>
            </w:r>
          </w:p>
        </w:tc>
        <w:tc>
          <w:tcPr>
            <w:tcW w:w="0" w:type="auto"/>
            <w:shd w:val="clear" w:color="auto" w:fill="auto"/>
          </w:tcPr>
          <w:p w14:paraId="40A4F4B1" w14:textId="77777777" w:rsidR="00847F23" w:rsidRPr="00913E39" w:rsidRDefault="00847F23" w:rsidP="00EF60E1">
            <w:pPr>
              <w:spacing w:after="0" w:line="240" w:lineRule="auto"/>
              <w:rPr>
                <w:rFonts w:ascii="Garamond" w:hAnsi="Garamond"/>
                <w:sz w:val="18"/>
              </w:rPr>
            </w:pPr>
            <w:r w:rsidRPr="00913E39">
              <w:rPr>
                <w:rFonts w:ascii="Garamond" w:hAnsi="Garamond"/>
                <w:sz w:val="18"/>
              </w:rPr>
              <w:t>Mund të ketë nevojë për trajnime të mëtejshme pasi struktura është krijuar së fundmi.</w:t>
            </w:r>
          </w:p>
        </w:tc>
      </w:tr>
      <w:tr w:rsidR="00847F23" w:rsidRPr="00913E39" w14:paraId="6433CE09" w14:textId="77777777" w:rsidTr="00EF60E1">
        <w:trPr>
          <w:trHeight w:val="20"/>
        </w:trPr>
        <w:tc>
          <w:tcPr>
            <w:tcW w:w="0" w:type="auto"/>
            <w:shd w:val="clear" w:color="auto" w:fill="auto"/>
          </w:tcPr>
          <w:p w14:paraId="687B1166" w14:textId="1B43C40C" w:rsidR="00847F23" w:rsidRPr="00913E39" w:rsidRDefault="00847F23" w:rsidP="00042303">
            <w:pPr>
              <w:spacing w:after="0" w:line="240" w:lineRule="auto"/>
              <w:rPr>
                <w:rFonts w:ascii="Garamond" w:hAnsi="Garamond"/>
                <w:sz w:val="18"/>
              </w:rPr>
            </w:pPr>
            <w:r w:rsidRPr="00913E39">
              <w:rPr>
                <w:rFonts w:ascii="Garamond" w:hAnsi="Garamond"/>
                <w:sz w:val="18"/>
              </w:rPr>
              <w:t xml:space="preserve">Institucionet e </w:t>
            </w:r>
            <w:r w:rsidR="00042303" w:rsidRPr="00913E39">
              <w:rPr>
                <w:rFonts w:ascii="Garamond" w:hAnsi="Garamond"/>
                <w:sz w:val="18"/>
              </w:rPr>
              <w:t>arsimit parauniversitar</w:t>
            </w:r>
          </w:p>
        </w:tc>
        <w:tc>
          <w:tcPr>
            <w:tcW w:w="0" w:type="auto"/>
            <w:shd w:val="clear" w:color="auto" w:fill="auto"/>
          </w:tcPr>
          <w:p w14:paraId="545773B5" w14:textId="77777777" w:rsidR="00847F23" w:rsidRPr="00913E39" w:rsidRDefault="00847F23" w:rsidP="00EF60E1">
            <w:pPr>
              <w:spacing w:after="0" w:line="240" w:lineRule="auto"/>
              <w:rPr>
                <w:rFonts w:ascii="Garamond" w:hAnsi="Garamond"/>
                <w:sz w:val="18"/>
              </w:rPr>
            </w:pPr>
            <w:r w:rsidRPr="00913E39">
              <w:rPr>
                <w:rFonts w:ascii="Garamond" w:hAnsi="Garamond"/>
                <w:sz w:val="18"/>
              </w:rPr>
              <w:t>Ofruesit e drejtpërdrejtë të shërbimeve</w:t>
            </w:r>
          </w:p>
        </w:tc>
        <w:tc>
          <w:tcPr>
            <w:tcW w:w="0" w:type="auto"/>
            <w:shd w:val="clear" w:color="auto" w:fill="auto"/>
          </w:tcPr>
          <w:p w14:paraId="39FED80C" w14:textId="77777777" w:rsidR="00847F23" w:rsidRPr="00913E39" w:rsidRDefault="00847F23" w:rsidP="00EF60E1">
            <w:pPr>
              <w:spacing w:after="0" w:line="240" w:lineRule="auto"/>
              <w:rPr>
                <w:rFonts w:ascii="Garamond" w:hAnsi="Garamond"/>
                <w:sz w:val="18"/>
              </w:rPr>
            </w:pPr>
            <w:r w:rsidRPr="00913E39">
              <w:rPr>
                <w:rFonts w:ascii="Garamond" w:hAnsi="Garamond"/>
                <w:sz w:val="18"/>
              </w:rPr>
              <w:t>Përgjegjës për procesin e mësimdhënies dhe të të mësuarit</w:t>
            </w:r>
          </w:p>
        </w:tc>
        <w:tc>
          <w:tcPr>
            <w:tcW w:w="0" w:type="auto"/>
            <w:shd w:val="clear" w:color="auto" w:fill="auto"/>
          </w:tcPr>
          <w:p w14:paraId="00B3106A" w14:textId="77777777" w:rsidR="00847F23" w:rsidRPr="00913E39" w:rsidRDefault="00847F23" w:rsidP="00EF60E1">
            <w:pPr>
              <w:spacing w:after="0" w:line="240" w:lineRule="auto"/>
              <w:rPr>
                <w:rFonts w:ascii="Garamond" w:hAnsi="Garamond"/>
                <w:sz w:val="18"/>
              </w:rPr>
            </w:pPr>
            <w:r w:rsidRPr="00913E39">
              <w:rPr>
                <w:rFonts w:ascii="Garamond" w:hAnsi="Garamond"/>
                <w:sz w:val="18"/>
              </w:rPr>
              <w:t>Përafërsisht 32000 mësues në sektorin publik.</w:t>
            </w:r>
          </w:p>
        </w:tc>
        <w:tc>
          <w:tcPr>
            <w:tcW w:w="0" w:type="auto"/>
            <w:shd w:val="clear" w:color="auto" w:fill="auto"/>
          </w:tcPr>
          <w:p w14:paraId="708973FE" w14:textId="77777777" w:rsidR="00847F23" w:rsidRPr="00913E39" w:rsidRDefault="00847F23" w:rsidP="00EF60E1">
            <w:pPr>
              <w:spacing w:after="0" w:line="240" w:lineRule="auto"/>
              <w:rPr>
                <w:rFonts w:ascii="Garamond" w:hAnsi="Garamond"/>
                <w:sz w:val="18"/>
              </w:rPr>
            </w:pPr>
            <w:r w:rsidRPr="00913E39">
              <w:rPr>
                <w:rFonts w:ascii="Garamond" w:hAnsi="Garamond"/>
                <w:sz w:val="18"/>
              </w:rPr>
              <w:t xml:space="preserve">Trajnim i mëtejshëm në lidhje me TIK-un. </w:t>
            </w:r>
          </w:p>
        </w:tc>
      </w:tr>
    </w:tbl>
    <w:p w14:paraId="327410E7" w14:textId="77777777" w:rsidR="00847F23" w:rsidRPr="00913E39" w:rsidRDefault="00847F23" w:rsidP="00FC4C60">
      <w:pPr>
        <w:spacing w:after="0" w:line="240" w:lineRule="auto"/>
        <w:ind w:firstLine="284"/>
        <w:jc w:val="both"/>
        <w:rPr>
          <w:rFonts w:ascii="Garamond" w:hAnsi="Garamond"/>
          <w:sz w:val="24"/>
        </w:rPr>
      </w:pPr>
    </w:p>
    <w:p w14:paraId="29B93B65" w14:textId="1978B9B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Në lidhje me digjitalizimin në arsimin parauniversitar dhe për funksionimin e SMIP-it, Agjencia Kombëtare e Shoqërisë së Informacionit është përgjegjëse për mirëmbajtjen teknike të sistemit dhe menaxhimin e ofruesve të shërbimeve. Në lidhje me SMIP institucioni kryesor është Qendra e Shërbimeve Arsimore. Detyrat e saj përfshijnë administrimin e sistemit dhe ndjekjen e përditësimit të tij të rregullt me korrespondencë të rregullt me zyrat dhe shkollat dhe mbështetjen për funksionimin e sistemit SMIP. ASCAP</w:t>
      </w:r>
      <w:r w:rsidR="00B62C97" w:rsidRPr="00913E39">
        <w:rPr>
          <w:rFonts w:ascii="Garamond" w:hAnsi="Garamond"/>
          <w:sz w:val="24"/>
        </w:rPr>
        <w:t>-ja</w:t>
      </w:r>
      <w:r w:rsidRPr="00913E39">
        <w:rPr>
          <w:rFonts w:ascii="Garamond" w:hAnsi="Garamond"/>
          <w:sz w:val="24"/>
        </w:rPr>
        <w:t xml:space="preserve"> ka ngarkuar kurrikulat në sistem dhe është përgjegjës për përditësimin e rregullt të tij. </w:t>
      </w:r>
    </w:p>
    <w:p w14:paraId="4228647D" w14:textId="0821173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Menaxhimi i sistemit, kryhet ba</w:t>
      </w:r>
      <w:r w:rsidR="00B62C97" w:rsidRPr="00913E39">
        <w:rPr>
          <w:rFonts w:ascii="Garamond" w:hAnsi="Garamond"/>
          <w:sz w:val="24"/>
        </w:rPr>
        <w:t>z</w:t>
      </w:r>
      <w:r w:rsidRPr="00913E39">
        <w:rPr>
          <w:rFonts w:ascii="Garamond" w:hAnsi="Garamond"/>
          <w:sz w:val="24"/>
        </w:rPr>
        <w:t xml:space="preserve">uar në </w:t>
      </w:r>
      <w:r w:rsidR="00B62C97" w:rsidRPr="00913E39">
        <w:rPr>
          <w:rFonts w:ascii="Garamond" w:hAnsi="Garamond"/>
          <w:sz w:val="24"/>
        </w:rPr>
        <w:t>v</w:t>
      </w:r>
      <w:r w:rsidRPr="00913E39">
        <w:rPr>
          <w:rFonts w:ascii="Garamond" w:hAnsi="Garamond"/>
          <w:sz w:val="24"/>
        </w:rPr>
        <w:t xml:space="preserve">endimin e Këshillit të Ministrave për ngritjen e SMIP-it. Për sa </w:t>
      </w:r>
      <w:r w:rsidR="009A3184" w:rsidRPr="00913E39">
        <w:rPr>
          <w:rFonts w:ascii="Garamond" w:hAnsi="Garamond"/>
          <w:sz w:val="24"/>
        </w:rPr>
        <w:t>u</w:t>
      </w:r>
      <w:r w:rsidRPr="00913E39">
        <w:rPr>
          <w:rFonts w:ascii="Garamond" w:hAnsi="Garamond"/>
          <w:sz w:val="24"/>
        </w:rPr>
        <w:t xml:space="preserve"> përket nevojave për trajnim, janë shumë projekte që adresojnë nevojat e sektorit të TIK-ut, nëpërmjet trajnimit të mësuesve. Megjithatë, trajnimi mund të jetë ende i nevojshëm për sa i përket punës dhe mirëmbajtjes së SMIP-it.</w:t>
      </w:r>
      <w:r w:rsidRPr="00913E39">
        <w:rPr>
          <w:rFonts w:ascii="Garamond" w:hAnsi="Garamond"/>
          <w:sz w:val="24"/>
          <w:vertAlign w:val="superscript"/>
        </w:rPr>
        <w:footnoteReference w:id="27"/>
      </w:r>
      <w:r w:rsidRPr="00913E39">
        <w:rPr>
          <w:rFonts w:ascii="Garamond" w:hAnsi="Garamond"/>
          <w:sz w:val="24"/>
        </w:rPr>
        <w:t xml:space="preserve"> </w:t>
      </w:r>
    </w:p>
    <w:p w14:paraId="22A3DE3D"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2: Integrimi me sistemet e teknologjisë së informacionit të BE-së, siguria kibernetike dhe ndërlidhjes digjitale</w:t>
      </w:r>
    </w:p>
    <w:p w14:paraId="039180F0" w14:textId="35FF5122"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B62C97" w:rsidRPr="00913E39">
        <w:rPr>
          <w:rFonts w:ascii="Garamond" w:hAnsi="Garamond"/>
          <w:i/>
          <w:sz w:val="24"/>
        </w:rPr>
        <w:t>f</w:t>
      </w:r>
      <w:r w:rsidRPr="00913E39">
        <w:rPr>
          <w:rFonts w:ascii="Garamond" w:hAnsi="Garamond"/>
          <w:i/>
          <w:sz w:val="24"/>
        </w:rPr>
        <w:t>usha e mbështetjes 2: Tatimet</w:t>
      </w:r>
    </w:p>
    <w:p w14:paraId="000C2233" w14:textId="6EB35A6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Ministria e Financave dhe Ekonomisë</w:t>
      </w:r>
      <w:r w:rsidR="00B62C97" w:rsidRPr="00913E39">
        <w:rPr>
          <w:rFonts w:ascii="Garamond" w:hAnsi="Garamond"/>
          <w:sz w:val="24"/>
        </w:rPr>
        <w:t xml:space="preserve"> </w:t>
      </w:r>
      <w:r w:rsidRPr="00913E39">
        <w:rPr>
          <w:rFonts w:ascii="Garamond" w:hAnsi="Garamond"/>
          <w:sz w:val="24"/>
        </w:rPr>
        <w:t>udhëheq në fushën e zhvillimit të politikave makroekonomike dhe fiskale dhe testimit të tyre nëpërmjet analizave të thella dhe të plota. Drejtoria përgjegjëse për këto politika është Drejtoria e Përgjithshme e Politikave Makroekonomike dhe Çështjeve Fiskale, e cila përbëhet nga tr</w:t>
      </w:r>
      <w:r w:rsidR="00B62C97" w:rsidRPr="00913E39">
        <w:rPr>
          <w:rFonts w:ascii="Garamond" w:hAnsi="Garamond"/>
          <w:sz w:val="24"/>
        </w:rPr>
        <w:t>i</w:t>
      </w:r>
      <w:r w:rsidRPr="00913E39">
        <w:rPr>
          <w:rFonts w:ascii="Garamond" w:hAnsi="Garamond"/>
          <w:sz w:val="24"/>
        </w:rPr>
        <w:t xml:space="preserve"> drejtori, si më poshtë:</w:t>
      </w:r>
    </w:p>
    <w:p w14:paraId="6C88BC0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Drejtoria e Makroekonomisë dhe Statistikave</w:t>
      </w:r>
    </w:p>
    <w:p w14:paraId="54A2D0B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Drejtoria e Harmonizimit Fiskal</w:t>
      </w:r>
    </w:p>
    <w:p w14:paraId="052D87C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Drejtoria e Analizës dhe Monitorimit të Politikave Fiskale</w:t>
      </w:r>
    </w:p>
    <w:p w14:paraId="3EBF60FF" w14:textId="661094D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Ndërhyrja specifike në kuadër të këtij Programi Operacional për Ekonominë dhe Shoqërinë Digjitale do të zbatohet nga Drejtoria Ligjore, Drejtoria e Proceseve të Biznesit dhe Drejtoria e Menaxhimit të Projekteve në Drejtorinë e Përgjithshme të Tatimeve (DPT) dhe nga AKSHI. Trajnimi do të jetë i nevojshëm për ngritjen e sistemit të ri për rreth 20 punonjës (nga DPT</w:t>
      </w:r>
      <w:r w:rsidR="00B62C97" w:rsidRPr="00913E39">
        <w:rPr>
          <w:rFonts w:ascii="Garamond" w:hAnsi="Garamond"/>
          <w:sz w:val="24"/>
        </w:rPr>
        <w:t>-ja</w:t>
      </w:r>
      <w:r w:rsidRPr="00913E39">
        <w:rPr>
          <w:rFonts w:ascii="Garamond" w:hAnsi="Garamond"/>
          <w:sz w:val="24"/>
        </w:rPr>
        <w:t xml:space="preserve"> dhe AKSHI).</w:t>
      </w:r>
    </w:p>
    <w:p w14:paraId="4EF8DFD7" w14:textId="77777777" w:rsidR="00847F23" w:rsidRPr="00913E39" w:rsidRDefault="00847F23" w:rsidP="00FC4C60">
      <w:pPr>
        <w:spacing w:after="0" w:line="240" w:lineRule="auto"/>
        <w:ind w:firstLine="284"/>
        <w:jc w:val="both"/>
        <w:rPr>
          <w:rFonts w:ascii="Garamond" w:hAnsi="Garamond"/>
          <w:sz w:val="24"/>
        </w:rPr>
      </w:pPr>
    </w:p>
    <w:p w14:paraId="3CB026B4" w14:textId="16A32560" w:rsidR="00847F23" w:rsidRPr="00913E39" w:rsidRDefault="00847F23" w:rsidP="00FC4C60">
      <w:pPr>
        <w:spacing w:after="0" w:line="240" w:lineRule="auto"/>
        <w:ind w:firstLine="284"/>
        <w:jc w:val="both"/>
        <w:rPr>
          <w:rFonts w:ascii="Garamond" w:hAnsi="Garamond"/>
          <w:i/>
          <w:sz w:val="24"/>
          <w:u w:val="single"/>
        </w:rPr>
      </w:pPr>
      <w:r w:rsidRPr="00913E39">
        <w:rPr>
          <w:rFonts w:ascii="Garamond" w:hAnsi="Garamond"/>
          <w:i/>
          <w:sz w:val="24"/>
        </w:rPr>
        <w:t>Tabela 2</w:t>
      </w:r>
      <w:r w:rsidR="00B62C97" w:rsidRPr="00913E39">
        <w:rPr>
          <w:rFonts w:ascii="Garamond" w:hAnsi="Garamond"/>
          <w:i/>
          <w:sz w:val="24"/>
        </w:rPr>
        <w:t xml:space="preserve">. </w:t>
      </w:r>
      <w:r w:rsidRPr="00913E39">
        <w:rPr>
          <w:rFonts w:ascii="Garamond" w:hAnsi="Garamond"/>
          <w:i/>
          <w:sz w:val="24"/>
        </w:rPr>
        <w:t xml:space="preserve">Sfondi institucional sipas nënfushës së </w:t>
      </w:r>
      <w:r w:rsidR="00B62C97" w:rsidRPr="00913E39">
        <w:rPr>
          <w:rFonts w:ascii="Garamond" w:hAnsi="Garamond"/>
          <w:i/>
          <w:sz w:val="24"/>
        </w:rPr>
        <w:t>m</w:t>
      </w:r>
      <w:r w:rsidRPr="00913E39">
        <w:rPr>
          <w:rFonts w:ascii="Garamond" w:hAnsi="Garamond"/>
          <w:i/>
          <w:sz w:val="24"/>
        </w:rPr>
        <w:t xml:space="preserve">bështetjes 2.1 - Tatimet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4"/>
        <w:gridCol w:w="6930"/>
      </w:tblGrid>
      <w:tr w:rsidR="00A56912" w:rsidRPr="00913E39" w14:paraId="3F16F462" w14:textId="77777777" w:rsidTr="00EF60E1">
        <w:trPr>
          <w:trHeight w:val="20"/>
          <w:tblHeader/>
        </w:trPr>
        <w:tc>
          <w:tcPr>
            <w:tcW w:w="0" w:type="auto"/>
            <w:shd w:val="clear" w:color="auto" w:fill="D9D9D9"/>
          </w:tcPr>
          <w:p w14:paraId="4CC99AEF" w14:textId="77777777" w:rsidR="00847F23" w:rsidRPr="00913E39" w:rsidRDefault="00847F23" w:rsidP="00EF60E1">
            <w:pPr>
              <w:spacing w:after="0" w:line="240" w:lineRule="auto"/>
              <w:jc w:val="both"/>
              <w:rPr>
                <w:rFonts w:ascii="Garamond" w:hAnsi="Garamond"/>
                <w:b/>
                <w:sz w:val="18"/>
              </w:rPr>
            </w:pPr>
            <w:r w:rsidRPr="00913E39">
              <w:rPr>
                <w:rFonts w:ascii="Garamond" w:hAnsi="Garamond"/>
                <w:b/>
                <w:sz w:val="18"/>
              </w:rPr>
              <w:t xml:space="preserve">Përfituesit fundorë </w:t>
            </w:r>
          </w:p>
        </w:tc>
        <w:tc>
          <w:tcPr>
            <w:tcW w:w="0" w:type="auto"/>
            <w:shd w:val="clear" w:color="auto" w:fill="D9D9D9"/>
          </w:tcPr>
          <w:p w14:paraId="6D49B0F7" w14:textId="77777777" w:rsidR="00847F23" w:rsidRPr="00913E39" w:rsidRDefault="00847F23" w:rsidP="00EF60E1">
            <w:pPr>
              <w:spacing w:after="0" w:line="240" w:lineRule="auto"/>
              <w:jc w:val="both"/>
              <w:rPr>
                <w:rFonts w:ascii="Garamond" w:hAnsi="Garamond"/>
                <w:b/>
                <w:sz w:val="18"/>
              </w:rPr>
            </w:pPr>
            <w:r w:rsidRPr="00913E39">
              <w:rPr>
                <w:rFonts w:ascii="Garamond" w:hAnsi="Garamond"/>
                <w:b/>
                <w:sz w:val="18"/>
              </w:rPr>
              <w:t>Roli kryesor</w:t>
            </w:r>
          </w:p>
        </w:tc>
      </w:tr>
      <w:tr w:rsidR="00A56912" w:rsidRPr="00913E39" w14:paraId="7A2F5922" w14:textId="77777777" w:rsidTr="00EF60E1">
        <w:trPr>
          <w:trHeight w:val="20"/>
        </w:trPr>
        <w:tc>
          <w:tcPr>
            <w:tcW w:w="0" w:type="auto"/>
            <w:shd w:val="clear" w:color="auto" w:fill="auto"/>
          </w:tcPr>
          <w:p w14:paraId="6EAA28CB" w14:textId="77777777" w:rsidR="00847F23" w:rsidRPr="00913E39" w:rsidRDefault="00847F23" w:rsidP="00EF60E1">
            <w:pPr>
              <w:spacing w:after="0" w:line="240" w:lineRule="auto"/>
              <w:rPr>
                <w:rFonts w:ascii="Garamond" w:hAnsi="Garamond"/>
                <w:sz w:val="18"/>
              </w:rPr>
            </w:pPr>
            <w:r w:rsidRPr="00913E39">
              <w:rPr>
                <w:rFonts w:ascii="Garamond" w:hAnsi="Garamond"/>
                <w:sz w:val="18"/>
              </w:rPr>
              <w:t>Drejtoria e Përgjithshme e Tatimeve në varësi të Ministrisë së Financave dhe Ekonomisë</w:t>
            </w:r>
          </w:p>
        </w:tc>
        <w:tc>
          <w:tcPr>
            <w:tcW w:w="0" w:type="auto"/>
            <w:shd w:val="clear" w:color="auto" w:fill="auto"/>
          </w:tcPr>
          <w:p w14:paraId="10EBE1BE" w14:textId="7DA99C39" w:rsidR="00847F23" w:rsidRPr="00913E39" w:rsidRDefault="00847F23" w:rsidP="00EF60E1">
            <w:pPr>
              <w:spacing w:after="0" w:line="240" w:lineRule="auto"/>
              <w:jc w:val="both"/>
              <w:rPr>
                <w:rFonts w:ascii="Garamond" w:hAnsi="Garamond"/>
                <w:sz w:val="18"/>
              </w:rPr>
            </w:pPr>
            <w:r w:rsidRPr="00913E39">
              <w:rPr>
                <w:rFonts w:ascii="Garamond" w:hAnsi="Garamond"/>
                <w:sz w:val="18"/>
              </w:rPr>
              <w:t>Bazuar në ligjin nr. 9920/19.5.2008</w:t>
            </w:r>
            <w:r w:rsidR="006E5CF4" w:rsidRPr="00913E39">
              <w:rPr>
                <w:rFonts w:ascii="Garamond" w:hAnsi="Garamond"/>
                <w:sz w:val="18"/>
              </w:rPr>
              <w:t>,</w:t>
            </w:r>
            <w:r w:rsidRPr="00913E39">
              <w:rPr>
                <w:rFonts w:ascii="Garamond" w:hAnsi="Garamond"/>
                <w:sz w:val="18"/>
              </w:rPr>
              <w:t xml:space="preserve"> </w:t>
            </w:r>
            <w:r w:rsidR="00850FC7" w:rsidRPr="00913E39">
              <w:rPr>
                <w:rFonts w:ascii="Garamond" w:hAnsi="Garamond"/>
                <w:sz w:val="18"/>
              </w:rPr>
              <w:t>“</w:t>
            </w:r>
            <w:r w:rsidRPr="00913E39">
              <w:rPr>
                <w:rFonts w:ascii="Garamond" w:hAnsi="Garamond"/>
                <w:sz w:val="18"/>
              </w:rPr>
              <w:t>Për procedurat tatimore në Republikën e Shqipërisë</w:t>
            </w:r>
            <w:r w:rsidR="00850FC7" w:rsidRPr="00913E39">
              <w:rPr>
                <w:rFonts w:ascii="Garamond" w:hAnsi="Garamond"/>
                <w:sz w:val="18"/>
              </w:rPr>
              <w:t>”</w:t>
            </w:r>
            <w:r w:rsidRPr="00913E39">
              <w:rPr>
                <w:rFonts w:ascii="Garamond" w:hAnsi="Garamond"/>
                <w:sz w:val="18"/>
              </w:rPr>
              <w:t xml:space="preserve">, i ndryshuar, </w:t>
            </w:r>
            <w:r w:rsidR="006E5CF4" w:rsidRPr="00913E39">
              <w:rPr>
                <w:rFonts w:ascii="Garamond" w:hAnsi="Garamond"/>
                <w:sz w:val="18"/>
              </w:rPr>
              <w:t xml:space="preserve">administrata tatimore qendrore </w:t>
            </w:r>
            <w:r w:rsidRPr="00913E39">
              <w:rPr>
                <w:rFonts w:ascii="Garamond" w:hAnsi="Garamond"/>
                <w:sz w:val="18"/>
              </w:rPr>
              <w:t>e Shqipërisë përbëhet nga:</w:t>
            </w:r>
          </w:p>
          <w:p w14:paraId="44400260" w14:textId="77777777" w:rsidR="00847F23" w:rsidRPr="00913E39" w:rsidRDefault="00847F23" w:rsidP="00EF60E1">
            <w:pPr>
              <w:spacing w:after="0" w:line="240" w:lineRule="auto"/>
              <w:jc w:val="both"/>
              <w:rPr>
                <w:rFonts w:ascii="Garamond" w:hAnsi="Garamond"/>
                <w:sz w:val="18"/>
              </w:rPr>
            </w:pPr>
            <w:r w:rsidRPr="00913E39">
              <w:rPr>
                <w:rFonts w:ascii="Garamond" w:hAnsi="Garamond"/>
                <w:sz w:val="18"/>
              </w:rPr>
              <w:t>Drejtoria e Përgjithshme e Tatimeve</w:t>
            </w:r>
          </w:p>
          <w:p w14:paraId="66A7FA3C" w14:textId="323D35AB" w:rsidR="00847F23" w:rsidRPr="00913E39" w:rsidRDefault="00847F23" w:rsidP="00EF60E1">
            <w:pPr>
              <w:spacing w:after="0" w:line="240" w:lineRule="auto"/>
              <w:jc w:val="both"/>
              <w:rPr>
                <w:rFonts w:ascii="Garamond" w:hAnsi="Garamond"/>
                <w:sz w:val="18"/>
              </w:rPr>
            </w:pPr>
            <w:r w:rsidRPr="00913E39">
              <w:rPr>
                <w:rFonts w:ascii="Garamond" w:hAnsi="Garamond"/>
                <w:sz w:val="18"/>
              </w:rPr>
              <w:t xml:space="preserve">14 </w:t>
            </w:r>
            <w:r w:rsidR="006E5CF4" w:rsidRPr="00913E39">
              <w:rPr>
                <w:rFonts w:ascii="Garamond" w:hAnsi="Garamond"/>
                <w:sz w:val="18"/>
              </w:rPr>
              <w:t>drejtori rajonale tatimore</w:t>
            </w:r>
          </w:p>
          <w:p w14:paraId="5537B613" w14:textId="77777777" w:rsidR="00847F23" w:rsidRPr="00913E39" w:rsidRDefault="00847F23" w:rsidP="00EF60E1">
            <w:pPr>
              <w:spacing w:after="0" w:line="240" w:lineRule="auto"/>
              <w:jc w:val="both"/>
              <w:rPr>
                <w:rFonts w:ascii="Garamond" w:hAnsi="Garamond"/>
                <w:sz w:val="18"/>
              </w:rPr>
            </w:pPr>
            <w:r w:rsidRPr="00913E39">
              <w:rPr>
                <w:rFonts w:ascii="Garamond" w:hAnsi="Garamond"/>
                <w:sz w:val="18"/>
              </w:rPr>
              <w:t>Drejtoria e Përgjithshme e Tatimeve (DPT) është një institucion qendror (1450 punonjës), në varësi të Ministrisë së Financave. Drejtoria e Përgjithshme e Tatimeve është i vetmi autoritet tatimor qendror i Republikës së Shqipërisë që zbaton dhe administron tatimet kombëtare dhe mbledhjen e kontributeve.</w:t>
            </w:r>
          </w:p>
          <w:p w14:paraId="5550CE6B" w14:textId="60DEA7B1" w:rsidR="00847F23" w:rsidRPr="00913E39" w:rsidRDefault="00847F23" w:rsidP="00EF60E1">
            <w:pPr>
              <w:spacing w:after="0" w:line="240" w:lineRule="auto"/>
              <w:jc w:val="both"/>
              <w:rPr>
                <w:rFonts w:ascii="Garamond" w:hAnsi="Garamond"/>
                <w:sz w:val="18"/>
              </w:rPr>
            </w:pPr>
            <w:r w:rsidRPr="00913E39">
              <w:rPr>
                <w:rFonts w:ascii="Garamond" w:hAnsi="Garamond"/>
                <w:sz w:val="18"/>
              </w:rPr>
              <w:t xml:space="preserve">Me </w:t>
            </w:r>
            <w:r w:rsidR="006E5CF4" w:rsidRPr="00913E39">
              <w:rPr>
                <w:rFonts w:ascii="Garamond" w:hAnsi="Garamond"/>
                <w:sz w:val="18"/>
              </w:rPr>
              <w:t>u</w:t>
            </w:r>
            <w:r w:rsidRPr="00913E39">
              <w:rPr>
                <w:rFonts w:ascii="Garamond" w:hAnsi="Garamond"/>
                <w:sz w:val="18"/>
              </w:rPr>
              <w:t>rdhrin e Kryeministrit nr. 69, datë 26.5.2023</w:t>
            </w:r>
            <w:r w:rsidR="006E5CF4" w:rsidRPr="00913E39">
              <w:rPr>
                <w:rFonts w:ascii="Garamond" w:hAnsi="Garamond"/>
                <w:sz w:val="18"/>
              </w:rPr>
              <w:t>,</w:t>
            </w:r>
            <w:r w:rsidRPr="00913E39">
              <w:rPr>
                <w:rFonts w:ascii="Garamond" w:hAnsi="Garamond"/>
                <w:sz w:val="18"/>
              </w:rPr>
              <w:t xml:space="preserve"> </w:t>
            </w:r>
            <w:r w:rsidR="00850FC7" w:rsidRPr="00913E39">
              <w:rPr>
                <w:rFonts w:ascii="Garamond" w:hAnsi="Garamond"/>
                <w:sz w:val="18"/>
              </w:rPr>
              <w:t>“</w:t>
            </w:r>
            <w:r w:rsidRPr="00913E39">
              <w:rPr>
                <w:rFonts w:ascii="Garamond" w:hAnsi="Garamond"/>
                <w:sz w:val="18"/>
              </w:rPr>
              <w:t>Për miratimin e strukturës organizative dhe të numrit total të personelit të Administratës Qendrore Tatimore</w:t>
            </w:r>
            <w:r w:rsidR="00850FC7" w:rsidRPr="00913E39">
              <w:rPr>
                <w:rFonts w:ascii="Garamond" w:hAnsi="Garamond"/>
                <w:sz w:val="18"/>
              </w:rPr>
              <w:t>”</w:t>
            </w:r>
            <w:r w:rsidRPr="00913E39">
              <w:rPr>
                <w:rFonts w:ascii="Garamond" w:hAnsi="Garamond"/>
                <w:sz w:val="18"/>
              </w:rPr>
              <w:t xml:space="preserve"> u krijua një strukturë e re organizative për </w:t>
            </w:r>
            <w:r w:rsidR="006E5CF4" w:rsidRPr="00913E39">
              <w:rPr>
                <w:rFonts w:ascii="Garamond" w:hAnsi="Garamond"/>
                <w:sz w:val="18"/>
              </w:rPr>
              <w:t xml:space="preserve">administratën tatimore </w:t>
            </w:r>
            <w:r w:rsidRPr="00913E39">
              <w:rPr>
                <w:rFonts w:ascii="Garamond" w:hAnsi="Garamond"/>
                <w:sz w:val="18"/>
              </w:rPr>
              <w:t>(1450 punonjës).</w:t>
            </w:r>
          </w:p>
          <w:p w14:paraId="180BBEB5" w14:textId="5A549E38" w:rsidR="00847F23" w:rsidRPr="00913E39" w:rsidRDefault="00847F23" w:rsidP="00EF60E1">
            <w:pPr>
              <w:spacing w:after="0" w:line="240" w:lineRule="auto"/>
              <w:rPr>
                <w:rFonts w:ascii="Garamond" w:hAnsi="Garamond"/>
                <w:sz w:val="18"/>
              </w:rPr>
            </w:pPr>
            <w:r w:rsidRPr="00913E39">
              <w:rPr>
                <w:rFonts w:ascii="Garamond" w:hAnsi="Garamond"/>
                <w:sz w:val="18"/>
              </w:rPr>
              <w:t xml:space="preserve">Drejtoria Rajonale Tatimore, varet nga </w:t>
            </w:r>
            <w:r w:rsidR="006E5CF4" w:rsidRPr="00913E39">
              <w:rPr>
                <w:rFonts w:ascii="Garamond" w:hAnsi="Garamond"/>
                <w:sz w:val="18"/>
              </w:rPr>
              <w:t xml:space="preserve">zv.drejtori i përgjithshëm territorial </w:t>
            </w:r>
            <w:r w:rsidRPr="00913E39">
              <w:rPr>
                <w:rFonts w:ascii="Garamond" w:hAnsi="Garamond"/>
                <w:sz w:val="18"/>
              </w:rPr>
              <w:t>dhe drejtohet nga Drejtori i Drejtorisë Rajonale.</w:t>
            </w:r>
            <w:r w:rsidRPr="00913E39">
              <w:rPr>
                <w:rFonts w:ascii="Garamond" w:hAnsi="Garamond"/>
                <w:sz w:val="18"/>
              </w:rPr>
              <w:br/>
              <w:t xml:space="preserve">Ministri i Financave, me propozim të </w:t>
            </w:r>
            <w:r w:rsidR="006E5CF4" w:rsidRPr="00913E39">
              <w:rPr>
                <w:rFonts w:ascii="Garamond" w:hAnsi="Garamond"/>
                <w:sz w:val="18"/>
              </w:rPr>
              <w:t xml:space="preserve">drejtorit të përgjithshëm </w:t>
            </w:r>
            <w:r w:rsidRPr="00913E39">
              <w:rPr>
                <w:rFonts w:ascii="Garamond" w:hAnsi="Garamond"/>
                <w:sz w:val="18"/>
              </w:rPr>
              <w:t xml:space="preserve">të Tatimeve, miraton </w:t>
            </w:r>
            <w:r w:rsidR="006E5CF4" w:rsidRPr="00913E39">
              <w:rPr>
                <w:rFonts w:ascii="Garamond" w:hAnsi="Garamond"/>
                <w:sz w:val="18"/>
              </w:rPr>
              <w:t xml:space="preserve">organigramën </w:t>
            </w:r>
            <w:r w:rsidRPr="00913E39">
              <w:rPr>
                <w:rFonts w:ascii="Garamond" w:hAnsi="Garamond"/>
                <w:sz w:val="18"/>
              </w:rPr>
              <w:t>e Zyrës Qendrore të Administratës Tatimore.</w:t>
            </w:r>
          </w:p>
          <w:p w14:paraId="159FE572" w14:textId="7BA902AC" w:rsidR="00847F23" w:rsidRPr="00913E39" w:rsidRDefault="00847F23" w:rsidP="00EF60E1">
            <w:pPr>
              <w:spacing w:after="0" w:line="240" w:lineRule="auto"/>
              <w:jc w:val="both"/>
              <w:rPr>
                <w:rFonts w:ascii="Garamond" w:hAnsi="Garamond"/>
                <w:sz w:val="18"/>
              </w:rPr>
            </w:pPr>
            <w:r w:rsidRPr="00913E39">
              <w:rPr>
                <w:rFonts w:ascii="Garamond" w:hAnsi="Garamond"/>
                <w:sz w:val="18"/>
              </w:rPr>
              <w:t xml:space="preserve">Administrata </w:t>
            </w:r>
            <w:r w:rsidR="006E5CF4" w:rsidRPr="00913E39">
              <w:rPr>
                <w:rFonts w:ascii="Garamond" w:hAnsi="Garamond"/>
                <w:sz w:val="18"/>
              </w:rPr>
              <w:t xml:space="preserve">tatimore qendrore </w:t>
            </w:r>
            <w:r w:rsidRPr="00913E39">
              <w:rPr>
                <w:rFonts w:ascii="Garamond" w:hAnsi="Garamond"/>
                <w:sz w:val="18"/>
              </w:rPr>
              <w:t>organizohet sipas funksioneve të mëposhtme:</w:t>
            </w:r>
          </w:p>
          <w:p w14:paraId="32320907" w14:textId="77777777" w:rsidR="00847F23" w:rsidRPr="00913E39" w:rsidRDefault="00847F23" w:rsidP="00EF60E1">
            <w:pPr>
              <w:spacing w:after="0" w:line="240" w:lineRule="auto"/>
              <w:jc w:val="both"/>
              <w:rPr>
                <w:rFonts w:ascii="Garamond" w:hAnsi="Garamond"/>
                <w:sz w:val="18"/>
              </w:rPr>
            </w:pPr>
            <w:r w:rsidRPr="00913E39">
              <w:rPr>
                <w:rFonts w:ascii="Garamond" w:hAnsi="Garamond"/>
                <w:sz w:val="18"/>
              </w:rPr>
              <w:t>shërbimi dhe edukimi i tatimpaguesve;</w:t>
            </w:r>
          </w:p>
          <w:p w14:paraId="44911760" w14:textId="77777777" w:rsidR="00847F23" w:rsidRPr="00913E39" w:rsidRDefault="00847F23" w:rsidP="00EF60E1">
            <w:pPr>
              <w:spacing w:after="0" w:line="240" w:lineRule="auto"/>
              <w:jc w:val="both"/>
              <w:rPr>
                <w:rFonts w:ascii="Garamond" w:hAnsi="Garamond"/>
                <w:sz w:val="18"/>
              </w:rPr>
            </w:pPr>
            <w:r w:rsidRPr="00913E39">
              <w:rPr>
                <w:rFonts w:ascii="Garamond" w:hAnsi="Garamond"/>
                <w:sz w:val="18"/>
              </w:rPr>
              <w:t>kontrolli tatimor;</w:t>
            </w:r>
          </w:p>
          <w:p w14:paraId="0D3AA2CF" w14:textId="77777777" w:rsidR="00847F23" w:rsidRPr="00913E39" w:rsidRDefault="00847F23" w:rsidP="00EF60E1">
            <w:pPr>
              <w:spacing w:after="0" w:line="240" w:lineRule="auto"/>
              <w:jc w:val="both"/>
              <w:rPr>
                <w:rFonts w:ascii="Garamond" w:hAnsi="Garamond"/>
                <w:sz w:val="18"/>
              </w:rPr>
            </w:pPr>
            <w:r w:rsidRPr="00913E39">
              <w:rPr>
                <w:rFonts w:ascii="Garamond" w:hAnsi="Garamond"/>
                <w:sz w:val="18"/>
              </w:rPr>
              <w:t>mbledhja e detyrimeve tatimore dhe zbatimi i masave shtrënguese;</w:t>
            </w:r>
          </w:p>
          <w:p w14:paraId="1D848604" w14:textId="77777777" w:rsidR="00847F23" w:rsidRPr="00913E39" w:rsidRDefault="00847F23" w:rsidP="00EF60E1">
            <w:pPr>
              <w:spacing w:after="0" w:line="240" w:lineRule="auto"/>
              <w:jc w:val="both"/>
              <w:rPr>
                <w:rFonts w:ascii="Garamond" w:hAnsi="Garamond"/>
                <w:sz w:val="18"/>
              </w:rPr>
            </w:pPr>
            <w:r w:rsidRPr="00913E39">
              <w:rPr>
                <w:rFonts w:ascii="Garamond" w:hAnsi="Garamond"/>
                <w:sz w:val="18"/>
              </w:rPr>
              <w:t>hetimi tatimor;</w:t>
            </w:r>
          </w:p>
          <w:p w14:paraId="0015FE61" w14:textId="77777777" w:rsidR="00847F23" w:rsidRPr="00913E39" w:rsidRDefault="00847F23" w:rsidP="00EF60E1">
            <w:pPr>
              <w:spacing w:after="0" w:line="240" w:lineRule="auto"/>
              <w:jc w:val="both"/>
              <w:rPr>
                <w:rFonts w:ascii="Garamond" w:hAnsi="Garamond"/>
                <w:sz w:val="18"/>
              </w:rPr>
            </w:pPr>
            <w:r w:rsidRPr="00913E39">
              <w:rPr>
                <w:rFonts w:ascii="Garamond" w:hAnsi="Garamond"/>
                <w:sz w:val="18"/>
              </w:rPr>
              <w:t>funksionet mbështetëse, përfshirë financën dhe statistikat, teknologjinë e informacionit dhe kontrollin e brendshëm, shërbimet ligjore, administratën e burimet njerëzore dhe hartimin e rregullave teknike; </w:t>
            </w:r>
          </w:p>
          <w:p w14:paraId="66CC882F" w14:textId="77777777" w:rsidR="00847F23" w:rsidRPr="00913E39" w:rsidRDefault="00847F23" w:rsidP="00EF60E1">
            <w:pPr>
              <w:spacing w:after="0" w:line="240" w:lineRule="auto"/>
              <w:jc w:val="both"/>
              <w:rPr>
                <w:rFonts w:ascii="Garamond" w:hAnsi="Garamond"/>
                <w:sz w:val="18"/>
              </w:rPr>
            </w:pPr>
            <w:r w:rsidRPr="00913E39">
              <w:rPr>
                <w:rFonts w:ascii="Garamond" w:hAnsi="Garamond"/>
                <w:sz w:val="18"/>
              </w:rPr>
              <w:t xml:space="preserve">investigimi i brendshëm; </w:t>
            </w:r>
          </w:p>
          <w:p w14:paraId="4F914EB6" w14:textId="77777777" w:rsidR="00847F23" w:rsidRPr="00913E39" w:rsidRDefault="00847F23" w:rsidP="00EF60E1">
            <w:pPr>
              <w:spacing w:after="0" w:line="240" w:lineRule="auto"/>
              <w:jc w:val="both"/>
              <w:rPr>
                <w:rFonts w:ascii="Garamond" w:hAnsi="Garamond"/>
                <w:sz w:val="18"/>
              </w:rPr>
            </w:pPr>
            <w:r w:rsidRPr="00913E39">
              <w:rPr>
                <w:rFonts w:ascii="Garamond" w:hAnsi="Garamond"/>
                <w:sz w:val="18"/>
              </w:rPr>
              <w:t>rimbursimi tatimor.</w:t>
            </w:r>
          </w:p>
          <w:p w14:paraId="14858937" w14:textId="066A25E7" w:rsidR="00847F23" w:rsidRPr="00913E39" w:rsidRDefault="00847F23" w:rsidP="00EF60E1">
            <w:pPr>
              <w:spacing w:after="0" w:line="240" w:lineRule="auto"/>
              <w:jc w:val="both"/>
              <w:rPr>
                <w:rFonts w:ascii="Garamond" w:hAnsi="Garamond"/>
                <w:sz w:val="18"/>
              </w:rPr>
            </w:pPr>
            <w:r w:rsidRPr="00913E39">
              <w:rPr>
                <w:rFonts w:ascii="Garamond" w:hAnsi="Garamond"/>
                <w:sz w:val="18"/>
              </w:rPr>
              <w:t>DPT</w:t>
            </w:r>
            <w:r w:rsidR="006E5CF4" w:rsidRPr="00913E39">
              <w:rPr>
                <w:rFonts w:ascii="Garamond" w:hAnsi="Garamond"/>
                <w:sz w:val="18"/>
              </w:rPr>
              <w:t>-ja</w:t>
            </w:r>
            <w:r w:rsidRPr="00913E39">
              <w:rPr>
                <w:rFonts w:ascii="Garamond" w:hAnsi="Garamond"/>
                <w:sz w:val="18"/>
              </w:rPr>
              <w:t xml:space="preserve"> është përgjegjëse për mbledhjen e të ardhurave tatimore me procedura të thjeshta dhe me kosto minimale, duke zbatuar në mënyrë uniforme legjislacionin tatimor, për financimin e buxhetit të shtetit shqiptar.</w:t>
            </w:r>
          </w:p>
          <w:p w14:paraId="61EDC870" w14:textId="77777777" w:rsidR="00847F23" w:rsidRPr="00913E39" w:rsidRDefault="00847F23" w:rsidP="00EF60E1">
            <w:pPr>
              <w:spacing w:after="0" w:line="240" w:lineRule="auto"/>
              <w:jc w:val="both"/>
              <w:rPr>
                <w:rFonts w:ascii="Garamond" w:hAnsi="Garamond"/>
                <w:sz w:val="18"/>
              </w:rPr>
            </w:pPr>
            <w:r w:rsidRPr="00913E39">
              <w:rPr>
                <w:rFonts w:ascii="Garamond" w:hAnsi="Garamond"/>
                <w:sz w:val="18"/>
              </w:rPr>
              <w:lastRenderedPageBreak/>
              <w:t>DPT mbështet qeverinë për hartimin e politikave tatimore, të paraprira nga një proces informimi periodik.</w:t>
            </w:r>
          </w:p>
        </w:tc>
      </w:tr>
      <w:tr w:rsidR="00A56912" w:rsidRPr="00913E39" w14:paraId="1F16EEC3" w14:textId="77777777" w:rsidTr="00EF60E1">
        <w:trPr>
          <w:trHeight w:val="20"/>
        </w:trPr>
        <w:tc>
          <w:tcPr>
            <w:tcW w:w="0" w:type="auto"/>
            <w:shd w:val="clear" w:color="auto" w:fill="auto"/>
          </w:tcPr>
          <w:p w14:paraId="057B7580" w14:textId="77777777" w:rsidR="00847F23" w:rsidRPr="00913E39" w:rsidRDefault="00847F23" w:rsidP="00EF60E1">
            <w:pPr>
              <w:spacing w:after="0" w:line="240" w:lineRule="auto"/>
              <w:rPr>
                <w:rFonts w:ascii="Garamond" w:hAnsi="Garamond"/>
                <w:sz w:val="18"/>
              </w:rPr>
            </w:pPr>
            <w:r w:rsidRPr="00913E39">
              <w:rPr>
                <w:rFonts w:ascii="Garamond" w:hAnsi="Garamond"/>
                <w:sz w:val="18"/>
              </w:rPr>
              <w:lastRenderedPageBreak/>
              <w:t xml:space="preserve">Agjencia Kombëtare e Shoqërisë së Informacionit </w:t>
            </w:r>
          </w:p>
        </w:tc>
        <w:tc>
          <w:tcPr>
            <w:tcW w:w="0" w:type="auto"/>
            <w:shd w:val="clear" w:color="auto" w:fill="auto"/>
          </w:tcPr>
          <w:p w14:paraId="6C57649F" w14:textId="0E7D1238" w:rsidR="00847F23" w:rsidRPr="00913E39" w:rsidRDefault="00847F23" w:rsidP="00EF60E1">
            <w:pPr>
              <w:spacing w:after="0" w:line="240" w:lineRule="auto"/>
              <w:jc w:val="both"/>
              <w:rPr>
                <w:rFonts w:ascii="Garamond" w:hAnsi="Garamond"/>
                <w:sz w:val="18"/>
              </w:rPr>
            </w:pPr>
            <w:r w:rsidRPr="00913E39">
              <w:rPr>
                <w:rFonts w:ascii="Garamond" w:hAnsi="Garamond"/>
                <w:sz w:val="18"/>
              </w:rPr>
              <w:t>Marrëveshja e Nivelit të Shërbimit (SLA) nr. 7160</w:t>
            </w:r>
            <w:r w:rsidR="006E5CF4" w:rsidRPr="00913E39">
              <w:rPr>
                <w:rFonts w:ascii="Garamond" w:hAnsi="Garamond"/>
                <w:sz w:val="18"/>
              </w:rPr>
              <w:t>,</w:t>
            </w:r>
            <w:r w:rsidRPr="00913E39">
              <w:rPr>
                <w:rFonts w:ascii="Garamond" w:hAnsi="Garamond"/>
                <w:sz w:val="18"/>
              </w:rPr>
              <w:t xml:space="preserve"> datë 5.4.2019 ndërmjet DPT-së dhe AKSHI-t përshkruan detajet e bashkëpunimit, nivelet e SLA-së, ndryshimin dhe menaxhimin e incidenteve. </w:t>
            </w:r>
          </w:p>
          <w:p w14:paraId="6FBC1FA5" w14:textId="2B537724" w:rsidR="00847F23" w:rsidRPr="00913E39" w:rsidRDefault="00847F23" w:rsidP="00EF60E1">
            <w:pPr>
              <w:spacing w:after="0" w:line="240" w:lineRule="auto"/>
              <w:jc w:val="both"/>
              <w:rPr>
                <w:rFonts w:ascii="Garamond" w:hAnsi="Garamond"/>
                <w:sz w:val="18"/>
              </w:rPr>
            </w:pPr>
            <w:r w:rsidRPr="00913E39">
              <w:rPr>
                <w:rFonts w:ascii="Garamond" w:hAnsi="Garamond"/>
                <w:sz w:val="18"/>
              </w:rPr>
              <w:t>Një staf i dedikuar prej 44 punonjësish përbën Drejtorinë IT të Tatimeve. Stafi është i punësuar në Drejtorinë Qendrore të Tatimeve dhe 13 Drejtoritë Rajonale. Ky staf është i përkushtuar për mirëmbajtjen dhe zhvillimin e sistemeve TIK të DPT-së, si dhe për të lehtësuar dhe ndihmuar përdorimin e sistemit dhe infrastrukturës TIK nga stafi i DPT-së. Një nga objektivat kryesor</w:t>
            </w:r>
            <w:r w:rsidR="00C41722" w:rsidRPr="00913E39">
              <w:rPr>
                <w:rFonts w:ascii="Garamond" w:hAnsi="Garamond"/>
                <w:sz w:val="18"/>
              </w:rPr>
              <w:t>ë</w:t>
            </w:r>
            <w:r w:rsidRPr="00913E39">
              <w:rPr>
                <w:rFonts w:ascii="Garamond" w:hAnsi="Garamond"/>
                <w:sz w:val="18"/>
              </w:rPr>
              <w:t xml:space="preserve"> të Drejtorisë së TIK-ut është prezantimi dhe zbatimi i sistemeve të reja për të lehtësuar ndërveprimin e biznesit dhe qytetarëve me administratën tatimore, si dhe ofrimi i mjeteve të reja për stafin e DPT-së për të luftuar evazionin dhe mashtrimin.</w:t>
            </w:r>
          </w:p>
        </w:tc>
      </w:tr>
    </w:tbl>
    <w:p w14:paraId="4DD25F05" w14:textId="77777777" w:rsidR="00847F23" w:rsidRPr="00913E39" w:rsidRDefault="00847F23" w:rsidP="00FC4C60">
      <w:pPr>
        <w:spacing w:after="0" w:line="240" w:lineRule="auto"/>
        <w:ind w:firstLine="284"/>
        <w:jc w:val="both"/>
        <w:rPr>
          <w:rFonts w:ascii="Garamond" w:hAnsi="Garamond"/>
          <w:sz w:val="24"/>
        </w:rPr>
      </w:pPr>
    </w:p>
    <w:p w14:paraId="1A9414CA" w14:textId="6A84E7FC"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E61499" w:rsidRPr="00913E39">
        <w:rPr>
          <w:rFonts w:ascii="Garamond" w:hAnsi="Garamond"/>
          <w:i/>
          <w:sz w:val="24"/>
        </w:rPr>
        <w:t>f</w:t>
      </w:r>
      <w:r w:rsidRPr="00913E39">
        <w:rPr>
          <w:rFonts w:ascii="Garamond" w:hAnsi="Garamond"/>
          <w:i/>
          <w:sz w:val="24"/>
        </w:rPr>
        <w:t>usha e mbështetjes 2.2: Siguria kibernetike</w:t>
      </w:r>
    </w:p>
    <w:p w14:paraId="3DEE5848" w14:textId="1F06723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Departamenti i sigurisë kibernetike AKSHI përbëhet nga 3 sektorë të ndryshëm</w:t>
      </w:r>
      <w:r w:rsidR="00E61499" w:rsidRPr="00913E39">
        <w:rPr>
          <w:rFonts w:ascii="Garamond" w:hAnsi="Garamond"/>
          <w:sz w:val="24"/>
        </w:rPr>
        <w:t>:</w:t>
      </w:r>
      <w:r w:rsidRPr="00913E39">
        <w:rPr>
          <w:rFonts w:ascii="Garamond" w:hAnsi="Garamond"/>
          <w:sz w:val="24"/>
        </w:rPr>
        <w:t xml:space="preserve"> Qendra Operacionale e Sigurisë (QOS), Siguria dhe Pajtueshmëria dhe Ekipi i Reagimit ndaj Incidenteve Kibernetike. Departamenti i sigurisë kibernetike të AKSHI-it monitoron 24/7 të gjithë hapësirën kibernetike qeveritare. </w:t>
      </w:r>
    </w:p>
    <w:p w14:paraId="7BBDA642" w14:textId="68630149" w:rsidR="00847F23" w:rsidRPr="00913E39" w:rsidRDefault="00847F23" w:rsidP="00EF60E1">
      <w:pPr>
        <w:spacing w:after="0" w:line="240" w:lineRule="auto"/>
        <w:ind w:firstLine="284"/>
        <w:jc w:val="both"/>
        <w:rPr>
          <w:rFonts w:ascii="Garamond" w:hAnsi="Garamond"/>
          <w:sz w:val="24"/>
        </w:rPr>
      </w:pPr>
      <w:r w:rsidRPr="00913E39">
        <w:rPr>
          <w:rFonts w:ascii="Garamond" w:hAnsi="Garamond"/>
          <w:sz w:val="24"/>
        </w:rPr>
        <w:t>QOS</w:t>
      </w:r>
      <w:r w:rsidR="00F60E7E" w:rsidRPr="00913E39">
        <w:rPr>
          <w:rFonts w:ascii="Garamond" w:hAnsi="Garamond"/>
          <w:sz w:val="24"/>
        </w:rPr>
        <w:t>-ja</w:t>
      </w:r>
      <w:r w:rsidRPr="00913E39">
        <w:rPr>
          <w:rFonts w:ascii="Garamond" w:hAnsi="Garamond"/>
          <w:sz w:val="24"/>
        </w:rPr>
        <w:t xml:space="preserve"> dhe ekipi i reagimit ndaj incidenteve kibernetike janë përgjegjës për reagimin dhe trajtimin e incidenteve kibernetike ndërsa </w:t>
      </w:r>
      <w:r w:rsidR="00FA643F" w:rsidRPr="00913E39">
        <w:rPr>
          <w:rFonts w:ascii="Garamond" w:hAnsi="Garamond"/>
          <w:sz w:val="24"/>
        </w:rPr>
        <w:t xml:space="preserve">Sektori </w:t>
      </w:r>
      <w:r w:rsidRPr="00913E39">
        <w:rPr>
          <w:rFonts w:ascii="Garamond" w:hAnsi="Garamond"/>
          <w:sz w:val="24"/>
        </w:rPr>
        <w:t xml:space="preserve">i Sigurisë dhe Pajtueshmërisë kryen skanimin e cenueshmërisë dhe korrigjimin. </w:t>
      </w:r>
    </w:p>
    <w:p w14:paraId="35A02598" w14:textId="77777777" w:rsidR="00847F23" w:rsidRPr="00913E39" w:rsidRDefault="00847F23" w:rsidP="00EF60E1">
      <w:pPr>
        <w:spacing w:after="0" w:line="240" w:lineRule="auto"/>
        <w:ind w:firstLine="284"/>
        <w:jc w:val="both"/>
        <w:rPr>
          <w:rFonts w:ascii="Garamond" w:hAnsi="Garamond"/>
          <w:sz w:val="24"/>
        </w:rPr>
      </w:pPr>
      <w:r w:rsidRPr="00913E39">
        <w:rPr>
          <w:rFonts w:ascii="Garamond" w:hAnsi="Garamond"/>
          <w:sz w:val="24"/>
        </w:rPr>
        <w:t xml:space="preserve">Ekipi i QOS-it përbëhet nga 13 specialistë, Siguria dhe Pajtueshmëria nga 6 specialistë dhe Ekipi i Reagimit ndaj Incidenteve Kibernetike ka gjithashtu 6 ekspertë. </w:t>
      </w:r>
    </w:p>
    <w:p w14:paraId="5BCEF62F" w14:textId="77777777" w:rsidR="00847F23" w:rsidRPr="00913E39" w:rsidRDefault="00847F23" w:rsidP="00EF60E1">
      <w:pPr>
        <w:spacing w:after="0" w:line="240" w:lineRule="auto"/>
        <w:ind w:firstLine="284"/>
        <w:jc w:val="both"/>
        <w:rPr>
          <w:rFonts w:ascii="Garamond" w:hAnsi="Garamond"/>
          <w:sz w:val="24"/>
        </w:rPr>
      </w:pPr>
      <w:r w:rsidRPr="00913E39">
        <w:rPr>
          <w:rFonts w:ascii="Garamond" w:hAnsi="Garamond"/>
          <w:sz w:val="24"/>
        </w:rPr>
        <w:t>Autoriteti Kombëtar për Sigurinë Kibernetike (AKSK) është autoriteti qendror për identifikimin, parashikimin dhe marrjen e masave për mbrojtjen nga kërcënimet dhe sulmet kompjuterike, në përputhje me legjislacionin në fuqi.</w:t>
      </w:r>
    </w:p>
    <w:p w14:paraId="2DC74B3B" w14:textId="77777777" w:rsidR="00847F23" w:rsidRPr="00913E39" w:rsidRDefault="00847F23" w:rsidP="00EF60E1">
      <w:pPr>
        <w:spacing w:after="0" w:line="240" w:lineRule="auto"/>
        <w:ind w:firstLine="284"/>
        <w:jc w:val="both"/>
        <w:rPr>
          <w:rFonts w:ascii="Garamond" w:hAnsi="Garamond"/>
          <w:sz w:val="24"/>
        </w:rPr>
      </w:pPr>
      <w:r w:rsidRPr="00913E39">
        <w:rPr>
          <w:rFonts w:ascii="Garamond" w:hAnsi="Garamond"/>
          <w:sz w:val="24"/>
        </w:rPr>
        <w:t>Ky autoritet ka këto kompetenca në fushën e sigurisë kibernetike:</w:t>
      </w:r>
    </w:p>
    <w:p w14:paraId="519DEE53" w14:textId="4BFC5A77" w:rsidR="00847F23" w:rsidRPr="00913E39" w:rsidRDefault="00847F23" w:rsidP="00EF60E1">
      <w:pPr>
        <w:spacing w:after="0" w:line="240" w:lineRule="auto"/>
        <w:ind w:firstLine="284"/>
        <w:contextualSpacing/>
        <w:jc w:val="both"/>
        <w:rPr>
          <w:rFonts w:ascii="Garamond" w:hAnsi="Garamond"/>
          <w:sz w:val="24"/>
        </w:rPr>
      </w:pPr>
      <w:r w:rsidRPr="00913E39">
        <w:rPr>
          <w:rFonts w:ascii="Garamond" w:hAnsi="Garamond"/>
          <w:sz w:val="24"/>
        </w:rPr>
        <w:t xml:space="preserve">- </w:t>
      </w:r>
      <w:r w:rsidR="00FA643F" w:rsidRPr="00913E39">
        <w:rPr>
          <w:rFonts w:ascii="Garamond" w:hAnsi="Garamond"/>
          <w:sz w:val="24"/>
        </w:rPr>
        <w:t>t</w:t>
      </w:r>
      <w:r w:rsidRPr="00913E39">
        <w:rPr>
          <w:rFonts w:ascii="Garamond" w:hAnsi="Garamond"/>
          <w:sz w:val="24"/>
        </w:rPr>
        <w:t>ë përcaktojë masat e sigurisë kibernetike;</w:t>
      </w:r>
    </w:p>
    <w:p w14:paraId="32CCC277" w14:textId="77777777" w:rsidR="00847F23" w:rsidRPr="00913E39" w:rsidRDefault="00847F23" w:rsidP="00EF60E1">
      <w:pPr>
        <w:spacing w:after="0" w:line="240" w:lineRule="auto"/>
        <w:ind w:firstLine="284"/>
        <w:contextualSpacing/>
        <w:jc w:val="both"/>
        <w:rPr>
          <w:rFonts w:ascii="Garamond" w:hAnsi="Garamond"/>
          <w:sz w:val="24"/>
        </w:rPr>
      </w:pPr>
      <w:r w:rsidRPr="00913E39">
        <w:rPr>
          <w:rFonts w:ascii="Garamond" w:hAnsi="Garamond"/>
          <w:sz w:val="24"/>
        </w:rPr>
        <w:t>- të veprojë si pikë qendrore kontakti në nivel kombëtar për operatorët përgjegjës në fushën e sigurisë kibernetike dhe të koordinojë punën për zgjidhjen e çështjeve të sigurisë kibernetike;</w:t>
      </w:r>
    </w:p>
    <w:p w14:paraId="744D20AD" w14:textId="77777777" w:rsidR="00847F23" w:rsidRPr="00913E39" w:rsidRDefault="00847F23" w:rsidP="00EF60E1">
      <w:pPr>
        <w:spacing w:after="0" w:line="240" w:lineRule="auto"/>
        <w:ind w:firstLine="284"/>
        <w:contextualSpacing/>
        <w:jc w:val="both"/>
        <w:rPr>
          <w:rFonts w:ascii="Garamond" w:hAnsi="Garamond"/>
          <w:sz w:val="24"/>
        </w:rPr>
      </w:pPr>
      <w:r w:rsidRPr="00913E39">
        <w:rPr>
          <w:rFonts w:ascii="Garamond" w:hAnsi="Garamond"/>
          <w:sz w:val="24"/>
        </w:rPr>
        <w:t>- të menaxhojë raportet e incidenteve në sektorin e sigurisë kibernetike dhe të sigurojë ruajtjen dhe regjistrimin e tyre;</w:t>
      </w:r>
    </w:p>
    <w:p w14:paraId="4DEB77B2" w14:textId="77777777" w:rsidR="00847F23" w:rsidRPr="00913E39" w:rsidRDefault="00847F23" w:rsidP="00EF60E1">
      <w:pPr>
        <w:spacing w:after="0" w:line="240" w:lineRule="auto"/>
        <w:ind w:firstLine="284"/>
        <w:contextualSpacing/>
        <w:jc w:val="both"/>
        <w:rPr>
          <w:rFonts w:ascii="Garamond" w:hAnsi="Garamond"/>
          <w:sz w:val="24"/>
        </w:rPr>
      </w:pPr>
      <w:r w:rsidRPr="00913E39">
        <w:rPr>
          <w:rFonts w:ascii="Garamond" w:hAnsi="Garamond"/>
          <w:sz w:val="24"/>
        </w:rPr>
        <w:t>- të ofrojë asistencë dhe mbështetje metodologjike për operatorët përgjegjës në fushën e sigurisë kibernetike;</w:t>
      </w:r>
    </w:p>
    <w:p w14:paraId="5D5BC267" w14:textId="77777777" w:rsidR="00847F23" w:rsidRPr="00913E39" w:rsidRDefault="00847F23" w:rsidP="00EF60E1">
      <w:pPr>
        <w:spacing w:after="0" w:line="240" w:lineRule="auto"/>
        <w:ind w:firstLine="284"/>
        <w:contextualSpacing/>
        <w:jc w:val="both"/>
        <w:rPr>
          <w:rFonts w:ascii="Garamond" w:hAnsi="Garamond"/>
          <w:sz w:val="24"/>
        </w:rPr>
      </w:pPr>
      <w:r w:rsidRPr="00913E39">
        <w:rPr>
          <w:rFonts w:ascii="Garamond" w:hAnsi="Garamond"/>
          <w:sz w:val="24"/>
        </w:rPr>
        <w:t>- të analizojë dobësitë në fushën e sigurisë së internetit;</w:t>
      </w:r>
    </w:p>
    <w:p w14:paraId="243DC1FC" w14:textId="77777777" w:rsidR="00847F23" w:rsidRPr="00913E39" w:rsidRDefault="00847F23" w:rsidP="00EF60E1">
      <w:pPr>
        <w:spacing w:after="0" w:line="240" w:lineRule="auto"/>
        <w:ind w:firstLine="284"/>
        <w:contextualSpacing/>
        <w:jc w:val="both"/>
        <w:rPr>
          <w:rFonts w:ascii="Garamond" w:hAnsi="Garamond"/>
          <w:sz w:val="24"/>
        </w:rPr>
      </w:pPr>
      <w:r w:rsidRPr="00913E39">
        <w:rPr>
          <w:rFonts w:ascii="Garamond" w:hAnsi="Garamond"/>
          <w:sz w:val="24"/>
        </w:rPr>
        <w:t>- të kryejë aktivitete ndërgjegjësimi dhe informimi në fushën e sigurisë kibernetike;</w:t>
      </w:r>
    </w:p>
    <w:p w14:paraId="7047AED8" w14:textId="77777777" w:rsidR="00847F23" w:rsidRPr="00913E39" w:rsidRDefault="00847F23" w:rsidP="00EF60E1">
      <w:pPr>
        <w:spacing w:after="0" w:line="240" w:lineRule="auto"/>
        <w:ind w:firstLine="284"/>
        <w:contextualSpacing/>
        <w:jc w:val="both"/>
        <w:rPr>
          <w:rFonts w:ascii="Garamond" w:hAnsi="Garamond"/>
          <w:sz w:val="24"/>
        </w:rPr>
      </w:pPr>
      <w:r w:rsidRPr="00913E39">
        <w:rPr>
          <w:rFonts w:ascii="Garamond" w:hAnsi="Garamond"/>
          <w:sz w:val="24"/>
        </w:rPr>
        <w:t>- të veprojë në cilësinë e Ekipit Kombëtar të Reagimit ndaj Incidenteve të Sigurisë Kompjuterike (CSIRT).</w:t>
      </w:r>
    </w:p>
    <w:p w14:paraId="090B8D8E" w14:textId="77777777" w:rsidR="00847F23" w:rsidRPr="00913E39" w:rsidRDefault="00847F23" w:rsidP="00EF60E1">
      <w:pPr>
        <w:spacing w:after="0" w:line="240" w:lineRule="auto"/>
        <w:ind w:firstLine="284"/>
        <w:jc w:val="both"/>
        <w:rPr>
          <w:rFonts w:ascii="Garamond" w:hAnsi="Garamond"/>
          <w:sz w:val="24"/>
        </w:rPr>
      </w:pPr>
      <w:r w:rsidRPr="00913E39">
        <w:rPr>
          <w:rFonts w:ascii="Garamond" w:hAnsi="Garamond"/>
          <w:sz w:val="24"/>
        </w:rPr>
        <w:t>Autoriteti bashkërendon aktivitetet e tij me institucionet e sigurisë dhe mbrojtjes dhe bashkëpunon me CSIRT-të sektoriale (Ekipin e Reagimit ndaj Incidenteve të Sigurisë Kompjuterike) dhe Autoritetet Ndërkombëtare në Sektorin e Sigurisë Kibernetike, nëpërmjet marrëveshjeve të përbashkëta, në përputhje me legjislacionin në fuqi.</w:t>
      </w:r>
    </w:p>
    <w:p w14:paraId="1B424872" w14:textId="69E54E48"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50694C" w:rsidRPr="00913E39">
        <w:rPr>
          <w:rFonts w:ascii="Garamond" w:hAnsi="Garamond"/>
          <w:i/>
          <w:sz w:val="24"/>
        </w:rPr>
        <w:t>f</w:t>
      </w:r>
      <w:r w:rsidRPr="00913E39">
        <w:rPr>
          <w:rFonts w:ascii="Garamond" w:hAnsi="Garamond"/>
          <w:i/>
          <w:sz w:val="24"/>
        </w:rPr>
        <w:t xml:space="preserve">usha e mbështetjes 2.3: Ndërlidhja digjitale </w:t>
      </w:r>
    </w:p>
    <w:p w14:paraId="58E1F84E" w14:textId="063A420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Ministria e Infrastrukturës dhe Energjisë (MIE) dhe Autoriteti i Komunikimeve Elektronike dhe Postare (AKEP), që është organi rregullator përgjegjës për tregun e komunikimeve elektronike, janë dy aktorët kryesorë për zbatimin e ndërhyrjeve në këtë </w:t>
      </w:r>
      <w:r w:rsidR="00614D80" w:rsidRPr="00913E39">
        <w:rPr>
          <w:rFonts w:ascii="Garamond" w:hAnsi="Garamond"/>
          <w:sz w:val="24"/>
        </w:rPr>
        <w:t xml:space="preserve">nënfushë mbështetjeje në bashkëpunim </w:t>
      </w:r>
      <w:r w:rsidRPr="00913E39">
        <w:rPr>
          <w:rFonts w:ascii="Garamond" w:hAnsi="Garamond"/>
          <w:sz w:val="24"/>
        </w:rPr>
        <w:t xml:space="preserve">me institucione të tjera që lidhen me zbatimin e Agjendës Digjitale. </w:t>
      </w:r>
    </w:p>
    <w:p w14:paraId="6FFFBFB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MIE është Ministria përgjegjëse për zhvillimin e telekomunikacionit dhe </w:t>
      </w:r>
      <w:r w:rsidRPr="00913E39">
        <w:rPr>
          <w:rFonts w:ascii="Garamond" w:hAnsi="Garamond"/>
          <w:i/>
          <w:sz w:val="24"/>
        </w:rPr>
        <w:t>broadband</w:t>
      </w:r>
      <w:r w:rsidRPr="00913E39">
        <w:rPr>
          <w:rFonts w:ascii="Garamond" w:hAnsi="Garamond"/>
          <w:sz w:val="24"/>
        </w:rPr>
        <w:t xml:space="preserve">. MIE është përgjegjëse për zbatimin e Planit Kombëtar të </w:t>
      </w:r>
      <w:r w:rsidRPr="00913E39">
        <w:rPr>
          <w:rFonts w:ascii="Garamond" w:hAnsi="Garamond"/>
          <w:i/>
          <w:sz w:val="24"/>
        </w:rPr>
        <w:t>Broadband</w:t>
      </w:r>
      <w:r w:rsidRPr="00913E39">
        <w:rPr>
          <w:rFonts w:ascii="Garamond" w:hAnsi="Garamond"/>
          <w:sz w:val="24"/>
        </w:rPr>
        <w:t xml:space="preserve">, politikave dhe programeve të zhvillimit në sektorin e telekomunikacionit/komunikimit elektronik. </w:t>
      </w:r>
    </w:p>
    <w:p w14:paraId="4169F711" w14:textId="256A038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Drejtoria e Përgjithshme e Politikave dhe Strategjive të Zhvillimit të Infrastrukturës dhe Territorit në MIE me 63 punonjës përfshin drejtoritë e mëposhtme: Drejtoria e Politikave dhe Strategjive të Zhvillimit të Transportit dhe Infrastrukturës, Drejtoria e Politikave dhe Strategjive të Zhvillimit të Postave dhe Telekomunikacionit, Drejtoria për Zhvillimin e Programit në Infrastrukturë dhe Territor, dhe Drejtoria e Fizibilitetit të Projekteve në Transport dhe Infrastrukturë. Drejtoria Rajonale për Politikat dhe Strategjitë e Zhvillimeve të Postave dhe </w:t>
      </w:r>
      <w:r w:rsidRPr="00913E39">
        <w:rPr>
          <w:rFonts w:ascii="Garamond" w:hAnsi="Garamond"/>
          <w:sz w:val="24"/>
        </w:rPr>
        <w:lastRenderedPageBreak/>
        <w:t xml:space="preserve">Telekomunikacionit, ka dy sektorë: Sektorin e </w:t>
      </w:r>
      <w:r w:rsidR="00651FA2" w:rsidRPr="00913E39">
        <w:rPr>
          <w:rFonts w:ascii="Garamond" w:hAnsi="Garamond"/>
          <w:sz w:val="24"/>
        </w:rPr>
        <w:t xml:space="preserve">Politikave </w:t>
      </w:r>
      <w:r w:rsidRPr="00913E39">
        <w:rPr>
          <w:rFonts w:ascii="Garamond" w:hAnsi="Garamond"/>
          <w:sz w:val="24"/>
        </w:rPr>
        <w:t xml:space="preserve">dhe </w:t>
      </w:r>
      <w:r w:rsidR="00651FA2" w:rsidRPr="00913E39">
        <w:rPr>
          <w:rFonts w:ascii="Garamond" w:hAnsi="Garamond"/>
          <w:sz w:val="24"/>
        </w:rPr>
        <w:t xml:space="preserve">Strategjive </w:t>
      </w:r>
      <w:r w:rsidRPr="00913E39">
        <w:rPr>
          <w:rFonts w:ascii="Garamond" w:hAnsi="Garamond"/>
          <w:sz w:val="24"/>
        </w:rPr>
        <w:t xml:space="preserve">për </w:t>
      </w:r>
      <w:r w:rsidR="00651FA2" w:rsidRPr="00913E39">
        <w:rPr>
          <w:rFonts w:ascii="Garamond" w:hAnsi="Garamond"/>
          <w:sz w:val="24"/>
        </w:rPr>
        <w:t xml:space="preserve">Telekomunikacionin </w:t>
      </w:r>
      <w:r w:rsidRPr="00913E39">
        <w:rPr>
          <w:rFonts w:ascii="Garamond" w:hAnsi="Garamond"/>
          <w:sz w:val="24"/>
        </w:rPr>
        <w:t xml:space="preserve">dhe </w:t>
      </w:r>
      <w:r w:rsidR="00651FA2" w:rsidRPr="00913E39">
        <w:rPr>
          <w:rFonts w:ascii="Garamond" w:hAnsi="Garamond"/>
          <w:sz w:val="24"/>
        </w:rPr>
        <w:t xml:space="preserve">Postën </w:t>
      </w:r>
      <w:r w:rsidRPr="00913E39">
        <w:rPr>
          <w:rFonts w:ascii="Garamond" w:hAnsi="Garamond"/>
          <w:sz w:val="24"/>
        </w:rPr>
        <w:t xml:space="preserve">dhe </w:t>
      </w:r>
      <w:r w:rsidR="00651FA2" w:rsidRPr="00913E39">
        <w:rPr>
          <w:rFonts w:ascii="Garamond" w:hAnsi="Garamond"/>
          <w:sz w:val="24"/>
        </w:rPr>
        <w:t xml:space="preserve">Sektorin </w:t>
      </w:r>
      <w:r w:rsidRPr="00913E39">
        <w:rPr>
          <w:rFonts w:ascii="Garamond" w:hAnsi="Garamond"/>
          <w:sz w:val="24"/>
        </w:rPr>
        <w:t xml:space="preserve">për </w:t>
      </w:r>
      <w:r w:rsidR="00651FA2" w:rsidRPr="00913E39">
        <w:rPr>
          <w:rFonts w:ascii="Garamond" w:hAnsi="Garamond"/>
          <w:sz w:val="24"/>
        </w:rPr>
        <w:t xml:space="preserve">Politikat </w:t>
      </w:r>
      <w:r w:rsidRPr="00913E39">
        <w:rPr>
          <w:rFonts w:ascii="Garamond" w:hAnsi="Garamond"/>
          <w:sz w:val="24"/>
        </w:rPr>
        <w:t xml:space="preserve">e </w:t>
      </w:r>
      <w:r w:rsidR="00651FA2" w:rsidRPr="00913E39">
        <w:rPr>
          <w:rFonts w:ascii="Garamond" w:hAnsi="Garamond"/>
          <w:i/>
          <w:sz w:val="24"/>
        </w:rPr>
        <w:t>Broadband</w:t>
      </w:r>
      <w:r w:rsidRPr="00913E39">
        <w:rPr>
          <w:rFonts w:ascii="Garamond" w:hAnsi="Garamond"/>
          <w:sz w:val="24"/>
        </w:rPr>
        <w:t xml:space="preserve">. </w:t>
      </w:r>
    </w:p>
    <w:p w14:paraId="19381421" w14:textId="757C4E2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AKEP</w:t>
      </w:r>
      <w:r w:rsidR="001B4C1E" w:rsidRPr="00913E39">
        <w:rPr>
          <w:rFonts w:ascii="Garamond" w:hAnsi="Garamond"/>
          <w:sz w:val="24"/>
        </w:rPr>
        <w:t>-i</w:t>
      </w:r>
      <w:r w:rsidRPr="00913E39">
        <w:rPr>
          <w:rFonts w:ascii="Garamond" w:hAnsi="Garamond"/>
          <w:sz w:val="24"/>
        </w:rPr>
        <w:t xml:space="preserve"> është organi rregullator i komunikimeve elektronike dhe shërbimit postar në Shqipëri që synon arritjen e një kuadri rregullator të qëndrueshëm, nxitjen e klimës së biznesit për investitorët dhe mbrojtjen e të gjithë përdoruesve të komunikimeve elektronike dhe shërbimeve postare në Shqipëri me çmime të përballueshme dhe cilësi të shërbimeve.</w:t>
      </w:r>
    </w:p>
    <w:p w14:paraId="1768FE5F" w14:textId="0FFDF9D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AKEP</w:t>
      </w:r>
      <w:r w:rsidR="00EE7AFE" w:rsidRPr="00913E39">
        <w:rPr>
          <w:rFonts w:ascii="Garamond" w:hAnsi="Garamond"/>
          <w:sz w:val="24"/>
        </w:rPr>
        <w:t>-i</w:t>
      </w:r>
      <w:r w:rsidRPr="00913E39">
        <w:rPr>
          <w:rFonts w:ascii="Garamond" w:hAnsi="Garamond"/>
          <w:sz w:val="24"/>
        </w:rPr>
        <w:t xml:space="preserve"> është një organ rregullator i pavarur për tregun e komunikimeve elektronike dhe postare, bazuar në </w:t>
      </w:r>
      <w:r w:rsidR="00EE7AFE" w:rsidRPr="00913E39">
        <w:rPr>
          <w:rFonts w:ascii="Garamond" w:hAnsi="Garamond"/>
          <w:sz w:val="24"/>
        </w:rPr>
        <w:t>l</w:t>
      </w:r>
      <w:r w:rsidRPr="00913E39">
        <w:rPr>
          <w:rFonts w:ascii="Garamond" w:hAnsi="Garamond"/>
          <w:sz w:val="24"/>
        </w:rPr>
        <w:t>igjin për komunikimin elektronik në Republikën e Shqipërisë (nr. 9918/2008, i ndryshuar). AKEP-i përgjigjet para Kuvendit të Republikës së Shqipërisë. AKEP-i bashkëpunon me Ministrinë e Infrastrukturës dhe Energjisë në kuadër të zbatimit të objektivave strategjik</w:t>
      </w:r>
      <w:r w:rsidR="00C41722" w:rsidRPr="00913E39">
        <w:rPr>
          <w:rFonts w:ascii="Garamond" w:hAnsi="Garamond"/>
          <w:sz w:val="24"/>
        </w:rPr>
        <w:t>ë</w:t>
      </w:r>
      <w:r w:rsidRPr="00913E39">
        <w:rPr>
          <w:rFonts w:ascii="Garamond" w:hAnsi="Garamond"/>
          <w:sz w:val="24"/>
        </w:rPr>
        <w:t xml:space="preserve">. AKEP-i është gjithashtu pjesë e grupit kryesor për telekomunikacionin dhe </w:t>
      </w:r>
      <w:r w:rsidRPr="00913E39">
        <w:rPr>
          <w:rFonts w:ascii="Garamond" w:hAnsi="Garamond"/>
          <w:i/>
          <w:sz w:val="24"/>
        </w:rPr>
        <w:t>broadband</w:t>
      </w:r>
      <w:r w:rsidRPr="00913E39">
        <w:rPr>
          <w:rFonts w:ascii="Garamond" w:hAnsi="Garamond"/>
          <w:sz w:val="24"/>
        </w:rPr>
        <w:t xml:space="preserve">, i cili është krijuar dhe funksionon si pjesë e Komitetit të Sektorit Drejtues </w:t>
      </w:r>
      <w:r w:rsidR="00850FC7" w:rsidRPr="00913E39">
        <w:rPr>
          <w:rFonts w:ascii="Garamond" w:hAnsi="Garamond"/>
          <w:sz w:val="24"/>
        </w:rPr>
        <w:t>“</w:t>
      </w:r>
      <w:r w:rsidRPr="00913E39">
        <w:rPr>
          <w:rFonts w:ascii="Garamond" w:hAnsi="Garamond"/>
          <w:sz w:val="24"/>
        </w:rPr>
        <w:t>Lidhja</w:t>
      </w:r>
      <w:r w:rsidR="00850FC7" w:rsidRPr="00913E39">
        <w:rPr>
          <w:rFonts w:ascii="Garamond" w:hAnsi="Garamond"/>
          <w:sz w:val="24"/>
        </w:rPr>
        <w:t>”</w:t>
      </w:r>
      <w:r w:rsidRPr="00913E39">
        <w:rPr>
          <w:rFonts w:ascii="Garamond" w:hAnsi="Garamond"/>
          <w:sz w:val="24"/>
        </w:rPr>
        <w:t xml:space="preserve"> që mbulon energjinë, transportin, telekomunikacionin dhe infrastrukturën </w:t>
      </w:r>
      <w:r w:rsidRPr="00913E39">
        <w:rPr>
          <w:rFonts w:ascii="Garamond" w:hAnsi="Garamond"/>
          <w:i/>
          <w:sz w:val="24"/>
        </w:rPr>
        <w:t>broadband</w:t>
      </w:r>
      <w:r w:rsidRPr="00913E39">
        <w:rPr>
          <w:rFonts w:ascii="Garamond" w:hAnsi="Garamond"/>
          <w:sz w:val="24"/>
        </w:rPr>
        <w:t xml:space="preserve"> nën mekanizmin GMPI. </w:t>
      </w:r>
    </w:p>
    <w:p w14:paraId="31F347D2" w14:textId="256891A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Struktura aktuale organizative e AKEP-it është miratuar me </w:t>
      </w:r>
      <w:r w:rsidR="00C128B8" w:rsidRPr="00913E39">
        <w:rPr>
          <w:rFonts w:ascii="Garamond" w:hAnsi="Garamond"/>
          <w:sz w:val="24"/>
        </w:rPr>
        <w:t>v</w:t>
      </w:r>
      <w:r w:rsidRPr="00913E39">
        <w:rPr>
          <w:rFonts w:ascii="Garamond" w:hAnsi="Garamond"/>
          <w:sz w:val="24"/>
        </w:rPr>
        <w:t xml:space="preserve">endimin e Parlamentit nr. 56/2018, me 8 drejtori me 14 sektorë që mbulojnë çështje të ndryshme rregullatore me 85 punonjës. Struktura e AKEP-it është publikuar në faqen e AKEP: </w:t>
      </w:r>
      <w:hyperlink r:id="rId18" w:history="1">
        <w:r w:rsidRPr="00913E39">
          <w:rPr>
            <w:rFonts w:ascii="Garamond" w:hAnsi="Garamond"/>
            <w:sz w:val="24"/>
            <w:u w:val="single"/>
          </w:rPr>
          <w:t>https://akep.al/rreth-akep/</w:t>
        </w:r>
      </w:hyperlink>
    </w:p>
    <w:p w14:paraId="5D171DCD" w14:textId="7A0E510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Figura 2. Struktura organizative e AKEP</w:t>
      </w:r>
      <w:r w:rsidR="00C64288" w:rsidRPr="00913E39">
        <w:rPr>
          <w:rFonts w:ascii="Garamond" w:hAnsi="Garamond"/>
          <w:i/>
          <w:sz w:val="24"/>
        </w:rPr>
        <w:t>-it</w:t>
      </w:r>
    </w:p>
    <w:p w14:paraId="3E9481CD" w14:textId="77777777" w:rsidR="00EF60E1" w:rsidRPr="00913E39" w:rsidRDefault="00EF60E1" w:rsidP="00EF60E1">
      <w:pPr>
        <w:spacing w:after="0" w:line="240" w:lineRule="auto"/>
        <w:jc w:val="center"/>
        <w:rPr>
          <w:rFonts w:ascii="Garamond" w:hAnsi="Garamond"/>
          <w:sz w:val="24"/>
        </w:rPr>
      </w:pPr>
      <w:r w:rsidRPr="00913E39">
        <w:rPr>
          <w:rFonts w:ascii="Calibri" w:hAnsi="Calibri"/>
          <w:noProof/>
        </w:rPr>
        <w:drawing>
          <wp:inline distT="0" distB="0" distL="0" distR="0" wp14:anchorId="55514301" wp14:editId="7FE6FFE7">
            <wp:extent cx="5767705" cy="213360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t="8043" b="7514"/>
                    <a:stretch/>
                  </pic:blipFill>
                  <pic:spPr bwMode="auto">
                    <a:xfrm>
                      <a:off x="0" y="0"/>
                      <a:ext cx="5768340" cy="2133835"/>
                    </a:xfrm>
                    <a:prstGeom prst="rect">
                      <a:avLst/>
                    </a:prstGeom>
                    <a:noFill/>
                    <a:ln>
                      <a:noFill/>
                    </a:ln>
                    <a:extLst>
                      <a:ext uri="{53640926-AAD7-44D8-BBD7-CCE9431645EC}">
                        <a14:shadowObscured xmlns:a14="http://schemas.microsoft.com/office/drawing/2010/main"/>
                      </a:ext>
                    </a:extLst>
                  </pic:spPr>
                </pic:pic>
              </a:graphicData>
            </a:graphic>
          </wp:inline>
        </w:drawing>
      </w:r>
    </w:p>
    <w:p w14:paraId="7532EFF5" w14:textId="7DFB7B8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Një nga rrjetet kyçe të infrastrukturës që i shërben administratës publike dhe aktualisht në përdorim është Rrjeti i Qeverisë (RrQ)</w:t>
      </w:r>
      <w:r w:rsidR="00A17508" w:rsidRPr="00913E39">
        <w:rPr>
          <w:rFonts w:ascii="Garamond" w:hAnsi="Garamond"/>
          <w:sz w:val="24"/>
        </w:rPr>
        <w:t>,</w:t>
      </w:r>
      <w:r w:rsidRPr="00913E39">
        <w:rPr>
          <w:rFonts w:ascii="Garamond" w:hAnsi="Garamond"/>
          <w:sz w:val="24"/>
        </w:rPr>
        <w:t xml:space="preserve"> i cili ndërlidh më shumë se 230 institucione publike në Tiranë. Rrjeti i Qeverisë është gjithashtu rrjeti kryesor i infrastrukturës që përdoret nga platforma Qeveria </w:t>
      </w:r>
      <w:r w:rsidRPr="00913E39">
        <w:rPr>
          <w:rFonts w:ascii="Garamond" w:hAnsi="Garamond"/>
          <w:i/>
          <w:sz w:val="24"/>
        </w:rPr>
        <w:t>Gateway</w:t>
      </w:r>
      <w:r w:rsidRPr="00913E39">
        <w:rPr>
          <w:rFonts w:ascii="Garamond" w:hAnsi="Garamond"/>
          <w:sz w:val="24"/>
        </w:rPr>
        <w:t xml:space="preserve"> (GG) e cila shërben si arkitekturë bazë që mundëson shkëmbimin e të dhënave qeveritare në kohë reale në mënyrë që ato t</w:t>
      </w:r>
      <w:r w:rsidR="005222A5" w:rsidRPr="00913E39">
        <w:rPr>
          <w:rFonts w:ascii="Garamond" w:hAnsi="Garamond"/>
          <w:sz w:val="24"/>
        </w:rPr>
        <w:t>’</w:t>
      </w:r>
      <w:r w:rsidRPr="00913E39">
        <w:rPr>
          <w:rFonts w:ascii="Garamond" w:hAnsi="Garamond"/>
          <w:sz w:val="24"/>
        </w:rPr>
        <w:t>u ofrohen qytetarëve nëpërmjet shërbimeve elektronike në një mënyrë të sigurt dhe të besueshme.</w:t>
      </w:r>
    </w:p>
    <w:p w14:paraId="3E2C82B7"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Sektori (sektorët) dhe koordinimi i donatorëve</w:t>
      </w:r>
    </w:p>
    <w:p w14:paraId="4C9F71EF"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1: Infrastruktura TIK për shërbime më të mira për shoqërinë</w:t>
      </w:r>
    </w:p>
    <w:p w14:paraId="1BE2B44B" w14:textId="1E023BC4"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85205B" w:rsidRPr="00913E39">
        <w:rPr>
          <w:rFonts w:ascii="Garamond" w:hAnsi="Garamond"/>
          <w:i/>
          <w:sz w:val="24"/>
        </w:rPr>
        <w:t>f</w:t>
      </w:r>
      <w:r w:rsidRPr="00913E39">
        <w:rPr>
          <w:rFonts w:ascii="Garamond" w:hAnsi="Garamond"/>
          <w:i/>
          <w:sz w:val="24"/>
        </w:rPr>
        <w:t xml:space="preserve">usha e </w:t>
      </w:r>
      <w:r w:rsidR="0085205B" w:rsidRPr="00913E39">
        <w:rPr>
          <w:rFonts w:ascii="Garamond" w:hAnsi="Garamond"/>
          <w:i/>
          <w:sz w:val="24"/>
        </w:rPr>
        <w:t>mbështetjes</w:t>
      </w:r>
      <w:r w:rsidRPr="00913E39">
        <w:rPr>
          <w:rFonts w:ascii="Garamond" w:hAnsi="Garamond"/>
          <w:i/>
          <w:sz w:val="24"/>
        </w:rPr>
        <w:t xml:space="preserve">: Shëndetësia </w:t>
      </w:r>
      <w:r w:rsidR="0085205B" w:rsidRPr="00913E39">
        <w:rPr>
          <w:rFonts w:ascii="Garamond" w:hAnsi="Garamond"/>
          <w:i/>
          <w:sz w:val="24"/>
        </w:rPr>
        <w:t>digjitale</w:t>
      </w:r>
    </w:p>
    <w:p w14:paraId="632B6C3F" w14:textId="03587D8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koordinimin e përgjithshëm të politikave dhe asistencës, Qeveria e Shqipërisë ka një strukturë organizative ndërinstitucionale dhe operacionale për menaxhimin e zbatimit të një modeli të zgjeruar sektorial/ndërsektorial nëpërmjet Sistemit të Planifikimit të Integruar (SPI), i cili vepron si sistem kryesor që vendos mjetet dhe mekanizmat për planifikimin e integruar të politikave publike dhe konsolidimin e modelit sektoriale/ndërsektoriale pas krijimit të Grupeve të Menaxhimit të Politikave të Integruara (GMPI)</w:t>
      </w:r>
      <w:r w:rsidRPr="00913E39">
        <w:rPr>
          <w:rFonts w:ascii="Garamond" w:hAnsi="Garamond"/>
          <w:sz w:val="24"/>
          <w:vertAlign w:val="superscript"/>
        </w:rPr>
        <w:footnoteReference w:id="28"/>
      </w:r>
      <w:r w:rsidRPr="00913E39">
        <w:rPr>
          <w:rFonts w:ascii="Garamond" w:hAnsi="Garamond"/>
          <w:sz w:val="24"/>
        </w:rPr>
        <w:t xml:space="preserve"> dhe Grupeve Kryesore</w:t>
      </w:r>
      <w:r w:rsidRPr="00913E39">
        <w:rPr>
          <w:rFonts w:ascii="Garamond" w:hAnsi="Garamond"/>
          <w:sz w:val="24"/>
          <w:vertAlign w:val="superscript"/>
        </w:rPr>
        <w:footnoteReference w:id="29"/>
      </w:r>
      <w:r w:rsidRPr="00913E39">
        <w:rPr>
          <w:rFonts w:ascii="Garamond" w:hAnsi="Garamond"/>
          <w:sz w:val="24"/>
        </w:rPr>
        <w:t>. Struktura e GMPI koordinohet në përgjithësi nga Agjencia Shtetërore për Planifikimin Strategjik dhe Koordinimin e Ndihmës (SASPAC) që është gjithashtu përgjegjëse për koordinimin e donatorëve. Sistemi Informatik i Planifikimit të Integruar (IPSIS)</w:t>
      </w:r>
      <w:r w:rsidRPr="00913E39">
        <w:rPr>
          <w:rFonts w:ascii="Garamond" w:hAnsi="Garamond"/>
          <w:sz w:val="24"/>
          <w:vertAlign w:val="superscript"/>
        </w:rPr>
        <w:footnoteReference w:id="30"/>
      </w:r>
      <w:bookmarkStart w:id="10" w:name="_Hlk69892184"/>
      <w:r w:rsidRPr="00913E39">
        <w:rPr>
          <w:rFonts w:ascii="Garamond" w:hAnsi="Garamond"/>
          <w:sz w:val="24"/>
        </w:rPr>
        <w:t xml:space="preserve"> është krijuar për planifikimin/programimin, monitorimin dhe </w:t>
      </w:r>
      <w:r w:rsidRPr="00913E39">
        <w:rPr>
          <w:rFonts w:ascii="Garamond" w:hAnsi="Garamond"/>
          <w:sz w:val="24"/>
        </w:rPr>
        <w:lastRenderedPageBreak/>
        <w:t>vlerësimin e kuadrit strategjik nga institucionet e qeverisë qendrore, si dhe analizën dhe raportimin e avancuar të të dhënave, me qëllim shmangien e ndarjes</w:t>
      </w:r>
      <w:r w:rsidR="004F48F4" w:rsidRPr="00913E39">
        <w:rPr>
          <w:rFonts w:ascii="Garamond" w:hAnsi="Garamond"/>
          <w:sz w:val="24"/>
        </w:rPr>
        <w:t xml:space="preserve"> </w:t>
      </w:r>
      <w:r w:rsidRPr="00913E39">
        <w:rPr>
          <w:rFonts w:ascii="Garamond" w:hAnsi="Garamond"/>
          <w:sz w:val="24"/>
        </w:rPr>
        <w:t xml:space="preserve">dhe duplikimit të politikave kryesore dhe proceseve të planifikimit financiar. </w:t>
      </w:r>
    </w:p>
    <w:bookmarkEnd w:id="10"/>
    <w:p w14:paraId="13E4A646" w14:textId="6670082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Një shtysë të konsiderueshme ka pasur krijimi i një arkitekture të përbashkët të koordinimit të ndihmës së jashtme. SASPAC</w:t>
      </w:r>
      <w:r w:rsidR="00073939" w:rsidRPr="00913E39">
        <w:rPr>
          <w:rFonts w:ascii="Garamond" w:hAnsi="Garamond"/>
          <w:sz w:val="24"/>
        </w:rPr>
        <w:t>-ja</w:t>
      </w:r>
      <w:r w:rsidRPr="00913E39">
        <w:rPr>
          <w:rFonts w:ascii="Garamond" w:hAnsi="Garamond"/>
          <w:sz w:val="24"/>
        </w:rPr>
        <w:t xml:space="preserve"> u krijua në tetor 2021 dhe detyrat kryesore të Agjencisë janë të koordinojë ndihmën e huaj për programet dhe projektet e zhvillimit, të koordinojë procesin e menaxhimit të projekteve me interes kombëtar dhe të sigurojë mbështetje metodologjike në hartimin e strategjive ndërsektoriale dhe sektoriale, me qëllim harmonizimi i tyre me SKZHIE, si dhe të monitorojë zbatimin e tyre. Kjo Agjenci bashkëpunon ngushtë me Sekretariatin Teknik të Donatorëve, një nismë kolektive e partnerëve të zhvillimit në Shqipëri për të lehtësuar shkëmbimin më të madh të informacionit ndërmjet partnerëve të zhvillimit dhe qeverisë e mbi të gjitha për të përforcuar dialogun politik mbi zhvillimet ligjore dhe institucionale, si pjesë e procesit të integrimit në BE që zhvillohet ndërmjet BE-së dhe Shqipërisë në kuadër të Marrëveshjes së Stabilizim-Asocimit ndërmjet Republikës së Shqipërisë dhe BE-së.</w:t>
      </w:r>
    </w:p>
    <w:p w14:paraId="45CB88CC" w14:textId="6E44BFBD" w:rsidR="00847F23" w:rsidRPr="00913E39" w:rsidRDefault="00847F23" w:rsidP="00FC4C60">
      <w:pPr>
        <w:spacing w:after="0" w:line="240" w:lineRule="auto"/>
        <w:ind w:firstLine="284"/>
        <w:jc w:val="both"/>
        <w:rPr>
          <w:rFonts w:ascii="Garamond" w:hAnsi="Garamond"/>
          <w:b/>
          <w:sz w:val="24"/>
        </w:rPr>
      </w:pPr>
      <w:r w:rsidRPr="00913E39">
        <w:rPr>
          <w:rFonts w:ascii="Garamond" w:hAnsi="Garamond"/>
          <w:sz w:val="24"/>
        </w:rPr>
        <w:t>Sistemi i monitorimit dhe raportimit</w:t>
      </w:r>
      <w:r w:rsidR="00961102" w:rsidRPr="00913E39">
        <w:rPr>
          <w:rFonts w:ascii="Garamond" w:hAnsi="Garamond"/>
          <w:sz w:val="24"/>
        </w:rPr>
        <w:t>,</w:t>
      </w:r>
      <w:r w:rsidRPr="00913E39">
        <w:rPr>
          <w:rFonts w:ascii="Garamond" w:hAnsi="Garamond"/>
          <w:sz w:val="24"/>
        </w:rPr>
        <w:t xml:space="preserve"> si dhe koordinimi sektorial për politikat e arsimit, punësimit, mbrojtjes sociale, gjithëpërfshirjes dhe shëndetësisë koordinohet nëpërmjet GMPI </w:t>
      </w:r>
      <w:r w:rsidR="00850FC7" w:rsidRPr="00913E39">
        <w:rPr>
          <w:rFonts w:ascii="Garamond" w:hAnsi="Garamond"/>
          <w:sz w:val="24"/>
        </w:rPr>
        <w:t>“</w:t>
      </w:r>
      <w:r w:rsidRPr="00913E39">
        <w:rPr>
          <w:rFonts w:ascii="Garamond" w:hAnsi="Garamond"/>
          <w:sz w:val="24"/>
        </w:rPr>
        <w:t xml:space="preserve">Zhvillimit të </w:t>
      </w:r>
      <w:r w:rsidR="002070EA" w:rsidRPr="00913E39">
        <w:rPr>
          <w:rFonts w:ascii="Garamond" w:hAnsi="Garamond"/>
          <w:sz w:val="24"/>
        </w:rPr>
        <w:t>kapitalit njerëzor</w:t>
      </w:r>
      <w:r w:rsidR="00850FC7" w:rsidRPr="00913E39">
        <w:rPr>
          <w:rFonts w:ascii="Garamond" w:hAnsi="Garamond"/>
          <w:sz w:val="24"/>
        </w:rPr>
        <w:t>”</w:t>
      </w:r>
      <w:r w:rsidR="002070EA" w:rsidRPr="00913E39">
        <w:rPr>
          <w:rFonts w:ascii="Garamond" w:hAnsi="Garamond"/>
          <w:sz w:val="24"/>
        </w:rPr>
        <w:t>,</w:t>
      </w:r>
      <w:r w:rsidRPr="00913E39">
        <w:rPr>
          <w:rFonts w:ascii="Garamond" w:hAnsi="Garamond"/>
          <w:sz w:val="24"/>
        </w:rPr>
        <w:t xml:space="preserve"> i cili </w:t>
      </w:r>
      <w:r w:rsidR="00AF59F6" w:rsidRPr="00913E39">
        <w:rPr>
          <w:rFonts w:ascii="Garamond" w:hAnsi="Garamond"/>
          <w:sz w:val="24"/>
        </w:rPr>
        <w:t>përfshin grupet kryesore për punësim, aftësitë dhe punën dinjitoze, mbrojtjen sociale, shëndetësinë, arsimin, fëmijët, të rinjtë, kulturën dhe sportin dhe grupet e margjinalizuara.</w:t>
      </w:r>
    </w:p>
    <w:p w14:paraId="2C4BCAE2" w14:textId="407257FF"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AF59F6" w:rsidRPr="00913E39">
        <w:rPr>
          <w:rFonts w:ascii="Garamond" w:hAnsi="Garamond"/>
          <w:i/>
          <w:sz w:val="24"/>
        </w:rPr>
        <w:t xml:space="preserve">fusha </w:t>
      </w:r>
      <w:r w:rsidRPr="00913E39">
        <w:rPr>
          <w:rFonts w:ascii="Garamond" w:hAnsi="Garamond"/>
          <w:i/>
          <w:sz w:val="24"/>
        </w:rPr>
        <w:t xml:space="preserve">e mbështetjes 1.1: Edukimi </w:t>
      </w:r>
      <w:r w:rsidR="00AF59F6" w:rsidRPr="00913E39">
        <w:rPr>
          <w:rFonts w:ascii="Garamond" w:hAnsi="Garamond"/>
          <w:i/>
          <w:sz w:val="24"/>
        </w:rPr>
        <w:t>digjital</w:t>
      </w:r>
    </w:p>
    <w:p w14:paraId="72B31298" w14:textId="6D4E983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Rolin drejtues për zbatimin e Strategjisë Kombëtare për Arsimin 2021</w:t>
      </w:r>
      <w:r w:rsidR="00961E3E" w:rsidRPr="00913E39">
        <w:rPr>
          <w:rFonts w:ascii="Garamond" w:hAnsi="Garamond"/>
          <w:sz w:val="24"/>
        </w:rPr>
        <w:t>–</w:t>
      </w:r>
      <w:r w:rsidRPr="00913E39">
        <w:rPr>
          <w:rFonts w:ascii="Garamond" w:hAnsi="Garamond"/>
          <w:sz w:val="24"/>
        </w:rPr>
        <w:t xml:space="preserve">2026 e ka Ministria e Arsimit dhe Sportit si institucioni përgjegjës për fushën e arsimit parauniversitar, në zbatim të nenit 26 të ligjit </w:t>
      </w:r>
      <w:r w:rsidR="00850FC7" w:rsidRPr="00913E39">
        <w:rPr>
          <w:rFonts w:ascii="Garamond" w:hAnsi="Garamond"/>
          <w:sz w:val="24"/>
        </w:rPr>
        <w:t>“</w:t>
      </w:r>
      <w:r w:rsidRPr="00913E39">
        <w:rPr>
          <w:rFonts w:ascii="Garamond" w:hAnsi="Garamond"/>
          <w:sz w:val="24"/>
        </w:rPr>
        <w:t>Për sistemin arsimor parauniversitar në Republikën e Shqipërisë</w:t>
      </w:r>
      <w:r w:rsidR="00850FC7" w:rsidRPr="00913E39">
        <w:rPr>
          <w:rFonts w:ascii="Garamond" w:hAnsi="Garamond"/>
          <w:sz w:val="24"/>
        </w:rPr>
        <w:t>”</w:t>
      </w:r>
      <w:r w:rsidRPr="00913E39">
        <w:rPr>
          <w:rFonts w:ascii="Garamond" w:hAnsi="Garamond"/>
          <w:sz w:val="24"/>
        </w:rPr>
        <w:t xml:space="preserve"> (nr. 69/2012, i ndryshuar), dhe nenit 7</w:t>
      </w:r>
      <w:r w:rsidR="00AB259F" w:rsidRPr="00913E39">
        <w:rPr>
          <w:rFonts w:ascii="Garamond" w:hAnsi="Garamond"/>
          <w:sz w:val="24"/>
        </w:rPr>
        <w:t>,</w:t>
      </w:r>
      <w:r w:rsidRPr="00913E39">
        <w:rPr>
          <w:rFonts w:ascii="Garamond" w:hAnsi="Garamond"/>
          <w:sz w:val="24"/>
        </w:rPr>
        <w:t xml:space="preserve"> të ligjit </w:t>
      </w:r>
      <w:r w:rsidR="00850FC7" w:rsidRPr="00913E39">
        <w:rPr>
          <w:rFonts w:ascii="Garamond" w:hAnsi="Garamond"/>
          <w:sz w:val="24"/>
        </w:rPr>
        <w:t>“</w:t>
      </w:r>
      <w:r w:rsidRPr="00913E39">
        <w:rPr>
          <w:rFonts w:ascii="Garamond" w:hAnsi="Garamond"/>
          <w:sz w:val="24"/>
        </w:rPr>
        <w:t xml:space="preserve">Për </w:t>
      </w:r>
      <w:r w:rsidR="00AF59F6" w:rsidRPr="00913E39">
        <w:rPr>
          <w:rFonts w:ascii="Garamond" w:hAnsi="Garamond"/>
          <w:sz w:val="24"/>
        </w:rPr>
        <w:t xml:space="preserve">arsimin e lartë dhe kërkimin shkencor në institucionet </w:t>
      </w:r>
      <w:r w:rsidRPr="00913E39">
        <w:rPr>
          <w:rFonts w:ascii="Garamond" w:hAnsi="Garamond"/>
          <w:sz w:val="24"/>
        </w:rPr>
        <w:t xml:space="preserve">e </w:t>
      </w:r>
      <w:r w:rsidR="00AF59F6" w:rsidRPr="00913E39">
        <w:rPr>
          <w:rFonts w:ascii="Garamond" w:hAnsi="Garamond"/>
          <w:sz w:val="24"/>
        </w:rPr>
        <w:t xml:space="preserve">arsimit </w:t>
      </w:r>
      <w:r w:rsidRPr="00913E39">
        <w:rPr>
          <w:rFonts w:ascii="Garamond" w:hAnsi="Garamond"/>
          <w:sz w:val="24"/>
        </w:rPr>
        <w:t xml:space="preserve">të </w:t>
      </w:r>
      <w:r w:rsidR="00AF59F6" w:rsidRPr="00913E39">
        <w:rPr>
          <w:rFonts w:ascii="Garamond" w:hAnsi="Garamond"/>
          <w:sz w:val="24"/>
        </w:rPr>
        <w:t xml:space="preserve">lartë </w:t>
      </w:r>
      <w:r w:rsidRPr="00913E39">
        <w:rPr>
          <w:rFonts w:ascii="Garamond" w:hAnsi="Garamond"/>
          <w:sz w:val="24"/>
        </w:rPr>
        <w:t>në Republikën e Shqipërisë</w:t>
      </w:r>
      <w:r w:rsidR="00850FC7" w:rsidRPr="00913E39">
        <w:rPr>
          <w:rFonts w:ascii="Garamond" w:hAnsi="Garamond"/>
          <w:sz w:val="24"/>
        </w:rPr>
        <w:t>”</w:t>
      </w:r>
      <w:r w:rsidRPr="00913E39">
        <w:rPr>
          <w:rFonts w:ascii="Garamond" w:hAnsi="Garamond"/>
          <w:sz w:val="24"/>
        </w:rPr>
        <w:t xml:space="preserve"> (nr. 80/2015). Përgjegjësia për zbatimin e secilës masë është përcaktuar në planin e veprimit të përfshirë në </w:t>
      </w:r>
      <w:r w:rsidR="00CE3DF6" w:rsidRPr="00913E39">
        <w:rPr>
          <w:rFonts w:ascii="Garamond" w:hAnsi="Garamond"/>
          <w:sz w:val="24"/>
        </w:rPr>
        <w:t>a</w:t>
      </w:r>
      <w:r w:rsidRPr="00913E39">
        <w:rPr>
          <w:rFonts w:ascii="Garamond" w:hAnsi="Garamond"/>
          <w:sz w:val="24"/>
        </w:rPr>
        <w:t xml:space="preserve">neksin 1 të Strategjisë dhe ndahet ndërmjet MAS-it, institucioneve të varësisë, institucioneve arsimore, pushtetit vendor dhe aktorëve të tjerë). </w:t>
      </w:r>
    </w:p>
    <w:p w14:paraId="5ADD50E5" w14:textId="6A7C72F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Donatorët kryesorë në sektorin e arsimit në përgjithësi dhe në lidhje me digjitalizimin e arsimit parauniversitar në veçanti përfshijnë Bashkimin Evropian, UNICEF</w:t>
      </w:r>
      <w:r w:rsidR="00AC6380" w:rsidRPr="00913E39">
        <w:rPr>
          <w:rFonts w:ascii="Garamond" w:hAnsi="Garamond"/>
          <w:sz w:val="24"/>
        </w:rPr>
        <w:t>-in</w:t>
      </w:r>
      <w:r w:rsidRPr="00913E39">
        <w:rPr>
          <w:rFonts w:ascii="Garamond" w:hAnsi="Garamond"/>
          <w:sz w:val="24"/>
        </w:rPr>
        <w:t>, AADF</w:t>
      </w:r>
      <w:r w:rsidR="00AC6380" w:rsidRPr="00913E39">
        <w:rPr>
          <w:rFonts w:ascii="Garamond" w:hAnsi="Garamond"/>
          <w:sz w:val="24"/>
        </w:rPr>
        <w:t>-në</w:t>
      </w:r>
      <w:r w:rsidRPr="00913E39">
        <w:rPr>
          <w:rFonts w:ascii="Garamond" w:hAnsi="Garamond"/>
          <w:sz w:val="24"/>
        </w:rPr>
        <w:t>, USAID</w:t>
      </w:r>
      <w:r w:rsidR="00AC6380" w:rsidRPr="00913E39">
        <w:rPr>
          <w:rFonts w:ascii="Garamond" w:hAnsi="Garamond"/>
          <w:sz w:val="24"/>
        </w:rPr>
        <w:t>-in</w:t>
      </w:r>
      <w:r w:rsidRPr="00913E39">
        <w:rPr>
          <w:rFonts w:ascii="Garamond" w:hAnsi="Garamond"/>
          <w:sz w:val="24"/>
        </w:rPr>
        <w:t xml:space="preserve"> dhe Mbretërinë e Bashkuar (Këshilli Britanik). </w:t>
      </w:r>
    </w:p>
    <w:p w14:paraId="77754ECF" w14:textId="7CBE6EA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MAS-i ndjek dhe monitoron zbatimin e Strategjisë Kombëtare të Arsimit 2021</w:t>
      </w:r>
      <w:r w:rsidR="00155C06" w:rsidRPr="00913E39">
        <w:rPr>
          <w:rFonts w:ascii="Garamond" w:hAnsi="Garamond"/>
          <w:sz w:val="24"/>
        </w:rPr>
        <w:t>–</w:t>
      </w:r>
      <w:r w:rsidRPr="00913E39">
        <w:rPr>
          <w:rFonts w:ascii="Garamond" w:hAnsi="Garamond"/>
          <w:sz w:val="24"/>
        </w:rPr>
        <w:t>2026 (SKA) të miratuar me vendim të Këshillit të Ministrave nr.</w:t>
      </w:r>
      <w:r w:rsidR="00155C06" w:rsidRPr="00913E39">
        <w:rPr>
          <w:rFonts w:ascii="Garamond" w:hAnsi="Garamond"/>
          <w:sz w:val="24"/>
        </w:rPr>
        <w:t xml:space="preserve"> </w:t>
      </w:r>
      <w:r w:rsidRPr="00913E39">
        <w:rPr>
          <w:rFonts w:ascii="Garamond" w:hAnsi="Garamond"/>
          <w:sz w:val="24"/>
        </w:rPr>
        <w:t>621, datë 22.10.2021</w:t>
      </w:r>
      <w:r w:rsidR="00155C06"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miratimin e Strategjisë Kombëtare të Arsimit dhe Planit të Veprimit të saj 2021</w:t>
      </w:r>
      <w:r w:rsidR="00155C06" w:rsidRPr="00913E39">
        <w:rPr>
          <w:rFonts w:ascii="Garamond" w:hAnsi="Garamond"/>
          <w:sz w:val="24"/>
        </w:rPr>
        <w:t>–</w:t>
      </w:r>
      <w:r w:rsidRPr="00913E39">
        <w:rPr>
          <w:rFonts w:ascii="Garamond" w:hAnsi="Garamond"/>
          <w:sz w:val="24"/>
        </w:rPr>
        <w:t>2026</w:t>
      </w:r>
      <w:r w:rsidR="00850FC7" w:rsidRPr="00913E39">
        <w:rPr>
          <w:rFonts w:ascii="Garamond" w:hAnsi="Garamond"/>
          <w:sz w:val="24"/>
        </w:rPr>
        <w:t>”</w:t>
      </w:r>
      <w:r w:rsidRPr="00913E39">
        <w:rPr>
          <w:rFonts w:ascii="Garamond" w:hAnsi="Garamond"/>
          <w:sz w:val="24"/>
        </w:rPr>
        <w:t xml:space="preserve"> me prioritet dhe në koordinim të plotë me të gjithë aktorët e përfshirë.</w:t>
      </w:r>
    </w:p>
    <w:p w14:paraId="6A5D516F" w14:textId="6F30AE2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çdo objektiv jepen masa dhe tregues si pjesë e SKA-së. Monitorimi i strategjisë kombëtare të arsimit bëhet në një periudhë 6-mujore për të demonstruar realizueshmërinë e masave të planifikuara. Për monitorimin e strategjisë janë ngritur 5 (pesë) grupe pune nga </w:t>
      </w:r>
      <w:r w:rsidR="00AC6380" w:rsidRPr="00913E39">
        <w:rPr>
          <w:rFonts w:ascii="Garamond" w:hAnsi="Garamond"/>
          <w:sz w:val="24"/>
        </w:rPr>
        <w:t xml:space="preserve">ministri </w:t>
      </w:r>
      <w:r w:rsidRPr="00913E39">
        <w:rPr>
          <w:rFonts w:ascii="Garamond" w:hAnsi="Garamond"/>
          <w:sz w:val="24"/>
        </w:rPr>
        <w:t xml:space="preserve">i Arsimit dhe Sportit </w:t>
      </w:r>
      <w:r w:rsidR="00AC6380" w:rsidRPr="00913E39">
        <w:rPr>
          <w:rFonts w:ascii="Garamond" w:hAnsi="Garamond"/>
          <w:sz w:val="24"/>
        </w:rPr>
        <w:t xml:space="preserve">urdhri </w:t>
      </w:r>
      <w:r w:rsidRPr="00913E39">
        <w:rPr>
          <w:rFonts w:ascii="Garamond" w:hAnsi="Garamond"/>
          <w:sz w:val="24"/>
        </w:rPr>
        <w:t>nr. 337, datë 15.6.2022, i ndryshuar. Këto grupe përbëhen nga përfaqësues të institucioneve të ndryshme, të cilët përfshihen në aktivitete për një objektiv të caktuar specifik dhe që kontribuojnë me informacionin e saktë të nevojshëm për monitorimin e strategjisë. Ka masa ku planifikimi i rëndësishëm buxhetor është i detyrueshëm, të cilat mund të garantojnë qëndrueshmërinë e zbatimit të këtyre masave. Për shembull, në lidhje me digjitalizimin, MAS</w:t>
      </w:r>
      <w:r w:rsidR="00AC6380" w:rsidRPr="00913E39">
        <w:rPr>
          <w:rFonts w:ascii="Garamond" w:hAnsi="Garamond"/>
          <w:sz w:val="24"/>
        </w:rPr>
        <w:t>-i</w:t>
      </w:r>
      <w:r w:rsidRPr="00913E39">
        <w:rPr>
          <w:rFonts w:ascii="Garamond" w:hAnsi="Garamond"/>
          <w:sz w:val="24"/>
        </w:rPr>
        <w:t xml:space="preserve"> ka planifikuar aktivitete që kërkojnë plane të rëndësishme buxhetore. MAS-i aktualisht po koordinon veprimet me partnerët ndërkombëtarë për të garantuar fondet e nevojshme që zbatimi i SKA-së të jetë i qëndrueshëm. Gjithashtu, MAS</w:t>
      </w:r>
      <w:r w:rsidR="00AB259F" w:rsidRPr="00913E39">
        <w:rPr>
          <w:rFonts w:ascii="Garamond" w:hAnsi="Garamond"/>
          <w:sz w:val="24"/>
        </w:rPr>
        <w:t>-i</w:t>
      </w:r>
      <w:r w:rsidRPr="00913E39">
        <w:rPr>
          <w:rFonts w:ascii="Garamond" w:hAnsi="Garamond"/>
          <w:sz w:val="24"/>
        </w:rPr>
        <w:t xml:space="preserve"> fokusohet në zhvillimin profesional të strukturave të ndryshme të varësisë, të cilët janë aktorët kryesorë të zbatimit të kësaj strategjie. MAS</w:t>
      </w:r>
      <w:r w:rsidR="00AB259F" w:rsidRPr="00913E39">
        <w:rPr>
          <w:rFonts w:ascii="Garamond" w:hAnsi="Garamond"/>
          <w:sz w:val="24"/>
        </w:rPr>
        <w:t>-i</w:t>
      </w:r>
      <w:r w:rsidRPr="00913E39">
        <w:rPr>
          <w:rFonts w:ascii="Garamond" w:hAnsi="Garamond"/>
          <w:sz w:val="24"/>
        </w:rPr>
        <w:t xml:space="preserve"> zhvillon takime periodike me grupet e punës për ngritjen e kapaciteteve të tyre monitoruese. Për më tepër, MAS ka zbatuar tashmë Pasaportën e Treguesve Arsimor</w:t>
      </w:r>
      <w:r w:rsidR="00AB259F" w:rsidRPr="00913E39">
        <w:rPr>
          <w:rFonts w:ascii="Garamond" w:hAnsi="Garamond"/>
          <w:sz w:val="24"/>
        </w:rPr>
        <w:t>ë</w:t>
      </w:r>
      <w:r w:rsidRPr="00913E39">
        <w:rPr>
          <w:rFonts w:ascii="Garamond" w:hAnsi="Garamond"/>
          <w:sz w:val="24"/>
        </w:rPr>
        <w:t xml:space="preserve">, të cilët do të shërbejnë si një grup treguesish për monitorimin e strategjisë. Zbatimi i strategjisë përballet me sfida financiare në mbulimin e masave të planifikuara. </w:t>
      </w:r>
    </w:p>
    <w:p w14:paraId="190A0171" w14:textId="40D3A12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nivel qeveritar, strategjitë duke përfshirë </w:t>
      </w:r>
      <w:r w:rsidR="00850FC7" w:rsidRPr="00913E39">
        <w:rPr>
          <w:rFonts w:ascii="Garamond" w:hAnsi="Garamond"/>
          <w:sz w:val="24"/>
        </w:rPr>
        <w:t>“</w:t>
      </w:r>
      <w:r w:rsidRPr="00913E39">
        <w:rPr>
          <w:rFonts w:ascii="Garamond" w:hAnsi="Garamond"/>
          <w:sz w:val="24"/>
        </w:rPr>
        <w:t>Strategjinë për Zhvillimin e Arsimit</w:t>
      </w:r>
      <w:r w:rsidR="00850FC7" w:rsidRPr="00913E39">
        <w:rPr>
          <w:rFonts w:ascii="Garamond" w:hAnsi="Garamond"/>
          <w:sz w:val="24"/>
        </w:rPr>
        <w:t>”</w:t>
      </w:r>
      <w:r w:rsidRPr="00913E39">
        <w:rPr>
          <w:rFonts w:ascii="Garamond" w:hAnsi="Garamond"/>
          <w:sz w:val="24"/>
        </w:rPr>
        <w:t xml:space="preserve"> koordinohen nëpërmjet GMPI-së </w:t>
      </w:r>
      <w:r w:rsidR="00850FC7" w:rsidRPr="00913E39">
        <w:rPr>
          <w:rFonts w:ascii="Garamond" w:hAnsi="Garamond"/>
          <w:sz w:val="24"/>
        </w:rPr>
        <w:t>“</w:t>
      </w:r>
      <w:r w:rsidRPr="00913E39">
        <w:rPr>
          <w:rFonts w:ascii="Garamond" w:hAnsi="Garamond"/>
          <w:sz w:val="24"/>
        </w:rPr>
        <w:t xml:space="preserve">Zhvillimi i </w:t>
      </w:r>
      <w:r w:rsidR="00AB259F" w:rsidRPr="00913E39">
        <w:rPr>
          <w:rFonts w:ascii="Garamond" w:hAnsi="Garamond"/>
          <w:sz w:val="24"/>
        </w:rPr>
        <w:t>kapitalit njerëzor</w:t>
      </w:r>
      <w:r w:rsidR="00850FC7" w:rsidRPr="00913E39">
        <w:rPr>
          <w:rFonts w:ascii="Garamond" w:hAnsi="Garamond"/>
          <w:sz w:val="24"/>
        </w:rPr>
        <w:t>”</w:t>
      </w:r>
      <w:r w:rsidRPr="00913E39">
        <w:rPr>
          <w:rFonts w:ascii="Garamond" w:hAnsi="Garamond"/>
          <w:sz w:val="24"/>
        </w:rPr>
        <w:t xml:space="preserve"> ku Ministria e Arsimit dhe Sportit merr pjesë në nivel </w:t>
      </w:r>
      <w:r w:rsidR="00AB259F" w:rsidRPr="00913E39">
        <w:rPr>
          <w:rFonts w:ascii="Garamond" w:hAnsi="Garamond"/>
          <w:sz w:val="24"/>
        </w:rPr>
        <w:t>zëvendësministri</w:t>
      </w:r>
      <w:r w:rsidRPr="00913E39">
        <w:rPr>
          <w:rFonts w:ascii="Garamond" w:hAnsi="Garamond"/>
          <w:sz w:val="24"/>
        </w:rPr>
        <w:t xml:space="preserve">. </w:t>
      </w:r>
    </w:p>
    <w:p w14:paraId="2FE61808"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lastRenderedPageBreak/>
        <w:t>Fusha e mbështetjes 2: Integrimi me sistemet e teknologjisë së informacionit të BE-së, siguria kibernetike dhe ndërlidhja digjitale</w:t>
      </w:r>
    </w:p>
    <w:p w14:paraId="2934A56D" w14:textId="11DA008E"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AB259F" w:rsidRPr="00913E39">
        <w:rPr>
          <w:rFonts w:ascii="Garamond" w:hAnsi="Garamond"/>
          <w:i/>
          <w:sz w:val="24"/>
        </w:rPr>
        <w:t xml:space="preserve">fusha </w:t>
      </w:r>
      <w:r w:rsidRPr="00913E39">
        <w:rPr>
          <w:rFonts w:ascii="Garamond" w:hAnsi="Garamond"/>
          <w:i/>
          <w:sz w:val="24"/>
        </w:rPr>
        <w:t>e mbështetjes 2.1: Tatimet</w:t>
      </w:r>
    </w:p>
    <w:p w14:paraId="63BB1B1D" w14:textId="0C4E0CD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GMPI-ja e mëpërparshme </w:t>
      </w:r>
      <w:r w:rsidR="00850FC7" w:rsidRPr="00913E39">
        <w:rPr>
          <w:rFonts w:ascii="Garamond" w:eastAsia="Times New Roman" w:hAnsi="Garamond" w:cs="Times New Roman"/>
          <w:sz w:val="24"/>
          <w:szCs w:val="24"/>
        </w:rPr>
        <w:t>“</w:t>
      </w:r>
      <w:r w:rsidRPr="00913E39">
        <w:rPr>
          <w:rFonts w:ascii="Garamond" w:hAnsi="Garamond"/>
          <w:sz w:val="24"/>
        </w:rPr>
        <w:t xml:space="preserve">Qeverisja e </w:t>
      </w:r>
      <w:r w:rsidR="00AB259F" w:rsidRPr="00913E39">
        <w:rPr>
          <w:rFonts w:ascii="Garamond" w:hAnsi="Garamond"/>
          <w:sz w:val="24"/>
        </w:rPr>
        <w:t>mirë dhe administrata publike</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e drejtuar nga </w:t>
      </w:r>
      <w:r w:rsidR="00AB259F" w:rsidRPr="00913E39">
        <w:rPr>
          <w:rFonts w:ascii="Garamond" w:hAnsi="Garamond"/>
          <w:sz w:val="24"/>
        </w:rPr>
        <w:t xml:space="preserve">ministri </w:t>
      </w:r>
      <w:r w:rsidRPr="00913E39">
        <w:rPr>
          <w:rFonts w:ascii="Garamond" w:hAnsi="Garamond"/>
          <w:sz w:val="24"/>
        </w:rPr>
        <w:t xml:space="preserve">i Shtetit për Standardet dhe Shërbimet, tani GMPI </w:t>
      </w:r>
      <w:r w:rsidR="00850FC7" w:rsidRPr="00913E39">
        <w:rPr>
          <w:rFonts w:ascii="Garamond" w:eastAsia="Times New Roman" w:hAnsi="Garamond" w:cs="Times New Roman"/>
          <w:sz w:val="24"/>
          <w:szCs w:val="24"/>
        </w:rPr>
        <w:t>“</w:t>
      </w:r>
      <w:r w:rsidRPr="00913E39">
        <w:rPr>
          <w:rFonts w:ascii="Garamond" w:hAnsi="Garamond"/>
          <w:sz w:val="24"/>
        </w:rPr>
        <w:t xml:space="preserve">Demokracia, </w:t>
      </w:r>
      <w:r w:rsidR="00AB259F" w:rsidRPr="00913E39">
        <w:rPr>
          <w:rFonts w:ascii="Garamond" w:hAnsi="Garamond"/>
          <w:sz w:val="24"/>
        </w:rPr>
        <w:t>sundimi i ligjit dhe qeverisja e mirë</w:t>
      </w:r>
      <w:r w:rsidR="00850FC7" w:rsidRPr="00913E39">
        <w:rPr>
          <w:rFonts w:ascii="Garamond" w:eastAsia="Times New Roman" w:hAnsi="Garamond" w:cs="Times New Roman"/>
          <w:sz w:val="24"/>
          <w:szCs w:val="24"/>
        </w:rPr>
        <w:t>”</w:t>
      </w:r>
      <w:r w:rsidRPr="00913E39">
        <w:rPr>
          <w:rFonts w:ascii="Garamond" w:hAnsi="Garamond"/>
          <w:sz w:val="24"/>
        </w:rPr>
        <w:t xml:space="preserve"> e drejtuar nga </w:t>
      </w:r>
      <w:r w:rsidR="00AB259F" w:rsidRPr="00913E39">
        <w:rPr>
          <w:rFonts w:ascii="Garamond" w:hAnsi="Garamond"/>
          <w:sz w:val="24"/>
        </w:rPr>
        <w:t xml:space="preserve">ministri </w:t>
      </w:r>
      <w:r w:rsidRPr="00913E39">
        <w:rPr>
          <w:rFonts w:ascii="Garamond" w:hAnsi="Garamond"/>
          <w:sz w:val="24"/>
        </w:rPr>
        <w:t>i Shtetit për Pushtetin Vendor lehtëson bashkëpunimin politik brenda nënsektorit të Tatimeve. Palët kryesore të interesuara institucionale që marrin pjesë në menaxhimin, zbatimin dhe mbikëqyrjen e veprimeve brenda këtij kuadri përfshijnë Ministrinë e Financave dhe Ekonomisë, Drejtorinë e Përgjithshme të Tatimeve, Departamentin për Qeverisje të Mirë nën drejtimin e Zyrës së Kryeministrit (KM) dhe agjenci të tjera përkatëse sipas agjendës së takimeve specifike.</w:t>
      </w:r>
    </w:p>
    <w:p w14:paraId="1C0C238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të siguruar monitorim efektiv të të ardhurave tatimore, administrata tatimore dhe administrata doganore raportojnë rregullisht të ardhurat e siguruara në Ministrinë e Financave dhe Ekonomisë. Përpilohet një raport mujor, i cili krahason të ardhurat tatimore me të ardhurat e mbledhura nga e njëjta periudhë e vitit të kaluar dhe planifikimin e të ardhurave. Kjo analizë përdor raporte të detajuara mujore nga administrata fiskale dhe doganore, duke përfshirë informacione për zërat tatimorë sipas sektorëve, subjekteve të reja, ndryshimet në detyrimin tatimor dhe të ardhurat nga grupe të ndryshme produktesh. Ky monitorim i shpeshtë i të ardhurave tatimore shërben si bazë për vlerësimin e zbatimit të politikave tatimore dhe kontribuon në përgatitjen e Raportit Vjetor të Ministrisë së Financave dhe Ekonomisë për Menaxhimin e Financave Publike. Drejtoria e Përgjithshme e Tatimeve përgatit dhe publikon rregullisht raportet vjetore për zbatimin e strategjive sektoriale dhe planit të saj operacional.</w:t>
      </w:r>
    </w:p>
    <w:p w14:paraId="18BC5694" w14:textId="175F9DB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Si pjesë e Komiteteve Sektoriale të Monitorimit të IPA-së, GMPI </w:t>
      </w:r>
      <w:r w:rsidR="00850FC7" w:rsidRPr="00913E39">
        <w:rPr>
          <w:rFonts w:ascii="Garamond" w:hAnsi="Garamond"/>
          <w:sz w:val="24"/>
        </w:rPr>
        <w:t>“</w:t>
      </w:r>
      <w:r w:rsidRPr="00913E39">
        <w:rPr>
          <w:rFonts w:ascii="Garamond" w:hAnsi="Garamond"/>
          <w:sz w:val="24"/>
        </w:rPr>
        <w:t xml:space="preserve">Demokracia, </w:t>
      </w:r>
      <w:r w:rsidR="00FC0017" w:rsidRPr="00913E39">
        <w:rPr>
          <w:rFonts w:ascii="Garamond" w:hAnsi="Garamond"/>
          <w:sz w:val="24"/>
        </w:rPr>
        <w:t>sundimi i ligjit dhe qeverisja e mirë</w:t>
      </w:r>
      <w:r w:rsidR="00850FC7" w:rsidRPr="00913E39">
        <w:rPr>
          <w:rFonts w:ascii="Garamond" w:hAnsi="Garamond"/>
          <w:sz w:val="24"/>
        </w:rPr>
        <w:t>”</w:t>
      </w:r>
      <w:r w:rsidRPr="00913E39">
        <w:rPr>
          <w:rFonts w:ascii="Garamond" w:hAnsi="Garamond"/>
          <w:sz w:val="24"/>
        </w:rPr>
        <w:t xml:space="preserve"> luan një rol vendimtar në mbikëqyrjen e zbatimit të përgjithshëm të veprimeve në nënfushën e mbështetjes. Ai lehtëson dialogun e politikave dhe menaxhimin e njohurive ndërmjet niveleve qendrore dhe nënshtetërore të qeverisjes duke koordinuar me bashkitë pjesëmarrëse dhe partnerë të tjerë zbatues. Grupi kryesor i punës (d.m.th. Tatimet) përfshijnë ndër të tjerë partnerët kryesorë të zhvillimit si Komisionin Evropian (KE), Fondin Monetar Ndërkombëtar dhe Bankën Botërore. </w:t>
      </w:r>
    </w:p>
    <w:p w14:paraId="0C521F65" w14:textId="21B5A00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Programi Operacional është krijuar për të harmonizuar dhe plotësuar veprimet ekzistuese dhe të planifikuara në kuadër të programeve vjetore të veprimit IPA (p.sh., IPA 2020 BE për Qeverisje të Mirë) dhe programeve shumëpalëshe (p.sh. Programi </w:t>
      </w:r>
      <w:r w:rsidRPr="00913E39">
        <w:rPr>
          <w:rFonts w:ascii="Garamond" w:hAnsi="Garamond"/>
          <w:i/>
          <w:sz w:val="24"/>
        </w:rPr>
        <w:t>Fiscalis</w:t>
      </w:r>
      <w:r w:rsidRPr="00913E39">
        <w:rPr>
          <w:rFonts w:ascii="Garamond" w:hAnsi="Garamond"/>
          <w:sz w:val="24"/>
        </w:rPr>
        <w:t>). Në vitin 2022, Shqipëria nënshkroi një marrëveshje pjesëmarrjeje për t</w:t>
      </w:r>
      <w:r w:rsidR="005222A5" w:rsidRPr="00913E39">
        <w:rPr>
          <w:rFonts w:ascii="Garamond" w:hAnsi="Garamond"/>
          <w:sz w:val="24"/>
        </w:rPr>
        <w:t>’</w:t>
      </w:r>
      <w:r w:rsidRPr="00913E39">
        <w:rPr>
          <w:rFonts w:ascii="Garamond" w:hAnsi="Garamond"/>
          <w:sz w:val="24"/>
        </w:rPr>
        <w:t xml:space="preserve">u bashkuar me </w:t>
      </w:r>
      <w:r w:rsidR="00FC0017" w:rsidRPr="00913E39">
        <w:rPr>
          <w:rFonts w:ascii="Garamond" w:hAnsi="Garamond"/>
          <w:sz w:val="24"/>
        </w:rPr>
        <w:t xml:space="preserve">Programin </w:t>
      </w:r>
      <w:r w:rsidR="007C41EB" w:rsidRPr="00913E39">
        <w:rPr>
          <w:rFonts w:ascii="Garamond" w:hAnsi="Garamond"/>
          <w:i/>
          <w:sz w:val="24"/>
        </w:rPr>
        <w:t>Fiscalis</w:t>
      </w:r>
      <w:r w:rsidRPr="00913E39">
        <w:rPr>
          <w:rFonts w:ascii="Garamond" w:hAnsi="Garamond"/>
          <w:sz w:val="24"/>
        </w:rPr>
        <w:t xml:space="preserve">, në përputhje me nenin 5 të rregullores së programit, i cili lejon pjesëmarrjen e vendeve të treta sipas marrëveshjeve specifike. Konkretisht, në lidhje me Programin </w:t>
      </w:r>
      <w:r w:rsidRPr="00913E39">
        <w:rPr>
          <w:rFonts w:ascii="Garamond" w:hAnsi="Garamond"/>
          <w:i/>
          <w:sz w:val="24"/>
        </w:rPr>
        <w:t>Fiscalis</w:t>
      </w:r>
      <w:r w:rsidRPr="00913E39">
        <w:rPr>
          <w:rFonts w:ascii="Garamond" w:hAnsi="Garamond"/>
          <w:sz w:val="24"/>
        </w:rPr>
        <w:t>. Drejtoria e Përgjithshme e Tatimeve në Shqipëri është angazhuar në mënyrë aktive në një sërë seminaresh, takimesh dhe vizitash studimore si pjesë e programit. Ky program shërben si një platformë për vendet pjesëmarrëse, administratat e tyre tatimore dhe nëpunësit për t</w:t>
      </w:r>
      <w:r w:rsidR="007C41EB" w:rsidRPr="00913E39">
        <w:rPr>
          <w:rFonts w:ascii="Garamond" w:hAnsi="Garamond"/>
          <w:sz w:val="24"/>
        </w:rPr>
        <w:t>’</w:t>
      </w:r>
      <w:r w:rsidRPr="00913E39">
        <w:rPr>
          <w:rFonts w:ascii="Garamond" w:hAnsi="Garamond"/>
          <w:sz w:val="24"/>
        </w:rPr>
        <w:t xml:space="preserve">u bashkëpunuar në luftën kundër mashtrimit fiskal, evazionit fiskal dhe planifikimit agresiv tatimor. Nëpërmjet këtij angazhimi, Shqipëria ka kontribuar në shkëmbimin e njohurive dhe ka nxitur bashkëpunimin me administratat e tjera tatimore të përfshira në program. </w:t>
      </w:r>
    </w:p>
    <w:p w14:paraId="458B1EF0" w14:textId="7B347051"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FC0017" w:rsidRPr="00913E39">
        <w:rPr>
          <w:rFonts w:ascii="Garamond" w:hAnsi="Garamond"/>
          <w:i/>
          <w:sz w:val="24"/>
        </w:rPr>
        <w:t>f</w:t>
      </w:r>
      <w:r w:rsidRPr="00913E39">
        <w:rPr>
          <w:rFonts w:ascii="Garamond" w:hAnsi="Garamond"/>
          <w:i/>
          <w:sz w:val="24"/>
        </w:rPr>
        <w:t>usha e mbështetjes 2.2: Siguria kibernetike</w:t>
      </w:r>
    </w:p>
    <w:p w14:paraId="052EAE57" w14:textId="0D4ED99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Strategjia Kombëtare e Sigurisë Kibernetike do të monitorohet nëpërmjet matjes së treguesve bazë të përcaktuar në </w:t>
      </w:r>
      <w:r w:rsidR="00FC0017" w:rsidRPr="00913E39">
        <w:rPr>
          <w:rFonts w:ascii="Garamond" w:hAnsi="Garamond"/>
          <w:sz w:val="24"/>
        </w:rPr>
        <w:t>s</w:t>
      </w:r>
      <w:r w:rsidRPr="00913E39">
        <w:rPr>
          <w:rFonts w:ascii="Garamond" w:hAnsi="Garamond"/>
          <w:sz w:val="24"/>
        </w:rPr>
        <w:t>htojcën e Pasaportës së Treguesve. Për të ndjekur realizimin e objektivave specifik</w:t>
      </w:r>
      <w:r w:rsidR="00C41722" w:rsidRPr="00913E39">
        <w:rPr>
          <w:rFonts w:ascii="Garamond" w:hAnsi="Garamond"/>
          <w:sz w:val="24"/>
        </w:rPr>
        <w:t>ë</w:t>
      </w:r>
      <w:r w:rsidRPr="00913E39">
        <w:rPr>
          <w:rFonts w:ascii="Garamond" w:hAnsi="Garamond"/>
          <w:sz w:val="24"/>
        </w:rPr>
        <w:t xml:space="preserve">, të përkthyer në një plan veprimi të detajuar, janë hartuar treguesit bazë, të cilët do të shërbejnë si udhërrëfyes për monitorimin e realizimit të Strategjisë. </w:t>
      </w:r>
    </w:p>
    <w:p w14:paraId="6AE2E837" w14:textId="78B995DB"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FC0017" w:rsidRPr="00913E39">
        <w:rPr>
          <w:rFonts w:ascii="Garamond" w:hAnsi="Garamond"/>
          <w:i/>
          <w:sz w:val="24"/>
        </w:rPr>
        <w:t>f</w:t>
      </w:r>
      <w:r w:rsidRPr="00913E39">
        <w:rPr>
          <w:rFonts w:ascii="Garamond" w:hAnsi="Garamond"/>
          <w:i/>
          <w:sz w:val="24"/>
        </w:rPr>
        <w:t>usha e mbështetjes 2.3: Ndërlidhja digjitale</w:t>
      </w:r>
    </w:p>
    <w:p w14:paraId="1DF3710E" w14:textId="3CDA13A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GMPI </w:t>
      </w:r>
      <w:r w:rsidR="00850FC7" w:rsidRPr="00913E39">
        <w:rPr>
          <w:rFonts w:ascii="Garamond" w:hAnsi="Garamond"/>
          <w:sz w:val="24"/>
        </w:rPr>
        <w:t>“</w:t>
      </w:r>
      <w:r w:rsidRPr="00913E39">
        <w:rPr>
          <w:rFonts w:ascii="Garamond" w:hAnsi="Garamond"/>
          <w:sz w:val="24"/>
        </w:rPr>
        <w:t>Lidhja/</w:t>
      </w:r>
      <w:r w:rsidR="00FC0017" w:rsidRPr="00913E39">
        <w:rPr>
          <w:rFonts w:ascii="Garamond" w:hAnsi="Garamond"/>
          <w:sz w:val="24"/>
        </w:rPr>
        <w:t>r</w:t>
      </w:r>
      <w:r w:rsidRPr="00913E39">
        <w:rPr>
          <w:rFonts w:ascii="Garamond" w:hAnsi="Garamond"/>
          <w:sz w:val="24"/>
        </w:rPr>
        <w:t>rjetet</w:t>
      </w:r>
      <w:r w:rsidR="00850FC7" w:rsidRPr="00913E39">
        <w:rPr>
          <w:rFonts w:ascii="Garamond" w:hAnsi="Garamond"/>
          <w:sz w:val="24"/>
        </w:rPr>
        <w:t>”</w:t>
      </w:r>
      <w:r w:rsidRPr="00913E39">
        <w:rPr>
          <w:rFonts w:ascii="Garamond" w:hAnsi="Garamond"/>
          <w:sz w:val="24"/>
        </w:rPr>
        <w:t xml:space="preserve"> drejtohet nga Ministria e Infrastrukturës dhe Energjisë. Është krijuar një grup i posaçëm Drejtues për Telekomunikacionet dhe Shërbimet Postare. </w:t>
      </w:r>
    </w:p>
    <w:p w14:paraId="1F44EF4B" w14:textId="62DCA1A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Grupi Drejtues për Telekomunikacionet dhe Shërbimet Postare është përgjegjës për vlerësimin dhe monitorimin e Planit Kombëtar për Zhvillimin e Qëndrueshëm të Infrastrukturës Digjitale, Broadband 2020</w:t>
      </w:r>
      <w:r w:rsidR="00FC0017" w:rsidRPr="00913E39">
        <w:rPr>
          <w:rFonts w:ascii="Garamond" w:hAnsi="Garamond"/>
          <w:sz w:val="24"/>
        </w:rPr>
        <w:t>–</w:t>
      </w:r>
      <w:r w:rsidRPr="00913E39">
        <w:rPr>
          <w:rFonts w:ascii="Garamond" w:hAnsi="Garamond"/>
          <w:sz w:val="24"/>
        </w:rPr>
        <w:t xml:space="preserve">2025 në kuadër të GMPI. Ky grup u mundëson strukturave të koordinimit të politikave, përfaqësuar nga aktorët kryesorë, të diskutojnë çështje sektoriale të telekomunikacionit në lidhje me infrastrukturën digjitale, </w:t>
      </w:r>
      <w:r w:rsidRPr="00913E39">
        <w:rPr>
          <w:rFonts w:ascii="Garamond" w:hAnsi="Garamond"/>
          <w:i/>
          <w:sz w:val="24"/>
        </w:rPr>
        <w:t>broadband</w:t>
      </w:r>
      <w:r w:rsidRPr="00913E39">
        <w:rPr>
          <w:rFonts w:ascii="Garamond" w:hAnsi="Garamond"/>
          <w:sz w:val="24"/>
        </w:rPr>
        <w:t xml:space="preserve"> dhe dimensionet e agjendës digjitale. Grupi drejtues </w:t>
      </w:r>
      <w:r w:rsidRPr="00913E39">
        <w:rPr>
          <w:rFonts w:ascii="Garamond" w:hAnsi="Garamond"/>
          <w:sz w:val="24"/>
        </w:rPr>
        <w:lastRenderedPageBreak/>
        <w:t>i punës, i kryesuar nga Ministria e Infrastrukturës dhe Energjisë, është përgjegjës për mbajtjen e takimeve të rregullta me anëtarët përkatës, përfshirë organin rregullator kombëtar për komunikimet elektronike AKEP, Ministrinë e Financave dhe Ekonomisë, Autoritetin e Mediave Audiovizive, Agjencinë Kombëtare të Shoqërisë së Informacionit etj. Këto takime shërbejnë si një platformë për dialogun e politikave, duke diskutuar strategjitë kryesore, iniciativat ligjore, shpërndarjen e buxhetit dhe koordinimin e palëve të interesuara në nivel sektori. Për të siguruar gjithëpërfshirje, zhvillohen konsultime me Organizatat e Shoqërisë Civile (OSHC) dhe Shoqatën e Bashkive duke pranuar që të merren parasysh zërat e ndryshëm dhe palët e interesuara.</w:t>
      </w:r>
    </w:p>
    <w:p w14:paraId="329CD57B" w14:textId="69FF504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Grupi drejtues i punës përfshin partnerët kryesorë të zhvillimit</w:t>
      </w:r>
      <w:r w:rsidR="00087C89" w:rsidRPr="00913E39">
        <w:rPr>
          <w:rFonts w:ascii="Garamond" w:hAnsi="Garamond"/>
          <w:sz w:val="24"/>
        </w:rPr>
        <w:t>,</w:t>
      </w:r>
      <w:r w:rsidRPr="00913E39">
        <w:rPr>
          <w:rFonts w:ascii="Garamond" w:hAnsi="Garamond"/>
          <w:sz w:val="24"/>
        </w:rPr>
        <w:t xml:space="preserve"> si</w:t>
      </w:r>
      <w:r w:rsidR="00087C89" w:rsidRPr="00913E39">
        <w:rPr>
          <w:rFonts w:ascii="Garamond" w:hAnsi="Garamond"/>
          <w:sz w:val="24"/>
        </w:rPr>
        <w:t>:</w:t>
      </w:r>
      <w:r w:rsidRPr="00913E39">
        <w:rPr>
          <w:rFonts w:ascii="Garamond" w:hAnsi="Garamond"/>
          <w:sz w:val="24"/>
        </w:rPr>
        <w:t xml:space="preserve"> Komisionin Evropian, Bankën Botërore, BERZH</w:t>
      </w:r>
      <w:r w:rsidR="00087C89" w:rsidRPr="00913E39">
        <w:rPr>
          <w:rFonts w:ascii="Garamond" w:hAnsi="Garamond"/>
          <w:sz w:val="24"/>
        </w:rPr>
        <w:t>-in</w:t>
      </w:r>
      <w:r w:rsidRPr="00913E39">
        <w:rPr>
          <w:rFonts w:ascii="Garamond" w:hAnsi="Garamond"/>
          <w:sz w:val="24"/>
        </w:rPr>
        <w:t>, Bashkëpunimin Gjerman/GIZ etj. Programi Operacional është krijuar për të harmonizuar dhe plotësuar veprimet ekzistuese dhe të planifikuara në kuadër të programeve vjetore të veprimit të IPA-së, programeve për shumë vende, Kuadrin e Investimeve në Ballkanin Perëndimor (WBIF), dhe projekteve të financuara nga shtete të tjera anëtare të BE-së ose donatorë. Ky model bazohet në arritjet e iniciativave të mëparshme.</w:t>
      </w:r>
    </w:p>
    <w:p w14:paraId="45B6A33B" w14:textId="11795F2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Si pjesë e Komiteteve Sektoriale të Monitorimit të IPA-së, </w:t>
      </w:r>
      <w:r w:rsidR="00850FC7" w:rsidRPr="00913E39">
        <w:rPr>
          <w:rFonts w:ascii="Garamond" w:hAnsi="Garamond"/>
          <w:sz w:val="24"/>
        </w:rPr>
        <w:t>“</w:t>
      </w:r>
      <w:r w:rsidRPr="00913E39">
        <w:rPr>
          <w:rFonts w:ascii="Garamond" w:hAnsi="Garamond"/>
          <w:sz w:val="24"/>
        </w:rPr>
        <w:t>Lidhja/</w:t>
      </w:r>
      <w:r w:rsidR="000F25ED" w:rsidRPr="00913E39">
        <w:rPr>
          <w:rFonts w:ascii="Garamond" w:hAnsi="Garamond"/>
          <w:sz w:val="24"/>
        </w:rPr>
        <w:t>r</w:t>
      </w:r>
      <w:r w:rsidRPr="00913E39">
        <w:rPr>
          <w:rFonts w:ascii="Garamond" w:hAnsi="Garamond"/>
          <w:sz w:val="24"/>
        </w:rPr>
        <w:t>rjetet</w:t>
      </w:r>
      <w:r w:rsidR="00850FC7" w:rsidRPr="00913E39">
        <w:rPr>
          <w:rFonts w:ascii="Garamond" w:hAnsi="Garamond"/>
          <w:sz w:val="24"/>
        </w:rPr>
        <w:t>”</w:t>
      </w:r>
      <w:r w:rsidRPr="00913E39">
        <w:rPr>
          <w:rFonts w:ascii="Garamond" w:hAnsi="Garamond"/>
          <w:sz w:val="24"/>
        </w:rPr>
        <w:t xml:space="preserve"> GMPI luan një rol vendimtar në mbikëqyrjen e zbatimit të përgjithshëm të veprimeve të lidhjes digjitale. Ai lehtëson dialogun e politikave dhe menaxhimin e njohurive ndërmjet niveleve qendrore dhe ndërshtetërore të qeverisjes duke koordinuar me bashkitë pjesëmarrëse dhe partnerë të tjerë zbatues. Sipas mekanizmit GMPI, Grupi Drejtues i Telekomunikacionit dhe Shërbimeve Postare, siguron mekanizmin kryesor për koordinimin, monitorimin dhe raportimin e sektorëve. Zhvillimi i rrjetit </w:t>
      </w:r>
      <w:r w:rsidRPr="00913E39">
        <w:rPr>
          <w:rFonts w:ascii="Garamond" w:hAnsi="Garamond"/>
          <w:i/>
          <w:sz w:val="24"/>
        </w:rPr>
        <w:t>broadband</w:t>
      </w:r>
      <w:r w:rsidRPr="00913E39">
        <w:rPr>
          <w:rFonts w:ascii="Garamond" w:hAnsi="Garamond"/>
          <w:sz w:val="24"/>
        </w:rPr>
        <w:t xml:space="preserve"> koordinohet më tej me zbatimin e Agjendës Digjitale, të politikave dhe aftësive të inovacionit në kuadër të GMPI-ve: </w:t>
      </w:r>
      <w:r w:rsidR="00850FC7" w:rsidRPr="00913E39">
        <w:rPr>
          <w:rFonts w:ascii="Garamond" w:eastAsia="Times New Roman" w:hAnsi="Garamond" w:cs="Times New Roman"/>
          <w:sz w:val="24"/>
          <w:szCs w:val="24"/>
        </w:rPr>
        <w:t>“</w:t>
      </w:r>
      <w:r w:rsidRPr="00913E39">
        <w:rPr>
          <w:rFonts w:ascii="Garamond" w:hAnsi="Garamond"/>
          <w:sz w:val="24"/>
        </w:rPr>
        <w:t xml:space="preserve">Demokracia, </w:t>
      </w:r>
      <w:r w:rsidR="000F25ED" w:rsidRPr="00913E39">
        <w:rPr>
          <w:rFonts w:ascii="Garamond" w:hAnsi="Garamond"/>
          <w:sz w:val="24"/>
        </w:rPr>
        <w:t>sundimit të ligjit dhe qeverisjes së mirë</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 xml:space="preserve">, </w:t>
      </w:r>
      <w:r w:rsidR="00850FC7" w:rsidRPr="00913E39">
        <w:rPr>
          <w:rFonts w:ascii="Garamond" w:eastAsia="Times New Roman" w:hAnsi="Garamond" w:cs="Times New Roman"/>
          <w:sz w:val="24"/>
          <w:szCs w:val="24"/>
        </w:rPr>
        <w:t>“</w:t>
      </w:r>
      <w:r w:rsidRPr="00913E39">
        <w:rPr>
          <w:rFonts w:ascii="Garamond" w:hAnsi="Garamond"/>
          <w:sz w:val="24"/>
        </w:rPr>
        <w:t xml:space="preserve">Zhvillimit </w:t>
      </w:r>
      <w:r w:rsidR="000F25ED" w:rsidRPr="00913E39">
        <w:rPr>
          <w:rFonts w:ascii="Garamond" w:hAnsi="Garamond"/>
          <w:sz w:val="24"/>
        </w:rPr>
        <w:t>ekonomik</w:t>
      </w:r>
      <w:r w:rsidR="00850FC7" w:rsidRPr="00913E39">
        <w:rPr>
          <w:rFonts w:ascii="Garamond" w:eastAsia="Times New Roman" w:hAnsi="Garamond" w:cs="Times New Roman"/>
          <w:sz w:val="24"/>
          <w:szCs w:val="24"/>
        </w:rPr>
        <w:t>”</w:t>
      </w:r>
      <w:r w:rsidRPr="00913E39">
        <w:rPr>
          <w:rFonts w:ascii="Garamond" w:hAnsi="Garamond"/>
          <w:sz w:val="24"/>
        </w:rPr>
        <w:t xml:space="preserve"> dhe </w:t>
      </w:r>
      <w:r w:rsidR="00850FC7" w:rsidRPr="00913E39">
        <w:rPr>
          <w:rFonts w:ascii="Garamond" w:eastAsia="Times New Roman" w:hAnsi="Garamond" w:cs="Times New Roman"/>
          <w:sz w:val="24"/>
          <w:szCs w:val="24"/>
        </w:rPr>
        <w:t>“</w:t>
      </w:r>
      <w:r w:rsidRPr="00913E39">
        <w:rPr>
          <w:rFonts w:ascii="Garamond" w:hAnsi="Garamond"/>
          <w:sz w:val="24"/>
        </w:rPr>
        <w:t>Zhvillimit të kapitalit njerëzor</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p>
    <w:p w14:paraId="0AA0D638" w14:textId="289CEE72"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2.5</w:t>
      </w:r>
      <w:r w:rsidR="00693B1A" w:rsidRPr="00913E39">
        <w:rPr>
          <w:rFonts w:ascii="Garamond" w:hAnsi="Garamond"/>
          <w:i/>
          <w:sz w:val="24"/>
        </w:rPr>
        <w:t xml:space="preserve"> </w:t>
      </w:r>
      <w:r w:rsidRPr="00913E39">
        <w:rPr>
          <w:rFonts w:ascii="Garamond" w:hAnsi="Garamond"/>
          <w:i/>
          <w:sz w:val="24"/>
        </w:rPr>
        <w:t>Perspektivat buxhetore afatmesme</w:t>
      </w:r>
    </w:p>
    <w:p w14:paraId="5746D645"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1: Infrastruktura TIK për shërbime më të mira për shoqërinë</w:t>
      </w:r>
    </w:p>
    <w:p w14:paraId="5396EA2F" w14:textId="5F6BD74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EE1211" w:rsidRPr="00913E39">
        <w:rPr>
          <w:rFonts w:ascii="Garamond" w:hAnsi="Garamond"/>
          <w:i/>
          <w:sz w:val="24"/>
        </w:rPr>
        <w:t>f</w:t>
      </w:r>
      <w:r w:rsidRPr="00913E39">
        <w:rPr>
          <w:rFonts w:ascii="Garamond" w:hAnsi="Garamond"/>
          <w:i/>
          <w:sz w:val="24"/>
        </w:rPr>
        <w:t>usha e mbështetjes 1.1: Digjitalizimi shëndetësor</w:t>
      </w:r>
    </w:p>
    <w:p w14:paraId="5FA2F419" w14:textId="12F72073"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Tabela 3</w:t>
      </w:r>
      <w:r w:rsidR="00EE1211" w:rsidRPr="00913E39">
        <w:rPr>
          <w:rFonts w:ascii="Garamond" w:hAnsi="Garamond"/>
          <w:i/>
          <w:sz w:val="24"/>
        </w:rPr>
        <w:t>.</w:t>
      </w:r>
      <w:r w:rsidRPr="00913E39">
        <w:rPr>
          <w:rFonts w:ascii="Garamond" w:hAnsi="Garamond"/>
          <w:i/>
          <w:sz w:val="24"/>
        </w:rPr>
        <w:t xml:space="preserve"> Buxheti vjetor i sektorit të shëndetësisë</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
        <w:gridCol w:w="4212"/>
        <w:gridCol w:w="1345"/>
        <w:gridCol w:w="1345"/>
        <w:gridCol w:w="1345"/>
      </w:tblGrid>
      <w:tr w:rsidR="00847F23" w:rsidRPr="00913E39" w14:paraId="6C2FD047" w14:textId="77777777" w:rsidTr="00BE3DA6">
        <w:trPr>
          <w:trHeight w:val="20"/>
        </w:trPr>
        <w:tc>
          <w:tcPr>
            <w:tcW w:w="455" w:type="pct"/>
            <w:tcBorders>
              <w:top w:val="single" w:sz="4" w:space="0" w:color="000000"/>
              <w:left w:val="single" w:sz="4" w:space="0" w:color="000000"/>
              <w:bottom w:val="single" w:sz="4" w:space="0" w:color="000000"/>
              <w:right w:val="single" w:sz="4" w:space="0" w:color="000000"/>
            </w:tcBorders>
            <w:hideMark/>
          </w:tcPr>
          <w:p w14:paraId="097B59EC"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Kodi</w:t>
            </w:r>
          </w:p>
        </w:tc>
        <w:tc>
          <w:tcPr>
            <w:tcW w:w="2320" w:type="pct"/>
            <w:tcBorders>
              <w:top w:val="single" w:sz="4" w:space="0" w:color="000000"/>
              <w:left w:val="single" w:sz="4" w:space="0" w:color="000000"/>
              <w:bottom w:val="single" w:sz="4" w:space="0" w:color="000000"/>
              <w:right w:val="single" w:sz="4" w:space="0" w:color="000000"/>
            </w:tcBorders>
            <w:hideMark/>
          </w:tcPr>
          <w:p w14:paraId="5C35695B"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Programi</w:t>
            </w:r>
          </w:p>
        </w:tc>
        <w:tc>
          <w:tcPr>
            <w:tcW w:w="741" w:type="pct"/>
            <w:tcBorders>
              <w:top w:val="single" w:sz="4" w:space="0" w:color="000000"/>
              <w:left w:val="single" w:sz="4" w:space="0" w:color="000000"/>
              <w:bottom w:val="single" w:sz="4" w:space="0" w:color="000000"/>
              <w:right w:val="single" w:sz="4" w:space="0" w:color="000000"/>
            </w:tcBorders>
            <w:hideMark/>
          </w:tcPr>
          <w:p w14:paraId="0817B1DC"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Viti 2023</w:t>
            </w:r>
          </w:p>
        </w:tc>
        <w:tc>
          <w:tcPr>
            <w:tcW w:w="741" w:type="pct"/>
            <w:tcBorders>
              <w:top w:val="single" w:sz="4" w:space="0" w:color="000000"/>
              <w:left w:val="single" w:sz="4" w:space="0" w:color="000000"/>
              <w:bottom w:val="single" w:sz="4" w:space="0" w:color="000000"/>
              <w:right w:val="single" w:sz="4" w:space="0" w:color="000000"/>
            </w:tcBorders>
            <w:hideMark/>
          </w:tcPr>
          <w:p w14:paraId="100F0AAF"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Viti 2024</w:t>
            </w:r>
          </w:p>
        </w:tc>
        <w:tc>
          <w:tcPr>
            <w:tcW w:w="741" w:type="pct"/>
            <w:tcBorders>
              <w:top w:val="single" w:sz="4" w:space="0" w:color="000000"/>
              <w:left w:val="single" w:sz="4" w:space="0" w:color="000000"/>
              <w:bottom w:val="single" w:sz="4" w:space="0" w:color="000000"/>
              <w:right w:val="single" w:sz="4" w:space="0" w:color="000000"/>
            </w:tcBorders>
            <w:hideMark/>
          </w:tcPr>
          <w:p w14:paraId="2C19932C"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Viti 2025</w:t>
            </w:r>
          </w:p>
        </w:tc>
      </w:tr>
      <w:tr w:rsidR="00847F23" w:rsidRPr="00913E39" w14:paraId="7F271C41" w14:textId="77777777" w:rsidTr="00BE3DA6">
        <w:trPr>
          <w:trHeight w:val="20"/>
        </w:trPr>
        <w:tc>
          <w:tcPr>
            <w:tcW w:w="455" w:type="pct"/>
            <w:tcBorders>
              <w:top w:val="single" w:sz="4" w:space="0" w:color="000000"/>
              <w:left w:val="single" w:sz="4" w:space="0" w:color="000000"/>
              <w:bottom w:val="single" w:sz="4" w:space="0" w:color="000000"/>
              <w:right w:val="single" w:sz="4" w:space="0" w:color="000000"/>
            </w:tcBorders>
            <w:hideMark/>
          </w:tcPr>
          <w:p w14:paraId="01563712"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0110</w:t>
            </w:r>
          </w:p>
        </w:tc>
        <w:tc>
          <w:tcPr>
            <w:tcW w:w="2320" w:type="pct"/>
            <w:tcBorders>
              <w:top w:val="single" w:sz="4" w:space="0" w:color="000000"/>
              <w:left w:val="single" w:sz="4" w:space="0" w:color="000000"/>
              <w:bottom w:val="single" w:sz="4" w:space="0" w:color="000000"/>
              <w:right w:val="single" w:sz="4" w:space="0" w:color="000000"/>
            </w:tcBorders>
            <w:hideMark/>
          </w:tcPr>
          <w:p w14:paraId="638B6A01"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Planifikimi, administrimi, menaxhimi</w:t>
            </w:r>
          </w:p>
        </w:tc>
        <w:tc>
          <w:tcPr>
            <w:tcW w:w="741" w:type="pct"/>
            <w:tcBorders>
              <w:top w:val="single" w:sz="4" w:space="0" w:color="000000"/>
              <w:left w:val="single" w:sz="4" w:space="0" w:color="000000"/>
              <w:bottom w:val="single" w:sz="4" w:space="0" w:color="000000"/>
              <w:right w:val="single" w:sz="4" w:space="0" w:color="000000"/>
            </w:tcBorders>
            <w:hideMark/>
          </w:tcPr>
          <w:p w14:paraId="766E989B"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368.000 </w:t>
            </w:r>
          </w:p>
        </w:tc>
        <w:tc>
          <w:tcPr>
            <w:tcW w:w="741" w:type="pct"/>
            <w:tcBorders>
              <w:top w:val="single" w:sz="4" w:space="0" w:color="000000"/>
              <w:left w:val="single" w:sz="4" w:space="0" w:color="000000"/>
              <w:bottom w:val="single" w:sz="4" w:space="0" w:color="000000"/>
              <w:right w:val="single" w:sz="4" w:space="0" w:color="000000"/>
            </w:tcBorders>
            <w:hideMark/>
          </w:tcPr>
          <w:p w14:paraId="0BE15B5D"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378.000 </w:t>
            </w:r>
          </w:p>
        </w:tc>
        <w:tc>
          <w:tcPr>
            <w:tcW w:w="741" w:type="pct"/>
            <w:tcBorders>
              <w:top w:val="single" w:sz="4" w:space="0" w:color="000000"/>
              <w:left w:val="single" w:sz="4" w:space="0" w:color="000000"/>
              <w:bottom w:val="single" w:sz="4" w:space="0" w:color="000000"/>
              <w:right w:val="single" w:sz="4" w:space="0" w:color="000000"/>
            </w:tcBorders>
            <w:hideMark/>
          </w:tcPr>
          <w:p w14:paraId="5F7AA55F"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458.000 </w:t>
            </w:r>
          </w:p>
        </w:tc>
      </w:tr>
      <w:tr w:rsidR="00847F23" w:rsidRPr="00913E39" w14:paraId="009C2280" w14:textId="77777777" w:rsidTr="00BE3DA6">
        <w:trPr>
          <w:trHeight w:val="20"/>
        </w:trPr>
        <w:tc>
          <w:tcPr>
            <w:tcW w:w="455" w:type="pct"/>
            <w:tcBorders>
              <w:top w:val="single" w:sz="4" w:space="0" w:color="000000"/>
              <w:left w:val="single" w:sz="4" w:space="0" w:color="000000"/>
              <w:bottom w:val="single" w:sz="4" w:space="0" w:color="000000"/>
              <w:right w:val="single" w:sz="4" w:space="0" w:color="000000"/>
            </w:tcBorders>
            <w:hideMark/>
          </w:tcPr>
          <w:p w14:paraId="1A73D54A"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07220</w:t>
            </w:r>
          </w:p>
        </w:tc>
        <w:tc>
          <w:tcPr>
            <w:tcW w:w="2320" w:type="pct"/>
            <w:tcBorders>
              <w:top w:val="single" w:sz="4" w:space="0" w:color="000000"/>
              <w:left w:val="single" w:sz="4" w:space="0" w:color="000000"/>
              <w:bottom w:val="single" w:sz="4" w:space="0" w:color="000000"/>
              <w:right w:val="single" w:sz="4" w:space="0" w:color="000000"/>
            </w:tcBorders>
            <w:hideMark/>
          </w:tcPr>
          <w:p w14:paraId="68CA2C1B"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Kujdesi shëndetësor parësor</w:t>
            </w:r>
          </w:p>
        </w:tc>
        <w:tc>
          <w:tcPr>
            <w:tcW w:w="741" w:type="pct"/>
            <w:tcBorders>
              <w:top w:val="single" w:sz="4" w:space="0" w:color="000000"/>
              <w:left w:val="single" w:sz="4" w:space="0" w:color="000000"/>
              <w:bottom w:val="single" w:sz="4" w:space="0" w:color="000000"/>
              <w:right w:val="single" w:sz="4" w:space="0" w:color="000000"/>
            </w:tcBorders>
            <w:hideMark/>
          </w:tcPr>
          <w:p w14:paraId="2F0AF8CD"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8.750.000 </w:t>
            </w:r>
          </w:p>
        </w:tc>
        <w:tc>
          <w:tcPr>
            <w:tcW w:w="741" w:type="pct"/>
            <w:tcBorders>
              <w:top w:val="single" w:sz="4" w:space="0" w:color="000000"/>
              <w:left w:val="single" w:sz="4" w:space="0" w:color="000000"/>
              <w:bottom w:val="single" w:sz="4" w:space="0" w:color="000000"/>
              <w:right w:val="single" w:sz="4" w:space="0" w:color="000000"/>
            </w:tcBorders>
            <w:hideMark/>
          </w:tcPr>
          <w:p w14:paraId="52F7A704"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8.900.000 </w:t>
            </w:r>
          </w:p>
        </w:tc>
        <w:tc>
          <w:tcPr>
            <w:tcW w:w="741" w:type="pct"/>
            <w:tcBorders>
              <w:top w:val="single" w:sz="4" w:space="0" w:color="000000"/>
              <w:left w:val="single" w:sz="4" w:space="0" w:color="000000"/>
              <w:bottom w:val="single" w:sz="4" w:space="0" w:color="000000"/>
              <w:right w:val="single" w:sz="4" w:space="0" w:color="000000"/>
            </w:tcBorders>
            <w:hideMark/>
          </w:tcPr>
          <w:p w14:paraId="01CF166E"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8.420.900 </w:t>
            </w:r>
          </w:p>
        </w:tc>
      </w:tr>
      <w:tr w:rsidR="00847F23" w:rsidRPr="00913E39" w14:paraId="555562D0" w14:textId="77777777" w:rsidTr="00BE3DA6">
        <w:trPr>
          <w:trHeight w:val="20"/>
        </w:trPr>
        <w:tc>
          <w:tcPr>
            <w:tcW w:w="455" w:type="pct"/>
            <w:tcBorders>
              <w:top w:val="single" w:sz="4" w:space="0" w:color="000000"/>
              <w:left w:val="single" w:sz="4" w:space="0" w:color="000000"/>
              <w:bottom w:val="single" w:sz="4" w:space="0" w:color="000000"/>
              <w:right w:val="single" w:sz="4" w:space="0" w:color="000000"/>
            </w:tcBorders>
            <w:hideMark/>
          </w:tcPr>
          <w:p w14:paraId="00E4463F"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07330</w:t>
            </w:r>
          </w:p>
        </w:tc>
        <w:tc>
          <w:tcPr>
            <w:tcW w:w="2320" w:type="pct"/>
            <w:tcBorders>
              <w:top w:val="single" w:sz="4" w:space="0" w:color="000000"/>
              <w:left w:val="single" w:sz="4" w:space="0" w:color="000000"/>
              <w:bottom w:val="single" w:sz="4" w:space="0" w:color="000000"/>
              <w:right w:val="single" w:sz="4" w:space="0" w:color="000000"/>
            </w:tcBorders>
            <w:hideMark/>
          </w:tcPr>
          <w:p w14:paraId="50679CC5"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Kujdesi shëndetësor spitalor</w:t>
            </w:r>
          </w:p>
        </w:tc>
        <w:tc>
          <w:tcPr>
            <w:tcW w:w="741" w:type="pct"/>
            <w:tcBorders>
              <w:top w:val="single" w:sz="4" w:space="0" w:color="000000"/>
              <w:left w:val="single" w:sz="4" w:space="0" w:color="000000"/>
              <w:bottom w:val="single" w:sz="4" w:space="0" w:color="000000"/>
              <w:right w:val="single" w:sz="4" w:space="0" w:color="000000"/>
            </w:tcBorders>
            <w:hideMark/>
          </w:tcPr>
          <w:p w14:paraId="31F61FFE"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33.292.020 </w:t>
            </w:r>
          </w:p>
        </w:tc>
        <w:tc>
          <w:tcPr>
            <w:tcW w:w="741" w:type="pct"/>
            <w:tcBorders>
              <w:top w:val="single" w:sz="4" w:space="0" w:color="000000"/>
              <w:left w:val="single" w:sz="4" w:space="0" w:color="000000"/>
              <w:bottom w:val="single" w:sz="4" w:space="0" w:color="000000"/>
              <w:right w:val="single" w:sz="4" w:space="0" w:color="000000"/>
            </w:tcBorders>
            <w:hideMark/>
          </w:tcPr>
          <w:p w14:paraId="4A362AF0"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33.663.020 </w:t>
            </w:r>
          </w:p>
        </w:tc>
        <w:tc>
          <w:tcPr>
            <w:tcW w:w="741" w:type="pct"/>
            <w:tcBorders>
              <w:top w:val="single" w:sz="4" w:space="0" w:color="000000"/>
              <w:left w:val="single" w:sz="4" w:space="0" w:color="000000"/>
              <w:bottom w:val="single" w:sz="4" w:space="0" w:color="000000"/>
              <w:right w:val="single" w:sz="4" w:space="0" w:color="000000"/>
            </w:tcBorders>
            <w:hideMark/>
          </w:tcPr>
          <w:p w14:paraId="1B1A26F6"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34.169.020 </w:t>
            </w:r>
          </w:p>
        </w:tc>
      </w:tr>
      <w:tr w:rsidR="00847F23" w:rsidRPr="00913E39" w14:paraId="3FBC9387" w14:textId="77777777" w:rsidTr="00BE3DA6">
        <w:trPr>
          <w:trHeight w:val="20"/>
        </w:trPr>
        <w:tc>
          <w:tcPr>
            <w:tcW w:w="455" w:type="pct"/>
            <w:tcBorders>
              <w:top w:val="single" w:sz="4" w:space="0" w:color="000000"/>
              <w:left w:val="single" w:sz="4" w:space="0" w:color="000000"/>
              <w:bottom w:val="single" w:sz="4" w:space="0" w:color="000000"/>
              <w:right w:val="single" w:sz="4" w:space="0" w:color="000000"/>
            </w:tcBorders>
            <w:hideMark/>
          </w:tcPr>
          <w:p w14:paraId="47BCAF49"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07450</w:t>
            </w:r>
          </w:p>
        </w:tc>
        <w:tc>
          <w:tcPr>
            <w:tcW w:w="2320" w:type="pct"/>
            <w:tcBorders>
              <w:top w:val="single" w:sz="4" w:space="0" w:color="000000"/>
              <w:left w:val="single" w:sz="4" w:space="0" w:color="000000"/>
              <w:bottom w:val="single" w:sz="4" w:space="0" w:color="000000"/>
              <w:right w:val="single" w:sz="4" w:space="0" w:color="000000"/>
            </w:tcBorders>
            <w:hideMark/>
          </w:tcPr>
          <w:p w14:paraId="2C9D68AD"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Shërbimet e Shëndetit Publik</w:t>
            </w:r>
          </w:p>
        </w:tc>
        <w:tc>
          <w:tcPr>
            <w:tcW w:w="741" w:type="pct"/>
            <w:tcBorders>
              <w:top w:val="single" w:sz="4" w:space="0" w:color="000000"/>
              <w:left w:val="single" w:sz="4" w:space="0" w:color="000000"/>
              <w:bottom w:val="single" w:sz="4" w:space="0" w:color="000000"/>
              <w:right w:val="single" w:sz="4" w:space="0" w:color="000000"/>
            </w:tcBorders>
            <w:hideMark/>
          </w:tcPr>
          <w:p w14:paraId="2DC57091"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3.928.108 </w:t>
            </w:r>
          </w:p>
        </w:tc>
        <w:tc>
          <w:tcPr>
            <w:tcW w:w="741" w:type="pct"/>
            <w:tcBorders>
              <w:top w:val="single" w:sz="4" w:space="0" w:color="000000"/>
              <w:left w:val="single" w:sz="4" w:space="0" w:color="000000"/>
              <w:bottom w:val="single" w:sz="4" w:space="0" w:color="000000"/>
              <w:right w:val="single" w:sz="4" w:space="0" w:color="000000"/>
            </w:tcBorders>
            <w:hideMark/>
          </w:tcPr>
          <w:p w14:paraId="0A7C3B9A"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3.678.108 </w:t>
            </w:r>
          </w:p>
        </w:tc>
        <w:tc>
          <w:tcPr>
            <w:tcW w:w="741" w:type="pct"/>
            <w:tcBorders>
              <w:top w:val="single" w:sz="4" w:space="0" w:color="000000"/>
              <w:left w:val="single" w:sz="4" w:space="0" w:color="000000"/>
              <w:bottom w:val="single" w:sz="4" w:space="0" w:color="000000"/>
              <w:right w:val="single" w:sz="4" w:space="0" w:color="000000"/>
            </w:tcBorders>
            <w:hideMark/>
          </w:tcPr>
          <w:p w14:paraId="5B073D03"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3.678.108 </w:t>
            </w:r>
          </w:p>
        </w:tc>
      </w:tr>
      <w:tr w:rsidR="00847F23" w:rsidRPr="00913E39" w14:paraId="5AB6697F" w14:textId="77777777" w:rsidTr="00BE3DA6">
        <w:trPr>
          <w:trHeight w:val="20"/>
        </w:trPr>
        <w:tc>
          <w:tcPr>
            <w:tcW w:w="455" w:type="pct"/>
            <w:tcBorders>
              <w:top w:val="single" w:sz="4" w:space="0" w:color="000000"/>
              <w:left w:val="single" w:sz="4" w:space="0" w:color="000000"/>
              <w:bottom w:val="single" w:sz="4" w:space="0" w:color="000000"/>
              <w:right w:val="single" w:sz="4" w:space="0" w:color="000000"/>
            </w:tcBorders>
            <w:hideMark/>
          </w:tcPr>
          <w:p w14:paraId="40746A0D"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07460</w:t>
            </w:r>
          </w:p>
        </w:tc>
        <w:tc>
          <w:tcPr>
            <w:tcW w:w="2320" w:type="pct"/>
            <w:tcBorders>
              <w:top w:val="single" w:sz="4" w:space="0" w:color="000000"/>
              <w:left w:val="single" w:sz="4" w:space="0" w:color="000000"/>
              <w:bottom w:val="single" w:sz="4" w:space="0" w:color="000000"/>
              <w:right w:val="single" w:sz="4" w:space="0" w:color="000000"/>
            </w:tcBorders>
            <w:hideMark/>
          </w:tcPr>
          <w:p w14:paraId="4D153D8D"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Shërbimi i Urgjencës Kombëtare</w:t>
            </w:r>
          </w:p>
        </w:tc>
        <w:tc>
          <w:tcPr>
            <w:tcW w:w="741" w:type="pct"/>
            <w:tcBorders>
              <w:top w:val="single" w:sz="4" w:space="0" w:color="000000"/>
              <w:left w:val="single" w:sz="4" w:space="0" w:color="000000"/>
              <w:bottom w:val="single" w:sz="4" w:space="0" w:color="000000"/>
              <w:right w:val="single" w:sz="4" w:space="0" w:color="000000"/>
            </w:tcBorders>
            <w:hideMark/>
          </w:tcPr>
          <w:p w14:paraId="42E73957"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464.600 </w:t>
            </w:r>
          </w:p>
        </w:tc>
        <w:tc>
          <w:tcPr>
            <w:tcW w:w="741" w:type="pct"/>
            <w:tcBorders>
              <w:top w:val="single" w:sz="4" w:space="0" w:color="000000"/>
              <w:left w:val="single" w:sz="4" w:space="0" w:color="000000"/>
              <w:bottom w:val="single" w:sz="4" w:space="0" w:color="000000"/>
              <w:right w:val="single" w:sz="4" w:space="0" w:color="000000"/>
            </w:tcBorders>
            <w:hideMark/>
          </w:tcPr>
          <w:p w14:paraId="3B8FA6C2"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525.000 </w:t>
            </w:r>
          </w:p>
        </w:tc>
        <w:tc>
          <w:tcPr>
            <w:tcW w:w="741" w:type="pct"/>
            <w:tcBorders>
              <w:top w:val="single" w:sz="4" w:space="0" w:color="000000"/>
              <w:left w:val="single" w:sz="4" w:space="0" w:color="000000"/>
              <w:bottom w:val="single" w:sz="4" w:space="0" w:color="000000"/>
              <w:right w:val="single" w:sz="4" w:space="0" w:color="000000"/>
            </w:tcBorders>
            <w:hideMark/>
          </w:tcPr>
          <w:p w14:paraId="10FD2663"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525.000 </w:t>
            </w:r>
          </w:p>
        </w:tc>
      </w:tr>
      <w:tr w:rsidR="00847F23" w:rsidRPr="00913E39" w14:paraId="7531B165" w14:textId="77777777" w:rsidTr="00BE3DA6">
        <w:trPr>
          <w:trHeight w:val="20"/>
        </w:trPr>
        <w:tc>
          <w:tcPr>
            <w:tcW w:w="455" w:type="pct"/>
            <w:tcBorders>
              <w:top w:val="single" w:sz="4" w:space="0" w:color="000000"/>
              <w:left w:val="single" w:sz="4" w:space="0" w:color="000000"/>
              <w:bottom w:val="single" w:sz="4" w:space="0" w:color="000000"/>
              <w:right w:val="single" w:sz="4" w:space="0" w:color="000000"/>
            </w:tcBorders>
            <w:hideMark/>
          </w:tcPr>
          <w:p w14:paraId="22FA1C8F"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10430</w:t>
            </w:r>
          </w:p>
        </w:tc>
        <w:tc>
          <w:tcPr>
            <w:tcW w:w="2320" w:type="pct"/>
            <w:tcBorders>
              <w:top w:val="single" w:sz="4" w:space="0" w:color="000000"/>
              <w:left w:val="single" w:sz="4" w:space="0" w:color="000000"/>
              <w:bottom w:val="single" w:sz="4" w:space="0" w:color="000000"/>
              <w:right w:val="single" w:sz="4" w:space="0" w:color="000000"/>
            </w:tcBorders>
            <w:hideMark/>
          </w:tcPr>
          <w:p w14:paraId="7026513E" w14:textId="6CE90FE7" w:rsidR="00847F23" w:rsidRPr="00913E39" w:rsidRDefault="00847F23" w:rsidP="00BE3DA6">
            <w:pPr>
              <w:spacing w:after="0" w:line="240" w:lineRule="auto"/>
              <w:jc w:val="both"/>
              <w:rPr>
                <w:rFonts w:ascii="Garamond" w:hAnsi="Garamond"/>
                <w:sz w:val="18"/>
              </w:rPr>
            </w:pPr>
            <w:r w:rsidRPr="00913E39">
              <w:rPr>
                <w:rFonts w:ascii="Garamond" w:hAnsi="Garamond"/>
                <w:sz w:val="18"/>
              </w:rPr>
              <w:t>Pë</w:t>
            </w:r>
            <w:r w:rsidR="0036796A" w:rsidRPr="00913E39">
              <w:rPr>
                <w:rFonts w:ascii="Garamond" w:hAnsi="Garamond"/>
                <w:sz w:val="18"/>
              </w:rPr>
              <w:t>r</w:t>
            </w:r>
            <w:r w:rsidRPr="00913E39">
              <w:rPr>
                <w:rFonts w:ascii="Garamond" w:hAnsi="Garamond"/>
                <w:sz w:val="18"/>
              </w:rPr>
              <w:t>kujdesja sociale</w:t>
            </w:r>
          </w:p>
        </w:tc>
        <w:tc>
          <w:tcPr>
            <w:tcW w:w="741" w:type="pct"/>
            <w:tcBorders>
              <w:top w:val="single" w:sz="4" w:space="0" w:color="000000"/>
              <w:left w:val="single" w:sz="4" w:space="0" w:color="000000"/>
              <w:bottom w:val="single" w:sz="4" w:space="0" w:color="000000"/>
              <w:right w:val="single" w:sz="4" w:space="0" w:color="000000"/>
            </w:tcBorders>
            <w:hideMark/>
          </w:tcPr>
          <w:p w14:paraId="0907B9AD"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27.280.000 </w:t>
            </w:r>
          </w:p>
        </w:tc>
        <w:tc>
          <w:tcPr>
            <w:tcW w:w="741" w:type="pct"/>
            <w:tcBorders>
              <w:top w:val="single" w:sz="4" w:space="0" w:color="000000"/>
              <w:left w:val="single" w:sz="4" w:space="0" w:color="000000"/>
              <w:bottom w:val="single" w:sz="4" w:space="0" w:color="000000"/>
              <w:right w:val="single" w:sz="4" w:space="0" w:color="000000"/>
            </w:tcBorders>
            <w:hideMark/>
          </w:tcPr>
          <w:p w14:paraId="086AE8F5"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27.680.000 </w:t>
            </w:r>
          </w:p>
        </w:tc>
        <w:tc>
          <w:tcPr>
            <w:tcW w:w="741" w:type="pct"/>
            <w:tcBorders>
              <w:top w:val="single" w:sz="4" w:space="0" w:color="000000"/>
              <w:left w:val="single" w:sz="4" w:space="0" w:color="000000"/>
              <w:bottom w:val="single" w:sz="4" w:space="0" w:color="000000"/>
              <w:right w:val="single" w:sz="4" w:space="0" w:color="000000"/>
            </w:tcBorders>
            <w:hideMark/>
          </w:tcPr>
          <w:p w14:paraId="0877C0F2"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28.180.000 </w:t>
            </w:r>
          </w:p>
        </w:tc>
      </w:tr>
      <w:tr w:rsidR="00847F23" w:rsidRPr="00913E39" w14:paraId="1068D365" w14:textId="77777777" w:rsidTr="00BE3DA6">
        <w:trPr>
          <w:trHeight w:val="20"/>
        </w:trPr>
        <w:tc>
          <w:tcPr>
            <w:tcW w:w="455" w:type="pct"/>
            <w:tcBorders>
              <w:top w:val="single" w:sz="4" w:space="0" w:color="000000"/>
              <w:left w:val="single" w:sz="4" w:space="0" w:color="000000"/>
              <w:bottom w:val="single" w:sz="4" w:space="0" w:color="000000"/>
              <w:right w:val="single" w:sz="4" w:space="0" w:color="000000"/>
            </w:tcBorders>
            <w:hideMark/>
          </w:tcPr>
          <w:p w14:paraId="0E6F5359"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01190</w:t>
            </w:r>
          </w:p>
        </w:tc>
        <w:tc>
          <w:tcPr>
            <w:tcW w:w="2320" w:type="pct"/>
            <w:tcBorders>
              <w:top w:val="single" w:sz="4" w:space="0" w:color="000000"/>
              <w:left w:val="single" w:sz="4" w:space="0" w:color="000000"/>
              <w:bottom w:val="single" w:sz="4" w:space="0" w:color="000000"/>
              <w:right w:val="single" w:sz="4" w:space="0" w:color="000000"/>
            </w:tcBorders>
            <w:hideMark/>
          </w:tcPr>
          <w:p w14:paraId="5FDD4749"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Rehabilitimi i të persekutuarve politikë</w:t>
            </w:r>
          </w:p>
        </w:tc>
        <w:tc>
          <w:tcPr>
            <w:tcW w:w="741" w:type="pct"/>
            <w:tcBorders>
              <w:top w:val="single" w:sz="4" w:space="0" w:color="000000"/>
              <w:left w:val="single" w:sz="4" w:space="0" w:color="000000"/>
              <w:bottom w:val="single" w:sz="4" w:space="0" w:color="000000"/>
              <w:right w:val="single" w:sz="4" w:space="0" w:color="000000"/>
            </w:tcBorders>
            <w:hideMark/>
          </w:tcPr>
          <w:p w14:paraId="4704A013"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1.035.000 </w:t>
            </w:r>
          </w:p>
        </w:tc>
        <w:tc>
          <w:tcPr>
            <w:tcW w:w="741" w:type="pct"/>
            <w:tcBorders>
              <w:top w:val="single" w:sz="4" w:space="0" w:color="000000"/>
              <w:left w:val="single" w:sz="4" w:space="0" w:color="000000"/>
              <w:bottom w:val="single" w:sz="4" w:space="0" w:color="000000"/>
              <w:right w:val="single" w:sz="4" w:space="0" w:color="000000"/>
            </w:tcBorders>
            <w:hideMark/>
          </w:tcPr>
          <w:p w14:paraId="177DC99A"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1.050.000 </w:t>
            </w:r>
          </w:p>
        </w:tc>
        <w:tc>
          <w:tcPr>
            <w:tcW w:w="741" w:type="pct"/>
            <w:tcBorders>
              <w:top w:val="single" w:sz="4" w:space="0" w:color="000000"/>
              <w:left w:val="single" w:sz="4" w:space="0" w:color="000000"/>
              <w:bottom w:val="single" w:sz="4" w:space="0" w:color="000000"/>
              <w:right w:val="single" w:sz="4" w:space="0" w:color="000000"/>
            </w:tcBorders>
            <w:hideMark/>
          </w:tcPr>
          <w:p w14:paraId="4FABE479"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1.050.000 </w:t>
            </w:r>
          </w:p>
        </w:tc>
      </w:tr>
      <w:tr w:rsidR="00847F23" w:rsidRPr="00913E39" w14:paraId="07C7FA88" w14:textId="77777777" w:rsidTr="00BE3DA6">
        <w:trPr>
          <w:trHeight w:val="20"/>
        </w:trPr>
        <w:tc>
          <w:tcPr>
            <w:tcW w:w="455" w:type="pct"/>
            <w:tcBorders>
              <w:top w:val="single" w:sz="4" w:space="0" w:color="000000"/>
              <w:left w:val="single" w:sz="4" w:space="0" w:color="000000"/>
              <w:bottom w:val="single" w:sz="4" w:space="0" w:color="000000"/>
              <w:right w:val="single" w:sz="4" w:space="0" w:color="000000"/>
            </w:tcBorders>
          </w:tcPr>
          <w:p w14:paraId="20829093" w14:textId="77777777" w:rsidR="00847F23" w:rsidRPr="00913E39" w:rsidRDefault="00847F23" w:rsidP="00BE3DA6">
            <w:pPr>
              <w:spacing w:after="0" w:line="240" w:lineRule="auto"/>
              <w:jc w:val="both"/>
              <w:rPr>
                <w:rFonts w:ascii="Garamond" w:hAnsi="Garamond"/>
                <w:b/>
                <w:sz w:val="18"/>
              </w:rPr>
            </w:pPr>
          </w:p>
        </w:tc>
        <w:tc>
          <w:tcPr>
            <w:tcW w:w="2320" w:type="pct"/>
            <w:tcBorders>
              <w:top w:val="single" w:sz="4" w:space="0" w:color="000000"/>
              <w:left w:val="single" w:sz="4" w:space="0" w:color="000000"/>
              <w:bottom w:val="single" w:sz="4" w:space="0" w:color="000000"/>
              <w:right w:val="single" w:sz="4" w:space="0" w:color="000000"/>
            </w:tcBorders>
            <w:hideMark/>
          </w:tcPr>
          <w:p w14:paraId="4BF12ACC"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Gjithsej MSHMS</w:t>
            </w:r>
          </w:p>
        </w:tc>
        <w:tc>
          <w:tcPr>
            <w:tcW w:w="741" w:type="pct"/>
            <w:tcBorders>
              <w:top w:val="single" w:sz="4" w:space="0" w:color="000000"/>
              <w:left w:val="single" w:sz="4" w:space="0" w:color="000000"/>
              <w:bottom w:val="single" w:sz="4" w:space="0" w:color="000000"/>
              <w:right w:val="single" w:sz="4" w:space="0" w:color="000000"/>
            </w:tcBorders>
            <w:hideMark/>
          </w:tcPr>
          <w:p w14:paraId="7E03B450"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75.117.728</w:t>
            </w:r>
          </w:p>
        </w:tc>
        <w:tc>
          <w:tcPr>
            <w:tcW w:w="741" w:type="pct"/>
            <w:tcBorders>
              <w:top w:val="single" w:sz="4" w:space="0" w:color="000000"/>
              <w:left w:val="single" w:sz="4" w:space="0" w:color="000000"/>
              <w:bottom w:val="single" w:sz="4" w:space="0" w:color="000000"/>
              <w:right w:val="single" w:sz="4" w:space="0" w:color="000000"/>
            </w:tcBorders>
            <w:hideMark/>
          </w:tcPr>
          <w:p w14:paraId="6F2969F4"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75.874.128</w:t>
            </w:r>
          </w:p>
        </w:tc>
        <w:tc>
          <w:tcPr>
            <w:tcW w:w="741" w:type="pct"/>
            <w:tcBorders>
              <w:top w:val="single" w:sz="4" w:space="0" w:color="000000"/>
              <w:left w:val="single" w:sz="4" w:space="0" w:color="000000"/>
              <w:bottom w:val="single" w:sz="4" w:space="0" w:color="000000"/>
              <w:right w:val="single" w:sz="4" w:space="0" w:color="000000"/>
            </w:tcBorders>
            <w:hideMark/>
          </w:tcPr>
          <w:p w14:paraId="22D2B073"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76.481.028</w:t>
            </w:r>
          </w:p>
        </w:tc>
      </w:tr>
    </w:tbl>
    <w:p w14:paraId="1DE2E337" w14:textId="77777777" w:rsidR="00847F23" w:rsidRPr="00913E39" w:rsidRDefault="00847F23" w:rsidP="00FC4C60">
      <w:pPr>
        <w:spacing w:after="0" w:line="240" w:lineRule="auto"/>
        <w:ind w:firstLine="284"/>
        <w:jc w:val="both"/>
        <w:rPr>
          <w:rFonts w:ascii="Garamond" w:hAnsi="Garamond"/>
          <w:sz w:val="24"/>
        </w:rPr>
      </w:pPr>
    </w:p>
    <w:p w14:paraId="2433641D" w14:textId="52B56AA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Krahasuar me totalin e </w:t>
      </w:r>
      <w:r w:rsidR="00EE1211" w:rsidRPr="00913E39">
        <w:rPr>
          <w:rFonts w:ascii="Garamond" w:hAnsi="Garamond"/>
          <w:sz w:val="24"/>
        </w:rPr>
        <w:t>buxhetit të shtetit</w:t>
      </w:r>
      <w:r w:rsidRPr="00913E39">
        <w:rPr>
          <w:rFonts w:ascii="Garamond" w:hAnsi="Garamond"/>
          <w:sz w:val="24"/>
        </w:rPr>
        <w:t>, shpenzimet e buxhetit të MSHMS</w:t>
      </w:r>
      <w:r w:rsidR="00B333A0" w:rsidRPr="00913E39">
        <w:rPr>
          <w:rFonts w:ascii="Garamond" w:hAnsi="Garamond"/>
          <w:sz w:val="24"/>
        </w:rPr>
        <w:t>-së</w:t>
      </w:r>
      <w:r w:rsidRPr="00913E39">
        <w:rPr>
          <w:rFonts w:ascii="Garamond" w:hAnsi="Garamond"/>
          <w:sz w:val="24"/>
        </w:rPr>
        <w:t xml:space="preserve"> për vitin 2022 (të korrigjuara) përbëjnë 14,17% të </w:t>
      </w:r>
      <w:r w:rsidR="00EE1211" w:rsidRPr="00913E39">
        <w:rPr>
          <w:rFonts w:ascii="Garamond" w:hAnsi="Garamond"/>
          <w:sz w:val="24"/>
        </w:rPr>
        <w:t>buxhetit të shtetit</w:t>
      </w:r>
      <w:r w:rsidRPr="00913E39">
        <w:rPr>
          <w:rFonts w:ascii="Garamond" w:hAnsi="Garamond"/>
          <w:sz w:val="24"/>
        </w:rPr>
        <w:t xml:space="preserve">. Krahasuar me </w:t>
      </w:r>
      <w:r w:rsidR="00EE1211" w:rsidRPr="00913E39">
        <w:rPr>
          <w:rFonts w:ascii="Garamond" w:hAnsi="Garamond"/>
          <w:sz w:val="24"/>
        </w:rPr>
        <w:t xml:space="preserve">buxhetin e shtetit, </w:t>
      </w:r>
      <w:r w:rsidRPr="00913E39">
        <w:rPr>
          <w:rFonts w:ascii="Garamond" w:hAnsi="Garamond"/>
          <w:sz w:val="24"/>
        </w:rPr>
        <w:t>shpenzimet e planifikuara të MSHMS</w:t>
      </w:r>
      <w:r w:rsidR="003D5A7F" w:rsidRPr="00913E39">
        <w:rPr>
          <w:rFonts w:ascii="Garamond" w:hAnsi="Garamond"/>
          <w:sz w:val="24"/>
        </w:rPr>
        <w:t>-së</w:t>
      </w:r>
      <w:r w:rsidRPr="00913E39">
        <w:rPr>
          <w:rFonts w:ascii="Garamond" w:hAnsi="Garamond"/>
          <w:sz w:val="24"/>
        </w:rPr>
        <w:t xml:space="preserve"> sipas viteve (2023</w:t>
      </w:r>
      <w:r w:rsidR="00B333A0" w:rsidRPr="00913E39">
        <w:rPr>
          <w:rFonts w:ascii="Garamond" w:hAnsi="Garamond"/>
          <w:sz w:val="24"/>
        </w:rPr>
        <w:t>–</w:t>
      </w:r>
      <w:r w:rsidRPr="00913E39">
        <w:rPr>
          <w:rFonts w:ascii="Garamond" w:hAnsi="Garamond"/>
          <w:sz w:val="24"/>
        </w:rPr>
        <w:t>2025) janë si më poshtë:</w:t>
      </w:r>
    </w:p>
    <w:p w14:paraId="629469AD" w14:textId="708989E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vitin 2023: Për vitin 2023: 14,51% e totalit të </w:t>
      </w:r>
      <w:r w:rsidR="00EE1211" w:rsidRPr="00913E39">
        <w:rPr>
          <w:rFonts w:ascii="Garamond" w:hAnsi="Garamond"/>
          <w:sz w:val="24"/>
        </w:rPr>
        <w:t>buxhetit të shtetit</w:t>
      </w:r>
    </w:p>
    <w:p w14:paraId="72A6F413" w14:textId="12E6A36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vitin 2024: Për vitin 2023: 14,04% e totalit të </w:t>
      </w:r>
      <w:r w:rsidR="00EE1211" w:rsidRPr="00913E39">
        <w:rPr>
          <w:rFonts w:ascii="Garamond" w:hAnsi="Garamond"/>
          <w:sz w:val="24"/>
        </w:rPr>
        <w:t>buxhetit të shtetit</w:t>
      </w:r>
    </w:p>
    <w:p w14:paraId="09EE8221" w14:textId="0DBB95C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vitin 2025: Për vitin 2023: 13,54% e totalit të </w:t>
      </w:r>
      <w:r w:rsidR="00EE1211" w:rsidRPr="00913E39">
        <w:rPr>
          <w:rFonts w:ascii="Garamond" w:hAnsi="Garamond"/>
          <w:sz w:val="24"/>
        </w:rPr>
        <w:t>buxhetit të shtetit</w:t>
      </w:r>
    </w:p>
    <w:p w14:paraId="1E02DDF8" w14:textId="306977E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Shpenzimet për shëndetësinë në krahasim me </w:t>
      </w:r>
      <w:r w:rsidR="00EE1211" w:rsidRPr="00913E39">
        <w:rPr>
          <w:rFonts w:ascii="Garamond" w:hAnsi="Garamond"/>
          <w:sz w:val="24"/>
        </w:rPr>
        <w:t xml:space="preserve">prodhimin e brendshëm bruto </w:t>
      </w:r>
      <w:r w:rsidRPr="00913E39">
        <w:rPr>
          <w:rFonts w:ascii="Garamond" w:hAnsi="Garamond"/>
          <w:sz w:val="24"/>
        </w:rPr>
        <w:t xml:space="preserve">janë rritur nga 2.6 për qind në vitin 2013 në 3.7 për qind në vitin 2022. Kjo rritje është shënuar si rezultat i përmirësimeve të vazhdueshme në sistemin shëndetësor publik dhe financimit të sistemit shëndetësor që ka rezultuar edhe në uljen e shpenzimeve në xhepat e qytetarëve. </w:t>
      </w:r>
    </w:p>
    <w:p w14:paraId="6F0A2C7C" w14:textId="532A1E66"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265698" w:rsidRPr="00913E39">
        <w:rPr>
          <w:rFonts w:ascii="Garamond" w:hAnsi="Garamond"/>
          <w:i/>
          <w:sz w:val="24"/>
        </w:rPr>
        <w:t>f</w:t>
      </w:r>
      <w:r w:rsidRPr="00913E39">
        <w:rPr>
          <w:rFonts w:ascii="Garamond" w:hAnsi="Garamond"/>
          <w:i/>
          <w:sz w:val="24"/>
        </w:rPr>
        <w:t>usha e mbështetjes 1.2: D</w:t>
      </w:r>
      <w:r w:rsidR="00265698" w:rsidRPr="00913E39">
        <w:rPr>
          <w:rFonts w:ascii="Garamond" w:hAnsi="Garamond"/>
          <w:i/>
          <w:sz w:val="24"/>
        </w:rPr>
        <w:t>igj</w:t>
      </w:r>
      <w:r w:rsidRPr="00913E39">
        <w:rPr>
          <w:rFonts w:ascii="Garamond" w:hAnsi="Garamond"/>
          <w:i/>
          <w:sz w:val="24"/>
        </w:rPr>
        <w:t>italizimi arsimor</w:t>
      </w:r>
    </w:p>
    <w:p w14:paraId="7459967E" w14:textId="4FCA089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Sipas OECD</w:t>
      </w:r>
      <w:r w:rsidRPr="00913E39">
        <w:rPr>
          <w:rFonts w:ascii="Garamond" w:hAnsi="Garamond"/>
          <w:sz w:val="24"/>
          <w:vertAlign w:val="superscript"/>
        </w:rPr>
        <w:footnoteReference w:id="31"/>
      </w:r>
      <w:r w:rsidRPr="00913E39">
        <w:rPr>
          <w:rFonts w:ascii="Garamond" w:hAnsi="Garamond"/>
          <w:sz w:val="24"/>
        </w:rPr>
        <w:t xml:space="preserve">, investimet në arsim në Shqipëri kanë qenë relativisht të ulëta dhe nuk janë përkthyer me rezultatet e arsimit të nevojshëm për të pajisur njerëzit me aftësitë dhe besimin </w:t>
      </w:r>
      <w:bookmarkStart w:id="11" w:name="_Hlk148859216"/>
      <w:r w:rsidRPr="00913E39">
        <w:rPr>
          <w:rFonts w:ascii="Garamond" w:hAnsi="Garamond"/>
          <w:sz w:val="24"/>
        </w:rPr>
        <w:t xml:space="preserve">e duhur. Në vitin 2018, qeveria shpenzoi 3,2% të PBB-së për arsimin, </w:t>
      </w:r>
      <w:r w:rsidR="00265698" w:rsidRPr="00913E39">
        <w:rPr>
          <w:rFonts w:ascii="Garamond" w:hAnsi="Garamond"/>
          <w:sz w:val="24"/>
        </w:rPr>
        <w:t>m</w:t>
      </w:r>
      <w:r w:rsidRPr="00913E39">
        <w:rPr>
          <w:rFonts w:ascii="Garamond" w:hAnsi="Garamond"/>
          <w:sz w:val="24"/>
        </w:rPr>
        <w:t xml:space="preserve">ë 2019 përqindja e PBB-së </w:t>
      </w:r>
      <w:r w:rsidRPr="00913E39">
        <w:rPr>
          <w:rFonts w:ascii="Garamond" w:hAnsi="Garamond"/>
          <w:sz w:val="24"/>
        </w:rPr>
        <w:lastRenderedPageBreak/>
        <w:t>e shpenzuar për arsimin ka qenë 3,3; në vitin 2020 pesha e PBB-së për arsimin ka qenë 3.4 për qind dhe në vitet 2021</w:t>
      </w:r>
      <w:r w:rsidR="00787125" w:rsidRPr="00913E39">
        <w:rPr>
          <w:rFonts w:ascii="Garamond" w:hAnsi="Garamond"/>
          <w:sz w:val="24"/>
        </w:rPr>
        <w:t>–</w:t>
      </w:r>
      <w:r w:rsidRPr="00913E39">
        <w:rPr>
          <w:rFonts w:ascii="Garamond" w:hAnsi="Garamond"/>
          <w:sz w:val="24"/>
        </w:rPr>
        <w:t>2022 ka mbetur në 3.2 për qind.</w:t>
      </w:r>
    </w:p>
    <w:bookmarkEnd w:id="11"/>
    <w:p w14:paraId="2BEF4CF2" w14:textId="2C18500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E njëjta tendencë shpenzimesh parashikohet edhe për periudhën 2024</w:t>
      </w:r>
      <w:r w:rsidR="00265698" w:rsidRPr="00913E39">
        <w:rPr>
          <w:rFonts w:ascii="Garamond" w:hAnsi="Garamond"/>
          <w:sz w:val="24"/>
        </w:rPr>
        <w:t>–</w:t>
      </w:r>
      <w:r w:rsidRPr="00913E39">
        <w:rPr>
          <w:rFonts w:ascii="Garamond" w:hAnsi="Garamond"/>
          <w:sz w:val="24"/>
        </w:rPr>
        <w:t xml:space="preserve">2026, ku me </w:t>
      </w:r>
      <w:r w:rsidR="002A4403" w:rsidRPr="00913E39">
        <w:rPr>
          <w:rFonts w:ascii="Garamond" w:hAnsi="Garamond"/>
          <w:sz w:val="24"/>
        </w:rPr>
        <w:t>v</w:t>
      </w:r>
      <w:r w:rsidRPr="00913E39">
        <w:rPr>
          <w:rFonts w:ascii="Garamond" w:hAnsi="Garamond"/>
          <w:sz w:val="24"/>
        </w:rPr>
        <w:t>endimin e Këshillit të Ministrave nr. 195, datë 5.4.2023</w:t>
      </w:r>
      <w:r w:rsidR="00265698"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tavanet përgatitore të shpenzimeve të Programit Buxhetor Afatmesëm 2024</w:t>
      </w:r>
      <w:r w:rsidR="002A4403" w:rsidRPr="00913E39">
        <w:rPr>
          <w:rFonts w:ascii="Garamond" w:hAnsi="Garamond"/>
          <w:sz w:val="24"/>
        </w:rPr>
        <w:t>–</w:t>
      </w:r>
      <w:r w:rsidRPr="00913E39">
        <w:rPr>
          <w:rFonts w:ascii="Garamond" w:hAnsi="Garamond"/>
          <w:sz w:val="24"/>
        </w:rPr>
        <w:t>2026</w:t>
      </w:r>
      <w:r w:rsidR="00850FC7" w:rsidRPr="00913E39">
        <w:rPr>
          <w:rFonts w:ascii="Garamond" w:hAnsi="Garamond"/>
          <w:sz w:val="24"/>
        </w:rPr>
        <w:t>”</w:t>
      </w:r>
      <w:r w:rsidRPr="00913E39">
        <w:rPr>
          <w:rFonts w:ascii="Garamond" w:hAnsi="Garamond"/>
          <w:sz w:val="24"/>
        </w:rPr>
        <w:t xml:space="preserve"> parashikohet që shpenzimet për arsimin për këtë periudhë të përbëjnë 3.1% dhe 3.2% e PBB-së.</w:t>
      </w:r>
    </w:p>
    <w:p w14:paraId="1667AC6B" w14:textId="77777777" w:rsidR="00847F23" w:rsidRPr="00913E39" w:rsidRDefault="00847F23" w:rsidP="00FC4C60">
      <w:pPr>
        <w:spacing w:after="0" w:line="240" w:lineRule="auto"/>
        <w:ind w:firstLine="284"/>
        <w:jc w:val="both"/>
        <w:rPr>
          <w:rFonts w:ascii="Garamond" w:hAnsi="Garamond"/>
          <w:sz w:val="24"/>
        </w:rPr>
      </w:pPr>
    </w:p>
    <w:p w14:paraId="224E49CF" w14:textId="3B47B966" w:rsidR="00847F23" w:rsidRPr="00913E39" w:rsidRDefault="00847F23" w:rsidP="00FC4C60">
      <w:pPr>
        <w:spacing w:after="0" w:line="240" w:lineRule="auto"/>
        <w:ind w:firstLine="284"/>
        <w:jc w:val="both"/>
        <w:rPr>
          <w:rFonts w:ascii="Garamond" w:hAnsi="Garamond"/>
          <w:b/>
          <w:i/>
          <w:sz w:val="24"/>
        </w:rPr>
      </w:pPr>
      <w:r w:rsidRPr="00913E39">
        <w:rPr>
          <w:rFonts w:ascii="Garamond" w:hAnsi="Garamond"/>
          <w:i/>
          <w:sz w:val="24"/>
        </w:rPr>
        <w:t>Figura 3</w:t>
      </w:r>
      <w:r w:rsidR="00787125" w:rsidRPr="00913E39">
        <w:rPr>
          <w:rFonts w:ascii="Garamond" w:hAnsi="Garamond"/>
          <w:i/>
          <w:sz w:val="24"/>
        </w:rPr>
        <w:t>.</w:t>
      </w:r>
      <w:r w:rsidRPr="00913E39">
        <w:rPr>
          <w:rFonts w:ascii="Garamond" w:hAnsi="Garamond"/>
          <w:i/>
          <w:sz w:val="24"/>
        </w:rPr>
        <w:t xml:space="preserve"> Investime për arsimin si % e PBB për periudhën 2007</w:t>
      </w:r>
      <w:r w:rsidR="00787125" w:rsidRPr="00913E39">
        <w:rPr>
          <w:rFonts w:ascii="Garamond" w:hAnsi="Garamond"/>
          <w:i/>
          <w:sz w:val="24"/>
        </w:rPr>
        <w:t>–</w:t>
      </w:r>
      <w:r w:rsidRPr="00913E39">
        <w:rPr>
          <w:rFonts w:ascii="Garamond" w:hAnsi="Garamond"/>
          <w:i/>
          <w:sz w:val="24"/>
        </w:rPr>
        <w:t xml:space="preserve">2023 </w:t>
      </w:r>
    </w:p>
    <w:p w14:paraId="307241DF" w14:textId="77777777" w:rsidR="00847F23" w:rsidRPr="00913E39" w:rsidRDefault="00847F23" w:rsidP="007C41EB">
      <w:pPr>
        <w:spacing w:after="0" w:line="240" w:lineRule="auto"/>
        <w:rPr>
          <w:rFonts w:ascii="Garamond" w:hAnsi="Garamond"/>
          <w:b/>
          <w:sz w:val="24"/>
        </w:rPr>
      </w:pPr>
      <w:r w:rsidRPr="00913E39">
        <w:rPr>
          <w:rFonts w:ascii="Garamond" w:eastAsia="Times New Roman" w:hAnsi="Garamond" w:cs="Times New Roman"/>
          <w:b/>
          <w:noProof/>
          <w:sz w:val="24"/>
          <w:szCs w:val="24"/>
          <w:lang w:eastAsia="sq-AL"/>
        </w:rPr>
        <w:drawing>
          <wp:inline distT="0" distB="0" distL="0" distR="0" wp14:anchorId="55E40E1F" wp14:editId="28FE9AB9">
            <wp:extent cx="3562350" cy="22479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84055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62350" cy="2247900"/>
                    </a:xfrm>
                    <a:prstGeom prst="rect">
                      <a:avLst/>
                    </a:prstGeom>
                    <a:noFill/>
                    <a:ln>
                      <a:noFill/>
                    </a:ln>
                  </pic:spPr>
                </pic:pic>
              </a:graphicData>
            </a:graphic>
          </wp:inline>
        </w:drawing>
      </w:r>
    </w:p>
    <w:p w14:paraId="2A55E047" w14:textId="77777777" w:rsidR="00847F23" w:rsidRPr="00913E39" w:rsidRDefault="00847F23" w:rsidP="00FC4C60">
      <w:pPr>
        <w:spacing w:after="0" w:line="240" w:lineRule="auto"/>
        <w:ind w:firstLine="284"/>
        <w:jc w:val="both"/>
        <w:rPr>
          <w:rFonts w:ascii="Garamond" w:hAnsi="Garamond"/>
          <w:sz w:val="24"/>
        </w:rPr>
      </w:pPr>
    </w:p>
    <w:p w14:paraId="3B89DC95" w14:textId="24D7BAB4"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Figura 4</w:t>
      </w:r>
      <w:r w:rsidR="00787125" w:rsidRPr="00913E39">
        <w:rPr>
          <w:rFonts w:ascii="Garamond" w:hAnsi="Garamond"/>
          <w:i/>
          <w:sz w:val="24"/>
        </w:rPr>
        <w:t>.</w:t>
      </w:r>
      <w:r w:rsidRPr="00913E39">
        <w:rPr>
          <w:rFonts w:ascii="Garamond" w:hAnsi="Garamond"/>
          <w:i/>
          <w:sz w:val="24"/>
        </w:rPr>
        <w:t xml:space="preserve"> Investime për arsimin si % e </w:t>
      </w:r>
      <w:r w:rsidR="00787125" w:rsidRPr="00913E39">
        <w:rPr>
          <w:rFonts w:ascii="Garamond" w:hAnsi="Garamond"/>
          <w:i/>
          <w:sz w:val="24"/>
        </w:rPr>
        <w:t xml:space="preserve">shpenzimeve publike </w:t>
      </w:r>
      <w:r w:rsidRPr="00913E39">
        <w:rPr>
          <w:rFonts w:ascii="Garamond" w:hAnsi="Garamond"/>
          <w:i/>
          <w:sz w:val="24"/>
        </w:rPr>
        <w:t>për periudhën 2007</w:t>
      </w:r>
      <w:r w:rsidR="00787125" w:rsidRPr="00913E39">
        <w:rPr>
          <w:rFonts w:ascii="Garamond" w:hAnsi="Garamond"/>
          <w:i/>
          <w:sz w:val="24"/>
        </w:rPr>
        <w:t>–</w:t>
      </w:r>
      <w:r w:rsidRPr="00913E39">
        <w:rPr>
          <w:rFonts w:ascii="Garamond" w:hAnsi="Garamond"/>
          <w:i/>
          <w:sz w:val="24"/>
        </w:rPr>
        <w:t>2023</w:t>
      </w:r>
    </w:p>
    <w:p w14:paraId="32E02356" w14:textId="77777777" w:rsidR="00847F23" w:rsidRPr="00913E39" w:rsidRDefault="00847F23" w:rsidP="007C41EB">
      <w:pPr>
        <w:spacing w:after="0" w:line="240" w:lineRule="auto"/>
        <w:rPr>
          <w:rFonts w:ascii="Garamond" w:hAnsi="Garamond"/>
          <w:b/>
          <w:sz w:val="24"/>
        </w:rPr>
      </w:pPr>
      <w:r w:rsidRPr="00913E39">
        <w:rPr>
          <w:rFonts w:ascii="Garamond" w:eastAsia="Times New Roman" w:hAnsi="Garamond" w:cs="Times New Roman"/>
          <w:b/>
          <w:noProof/>
          <w:sz w:val="24"/>
          <w:szCs w:val="24"/>
          <w:lang w:eastAsia="sq-AL"/>
        </w:rPr>
        <w:drawing>
          <wp:inline distT="0" distB="0" distL="0" distR="0" wp14:anchorId="4A826E6B" wp14:editId="08D2D617">
            <wp:extent cx="3495675" cy="2314575"/>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72740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95675" cy="2314575"/>
                    </a:xfrm>
                    <a:prstGeom prst="rect">
                      <a:avLst/>
                    </a:prstGeom>
                    <a:noFill/>
                    <a:ln>
                      <a:noFill/>
                    </a:ln>
                  </pic:spPr>
                </pic:pic>
              </a:graphicData>
            </a:graphic>
          </wp:inline>
        </w:drawing>
      </w:r>
    </w:p>
    <w:p w14:paraId="5BB86099" w14:textId="77777777" w:rsidR="00847F23" w:rsidRPr="00913E39" w:rsidRDefault="00847F23" w:rsidP="00FC4C60">
      <w:pPr>
        <w:spacing w:after="0" w:line="240" w:lineRule="auto"/>
        <w:ind w:firstLine="284"/>
        <w:jc w:val="both"/>
        <w:rPr>
          <w:rFonts w:ascii="Garamond" w:hAnsi="Garamond"/>
          <w:b/>
          <w:sz w:val="24"/>
        </w:rPr>
      </w:pPr>
    </w:p>
    <w:p w14:paraId="4B5EBCED" w14:textId="35E99DF3"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2: Integrimi me sistemet e teknologjisë së informacionit të BE-së, siguria kibernetike dhe ndërlidhje digjitale</w:t>
      </w:r>
    </w:p>
    <w:p w14:paraId="0C82A6CB" w14:textId="71F7439C"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3D5A7F" w:rsidRPr="00913E39">
        <w:rPr>
          <w:rFonts w:ascii="Garamond" w:hAnsi="Garamond"/>
          <w:i/>
          <w:sz w:val="24"/>
        </w:rPr>
        <w:t>f</w:t>
      </w:r>
      <w:r w:rsidRPr="00913E39">
        <w:rPr>
          <w:rFonts w:ascii="Garamond" w:hAnsi="Garamond"/>
          <w:i/>
          <w:sz w:val="24"/>
        </w:rPr>
        <w:t>usha e mbështetjes 2.1: Tatimet</w:t>
      </w:r>
    </w:p>
    <w:p w14:paraId="0B45734B" w14:textId="5BD3796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Programi Buxhetor Afatmesëm i Qeverisë (PBA) në Shqipëri është krijuar me </w:t>
      </w:r>
      <w:r w:rsidR="003D5A7F" w:rsidRPr="00913E39">
        <w:rPr>
          <w:rFonts w:ascii="Garamond" w:hAnsi="Garamond"/>
          <w:sz w:val="24"/>
        </w:rPr>
        <w:t xml:space="preserve">ligjin për menaxhimin e sistemit buxhetor </w:t>
      </w:r>
      <w:r w:rsidRPr="00913E39">
        <w:rPr>
          <w:rFonts w:ascii="Garamond" w:hAnsi="Garamond"/>
          <w:sz w:val="24"/>
        </w:rPr>
        <w:t xml:space="preserve">(MSB), i miratuar në vitin 2008, i cili ofron specifikime të qarta ligjore për financimin e programit, përcakton përgatitjen e buxhetit dhe kalendarin e përcaktuar të monitorimit, qartëson rolet dhe përgjegjësitë financiare, dhe cakton </w:t>
      </w:r>
      <w:r w:rsidR="00850FC7" w:rsidRPr="00913E39">
        <w:rPr>
          <w:rFonts w:ascii="Garamond" w:eastAsia="Times New Roman" w:hAnsi="Garamond" w:cs="Times New Roman"/>
          <w:sz w:val="24"/>
          <w:szCs w:val="24"/>
        </w:rPr>
        <w:t>“</w:t>
      </w:r>
      <w:r w:rsidRPr="00913E39">
        <w:rPr>
          <w:rFonts w:ascii="Garamond" w:hAnsi="Garamond"/>
          <w:sz w:val="24"/>
        </w:rPr>
        <w:t xml:space="preserve">Nëpunësin </w:t>
      </w:r>
      <w:r w:rsidR="003D5A7F" w:rsidRPr="00913E39">
        <w:rPr>
          <w:rFonts w:ascii="Garamond" w:hAnsi="Garamond"/>
          <w:sz w:val="24"/>
        </w:rPr>
        <w:t>a</w:t>
      </w:r>
      <w:r w:rsidRPr="00913E39">
        <w:rPr>
          <w:rFonts w:ascii="Garamond" w:hAnsi="Garamond"/>
          <w:sz w:val="24"/>
        </w:rPr>
        <w:t>utorizues</w:t>
      </w:r>
      <w:r w:rsidR="00850FC7" w:rsidRPr="00913E39">
        <w:rPr>
          <w:rFonts w:ascii="Garamond" w:eastAsia="Times New Roman" w:hAnsi="Garamond" w:cs="Times New Roman"/>
          <w:sz w:val="24"/>
          <w:szCs w:val="24"/>
        </w:rPr>
        <w:t>”</w:t>
      </w:r>
      <w:r w:rsidRPr="00913E39">
        <w:rPr>
          <w:rFonts w:ascii="Garamond" w:hAnsi="Garamond"/>
          <w:sz w:val="24"/>
        </w:rPr>
        <w:t xml:space="preserve"> për çdo institucion financiar. Në PBA 2023</w:t>
      </w:r>
      <w:r w:rsidR="00AC1E29" w:rsidRPr="00913E39">
        <w:rPr>
          <w:rFonts w:ascii="Garamond" w:hAnsi="Garamond"/>
          <w:sz w:val="24"/>
        </w:rPr>
        <w:t>–</w:t>
      </w:r>
      <w:r w:rsidRPr="00913E39">
        <w:rPr>
          <w:rFonts w:ascii="Garamond" w:hAnsi="Garamond"/>
          <w:sz w:val="24"/>
        </w:rPr>
        <w:t xml:space="preserve">2025, kërkesat e klasifikimit financiar përcaktohen nga neni 11 i ligjit të MBP-së dhe specifikohen nga </w:t>
      </w:r>
      <w:r w:rsidR="00AE3721" w:rsidRPr="00913E39">
        <w:rPr>
          <w:rFonts w:ascii="Garamond" w:hAnsi="Garamond"/>
          <w:sz w:val="24"/>
        </w:rPr>
        <w:t>m</w:t>
      </w:r>
      <w:r w:rsidRPr="00913E39">
        <w:rPr>
          <w:rFonts w:ascii="Garamond" w:hAnsi="Garamond"/>
          <w:sz w:val="24"/>
        </w:rPr>
        <w:t>inistri i Financave dhe Ekonomisë në përputhje me standardet ndërkombëtare. Klasifikimet buxhetore duhet të mbulojnë minimalisht burimet administrative, ekonomike, funksionale, të bazuara në programe dhe financim. Në PBA-në aktuale 2023</w:t>
      </w:r>
      <w:r w:rsidR="00961E3E" w:rsidRPr="00913E39">
        <w:rPr>
          <w:rFonts w:ascii="Garamond" w:hAnsi="Garamond"/>
          <w:sz w:val="24"/>
        </w:rPr>
        <w:t>–</w:t>
      </w:r>
      <w:r w:rsidRPr="00913E39">
        <w:rPr>
          <w:rFonts w:ascii="Garamond" w:hAnsi="Garamond"/>
          <w:sz w:val="24"/>
        </w:rPr>
        <w:t>2025, MFE</w:t>
      </w:r>
      <w:r w:rsidR="006E715F" w:rsidRPr="00913E39">
        <w:rPr>
          <w:rFonts w:ascii="Garamond" w:hAnsi="Garamond"/>
          <w:sz w:val="24"/>
        </w:rPr>
        <w:t>-ja</w:t>
      </w:r>
      <w:r w:rsidRPr="00913E39">
        <w:rPr>
          <w:rFonts w:ascii="Garamond" w:hAnsi="Garamond"/>
          <w:sz w:val="24"/>
        </w:rPr>
        <w:t xml:space="preserve"> ka zhvilluar buxhetin e saj (në lidhje me fushën e politikave tatimore) në shtator/tetor 2022, në përputhje me kufijtë e shpenzimeve dhe udhëzimet buxhetore. PBA-ja e MFE-së përshkruan programet, nënprogramet dhe projektet sipas objektivave të njësive qeveritare. PBA-ja e plotë paraqet objektivat e secilit program, fondet e alokuara për programin dhe rezultatet </w:t>
      </w:r>
      <w:r w:rsidRPr="00913E39">
        <w:rPr>
          <w:rFonts w:ascii="Garamond" w:hAnsi="Garamond"/>
          <w:sz w:val="24"/>
        </w:rPr>
        <w:lastRenderedPageBreak/>
        <w:t xml:space="preserve">e synuara të programit. Integrimi i programit buxhetor </w:t>
      </w:r>
      <w:r w:rsidR="006E715F" w:rsidRPr="00913E39">
        <w:rPr>
          <w:rFonts w:ascii="Garamond" w:hAnsi="Garamond"/>
          <w:sz w:val="24"/>
        </w:rPr>
        <w:t>të menaxhimit të të ardhurave tatimore në programet buxhetore afatmesme siguron një</w:t>
      </w:r>
      <w:r w:rsidRPr="00913E39">
        <w:rPr>
          <w:rFonts w:ascii="Garamond" w:hAnsi="Garamond"/>
          <w:sz w:val="24"/>
        </w:rPr>
        <w:t xml:space="preserve"> qasje të harmonizuar dhe të unifikuar në fushën e politikave tatimore.</w:t>
      </w:r>
    </w:p>
    <w:p w14:paraId="0264CAE8" w14:textId="6AFC0F3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Qëllimi i </w:t>
      </w:r>
      <w:r w:rsidR="00AC1E29" w:rsidRPr="00913E39">
        <w:rPr>
          <w:rFonts w:ascii="Garamond" w:hAnsi="Garamond"/>
          <w:sz w:val="24"/>
        </w:rPr>
        <w:t xml:space="preserve">menaxhimit të të ardhurave tatimore </w:t>
      </w:r>
      <w:r w:rsidRPr="00913E39">
        <w:rPr>
          <w:rFonts w:ascii="Garamond" w:hAnsi="Garamond"/>
          <w:sz w:val="24"/>
        </w:rPr>
        <w:t xml:space="preserve">është përmirësimi i mbledhjes dhe administrimit të të ardhurave tatimore, taksave kombëtare dhe kontributeve të sigurimeve shoqërore, përfshirë kujdesin shëndetësor, në Republikën e Shqipërisë. </w:t>
      </w:r>
    </w:p>
    <w:p w14:paraId="6FC8E4C5" w14:textId="6EA3D48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Qëllimi i këtij programi buxhetor është të ofrojë mbështetje financiare për rritjen e aftësive organizative të </w:t>
      </w:r>
      <w:r w:rsidR="006D1036" w:rsidRPr="00913E39">
        <w:rPr>
          <w:rFonts w:ascii="Garamond" w:hAnsi="Garamond"/>
          <w:sz w:val="24"/>
        </w:rPr>
        <w:t xml:space="preserve">administratës tatimore </w:t>
      </w:r>
      <w:r w:rsidRPr="00913E39">
        <w:rPr>
          <w:rFonts w:ascii="Garamond" w:hAnsi="Garamond"/>
          <w:sz w:val="24"/>
        </w:rPr>
        <w:t>dhe zhvillimin e kapaciteteve njerëzore. Kjo përfshin zbatimin e metodave dhe sistemeve të reja, modernizimin e operacioneve, ofrimin e shërbimeve me cilësi të lartë dhe reduktimin e barrës administrative që lidhet me taksat dhe pagesat e sigurimeve shoqërore. Këto përpjekje kontribuojnë në rritjen e ndërgjegjësimit të publikut dhe në kultivimin e një kulture të përmbushjes vullnetare.</w:t>
      </w:r>
    </w:p>
    <w:p w14:paraId="08FD462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Programi fokusohet gjithashtu në zbatimin efektiv të legjislacionit tatimor dhe të sigurimeve shoqërore, me vëmendje të veçantë në hetimin e rasteve të evazionit fiskal. Ai përfshin një strategji gjithëpërfshirëse për realizimin e menaxhimit të riskut duke rritur më tej masat e kontrollit tatimor dhe duke forcuar zbulimin e mashtrimit tatimor. Për më tepër, programi thekson rëndësinë e proceseve efikase dhe të thjeshta të mbledhjes së borxhit.</w:t>
      </w:r>
    </w:p>
    <w:p w14:paraId="7778A51F" w14:textId="46EC0486"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Tabela 4</w:t>
      </w:r>
      <w:r w:rsidR="00AC1E29" w:rsidRPr="00913E39">
        <w:rPr>
          <w:rFonts w:ascii="Garamond" w:hAnsi="Garamond"/>
          <w:i/>
          <w:sz w:val="24"/>
        </w:rPr>
        <w:t>.</w:t>
      </w:r>
      <w:r w:rsidRPr="00913E39">
        <w:rPr>
          <w:rFonts w:ascii="Garamond" w:hAnsi="Garamond"/>
          <w:i/>
          <w:sz w:val="24"/>
        </w:rPr>
        <w:t xml:space="preserve"> Buxheti vjetor i DPT</w:t>
      </w:r>
      <w:r w:rsidR="00AC1E29" w:rsidRPr="00913E39">
        <w:rPr>
          <w:rFonts w:ascii="Garamond" w:hAnsi="Garamond"/>
          <w:i/>
          <w:sz w:val="24"/>
        </w:rPr>
        <w:t>-së</w:t>
      </w:r>
      <w:r w:rsidRPr="00913E39">
        <w:rPr>
          <w:rFonts w:ascii="Garamond" w:hAnsi="Garamond"/>
          <w:i/>
          <w:sz w:val="24"/>
        </w:rPr>
        <w:t xml:space="preserve"> për periudhën 2023</w:t>
      </w:r>
      <w:r w:rsidR="00AC1E29" w:rsidRPr="00913E39">
        <w:rPr>
          <w:rFonts w:ascii="Garamond" w:hAnsi="Garamond"/>
          <w:i/>
          <w:sz w:val="24"/>
        </w:rPr>
        <w:t>–</w:t>
      </w:r>
      <w:r w:rsidRPr="00913E39">
        <w:rPr>
          <w:rFonts w:ascii="Garamond" w:hAnsi="Garamond"/>
          <w:i/>
          <w:sz w:val="24"/>
        </w:rPr>
        <w:t>2025 (Eur)</w:t>
      </w:r>
    </w:p>
    <w:tbl>
      <w:tblPr>
        <w:tblW w:w="7971" w:type="dxa"/>
        <w:tblInd w:w="274" w:type="dxa"/>
        <w:tblLook w:val="04A0" w:firstRow="1" w:lastRow="0" w:firstColumn="1" w:lastColumn="0" w:noHBand="0" w:noVBand="1"/>
      </w:tblPr>
      <w:tblGrid>
        <w:gridCol w:w="3451"/>
        <w:gridCol w:w="1600"/>
        <w:gridCol w:w="1380"/>
        <w:gridCol w:w="1540"/>
      </w:tblGrid>
      <w:tr w:rsidR="00847F23" w:rsidRPr="00913E39" w14:paraId="66D810B2" w14:textId="77777777" w:rsidTr="00AC1E29">
        <w:trPr>
          <w:trHeight w:val="20"/>
        </w:trPr>
        <w:tc>
          <w:tcPr>
            <w:tcW w:w="345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A63927E"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w:t>
            </w:r>
          </w:p>
        </w:tc>
        <w:tc>
          <w:tcPr>
            <w:tcW w:w="1600" w:type="dxa"/>
            <w:tcBorders>
              <w:top w:val="single" w:sz="8" w:space="0" w:color="auto"/>
              <w:left w:val="nil"/>
              <w:bottom w:val="single" w:sz="8" w:space="0" w:color="auto"/>
              <w:right w:val="single" w:sz="8" w:space="0" w:color="auto"/>
            </w:tcBorders>
            <w:shd w:val="clear" w:color="auto" w:fill="auto"/>
            <w:vAlign w:val="center"/>
            <w:hideMark/>
          </w:tcPr>
          <w:p w14:paraId="08F7CBE9"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2023</w:t>
            </w:r>
          </w:p>
        </w:tc>
        <w:tc>
          <w:tcPr>
            <w:tcW w:w="1380" w:type="dxa"/>
            <w:tcBorders>
              <w:top w:val="single" w:sz="8" w:space="0" w:color="auto"/>
              <w:left w:val="nil"/>
              <w:bottom w:val="single" w:sz="8" w:space="0" w:color="auto"/>
              <w:right w:val="single" w:sz="8" w:space="0" w:color="auto"/>
            </w:tcBorders>
            <w:shd w:val="clear" w:color="auto" w:fill="auto"/>
            <w:vAlign w:val="center"/>
            <w:hideMark/>
          </w:tcPr>
          <w:p w14:paraId="25565ED8"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2024</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14:paraId="7D815CF5"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2025</w:t>
            </w:r>
          </w:p>
        </w:tc>
      </w:tr>
      <w:tr w:rsidR="00847F23" w:rsidRPr="00913E39" w14:paraId="55AAEB2E" w14:textId="77777777" w:rsidTr="00AC1E29">
        <w:trPr>
          <w:trHeight w:val="20"/>
        </w:trPr>
        <w:tc>
          <w:tcPr>
            <w:tcW w:w="3451" w:type="dxa"/>
            <w:tcBorders>
              <w:top w:val="nil"/>
              <w:left w:val="single" w:sz="8" w:space="0" w:color="auto"/>
              <w:bottom w:val="single" w:sz="8" w:space="0" w:color="auto"/>
              <w:right w:val="single" w:sz="8" w:space="0" w:color="auto"/>
            </w:tcBorders>
            <w:shd w:val="clear" w:color="auto" w:fill="auto"/>
            <w:vAlign w:val="center"/>
            <w:hideMark/>
          </w:tcPr>
          <w:p w14:paraId="0A0579DF"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Shpenzimet operative </w:t>
            </w:r>
          </w:p>
        </w:tc>
        <w:tc>
          <w:tcPr>
            <w:tcW w:w="1600" w:type="dxa"/>
            <w:tcBorders>
              <w:top w:val="nil"/>
              <w:left w:val="nil"/>
              <w:bottom w:val="single" w:sz="8" w:space="0" w:color="auto"/>
              <w:right w:val="single" w:sz="8" w:space="0" w:color="auto"/>
            </w:tcBorders>
            <w:shd w:val="clear" w:color="auto" w:fill="auto"/>
            <w:vAlign w:val="center"/>
            <w:hideMark/>
          </w:tcPr>
          <w:p w14:paraId="0F21277F"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11.926.812 </w:t>
            </w:r>
          </w:p>
        </w:tc>
        <w:tc>
          <w:tcPr>
            <w:tcW w:w="1380" w:type="dxa"/>
            <w:tcBorders>
              <w:top w:val="nil"/>
              <w:left w:val="nil"/>
              <w:bottom w:val="single" w:sz="8" w:space="0" w:color="auto"/>
              <w:right w:val="single" w:sz="8" w:space="0" w:color="auto"/>
            </w:tcBorders>
            <w:shd w:val="clear" w:color="auto" w:fill="auto"/>
            <w:vAlign w:val="center"/>
            <w:hideMark/>
          </w:tcPr>
          <w:p w14:paraId="05F4F18E"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12.070.019 </w:t>
            </w:r>
          </w:p>
        </w:tc>
        <w:tc>
          <w:tcPr>
            <w:tcW w:w="1540" w:type="dxa"/>
            <w:tcBorders>
              <w:top w:val="nil"/>
              <w:left w:val="nil"/>
              <w:bottom w:val="single" w:sz="8" w:space="0" w:color="auto"/>
              <w:right w:val="single" w:sz="8" w:space="0" w:color="auto"/>
            </w:tcBorders>
            <w:shd w:val="clear" w:color="auto" w:fill="auto"/>
            <w:vAlign w:val="center"/>
            <w:hideMark/>
          </w:tcPr>
          <w:p w14:paraId="20E393D4"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12.331.936 </w:t>
            </w:r>
          </w:p>
        </w:tc>
      </w:tr>
      <w:tr w:rsidR="00847F23" w:rsidRPr="00913E39" w14:paraId="2CA22A0F" w14:textId="77777777" w:rsidTr="00AC1E29">
        <w:trPr>
          <w:trHeight w:val="20"/>
        </w:trPr>
        <w:tc>
          <w:tcPr>
            <w:tcW w:w="3451" w:type="dxa"/>
            <w:tcBorders>
              <w:top w:val="nil"/>
              <w:left w:val="single" w:sz="8" w:space="0" w:color="auto"/>
              <w:bottom w:val="single" w:sz="8" w:space="0" w:color="auto"/>
              <w:right w:val="single" w:sz="8" w:space="0" w:color="auto"/>
            </w:tcBorders>
            <w:shd w:val="clear" w:color="auto" w:fill="auto"/>
            <w:vAlign w:val="center"/>
            <w:hideMark/>
          </w:tcPr>
          <w:p w14:paraId="190D2246"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Shpenzime kapitale </w:t>
            </w:r>
          </w:p>
        </w:tc>
        <w:tc>
          <w:tcPr>
            <w:tcW w:w="1600" w:type="dxa"/>
            <w:tcBorders>
              <w:top w:val="nil"/>
              <w:left w:val="nil"/>
              <w:bottom w:val="single" w:sz="8" w:space="0" w:color="auto"/>
              <w:right w:val="single" w:sz="8" w:space="0" w:color="auto"/>
            </w:tcBorders>
            <w:shd w:val="clear" w:color="auto" w:fill="auto"/>
            <w:vAlign w:val="center"/>
            <w:hideMark/>
          </w:tcPr>
          <w:p w14:paraId="27E893C0"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3.449.275 </w:t>
            </w:r>
          </w:p>
        </w:tc>
        <w:tc>
          <w:tcPr>
            <w:tcW w:w="1380" w:type="dxa"/>
            <w:tcBorders>
              <w:top w:val="nil"/>
              <w:left w:val="nil"/>
              <w:bottom w:val="single" w:sz="8" w:space="0" w:color="auto"/>
              <w:right w:val="single" w:sz="8" w:space="0" w:color="auto"/>
            </w:tcBorders>
            <w:shd w:val="clear" w:color="auto" w:fill="auto"/>
            <w:vAlign w:val="center"/>
            <w:hideMark/>
          </w:tcPr>
          <w:p w14:paraId="2078E8B2"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724.638 </w:t>
            </w:r>
          </w:p>
        </w:tc>
        <w:tc>
          <w:tcPr>
            <w:tcW w:w="1540" w:type="dxa"/>
            <w:tcBorders>
              <w:top w:val="nil"/>
              <w:left w:val="nil"/>
              <w:bottom w:val="single" w:sz="8" w:space="0" w:color="auto"/>
              <w:right w:val="single" w:sz="8" w:space="0" w:color="auto"/>
            </w:tcBorders>
            <w:shd w:val="clear" w:color="auto" w:fill="auto"/>
            <w:vAlign w:val="center"/>
            <w:hideMark/>
          </w:tcPr>
          <w:p w14:paraId="5983B421"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724.638 </w:t>
            </w:r>
          </w:p>
        </w:tc>
      </w:tr>
      <w:tr w:rsidR="00847F23" w:rsidRPr="00913E39" w14:paraId="59F7CC79" w14:textId="77777777" w:rsidTr="00AC1E29">
        <w:trPr>
          <w:trHeight w:val="20"/>
        </w:trPr>
        <w:tc>
          <w:tcPr>
            <w:tcW w:w="3451" w:type="dxa"/>
            <w:tcBorders>
              <w:top w:val="nil"/>
              <w:left w:val="single" w:sz="8" w:space="0" w:color="auto"/>
              <w:bottom w:val="single" w:sz="8" w:space="0" w:color="auto"/>
              <w:right w:val="single" w:sz="8" w:space="0" w:color="auto"/>
            </w:tcBorders>
            <w:shd w:val="clear" w:color="auto" w:fill="auto"/>
            <w:vAlign w:val="center"/>
            <w:hideMark/>
          </w:tcPr>
          <w:p w14:paraId="643453A5"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Gjithsej</w:t>
            </w:r>
          </w:p>
        </w:tc>
        <w:tc>
          <w:tcPr>
            <w:tcW w:w="1600" w:type="dxa"/>
            <w:tcBorders>
              <w:top w:val="nil"/>
              <w:left w:val="nil"/>
              <w:bottom w:val="single" w:sz="8" w:space="0" w:color="auto"/>
              <w:right w:val="single" w:sz="8" w:space="0" w:color="auto"/>
            </w:tcBorders>
            <w:shd w:val="clear" w:color="auto" w:fill="auto"/>
            <w:vAlign w:val="center"/>
            <w:hideMark/>
          </w:tcPr>
          <w:p w14:paraId="4679C4BF"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15.376.087 </w:t>
            </w:r>
          </w:p>
        </w:tc>
        <w:tc>
          <w:tcPr>
            <w:tcW w:w="1380" w:type="dxa"/>
            <w:tcBorders>
              <w:top w:val="nil"/>
              <w:left w:val="nil"/>
              <w:bottom w:val="single" w:sz="8" w:space="0" w:color="auto"/>
              <w:right w:val="single" w:sz="8" w:space="0" w:color="auto"/>
            </w:tcBorders>
            <w:shd w:val="clear" w:color="auto" w:fill="auto"/>
            <w:vAlign w:val="center"/>
            <w:hideMark/>
          </w:tcPr>
          <w:p w14:paraId="487DAB21"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12.794.657 </w:t>
            </w:r>
          </w:p>
        </w:tc>
        <w:tc>
          <w:tcPr>
            <w:tcW w:w="1540" w:type="dxa"/>
            <w:tcBorders>
              <w:top w:val="nil"/>
              <w:left w:val="nil"/>
              <w:bottom w:val="single" w:sz="8" w:space="0" w:color="auto"/>
              <w:right w:val="single" w:sz="8" w:space="0" w:color="auto"/>
            </w:tcBorders>
            <w:shd w:val="clear" w:color="auto" w:fill="auto"/>
            <w:vAlign w:val="center"/>
            <w:hideMark/>
          </w:tcPr>
          <w:p w14:paraId="181ADF5E"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13.056.574 </w:t>
            </w:r>
          </w:p>
        </w:tc>
      </w:tr>
      <w:tr w:rsidR="00847F23" w:rsidRPr="00913E39" w14:paraId="45FD5F51" w14:textId="77777777" w:rsidTr="00AC1E29">
        <w:trPr>
          <w:trHeight w:val="20"/>
        </w:trPr>
        <w:tc>
          <w:tcPr>
            <w:tcW w:w="3451" w:type="dxa"/>
            <w:tcBorders>
              <w:top w:val="nil"/>
              <w:left w:val="single" w:sz="8" w:space="0" w:color="auto"/>
              <w:bottom w:val="single" w:sz="8" w:space="0" w:color="auto"/>
              <w:right w:val="single" w:sz="8" w:space="0" w:color="auto"/>
            </w:tcBorders>
            <w:shd w:val="clear" w:color="auto" w:fill="auto"/>
            <w:vAlign w:val="center"/>
            <w:hideMark/>
          </w:tcPr>
          <w:p w14:paraId="126C280F"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Sistem IT </w:t>
            </w:r>
          </w:p>
        </w:tc>
        <w:tc>
          <w:tcPr>
            <w:tcW w:w="1600" w:type="dxa"/>
            <w:tcBorders>
              <w:top w:val="nil"/>
              <w:left w:val="nil"/>
              <w:bottom w:val="single" w:sz="8" w:space="0" w:color="auto"/>
              <w:right w:val="single" w:sz="8" w:space="0" w:color="auto"/>
            </w:tcBorders>
            <w:shd w:val="clear" w:color="auto" w:fill="auto"/>
            <w:vAlign w:val="center"/>
            <w:hideMark/>
          </w:tcPr>
          <w:p w14:paraId="5A4982B7"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1.284.093 </w:t>
            </w:r>
          </w:p>
        </w:tc>
        <w:tc>
          <w:tcPr>
            <w:tcW w:w="1380" w:type="dxa"/>
            <w:tcBorders>
              <w:top w:val="nil"/>
              <w:left w:val="nil"/>
              <w:bottom w:val="single" w:sz="8" w:space="0" w:color="auto"/>
              <w:right w:val="single" w:sz="8" w:space="0" w:color="auto"/>
            </w:tcBorders>
            <w:shd w:val="clear" w:color="auto" w:fill="auto"/>
            <w:vAlign w:val="center"/>
            <w:hideMark/>
          </w:tcPr>
          <w:p w14:paraId="51289A52"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168.575 </w:t>
            </w:r>
          </w:p>
        </w:tc>
        <w:tc>
          <w:tcPr>
            <w:tcW w:w="1540" w:type="dxa"/>
            <w:tcBorders>
              <w:top w:val="nil"/>
              <w:left w:val="nil"/>
              <w:bottom w:val="single" w:sz="8" w:space="0" w:color="auto"/>
              <w:right w:val="single" w:sz="8" w:space="0" w:color="auto"/>
            </w:tcBorders>
            <w:shd w:val="clear" w:color="auto" w:fill="auto"/>
            <w:vAlign w:val="center"/>
            <w:hideMark/>
          </w:tcPr>
          <w:p w14:paraId="1DB50E96"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w:t>
            </w:r>
          </w:p>
        </w:tc>
      </w:tr>
      <w:tr w:rsidR="00847F23" w:rsidRPr="00913E39" w14:paraId="0B1B6674" w14:textId="77777777" w:rsidTr="00AC1E29">
        <w:trPr>
          <w:trHeight w:val="20"/>
        </w:trPr>
        <w:tc>
          <w:tcPr>
            <w:tcW w:w="3451" w:type="dxa"/>
            <w:tcBorders>
              <w:top w:val="nil"/>
              <w:left w:val="single" w:sz="8" w:space="0" w:color="auto"/>
              <w:bottom w:val="single" w:sz="8" w:space="0" w:color="auto"/>
              <w:right w:val="single" w:sz="8" w:space="0" w:color="auto"/>
            </w:tcBorders>
            <w:shd w:val="clear" w:color="auto" w:fill="auto"/>
            <w:vAlign w:val="center"/>
            <w:hideMark/>
          </w:tcPr>
          <w:p w14:paraId="243E8390"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(S.IT/ Total)</w:t>
            </w:r>
          </w:p>
        </w:tc>
        <w:tc>
          <w:tcPr>
            <w:tcW w:w="1600" w:type="dxa"/>
            <w:tcBorders>
              <w:top w:val="nil"/>
              <w:left w:val="nil"/>
              <w:bottom w:val="single" w:sz="8" w:space="0" w:color="auto"/>
              <w:right w:val="single" w:sz="8" w:space="0" w:color="auto"/>
            </w:tcBorders>
            <w:shd w:val="clear" w:color="auto" w:fill="auto"/>
            <w:vAlign w:val="center"/>
            <w:hideMark/>
          </w:tcPr>
          <w:p w14:paraId="0D49FCB0"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8%</w:t>
            </w:r>
          </w:p>
        </w:tc>
        <w:tc>
          <w:tcPr>
            <w:tcW w:w="1380" w:type="dxa"/>
            <w:tcBorders>
              <w:top w:val="nil"/>
              <w:left w:val="nil"/>
              <w:bottom w:val="single" w:sz="8" w:space="0" w:color="auto"/>
              <w:right w:val="single" w:sz="8" w:space="0" w:color="auto"/>
            </w:tcBorders>
            <w:shd w:val="clear" w:color="auto" w:fill="auto"/>
            <w:vAlign w:val="center"/>
            <w:hideMark/>
          </w:tcPr>
          <w:p w14:paraId="6A6FA974"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1%</w:t>
            </w:r>
          </w:p>
        </w:tc>
        <w:tc>
          <w:tcPr>
            <w:tcW w:w="1540" w:type="dxa"/>
            <w:tcBorders>
              <w:top w:val="nil"/>
              <w:left w:val="nil"/>
              <w:bottom w:val="single" w:sz="8" w:space="0" w:color="auto"/>
              <w:right w:val="single" w:sz="8" w:space="0" w:color="auto"/>
            </w:tcBorders>
            <w:shd w:val="clear" w:color="auto" w:fill="auto"/>
            <w:vAlign w:val="center"/>
            <w:hideMark/>
          </w:tcPr>
          <w:p w14:paraId="58C4A5D9"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w:t>
            </w:r>
          </w:p>
        </w:tc>
      </w:tr>
    </w:tbl>
    <w:p w14:paraId="353623D8" w14:textId="77777777" w:rsidR="00847F23" w:rsidRPr="00913E39" w:rsidRDefault="00847F23" w:rsidP="00FC4C60">
      <w:pPr>
        <w:spacing w:after="0" w:line="240" w:lineRule="auto"/>
        <w:ind w:firstLine="284"/>
        <w:jc w:val="both"/>
        <w:rPr>
          <w:rFonts w:ascii="Garamond" w:hAnsi="Garamond"/>
          <w:sz w:val="24"/>
        </w:rPr>
      </w:pPr>
    </w:p>
    <w:p w14:paraId="7909D5AE" w14:textId="4D0F00D2" w:rsidR="00847F23" w:rsidRPr="00913E39" w:rsidRDefault="00847F23" w:rsidP="00BE3DA6">
      <w:pPr>
        <w:spacing w:after="0" w:line="240" w:lineRule="auto"/>
        <w:ind w:firstLine="284"/>
        <w:jc w:val="both"/>
        <w:rPr>
          <w:rFonts w:ascii="Garamond" w:hAnsi="Garamond"/>
          <w:sz w:val="24"/>
        </w:rPr>
      </w:pPr>
      <w:r w:rsidRPr="00913E39">
        <w:rPr>
          <w:rFonts w:ascii="Garamond" w:hAnsi="Garamond"/>
          <w:sz w:val="24"/>
        </w:rPr>
        <w:t xml:space="preserve">Për financimin e këtij nënsektori, ndarja e buxhetit të </w:t>
      </w:r>
      <w:r w:rsidR="00AC1E29" w:rsidRPr="00913E39">
        <w:rPr>
          <w:rFonts w:ascii="Garamond" w:hAnsi="Garamond"/>
          <w:sz w:val="24"/>
        </w:rPr>
        <w:t>t</w:t>
      </w:r>
      <w:r w:rsidRPr="00913E39">
        <w:rPr>
          <w:rFonts w:ascii="Garamond" w:hAnsi="Garamond"/>
          <w:sz w:val="24"/>
        </w:rPr>
        <w:t>atimeve në kuadër të Programit Buxhetor Afatmesëm (PBA) për periudhën 2023</w:t>
      </w:r>
      <w:r w:rsidR="00AC1E29" w:rsidRPr="00913E39">
        <w:rPr>
          <w:rFonts w:ascii="Garamond" w:hAnsi="Garamond"/>
          <w:sz w:val="24"/>
        </w:rPr>
        <w:t>–</w:t>
      </w:r>
      <w:r w:rsidRPr="00913E39">
        <w:rPr>
          <w:rFonts w:ascii="Garamond" w:hAnsi="Garamond"/>
          <w:sz w:val="24"/>
        </w:rPr>
        <w:t>2025 vlerësohet të jetë rreth 41 milionë euro. Kjo shumë përbën rreth 3.7% të totalit të shpenzimeve të qeverisë. Nga mjetet e alokuara, afro 87% është planifikuar për mbulimin e shpenzimeve operative, ndërsa pjesa tjetër është e dedikuar për shpenzime kapitale. Një pjesë e konsiderueshme e investimit kapital i dedikohet rikonstruksionit të zyrave rajonale të DPT-së. Në lidhje me këtë Program Operacional janë identifikuar</w:t>
      </w:r>
      <w:r w:rsidR="00BE3DA6" w:rsidRPr="00913E39">
        <w:rPr>
          <w:rFonts w:ascii="Garamond" w:hAnsi="Garamond"/>
          <w:sz w:val="24"/>
        </w:rPr>
        <w:t xml:space="preserve"> </w:t>
      </w:r>
      <w:r w:rsidRPr="00913E39">
        <w:rPr>
          <w:rFonts w:ascii="Garamond" w:hAnsi="Garamond"/>
          <w:sz w:val="24"/>
        </w:rPr>
        <w:t>dhe dokumentuar projektet e mëposhtme.</w:t>
      </w:r>
    </w:p>
    <w:p w14:paraId="0957679B" w14:textId="319F319F"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Tabela 5</w:t>
      </w:r>
      <w:r w:rsidR="007D29FF" w:rsidRPr="00913E39">
        <w:rPr>
          <w:rFonts w:ascii="Garamond" w:hAnsi="Garamond"/>
          <w:i/>
          <w:sz w:val="24"/>
        </w:rPr>
        <w:t>.</w:t>
      </w:r>
      <w:r w:rsidRPr="00913E39">
        <w:rPr>
          <w:rFonts w:ascii="Garamond" w:hAnsi="Garamond"/>
          <w:i/>
          <w:sz w:val="24"/>
        </w:rPr>
        <w:t xml:space="preserve"> Kontributet vjetore Fiscalis dhe e-tatime (Eur)</w:t>
      </w:r>
    </w:p>
    <w:tbl>
      <w:tblPr>
        <w:tblW w:w="0" w:type="auto"/>
        <w:tblInd w:w="279" w:type="dxa"/>
        <w:tblLook w:val="04A0" w:firstRow="1" w:lastRow="0" w:firstColumn="1" w:lastColumn="0" w:noHBand="0" w:noVBand="1"/>
      </w:tblPr>
      <w:tblGrid>
        <w:gridCol w:w="4111"/>
        <w:gridCol w:w="1417"/>
        <w:gridCol w:w="992"/>
        <w:gridCol w:w="1134"/>
      </w:tblGrid>
      <w:tr w:rsidR="00847F23" w:rsidRPr="00913E39" w14:paraId="471AC16B" w14:textId="77777777" w:rsidTr="00AC1E29">
        <w:trPr>
          <w:trHeight w:val="20"/>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E4E4B"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Produkt Projekti/PBA</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07E7ACD" w14:textId="77777777" w:rsidR="00847F23" w:rsidRPr="00913E39" w:rsidRDefault="00847F23" w:rsidP="00AC1E29">
            <w:pPr>
              <w:spacing w:after="0" w:line="240" w:lineRule="auto"/>
              <w:jc w:val="center"/>
              <w:rPr>
                <w:rFonts w:ascii="Garamond" w:hAnsi="Garamond"/>
                <w:sz w:val="18"/>
              </w:rPr>
            </w:pPr>
            <w:r w:rsidRPr="00913E39">
              <w:rPr>
                <w:rFonts w:ascii="Garamond" w:hAnsi="Garamond"/>
                <w:sz w:val="18"/>
              </w:rPr>
              <w:t>2203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0F39BF27" w14:textId="77777777" w:rsidR="00847F23" w:rsidRPr="00913E39" w:rsidRDefault="00847F23" w:rsidP="00AC1E29">
            <w:pPr>
              <w:spacing w:after="0" w:line="240" w:lineRule="auto"/>
              <w:jc w:val="center"/>
              <w:rPr>
                <w:rFonts w:ascii="Garamond" w:hAnsi="Garamond"/>
                <w:sz w:val="18"/>
              </w:rPr>
            </w:pPr>
            <w:r w:rsidRPr="00913E39">
              <w:rPr>
                <w:rFonts w:ascii="Garamond" w:hAnsi="Garamond"/>
                <w:sz w:val="18"/>
              </w:rPr>
              <w:t>2024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566E2E2" w14:textId="77777777" w:rsidR="00847F23" w:rsidRPr="00913E39" w:rsidRDefault="00847F23" w:rsidP="00AC1E29">
            <w:pPr>
              <w:spacing w:after="0" w:line="240" w:lineRule="auto"/>
              <w:jc w:val="center"/>
              <w:rPr>
                <w:rFonts w:ascii="Garamond" w:hAnsi="Garamond"/>
                <w:sz w:val="18"/>
              </w:rPr>
            </w:pPr>
            <w:r w:rsidRPr="00913E39">
              <w:rPr>
                <w:rFonts w:ascii="Garamond" w:hAnsi="Garamond"/>
                <w:sz w:val="18"/>
              </w:rPr>
              <w:t>2025</w:t>
            </w:r>
          </w:p>
        </w:tc>
      </w:tr>
      <w:tr w:rsidR="00847F23" w:rsidRPr="00913E39" w14:paraId="6D6717EE" w14:textId="77777777" w:rsidTr="00AC1E29">
        <w:trPr>
          <w:trHeight w:val="20"/>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687B08C6"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Kontributi vjetor për Programin </w:t>
            </w:r>
            <w:r w:rsidRPr="00913E39">
              <w:rPr>
                <w:rFonts w:ascii="Garamond" w:hAnsi="Garamond"/>
                <w:i/>
                <w:sz w:val="18"/>
              </w:rPr>
              <w:t>Fiscalis</w:t>
            </w:r>
            <w:r w:rsidRPr="00913E39">
              <w:rPr>
                <w:rFonts w:ascii="Garamond" w:hAnsi="Garamond"/>
                <w:sz w:val="18"/>
              </w:rPr>
              <w:t xml:space="preserve"> të Unionit </w:t>
            </w:r>
          </w:p>
        </w:tc>
        <w:tc>
          <w:tcPr>
            <w:tcW w:w="1417" w:type="dxa"/>
            <w:tcBorders>
              <w:top w:val="single" w:sz="4" w:space="0" w:color="auto"/>
              <w:left w:val="nil"/>
              <w:bottom w:val="single" w:sz="4" w:space="0" w:color="auto"/>
              <w:right w:val="single" w:sz="4" w:space="0" w:color="auto"/>
            </w:tcBorders>
            <w:shd w:val="clear" w:color="auto" w:fill="auto"/>
            <w:vAlign w:val="center"/>
          </w:tcPr>
          <w:p w14:paraId="530C8B24" w14:textId="5174823B" w:rsidR="00847F23" w:rsidRPr="00913E39" w:rsidRDefault="00847F23" w:rsidP="00AC1E29">
            <w:pPr>
              <w:spacing w:after="0" w:line="240" w:lineRule="auto"/>
              <w:jc w:val="center"/>
              <w:rPr>
                <w:rFonts w:ascii="Garamond" w:hAnsi="Garamond"/>
                <w:sz w:val="18"/>
              </w:rPr>
            </w:pPr>
            <w:r w:rsidRPr="00913E39">
              <w:rPr>
                <w:rFonts w:ascii="Garamond" w:hAnsi="Garamond"/>
                <w:sz w:val="18"/>
              </w:rPr>
              <w:t>24 249</w:t>
            </w:r>
          </w:p>
        </w:tc>
        <w:tc>
          <w:tcPr>
            <w:tcW w:w="992" w:type="dxa"/>
            <w:tcBorders>
              <w:top w:val="single" w:sz="4" w:space="0" w:color="auto"/>
              <w:left w:val="nil"/>
              <w:bottom w:val="single" w:sz="4" w:space="0" w:color="auto"/>
              <w:right w:val="single" w:sz="4" w:space="0" w:color="auto"/>
            </w:tcBorders>
            <w:shd w:val="clear" w:color="auto" w:fill="auto"/>
            <w:vAlign w:val="center"/>
          </w:tcPr>
          <w:p w14:paraId="2342BD8B" w14:textId="7DB4EB58" w:rsidR="00847F23" w:rsidRPr="00913E39" w:rsidRDefault="00847F23" w:rsidP="00AC1E29">
            <w:pPr>
              <w:spacing w:after="0" w:line="240" w:lineRule="auto"/>
              <w:jc w:val="center"/>
              <w:rPr>
                <w:rFonts w:ascii="Garamond" w:hAnsi="Garamond"/>
                <w:sz w:val="18"/>
              </w:rPr>
            </w:pPr>
            <w:r w:rsidRPr="00913E39">
              <w:rPr>
                <w:rFonts w:ascii="Garamond" w:hAnsi="Garamond"/>
                <w:sz w:val="18"/>
              </w:rPr>
              <w:t>24 855</w:t>
            </w:r>
          </w:p>
        </w:tc>
        <w:tc>
          <w:tcPr>
            <w:tcW w:w="1134" w:type="dxa"/>
            <w:tcBorders>
              <w:top w:val="single" w:sz="4" w:space="0" w:color="auto"/>
              <w:left w:val="nil"/>
              <w:bottom w:val="single" w:sz="4" w:space="0" w:color="auto"/>
              <w:right w:val="single" w:sz="4" w:space="0" w:color="auto"/>
            </w:tcBorders>
            <w:shd w:val="clear" w:color="auto" w:fill="auto"/>
            <w:vAlign w:val="center"/>
          </w:tcPr>
          <w:p w14:paraId="526E52B0" w14:textId="20B58DF9" w:rsidR="00847F23" w:rsidRPr="00913E39" w:rsidRDefault="00847F23" w:rsidP="00AC1E29">
            <w:pPr>
              <w:spacing w:after="0" w:line="240" w:lineRule="auto"/>
              <w:jc w:val="center"/>
              <w:rPr>
                <w:rFonts w:ascii="Garamond" w:hAnsi="Garamond"/>
                <w:sz w:val="18"/>
              </w:rPr>
            </w:pPr>
            <w:r w:rsidRPr="00913E39">
              <w:rPr>
                <w:rFonts w:ascii="Garamond" w:hAnsi="Garamond"/>
                <w:sz w:val="18"/>
              </w:rPr>
              <w:t>25 477</w:t>
            </w:r>
          </w:p>
        </w:tc>
      </w:tr>
      <w:tr w:rsidR="00847F23" w:rsidRPr="00913E39" w14:paraId="7B833644" w14:textId="77777777" w:rsidTr="00AC1E29">
        <w:trPr>
          <w:trHeight w:val="20"/>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270DF82E"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Përmirësim i sistemit SW të </w:t>
            </w:r>
            <w:r w:rsidRPr="00913E39">
              <w:rPr>
                <w:rFonts w:ascii="Garamond" w:hAnsi="Garamond"/>
                <w:i/>
                <w:sz w:val="18"/>
              </w:rPr>
              <w:t>e-tatime</w:t>
            </w:r>
            <w:r w:rsidRPr="00913E39">
              <w:rPr>
                <w:rFonts w:ascii="Garamond" w:hAnsi="Garamond"/>
                <w:sz w:val="18"/>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tcPr>
          <w:p w14:paraId="5DF6B3C8" w14:textId="70145ECC" w:rsidR="00847F23" w:rsidRPr="00913E39" w:rsidRDefault="00847F23" w:rsidP="00AC1E29">
            <w:pPr>
              <w:spacing w:after="0" w:line="240" w:lineRule="auto"/>
              <w:jc w:val="center"/>
              <w:rPr>
                <w:rFonts w:ascii="Garamond" w:hAnsi="Garamond"/>
                <w:sz w:val="18"/>
              </w:rPr>
            </w:pPr>
            <w:r w:rsidRPr="00913E39">
              <w:rPr>
                <w:rFonts w:ascii="Garamond" w:hAnsi="Garamond"/>
                <w:sz w:val="18"/>
              </w:rPr>
              <w:t>915 376,95</w:t>
            </w:r>
          </w:p>
        </w:tc>
        <w:tc>
          <w:tcPr>
            <w:tcW w:w="992" w:type="dxa"/>
            <w:tcBorders>
              <w:top w:val="single" w:sz="4" w:space="0" w:color="auto"/>
              <w:left w:val="nil"/>
              <w:bottom w:val="single" w:sz="4" w:space="0" w:color="auto"/>
              <w:right w:val="single" w:sz="4" w:space="0" w:color="auto"/>
            </w:tcBorders>
            <w:shd w:val="clear" w:color="auto" w:fill="auto"/>
            <w:vAlign w:val="center"/>
          </w:tcPr>
          <w:p w14:paraId="5C5BECE6" w14:textId="77777777" w:rsidR="00847F23" w:rsidRPr="00913E39" w:rsidRDefault="00847F23" w:rsidP="00AC1E29">
            <w:pPr>
              <w:spacing w:after="0" w:line="240" w:lineRule="auto"/>
              <w:jc w:val="center"/>
              <w:rPr>
                <w:rFonts w:ascii="Garamond" w:hAnsi="Garamond"/>
                <w:sz w:val="18"/>
              </w:rPr>
            </w:pPr>
            <w:r w:rsidRPr="00913E39">
              <w:rPr>
                <w:rFonts w:ascii="Garamond" w:hAnsi="Garamond"/>
                <w:sz w:val="18"/>
              </w:rPr>
              <w:t>175 532,15</w:t>
            </w:r>
          </w:p>
        </w:tc>
        <w:tc>
          <w:tcPr>
            <w:tcW w:w="1134" w:type="dxa"/>
            <w:tcBorders>
              <w:top w:val="single" w:sz="4" w:space="0" w:color="auto"/>
              <w:left w:val="nil"/>
              <w:bottom w:val="single" w:sz="4" w:space="0" w:color="auto"/>
              <w:right w:val="single" w:sz="4" w:space="0" w:color="auto"/>
            </w:tcBorders>
            <w:shd w:val="clear" w:color="auto" w:fill="auto"/>
            <w:vAlign w:val="center"/>
          </w:tcPr>
          <w:p w14:paraId="4D9C2D50" w14:textId="77777777" w:rsidR="00847F23" w:rsidRPr="00913E39" w:rsidRDefault="00847F23" w:rsidP="00AC1E29">
            <w:pPr>
              <w:spacing w:after="0" w:line="240" w:lineRule="auto"/>
              <w:jc w:val="center"/>
              <w:rPr>
                <w:rFonts w:ascii="Garamond" w:hAnsi="Garamond"/>
                <w:sz w:val="18"/>
              </w:rPr>
            </w:pPr>
          </w:p>
        </w:tc>
      </w:tr>
    </w:tbl>
    <w:p w14:paraId="73C5D798" w14:textId="77777777" w:rsidR="00847F23" w:rsidRPr="00913E39" w:rsidRDefault="00847F23" w:rsidP="00FC4C60">
      <w:pPr>
        <w:spacing w:after="0" w:line="240" w:lineRule="auto"/>
        <w:ind w:firstLine="284"/>
        <w:jc w:val="both"/>
        <w:rPr>
          <w:rFonts w:ascii="Garamond" w:hAnsi="Garamond"/>
          <w:sz w:val="24"/>
        </w:rPr>
      </w:pPr>
    </w:p>
    <w:p w14:paraId="07ECDD08" w14:textId="15ED7FAA"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AC1E29" w:rsidRPr="00913E39">
        <w:rPr>
          <w:rFonts w:ascii="Garamond" w:hAnsi="Garamond"/>
          <w:i/>
          <w:sz w:val="24"/>
        </w:rPr>
        <w:t>f</w:t>
      </w:r>
      <w:r w:rsidRPr="00913E39">
        <w:rPr>
          <w:rFonts w:ascii="Garamond" w:hAnsi="Garamond"/>
          <w:i/>
          <w:sz w:val="24"/>
        </w:rPr>
        <w:t>usha e mbështetjes 2.2: Siguria kibernetike</w:t>
      </w:r>
    </w:p>
    <w:p w14:paraId="24E8244B" w14:textId="1877DB8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sektorin e sigurisë kibernetike, shpenzimi financiar për periudhën 2023–2025 sipas Programit Buxhetor Afatmesëm të Agjencisë Kombëtare të Shoqërisë së Informacionit pritet të jetë 5 milionë euro për çdo vit.</w:t>
      </w:r>
    </w:p>
    <w:p w14:paraId="78C52769" w14:textId="095F2024"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AC1E29" w:rsidRPr="00913E39">
        <w:rPr>
          <w:rFonts w:ascii="Garamond" w:hAnsi="Garamond"/>
          <w:i/>
          <w:sz w:val="24"/>
        </w:rPr>
        <w:t>f</w:t>
      </w:r>
      <w:r w:rsidRPr="00913E39">
        <w:rPr>
          <w:rFonts w:ascii="Garamond" w:hAnsi="Garamond"/>
          <w:i/>
          <w:sz w:val="24"/>
        </w:rPr>
        <w:t>usha e mbështetjes 2.3: Ndërlidhja digjitale</w:t>
      </w:r>
    </w:p>
    <w:p w14:paraId="3E85E30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Buxheti për vitin 2023 dhe në vitet në vijim përfshin Mbështetjen për rrjetet e komunikimit, që është pjesë e Programit Buxhetor Afatmesëm të Qeverisë të Ministrisë së Infrastrukturës dhe Energjisë. Qëllimi i Programit të Mbështetjes së Rrjeteve të Komunikimit është zhvillimi i rrjeteve </w:t>
      </w:r>
      <w:r w:rsidRPr="00913E39">
        <w:rPr>
          <w:rFonts w:ascii="Garamond" w:hAnsi="Garamond"/>
          <w:i/>
          <w:sz w:val="24"/>
        </w:rPr>
        <w:t>broadband</w:t>
      </w:r>
      <w:r w:rsidRPr="00913E39">
        <w:rPr>
          <w:rFonts w:ascii="Garamond" w:hAnsi="Garamond"/>
          <w:sz w:val="24"/>
        </w:rPr>
        <w:t xml:space="preserve"> dhe 5G. Zhvillimi i rrjeteve 5G lidhet me zhvillimin e rrjeteve të ardhshme dhe zbatimin e aplikacioneve digjitale, inovacionin për industrinë vertikale (energjinë, transportin), qytetet digjitale dhe zhvillimet novatore në ekonomi dhe shoqëri, si dhe shërbimet publike. Infrastruktura digjitale me shpejtësi të lartë dhe shumë të lartë nënkupton rrjete me fibra optike dhe 5G. Aktualisht, në Shqipëri nuk ka rrjete 5G. Nevoja për investime për zhvillimin e tyre është e madhe. Gjithashtu, masat për rritjen e kërkesës janë të rëndësishme për nxitjen e investimeve. Shifrat e mëposhtme janë përfshirë në buxhet: </w:t>
      </w:r>
    </w:p>
    <w:p w14:paraId="31625A95" w14:textId="78535789" w:rsidR="00847F23" w:rsidRPr="00913E39" w:rsidRDefault="00847F23" w:rsidP="00FC4C60">
      <w:pPr>
        <w:spacing w:after="0" w:line="240" w:lineRule="auto"/>
        <w:ind w:firstLine="284"/>
        <w:jc w:val="both"/>
        <w:rPr>
          <w:rFonts w:ascii="Garamond" w:hAnsi="Garamond"/>
          <w:i/>
          <w:sz w:val="24"/>
        </w:rPr>
      </w:pPr>
      <w:bookmarkStart w:id="12" w:name="_Hlk148859266"/>
      <w:r w:rsidRPr="00913E39">
        <w:rPr>
          <w:rFonts w:ascii="Garamond" w:hAnsi="Garamond"/>
          <w:i/>
          <w:sz w:val="24"/>
        </w:rPr>
        <w:t>Tabela 6</w:t>
      </w:r>
      <w:r w:rsidR="007D29FF" w:rsidRPr="00913E39">
        <w:rPr>
          <w:rFonts w:ascii="Garamond" w:hAnsi="Garamond"/>
          <w:i/>
          <w:sz w:val="24"/>
        </w:rPr>
        <w:t>.</w:t>
      </w:r>
      <w:r w:rsidRPr="00913E39">
        <w:rPr>
          <w:rFonts w:ascii="Garamond" w:hAnsi="Garamond"/>
          <w:i/>
          <w:sz w:val="24"/>
        </w:rPr>
        <w:t xml:space="preserve"> Alokimet vjetore për aktin </w:t>
      </w:r>
      <w:r w:rsidR="007D29FF" w:rsidRPr="00913E39">
        <w:rPr>
          <w:rFonts w:ascii="Garamond" w:hAnsi="Garamond"/>
          <w:i/>
          <w:sz w:val="24"/>
        </w:rPr>
        <w:t xml:space="preserve">e infrastrukturës gigabit dhe </w:t>
      </w:r>
      <w:r w:rsidRPr="00913E39">
        <w:rPr>
          <w:rFonts w:ascii="Garamond" w:hAnsi="Garamond"/>
          <w:i/>
          <w:sz w:val="24"/>
        </w:rPr>
        <w:t>masat në zbatim të tij (EUR)</w:t>
      </w:r>
    </w:p>
    <w:tbl>
      <w:tblPr>
        <w:tblW w:w="9060" w:type="dxa"/>
        <w:tblLayout w:type="fixed"/>
        <w:tblLook w:val="04A0" w:firstRow="1" w:lastRow="0" w:firstColumn="1" w:lastColumn="0" w:noHBand="0" w:noVBand="1"/>
      </w:tblPr>
      <w:tblGrid>
        <w:gridCol w:w="4221"/>
        <w:gridCol w:w="1613"/>
        <w:gridCol w:w="1613"/>
        <w:gridCol w:w="1613"/>
      </w:tblGrid>
      <w:tr w:rsidR="00847F23" w:rsidRPr="00913E39" w14:paraId="15CEA9F6" w14:textId="77777777" w:rsidTr="00BE3DA6">
        <w:trPr>
          <w:trHeight w:val="20"/>
          <w:tblHeader/>
        </w:trPr>
        <w:tc>
          <w:tcPr>
            <w:tcW w:w="4221"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12"/>
          <w:p w14:paraId="2539C8F8"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Produkt Projekti/PBA</w:t>
            </w:r>
          </w:p>
        </w:tc>
        <w:tc>
          <w:tcPr>
            <w:tcW w:w="1613" w:type="dxa"/>
            <w:tcBorders>
              <w:top w:val="single" w:sz="4" w:space="0" w:color="auto"/>
              <w:left w:val="nil"/>
              <w:bottom w:val="single" w:sz="4" w:space="0" w:color="auto"/>
              <w:right w:val="single" w:sz="4" w:space="0" w:color="auto"/>
            </w:tcBorders>
            <w:shd w:val="clear" w:color="auto" w:fill="auto"/>
            <w:vAlign w:val="center"/>
            <w:hideMark/>
          </w:tcPr>
          <w:p w14:paraId="34DF8678"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2023</w:t>
            </w:r>
          </w:p>
        </w:tc>
        <w:tc>
          <w:tcPr>
            <w:tcW w:w="1613" w:type="dxa"/>
            <w:tcBorders>
              <w:top w:val="single" w:sz="4" w:space="0" w:color="auto"/>
              <w:left w:val="nil"/>
              <w:bottom w:val="single" w:sz="4" w:space="0" w:color="auto"/>
              <w:right w:val="single" w:sz="4" w:space="0" w:color="auto"/>
            </w:tcBorders>
            <w:shd w:val="clear" w:color="auto" w:fill="auto"/>
            <w:vAlign w:val="center"/>
            <w:hideMark/>
          </w:tcPr>
          <w:p w14:paraId="7E368228"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2024</w:t>
            </w:r>
          </w:p>
        </w:tc>
        <w:tc>
          <w:tcPr>
            <w:tcW w:w="1613" w:type="dxa"/>
            <w:tcBorders>
              <w:top w:val="single" w:sz="4" w:space="0" w:color="auto"/>
              <w:left w:val="nil"/>
              <w:bottom w:val="single" w:sz="4" w:space="0" w:color="auto"/>
              <w:right w:val="single" w:sz="4" w:space="0" w:color="auto"/>
            </w:tcBorders>
            <w:shd w:val="clear" w:color="auto" w:fill="auto"/>
            <w:vAlign w:val="center"/>
            <w:hideMark/>
          </w:tcPr>
          <w:p w14:paraId="0C2C2D33" w14:textId="77777777" w:rsidR="00847F23" w:rsidRPr="00913E39" w:rsidRDefault="00847F23" w:rsidP="00BE3DA6">
            <w:pPr>
              <w:spacing w:after="0" w:line="240" w:lineRule="auto"/>
              <w:jc w:val="both"/>
              <w:rPr>
                <w:rFonts w:ascii="Garamond" w:hAnsi="Garamond"/>
                <w:b/>
                <w:sz w:val="18"/>
              </w:rPr>
            </w:pPr>
            <w:r w:rsidRPr="00913E39">
              <w:rPr>
                <w:rFonts w:ascii="Garamond" w:hAnsi="Garamond"/>
                <w:b/>
                <w:sz w:val="18"/>
              </w:rPr>
              <w:t>2025</w:t>
            </w:r>
          </w:p>
        </w:tc>
      </w:tr>
      <w:tr w:rsidR="00847F23" w:rsidRPr="00913E39" w14:paraId="7488EC9B" w14:textId="77777777" w:rsidTr="00BE3DA6">
        <w:trPr>
          <w:trHeight w:val="20"/>
        </w:trPr>
        <w:tc>
          <w:tcPr>
            <w:tcW w:w="422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45B1131"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Investimet në fibra optike në zonat e pashfrytëzuara</w:t>
            </w:r>
          </w:p>
        </w:tc>
        <w:tc>
          <w:tcPr>
            <w:tcW w:w="1613" w:type="dxa"/>
            <w:tcBorders>
              <w:top w:val="nil"/>
              <w:left w:val="nil"/>
              <w:bottom w:val="single" w:sz="4" w:space="0" w:color="auto"/>
              <w:right w:val="single" w:sz="4" w:space="0" w:color="auto"/>
            </w:tcBorders>
            <w:shd w:val="clear" w:color="auto" w:fill="FFFFFF"/>
            <w:vAlign w:val="center"/>
            <w:hideMark/>
          </w:tcPr>
          <w:p w14:paraId="24AF61F0" w14:textId="77777777" w:rsidR="00847F23" w:rsidRPr="00913E39" w:rsidRDefault="00847F23" w:rsidP="00BE3DA6">
            <w:pPr>
              <w:spacing w:after="0" w:line="240" w:lineRule="auto"/>
              <w:rPr>
                <w:rFonts w:ascii="Garamond" w:hAnsi="Garamond"/>
                <w:sz w:val="18"/>
              </w:rPr>
            </w:pPr>
          </w:p>
        </w:tc>
        <w:tc>
          <w:tcPr>
            <w:tcW w:w="1613" w:type="dxa"/>
            <w:tcBorders>
              <w:top w:val="nil"/>
              <w:left w:val="nil"/>
              <w:bottom w:val="single" w:sz="4" w:space="0" w:color="auto"/>
              <w:right w:val="single" w:sz="4" w:space="0" w:color="auto"/>
            </w:tcBorders>
            <w:shd w:val="clear" w:color="auto" w:fill="FFFFFF"/>
            <w:vAlign w:val="center"/>
            <w:hideMark/>
          </w:tcPr>
          <w:p w14:paraId="774D058E" w14:textId="77777777" w:rsidR="00847F23" w:rsidRPr="00913E39" w:rsidRDefault="00847F23" w:rsidP="00BE3DA6">
            <w:pPr>
              <w:spacing w:after="0" w:line="240" w:lineRule="auto"/>
              <w:rPr>
                <w:rFonts w:ascii="Garamond" w:hAnsi="Garamond"/>
                <w:sz w:val="18"/>
              </w:rPr>
            </w:pPr>
            <w:r w:rsidRPr="00913E39">
              <w:rPr>
                <w:rFonts w:ascii="Garamond" w:hAnsi="Garamond"/>
                <w:sz w:val="18"/>
              </w:rPr>
              <w:t xml:space="preserve"> 206098.65</w:t>
            </w:r>
          </w:p>
          <w:p w14:paraId="60DB22D4" w14:textId="77777777" w:rsidR="00847F23" w:rsidRPr="00913E39" w:rsidRDefault="00847F23" w:rsidP="00BE3DA6">
            <w:pPr>
              <w:spacing w:after="0" w:line="240" w:lineRule="auto"/>
              <w:rPr>
                <w:rFonts w:ascii="Garamond" w:hAnsi="Garamond"/>
                <w:sz w:val="18"/>
              </w:rPr>
            </w:pPr>
            <w:r w:rsidRPr="00913E39">
              <w:rPr>
                <w:rFonts w:ascii="Garamond" w:hAnsi="Garamond"/>
                <w:sz w:val="18"/>
              </w:rPr>
              <w:lastRenderedPageBreak/>
              <w:t>Buxheti shtetëror</w:t>
            </w:r>
          </w:p>
        </w:tc>
        <w:tc>
          <w:tcPr>
            <w:tcW w:w="1613" w:type="dxa"/>
            <w:tcBorders>
              <w:top w:val="nil"/>
              <w:left w:val="nil"/>
              <w:bottom w:val="single" w:sz="4" w:space="0" w:color="auto"/>
              <w:right w:val="single" w:sz="4" w:space="0" w:color="auto"/>
            </w:tcBorders>
            <w:shd w:val="clear" w:color="auto" w:fill="FFFFFF"/>
            <w:vAlign w:val="center"/>
            <w:hideMark/>
          </w:tcPr>
          <w:p w14:paraId="51D3FDCD" w14:textId="77777777" w:rsidR="00847F23" w:rsidRPr="00913E39" w:rsidRDefault="00847F23" w:rsidP="00BE3DA6">
            <w:pPr>
              <w:spacing w:after="0" w:line="240" w:lineRule="auto"/>
              <w:rPr>
                <w:rFonts w:ascii="Garamond" w:hAnsi="Garamond"/>
                <w:sz w:val="18"/>
              </w:rPr>
            </w:pPr>
            <w:r w:rsidRPr="00913E39">
              <w:rPr>
                <w:rFonts w:ascii="Garamond" w:hAnsi="Garamond"/>
                <w:sz w:val="18"/>
              </w:rPr>
              <w:lastRenderedPageBreak/>
              <w:t xml:space="preserve"> 206098.65</w:t>
            </w:r>
          </w:p>
          <w:p w14:paraId="4CBC72B2" w14:textId="77777777" w:rsidR="00847F23" w:rsidRPr="00913E39" w:rsidRDefault="00847F23" w:rsidP="00BE3DA6">
            <w:pPr>
              <w:spacing w:after="0" w:line="240" w:lineRule="auto"/>
              <w:rPr>
                <w:rFonts w:ascii="Garamond" w:hAnsi="Garamond"/>
                <w:sz w:val="18"/>
              </w:rPr>
            </w:pPr>
            <w:r w:rsidRPr="00913E39">
              <w:rPr>
                <w:rFonts w:ascii="Garamond" w:hAnsi="Garamond"/>
                <w:sz w:val="18"/>
              </w:rPr>
              <w:lastRenderedPageBreak/>
              <w:t>Buxheti shtetëror</w:t>
            </w:r>
          </w:p>
        </w:tc>
      </w:tr>
      <w:tr w:rsidR="00847F23" w:rsidRPr="00913E39" w14:paraId="5B482171" w14:textId="77777777" w:rsidTr="00BE3DA6">
        <w:trPr>
          <w:trHeight w:val="20"/>
        </w:trPr>
        <w:tc>
          <w:tcPr>
            <w:tcW w:w="4221" w:type="dxa"/>
            <w:vMerge/>
            <w:tcBorders>
              <w:top w:val="single" w:sz="4" w:space="0" w:color="auto"/>
              <w:left w:val="single" w:sz="4" w:space="0" w:color="auto"/>
              <w:bottom w:val="single" w:sz="4" w:space="0" w:color="auto"/>
              <w:right w:val="single" w:sz="4" w:space="0" w:color="auto"/>
            </w:tcBorders>
            <w:vAlign w:val="center"/>
            <w:hideMark/>
          </w:tcPr>
          <w:p w14:paraId="43E9DD43" w14:textId="77777777" w:rsidR="00847F23" w:rsidRPr="00913E39" w:rsidRDefault="00847F23" w:rsidP="00BE3DA6">
            <w:pPr>
              <w:spacing w:after="0" w:line="240" w:lineRule="auto"/>
              <w:jc w:val="both"/>
              <w:rPr>
                <w:rFonts w:ascii="Garamond" w:hAnsi="Garamond"/>
                <w:sz w:val="18"/>
              </w:rPr>
            </w:pPr>
          </w:p>
        </w:tc>
        <w:tc>
          <w:tcPr>
            <w:tcW w:w="1613" w:type="dxa"/>
            <w:tcBorders>
              <w:top w:val="nil"/>
              <w:left w:val="nil"/>
              <w:bottom w:val="single" w:sz="4" w:space="0" w:color="auto"/>
              <w:right w:val="single" w:sz="4" w:space="0" w:color="auto"/>
            </w:tcBorders>
            <w:shd w:val="clear" w:color="auto" w:fill="FFFFFF"/>
            <w:vAlign w:val="center"/>
            <w:hideMark/>
          </w:tcPr>
          <w:p w14:paraId="7DDA1CFE" w14:textId="77777777" w:rsidR="00847F23" w:rsidRPr="00913E39" w:rsidRDefault="00847F23" w:rsidP="00BE3DA6">
            <w:pPr>
              <w:spacing w:after="0" w:line="240" w:lineRule="auto"/>
              <w:rPr>
                <w:rFonts w:ascii="Garamond" w:hAnsi="Garamond"/>
                <w:sz w:val="18"/>
              </w:rPr>
            </w:pPr>
            <w:r w:rsidRPr="00913E39">
              <w:rPr>
                <w:rFonts w:ascii="Garamond" w:hAnsi="Garamond"/>
                <w:sz w:val="18"/>
              </w:rPr>
              <w:t>206098.65 financim i huaj</w:t>
            </w:r>
          </w:p>
        </w:tc>
        <w:tc>
          <w:tcPr>
            <w:tcW w:w="1613" w:type="dxa"/>
            <w:tcBorders>
              <w:top w:val="nil"/>
              <w:left w:val="nil"/>
              <w:bottom w:val="single" w:sz="4" w:space="0" w:color="auto"/>
              <w:right w:val="single" w:sz="4" w:space="0" w:color="auto"/>
            </w:tcBorders>
            <w:shd w:val="clear" w:color="auto" w:fill="FFFFFF"/>
            <w:vAlign w:val="center"/>
            <w:hideMark/>
          </w:tcPr>
          <w:p w14:paraId="33972B51" w14:textId="77777777" w:rsidR="00847F23" w:rsidRPr="00913E39" w:rsidRDefault="00847F23" w:rsidP="00BE3DA6">
            <w:pPr>
              <w:spacing w:after="0" w:line="240" w:lineRule="auto"/>
              <w:rPr>
                <w:rFonts w:ascii="Garamond" w:hAnsi="Garamond"/>
                <w:sz w:val="18"/>
              </w:rPr>
            </w:pPr>
            <w:r w:rsidRPr="00913E39">
              <w:rPr>
                <w:rFonts w:ascii="Garamond" w:hAnsi="Garamond"/>
                <w:sz w:val="18"/>
              </w:rPr>
              <w:t>206098.65 financim i huaj</w:t>
            </w:r>
          </w:p>
        </w:tc>
        <w:tc>
          <w:tcPr>
            <w:tcW w:w="1613" w:type="dxa"/>
            <w:tcBorders>
              <w:top w:val="nil"/>
              <w:left w:val="nil"/>
              <w:bottom w:val="single" w:sz="4" w:space="0" w:color="auto"/>
              <w:right w:val="single" w:sz="4" w:space="0" w:color="auto"/>
            </w:tcBorders>
            <w:shd w:val="clear" w:color="auto" w:fill="FFFFFF"/>
            <w:vAlign w:val="center"/>
            <w:hideMark/>
          </w:tcPr>
          <w:p w14:paraId="4965A3C2" w14:textId="77777777" w:rsidR="00847F23" w:rsidRPr="00913E39" w:rsidRDefault="00847F23" w:rsidP="00BE3DA6">
            <w:pPr>
              <w:spacing w:after="0" w:line="240" w:lineRule="auto"/>
              <w:rPr>
                <w:rFonts w:ascii="Garamond" w:hAnsi="Garamond"/>
                <w:sz w:val="18"/>
              </w:rPr>
            </w:pPr>
            <w:r w:rsidRPr="00913E39">
              <w:rPr>
                <w:rFonts w:ascii="Garamond" w:hAnsi="Garamond"/>
                <w:sz w:val="18"/>
              </w:rPr>
              <w:t>206098.65 financim i huaj</w:t>
            </w:r>
          </w:p>
        </w:tc>
      </w:tr>
      <w:tr w:rsidR="00847F23" w:rsidRPr="00913E39" w14:paraId="59287A34" w14:textId="77777777" w:rsidTr="00BE3DA6">
        <w:trPr>
          <w:trHeight w:val="20"/>
        </w:trPr>
        <w:tc>
          <w:tcPr>
            <w:tcW w:w="4221" w:type="dxa"/>
            <w:tcBorders>
              <w:top w:val="nil"/>
              <w:left w:val="single" w:sz="4" w:space="0" w:color="auto"/>
              <w:bottom w:val="single" w:sz="4" w:space="0" w:color="auto"/>
              <w:right w:val="single" w:sz="4" w:space="0" w:color="auto"/>
            </w:tcBorders>
            <w:shd w:val="clear" w:color="auto" w:fill="FFFFFF"/>
            <w:vAlign w:val="center"/>
            <w:hideMark/>
          </w:tcPr>
          <w:p w14:paraId="7937CF54"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Operacioni i zhvillimit të broadband në fibra optike</w:t>
            </w:r>
          </w:p>
        </w:tc>
        <w:tc>
          <w:tcPr>
            <w:tcW w:w="1613" w:type="dxa"/>
            <w:tcBorders>
              <w:top w:val="single" w:sz="4" w:space="0" w:color="auto"/>
              <w:left w:val="nil"/>
              <w:bottom w:val="single" w:sz="4" w:space="0" w:color="auto"/>
              <w:right w:val="single" w:sz="4" w:space="0" w:color="auto"/>
            </w:tcBorders>
            <w:noWrap/>
            <w:vAlign w:val="bottom"/>
            <w:hideMark/>
          </w:tcPr>
          <w:p w14:paraId="6D19BD34"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w:t>
            </w:r>
          </w:p>
        </w:tc>
        <w:tc>
          <w:tcPr>
            <w:tcW w:w="1613" w:type="dxa"/>
            <w:tcBorders>
              <w:top w:val="single" w:sz="4" w:space="0" w:color="auto"/>
              <w:left w:val="nil"/>
              <w:bottom w:val="single" w:sz="4" w:space="0" w:color="auto"/>
              <w:right w:val="single" w:sz="4" w:space="0" w:color="auto"/>
            </w:tcBorders>
            <w:noWrap/>
            <w:vAlign w:val="bottom"/>
            <w:hideMark/>
          </w:tcPr>
          <w:p w14:paraId="0F7C5F1E"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262307,37 </w:t>
            </w:r>
          </w:p>
        </w:tc>
        <w:tc>
          <w:tcPr>
            <w:tcW w:w="1613" w:type="dxa"/>
            <w:tcBorders>
              <w:top w:val="single" w:sz="4" w:space="0" w:color="auto"/>
              <w:left w:val="nil"/>
              <w:bottom w:val="single" w:sz="4" w:space="0" w:color="auto"/>
              <w:right w:val="single" w:sz="4" w:space="0" w:color="auto"/>
            </w:tcBorders>
            <w:noWrap/>
            <w:vAlign w:val="bottom"/>
            <w:hideMark/>
          </w:tcPr>
          <w:p w14:paraId="3159B2AE"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355988,57</w:t>
            </w:r>
          </w:p>
        </w:tc>
      </w:tr>
      <w:tr w:rsidR="00847F23" w:rsidRPr="00913E39" w14:paraId="4EA08559" w14:textId="77777777" w:rsidTr="00BE3DA6">
        <w:trPr>
          <w:trHeight w:val="20"/>
        </w:trPr>
        <w:tc>
          <w:tcPr>
            <w:tcW w:w="42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E4F130"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Wifi4AL</w:t>
            </w:r>
          </w:p>
        </w:tc>
        <w:tc>
          <w:tcPr>
            <w:tcW w:w="1613" w:type="dxa"/>
            <w:tcBorders>
              <w:top w:val="single" w:sz="4" w:space="0" w:color="auto"/>
              <w:left w:val="nil"/>
              <w:bottom w:val="single" w:sz="4" w:space="0" w:color="auto"/>
              <w:right w:val="single" w:sz="4" w:space="0" w:color="auto"/>
            </w:tcBorders>
            <w:noWrap/>
            <w:vAlign w:val="bottom"/>
            <w:hideMark/>
          </w:tcPr>
          <w:p w14:paraId="6A057F2C"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430933,53</w:t>
            </w:r>
          </w:p>
        </w:tc>
        <w:tc>
          <w:tcPr>
            <w:tcW w:w="1613" w:type="dxa"/>
            <w:tcBorders>
              <w:top w:val="single" w:sz="4" w:space="0" w:color="auto"/>
              <w:left w:val="nil"/>
              <w:bottom w:val="single" w:sz="4" w:space="0" w:color="auto"/>
              <w:right w:val="single" w:sz="4" w:space="0" w:color="auto"/>
            </w:tcBorders>
            <w:noWrap/>
            <w:vAlign w:val="bottom"/>
            <w:hideMark/>
          </w:tcPr>
          <w:p w14:paraId="6FECB8CA"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206098,65 </w:t>
            </w:r>
          </w:p>
        </w:tc>
        <w:tc>
          <w:tcPr>
            <w:tcW w:w="1613" w:type="dxa"/>
            <w:tcBorders>
              <w:top w:val="single" w:sz="4" w:space="0" w:color="auto"/>
              <w:left w:val="nil"/>
              <w:bottom w:val="single" w:sz="4" w:space="0" w:color="auto"/>
              <w:right w:val="single" w:sz="4" w:space="0" w:color="auto"/>
            </w:tcBorders>
            <w:noWrap/>
            <w:vAlign w:val="bottom"/>
            <w:hideMark/>
          </w:tcPr>
          <w:p w14:paraId="677A01B6"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234203,01</w:t>
            </w:r>
          </w:p>
        </w:tc>
      </w:tr>
      <w:tr w:rsidR="00847F23" w:rsidRPr="00913E39" w14:paraId="423D3F3C" w14:textId="77777777" w:rsidTr="00BE3DA6">
        <w:trPr>
          <w:trHeight w:val="20"/>
        </w:trPr>
        <w:tc>
          <w:tcPr>
            <w:tcW w:w="4221" w:type="dxa"/>
            <w:tcBorders>
              <w:top w:val="single" w:sz="4" w:space="0" w:color="auto"/>
              <w:left w:val="single" w:sz="4" w:space="0" w:color="auto"/>
              <w:bottom w:val="single" w:sz="4" w:space="0" w:color="auto"/>
              <w:right w:val="single" w:sz="4" w:space="0" w:color="auto"/>
            </w:tcBorders>
            <w:shd w:val="clear" w:color="auto" w:fill="FFFFFF"/>
            <w:vAlign w:val="center"/>
          </w:tcPr>
          <w:p w14:paraId="7F288630"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Zhvillimi i rrjeteve 5G </w:t>
            </w:r>
          </w:p>
        </w:tc>
        <w:tc>
          <w:tcPr>
            <w:tcW w:w="1613" w:type="dxa"/>
            <w:tcBorders>
              <w:top w:val="single" w:sz="4" w:space="0" w:color="auto"/>
              <w:left w:val="nil"/>
              <w:bottom w:val="single" w:sz="4" w:space="0" w:color="auto"/>
              <w:right w:val="single" w:sz="4" w:space="0" w:color="auto"/>
            </w:tcBorders>
            <w:noWrap/>
            <w:vAlign w:val="center"/>
          </w:tcPr>
          <w:p w14:paraId="50B0DDFE"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252939,25</w:t>
            </w:r>
          </w:p>
        </w:tc>
        <w:tc>
          <w:tcPr>
            <w:tcW w:w="1613" w:type="dxa"/>
            <w:tcBorders>
              <w:top w:val="single" w:sz="4" w:space="0" w:color="auto"/>
              <w:left w:val="nil"/>
              <w:bottom w:val="single" w:sz="4" w:space="0" w:color="auto"/>
              <w:right w:val="single" w:sz="4" w:space="0" w:color="auto"/>
            </w:tcBorders>
            <w:noWrap/>
            <w:vAlign w:val="center"/>
          </w:tcPr>
          <w:p w14:paraId="2C412B2C"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 xml:space="preserve"> 206098,65 </w:t>
            </w:r>
          </w:p>
        </w:tc>
        <w:tc>
          <w:tcPr>
            <w:tcW w:w="1613" w:type="dxa"/>
            <w:tcBorders>
              <w:top w:val="single" w:sz="4" w:space="0" w:color="auto"/>
              <w:left w:val="nil"/>
              <w:bottom w:val="single" w:sz="4" w:space="0" w:color="auto"/>
              <w:right w:val="single" w:sz="4" w:space="0" w:color="auto"/>
            </w:tcBorders>
            <w:noWrap/>
            <w:vAlign w:val="center"/>
          </w:tcPr>
          <w:p w14:paraId="5B21FEEA" w14:textId="77777777" w:rsidR="00847F23" w:rsidRPr="00913E39" w:rsidRDefault="00847F23" w:rsidP="00BE3DA6">
            <w:pPr>
              <w:spacing w:after="0" w:line="240" w:lineRule="auto"/>
              <w:jc w:val="both"/>
              <w:rPr>
                <w:rFonts w:ascii="Garamond" w:hAnsi="Garamond"/>
                <w:sz w:val="18"/>
              </w:rPr>
            </w:pPr>
            <w:r w:rsidRPr="00913E39">
              <w:rPr>
                <w:rFonts w:ascii="Garamond" w:hAnsi="Garamond"/>
                <w:sz w:val="18"/>
              </w:rPr>
              <w:t>206098,65</w:t>
            </w:r>
          </w:p>
        </w:tc>
      </w:tr>
    </w:tbl>
    <w:p w14:paraId="42AFADAC" w14:textId="59624439" w:rsidR="00847F23" w:rsidRPr="00913E39" w:rsidRDefault="00847F23" w:rsidP="00FC4C60">
      <w:pPr>
        <w:spacing w:after="0" w:line="240" w:lineRule="auto"/>
        <w:ind w:firstLine="284"/>
        <w:jc w:val="both"/>
        <w:rPr>
          <w:rFonts w:ascii="Garamond" w:hAnsi="Garamond"/>
          <w:i/>
          <w:sz w:val="24"/>
        </w:rPr>
      </w:pPr>
      <w:bookmarkStart w:id="13" w:name="_Hlk149124941"/>
      <w:r w:rsidRPr="00913E39">
        <w:rPr>
          <w:rFonts w:ascii="Garamond" w:hAnsi="Garamond"/>
          <w:i/>
          <w:sz w:val="24"/>
        </w:rPr>
        <w:t>Burimi:</w:t>
      </w:r>
      <w:r w:rsidRPr="00913E39">
        <w:rPr>
          <w:rFonts w:ascii="Garamond" w:hAnsi="Garamond"/>
          <w:sz w:val="24"/>
        </w:rPr>
        <w:t xml:space="preserve"> </w:t>
      </w:r>
      <w:r w:rsidRPr="00913E39">
        <w:rPr>
          <w:rFonts w:ascii="Garamond" w:hAnsi="Garamond"/>
          <w:i/>
          <w:sz w:val="24"/>
        </w:rPr>
        <w:t xml:space="preserve">Programi </w:t>
      </w:r>
      <w:r w:rsidR="007D29FF" w:rsidRPr="00913E39">
        <w:rPr>
          <w:rFonts w:ascii="Garamond" w:hAnsi="Garamond"/>
          <w:i/>
          <w:sz w:val="24"/>
        </w:rPr>
        <w:t xml:space="preserve">buxhetor afatmesëm </w:t>
      </w:r>
      <w:r w:rsidRPr="00913E39">
        <w:rPr>
          <w:rFonts w:ascii="Garamond" w:hAnsi="Garamond"/>
          <w:i/>
          <w:sz w:val="24"/>
        </w:rPr>
        <w:t xml:space="preserve">i Ministrisë së Infrastrukturës dhe Energjisë </w:t>
      </w:r>
    </w:p>
    <w:bookmarkEnd w:id="13"/>
    <w:p w14:paraId="672FD4B1" w14:textId="77777777" w:rsidR="007D29FF" w:rsidRPr="00913E39" w:rsidRDefault="007D29FF" w:rsidP="00FC4C60">
      <w:pPr>
        <w:spacing w:after="0" w:line="240" w:lineRule="auto"/>
        <w:ind w:firstLine="284"/>
        <w:jc w:val="both"/>
        <w:rPr>
          <w:rFonts w:ascii="Garamond" w:hAnsi="Garamond"/>
          <w:b/>
          <w:sz w:val="24"/>
        </w:rPr>
      </w:pPr>
    </w:p>
    <w:p w14:paraId="68A68742" w14:textId="3B6D324F"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2.6</w:t>
      </w:r>
      <w:r w:rsidR="007D29FF" w:rsidRPr="00913E39">
        <w:rPr>
          <w:rFonts w:ascii="Garamond" w:hAnsi="Garamond"/>
          <w:i/>
          <w:sz w:val="24"/>
        </w:rPr>
        <w:t xml:space="preserve"> </w:t>
      </w:r>
      <w:r w:rsidRPr="00913E39">
        <w:rPr>
          <w:rFonts w:ascii="Garamond" w:hAnsi="Garamond"/>
          <w:i/>
          <w:sz w:val="24"/>
        </w:rPr>
        <w:t>Kuadri i vlerësimit të performancës</w:t>
      </w:r>
    </w:p>
    <w:p w14:paraId="579FDEC5"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1: Infrastruktura TIK për shërbime më të mira për shoqërinë</w:t>
      </w:r>
    </w:p>
    <w:p w14:paraId="2B3205B5" w14:textId="6E457297" w:rsidR="00847F23" w:rsidRPr="00913E39" w:rsidRDefault="00847F23" w:rsidP="00FC4C60">
      <w:pPr>
        <w:spacing w:after="0" w:line="240" w:lineRule="auto"/>
        <w:ind w:firstLine="284"/>
        <w:jc w:val="both"/>
        <w:rPr>
          <w:rFonts w:ascii="Garamond" w:hAnsi="Garamond"/>
          <w:i/>
          <w:sz w:val="24"/>
          <w:highlight w:val="green"/>
        </w:rPr>
      </w:pPr>
      <w:r w:rsidRPr="00913E39">
        <w:rPr>
          <w:rFonts w:ascii="Garamond" w:hAnsi="Garamond"/>
          <w:i/>
          <w:sz w:val="24"/>
        </w:rPr>
        <w:t>Nën</w:t>
      </w:r>
      <w:r w:rsidR="00961E3E" w:rsidRPr="00913E39">
        <w:rPr>
          <w:rFonts w:ascii="Garamond" w:hAnsi="Garamond"/>
          <w:i/>
          <w:sz w:val="24"/>
        </w:rPr>
        <w:t>f</w:t>
      </w:r>
      <w:r w:rsidRPr="00913E39">
        <w:rPr>
          <w:rFonts w:ascii="Garamond" w:hAnsi="Garamond"/>
          <w:i/>
          <w:sz w:val="24"/>
        </w:rPr>
        <w:t xml:space="preserve">usha e mbështetjes 1.1: Shëndetësia </w:t>
      </w:r>
      <w:r w:rsidR="00961E3E" w:rsidRPr="00913E39">
        <w:rPr>
          <w:rFonts w:ascii="Garamond" w:hAnsi="Garamond"/>
          <w:i/>
          <w:sz w:val="24"/>
        </w:rPr>
        <w:t>digjitale</w:t>
      </w:r>
    </w:p>
    <w:p w14:paraId="3911B7F0" w14:textId="3A7249C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Zbatimi i Strategjisë Kombëtare për Shëndetësinë (SKSH) 2021</w:t>
      </w:r>
      <w:r w:rsidR="00961E3E" w:rsidRPr="00913E39">
        <w:rPr>
          <w:rFonts w:ascii="Garamond" w:hAnsi="Garamond"/>
          <w:sz w:val="24"/>
        </w:rPr>
        <w:t>–</w:t>
      </w:r>
      <w:r w:rsidRPr="00913E39">
        <w:rPr>
          <w:rFonts w:ascii="Garamond" w:hAnsi="Garamond"/>
          <w:sz w:val="24"/>
        </w:rPr>
        <w:t xml:space="preserve">2030 koordinohet nga Grupi Ndërinstitucional i Punës për SKSH 2030, i cili do të sigurojë një koordinim më specifik dhe menaxhim të përgjithshëm të strategjisë. Funksioni koordinues i Grupit Ndërinstitucional të Punës fokusohet në sigurimin e koherencës së politikave të të gjitha strategjive kombëtare shëndetësore, planeve të veprimit dhe politikave në nivel praktik. Kjo përfshin sigurinë e pasqyrimit të strategjisë specifike dhe planeve të veprimit të fushave përkatëse nëpërmjet aktiviteteve specifike në këtë dokument strategjik. Përveç kësaj, korniza e treguesve dhe buxheti i dokumenteve strategjike të një niveli më të ulët janë në përputhje me ato të SKSH-së 2030 dhe buxheti i sektorit të shëndetësisë do të kontrollohet nëpërmjet rëndësisë nga niveli më i lartë i SKSH-së 2030 në nivelet më të ulëta, sipas institucioneve përkatëse. Grupi Ndërinstitucional i Punës për SKSH 2030 është përgjegjës për planifikimin dhe zhvillimin e strategjive kombëtare shëndetësore më të detajuara, në ato fusha ku këto nevoja janë të përcaktuara në SKSH 2030, për shembull, në fushën e burimeve njerëzore për shëndetësinë etj. </w:t>
      </w:r>
    </w:p>
    <w:p w14:paraId="77CA3B17" w14:textId="5355E07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Bordi drejtues i strategjisë është organi përgjegjës për vlerësimin e ecurisë së zbatimit (si aktivitetet ashtu edhe buxhetin), për ecurinë dhe arritjen e objektivave, treguesve dhe për zhvillimin e veprimeve korrigjuese për zbatimin e strategjisë sipas nevojës. Mbështetur në detyrimin ligjor, zbatimi i SKSH 2021</w:t>
      </w:r>
      <w:r w:rsidR="00B55A70" w:rsidRPr="00913E39">
        <w:rPr>
          <w:rFonts w:ascii="Garamond" w:hAnsi="Garamond"/>
          <w:sz w:val="24"/>
        </w:rPr>
        <w:t>–</w:t>
      </w:r>
      <w:r w:rsidRPr="00913E39">
        <w:rPr>
          <w:rFonts w:ascii="Garamond" w:hAnsi="Garamond"/>
          <w:sz w:val="24"/>
        </w:rPr>
        <w:t>2030 rishikohet nga autoriteti përgjegjës për monitorimin dhe koordinimin e SKSH-së. Raportet hartohen nga ekipet teknike të MSHMS/SKSH, grupet ndërministrore dhe diskutohen për rekomandime të mëtejshme të hapura për shoqërinë civile. Do të krijohet dhe zbatohet një mekanizëm i qëndrueshëm konsultimi publik për zbatimin e SKSH</w:t>
      </w:r>
      <w:r w:rsidR="007D29FF" w:rsidRPr="00913E39">
        <w:rPr>
          <w:rFonts w:ascii="Garamond" w:hAnsi="Garamond"/>
          <w:sz w:val="24"/>
        </w:rPr>
        <w:t>-së</w:t>
      </w:r>
      <w:r w:rsidRPr="00913E39">
        <w:rPr>
          <w:rFonts w:ascii="Garamond" w:hAnsi="Garamond"/>
          <w:sz w:val="24"/>
        </w:rPr>
        <w:t xml:space="preserve"> me qytetarët për të siguruar kontributin e tyre të vazhdueshëm.</w:t>
      </w:r>
    </w:p>
    <w:p w14:paraId="2449D77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Raportet vjetore dhe afatmesme të monitorimit dhe vlerësimit i dorëzohen për rekomandime Grupeve Teknike të ngritura nga institucionet shëndetësore. Çdo vit, raportet e monitorimit shqyrtohen nga Kuvendi i Shqipërisë, Grupi Parlamentar dhe Komisioni i Shëndetësisë. </w:t>
      </w:r>
    </w:p>
    <w:p w14:paraId="3FDAEE15" w14:textId="40E4573A"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Figura 5</w:t>
      </w:r>
      <w:r w:rsidR="00850FC7" w:rsidRPr="00913E39">
        <w:rPr>
          <w:rFonts w:ascii="Garamond" w:eastAsia="Times New Roman" w:hAnsi="Garamond" w:cs="Times New Roman"/>
          <w:bCs/>
          <w:i/>
          <w:sz w:val="24"/>
          <w:szCs w:val="24"/>
        </w:rPr>
        <w:t>.</w:t>
      </w:r>
      <w:r w:rsidRPr="00913E39">
        <w:rPr>
          <w:rFonts w:ascii="Garamond" w:hAnsi="Garamond"/>
          <w:i/>
          <w:sz w:val="24"/>
        </w:rPr>
        <w:t xml:space="preserve"> Procesi i koordinimit të kuadrit strategjik për Strategjinë Kombëtare të Shëndetësisë 2021</w:t>
      </w:r>
      <w:r w:rsidR="00B55A70" w:rsidRPr="00913E39">
        <w:rPr>
          <w:rFonts w:ascii="Garamond" w:hAnsi="Garamond"/>
          <w:i/>
          <w:sz w:val="24"/>
        </w:rPr>
        <w:t>–</w:t>
      </w:r>
      <w:r w:rsidRPr="00913E39">
        <w:rPr>
          <w:rFonts w:ascii="Garamond" w:hAnsi="Garamond"/>
          <w:i/>
          <w:sz w:val="24"/>
        </w:rPr>
        <w:t>2030</w:t>
      </w:r>
    </w:p>
    <w:p w14:paraId="4CEC61E9" w14:textId="77777777" w:rsidR="00847F23" w:rsidRPr="00913E39" w:rsidRDefault="00BE3DA6" w:rsidP="00BE3DA6">
      <w:pPr>
        <w:spacing w:after="0" w:line="240" w:lineRule="auto"/>
        <w:ind w:firstLine="284"/>
        <w:jc w:val="center"/>
        <w:rPr>
          <w:rFonts w:ascii="Garamond" w:hAnsi="Garamond"/>
          <w:sz w:val="24"/>
        </w:rPr>
      </w:pPr>
      <w:r w:rsidRPr="00913E39">
        <w:rPr>
          <w:rFonts w:ascii="Calibri" w:hAnsi="Calibri"/>
          <w:noProof/>
        </w:rPr>
        <w:drawing>
          <wp:inline distT="0" distB="0" distL="0" distR="0" wp14:anchorId="1B6BF451" wp14:editId="1788979A">
            <wp:extent cx="4632960" cy="29032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32960" cy="2903220"/>
                    </a:xfrm>
                    <a:prstGeom prst="rect">
                      <a:avLst/>
                    </a:prstGeom>
                    <a:noFill/>
                  </pic:spPr>
                </pic:pic>
              </a:graphicData>
            </a:graphic>
          </wp:inline>
        </w:drawing>
      </w:r>
    </w:p>
    <w:p w14:paraId="23751006"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Burimi:</w:t>
      </w:r>
      <w:r w:rsidRPr="00913E39">
        <w:rPr>
          <w:rFonts w:ascii="Garamond" w:hAnsi="Garamond"/>
          <w:sz w:val="24"/>
        </w:rPr>
        <w:t xml:space="preserve"> Strategjia Kombëtare e Shëndetësisë, 2021</w:t>
      </w:r>
    </w:p>
    <w:p w14:paraId="0DCA3C10" w14:textId="77777777" w:rsidR="007D29FF" w:rsidRPr="00913E39" w:rsidRDefault="007D29FF" w:rsidP="00FC4C60">
      <w:pPr>
        <w:spacing w:after="0" w:line="240" w:lineRule="auto"/>
        <w:ind w:firstLine="284"/>
        <w:jc w:val="both"/>
        <w:rPr>
          <w:rFonts w:ascii="Garamond" w:hAnsi="Garamond"/>
          <w:b/>
          <w:sz w:val="24"/>
        </w:rPr>
      </w:pPr>
    </w:p>
    <w:p w14:paraId="5CF46AA1" w14:textId="2091A095"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B55A70" w:rsidRPr="00913E39">
        <w:rPr>
          <w:rFonts w:ascii="Garamond" w:hAnsi="Garamond"/>
          <w:i/>
          <w:sz w:val="24"/>
        </w:rPr>
        <w:t>f</w:t>
      </w:r>
      <w:r w:rsidRPr="00913E39">
        <w:rPr>
          <w:rFonts w:ascii="Garamond" w:hAnsi="Garamond"/>
          <w:i/>
          <w:sz w:val="24"/>
        </w:rPr>
        <w:t xml:space="preserve">usha e mbështetjes 1.2: Edukimi </w:t>
      </w:r>
      <w:r w:rsidR="00B55A70" w:rsidRPr="00913E39">
        <w:rPr>
          <w:rFonts w:ascii="Garamond" w:hAnsi="Garamond"/>
          <w:i/>
          <w:sz w:val="24"/>
        </w:rPr>
        <w:t>digjital</w:t>
      </w:r>
    </w:p>
    <w:p w14:paraId="27AB8206" w14:textId="3E9ED23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MAS-i ndjek dhe monitoron zbatimin e Strategjisë Kombëtare të Arsimit 2021</w:t>
      </w:r>
      <w:r w:rsidR="00B55A70" w:rsidRPr="00913E39">
        <w:rPr>
          <w:rFonts w:ascii="Garamond" w:hAnsi="Garamond"/>
          <w:sz w:val="24"/>
        </w:rPr>
        <w:t>–</w:t>
      </w:r>
      <w:r w:rsidRPr="00913E39">
        <w:rPr>
          <w:rFonts w:ascii="Garamond" w:hAnsi="Garamond"/>
          <w:sz w:val="24"/>
        </w:rPr>
        <w:t>2026 (SKA) të miratuar me vendim të Këshillit të Ministrave nr.</w:t>
      </w:r>
      <w:r w:rsidR="00B55A70" w:rsidRPr="00913E39">
        <w:rPr>
          <w:rFonts w:ascii="Garamond" w:hAnsi="Garamond"/>
          <w:sz w:val="24"/>
        </w:rPr>
        <w:t xml:space="preserve"> </w:t>
      </w:r>
      <w:r w:rsidRPr="00913E39">
        <w:rPr>
          <w:rFonts w:ascii="Garamond" w:hAnsi="Garamond"/>
          <w:sz w:val="24"/>
        </w:rPr>
        <w:t>621, datë 22.10.2021</w:t>
      </w:r>
      <w:r w:rsidR="007B1BC3"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miratimin e Strategjisë Kombëtare të Arsimit dhe Planit të saj të Veprimit 2021</w:t>
      </w:r>
      <w:r w:rsidR="00B55A70" w:rsidRPr="00913E39">
        <w:rPr>
          <w:rFonts w:ascii="Garamond" w:hAnsi="Garamond"/>
          <w:sz w:val="24"/>
        </w:rPr>
        <w:t>–</w:t>
      </w:r>
      <w:r w:rsidRPr="00913E39">
        <w:rPr>
          <w:rFonts w:ascii="Garamond" w:hAnsi="Garamond"/>
          <w:sz w:val="24"/>
        </w:rPr>
        <w:t>2026</w:t>
      </w:r>
      <w:r w:rsidR="00850FC7" w:rsidRPr="00913E39">
        <w:rPr>
          <w:rFonts w:ascii="Garamond" w:hAnsi="Garamond"/>
          <w:sz w:val="24"/>
        </w:rPr>
        <w:t>”</w:t>
      </w:r>
      <w:r w:rsidRPr="00913E39">
        <w:rPr>
          <w:rFonts w:ascii="Garamond" w:hAnsi="Garamond"/>
          <w:sz w:val="24"/>
        </w:rPr>
        <w:t xml:space="preserve"> me prioritet dhe në koordinim të plotë me të gjithë aktorët e përfshirë.</w:t>
      </w:r>
    </w:p>
    <w:p w14:paraId="79A7EA5B" w14:textId="4CCCA3E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çdo objektiv jepen masa dhe tregues si pjesë e SKA-së. Monitorimi i strategjisë kombëtare të arsimit bëhet në një periudhë 6-mujore për të demonstruar realizueshmërinë e masave të planifikuara. Për monitorimin e strategjisë janë ngritur 5 grupe pune nga </w:t>
      </w:r>
      <w:r w:rsidR="00346E06" w:rsidRPr="00913E39">
        <w:rPr>
          <w:rFonts w:ascii="Garamond" w:hAnsi="Garamond"/>
          <w:sz w:val="24"/>
        </w:rPr>
        <w:t xml:space="preserve">ministri </w:t>
      </w:r>
      <w:r w:rsidRPr="00913E39">
        <w:rPr>
          <w:rFonts w:ascii="Garamond" w:hAnsi="Garamond"/>
          <w:sz w:val="24"/>
        </w:rPr>
        <w:t xml:space="preserve">i Arsimit dhe Sportit me </w:t>
      </w:r>
      <w:r w:rsidR="00346E06" w:rsidRPr="00913E39">
        <w:rPr>
          <w:rFonts w:ascii="Garamond" w:hAnsi="Garamond"/>
          <w:sz w:val="24"/>
        </w:rPr>
        <w:t xml:space="preserve">urdhrin </w:t>
      </w:r>
      <w:r w:rsidRPr="00913E39">
        <w:rPr>
          <w:rFonts w:ascii="Garamond" w:hAnsi="Garamond"/>
          <w:sz w:val="24"/>
        </w:rPr>
        <w:t>nr. 337, datë 15.6.2022, i ndryshuar. Këto grupe përbëhen nga përfaqësues të institucioneve të ndryshme, të cilët përfshihen në aktivitete për një objektiv të caktuar specifik dhe që kontribuojnë me informacionin e saktë të nevojshëm për monitorimin e strategjisë. Ka masa ku planifikimi i rëndësishëm buxhetor është i detyrueshëm, të cilat mund të garantojnë qëndrueshmërinë e zbatimit të këtyre masave. Për shembull, në lidhje me digjitalizimin, MAS</w:t>
      </w:r>
      <w:r w:rsidR="00346E06" w:rsidRPr="00913E39">
        <w:rPr>
          <w:rFonts w:ascii="Garamond" w:hAnsi="Garamond"/>
          <w:sz w:val="24"/>
        </w:rPr>
        <w:t>-i</w:t>
      </w:r>
      <w:r w:rsidRPr="00913E39">
        <w:rPr>
          <w:rFonts w:ascii="Garamond" w:hAnsi="Garamond"/>
          <w:sz w:val="24"/>
        </w:rPr>
        <w:t xml:space="preserve"> ka planifikuar aktivitete që kërkojnë plane të rëndësishme buxhetore. MAS-i aktualisht po koordinon veprimet me partnerët ndërkombëtarë për të garantuar fondet e nevojshme që zbatimi i SKA-së të jetë i qëndrueshëm. </w:t>
      </w:r>
    </w:p>
    <w:p w14:paraId="39D69E85" w14:textId="05A56FD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fushën e arsimit, MAS</w:t>
      </w:r>
      <w:r w:rsidR="00BC1693" w:rsidRPr="00913E39">
        <w:rPr>
          <w:rFonts w:ascii="Garamond" w:hAnsi="Garamond"/>
          <w:sz w:val="24"/>
        </w:rPr>
        <w:t>-i</w:t>
      </w:r>
      <w:r w:rsidRPr="00913E39">
        <w:rPr>
          <w:rFonts w:ascii="Garamond" w:hAnsi="Garamond"/>
          <w:sz w:val="24"/>
        </w:rPr>
        <w:t xml:space="preserve"> mbledh statistika për arsimin në lidhje me regjistrimin dhe diplomimin e nxënësve dhe studentëve në arsimin zyrtar, të dhëna për stafin mësimdhënës për çdo vit akademik, të dhëna për pjesëmarrjen e nxënësve dhe studentëve në programe dhe nivele arsimore në institucionet publike dhe private dhe treguesit e tjerë përkatës. I gjithë informacioni i jepet INSTAT-it. Të dhënat mblidhen edhe nga anketimet për arsimimin e të rriturve që kryhet çdo 5 vjet nga INSTAT</w:t>
      </w:r>
      <w:r w:rsidR="00D00E2F" w:rsidRPr="00913E39">
        <w:rPr>
          <w:rFonts w:ascii="Garamond" w:hAnsi="Garamond"/>
          <w:sz w:val="24"/>
        </w:rPr>
        <w:t>-i</w:t>
      </w:r>
      <w:r w:rsidRPr="00913E39">
        <w:rPr>
          <w:rFonts w:ascii="Garamond" w:hAnsi="Garamond"/>
          <w:sz w:val="24"/>
        </w:rPr>
        <w:t xml:space="preserve">. Të dhënat në lidhje me popullsinë 25 vjeç e lart dhe nivelin e tyre arsimor janë mbledhur nëpërmjet </w:t>
      </w:r>
      <w:r w:rsidR="00BC1693" w:rsidRPr="00913E39">
        <w:rPr>
          <w:rFonts w:ascii="Garamond" w:hAnsi="Garamond"/>
          <w:sz w:val="24"/>
        </w:rPr>
        <w:t xml:space="preserve">anketës së fuqisë punëtore </w:t>
      </w:r>
      <w:r w:rsidRPr="00913E39">
        <w:rPr>
          <w:rFonts w:ascii="Garamond" w:hAnsi="Garamond"/>
          <w:sz w:val="24"/>
        </w:rPr>
        <w:t>(AFP). Të dhënat administrative për arsimin zyrtar të kryer nga INSTAT</w:t>
      </w:r>
      <w:r w:rsidR="006F11A8" w:rsidRPr="00913E39">
        <w:rPr>
          <w:rFonts w:ascii="Garamond" w:hAnsi="Garamond"/>
          <w:sz w:val="24"/>
        </w:rPr>
        <w:t>-i</w:t>
      </w:r>
      <w:r w:rsidRPr="00913E39">
        <w:rPr>
          <w:rFonts w:ascii="Garamond" w:hAnsi="Garamond"/>
          <w:sz w:val="24"/>
        </w:rPr>
        <w:t xml:space="preserve"> mblidhen nëpërmjet pyetësorëve të hartuar që u dërgohen zyrave statistikore në Ministrinë e Arsimit dhe Sportit dhe Ministrinë e Financave dhe Ekonomisë. Të dhënat dhe treguesit e llogaritur pas përpunimit të të dhënave janë pjesë kyçe e Programit Kombëtar të Statistikave. UNESCO</w:t>
      </w:r>
      <w:r w:rsidR="00BC1693" w:rsidRPr="00913E39">
        <w:rPr>
          <w:rFonts w:ascii="Garamond" w:hAnsi="Garamond"/>
          <w:sz w:val="24"/>
        </w:rPr>
        <w:t>-ja</w:t>
      </w:r>
      <w:r w:rsidRPr="00913E39">
        <w:rPr>
          <w:rFonts w:ascii="Garamond" w:hAnsi="Garamond"/>
          <w:sz w:val="24"/>
        </w:rPr>
        <w:t xml:space="preserve"> ka gjithashtu statistika që lidhen me disa veçori të arsimit. Këto statistika mblidhen në bashkëpunim me institucionet shqiptare si Ministrinë e Arsimit dhe Sportit, Ministrinë e Financave dhe Ekonomisë dhe INSTAT-in.</w:t>
      </w:r>
      <w:r w:rsidRPr="00913E39">
        <w:rPr>
          <w:rFonts w:ascii="Garamond" w:hAnsi="Garamond"/>
          <w:sz w:val="24"/>
          <w:vertAlign w:val="superscript"/>
        </w:rPr>
        <w:footnoteReference w:id="32"/>
      </w:r>
    </w:p>
    <w:p w14:paraId="798C18B9" w14:textId="5300823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Drejtoria e Përgjithshme për Zhvillimin e Arsimit dhe Sportit mbledh të dhëna në mënyrë të vazhdueshme dhe i raporton në MAS të dhënat për zbatimin e kurrikulave, përdorimin e pajisjeve TIK (tableta, laptop etj.) në shkolla, situatën e laboratorëve TIK, internetin dhe </w:t>
      </w:r>
      <w:r w:rsidRPr="00913E39">
        <w:rPr>
          <w:rFonts w:ascii="Garamond" w:hAnsi="Garamond"/>
          <w:i/>
          <w:sz w:val="24"/>
        </w:rPr>
        <w:t>broadband</w:t>
      </w:r>
      <w:r w:rsidRPr="00913E39">
        <w:rPr>
          <w:rFonts w:ascii="Garamond" w:hAnsi="Garamond"/>
          <w:sz w:val="24"/>
        </w:rPr>
        <w:t xml:space="preserve"> në shkolla dhe të dhëna të tjera që lidhen me procesin mësimor. </w:t>
      </w:r>
    </w:p>
    <w:p w14:paraId="0E9D6B32" w14:textId="158700B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kuadër të kapitullit 26 për </w:t>
      </w:r>
      <w:r w:rsidR="007D29FF" w:rsidRPr="00913E39">
        <w:rPr>
          <w:rFonts w:ascii="Garamond" w:hAnsi="Garamond"/>
          <w:sz w:val="24"/>
        </w:rPr>
        <w:t>arsimin dhe kulturën</w:t>
      </w:r>
      <w:r w:rsidRPr="00913E39">
        <w:rPr>
          <w:rFonts w:ascii="Garamond" w:hAnsi="Garamond"/>
          <w:sz w:val="24"/>
        </w:rPr>
        <w:t>, MAS</w:t>
      </w:r>
      <w:r w:rsidR="00CA56B4" w:rsidRPr="00913E39">
        <w:rPr>
          <w:rFonts w:ascii="Garamond" w:hAnsi="Garamond"/>
          <w:sz w:val="24"/>
        </w:rPr>
        <w:t>-i</w:t>
      </w:r>
      <w:r w:rsidRPr="00913E39">
        <w:rPr>
          <w:rFonts w:ascii="Garamond" w:hAnsi="Garamond"/>
          <w:sz w:val="24"/>
        </w:rPr>
        <w:t xml:space="preserve"> koordinon procesin e sigurimit të të dhënave përkatëse statistikore për arsimin. Këto të dhëna mblidhen nga institucione të ndryshme duke përfshirë Departamentin e Statistikave pranë Ministrisë, Ministrinë e Financave dhe Ekonomisë dhe INSTAT-in për statistikat që lidhen me popullsinë e përgjithshme. </w:t>
      </w:r>
    </w:p>
    <w:p w14:paraId="4826058D"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2: Integrimi me sistemet e teknologjisë së informacionit të BE-së, siguria kibernetike dhe ndërlidhja digjitale</w:t>
      </w:r>
    </w:p>
    <w:p w14:paraId="75AFC863" w14:textId="53EE114A"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DF62BA" w:rsidRPr="00913E39">
        <w:rPr>
          <w:rFonts w:ascii="Garamond" w:hAnsi="Garamond"/>
          <w:i/>
          <w:sz w:val="24"/>
        </w:rPr>
        <w:t>f</w:t>
      </w:r>
      <w:r w:rsidRPr="00913E39">
        <w:rPr>
          <w:rFonts w:ascii="Garamond" w:hAnsi="Garamond"/>
          <w:i/>
          <w:sz w:val="24"/>
        </w:rPr>
        <w:t>usha e mbështetjes 2.1: Tatimet</w:t>
      </w:r>
    </w:p>
    <w:p w14:paraId="73A779D2" w14:textId="5C7B4A8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Drejtoria e Menaxhimit të Financave Publike (MFP) drejton përgatitjen e raportit vjetor të monitorimit të MFP-së dhe kërkon raportim nga të gjitha institucionet drejtuese </w:t>
      </w:r>
      <w:r w:rsidR="00F54D14" w:rsidRPr="00913E39">
        <w:rPr>
          <w:rFonts w:ascii="Garamond" w:hAnsi="Garamond"/>
          <w:sz w:val="24"/>
        </w:rPr>
        <w:t xml:space="preserve">të objektivave specifikë përgjegjës </w:t>
      </w:r>
      <w:r w:rsidRPr="00913E39">
        <w:rPr>
          <w:rFonts w:ascii="Garamond" w:hAnsi="Garamond"/>
          <w:sz w:val="24"/>
        </w:rPr>
        <w:t>për raportimin e zbatimit të Strategjisë kundrejt planit të kostuar të veprimit, performancës ndaj objektivave, çdo vonesë apo ndryshim, identifikim tërisqeve të materializuara, peripecive të reja dhe masave të tyre zbutëse. Ky raport vjen pas paketës së instrumenteve të monitorimit të miratuar nga Komiteti Drejtues i 11</w:t>
      </w:r>
      <w:r w:rsidR="007D29FF" w:rsidRPr="00913E39">
        <w:rPr>
          <w:rFonts w:ascii="Garamond" w:hAnsi="Garamond"/>
          <w:sz w:val="24"/>
        </w:rPr>
        <w:t>-</w:t>
      </w:r>
      <w:r w:rsidRPr="00913E39">
        <w:rPr>
          <w:rFonts w:ascii="Garamond" w:hAnsi="Garamond"/>
          <w:sz w:val="24"/>
          <w:vertAlign w:val="superscript"/>
        </w:rPr>
        <w:t>të</w:t>
      </w:r>
      <w:r w:rsidRPr="00913E39">
        <w:rPr>
          <w:rFonts w:ascii="Garamond" w:hAnsi="Garamond"/>
          <w:sz w:val="24"/>
        </w:rPr>
        <w:t xml:space="preserve"> (KS) më 7 prill 2020, dhe </w:t>
      </w:r>
      <w:r w:rsidR="00456458" w:rsidRPr="00913E39">
        <w:rPr>
          <w:rFonts w:ascii="Garamond" w:hAnsi="Garamond"/>
          <w:sz w:val="24"/>
        </w:rPr>
        <w:t xml:space="preserve">vendimit </w:t>
      </w:r>
      <w:r w:rsidRPr="00913E39">
        <w:rPr>
          <w:rFonts w:ascii="Garamond" w:hAnsi="Garamond"/>
          <w:sz w:val="24"/>
        </w:rPr>
        <w:t>të Këshillit të Ministrave nr. 290, datë 11 prill 2020, që ka krijuar bazën e të dhënave shtetërore të Sistemit Informatik të Planifikimit të Integruar (SIPI/IPSIS).</w:t>
      </w:r>
    </w:p>
    <w:p w14:paraId="7AF950DE" w14:textId="0A1368B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Sistemi i monitorimit dhe raportimit mbështetet nga mekanizmi GMPI, me GMPI </w:t>
      </w:r>
      <w:r w:rsidR="00850FC7" w:rsidRPr="00913E39">
        <w:rPr>
          <w:rFonts w:ascii="Garamond" w:hAnsi="Garamond"/>
          <w:sz w:val="24"/>
        </w:rPr>
        <w:t>“</w:t>
      </w:r>
      <w:r w:rsidRPr="00913E39">
        <w:rPr>
          <w:rFonts w:ascii="Garamond" w:hAnsi="Garamond"/>
          <w:sz w:val="24"/>
        </w:rPr>
        <w:t xml:space="preserve">Demokracia, </w:t>
      </w:r>
      <w:r w:rsidR="00456458" w:rsidRPr="00913E39">
        <w:rPr>
          <w:rFonts w:ascii="Garamond" w:hAnsi="Garamond"/>
          <w:sz w:val="24"/>
        </w:rPr>
        <w:t>sundimi i ligjit dhe qeverisja e mirë</w:t>
      </w:r>
      <w:r w:rsidR="00850FC7" w:rsidRPr="00913E39">
        <w:rPr>
          <w:rFonts w:ascii="Garamond" w:hAnsi="Garamond"/>
          <w:sz w:val="24"/>
        </w:rPr>
        <w:t>”</w:t>
      </w:r>
      <w:r w:rsidRPr="00913E39">
        <w:rPr>
          <w:rFonts w:ascii="Garamond" w:hAnsi="Garamond"/>
          <w:sz w:val="24"/>
        </w:rPr>
        <w:t xml:space="preserve"> që shërben si mekanizmi kryesor koordinues. </w:t>
      </w:r>
      <w:r w:rsidRPr="00913E39">
        <w:rPr>
          <w:rFonts w:ascii="Garamond" w:hAnsi="Garamond"/>
          <w:sz w:val="24"/>
        </w:rPr>
        <w:lastRenderedPageBreak/>
        <w:t>Ministria e Financave dhe Ekonomisë, nëpërmjet Drejtorisë së saj të Menaxhimit të Reformave në Fushën e Menaxhimit të Financave Publike, merr rolin drejtuesnë raportimin e ecurisë vjetore të objektivave të politikave në Strategjinë e MFP-së, duke mbledhur informacion nga agjencitë në varësi, përkatësisht Drejtoria e Përgjithshme e Tatimeve dhe Drejtoria e Përgjithshme e Doganave.</w:t>
      </w:r>
    </w:p>
    <w:p w14:paraId="49A03DEC" w14:textId="26B0022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Komiteti Sektorial i Monitorimit të IPA</w:t>
      </w:r>
      <w:r w:rsidR="0067274B" w:rsidRPr="00913E39">
        <w:rPr>
          <w:rFonts w:ascii="Garamond" w:hAnsi="Garamond"/>
          <w:sz w:val="24"/>
        </w:rPr>
        <w:t>-së</w:t>
      </w:r>
      <w:r w:rsidRPr="00913E39">
        <w:rPr>
          <w:rFonts w:ascii="Garamond" w:hAnsi="Garamond"/>
          <w:sz w:val="24"/>
        </w:rPr>
        <w:t xml:space="preserve"> mbikëqyr zbatimin e veprimeve dhe siguron përmbushjen e objektivave në nivel sektori. Komiteti mblidhet dy herë në vit dhe përfshin përfaqësues nga Ministria e Financave dhe Ekonomisë, Drejtoria e Përgjithshme e Tatimeve, Koordinatori Kombëtar i IPA-s (KKIPA) dhe Delegacioni i Bashkimit Evropian. </w:t>
      </w:r>
    </w:p>
    <w:p w14:paraId="23746885" w14:textId="275C21A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C03059" w:rsidRPr="00913E39">
        <w:rPr>
          <w:rFonts w:ascii="Garamond" w:hAnsi="Garamond"/>
          <w:i/>
          <w:sz w:val="24"/>
        </w:rPr>
        <w:t>f</w:t>
      </w:r>
      <w:r w:rsidRPr="00913E39">
        <w:rPr>
          <w:rFonts w:ascii="Garamond" w:hAnsi="Garamond"/>
          <w:i/>
          <w:sz w:val="24"/>
        </w:rPr>
        <w:t>usha e mbështetjes 2.2: Siguria kibernetike</w:t>
      </w:r>
    </w:p>
    <w:p w14:paraId="43DA6B5E" w14:textId="00E8083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Aktualisht është </w:t>
      </w:r>
      <w:r w:rsidR="00C03059" w:rsidRPr="00913E39">
        <w:rPr>
          <w:rFonts w:ascii="Garamond" w:hAnsi="Garamond"/>
          <w:sz w:val="24"/>
        </w:rPr>
        <w:t>përgatitur</w:t>
      </w:r>
      <w:r w:rsidRPr="00913E39">
        <w:rPr>
          <w:rFonts w:ascii="Garamond" w:hAnsi="Garamond"/>
          <w:sz w:val="24"/>
        </w:rPr>
        <w:t xml:space="preserve"> kuadri i monitorimit për Agjendën Digjitale, me një afat kohor të qartë për raportimin e progresit të përfshirë në planin e veprimit të Agjendës Digjitale të Shqipërisë 2022</w:t>
      </w:r>
      <w:r w:rsidR="00C03059" w:rsidRPr="00913E39">
        <w:rPr>
          <w:rFonts w:ascii="Garamond" w:hAnsi="Garamond"/>
          <w:sz w:val="24"/>
        </w:rPr>
        <w:t>–</w:t>
      </w:r>
      <w:r w:rsidRPr="00913E39">
        <w:rPr>
          <w:rFonts w:ascii="Garamond" w:hAnsi="Garamond"/>
          <w:sz w:val="24"/>
        </w:rPr>
        <w:t xml:space="preserve">2026. Strategjitë e ciklit të mëparshëm janë vlerësuar </w:t>
      </w:r>
      <w:r w:rsidR="00C03059" w:rsidRPr="00913E39">
        <w:rPr>
          <w:rFonts w:ascii="Garamond" w:hAnsi="Garamond"/>
          <w:sz w:val="24"/>
        </w:rPr>
        <w:t>nëpërmjet raporteve vjetore</w:t>
      </w:r>
      <w:r w:rsidRPr="00913E39">
        <w:rPr>
          <w:rFonts w:ascii="Garamond" w:hAnsi="Garamond"/>
          <w:sz w:val="24"/>
        </w:rPr>
        <w:t xml:space="preserve">, të cilat kanë ofruar informacion dhe analizë të përditësuar mbi zbatimin e projekteve dhe sfidat e hasura. Strategjia Ndërsektoriale </w:t>
      </w:r>
      <w:r w:rsidR="00850FC7" w:rsidRPr="00913E39">
        <w:rPr>
          <w:rFonts w:ascii="Garamond" w:hAnsi="Garamond"/>
          <w:sz w:val="24"/>
        </w:rPr>
        <w:t>“</w:t>
      </w:r>
      <w:r w:rsidRPr="00913E39">
        <w:rPr>
          <w:rFonts w:ascii="Garamond" w:hAnsi="Garamond"/>
          <w:sz w:val="24"/>
        </w:rPr>
        <w:t>Agjenda Digjitale e Shqipërisë 2015</w:t>
      </w:r>
      <w:r w:rsidR="00456458" w:rsidRPr="00913E39">
        <w:rPr>
          <w:rFonts w:ascii="Garamond" w:hAnsi="Garamond"/>
          <w:sz w:val="24"/>
        </w:rPr>
        <w:t>–</w:t>
      </w:r>
      <w:r w:rsidRPr="00913E39">
        <w:rPr>
          <w:rFonts w:ascii="Garamond" w:hAnsi="Garamond"/>
          <w:sz w:val="24"/>
        </w:rPr>
        <w:t>2020</w:t>
      </w:r>
      <w:r w:rsidR="00850FC7" w:rsidRPr="00913E39">
        <w:rPr>
          <w:rFonts w:ascii="Garamond" w:hAnsi="Garamond"/>
          <w:sz w:val="24"/>
        </w:rPr>
        <w:t>”</w:t>
      </w:r>
      <w:r w:rsidRPr="00913E39">
        <w:rPr>
          <w:rFonts w:ascii="Garamond" w:hAnsi="Garamond"/>
          <w:sz w:val="24"/>
          <w:vertAlign w:val="superscript"/>
        </w:rPr>
        <w:footnoteReference w:id="33"/>
      </w:r>
      <w:r w:rsidRPr="00913E39">
        <w:rPr>
          <w:rFonts w:ascii="Garamond" w:hAnsi="Garamond"/>
          <w:sz w:val="24"/>
        </w:rPr>
        <w:t xml:space="preserve"> iu nënshtrua një rishikimi afatmesëm në vitin 2016</w:t>
      </w:r>
      <w:r w:rsidRPr="00913E39">
        <w:rPr>
          <w:rFonts w:ascii="Garamond" w:hAnsi="Garamond"/>
          <w:sz w:val="24"/>
          <w:vertAlign w:val="superscript"/>
        </w:rPr>
        <w:footnoteReference w:id="34"/>
      </w:r>
      <w:r w:rsidRPr="00913E39">
        <w:rPr>
          <w:rFonts w:ascii="Garamond" w:hAnsi="Garamond"/>
          <w:sz w:val="24"/>
        </w:rPr>
        <w:t xml:space="preserve">. Për sa </w:t>
      </w:r>
      <w:r w:rsidR="00C645AF" w:rsidRPr="00913E39">
        <w:rPr>
          <w:rFonts w:ascii="Garamond" w:hAnsi="Garamond"/>
          <w:sz w:val="24"/>
        </w:rPr>
        <w:t>u</w:t>
      </w:r>
      <w:r w:rsidR="00F54D14" w:rsidRPr="00913E39">
        <w:rPr>
          <w:rFonts w:ascii="Garamond" w:hAnsi="Garamond"/>
          <w:sz w:val="24"/>
        </w:rPr>
        <w:t xml:space="preserve"> </w:t>
      </w:r>
      <w:r w:rsidRPr="00913E39">
        <w:rPr>
          <w:rFonts w:ascii="Garamond" w:hAnsi="Garamond"/>
          <w:sz w:val="24"/>
        </w:rPr>
        <w:t>përket të gjitha aktiviteteve të parashikuara në Agjendën Digjitale të Shqipërisë 2022</w:t>
      </w:r>
      <w:r w:rsidR="00456458" w:rsidRPr="00913E39">
        <w:rPr>
          <w:rFonts w:ascii="Garamond" w:hAnsi="Garamond"/>
          <w:sz w:val="24"/>
        </w:rPr>
        <w:t>–</w:t>
      </w:r>
      <w:r w:rsidRPr="00913E39">
        <w:rPr>
          <w:rFonts w:ascii="Garamond" w:hAnsi="Garamond"/>
          <w:sz w:val="24"/>
        </w:rPr>
        <w:t>2026 dhe planin e saj të veprimit, AKSHI me të gjitha ministritë dhe institucionet e tjera përgjegjëse të përcaktuara në strategjinë dhe planin e veprimit për zbatimin e saj, monitoruan aktivitetet për vitin e parë të zbatimit (2022). Përgatitja e Raportit të Monitorimit kryhet një herë në vit bazuar në informacionin e përcjellë nga institucionet përkatëse përgjegjëse për zbatimin e masave dhe veprimeve. AKSHI publikoi raportin e parë të monitorimit në mars 2023.</w:t>
      </w:r>
    </w:p>
    <w:p w14:paraId="2D55BFB4" w14:textId="705442BD" w:rsidR="00847F23" w:rsidRPr="00913E39" w:rsidRDefault="00850FC7" w:rsidP="00FC4C60">
      <w:pPr>
        <w:spacing w:after="0" w:line="240" w:lineRule="auto"/>
        <w:ind w:firstLine="284"/>
        <w:jc w:val="both"/>
        <w:rPr>
          <w:rFonts w:ascii="Garamond" w:hAnsi="Garamond"/>
          <w:sz w:val="24"/>
        </w:rPr>
      </w:pPr>
      <w:r w:rsidRPr="00913E39">
        <w:rPr>
          <w:rFonts w:ascii="Garamond" w:hAnsi="Garamond"/>
          <w:sz w:val="24"/>
        </w:rPr>
        <w:t>“</w:t>
      </w:r>
      <w:r w:rsidR="00847F23" w:rsidRPr="00913E39">
        <w:rPr>
          <w:rFonts w:ascii="Garamond" w:hAnsi="Garamond"/>
          <w:sz w:val="24"/>
        </w:rPr>
        <w:t>Strategjia e Sigurisë Kombëtare</w:t>
      </w:r>
      <w:r w:rsidRPr="00913E39">
        <w:rPr>
          <w:rFonts w:ascii="Garamond" w:hAnsi="Garamond"/>
          <w:sz w:val="24"/>
        </w:rPr>
        <w:t>”</w:t>
      </w:r>
      <w:r w:rsidR="00847F23" w:rsidRPr="00913E39">
        <w:rPr>
          <w:rFonts w:ascii="Garamond" w:hAnsi="Garamond"/>
          <w:sz w:val="24"/>
        </w:rPr>
        <w:t xml:space="preserve"> e miratuar në vitin 2014 ka krijuar kuadrin dhe shtyllat kombëtare për rritjen e sigurisë në vend. Duke qenë një vend në zhvillim pa infrastrukturën e nevojshme ligjore të sigurisë kibernetike, kjo fushë është zhvilluar vetëm në dy vitet e fundit në Shqipëri, kohë gjatë së cilës është pikasur infrastruktura kritike dhe e rëndësishme e informacionit në sektorin publik dhe privat. Masat minimale të sigurisë që duhen zbatuar për një siguri më të mirë kibernetike në këtë infrastrukturë janë zhvilluar së bashku me zhvillimin e një mekanizmi metodologjik për krijimin dhe funksionimin e sektorit CSIRT në nivel kombëtar. Kuadri ligjor për sigurinë e komunikimit elektronik plotësohet me dispozita ligjore për sigurinë dhe integritetin e rrjeteve të komunikimit elektronik dhe rrjeteve të telekomunikacionit që mbulohen nga </w:t>
      </w:r>
      <w:r w:rsidR="00CD6948" w:rsidRPr="00913E39">
        <w:rPr>
          <w:rFonts w:ascii="Garamond" w:hAnsi="Garamond"/>
          <w:sz w:val="24"/>
        </w:rPr>
        <w:t xml:space="preserve">ligji </w:t>
      </w:r>
      <w:r w:rsidR="00847F23" w:rsidRPr="00913E39">
        <w:rPr>
          <w:rFonts w:ascii="Garamond" w:hAnsi="Garamond"/>
          <w:sz w:val="24"/>
        </w:rPr>
        <w:t xml:space="preserve">për komunikimet elektronike në Republikën e Shqipërisë (nr. 9918/2008, i ndryshuar), i cili ka ndryshuar </w:t>
      </w:r>
      <w:r w:rsidR="00CD6948" w:rsidRPr="00913E39">
        <w:rPr>
          <w:rFonts w:ascii="Garamond" w:hAnsi="Garamond"/>
          <w:sz w:val="24"/>
        </w:rPr>
        <w:t xml:space="preserve">direktivat </w:t>
      </w:r>
      <w:r w:rsidR="00847F23" w:rsidRPr="00913E39">
        <w:rPr>
          <w:rFonts w:ascii="Garamond" w:hAnsi="Garamond"/>
          <w:sz w:val="24"/>
        </w:rPr>
        <w:t xml:space="preserve">e BE-së për komunikimin elektronik. </w:t>
      </w:r>
    </w:p>
    <w:p w14:paraId="4DA82BF7"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Kuadri ligjor për sigurinë kibernetike ka caktuar gjithashtu Autoritetin Kombëtar të Certifikimit Elektronik dhe Sigurisë Kibernetike (AKCESK), si autoritetin përgjegjës për mbikëqyrjen e zbatimit të ligjit. </w:t>
      </w:r>
    </w:p>
    <w:p w14:paraId="47AB78D3" w14:textId="55ED1A4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Duke pasur parasysh se pjesa më e madhe e kërcënimeve dhe sulmeve kibernetike kryhen nëpërmjet rrjeteve të komunikimit elektronik, çështjet e sigurisë kibernetike në infrastrukturën digjitale dhe rrjetet dhe/ose shërbimet e komunikimit elektronik mbulohen dhe janë nën përgjegjësinë e Autoritetit të Komunikimit Elektronik dhe Postar (AKEP). Sipas nenit 122 të </w:t>
      </w:r>
      <w:r w:rsidR="00CD6948" w:rsidRPr="00913E39">
        <w:rPr>
          <w:rFonts w:ascii="Garamond" w:hAnsi="Garamond"/>
          <w:sz w:val="24"/>
        </w:rPr>
        <w:t>ligjit për komunikimet elektronike në</w:t>
      </w:r>
      <w:r w:rsidRPr="00913E39">
        <w:rPr>
          <w:rFonts w:ascii="Garamond" w:hAnsi="Garamond"/>
          <w:sz w:val="24"/>
        </w:rPr>
        <w:t xml:space="preserve"> Republikën e Shqipërisë (nr. 9918/2008) dhe </w:t>
      </w:r>
      <w:r w:rsidR="00C03059" w:rsidRPr="00913E39">
        <w:rPr>
          <w:rFonts w:ascii="Garamond" w:hAnsi="Garamond"/>
          <w:sz w:val="24"/>
        </w:rPr>
        <w:t xml:space="preserve">rregullores </w:t>
      </w:r>
      <w:r w:rsidRPr="00913E39">
        <w:rPr>
          <w:rFonts w:ascii="Garamond" w:hAnsi="Garamond"/>
          <w:sz w:val="24"/>
        </w:rPr>
        <w:t xml:space="preserve">nr. 37, datë 29.10.2015 </w:t>
      </w:r>
      <w:r w:rsidR="00850FC7" w:rsidRPr="00913E39">
        <w:rPr>
          <w:rFonts w:ascii="Garamond" w:hAnsi="Garamond"/>
          <w:sz w:val="24"/>
        </w:rPr>
        <w:t>“</w:t>
      </w:r>
      <w:r w:rsidRPr="00913E39">
        <w:rPr>
          <w:rFonts w:ascii="Garamond" w:hAnsi="Garamond"/>
          <w:sz w:val="24"/>
        </w:rPr>
        <w:t>Për masat teknike dhe organizative për garantimin e integritetit të rrjetit dhe/ose të shërbimeve të komunikimeve elektronike</w:t>
      </w:r>
      <w:r w:rsidR="00850FC7" w:rsidRPr="00913E39">
        <w:rPr>
          <w:rFonts w:ascii="Garamond" w:hAnsi="Garamond"/>
          <w:sz w:val="24"/>
        </w:rPr>
        <w:t>”</w:t>
      </w:r>
      <w:r w:rsidRPr="00913E39">
        <w:rPr>
          <w:rFonts w:ascii="Garamond" w:hAnsi="Garamond"/>
          <w:sz w:val="24"/>
        </w:rPr>
        <w:t>, AKEP</w:t>
      </w:r>
      <w:r w:rsidR="007C3B57" w:rsidRPr="00913E39">
        <w:rPr>
          <w:rFonts w:ascii="Garamond" w:hAnsi="Garamond"/>
          <w:sz w:val="24"/>
        </w:rPr>
        <w:t>-i</w:t>
      </w:r>
      <w:r w:rsidRPr="00913E39">
        <w:rPr>
          <w:rFonts w:ascii="Garamond" w:hAnsi="Garamond"/>
          <w:sz w:val="24"/>
        </w:rPr>
        <w:t xml:space="preserve"> kërkon vendosjen e masave adekuate teknike dhe organizative nga të gjitha subjektet e komunikimit elektronik që operojnë nën Regjimin e Përgjithshëm të Autorizimit për të garantuar sigurinë dhe integritetin e rrjeteve të komunikimit elektronik dhe/ose shërbimeve për të gjitha shërbimet që ata ofrojnë për abonentët e tyre, duke përfshirë shërbimet DNS. AKEP</w:t>
      </w:r>
      <w:r w:rsidR="00CD6948" w:rsidRPr="00913E39">
        <w:rPr>
          <w:rFonts w:ascii="Garamond" w:hAnsi="Garamond"/>
          <w:sz w:val="24"/>
        </w:rPr>
        <w:t>-i</w:t>
      </w:r>
      <w:r w:rsidRPr="00913E39">
        <w:rPr>
          <w:rFonts w:ascii="Garamond" w:hAnsi="Garamond"/>
          <w:sz w:val="24"/>
        </w:rPr>
        <w:t xml:space="preserve"> kryen periodikisht inspektime dhe auditime në subjekte, për verifikimin e vendosjes dhe zbatimit të masave përkatëse të sigurisë teknike dhe organizative, si dhe në bashkëpunim me AKCESK ndjek incidentet e sigurisë të raportuara nga bizneset e komunikimit elektronik. AKEP</w:t>
      </w:r>
      <w:r w:rsidR="00306141" w:rsidRPr="00913E39">
        <w:rPr>
          <w:rFonts w:ascii="Garamond" w:hAnsi="Garamond"/>
          <w:sz w:val="24"/>
        </w:rPr>
        <w:t>-i</w:t>
      </w:r>
      <w:r w:rsidRPr="00913E39">
        <w:rPr>
          <w:rFonts w:ascii="Garamond" w:hAnsi="Garamond"/>
          <w:sz w:val="24"/>
        </w:rPr>
        <w:t xml:space="preserve"> është administratori i faqes </w:t>
      </w:r>
      <w:r w:rsidR="00850FC7" w:rsidRPr="00913E39">
        <w:rPr>
          <w:rFonts w:ascii="Garamond" w:hAnsi="Garamond"/>
          <w:sz w:val="24"/>
        </w:rPr>
        <w:t>“</w:t>
      </w:r>
      <w:r w:rsidRPr="00913E39">
        <w:rPr>
          <w:rFonts w:ascii="Garamond" w:hAnsi="Garamond"/>
          <w:sz w:val="24"/>
        </w:rPr>
        <w:t>.al</w:t>
      </w:r>
      <w:r w:rsidR="00850FC7" w:rsidRPr="00913E39">
        <w:rPr>
          <w:rFonts w:ascii="Garamond" w:hAnsi="Garamond"/>
          <w:sz w:val="24"/>
        </w:rPr>
        <w:t>”</w:t>
      </w:r>
      <w:r w:rsidRPr="00913E39">
        <w:rPr>
          <w:rFonts w:ascii="Garamond" w:hAnsi="Garamond"/>
          <w:sz w:val="24"/>
        </w:rPr>
        <w:t xml:space="preserve"> dhe ka autorizuar 8 biznese si regjistra të akredituar për të ofruar shërbime të regjistrimit të emrave të faqes nën fushën .al (regjistrat e emrave </w:t>
      </w:r>
      <w:r w:rsidRPr="00913E39">
        <w:rPr>
          <w:rFonts w:ascii="Garamond" w:hAnsi="Garamond"/>
          <w:sz w:val="24"/>
        </w:rPr>
        <w:lastRenderedPageBreak/>
        <w:t>TLD). Me përfshirjen e këtij shërbimi në listën kritike dhe të rëndësishme të infrastrukturës së informacionit, regjistrat e akredituar nga AKEP</w:t>
      </w:r>
      <w:r w:rsidR="00B66B20" w:rsidRPr="00913E39">
        <w:rPr>
          <w:rFonts w:ascii="Garamond" w:hAnsi="Garamond"/>
          <w:sz w:val="24"/>
        </w:rPr>
        <w:t>-i</w:t>
      </w:r>
      <w:r w:rsidRPr="00913E39">
        <w:rPr>
          <w:rFonts w:ascii="Garamond" w:hAnsi="Garamond"/>
          <w:sz w:val="24"/>
        </w:rPr>
        <w:t xml:space="preserve"> për të ofruar shërbime të regjistrimit të emrave .al do t</w:t>
      </w:r>
      <w:r w:rsidR="005222A5" w:rsidRPr="00913E39">
        <w:rPr>
          <w:rFonts w:ascii="Garamond" w:hAnsi="Garamond"/>
          <w:sz w:val="24"/>
        </w:rPr>
        <w:t>’</w:t>
      </w:r>
      <w:r w:rsidRPr="00913E39">
        <w:rPr>
          <w:rFonts w:ascii="Garamond" w:hAnsi="Garamond"/>
          <w:sz w:val="24"/>
        </w:rPr>
        <w:t>i nënshtrohen edhe dispozitave të rregullores nr.</w:t>
      </w:r>
      <w:r w:rsidR="00B66B20" w:rsidRPr="00913E39">
        <w:rPr>
          <w:rFonts w:ascii="Garamond" w:hAnsi="Garamond"/>
          <w:sz w:val="24"/>
        </w:rPr>
        <w:t xml:space="preserve"> </w:t>
      </w:r>
      <w:r w:rsidRPr="00913E39">
        <w:rPr>
          <w:rFonts w:ascii="Garamond" w:hAnsi="Garamond"/>
          <w:sz w:val="24"/>
        </w:rPr>
        <w:t xml:space="preserve">37 </w:t>
      </w:r>
      <w:r w:rsidR="00850FC7" w:rsidRPr="00913E39">
        <w:rPr>
          <w:rFonts w:ascii="Garamond" w:hAnsi="Garamond"/>
          <w:sz w:val="24"/>
        </w:rPr>
        <w:t>“</w:t>
      </w:r>
      <w:r w:rsidRPr="00913E39">
        <w:rPr>
          <w:rFonts w:ascii="Garamond" w:hAnsi="Garamond"/>
          <w:sz w:val="24"/>
        </w:rPr>
        <w:t>Për masat teknike dhe organizative për garantimin e rrjeteve dhe/ose shërbimeve të komunikimit elektronik</w:t>
      </w:r>
      <w:r w:rsidR="00850FC7" w:rsidRPr="00913E39">
        <w:rPr>
          <w:rFonts w:ascii="Garamond" w:hAnsi="Garamond"/>
          <w:sz w:val="24"/>
        </w:rPr>
        <w:t>”</w:t>
      </w:r>
      <w:r w:rsidRPr="00913E39">
        <w:rPr>
          <w:rFonts w:ascii="Garamond" w:hAnsi="Garamond"/>
          <w:sz w:val="24"/>
        </w:rPr>
        <w:t xml:space="preserve">. </w:t>
      </w:r>
    </w:p>
    <w:p w14:paraId="1847052E" w14:textId="16CA21BE"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E2334A" w:rsidRPr="00913E39">
        <w:rPr>
          <w:rFonts w:ascii="Garamond" w:hAnsi="Garamond"/>
          <w:i/>
          <w:sz w:val="24"/>
        </w:rPr>
        <w:t>f</w:t>
      </w:r>
      <w:r w:rsidRPr="00913E39">
        <w:rPr>
          <w:rFonts w:ascii="Garamond" w:hAnsi="Garamond"/>
          <w:i/>
          <w:sz w:val="24"/>
        </w:rPr>
        <w:t>usha e mbështetjes 2.3: Lidhja digjitale</w:t>
      </w:r>
    </w:p>
    <w:p w14:paraId="779E76F8" w14:textId="60B9504C" w:rsidR="00847F23" w:rsidRPr="00913E39" w:rsidRDefault="00850FC7" w:rsidP="00FC4C60">
      <w:pPr>
        <w:spacing w:after="0" w:line="240" w:lineRule="auto"/>
        <w:ind w:firstLine="284"/>
        <w:jc w:val="both"/>
        <w:rPr>
          <w:rFonts w:ascii="Garamond" w:hAnsi="Garamond"/>
          <w:sz w:val="24"/>
        </w:rPr>
      </w:pPr>
      <w:r w:rsidRPr="00913E39">
        <w:rPr>
          <w:rFonts w:ascii="Garamond" w:hAnsi="Garamond"/>
          <w:sz w:val="24"/>
        </w:rPr>
        <w:t>“</w:t>
      </w:r>
      <w:r w:rsidR="00847F23" w:rsidRPr="00913E39">
        <w:rPr>
          <w:rFonts w:ascii="Garamond" w:hAnsi="Garamond"/>
          <w:sz w:val="24"/>
        </w:rPr>
        <w:t>Grupi drejtues për Telekomunikacionet dhe Shërbimet Postare</w:t>
      </w:r>
      <w:r w:rsidRPr="00913E39">
        <w:rPr>
          <w:rFonts w:ascii="Garamond" w:hAnsi="Garamond"/>
          <w:sz w:val="24"/>
        </w:rPr>
        <w:t>”</w:t>
      </w:r>
      <w:r w:rsidR="00847F23" w:rsidRPr="00913E39">
        <w:rPr>
          <w:rFonts w:ascii="Garamond" w:hAnsi="Garamond"/>
          <w:sz w:val="24"/>
        </w:rPr>
        <w:t xml:space="preserve"> në kuadër të GMPI </w:t>
      </w:r>
      <w:r w:rsidRPr="00913E39">
        <w:rPr>
          <w:rFonts w:ascii="Garamond" w:hAnsi="Garamond"/>
          <w:sz w:val="24"/>
        </w:rPr>
        <w:t>“</w:t>
      </w:r>
      <w:r w:rsidR="00847F23" w:rsidRPr="00913E39">
        <w:rPr>
          <w:rFonts w:ascii="Garamond" w:hAnsi="Garamond"/>
          <w:sz w:val="24"/>
        </w:rPr>
        <w:t>Ndërlidhja/</w:t>
      </w:r>
      <w:r w:rsidR="00A068A6" w:rsidRPr="00913E39">
        <w:rPr>
          <w:rFonts w:ascii="Garamond" w:hAnsi="Garamond"/>
          <w:sz w:val="24"/>
        </w:rPr>
        <w:t>rrjetet</w:t>
      </w:r>
      <w:r w:rsidRPr="00913E39">
        <w:rPr>
          <w:rFonts w:ascii="Garamond" w:hAnsi="Garamond"/>
          <w:sz w:val="24"/>
        </w:rPr>
        <w:t>”</w:t>
      </w:r>
      <w:r w:rsidR="00847F23" w:rsidRPr="00913E39">
        <w:rPr>
          <w:rFonts w:ascii="Garamond" w:hAnsi="Garamond"/>
          <w:sz w:val="24"/>
        </w:rPr>
        <w:t xml:space="preserve"> shërben si njësi koordinuese për monitorimin e zbatimit të të gjitha aktiviteteve përkatëse. Monitorimi dhe vlerësimi i progresit drejt arritjes së objektivave bazohet në treguesit kryesorë statistikorë dhe në raportet e paraqitura nga të gjithë aktorët përkatës. Treguesit për monitorimin e zhvillimit të infrastrukturës digjitale, </w:t>
      </w:r>
      <w:r w:rsidR="00847F23" w:rsidRPr="00913E39">
        <w:rPr>
          <w:rFonts w:ascii="Garamond" w:hAnsi="Garamond"/>
          <w:i/>
          <w:sz w:val="24"/>
        </w:rPr>
        <w:t>broadband</w:t>
      </w:r>
      <w:r w:rsidR="00847F23" w:rsidRPr="00913E39">
        <w:rPr>
          <w:rFonts w:ascii="Garamond" w:hAnsi="Garamond"/>
          <w:sz w:val="24"/>
        </w:rPr>
        <w:t xml:space="preserve"> në Shqipëri përfshijnë: Aksesin në rrjete/shërbime </w:t>
      </w:r>
      <w:r w:rsidR="00847F23" w:rsidRPr="00913E39">
        <w:rPr>
          <w:rFonts w:ascii="Garamond" w:hAnsi="Garamond"/>
          <w:i/>
          <w:sz w:val="24"/>
        </w:rPr>
        <w:t>broadband</w:t>
      </w:r>
      <w:r w:rsidR="00847F23" w:rsidRPr="00913E39">
        <w:rPr>
          <w:rFonts w:ascii="Garamond" w:hAnsi="Garamond"/>
          <w:sz w:val="24"/>
        </w:rPr>
        <w:t xml:space="preserve"> (numri i abonentëve dhe përdoruesve, shkalla e depërtimit të </w:t>
      </w:r>
      <w:r w:rsidR="00847F23" w:rsidRPr="00913E39">
        <w:rPr>
          <w:rFonts w:ascii="Garamond" w:hAnsi="Garamond"/>
          <w:i/>
          <w:sz w:val="24"/>
        </w:rPr>
        <w:t>broadbands</w:t>
      </w:r>
      <w:r w:rsidR="00847F23" w:rsidRPr="00913E39">
        <w:rPr>
          <w:rFonts w:ascii="Garamond" w:hAnsi="Garamond"/>
          <w:sz w:val="24"/>
        </w:rPr>
        <w:t xml:space="preserve"> dhe shkalla e rritjes së depërtimit); </w:t>
      </w:r>
      <w:r w:rsidR="00A068A6" w:rsidRPr="00913E39">
        <w:rPr>
          <w:rFonts w:ascii="Garamond" w:hAnsi="Garamond"/>
          <w:sz w:val="24"/>
        </w:rPr>
        <w:t xml:space="preserve">zona </w:t>
      </w:r>
      <w:r w:rsidR="00847F23" w:rsidRPr="00913E39">
        <w:rPr>
          <w:rFonts w:ascii="Garamond" w:hAnsi="Garamond"/>
          <w:sz w:val="24"/>
        </w:rPr>
        <w:t xml:space="preserve">e mbulimit të </w:t>
      </w:r>
      <w:r w:rsidR="00847F23" w:rsidRPr="00913E39">
        <w:rPr>
          <w:rFonts w:ascii="Garamond" w:hAnsi="Garamond"/>
          <w:i/>
          <w:sz w:val="24"/>
        </w:rPr>
        <w:t>broadbands</w:t>
      </w:r>
      <w:r w:rsidR="00847F23" w:rsidRPr="00913E39">
        <w:rPr>
          <w:rFonts w:ascii="Garamond" w:hAnsi="Garamond"/>
          <w:sz w:val="24"/>
        </w:rPr>
        <w:t xml:space="preserve">; Konkurrenca (HHI në sektorin e pakicës dhe shumicës); </w:t>
      </w:r>
      <w:r w:rsidR="00A068A6" w:rsidRPr="00913E39">
        <w:rPr>
          <w:rFonts w:ascii="Garamond" w:hAnsi="Garamond"/>
          <w:sz w:val="24"/>
        </w:rPr>
        <w:t xml:space="preserve">nivelet </w:t>
      </w:r>
      <w:r w:rsidR="00847F23" w:rsidRPr="00913E39">
        <w:rPr>
          <w:rFonts w:ascii="Garamond" w:hAnsi="Garamond"/>
          <w:sz w:val="24"/>
        </w:rPr>
        <w:t xml:space="preserve">e çmimeve të shërbimeve </w:t>
      </w:r>
      <w:r w:rsidR="00847F23" w:rsidRPr="00913E39">
        <w:rPr>
          <w:rFonts w:ascii="Garamond" w:hAnsi="Garamond"/>
          <w:i/>
          <w:sz w:val="24"/>
        </w:rPr>
        <w:t>broadband</w:t>
      </w:r>
      <w:r w:rsidR="00847F23" w:rsidRPr="00913E39">
        <w:rPr>
          <w:rFonts w:ascii="Garamond" w:hAnsi="Garamond"/>
          <w:sz w:val="24"/>
        </w:rPr>
        <w:t xml:space="preserve"> (tarifat </w:t>
      </w:r>
      <w:r w:rsidR="00847F23" w:rsidRPr="00913E39">
        <w:rPr>
          <w:rFonts w:ascii="Garamond" w:hAnsi="Garamond"/>
          <w:i/>
          <w:sz w:val="24"/>
        </w:rPr>
        <w:t>broadband</w:t>
      </w:r>
      <w:r w:rsidR="00847F23" w:rsidRPr="00913E39">
        <w:rPr>
          <w:rFonts w:ascii="Garamond" w:hAnsi="Garamond"/>
          <w:sz w:val="24"/>
        </w:rPr>
        <w:t xml:space="preserve"> fikse dhe celulare). Raportet vjetore të AKEP</w:t>
      </w:r>
      <w:r w:rsidR="00B87F11" w:rsidRPr="00913E39">
        <w:rPr>
          <w:rFonts w:ascii="Garamond" w:hAnsi="Garamond"/>
          <w:sz w:val="24"/>
        </w:rPr>
        <w:t>-it</w:t>
      </w:r>
      <w:r w:rsidR="00847F23" w:rsidRPr="00913E39">
        <w:rPr>
          <w:rFonts w:ascii="Garamond" w:hAnsi="Garamond"/>
          <w:sz w:val="24"/>
        </w:rPr>
        <w:t xml:space="preserve"> tregojnë ecurinë në infrastrukturën digjitale bazuar në këta tregues. </w:t>
      </w:r>
    </w:p>
    <w:p w14:paraId="15471051" w14:textId="081FCDE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Ndërlidhja digjitale bazuar në 5G do të ndihmojë në reduktimin e emetimeve nëpërmjet rasteve të</w:t>
      </w:r>
      <w:r w:rsidR="00A068A6" w:rsidRPr="00913E39">
        <w:rPr>
          <w:rFonts w:ascii="Garamond" w:hAnsi="Garamond"/>
          <w:sz w:val="24"/>
        </w:rPr>
        <w:t xml:space="preserve"> </w:t>
      </w:r>
      <w:r w:rsidRPr="00913E39">
        <w:rPr>
          <w:rFonts w:ascii="Garamond" w:hAnsi="Garamond"/>
          <w:sz w:val="24"/>
        </w:rPr>
        <w:t>përdorimeve të 5G të futur në sektorë të ndryshëm si në transport nëpërmjet automjeteve vetëdrejtuese duke reduktuar ndotjet nga makinat), shtrirjen e ndërtesave digjitale me më pak përdorim energjie etj.</w:t>
      </w:r>
    </w:p>
    <w:p w14:paraId="6249AF97" w14:textId="347F3C4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më tepër, duke pasur parasysh që pjesa dërrmuese e kostove të funksionimit të rrjetit celular shpenzohen për konsumin e energjisë</w:t>
      </w:r>
      <w:r w:rsidRPr="00913E39">
        <w:rPr>
          <w:rFonts w:ascii="Garamond" w:hAnsi="Garamond"/>
          <w:sz w:val="24"/>
          <w:vertAlign w:val="superscript"/>
        </w:rPr>
        <w:footnoteReference w:id="35"/>
      </w:r>
      <w:r w:rsidRPr="00913E39">
        <w:rPr>
          <w:rFonts w:ascii="Garamond" w:hAnsi="Garamond"/>
          <w:sz w:val="24"/>
        </w:rPr>
        <w:t>, treguesit në lidhje me konsumin e energjisë në rrjet, reduktimin e emetimeve dhe konsumin do të monitorohen në përputhje me rrethanat. Për të rritur ndërgjegjësimin për prodhimin e mbetjeve elektronike, konsumin e energjisë etj</w:t>
      </w:r>
      <w:r w:rsidR="00F6028E" w:rsidRPr="00913E39">
        <w:rPr>
          <w:rFonts w:ascii="Garamond" w:hAnsi="Garamond"/>
          <w:sz w:val="24"/>
        </w:rPr>
        <w:t>.</w:t>
      </w:r>
      <w:r w:rsidRPr="00913E39">
        <w:rPr>
          <w:rFonts w:ascii="Garamond" w:hAnsi="Garamond"/>
          <w:sz w:val="24"/>
        </w:rPr>
        <w:t>, puna do të koordinohet me institucionin përgjegjës për menaxhimin e mbetjeve.</w:t>
      </w:r>
    </w:p>
    <w:p w14:paraId="3FE22E97" w14:textId="487B843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Indeksi DESI do të përdoret për të monitoruar zhvillimin e përgjithshëm të ekonomisë dhe shoqërisë digjitale. Infrastruktura digjitale, </w:t>
      </w:r>
      <w:r w:rsidRPr="00913E39">
        <w:rPr>
          <w:rFonts w:ascii="Garamond" w:hAnsi="Garamond"/>
          <w:i/>
          <w:sz w:val="24"/>
        </w:rPr>
        <w:t>broadband</w:t>
      </w:r>
      <w:r w:rsidRPr="00913E39">
        <w:rPr>
          <w:rFonts w:ascii="Garamond" w:hAnsi="Garamond"/>
          <w:sz w:val="24"/>
        </w:rPr>
        <w:t xml:space="preserve"> dhe 5G janë pjesë e rëndësishme e nëntreguesve të indeksit DESI. Llogaritja e këtij indeksi do të bëhet në bashkëpunim me INSTAT</w:t>
      </w:r>
      <w:r w:rsidR="00924274" w:rsidRPr="00913E39">
        <w:rPr>
          <w:rFonts w:ascii="Garamond" w:hAnsi="Garamond"/>
          <w:sz w:val="24"/>
        </w:rPr>
        <w:t>-in</w:t>
      </w:r>
      <w:r w:rsidRPr="00913E39">
        <w:rPr>
          <w:rFonts w:ascii="Garamond" w:hAnsi="Garamond"/>
          <w:sz w:val="24"/>
        </w:rPr>
        <w:t>, AKEP</w:t>
      </w:r>
      <w:r w:rsidR="0033267A" w:rsidRPr="00913E39">
        <w:rPr>
          <w:rFonts w:ascii="Garamond" w:hAnsi="Garamond"/>
          <w:sz w:val="24"/>
        </w:rPr>
        <w:t>-in</w:t>
      </w:r>
      <w:r w:rsidRPr="00913E39">
        <w:rPr>
          <w:rFonts w:ascii="Garamond" w:hAnsi="Garamond"/>
          <w:sz w:val="24"/>
        </w:rPr>
        <w:t>, AKSHI</w:t>
      </w:r>
      <w:r w:rsidR="0033267A" w:rsidRPr="00913E39">
        <w:rPr>
          <w:rFonts w:ascii="Garamond" w:hAnsi="Garamond"/>
          <w:sz w:val="24"/>
        </w:rPr>
        <w:t>-n</w:t>
      </w:r>
      <w:r w:rsidRPr="00913E39">
        <w:rPr>
          <w:rFonts w:ascii="Garamond" w:hAnsi="Garamond"/>
          <w:sz w:val="24"/>
        </w:rPr>
        <w:t xml:space="preserve"> dhe institucione të tjera që lidhen me nën indikatorë të përfshirë në këtë tregues të përbërë.</w:t>
      </w:r>
    </w:p>
    <w:p w14:paraId="63221E8F" w14:textId="7EC4894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2.7</w:t>
      </w:r>
      <w:r w:rsidR="00924274" w:rsidRPr="00913E39">
        <w:rPr>
          <w:rFonts w:ascii="Garamond" w:hAnsi="Garamond"/>
          <w:i/>
          <w:sz w:val="24"/>
        </w:rPr>
        <w:t xml:space="preserve"> </w:t>
      </w:r>
      <w:r w:rsidRPr="00913E39">
        <w:rPr>
          <w:rFonts w:ascii="Garamond" w:hAnsi="Garamond"/>
          <w:i/>
          <w:sz w:val="24"/>
        </w:rPr>
        <w:t>Analiza socialo-ekonomike (përfshirë analizën SWOT)</w:t>
      </w:r>
    </w:p>
    <w:p w14:paraId="2EFB4DA2"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1: Infrastruktura TIK për shërbime më të mira për shoqërinë</w:t>
      </w:r>
    </w:p>
    <w:p w14:paraId="79DE1917" w14:textId="2EF53A7D"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F66706" w:rsidRPr="00913E39">
        <w:rPr>
          <w:rFonts w:ascii="Garamond" w:hAnsi="Garamond"/>
          <w:i/>
          <w:sz w:val="24"/>
        </w:rPr>
        <w:t>f</w:t>
      </w:r>
      <w:r w:rsidRPr="00913E39">
        <w:rPr>
          <w:rFonts w:ascii="Garamond" w:hAnsi="Garamond"/>
          <w:i/>
          <w:sz w:val="24"/>
        </w:rPr>
        <w:t xml:space="preserve">usha e mbështetjes 1.1: Shëndetësia </w:t>
      </w:r>
      <w:r w:rsidR="00F66706" w:rsidRPr="00913E39">
        <w:rPr>
          <w:rFonts w:ascii="Garamond" w:hAnsi="Garamond"/>
          <w:i/>
          <w:sz w:val="24"/>
        </w:rPr>
        <w:t xml:space="preserve">digjitale </w:t>
      </w:r>
    </w:p>
    <w:p w14:paraId="58756E02" w14:textId="48E029D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Anketa e Kombeve të Bashkuara për Qeverisjen Elektronike 2022 </w:t>
      </w:r>
      <w:r w:rsidR="00FF4EAA" w:rsidRPr="00913E39">
        <w:rPr>
          <w:rFonts w:ascii="Garamond" w:hAnsi="Garamond"/>
          <w:sz w:val="24"/>
        </w:rPr>
        <w:t>–</w:t>
      </w:r>
      <w:r w:rsidRPr="00913E39">
        <w:rPr>
          <w:rFonts w:ascii="Garamond" w:hAnsi="Garamond"/>
          <w:sz w:val="24"/>
        </w:rPr>
        <w:t xml:space="preserve"> E</w:t>
      </w:r>
      <w:r w:rsidR="00FF4EAA" w:rsidRPr="00913E39">
        <w:rPr>
          <w:rFonts w:ascii="Garamond" w:hAnsi="Garamond"/>
          <w:sz w:val="24"/>
        </w:rPr>
        <w:t xml:space="preserve"> </w:t>
      </w:r>
      <w:r w:rsidRPr="00913E39">
        <w:rPr>
          <w:rFonts w:ascii="Garamond" w:hAnsi="Garamond"/>
          <w:sz w:val="24"/>
        </w:rPr>
        <w:t>ardhmja e Qeverisjes Digjitale</w:t>
      </w:r>
      <w:r w:rsidRPr="00913E39">
        <w:rPr>
          <w:rFonts w:ascii="Garamond" w:hAnsi="Garamond"/>
          <w:sz w:val="24"/>
          <w:vertAlign w:val="superscript"/>
        </w:rPr>
        <w:footnoteReference w:id="36"/>
      </w:r>
      <w:r w:rsidRPr="00913E39">
        <w:rPr>
          <w:rFonts w:ascii="Garamond" w:hAnsi="Garamond"/>
          <w:sz w:val="24"/>
        </w:rPr>
        <w:t xml:space="preserve"> konstaton se Shqipëria ka arritur nivele shumë të larta në Indeksin e Shërbimit </w:t>
      </w:r>
      <w:r w:rsidRPr="00913E39">
        <w:rPr>
          <w:rFonts w:ascii="Garamond" w:hAnsi="Garamond"/>
          <w:i/>
          <w:sz w:val="24"/>
        </w:rPr>
        <w:t>Online</w:t>
      </w:r>
      <w:r w:rsidRPr="00913E39">
        <w:rPr>
          <w:rFonts w:ascii="Garamond" w:hAnsi="Garamond"/>
          <w:sz w:val="24"/>
        </w:rPr>
        <w:t xml:space="preserve"> (OSI) duke përfituar nga nivele shumë të larta të zhvillimit të kapitalit njerëzor dhe nivele të moderuara deri në shumë të larta të zhvillimit të infrastrukturës. Sipas Raportit DESI të Ballkanit Perëndimor 2022</w:t>
      </w:r>
      <w:r w:rsidRPr="00913E39">
        <w:rPr>
          <w:rFonts w:ascii="Garamond" w:hAnsi="Garamond"/>
          <w:sz w:val="24"/>
          <w:vertAlign w:val="superscript"/>
        </w:rPr>
        <w:footnoteReference w:id="37"/>
      </w:r>
      <w:r w:rsidRPr="00913E39">
        <w:rPr>
          <w:rFonts w:ascii="Garamond" w:hAnsi="Garamond"/>
          <w:sz w:val="24"/>
        </w:rPr>
        <w:t xml:space="preserve">, megjithëse analiza e të dhënave tregon se rajoni i Ballkanit Perëndimor rezulton nën mesataren e BE-së në të gjitha dimensionet DESI në vitin 2022, Mali i Zi, Serbia dhe Shqipëria kanë pikët më të larta për totalin e DESI të BP për vitin 2022. </w:t>
      </w:r>
    </w:p>
    <w:p w14:paraId="2C0A16DF" w14:textId="0B57046B"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rPr>
        <w:t xml:space="preserve">Në sektorin e shëndetësisë, sisteme të ndryshme të shëndetësisë digjitale në tashmë të krijuara siç dëshmohet nga përdorimi i </w:t>
      </w:r>
      <w:r w:rsidRPr="00913E39">
        <w:rPr>
          <w:rFonts w:ascii="Garamond" w:hAnsi="Garamond"/>
          <w:i/>
          <w:sz w:val="24"/>
          <w:shd w:val="clear" w:color="auto" w:fill="FFFFFF"/>
        </w:rPr>
        <w:t>e-Vizita, E-Receta, E-Raporte, E-Referimi</w:t>
      </w:r>
      <w:r w:rsidRPr="00913E39">
        <w:rPr>
          <w:rFonts w:ascii="Garamond" w:hAnsi="Garamond"/>
          <w:sz w:val="24"/>
          <w:shd w:val="clear" w:color="auto" w:fill="FFFFFF"/>
        </w:rPr>
        <w:t xml:space="preserve">, sistemi i bankës të gjakut, </w:t>
      </w:r>
      <w:r w:rsidRPr="00913E39">
        <w:rPr>
          <w:rFonts w:ascii="Garamond" w:hAnsi="Garamond"/>
          <w:i/>
          <w:sz w:val="24"/>
          <w:shd w:val="clear" w:color="auto" w:fill="FFFFFF"/>
        </w:rPr>
        <w:t>e-Vaksina, e-Depo, e-Barna</w:t>
      </w:r>
      <w:r w:rsidRPr="00913E39">
        <w:rPr>
          <w:rFonts w:ascii="Garamond" w:hAnsi="Garamond"/>
          <w:sz w:val="24"/>
          <w:shd w:val="clear" w:color="auto" w:fill="FFFFFF"/>
        </w:rPr>
        <w:t>, Sistemi i Informacionit për Shëndetin Publik (SISP) dhe Regjistri elektronik i t</w:t>
      </w:r>
      <w:r w:rsidR="007C41EB" w:rsidRPr="00913E39">
        <w:rPr>
          <w:rFonts w:ascii="Garamond" w:hAnsi="Garamond"/>
          <w:sz w:val="24"/>
        </w:rPr>
        <w:t>ë</w:t>
      </w:r>
      <w:r w:rsidRPr="00913E39">
        <w:rPr>
          <w:rFonts w:ascii="Garamond" w:hAnsi="Garamond"/>
          <w:sz w:val="24"/>
          <w:shd w:val="clear" w:color="auto" w:fill="FFFFFF"/>
        </w:rPr>
        <w:t xml:space="preserve"> siguruarve (AHIS).</w:t>
      </w:r>
    </w:p>
    <w:p w14:paraId="1A1C422E" w14:textId="77EFA97B" w:rsidR="00847F23" w:rsidRPr="00913E39" w:rsidRDefault="00847F23" w:rsidP="00FC4C60">
      <w:pPr>
        <w:spacing w:after="0" w:line="240" w:lineRule="auto"/>
        <w:ind w:firstLine="284"/>
        <w:jc w:val="both"/>
        <w:rPr>
          <w:rFonts w:ascii="Garamond" w:eastAsia="Times New Roman" w:hAnsi="Garamond" w:cs="Times New Roman"/>
          <w:sz w:val="24"/>
          <w:szCs w:val="24"/>
          <w:shd w:val="clear" w:color="auto" w:fill="FFFFFF"/>
        </w:rPr>
      </w:pPr>
      <w:bookmarkStart w:id="14" w:name="_Hlk129943707"/>
      <w:r w:rsidRPr="00913E39">
        <w:rPr>
          <w:rFonts w:ascii="Garamond" w:hAnsi="Garamond"/>
          <w:sz w:val="24"/>
          <w:shd w:val="clear" w:color="auto" w:fill="FFFFFF"/>
        </w:rPr>
        <w:t xml:space="preserve">Shërbimi shëndetësor është përmirësuar falë caktimit </w:t>
      </w:r>
      <w:r w:rsidRPr="00913E39">
        <w:rPr>
          <w:rFonts w:ascii="Garamond" w:hAnsi="Garamond"/>
          <w:i/>
          <w:sz w:val="24"/>
          <w:shd w:val="clear" w:color="auto" w:fill="FFFFFF"/>
        </w:rPr>
        <w:t>online</w:t>
      </w:r>
      <w:r w:rsidRPr="00913E39">
        <w:rPr>
          <w:rFonts w:ascii="Garamond" w:hAnsi="Garamond"/>
          <w:sz w:val="24"/>
          <w:shd w:val="clear" w:color="auto" w:fill="FFFFFF"/>
        </w:rPr>
        <w:t xml:space="preserve"> të vizitave te mjeku dhe dhënies së recetave elektronike. Trajtimi më i mirë i situatës së pandemisë u arrit duke garantuar kujdesin dhe rimbursimin e medikamenteve për pacientët me COVID-19. </w:t>
      </w:r>
      <w:r w:rsidRPr="00913E39">
        <w:rPr>
          <w:rFonts w:ascii="Garamond" w:eastAsia="Times New Roman" w:hAnsi="Garamond" w:cs="Times New Roman"/>
          <w:sz w:val="24"/>
          <w:szCs w:val="24"/>
          <w:shd w:val="clear" w:color="auto" w:fill="FFFFFF"/>
        </w:rPr>
        <w:t xml:space="preserve">Shërbimet e kujdesit shëndetësor, si rezultatet e kontrolleve shëndetësore bazë, planifikimi i vizitave te mjeku, ndryshimi i takimeve për rekomandime mjekësore, recetat e rimbursueshme, </w:t>
      </w:r>
      <w:r w:rsidR="00850FC7" w:rsidRPr="00913E39">
        <w:rPr>
          <w:rFonts w:ascii="Garamond" w:eastAsia="Times New Roman" w:hAnsi="Garamond" w:cs="Times New Roman"/>
          <w:sz w:val="24"/>
          <w:szCs w:val="24"/>
          <w:shd w:val="clear" w:color="auto" w:fill="FFFFFF"/>
        </w:rPr>
        <w:t>“</w:t>
      </w:r>
      <w:r w:rsidRPr="00913E39">
        <w:rPr>
          <w:rFonts w:ascii="Garamond" w:eastAsia="Times New Roman" w:hAnsi="Garamond" w:cs="Times New Roman"/>
          <w:sz w:val="24"/>
          <w:szCs w:val="24"/>
          <w:shd w:val="clear" w:color="auto" w:fill="FFFFFF"/>
        </w:rPr>
        <w:t xml:space="preserve">Kërkesa për </w:t>
      </w:r>
      <w:r w:rsidR="00961102" w:rsidRPr="00913E39">
        <w:rPr>
          <w:rFonts w:ascii="Garamond" w:eastAsia="Times New Roman" w:hAnsi="Garamond" w:cs="Times New Roman"/>
          <w:sz w:val="24"/>
          <w:szCs w:val="24"/>
          <w:shd w:val="clear" w:color="auto" w:fill="FFFFFF"/>
        </w:rPr>
        <w:t xml:space="preserve">vaksinimin </w:t>
      </w:r>
      <w:r w:rsidRPr="00913E39">
        <w:rPr>
          <w:rFonts w:ascii="Garamond" w:eastAsia="Times New Roman" w:hAnsi="Garamond" w:cs="Times New Roman"/>
          <w:sz w:val="24"/>
          <w:szCs w:val="24"/>
          <w:shd w:val="clear" w:color="auto" w:fill="FFFFFF"/>
        </w:rPr>
        <w:t xml:space="preserve">ndaj </w:t>
      </w:r>
      <w:r w:rsidR="00961102" w:rsidRPr="00913E39">
        <w:rPr>
          <w:rFonts w:ascii="Garamond" w:eastAsia="Times New Roman" w:hAnsi="Garamond" w:cs="Times New Roman"/>
          <w:sz w:val="24"/>
          <w:szCs w:val="24"/>
          <w:shd w:val="clear" w:color="auto" w:fill="FFFFFF"/>
        </w:rPr>
        <w:t>COVID</w:t>
      </w:r>
      <w:r w:rsidRPr="00913E39">
        <w:rPr>
          <w:rFonts w:ascii="Garamond" w:eastAsia="Times New Roman" w:hAnsi="Garamond" w:cs="Times New Roman"/>
          <w:sz w:val="24"/>
          <w:szCs w:val="24"/>
          <w:shd w:val="clear" w:color="auto" w:fill="FFFFFF"/>
        </w:rPr>
        <w:t>-19</w:t>
      </w:r>
      <w:r w:rsidR="00850FC7" w:rsidRPr="00913E39">
        <w:rPr>
          <w:rFonts w:ascii="Garamond" w:eastAsia="Times New Roman" w:hAnsi="Garamond" w:cs="Times New Roman"/>
          <w:sz w:val="24"/>
          <w:szCs w:val="24"/>
          <w:shd w:val="clear" w:color="auto" w:fill="FFFFFF"/>
        </w:rPr>
        <w:t>”</w:t>
      </w:r>
      <w:r w:rsidRPr="00913E39">
        <w:rPr>
          <w:rFonts w:ascii="Garamond" w:eastAsia="Times New Roman" w:hAnsi="Garamond" w:cs="Times New Roman"/>
          <w:sz w:val="24"/>
          <w:szCs w:val="24"/>
          <w:shd w:val="clear" w:color="auto" w:fill="FFFFFF"/>
        </w:rPr>
        <w:t xml:space="preserve"> dhe </w:t>
      </w:r>
      <w:r w:rsidR="00850FC7" w:rsidRPr="00913E39">
        <w:rPr>
          <w:rFonts w:ascii="Garamond" w:eastAsia="Times New Roman" w:hAnsi="Garamond" w:cs="Times New Roman"/>
          <w:sz w:val="24"/>
          <w:szCs w:val="24"/>
          <w:shd w:val="clear" w:color="auto" w:fill="FFFFFF"/>
        </w:rPr>
        <w:t>“</w:t>
      </w:r>
      <w:r w:rsidRPr="00913E39">
        <w:rPr>
          <w:rFonts w:ascii="Garamond" w:eastAsia="Times New Roman" w:hAnsi="Garamond" w:cs="Times New Roman"/>
          <w:sz w:val="24"/>
          <w:szCs w:val="24"/>
          <w:shd w:val="clear" w:color="auto" w:fill="FFFFFF"/>
        </w:rPr>
        <w:t>Certifikimi i Vaksinimit, Testimit dhe Shërimit nga COVID-19</w:t>
      </w:r>
      <w:r w:rsidR="00850FC7" w:rsidRPr="00913E39">
        <w:rPr>
          <w:rFonts w:ascii="Garamond" w:eastAsia="Times New Roman" w:hAnsi="Garamond" w:cs="Times New Roman"/>
          <w:sz w:val="24"/>
          <w:szCs w:val="24"/>
          <w:shd w:val="clear" w:color="auto" w:fill="FFFFFF"/>
        </w:rPr>
        <w:t>”</w:t>
      </w:r>
      <w:r w:rsidRPr="00913E39">
        <w:rPr>
          <w:rFonts w:ascii="Garamond" w:eastAsia="Times New Roman" w:hAnsi="Garamond" w:cs="Times New Roman"/>
          <w:sz w:val="24"/>
          <w:szCs w:val="24"/>
          <w:shd w:val="clear" w:color="auto" w:fill="FFFFFF"/>
        </w:rPr>
        <w:t xml:space="preserve">, si dhe procesi i aplikimit </w:t>
      </w:r>
      <w:r w:rsidRPr="00913E39">
        <w:rPr>
          <w:rFonts w:ascii="Garamond" w:eastAsia="Times New Roman" w:hAnsi="Garamond" w:cs="Times New Roman"/>
          <w:i/>
          <w:sz w:val="24"/>
          <w:szCs w:val="24"/>
          <w:shd w:val="clear" w:color="auto" w:fill="FFFFFF"/>
        </w:rPr>
        <w:t>online</w:t>
      </w:r>
      <w:r w:rsidRPr="00913E39">
        <w:rPr>
          <w:rFonts w:ascii="Garamond" w:eastAsia="Times New Roman" w:hAnsi="Garamond" w:cs="Times New Roman"/>
          <w:sz w:val="24"/>
          <w:szCs w:val="24"/>
          <w:shd w:val="clear" w:color="auto" w:fill="FFFFFF"/>
        </w:rPr>
        <w:t xml:space="preserve">, </w:t>
      </w:r>
      <w:r w:rsidRPr="00913E39">
        <w:rPr>
          <w:rFonts w:ascii="Garamond" w:eastAsia="Times New Roman" w:hAnsi="Garamond" w:cs="Times New Roman"/>
          <w:sz w:val="24"/>
          <w:szCs w:val="24"/>
          <w:shd w:val="clear" w:color="auto" w:fill="FFFFFF"/>
        </w:rPr>
        <w:lastRenderedPageBreak/>
        <w:t xml:space="preserve">përpunimi dhe miratimi për kërkesat për strehim social dhe banesë, ofrohen të gjitha </w:t>
      </w:r>
      <w:r w:rsidRPr="00913E39">
        <w:rPr>
          <w:rFonts w:ascii="Garamond" w:eastAsia="Times New Roman" w:hAnsi="Garamond" w:cs="Times New Roman"/>
          <w:i/>
          <w:sz w:val="24"/>
          <w:szCs w:val="24"/>
          <w:shd w:val="clear" w:color="auto" w:fill="FFFFFF"/>
        </w:rPr>
        <w:t>online</w:t>
      </w:r>
      <w:r w:rsidRPr="00913E39">
        <w:rPr>
          <w:rFonts w:ascii="Garamond" w:eastAsia="Times New Roman" w:hAnsi="Garamond" w:cs="Times New Roman"/>
          <w:sz w:val="24"/>
          <w:szCs w:val="24"/>
          <w:shd w:val="clear" w:color="auto" w:fill="FFFFFF"/>
        </w:rPr>
        <w:t xml:space="preserve">. Këto shërbime kanë përfituar veçanërisht qytetarët me vështirësi ekonomike. </w:t>
      </w:r>
      <w:r w:rsidRPr="00913E39">
        <w:rPr>
          <w:rFonts w:ascii="Garamond" w:hAnsi="Garamond"/>
          <w:sz w:val="24"/>
          <w:shd w:val="clear" w:color="auto" w:fill="FFFFFF"/>
        </w:rPr>
        <w:t xml:space="preserve">Nga këto shërbime kanë përfituar veçanërisht qytetarët me vështirësi ekonomike. </w:t>
      </w:r>
      <w:r w:rsidRPr="00913E39">
        <w:rPr>
          <w:rFonts w:ascii="Garamond" w:hAnsi="Garamond"/>
          <w:i/>
          <w:sz w:val="24"/>
          <w:shd w:val="clear" w:color="auto" w:fill="FFFFFF"/>
        </w:rPr>
        <w:t>e-Albania</w:t>
      </w:r>
      <w:r w:rsidRPr="00913E39">
        <w:rPr>
          <w:rFonts w:ascii="Garamond" w:hAnsi="Garamond"/>
          <w:sz w:val="24"/>
          <w:shd w:val="clear" w:color="auto" w:fill="FFFFFF"/>
        </w:rPr>
        <w:t xml:space="preserve"> arriti të menaxhojë urgjencën e pandemisë nëpërmjet lëvizjes së pandërprerë dhe ofrimit të të gjitha shërbimeve të tjera </w:t>
      </w:r>
      <w:r w:rsidRPr="00913E39">
        <w:rPr>
          <w:rFonts w:ascii="Garamond" w:hAnsi="Garamond"/>
          <w:i/>
          <w:sz w:val="24"/>
          <w:shd w:val="clear" w:color="auto" w:fill="FFFFFF"/>
        </w:rPr>
        <w:t>online</w:t>
      </w:r>
      <w:r w:rsidRPr="00913E39">
        <w:rPr>
          <w:rFonts w:ascii="Garamond" w:hAnsi="Garamond"/>
          <w:sz w:val="24"/>
          <w:shd w:val="clear" w:color="auto" w:fill="FFFFFF"/>
        </w:rPr>
        <w:t xml:space="preserve">. Në vitin 2021 janë zbatuar shërbimet </w:t>
      </w:r>
      <w:r w:rsidR="00850FC7" w:rsidRPr="00913E39">
        <w:rPr>
          <w:rFonts w:ascii="Garamond" w:hAnsi="Garamond"/>
          <w:sz w:val="24"/>
          <w:shd w:val="clear" w:color="auto" w:fill="FFFFFF"/>
        </w:rPr>
        <w:t>“</w:t>
      </w:r>
      <w:r w:rsidRPr="00913E39">
        <w:rPr>
          <w:rFonts w:ascii="Garamond" w:hAnsi="Garamond"/>
          <w:sz w:val="24"/>
          <w:shd w:val="clear" w:color="auto" w:fill="FFFFFF"/>
        </w:rPr>
        <w:t>Kërkesë për vaksinim kundër COVID-19</w:t>
      </w:r>
      <w:r w:rsidR="00850FC7" w:rsidRPr="00913E39">
        <w:rPr>
          <w:rFonts w:ascii="Garamond" w:hAnsi="Garamond"/>
          <w:sz w:val="24"/>
          <w:shd w:val="clear" w:color="auto" w:fill="FFFFFF"/>
        </w:rPr>
        <w:t>”</w:t>
      </w:r>
      <w:r w:rsidRPr="00913E39">
        <w:rPr>
          <w:rFonts w:ascii="Garamond" w:hAnsi="Garamond"/>
          <w:sz w:val="24"/>
          <w:shd w:val="clear" w:color="auto" w:fill="FFFFFF"/>
        </w:rPr>
        <w:t xml:space="preserve"> dhe </w:t>
      </w:r>
      <w:r w:rsidR="00850FC7" w:rsidRPr="00913E39">
        <w:rPr>
          <w:rFonts w:ascii="Garamond" w:hAnsi="Garamond"/>
          <w:sz w:val="24"/>
          <w:shd w:val="clear" w:color="auto" w:fill="FFFFFF"/>
        </w:rPr>
        <w:t>“</w:t>
      </w:r>
      <w:r w:rsidRPr="00913E39">
        <w:rPr>
          <w:rFonts w:ascii="Garamond" w:hAnsi="Garamond"/>
          <w:sz w:val="24"/>
          <w:shd w:val="clear" w:color="auto" w:fill="FFFFFF"/>
        </w:rPr>
        <w:t>Vaksinimi, testimi dhe certifikata e rikuperimit ndaj COVID-19</w:t>
      </w:r>
      <w:r w:rsidR="00850FC7" w:rsidRPr="00913E39">
        <w:rPr>
          <w:rFonts w:ascii="Garamond" w:hAnsi="Garamond"/>
          <w:sz w:val="24"/>
          <w:shd w:val="clear" w:color="auto" w:fill="FFFFFF"/>
        </w:rPr>
        <w:t>”</w:t>
      </w:r>
      <w:r w:rsidRPr="00913E39">
        <w:rPr>
          <w:rFonts w:ascii="Garamond" w:hAnsi="Garamond"/>
          <w:sz w:val="24"/>
          <w:shd w:val="clear" w:color="auto" w:fill="FFFFFF"/>
        </w:rPr>
        <w:t xml:space="preserve"> për qytetarët që dëshironin të vaksinoheshin dhe të merrnin certifikatën përkatëse. Certifikata e vaksinimit, testimit dhe rikuperimit ndaj COVID-19 njihet nga sistemi i integruar i Bashkimit Evropian </w:t>
      </w:r>
      <w:r w:rsidR="00850FC7" w:rsidRPr="00913E39">
        <w:rPr>
          <w:rFonts w:ascii="Garamond" w:hAnsi="Garamond"/>
          <w:sz w:val="24"/>
          <w:shd w:val="clear" w:color="auto" w:fill="FFFFFF"/>
        </w:rPr>
        <w:t>“</w:t>
      </w:r>
      <w:r w:rsidRPr="00913E39">
        <w:rPr>
          <w:rFonts w:ascii="Garamond" w:hAnsi="Garamond"/>
          <w:i/>
          <w:sz w:val="24"/>
          <w:shd w:val="clear" w:color="auto" w:fill="FFFFFF"/>
        </w:rPr>
        <w:t>Green Pass</w:t>
      </w:r>
      <w:r w:rsidR="00850FC7" w:rsidRPr="00913E39">
        <w:rPr>
          <w:rFonts w:ascii="Garamond" w:hAnsi="Garamond"/>
          <w:sz w:val="24"/>
          <w:shd w:val="clear" w:color="auto" w:fill="FFFFFF"/>
        </w:rPr>
        <w:t>”</w:t>
      </w:r>
      <w:r w:rsidRPr="00913E39">
        <w:rPr>
          <w:rFonts w:ascii="Garamond" w:hAnsi="Garamond"/>
          <w:sz w:val="24"/>
          <w:shd w:val="clear" w:color="auto" w:fill="FFFFFF"/>
        </w:rPr>
        <w:t xml:space="preserve">, i shkarkuar në kohë reale nga </w:t>
      </w:r>
      <w:r w:rsidRPr="00913E39">
        <w:rPr>
          <w:rFonts w:ascii="Garamond" w:hAnsi="Garamond"/>
          <w:i/>
          <w:sz w:val="24"/>
          <w:shd w:val="clear" w:color="auto" w:fill="FFFFFF"/>
        </w:rPr>
        <w:t>e-Albania</w:t>
      </w:r>
      <w:r w:rsidRPr="00913E39">
        <w:rPr>
          <w:rFonts w:ascii="Garamond" w:hAnsi="Garamond"/>
          <w:sz w:val="24"/>
          <w:shd w:val="clear" w:color="auto" w:fill="FFFFFF"/>
        </w:rPr>
        <w:t xml:space="preserve"> dhe i vërtetuar elektronikisht sipas rregullave të shtetit përkatës. </w:t>
      </w:r>
    </w:p>
    <w:p w14:paraId="49239808" w14:textId="77777777"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Shërbimet shëndetësore tashmë janë më pranë qytetarëve. Siguria është rritur më tej nëpërmjet sistemit të monitorimit elektronik të ofruesve të kujdesit shëndetësor dhe magazinave</w:t>
      </w:r>
      <w:r w:rsidRPr="00913E39">
        <w:rPr>
          <w:rFonts w:ascii="Garamond" w:hAnsi="Garamond"/>
          <w:sz w:val="24"/>
        </w:rPr>
        <w:t xml:space="preserve"> dhe depove </w:t>
      </w:r>
      <w:r w:rsidRPr="00913E39">
        <w:rPr>
          <w:rFonts w:ascii="Garamond" w:hAnsi="Garamond"/>
          <w:sz w:val="24"/>
          <w:shd w:val="clear" w:color="auto" w:fill="FFFFFF"/>
        </w:rPr>
        <w:t xml:space="preserve">farmaceutike. Sot, një produkt mund të kontrollohet lehtësisht që nga momenti kur hyn në Shqipëri deri në konsumimin e tij nga pacienti, duke garantuar origjinën, cilësinë dhe çmimin e tij. </w:t>
      </w:r>
    </w:p>
    <w:bookmarkEnd w:id="14"/>
    <w:p w14:paraId="758C4305" w14:textId="5EF8364C"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Sistemi i Bankë</w:t>
      </w:r>
      <w:r w:rsidR="00961102" w:rsidRPr="00913E39">
        <w:rPr>
          <w:rFonts w:ascii="Garamond" w:hAnsi="Garamond"/>
          <w:sz w:val="24"/>
          <w:shd w:val="clear" w:color="auto" w:fill="FFFFFF"/>
        </w:rPr>
        <w:t>s</w:t>
      </w:r>
      <w:r w:rsidRPr="00913E39">
        <w:rPr>
          <w:rFonts w:ascii="Garamond" w:hAnsi="Garamond"/>
          <w:sz w:val="24"/>
          <w:shd w:val="clear" w:color="auto" w:fill="FFFFFF"/>
        </w:rPr>
        <w:t xml:space="preserve"> së Gjakut është ngritur në të gjithë vendin për të siguruar kontrollin dhe menaxhimin e të gjithë procesit të dhurimit të gjakut, duke krijuar kështu një bazë të dhënash të dhuruesve dhe rezervave të gjakut në të gjithë vendin. Çdo qytetar që dëshiron të dhurojë gjak, mund të rezervojë datën dhe orën nëpërmjet portalit </w:t>
      </w:r>
      <w:r w:rsidRPr="00913E39">
        <w:rPr>
          <w:rFonts w:ascii="Garamond" w:hAnsi="Garamond"/>
          <w:i/>
          <w:sz w:val="24"/>
          <w:shd w:val="clear" w:color="auto" w:fill="FFFFFF"/>
        </w:rPr>
        <w:t>e-Albania</w:t>
      </w:r>
      <w:r w:rsidRPr="00913E39">
        <w:rPr>
          <w:rFonts w:ascii="Garamond" w:hAnsi="Garamond"/>
          <w:sz w:val="24"/>
          <w:shd w:val="clear" w:color="auto" w:fill="FFFFFF"/>
        </w:rPr>
        <w:t xml:space="preserve">. </w:t>
      </w:r>
    </w:p>
    <w:p w14:paraId="20F40809" w14:textId="534F322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shd w:val="clear" w:color="auto" w:fill="FFFFFF"/>
        </w:rPr>
        <w:t>Shërbimi i urgjencës menaxhohet nëpërmjet sistemit EMMA, e cila është platforma e menaxhimit të urgjencës që ofron të gjitha veçoritë e nevojshme për t</w:t>
      </w:r>
      <w:r w:rsidR="005222A5" w:rsidRPr="00913E39">
        <w:rPr>
          <w:rFonts w:ascii="Garamond" w:hAnsi="Garamond"/>
          <w:sz w:val="24"/>
          <w:shd w:val="clear" w:color="auto" w:fill="FFFFFF"/>
        </w:rPr>
        <w:t>’</w:t>
      </w:r>
      <w:r w:rsidRPr="00913E39">
        <w:rPr>
          <w:rFonts w:ascii="Garamond" w:hAnsi="Garamond"/>
          <w:sz w:val="24"/>
          <w:shd w:val="clear" w:color="auto" w:fill="FFFFFF"/>
        </w:rPr>
        <w:t xml:space="preserve">iu përgjigjur çdo lloj thirrjeje emergjente, dhe 127 </w:t>
      </w:r>
      <w:r w:rsidR="00961102" w:rsidRPr="00913E39">
        <w:rPr>
          <w:rFonts w:ascii="Garamond" w:hAnsi="Garamond"/>
          <w:sz w:val="24"/>
          <w:shd w:val="clear" w:color="auto" w:fill="FFFFFF"/>
        </w:rPr>
        <w:t>–</w:t>
      </w:r>
      <w:r w:rsidRPr="00913E39">
        <w:rPr>
          <w:rFonts w:ascii="Garamond" w:hAnsi="Garamond"/>
          <w:sz w:val="24"/>
          <w:shd w:val="clear" w:color="auto" w:fill="FFFFFF"/>
        </w:rPr>
        <w:t xml:space="preserve"> numri</w:t>
      </w:r>
      <w:r w:rsidR="00961102" w:rsidRPr="00913E39">
        <w:rPr>
          <w:rFonts w:ascii="Garamond" w:hAnsi="Garamond"/>
          <w:sz w:val="24"/>
          <w:shd w:val="clear" w:color="auto" w:fill="FFFFFF"/>
        </w:rPr>
        <w:t xml:space="preserve"> </w:t>
      </w:r>
      <w:r w:rsidRPr="00913E39">
        <w:rPr>
          <w:rFonts w:ascii="Garamond" w:hAnsi="Garamond"/>
          <w:sz w:val="24"/>
          <w:shd w:val="clear" w:color="auto" w:fill="FFFFFF"/>
        </w:rPr>
        <w:t>që merr thirrjet për ndihmë mjekësore dhe koordinohet me autoambulancat. Numri i urgjencës 112 është funksional edhe brenda Tiranës dhe së shpejti do të shtrihet në të gjithë vendin. Shërbimi spitalor menaxhohet nëpërmjet sistemit SISP që menaxhon të dhënat e pacientëve ambulatorë dhe të shtruar në spital. AHIS</w:t>
      </w:r>
      <w:r w:rsidR="00961102" w:rsidRPr="00913E39">
        <w:rPr>
          <w:rFonts w:ascii="Garamond" w:hAnsi="Garamond"/>
          <w:sz w:val="24"/>
          <w:shd w:val="clear" w:color="auto" w:fill="FFFFFF"/>
        </w:rPr>
        <w:t>-i</w:t>
      </w:r>
      <w:r w:rsidRPr="00913E39">
        <w:rPr>
          <w:rFonts w:ascii="Garamond" w:hAnsi="Garamond"/>
          <w:sz w:val="24"/>
          <w:shd w:val="clear" w:color="auto" w:fill="FFFFFF"/>
        </w:rPr>
        <w:t xml:space="preserve"> është regjistri elektronik i individëve të siguruar ku mjekët e familjes menaxhojnë pacientët e tyre. Të gjitha proceset për importin dhe regjistrimin e barnave regjistrohen në sistemin </w:t>
      </w:r>
      <w:r w:rsidRPr="00913E39">
        <w:rPr>
          <w:rFonts w:ascii="Garamond" w:hAnsi="Garamond"/>
          <w:i/>
          <w:sz w:val="24"/>
          <w:shd w:val="clear" w:color="auto" w:fill="FFFFFF"/>
        </w:rPr>
        <w:t>e-Barna</w:t>
      </w:r>
      <w:r w:rsidRPr="00913E39">
        <w:rPr>
          <w:rFonts w:ascii="Garamond" w:hAnsi="Garamond"/>
          <w:sz w:val="24"/>
          <w:shd w:val="clear" w:color="auto" w:fill="FFFFFF"/>
        </w:rPr>
        <w:t>.</w:t>
      </w:r>
    </w:p>
    <w:p w14:paraId="4CE5066E" w14:textId="77777777" w:rsidR="00847F23" w:rsidRPr="00913E39" w:rsidRDefault="00847F23" w:rsidP="00BE3DA6">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xml:space="preserve">Sistemi </w:t>
      </w:r>
      <w:r w:rsidRPr="00913E39">
        <w:rPr>
          <w:rFonts w:ascii="Garamond" w:hAnsi="Garamond"/>
          <w:i/>
          <w:sz w:val="24"/>
          <w:shd w:val="clear" w:color="auto" w:fill="FFFFFF"/>
        </w:rPr>
        <w:t>e-Receta</w:t>
      </w:r>
      <w:r w:rsidRPr="00913E39">
        <w:rPr>
          <w:rFonts w:ascii="Garamond" w:hAnsi="Garamond"/>
          <w:sz w:val="24"/>
          <w:shd w:val="clear" w:color="auto" w:fill="FFFFFF"/>
        </w:rPr>
        <w:t xml:space="preserve"> mundëson proceset e përpilimit, regjistrimit, ekzekutimit, nënshkrimit dhe rimbursimit bazuar në infrastrukturën dhe mjetet elektronike, duke zëvendësuar përdorimin e recetave në format letre. Sistemi ka mundësuar:</w:t>
      </w:r>
    </w:p>
    <w:p w14:paraId="0934768B" w14:textId="742588A6" w:rsidR="00847F23" w:rsidRPr="00913E39" w:rsidRDefault="00847F23" w:rsidP="00BE3DA6">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961102" w:rsidRPr="00913E39">
        <w:rPr>
          <w:rFonts w:ascii="Garamond" w:hAnsi="Garamond"/>
          <w:sz w:val="24"/>
          <w:shd w:val="clear" w:color="auto" w:fill="FFFFFF"/>
        </w:rPr>
        <w:t xml:space="preserve">ulje </w:t>
      </w:r>
      <w:r w:rsidRPr="00913E39">
        <w:rPr>
          <w:rFonts w:ascii="Garamond" w:hAnsi="Garamond"/>
          <w:sz w:val="24"/>
          <w:shd w:val="clear" w:color="auto" w:fill="FFFFFF"/>
        </w:rPr>
        <w:t>të ndjeshme të kostove të kujdesit shëndetësor</w:t>
      </w:r>
      <w:r w:rsidR="00961102" w:rsidRPr="00913E39">
        <w:rPr>
          <w:rFonts w:ascii="Garamond" w:hAnsi="Garamond"/>
          <w:sz w:val="24"/>
          <w:shd w:val="clear" w:color="auto" w:fill="FFFFFF"/>
        </w:rPr>
        <w:t>;</w:t>
      </w:r>
    </w:p>
    <w:p w14:paraId="3CB45809" w14:textId="5D5FD46A" w:rsidR="00847F23" w:rsidRPr="00913E39" w:rsidRDefault="00847F23" w:rsidP="00BE3DA6">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961102" w:rsidRPr="00913E39">
        <w:rPr>
          <w:rFonts w:ascii="Garamond" w:hAnsi="Garamond"/>
          <w:sz w:val="24"/>
          <w:shd w:val="clear" w:color="auto" w:fill="FFFFFF"/>
        </w:rPr>
        <w:t xml:space="preserve">eliminimin </w:t>
      </w:r>
      <w:r w:rsidRPr="00913E39">
        <w:rPr>
          <w:rFonts w:ascii="Garamond" w:hAnsi="Garamond"/>
          <w:sz w:val="24"/>
          <w:shd w:val="clear" w:color="auto" w:fill="FFFFFF"/>
        </w:rPr>
        <w:t>e recetave të dyfishta në rimbursim</w:t>
      </w:r>
      <w:r w:rsidR="00961102" w:rsidRPr="00913E39">
        <w:rPr>
          <w:rFonts w:ascii="Garamond" w:hAnsi="Garamond"/>
          <w:sz w:val="24"/>
          <w:shd w:val="clear" w:color="auto" w:fill="FFFFFF"/>
        </w:rPr>
        <w:t>;</w:t>
      </w:r>
    </w:p>
    <w:p w14:paraId="6DA22B2E" w14:textId="4B20EB81" w:rsidR="00847F23" w:rsidRPr="00913E39" w:rsidRDefault="00847F23" w:rsidP="00BE3DA6">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961102" w:rsidRPr="00913E39">
        <w:rPr>
          <w:rFonts w:ascii="Garamond" w:hAnsi="Garamond"/>
          <w:sz w:val="24"/>
          <w:shd w:val="clear" w:color="auto" w:fill="FFFFFF"/>
        </w:rPr>
        <w:t xml:space="preserve">informacion </w:t>
      </w:r>
      <w:r w:rsidRPr="00913E39">
        <w:rPr>
          <w:rFonts w:ascii="Garamond" w:hAnsi="Garamond"/>
          <w:sz w:val="24"/>
          <w:shd w:val="clear" w:color="auto" w:fill="FFFFFF"/>
        </w:rPr>
        <w:t>për mjekët për alternativat më të lira të barnave për të njëjtën diagnozë.</w:t>
      </w:r>
    </w:p>
    <w:p w14:paraId="015F82B8" w14:textId="77777777" w:rsidR="00847F23" w:rsidRPr="00913E39" w:rsidRDefault="00847F23" w:rsidP="00BE3DA6">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Gjatë vitit 2022, 3.9 milionë receta elektronike janë dhënë nga mjekët.</w:t>
      </w:r>
    </w:p>
    <w:p w14:paraId="48267BD3" w14:textId="50097AC9"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Sistemi ndërvepron me sistemin e regjistrit kombëtar të gjendjes civile për të dhënat e qytetarëve, me AHIS</w:t>
      </w:r>
      <w:r w:rsidR="00165C98" w:rsidRPr="00913E39">
        <w:rPr>
          <w:rFonts w:ascii="Garamond" w:hAnsi="Garamond"/>
          <w:sz w:val="24"/>
          <w:shd w:val="clear" w:color="auto" w:fill="FFFFFF"/>
        </w:rPr>
        <w:t>-in</w:t>
      </w:r>
      <w:r w:rsidRPr="00913E39">
        <w:rPr>
          <w:rFonts w:ascii="Garamond" w:hAnsi="Garamond"/>
          <w:sz w:val="24"/>
          <w:shd w:val="clear" w:color="auto" w:fill="FFFFFF"/>
        </w:rPr>
        <w:t xml:space="preserve"> për kategoritë e pacientëve të deklaruar në tatime (të punësuar, me ndihmë ekonomike etj.), me sistemin </w:t>
      </w:r>
      <w:r w:rsidRPr="00913E39">
        <w:rPr>
          <w:rFonts w:ascii="Garamond" w:hAnsi="Garamond"/>
          <w:i/>
          <w:sz w:val="24"/>
          <w:shd w:val="clear" w:color="auto" w:fill="FFFFFF"/>
        </w:rPr>
        <w:t>e-</w:t>
      </w:r>
      <w:r w:rsidR="007950F4" w:rsidRPr="00913E39">
        <w:rPr>
          <w:rFonts w:ascii="Garamond" w:hAnsi="Garamond"/>
          <w:i/>
          <w:sz w:val="24"/>
          <w:shd w:val="clear" w:color="auto" w:fill="FFFFFF"/>
        </w:rPr>
        <w:t>Barna</w:t>
      </w:r>
      <w:r w:rsidR="007950F4" w:rsidRPr="00913E39">
        <w:rPr>
          <w:rFonts w:ascii="Garamond" w:hAnsi="Garamond"/>
          <w:sz w:val="24"/>
          <w:shd w:val="clear" w:color="auto" w:fill="FFFFFF"/>
        </w:rPr>
        <w:t xml:space="preserve"> </w:t>
      </w:r>
      <w:r w:rsidRPr="00913E39">
        <w:rPr>
          <w:rFonts w:ascii="Garamond" w:hAnsi="Garamond"/>
          <w:sz w:val="24"/>
          <w:shd w:val="clear" w:color="auto" w:fill="FFFFFF"/>
        </w:rPr>
        <w:t>për listën e barnave të rimbursueshme dhe me Regjistrin Tregtar të Qendrës Kombëtare të Biznesit, për të dhënat e subjekteve farmaceutike.</w:t>
      </w:r>
    </w:p>
    <w:p w14:paraId="0769233A" w14:textId="77777777"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xml:space="preserve">Sistemi </w:t>
      </w:r>
      <w:r w:rsidRPr="00913E39">
        <w:rPr>
          <w:rFonts w:ascii="Garamond" w:hAnsi="Garamond"/>
          <w:i/>
          <w:sz w:val="24"/>
          <w:shd w:val="clear" w:color="auto" w:fill="FFFFFF"/>
        </w:rPr>
        <w:t>e-Depo</w:t>
      </w:r>
      <w:r w:rsidRPr="00913E39">
        <w:rPr>
          <w:rFonts w:ascii="Garamond" w:hAnsi="Garamond"/>
          <w:sz w:val="24"/>
          <w:shd w:val="clear" w:color="auto" w:fill="FFFFFF"/>
        </w:rPr>
        <w:t xml:space="preserve"> është një sistem i centralizuar për administrimin e depove farmaceutike. Ai regjistron inventarin fizik të barnave dhe listën e barnave që rimbursohen në depo farmaceutike. Të dhënat regjistrohen për çdo transaksion të barnave të rimbursueshme në depo farmaceutike dhe subjekte farmaceutike.</w:t>
      </w:r>
    </w:p>
    <w:p w14:paraId="67791147" w14:textId="56F5E19E"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xml:space="preserve">Gjatë vitit 2022, nëpërmjet sistemit </w:t>
      </w:r>
      <w:r w:rsidRPr="00913E39">
        <w:rPr>
          <w:rFonts w:ascii="Garamond" w:hAnsi="Garamond"/>
          <w:i/>
          <w:sz w:val="24"/>
          <w:shd w:val="clear" w:color="auto" w:fill="FFFFFF"/>
        </w:rPr>
        <w:t>e-</w:t>
      </w:r>
      <w:r w:rsidR="007950F4" w:rsidRPr="00913E39">
        <w:rPr>
          <w:rFonts w:ascii="Garamond" w:hAnsi="Garamond"/>
          <w:i/>
          <w:sz w:val="24"/>
          <w:shd w:val="clear" w:color="auto" w:fill="FFFFFF"/>
        </w:rPr>
        <w:t>Depo</w:t>
      </w:r>
      <w:r w:rsidR="007950F4" w:rsidRPr="00913E39">
        <w:rPr>
          <w:rFonts w:ascii="Garamond" w:hAnsi="Garamond"/>
          <w:sz w:val="24"/>
          <w:shd w:val="clear" w:color="auto" w:fill="FFFFFF"/>
        </w:rPr>
        <w:t xml:space="preserve"> </w:t>
      </w:r>
      <w:r w:rsidRPr="00913E39">
        <w:rPr>
          <w:rFonts w:ascii="Garamond" w:hAnsi="Garamond"/>
          <w:sz w:val="24"/>
          <w:shd w:val="clear" w:color="auto" w:fill="FFFFFF"/>
        </w:rPr>
        <w:t>janë gjeneruar 1.2 milionë transaksione barnash të rimbursueshme.</w:t>
      </w:r>
    </w:p>
    <w:p w14:paraId="2A98CD40" w14:textId="6FD918F8"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i/>
          <w:sz w:val="24"/>
          <w:shd w:val="clear" w:color="auto" w:fill="FFFFFF"/>
        </w:rPr>
        <w:t>E-depo</w:t>
      </w:r>
      <w:r w:rsidRPr="00913E39">
        <w:rPr>
          <w:rFonts w:ascii="Garamond" w:hAnsi="Garamond"/>
          <w:sz w:val="24"/>
          <w:shd w:val="clear" w:color="auto" w:fill="FFFFFF"/>
        </w:rPr>
        <w:t xml:space="preserve"> ndërvepron me Sistemin </w:t>
      </w:r>
      <w:r w:rsidRPr="00913E39">
        <w:rPr>
          <w:rFonts w:ascii="Garamond" w:hAnsi="Garamond"/>
          <w:i/>
          <w:sz w:val="24"/>
          <w:shd w:val="clear" w:color="auto" w:fill="FFFFFF"/>
        </w:rPr>
        <w:t>e-Receta</w:t>
      </w:r>
      <w:r w:rsidRPr="00913E39">
        <w:rPr>
          <w:rFonts w:ascii="Garamond" w:hAnsi="Garamond"/>
          <w:sz w:val="24"/>
          <w:shd w:val="clear" w:color="auto" w:fill="FFFFFF"/>
        </w:rPr>
        <w:t xml:space="preserve"> për informacion mbi farmacitë që kanë kontrata me Fondin e Sigurimit t</w:t>
      </w:r>
      <w:r w:rsidR="00165C98" w:rsidRPr="00913E39">
        <w:rPr>
          <w:rFonts w:ascii="Garamond" w:hAnsi="Garamond"/>
          <w:sz w:val="24"/>
        </w:rPr>
        <w:t>ë</w:t>
      </w:r>
      <w:r w:rsidRPr="00913E39">
        <w:rPr>
          <w:rFonts w:ascii="Garamond" w:hAnsi="Garamond"/>
          <w:sz w:val="24"/>
          <w:shd w:val="clear" w:color="auto" w:fill="FFFFFF"/>
        </w:rPr>
        <w:t xml:space="preserve"> </w:t>
      </w:r>
      <w:r w:rsidR="00165C98" w:rsidRPr="00913E39">
        <w:rPr>
          <w:rFonts w:ascii="Garamond" w:hAnsi="Garamond"/>
          <w:sz w:val="24"/>
          <w:shd w:val="clear" w:color="auto" w:fill="FFFFFF"/>
        </w:rPr>
        <w:t>Detyrueshëm</w:t>
      </w:r>
      <w:r w:rsidRPr="00913E39">
        <w:rPr>
          <w:rFonts w:ascii="Garamond" w:hAnsi="Garamond"/>
          <w:sz w:val="24"/>
          <w:shd w:val="clear" w:color="auto" w:fill="FFFFFF"/>
        </w:rPr>
        <w:t xml:space="preserve"> t</w:t>
      </w:r>
      <w:r w:rsidR="00165C98" w:rsidRPr="00913E39">
        <w:rPr>
          <w:rFonts w:ascii="Garamond" w:hAnsi="Garamond"/>
          <w:sz w:val="24"/>
        </w:rPr>
        <w:t>ë</w:t>
      </w:r>
      <w:r w:rsidRPr="00913E39">
        <w:rPr>
          <w:rFonts w:ascii="Garamond" w:hAnsi="Garamond"/>
          <w:sz w:val="24"/>
          <w:shd w:val="clear" w:color="auto" w:fill="FFFFFF"/>
        </w:rPr>
        <w:t xml:space="preserve"> Kujdesit </w:t>
      </w:r>
      <w:r w:rsidR="00165C98" w:rsidRPr="00913E39">
        <w:rPr>
          <w:rFonts w:ascii="Garamond" w:hAnsi="Garamond"/>
          <w:sz w:val="24"/>
          <w:shd w:val="clear" w:color="auto" w:fill="FFFFFF"/>
        </w:rPr>
        <w:t>Shëndetësor</w:t>
      </w:r>
      <w:r w:rsidRPr="00913E39">
        <w:rPr>
          <w:rFonts w:ascii="Garamond" w:hAnsi="Garamond"/>
          <w:sz w:val="24"/>
          <w:shd w:val="clear" w:color="auto" w:fill="FFFFFF"/>
        </w:rPr>
        <w:t xml:space="preserve">, me </w:t>
      </w:r>
      <w:r w:rsidRPr="00913E39">
        <w:rPr>
          <w:rFonts w:ascii="Garamond" w:hAnsi="Garamond"/>
          <w:i/>
          <w:sz w:val="24"/>
          <w:shd w:val="clear" w:color="auto" w:fill="FFFFFF"/>
        </w:rPr>
        <w:t>e-Barna</w:t>
      </w:r>
      <w:r w:rsidRPr="00913E39">
        <w:rPr>
          <w:rFonts w:ascii="Garamond" w:hAnsi="Garamond"/>
          <w:sz w:val="24"/>
          <w:shd w:val="clear" w:color="auto" w:fill="FFFFFF"/>
        </w:rPr>
        <w:t xml:space="preserve"> për listën e barnave të rimbursueshme, si dhe me regjistrin tregtar të Qendrës Kombëtare të Biznesit, për depot farmaceutike dhe të dhënat e farmacive.</w:t>
      </w:r>
    </w:p>
    <w:p w14:paraId="4306DEC6" w14:textId="35705EDD"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xml:space="preserve">Sistemi </w:t>
      </w:r>
      <w:r w:rsidRPr="00913E39">
        <w:rPr>
          <w:rFonts w:ascii="Garamond" w:hAnsi="Garamond"/>
          <w:i/>
          <w:sz w:val="24"/>
          <w:shd w:val="clear" w:color="auto" w:fill="FFFFFF"/>
        </w:rPr>
        <w:t>e-Vizita</w:t>
      </w:r>
      <w:r w:rsidRPr="00913E39">
        <w:rPr>
          <w:rFonts w:ascii="Garamond" w:hAnsi="Garamond"/>
          <w:sz w:val="24"/>
          <w:shd w:val="clear" w:color="auto" w:fill="FFFFFF"/>
        </w:rPr>
        <w:t xml:space="preserve"> mundëson raportimin </w:t>
      </w:r>
      <w:r w:rsidRPr="00913E39">
        <w:rPr>
          <w:rFonts w:ascii="Garamond" w:hAnsi="Garamond"/>
          <w:i/>
          <w:sz w:val="24"/>
          <w:shd w:val="clear" w:color="auto" w:fill="FFFFFF"/>
        </w:rPr>
        <w:t>online</w:t>
      </w:r>
      <w:r w:rsidRPr="00913E39">
        <w:rPr>
          <w:rFonts w:ascii="Garamond" w:hAnsi="Garamond"/>
          <w:sz w:val="24"/>
          <w:shd w:val="clear" w:color="auto" w:fill="FFFFFF"/>
        </w:rPr>
        <w:t xml:space="preserve"> të vizitave të pacientëve në qendrat shëndetësore dhe poliklinika. Në këtë mënyrë shmanget regjistrimi manual i vizitave dhe ato regjistrohen në regjistrin elektronik. Sistemi ruan gjithashtu historikun mjekësor të vizitave dhe informacionin shëndetësor të pacientit (simptomat jetike, alergjitë etj.). Gjatë vitit 2022, në sistem janë regjistruar 5.8 milionë vizita. </w:t>
      </w:r>
      <w:r w:rsidRPr="00913E39">
        <w:rPr>
          <w:rFonts w:ascii="Garamond" w:hAnsi="Garamond"/>
          <w:i/>
          <w:sz w:val="24"/>
          <w:shd w:val="clear" w:color="auto" w:fill="FFFFFF"/>
        </w:rPr>
        <w:t>E-</w:t>
      </w:r>
      <w:r w:rsidR="007950F4" w:rsidRPr="00913E39">
        <w:rPr>
          <w:rFonts w:ascii="Garamond" w:hAnsi="Garamond"/>
          <w:i/>
          <w:sz w:val="24"/>
          <w:shd w:val="clear" w:color="auto" w:fill="FFFFFF"/>
        </w:rPr>
        <w:t>Vizita</w:t>
      </w:r>
      <w:r w:rsidR="007950F4" w:rsidRPr="00913E39">
        <w:rPr>
          <w:rFonts w:ascii="Garamond" w:hAnsi="Garamond"/>
          <w:sz w:val="24"/>
          <w:shd w:val="clear" w:color="auto" w:fill="FFFFFF"/>
        </w:rPr>
        <w:t xml:space="preserve"> </w:t>
      </w:r>
      <w:r w:rsidRPr="00913E39">
        <w:rPr>
          <w:rFonts w:ascii="Garamond" w:hAnsi="Garamond"/>
          <w:sz w:val="24"/>
          <w:shd w:val="clear" w:color="auto" w:fill="FFFFFF"/>
        </w:rPr>
        <w:t xml:space="preserve">është një sistem, pjesë e portalit të mjekut, ku mjeku hyn në sisteme të tjera nëpërmjet një hyrjeje të vetme (SSO): AHIS, </w:t>
      </w:r>
      <w:r w:rsidRPr="00913E39">
        <w:rPr>
          <w:rFonts w:ascii="Garamond" w:hAnsi="Garamond"/>
          <w:i/>
          <w:sz w:val="24"/>
          <w:shd w:val="clear" w:color="auto" w:fill="FFFFFF"/>
        </w:rPr>
        <w:t>e-Referim, e-Recetë, e-Raport</w:t>
      </w:r>
      <w:r w:rsidRPr="00913E39">
        <w:rPr>
          <w:rFonts w:ascii="Garamond" w:hAnsi="Garamond"/>
          <w:sz w:val="24"/>
          <w:shd w:val="clear" w:color="auto" w:fill="FFFFFF"/>
        </w:rPr>
        <w:t xml:space="preserve"> dhe </w:t>
      </w:r>
      <w:r w:rsidRPr="00913E39">
        <w:rPr>
          <w:rFonts w:ascii="Garamond" w:hAnsi="Garamond"/>
          <w:i/>
          <w:sz w:val="24"/>
          <w:shd w:val="clear" w:color="auto" w:fill="FFFFFF"/>
        </w:rPr>
        <w:t>e-Vizita</w:t>
      </w:r>
      <w:r w:rsidRPr="00913E39">
        <w:rPr>
          <w:rFonts w:ascii="Garamond" w:hAnsi="Garamond"/>
          <w:sz w:val="24"/>
          <w:shd w:val="clear" w:color="auto" w:fill="FFFFFF"/>
        </w:rPr>
        <w:t>.</w:t>
      </w:r>
    </w:p>
    <w:p w14:paraId="799D398D" w14:textId="1BDFCE0C"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lastRenderedPageBreak/>
        <w:t xml:space="preserve">Sistemi i Referimit Elektronik është sistemi informatik i rezervimit dhe regjistrimit </w:t>
      </w:r>
      <w:r w:rsidRPr="00913E39">
        <w:rPr>
          <w:rFonts w:ascii="Garamond" w:hAnsi="Garamond"/>
          <w:i/>
          <w:sz w:val="24"/>
          <w:shd w:val="clear" w:color="auto" w:fill="FFFFFF"/>
        </w:rPr>
        <w:t>online</w:t>
      </w:r>
      <w:r w:rsidRPr="00913E39">
        <w:rPr>
          <w:rFonts w:ascii="Garamond" w:hAnsi="Garamond"/>
          <w:sz w:val="24"/>
          <w:shd w:val="clear" w:color="auto" w:fill="FFFFFF"/>
        </w:rPr>
        <w:t xml:space="preserve"> për referime dhe ekzaminime të specializuara me pajisje </w:t>
      </w:r>
      <w:r w:rsidR="00E13629" w:rsidRPr="00913E39">
        <w:rPr>
          <w:rFonts w:ascii="Garamond" w:hAnsi="Garamond"/>
          <w:sz w:val="24"/>
          <w:shd w:val="clear" w:color="auto" w:fill="FFFFFF"/>
        </w:rPr>
        <w:t>mjekësore</w:t>
      </w:r>
      <w:r w:rsidRPr="00913E39">
        <w:rPr>
          <w:rFonts w:ascii="Garamond" w:hAnsi="Garamond"/>
          <w:sz w:val="24"/>
          <w:shd w:val="clear" w:color="auto" w:fill="FFFFFF"/>
        </w:rPr>
        <w:t>, sipas rekomandimeve t</w:t>
      </w:r>
      <w:r w:rsidR="0078359B" w:rsidRPr="00913E39">
        <w:rPr>
          <w:rFonts w:ascii="Garamond" w:hAnsi="Garamond"/>
          <w:sz w:val="24"/>
        </w:rPr>
        <w:t>ë</w:t>
      </w:r>
      <w:r w:rsidRPr="00913E39">
        <w:rPr>
          <w:rFonts w:ascii="Garamond" w:hAnsi="Garamond"/>
          <w:sz w:val="24"/>
          <w:shd w:val="clear" w:color="auto" w:fill="FFFFFF"/>
        </w:rPr>
        <w:t xml:space="preserve"> mjek</w:t>
      </w:r>
      <w:r w:rsidR="0078359B" w:rsidRPr="00913E39">
        <w:rPr>
          <w:rFonts w:ascii="Garamond" w:hAnsi="Garamond"/>
          <w:sz w:val="24"/>
        </w:rPr>
        <w:t>ë</w:t>
      </w:r>
      <w:r w:rsidRPr="00913E39">
        <w:rPr>
          <w:rFonts w:ascii="Garamond" w:hAnsi="Garamond"/>
          <w:sz w:val="24"/>
          <w:shd w:val="clear" w:color="auto" w:fill="FFFFFF"/>
        </w:rPr>
        <w:t>ve t</w:t>
      </w:r>
      <w:r w:rsidR="0078359B" w:rsidRPr="00913E39">
        <w:rPr>
          <w:rFonts w:ascii="Garamond" w:hAnsi="Garamond"/>
          <w:sz w:val="24"/>
        </w:rPr>
        <w:t>ë</w:t>
      </w:r>
      <w:r w:rsidRPr="00913E39">
        <w:rPr>
          <w:rFonts w:ascii="Garamond" w:hAnsi="Garamond"/>
          <w:sz w:val="24"/>
          <w:shd w:val="clear" w:color="auto" w:fill="FFFFFF"/>
        </w:rPr>
        <w:t xml:space="preserve"> familjes dhe t</w:t>
      </w:r>
      <w:r w:rsidR="0078359B" w:rsidRPr="00913E39">
        <w:rPr>
          <w:rFonts w:ascii="Garamond" w:hAnsi="Garamond"/>
          <w:sz w:val="24"/>
        </w:rPr>
        <w:t>ë</w:t>
      </w:r>
      <w:r w:rsidRPr="00913E39">
        <w:rPr>
          <w:rFonts w:ascii="Garamond" w:hAnsi="Garamond"/>
          <w:sz w:val="24"/>
          <w:shd w:val="clear" w:color="auto" w:fill="FFFFFF"/>
        </w:rPr>
        <w:t xml:space="preserve"> mjek</w:t>
      </w:r>
      <w:r w:rsidR="0078359B" w:rsidRPr="00913E39">
        <w:rPr>
          <w:rFonts w:ascii="Garamond" w:hAnsi="Garamond"/>
          <w:sz w:val="24"/>
        </w:rPr>
        <w:t>ë</w:t>
      </w:r>
      <w:r w:rsidRPr="00913E39">
        <w:rPr>
          <w:rFonts w:ascii="Garamond" w:hAnsi="Garamond"/>
          <w:sz w:val="24"/>
          <w:shd w:val="clear" w:color="auto" w:fill="FFFFFF"/>
        </w:rPr>
        <w:t>ve specialist</w:t>
      </w:r>
      <w:r w:rsidR="0078359B" w:rsidRPr="00913E39">
        <w:rPr>
          <w:rFonts w:ascii="Garamond" w:hAnsi="Garamond"/>
          <w:sz w:val="24"/>
        </w:rPr>
        <w:t>ë</w:t>
      </w:r>
      <w:r w:rsidRPr="00913E39">
        <w:rPr>
          <w:rFonts w:ascii="Garamond" w:hAnsi="Garamond"/>
          <w:sz w:val="24"/>
          <w:shd w:val="clear" w:color="auto" w:fill="FFFFFF"/>
        </w:rPr>
        <w:t xml:space="preserve">, duke pasur parasysh vendndodhjen, disponueshmërinë e pajisjeve </w:t>
      </w:r>
      <w:r w:rsidR="00E13629" w:rsidRPr="00913E39">
        <w:rPr>
          <w:rFonts w:ascii="Garamond" w:hAnsi="Garamond"/>
          <w:sz w:val="24"/>
          <w:shd w:val="clear" w:color="auto" w:fill="FFFFFF"/>
        </w:rPr>
        <w:t>mjekësore,</w:t>
      </w:r>
      <w:r w:rsidRPr="00913E39">
        <w:rPr>
          <w:rFonts w:ascii="Garamond" w:hAnsi="Garamond"/>
          <w:sz w:val="24"/>
          <w:shd w:val="clear" w:color="auto" w:fill="FFFFFF"/>
        </w:rPr>
        <w:t xml:space="preserve"> si dhe stafin </w:t>
      </w:r>
      <w:r w:rsidR="00E13629" w:rsidRPr="00913E39">
        <w:rPr>
          <w:rFonts w:ascii="Garamond" w:hAnsi="Garamond"/>
          <w:sz w:val="24"/>
          <w:shd w:val="clear" w:color="auto" w:fill="FFFFFF"/>
        </w:rPr>
        <w:t>mjekësor</w:t>
      </w:r>
      <w:r w:rsidRPr="00913E39">
        <w:rPr>
          <w:rFonts w:ascii="Garamond" w:hAnsi="Garamond"/>
          <w:sz w:val="24"/>
          <w:shd w:val="clear" w:color="auto" w:fill="FFFFFF"/>
        </w:rPr>
        <w:t xml:space="preserve"> përkatës. Sistemi mundëson riskedulim </w:t>
      </w:r>
      <w:r w:rsidRPr="00913E39">
        <w:rPr>
          <w:rFonts w:ascii="Garamond" w:hAnsi="Garamond"/>
          <w:i/>
          <w:sz w:val="24"/>
          <w:shd w:val="clear" w:color="auto" w:fill="FFFFFF"/>
        </w:rPr>
        <w:t>online</w:t>
      </w:r>
      <w:r w:rsidRPr="00913E39">
        <w:rPr>
          <w:rFonts w:ascii="Garamond" w:hAnsi="Garamond"/>
          <w:sz w:val="24"/>
          <w:shd w:val="clear" w:color="auto" w:fill="FFFFFF"/>
        </w:rPr>
        <w:t xml:space="preserve"> të datës së takimit dhe ka shkurtuar radhën e pritjes për qytetarët duke siguruar menaxhim më të mirë të kohës së personelit mjekësor dhe gjendjes funksionale të pajisjeve mjekësore. Gjatë vitit 2022, në sistem u regjistruan rreth 1.8 milionë referime dhe ekzaminime.</w:t>
      </w:r>
    </w:p>
    <w:p w14:paraId="1FB5DE72" w14:textId="785ED94B"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Ky sistem ndërvepron me sistemin e Regjistrit Kombëtar të Gjendjes Civile për të tërhequr të dhënat e qytetarëve, me AHIS</w:t>
      </w:r>
      <w:r w:rsidR="0078359B" w:rsidRPr="00913E39">
        <w:rPr>
          <w:rFonts w:ascii="Garamond" w:hAnsi="Garamond"/>
          <w:sz w:val="24"/>
          <w:shd w:val="clear" w:color="auto" w:fill="FFFFFF"/>
        </w:rPr>
        <w:t>-in</w:t>
      </w:r>
      <w:r w:rsidRPr="00913E39">
        <w:rPr>
          <w:rFonts w:ascii="Garamond" w:hAnsi="Garamond"/>
          <w:sz w:val="24"/>
          <w:shd w:val="clear" w:color="auto" w:fill="FFFFFF"/>
        </w:rPr>
        <w:t xml:space="preserve"> për të tërhequr kategoritë e pacientëve të deklaruar në tatime (të punësuar, me ndihmë ekonomike etj.). SISP</w:t>
      </w:r>
      <w:r w:rsidR="0078359B" w:rsidRPr="00913E39">
        <w:rPr>
          <w:rFonts w:ascii="Garamond" w:hAnsi="Garamond"/>
          <w:sz w:val="24"/>
          <w:shd w:val="clear" w:color="auto" w:fill="FFFFFF"/>
        </w:rPr>
        <w:t>-in</w:t>
      </w:r>
      <w:r w:rsidRPr="00913E39">
        <w:rPr>
          <w:rFonts w:ascii="Garamond" w:hAnsi="Garamond"/>
          <w:sz w:val="24"/>
          <w:shd w:val="clear" w:color="auto" w:fill="FFFFFF"/>
        </w:rPr>
        <w:t xml:space="preserve"> (Sistemi i Informacionit për Shëndetin Publik në QSUT </w:t>
      </w:r>
      <w:r w:rsidR="00850FC7" w:rsidRPr="00913E39">
        <w:rPr>
          <w:rFonts w:ascii="Garamond" w:hAnsi="Garamond"/>
          <w:sz w:val="24"/>
          <w:shd w:val="clear" w:color="auto" w:fill="FFFFFF"/>
        </w:rPr>
        <w:t>“</w:t>
      </w:r>
      <w:r w:rsidRPr="00913E39">
        <w:rPr>
          <w:rFonts w:ascii="Garamond" w:hAnsi="Garamond"/>
          <w:sz w:val="24"/>
          <w:shd w:val="clear" w:color="auto" w:fill="FFFFFF"/>
        </w:rPr>
        <w:t>Nënë Tereza</w:t>
      </w:r>
      <w:r w:rsidR="00850FC7" w:rsidRPr="00913E39">
        <w:rPr>
          <w:rFonts w:ascii="Garamond" w:hAnsi="Garamond"/>
          <w:sz w:val="24"/>
          <w:shd w:val="clear" w:color="auto" w:fill="FFFFFF"/>
        </w:rPr>
        <w:t>”</w:t>
      </w:r>
      <w:r w:rsidRPr="00913E39">
        <w:rPr>
          <w:rFonts w:ascii="Garamond" w:hAnsi="Garamond"/>
          <w:sz w:val="24"/>
          <w:shd w:val="clear" w:color="auto" w:fill="FFFFFF"/>
        </w:rPr>
        <w:t xml:space="preserve">) merr </w:t>
      </w:r>
      <w:r w:rsidRPr="00913E39">
        <w:rPr>
          <w:rFonts w:ascii="Garamond" w:hAnsi="Garamond"/>
          <w:sz w:val="24"/>
        </w:rPr>
        <w:t>n</w:t>
      </w:r>
      <w:r w:rsidRPr="00913E39">
        <w:rPr>
          <w:rFonts w:ascii="Garamond" w:hAnsi="Garamond"/>
          <w:sz w:val="24"/>
          <w:shd w:val="clear" w:color="auto" w:fill="FFFFFF"/>
        </w:rPr>
        <w:t xml:space="preserve">ga sistemi </w:t>
      </w:r>
      <w:r w:rsidRPr="00913E39">
        <w:rPr>
          <w:rFonts w:ascii="Garamond" w:hAnsi="Garamond"/>
          <w:i/>
          <w:sz w:val="24"/>
          <w:shd w:val="clear" w:color="auto" w:fill="FFFFFF"/>
        </w:rPr>
        <w:t>e-</w:t>
      </w:r>
      <w:r w:rsidR="00E13629" w:rsidRPr="00913E39">
        <w:rPr>
          <w:rFonts w:ascii="Garamond" w:hAnsi="Garamond"/>
          <w:i/>
          <w:sz w:val="24"/>
          <w:shd w:val="clear" w:color="auto" w:fill="FFFFFF"/>
        </w:rPr>
        <w:t>Referime</w:t>
      </w:r>
      <w:r w:rsidR="00E13629" w:rsidRPr="00913E39">
        <w:rPr>
          <w:rFonts w:ascii="Garamond" w:hAnsi="Garamond"/>
          <w:sz w:val="24"/>
          <w:shd w:val="clear" w:color="auto" w:fill="FFFFFF"/>
        </w:rPr>
        <w:t xml:space="preserve"> </w:t>
      </w:r>
      <w:r w:rsidRPr="00913E39">
        <w:rPr>
          <w:rFonts w:ascii="Garamond" w:hAnsi="Garamond"/>
          <w:sz w:val="24"/>
          <w:shd w:val="clear" w:color="auto" w:fill="FFFFFF"/>
        </w:rPr>
        <w:t>kodin e rezervimit, të dhënat për mjekun referues dhe diagnozën e pacientit.</w:t>
      </w:r>
    </w:p>
    <w:p w14:paraId="1F237795" w14:textId="1CBAB6F7" w:rsidR="00847F23" w:rsidRPr="00913E39" w:rsidRDefault="00847F23" w:rsidP="00FC4C60">
      <w:pPr>
        <w:spacing w:after="0" w:line="240" w:lineRule="auto"/>
        <w:ind w:firstLine="284"/>
        <w:jc w:val="both"/>
        <w:rPr>
          <w:rFonts w:ascii="Garamond" w:eastAsia="Times New Roman" w:hAnsi="Garamond" w:cs="Times New Roman"/>
          <w:sz w:val="24"/>
          <w:szCs w:val="24"/>
          <w:shd w:val="clear" w:color="auto" w:fill="FFFFFF"/>
        </w:rPr>
      </w:pPr>
      <w:r w:rsidRPr="00913E39">
        <w:rPr>
          <w:rFonts w:ascii="Garamond" w:eastAsia="Times New Roman" w:hAnsi="Garamond" w:cs="Times New Roman"/>
          <w:sz w:val="24"/>
          <w:szCs w:val="24"/>
          <w:shd w:val="clear" w:color="auto" w:fill="FFFFFF"/>
        </w:rPr>
        <w:t xml:space="preserve">Sistemi </w:t>
      </w:r>
      <w:r w:rsidRPr="00913E39">
        <w:rPr>
          <w:rFonts w:ascii="Garamond" w:eastAsia="Times New Roman" w:hAnsi="Garamond" w:cs="Times New Roman"/>
          <w:i/>
          <w:sz w:val="24"/>
          <w:szCs w:val="24"/>
          <w:shd w:val="clear" w:color="auto" w:fill="FFFFFF"/>
        </w:rPr>
        <w:t>e-Raporte</w:t>
      </w:r>
      <w:r w:rsidRPr="00913E39">
        <w:rPr>
          <w:rFonts w:ascii="Garamond" w:eastAsia="Times New Roman" w:hAnsi="Garamond" w:cs="Times New Roman"/>
          <w:sz w:val="24"/>
          <w:szCs w:val="24"/>
          <w:shd w:val="clear" w:color="auto" w:fill="FFFFFF"/>
        </w:rPr>
        <w:t xml:space="preserve"> </w:t>
      </w:r>
      <w:r w:rsidR="00FC1B04" w:rsidRPr="00913E39">
        <w:rPr>
          <w:rFonts w:ascii="Garamond" w:eastAsia="Times New Roman" w:hAnsi="Garamond" w:cs="Times New Roman"/>
          <w:sz w:val="24"/>
          <w:szCs w:val="24"/>
          <w:shd w:val="clear" w:color="auto" w:fill="FFFFFF"/>
        </w:rPr>
        <w:t>mundëson</w:t>
      </w:r>
      <w:r w:rsidRPr="00913E39">
        <w:rPr>
          <w:rFonts w:ascii="Garamond" w:eastAsia="Times New Roman" w:hAnsi="Garamond" w:cs="Times New Roman"/>
          <w:sz w:val="24"/>
          <w:szCs w:val="24"/>
          <w:shd w:val="clear" w:color="auto" w:fill="FFFFFF"/>
        </w:rPr>
        <w:t xml:space="preserve"> automatizimin e procesit t</w:t>
      </w:r>
      <w:r w:rsidR="00DE5BB1" w:rsidRPr="00913E39">
        <w:rPr>
          <w:rFonts w:ascii="Garamond" w:hAnsi="Garamond"/>
          <w:sz w:val="24"/>
          <w:shd w:val="clear" w:color="auto" w:fill="FFFFFF"/>
        </w:rPr>
        <w:t>ë</w:t>
      </w:r>
      <w:r w:rsidRPr="00913E39">
        <w:rPr>
          <w:rFonts w:ascii="Garamond" w:eastAsia="Times New Roman" w:hAnsi="Garamond" w:cs="Times New Roman"/>
          <w:sz w:val="24"/>
          <w:szCs w:val="24"/>
          <w:shd w:val="clear" w:color="auto" w:fill="FFFFFF"/>
        </w:rPr>
        <w:t xml:space="preserve"> krijimit, </w:t>
      </w:r>
      <w:r w:rsidR="00E13629" w:rsidRPr="00913E39">
        <w:rPr>
          <w:rFonts w:ascii="Garamond" w:eastAsia="Times New Roman" w:hAnsi="Garamond" w:cs="Times New Roman"/>
          <w:sz w:val="24"/>
          <w:szCs w:val="24"/>
          <w:shd w:val="clear" w:color="auto" w:fill="FFFFFF"/>
        </w:rPr>
        <w:t>përshkrimit</w:t>
      </w:r>
      <w:r w:rsidRPr="00913E39">
        <w:rPr>
          <w:rFonts w:ascii="Garamond" w:eastAsia="Times New Roman" w:hAnsi="Garamond" w:cs="Times New Roman"/>
          <w:sz w:val="24"/>
          <w:szCs w:val="24"/>
          <w:shd w:val="clear" w:color="auto" w:fill="FFFFFF"/>
        </w:rPr>
        <w:t xml:space="preserve">, </w:t>
      </w:r>
      <w:r w:rsidR="00E13629" w:rsidRPr="00913E39">
        <w:rPr>
          <w:rFonts w:ascii="Garamond" w:eastAsia="Times New Roman" w:hAnsi="Garamond" w:cs="Times New Roman"/>
          <w:sz w:val="24"/>
          <w:szCs w:val="24"/>
          <w:shd w:val="clear" w:color="auto" w:fill="FFFFFF"/>
        </w:rPr>
        <w:t>nënshkrimit</w:t>
      </w:r>
      <w:r w:rsidRPr="00913E39">
        <w:rPr>
          <w:rFonts w:ascii="Garamond" w:eastAsia="Times New Roman" w:hAnsi="Garamond" w:cs="Times New Roman"/>
          <w:sz w:val="24"/>
          <w:szCs w:val="24"/>
          <w:shd w:val="clear" w:color="auto" w:fill="FFFFFF"/>
        </w:rPr>
        <w:t xml:space="preserve"> dhe ekzekutimit t</w:t>
      </w:r>
      <w:r w:rsidR="00FC1B04" w:rsidRPr="00913E39">
        <w:rPr>
          <w:rFonts w:ascii="Garamond" w:hAnsi="Garamond"/>
          <w:sz w:val="24"/>
          <w:shd w:val="clear" w:color="auto" w:fill="FFFFFF"/>
        </w:rPr>
        <w:t>ë</w:t>
      </w:r>
      <w:r w:rsidRPr="00913E39">
        <w:rPr>
          <w:rFonts w:ascii="Garamond" w:eastAsia="Times New Roman" w:hAnsi="Garamond" w:cs="Times New Roman"/>
          <w:sz w:val="24"/>
          <w:szCs w:val="24"/>
          <w:shd w:val="clear" w:color="auto" w:fill="FFFFFF"/>
        </w:rPr>
        <w:t xml:space="preserve"> raportit </w:t>
      </w:r>
      <w:r w:rsidR="00FC1B04" w:rsidRPr="00913E39">
        <w:rPr>
          <w:rFonts w:ascii="Garamond" w:eastAsia="Times New Roman" w:hAnsi="Garamond" w:cs="Times New Roman"/>
          <w:sz w:val="24"/>
          <w:szCs w:val="24"/>
          <w:shd w:val="clear" w:color="auto" w:fill="FFFFFF"/>
        </w:rPr>
        <w:t>mjekësor</w:t>
      </w:r>
      <w:r w:rsidRPr="00913E39">
        <w:rPr>
          <w:rFonts w:ascii="Garamond" w:eastAsia="Times New Roman" w:hAnsi="Garamond" w:cs="Times New Roman"/>
          <w:sz w:val="24"/>
          <w:szCs w:val="24"/>
          <w:shd w:val="clear" w:color="auto" w:fill="FFFFFF"/>
        </w:rPr>
        <w:t xml:space="preserve"> q</w:t>
      </w:r>
      <w:r w:rsidR="00DE5BB1" w:rsidRPr="00913E39">
        <w:rPr>
          <w:rFonts w:ascii="Garamond" w:hAnsi="Garamond"/>
          <w:sz w:val="24"/>
          <w:shd w:val="clear" w:color="auto" w:fill="FFFFFF"/>
        </w:rPr>
        <w:t>ë</w:t>
      </w:r>
      <w:r w:rsidRPr="00913E39">
        <w:rPr>
          <w:rFonts w:ascii="Garamond" w:eastAsia="Times New Roman" w:hAnsi="Garamond" w:cs="Times New Roman"/>
          <w:sz w:val="24"/>
          <w:szCs w:val="24"/>
          <w:shd w:val="clear" w:color="auto" w:fill="FFFFFF"/>
        </w:rPr>
        <w:t xml:space="preserve"> </w:t>
      </w:r>
      <w:r w:rsidR="00FC1B04" w:rsidRPr="00913E39">
        <w:rPr>
          <w:rFonts w:ascii="Garamond" w:eastAsia="Times New Roman" w:hAnsi="Garamond" w:cs="Times New Roman"/>
          <w:sz w:val="24"/>
          <w:szCs w:val="24"/>
          <w:shd w:val="clear" w:color="auto" w:fill="FFFFFF"/>
        </w:rPr>
        <w:t>lëshohet</w:t>
      </w:r>
      <w:r w:rsidRPr="00913E39">
        <w:rPr>
          <w:rFonts w:ascii="Garamond" w:eastAsia="Times New Roman" w:hAnsi="Garamond" w:cs="Times New Roman"/>
          <w:sz w:val="24"/>
          <w:szCs w:val="24"/>
          <w:shd w:val="clear" w:color="auto" w:fill="FFFFFF"/>
        </w:rPr>
        <w:t xml:space="preserve"> nga mjeku. </w:t>
      </w:r>
      <w:r w:rsidRPr="00913E39">
        <w:rPr>
          <w:rFonts w:ascii="Garamond" w:hAnsi="Garamond"/>
          <w:sz w:val="24"/>
          <w:shd w:val="clear" w:color="auto" w:fill="FFFFFF"/>
        </w:rPr>
        <w:t xml:space="preserve">Sistemi </w:t>
      </w:r>
      <w:r w:rsidR="00E13629" w:rsidRPr="00913E39">
        <w:rPr>
          <w:rFonts w:ascii="Garamond" w:hAnsi="Garamond"/>
          <w:sz w:val="24"/>
          <w:shd w:val="clear" w:color="auto" w:fill="FFFFFF"/>
        </w:rPr>
        <w:t>mundëson</w:t>
      </w:r>
      <w:r w:rsidRPr="00913E39">
        <w:rPr>
          <w:rFonts w:ascii="Garamond" w:hAnsi="Garamond"/>
          <w:sz w:val="24"/>
          <w:shd w:val="clear" w:color="auto" w:fill="FFFFFF"/>
        </w:rPr>
        <w:t xml:space="preserve"> </w:t>
      </w:r>
      <w:r w:rsidR="00E13629" w:rsidRPr="00913E39">
        <w:rPr>
          <w:rFonts w:ascii="Garamond" w:hAnsi="Garamond"/>
          <w:sz w:val="24"/>
          <w:shd w:val="clear" w:color="auto" w:fill="FFFFFF"/>
        </w:rPr>
        <w:t>dërgimin</w:t>
      </w:r>
      <w:r w:rsidRPr="00913E39">
        <w:rPr>
          <w:rFonts w:ascii="Garamond" w:hAnsi="Garamond"/>
          <w:sz w:val="24"/>
          <w:shd w:val="clear" w:color="auto" w:fill="FFFFFF"/>
        </w:rPr>
        <w:t xml:space="preserve"> e raporteve n</w:t>
      </w:r>
      <w:r w:rsidR="00DE5BB1" w:rsidRPr="00913E39">
        <w:rPr>
          <w:rFonts w:ascii="Garamond" w:hAnsi="Garamond"/>
          <w:sz w:val="24"/>
          <w:shd w:val="clear" w:color="auto" w:fill="FFFFFF"/>
        </w:rPr>
        <w:t>ë</w:t>
      </w:r>
      <w:r w:rsidRPr="00913E39">
        <w:rPr>
          <w:rFonts w:ascii="Garamond" w:hAnsi="Garamond"/>
          <w:sz w:val="24"/>
          <w:shd w:val="clear" w:color="auto" w:fill="FFFFFF"/>
        </w:rPr>
        <w:t xml:space="preserve"> </w:t>
      </w:r>
      <w:r w:rsidR="00FC1B04" w:rsidRPr="00913E39">
        <w:rPr>
          <w:rFonts w:ascii="Garamond" w:hAnsi="Garamond"/>
          <w:sz w:val="24"/>
          <w:shd w:val="clear" w:color="auto" w:fill="FFFFFF"/>
        </w:rPr>
        <w:t>mënyrë</w:t>
      </w:r>
      <w:r w:rsidRPr="00913E39">
        <w:rPr>
          <w:rFonts w:ascii="Garamond" w:hAnsi="Garamond"/>
          <w:sz w:val="24"/>
          <w:shd w:val="clear" w:color="auto" w:fill="FFFFFF"/>
        </w:rPr>
        <w:t xml:space="preserve"> elektronike te </w:t>
      </w:r>
      <w:r w:rsidR="00E13629" w:rsidRPr="00913E39">
        <w:rPr>
          <w:rFonts w:ascii="Garamond" w:hAnsi="Garamond"/>
          <w:sz w:val="24"/>
          <w:shd w:val="clear" w:color="auto" w:fill="FFFFFF"/>
        </w:rPr>
        <w:t>punëmarrësi</w:t>
      </w:r>
      <w:r w:rsidRPr="00913E39">
        <w:rPr>
          <w:rFonts w:ascii="Garamond" w:hAnsi="Garamond"/>
          <w:sz w:val="24"/>
          <w:shd w:val="clear" w:color="auto" w:fill="FFFFFF"/>
        </w:rPr>
        <w:t xml:space="preserve"> dhe </w:t>
      </w:r>
      <w:r w:rsidR="00E13629" w:rsidRPr="00913E39">
        <w:rPr>
          <w:rFonts w:ascii="Garamond" w:hAnsi="Garamond"/>
          <w:sz w:val="24"/>
          <w:shd w:val="clear" w:color="auto" w:fill="FFFFFF"/>
        </w:rPr>
        <w:t>punëdhënësi</w:t>
      </w:r>
      <w:r w:rsidRPr="00913E39">
        <w:rPr>
          <w:rFonts w:ascii="Garamond" w:hAnsi="Garamond"/>
          <w:sz w:val="24"/>
          <w:shd w:val="clear" w:color="auto" w:fill="FFFFFF"/>
        </w:rPr>
        <w:t>: me mesazh dhe n</w:t>
      </w:r>
      <w:r w:rsidR="00DE5BB1" w:rsidRPr="00913E39">
        <w:rPr>
          <w:rFonts w:ascii="Garamond" w:hAnsi="Garamond"/>
          <w:sz w:val="24"/>
          <w:shd w:val="clear" w:color="auto" w:fill="FFFFFF"/>
        </w:rPr>
        <w:t>ë</w:t>
      </w:r>
      <w:r w:rsidRPr="00913E39">
        <w:rPr>
          <w:rFonts w:ascii="Garamond" w:hAnsi="Garamond"/>
          <w:sz w:val="24"/>
          <w:shd w:val="clear" w:color="auto" w:fill="FFFFFF"/>
        </w:rPr>
        <w:t xml:space="preserve"> </w:t>
      </w:r>
      <w:r w:rsidR="00E13629" w:rsidRPr="00913E39">
        <w:rPr>
          <w:rFonts w:ascii="Garamond" w:hAnsi="Garamond"/>
          <w:sz w:val="24"/>
          <w:shd w:val="clear" w:color="auto" w:fill="FFFFFF"/>
        </w:rPr>
        <w:t>llogarinë</w:t>
      </w:r>
      <w:r w:rsidRPr="00913E39">
        <w:rPr>
          <w:rFonts w:ascii="Garamond" w:hAnsi="Garamond"/>
          <w:sz w:val="24"/>
          <w:shd w:val="clear" w:color="auto" w:fill="FFFFFF"/>
        </w:rPr>
        <w:t xml:space="preserve"> e tij/saj n</w:t>
      </w:r>
      <w:r w:rsidR="00DE5BB1" w:rsidRPr="00913E39">
        <w:rPr>
          <w:rFonts w:ascii="Garamond" w:hAnsi="Garamond"/>
          <w:sz w:val="24"/>
          <w:shd w:val="clear" w:color="auto" w:fill="FFFFFF"/>
        </w:rPr>
        <w:t>ë</w:t>
      </w:r>
      <w:r w:rsidRPr="00913E39">
        <w:rPr>
          <w:rFonts w:ascii="Garamond" w:hAnsi="Garamond"/>
          <w:sz w:val="24"/>
          <w:shd w:val="clear" w:color="auto" w:fill="FFFFFF"/>
        </w:rPr>
        <w:t xml:space="preserve"> portalin qeverita</w:t>
      </w:r>
      <w:r w:rsidR="00FC1B04" w:rsidRPr="00913E39">
        <w:rPr>
          <w:rFonts w:ascii="Garamond" w:hAnsi="Garamond"/>
          <w:sz w:val="24"/>
          <w:shd w:val="clear" w:color="auto" w:fill="FFFFFF"/>
        </w:rPr>
        <w:t>r</w:t>
      </w:r>
      <w:r w:rsidRPr="00913E39">
        <w:rPr>
          <w:rFonts w:ascii="Garamond" w:hAnsi="Garamond"/>
          <w:sz w:val="24"/>
          <w:shd w:val="clear" w:color="auto" w:fill="FFFFFF"/>
        </w:rPr>
        <w:t xml:space="preserve"> </w:t>
      </w:r>
      <w:r w:rsidRPr="00913E39">
        <w:rPr>
          <w:rFonts w:ascii="Garamond" w:hAnsi="Garamond"/>
          <w:i/>
          <w:sz w:val="24"/>
          <w:shd w:val="clear" w:color="auto" w:fill="FFFFFF"/>
        </w:rPr>
        <w:t>e-Albania,</w:t>
      </w:r>
      <w:r w:rsidRPr="00913E39">
        <w:rPr>
          <w:rFonts w:ascii="Garamond" w:hAnsi="Garamond"/>
          <w:sz w:val="24"/>
          <w:shd w:val="clear" w:color="auto" w:fill="FFFFFF"/>
        </w:rPr>
        <w:t xml:space="preserve"> duke </w:t>
      </w:r>
      <w:r w:rsidR="000A5C87" w:rsidRPr="00913E39">
        <w:rPr>
          <w:rFonts w:ascii="Garamond" w:hAnsi="Garamond"/>
          <w:sz w:val="24"/>
          <w:shd w:val="clear" w:color="auto" w:fill="FFFFFF"/>
        </w:rPr>
        <w:t>eliminuar</w:t>
      </w:r>
      <w:r w:rsidRPr="00913E39">
        <w:rPr>
          <w:rFonts w:ascii="Garamond" w:hAnsi="Garamond"/>
          <w:sz w:val="24"/>
          <w:shd w:val="clear" w:color="auto" w:fill="FFFFFF"/>
        </w:rPr>
        <w:t xml:space="preserve"> </w:t>
      </w:r>
      <w:r w:rsidR="000A5C87" w:rsidRPr="00913E39">
        <w:rPr>
          <w:rFonts w:ascii="Garamond" w:hAnsi="Garamond"/>
          <w:sz w:val="24"/>
          <w:shd w:val="clear" w:color="auto" w:fill="FFFFFF"/>
        </w:rPr>
        <w:t>nevojën</w:t>
      </w:r>
      <w:r w:rsidRPr="00913E39">
        <w:rPr>
          <w:rFonts w:ascii="Garamond" w:hAnsi="Garamond"/>
          <w:sz w:val="24"/>
          <w:shd w:val="clear" w:color="auto" w:fill="FFFFFF"/>
        </w:rPr>
        <w:t xml:space="preserve"> </w:t>
      </w:r>
      <w:r w:rsidR="00FC1B04" w:rsidRPr="00913E39">
        <w:rPr>
          <w:rFonts w:ascii="Garamond" w:hAnsi="Garamond"/>
          <w:sz w:val="24"/>
          <w:shd w:val="clear" w:color="auto" w:fill="FFFFFF"/>
        </w:rPr>
        <w:t>për</w:t>
      </w:r>
      <w:r w:rsidRPr="00913E39">
        <w:rPr>
          <w:rFonts w:ascii="Garamond" w:hAnsi="Garamond"/>
          <w:sz w:val="24"/>
          <w:shd w:val="clear" w:color="auto" w:fill="FFFFFF"/>
        </w:rPr>
        <w:t xml:space="preserve"> paraqitjen e pacientit fizikisht </w:t>
      </w:r>
      <w:r w:rsidR="00FC1B04" w:rsidRPr="00913E39">
        <w:rPr>
          <w:rFonts w:ascii="Garamond" w:hAnsi="Garamond"/>
          <w:sz w:val="24"/>
          <w:shd w:val="clear" w:color="auto" w:fill="FFFFFF"/>
        </w:rPr>
        <w:t>për</w:t>
      </w:r>
      <w:r w:rsidRPr="00913E39">
        <w:rPr>
          <w:rFonts w:ascii="Garamond" w:hAnsi="Garamond"/>
          <w:sz w:val="24"/>
          <w:shd w:val="clear" w:color="auto" w:fill="FFFFFF"/>
        </w:rPr>
        <w:t xml:space="preserve"> </w:t>
      </w:r>
      <w:r w:rsidR="00FC1B04" w:rsidRPr="00913E39">
        <w:rPr>
          <w:rFonts w:ascii="Garamond" w:hAnsi="Garamond"/>
          <w:sz w:val="24"/>
          <w:shd w:val="clear" w:color="auto" w:fill="FFFFFF"/>
        </w:rPr>
        <w:t>dorëzimin</w:t>
      </w:r>
      <w:r w:rsidRPr="00913E39">
        <w:rPr>
          <w:rFonts w:ascii="Garamond" w:hAnsi="Garamond"/>
          <w:sz w:val="24"/>
          <w:shd w:val="clear" w:color="auto" w:fill="FFFFFF"/>
        </w:rPr>
        <w:t xml:space="preserve"> e tij n</w:t>
      </w:r>
      <w:r w:rsidR="000A5C87" w:rsidRPr="00913E39">
        <w:rPr>
          <w:rFonts w:ascii="Garamond" w:hAnsi="Garamond"/>
          <w:sz w:val="24"/>
          <w:shd w:val="clear" w:color="auto" w:fill="FFFFFF"/>
        </w:rPr>
        <w:t>ë</w:t>
      </w:r>
      <w:r w:rsidRPr="00913E39">
        <w:rPr>
          <w:rFonts w:ascii="Garamond" w:hAnsi="Garamond"/>
          <w:sz w:val="24"/>
          <w:shd w:val="clear" w:color="auto" w:fill="FFFFFF"/>
        </w:rPr>
        <w:t xml:space="preserve"> vendin e </w:t>
      </w:r>
      <w:r w:rsidR="00FC1B04" w:rsidRPr="00913E39">
        <w:rPr>
          <w:rFonts w:ascii="Garamond" w:hAnsi="Garamond"/>
          <w:sz w:val="24"/>
          <w:shd w:val="clear" w:color="auto" w:fill="FFFFFF"/>
        </w:rPr>
        <w:t>punës</w:t>
      </w:r>
      <w:r w:rsidRPr="00913E39">
        <w:rPr>
          <w:rFonts w:ascii="Garamond" w:hAnsi="Garamond"/>
          <w:sz w:val="24"/>
          <w:shd w:val="clear" w:color="auto" w:fill="FFFFFF"/>
        </w:rPr>
        <w:t xml:space="preserve"> dhe duke </w:t>
      </w:r>
      <w:r w:rsidR="00FC1B04" w:rsidRPr="00913E39">
        <w:rPr>
          <w:rFonts w:ascii="Garamond" w:hAnsi="Garamond"/>
          <w:sz w:val="24"/>
          <w:shd w:val="clear" w:color="auto" w:fill="FFFFFF"/>
        </w:rPr>
        <w:t>eliminuar</w:t>
      </w:r>
      <w:r w:rsidRPr="00913E39">
        <w:rPr>
          <w:rFonts w:ascii="Garamond" w:hAnsi="Garamond"/>
          <w:sz w:val="24"/>
          <w:shd w:val="clear" w:color="auto" w:fill="FFFFFF"/>
        </w:rPr>
        <w:t xml:space="preserve"> </w:t>
      </w:r>
      <w:r w:rsidR="00FC1B04" w:rsidRPr="00913E39">
        <w:rPr>
          <w:rFonts w:ascii="Garamond" w:hAnsi="Garamond"/>
          <w:sz w:val="24"/>
          <w:shd w:val="clear" w:color="auto" w:fill="FFFFFF"/>
        </w:rPr>
        <w:t>nevojën</w:t>
      </w:r>
      <w:r w:rsidRPr="00913E39">
        <w:rPr>
          <w:rFonts w:ascii="Garamond" w:hAnsi="Garamond"/>
          <w:sz w:val="24"/>
          <w:shd w:val="clear" w:color="auto" w:fill="FFFFFF"/>
        </w:rPr>
        <w:t xml:space="preserve"> e mbajtjes s</w:t>
      </w:r>
      <w:r w:rsidR="00FC1B04" w:rsidRPr="00913E39">
        <w:rPr>
          <w:rFonts w:ascii="Garamond" w:hAnsi="Garamond"/>
          <w:sz w:val="24"/>
          <w:shd w:val="clear" w:color="auto" w:fill="FFFFFF"/>
        </w:rPr>
        <w:t>ë</w:t>
      </w:r>
      <w:r w:rsidRPr="00913E39">
        <w:rPr>
          <w:rFonts w:ascii="Garamond" w:hAnsi="Garamond"/>
          <w:sz w:val="24"/>
          <w:shd w:val="clear" w:color="auto" w:fill="FFFFFF"/>
        </w:rPr>
        <w:t xml:space="preserve"> raporteve </w:t>
      </w:r>
      <w:r w:rsidR="00FC1B04" w:rsidRPr="00913E39">
        <w:rPr>
          <w:rFonts w:ascii="Garamond" w:hAnsi="Garamond"/>
          <w:sz w:val="24"/>
          <w:shd w:val="clear" w:color="auto" w:fill="FFFFFF"/>
        </w:rPr>
        <w:t>në</w:t>
      </w:r>
      <w:r w:rsidRPr="00913E39">
        <w:rPr>
          <w:rFonts w:ascii="Garamond" w:hAnsi="Garamond"/>
          <w:sz w:val="24"/>
          <w:shd w:val="clear" w:color="auto" w:fill="FFFFFF"/>
        </w:rPr>
        <w:t xml:space="preserve"> format </w:t>
      </w:r>
      <w:r w:rsidR="00FC1B04" w:rsidRPr="00913E39">
        <w:rPr>
          <w:rFonts w:ascii="Garamond" w:hAnsi="Garamond"/>
          <w:sz w:val="24"/>
          <w:shd w:val="clear" w:color="auto" w:fill="FFFFFF"/>
        </w:rPr>
        <w:t>letër</w:t>
      </w:r>
      <w:r w:rsidRPr="00913E39">
        <w:rPr>
          <w:rFonts w:ascii="Garamond" w:hAnsi="Garamond"/>
          <w:sz w:val="24"/>
          <w:shd w:val="clear" w:color="auto" w:fill="FFFFFF"/>
        </w:rPr>
        <w:t xml:space="preserve">. Gjatë vitit 2022, nëpërmjet sistemit janë lëshuar 167,000 raporte mjekësore. Sistemi ndërvepron me sistemin e regjistrit kombëtar të gjendjes civile për marrjen e të dhënave të qytetarëve, me sistemin </w:t>
      </w:r>
      <w:r w:rsidRPr="00913E39">
        <w:rPr>
          <w:rFonts w:ascii="Garamond" w:hAnsi="Garamond"/>
          <w:i/>
          <w:sz w:val="24"/>
          <w:shd w:val="clear" w:color="auto" w:fill="FFFFFF"/>
        </w:rPr>
        <w:t>e-</w:t>
      </w:r>
      <w:r w:rsidR="00DE5BB1" w:rsidRPr="00913E39">
        <w:rPr>
          <w:rFonts w:ascii="Garamond" w:hAnsi="Garamond"/>
          <w:i/>
          <w:sz w:val="24"/>
          <w:shd w:val="clear" w:color="auto" w:fill="FFFFFF"/>
        </w:rPr>
        <w:t>Vizita</w:t>
      </w:r>
      <w:r w:rsidR="00DE5BB1" w:rsidRPr="00913E39">
        <w:rPr>
          <w:rFonts w:ascii="Garamond" w:hAnsi="Garamond"/>
          <w:sz w:val="24"/>
          <w:shd w:val="clear" w:color="auto" w:fill="FFFFFF"/>
        </w:rPr>
        <w:t xml:space="preserve"> </w:t>
      </w:r>
      <w:r w:rsidRPr="00913E39">
        <w:rPr>
          <w:rFonts w:ascii="Garamond" w:hAnsi="Garamond"/>
          <w:sz w:val="24"/>
          <w:shd w:val="clear" w:color="auto" w:fill="FFFFFF"/>
        </w:rPr>
        <w:t>për marrjen e të dhënave nga vizitat, me AHIS</w:t>
      </w:r>
      <w:r w:rsidR="0078359B" w:rsidRPr="00913E39">
        <w:rPr>
          <w:rFonts w:ascii="Garamond" w:hAnsi="Garamond"/>
          <w:sz w:val="24"/>
          <w:shd w:val="clear" w:color="auto" w:fill="FFFFFF"/>
        </w:rPr>
        <w:t>-in</w:t>
      </w:r>
      <w:r w:rsidRPr="00913E39">
        <w:rPr>
          <w:rFonts w:ascii="Garamond" w:hAnsi="Garamond"/>
          <w:sz w:val="24"/>
          <w:shd w:val="clear" w:color="auto" w:fill="FFFFFF"/>
        </w:rPr>
        <w:t xml:space="preserve"> për marrjen e informacionit për mjekun dhe institucionin shëndetësor, me sistemin e Drejtorisë së Përgjithshme të Tatimeve për të marrë listën e punëdhënësve që duhet të njoftohen pas lëshimit të raportit, me Regjistrin Tregtar të Qendrës Kombëtare të Biznesit për të marrë informacione për bizneset dhe me Sistemin Informativ të Menaxhimit të Burimeve Njerëzore (SIMBNJ) për dërgimin e raporteve mjekësore në llogaritë e institucioneve publike (në rolin e punëdhënësve).</w:t>
      </w:r>
    </w:p>
    <w:p w14:paraId="2EAF6380" w14:textId="4A15F152"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xml:space="preserve">Regjistri Elektronik i Vaksinave ofron informacion në kohë reale për vaksinimin e popullatës. Qytetari do të mund të bëjë rezervime </w:t>
      </w:r>
      <w:r w:rsidRPr="00913E39">
        <w:rPr>
          <w:rFonts w:ascii="Garamond" w:hAnsi="Garamond"/>
          <w:i/>
          <w:sz w:val="24"/>
          <w:shd w:val="clear" w:color="auto" w:fill="FFFFFF"/>
        </w:rPr>
        <w:t>online</w:t>
      </w:r>
      <w:r w:rsidRPr="00913E39">
        <w:rPr>
          <w:rFonts w:ascii="Garamond" w:hAnsi="Garamond"/>
          <w:sz w:val="24"/>
          <w:shd w:val="clear" w:color="auto" w:fill="FFFFFF"/>
        </w:rPr>
        <w:t xml:space="preserve"> për vaksinimin, të njoftohet elektronikisht për vaksinimin e radhës dhe të shkarkojë </w:t>
      </w:r>
      <w:r w:rsidR="00FC1B04" w:rsidRPr="00913E39">
        <w:rPr>
          <w:rFonts w:ascii="Garamond" w:hAnsi="Garamond"/>
          <w:sz w:val="24"/>
          <w:shd w:val="clear" w:color="auto" w:fill="FFFFFF"/>
        </w:rPr>
        <w:t>Kartelën</w:t>
      </w:r>
      <w:r w:rsidRPr="00913E39">
        <w:rPr>
          <w:rFonts w:ascii="Garamond" w:hAnsi="Garamond"/>
          <w:sz w:val="24"/>
          <w:shd w:val="clear" w:color="auto" w:fill="FFFFFF"/>
        </w:rPr>
        <w:t xml:space="preserve"> Personale t</w:t>
      </w:r>
      <w:r w:rsidR="0078359B" w:rsidRPr="00913E39">
        <w:rPr>
          <w:rFonts w:ascii="Garamond" w:hAnsi="Garamond"/>
          <w:sz w:val="24"/>
        </w:rPr>
        <w:t>ë</w:t>
      </w:r>
      <w:r w:rsidRPr="00913E39">
        <w:rPr>
          <w:rFonts w:ascii="Garamond" w:hAnsi="Garamond"/>
          <w:sz w:val="24"/>
          <w:shd w:val="clear" w:color="auto" w:fill="FFFFFF"/>
        </w:rPr>
        <w:t xml:space="preserve"> Vaksinimit me vul</w:t>
      </w:r>
      <w:r w:rsidR="0078359B" w:rsidRPr="00913E39">
        <w:rPr>
          <w:rFonts w:ascii="Garamond" w:hAnsi="Garamond"/>
          <w:sz w:val="24"/>
        </w:rPr>
        <w:t>ë</w:t>
      </w:r>
      <w:r w:rsidRPr="00913E39">
        <w:rPr>
          <w:rFonts w:ascii="Garamond" w:hAnsi="Garamond"/>
          <w:sz w:val="24"/>
          <w:shd w:val="clear" w:color="auto" w:fill="FFFFFF"/>
        </w:rPr>
        <w:t xml:space="preserve"> elektronike. Përmirësimi i sistemit të Regjistrit të Sigurimeve Shoqërore do të rrisë funksionalitetin për analizën digjitale të të dhënave dhe do të rrisë efikasitetin në menaxhimin e të dhënave të pacientëve nga mjekët e familjes. </w:t>
      </w:r>
    </w:p>
    <w:p w14:paraId="1988ED36" w14:textId="680212D5"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Krijimi i Regjistrave Profesional</w:t>
      </w:r>
      <w:r w:rsidR="00190F27" w:rsidRPr="00913E39">
        <w:rPr>
          <w:rFonts w:ascii="Garamond" w:hAnsi="Garamond"/>
          <w:sz w:val="24"/>
          <w:shd w:val="clear" w:color="auto" w:fill="FFFFFF"/>
        </w:rPr>
        <w:t>ë</w:t>
      </w:r>
      <w:r w:rsidRPr="00913E39">
        <w:rPr>
          <w:rFonts w:ascii="Garamond" w:hAnsi="Garamond"/>
          <w:sz w:val="24"/>
          <w:shd w:val="clear" w:color="auto" w:fill="FFFFFF"/>
        </w:rPr>
        <w:t xml:space="preserve"> Mjekësor</w:t>
      </w:r>
      <w:r w:rsidR="00190F27" w:rsidRPr="00913E39">
        <w:rPr>
          <w:rFonts w:ascii="Garamond" w:hAnsi="Garamond"/>
          <w:sz w:val="24"/>
          <w:shd w:val="clear" w:color="auto" w:fill="FFFFFF"/>
        </w:rPr>
        <w:t>ë</w:t>
      </w:r>
      <w:r w:rsidRPr="00913E39">
        <w:rPr>
          <w:rFonts w:ascii="Garamond" w:hAnsi="Garamond"/>
          <w:sz w:val="24"/>
          <w:shd w:val="clear" w:color="auto" w:fill="FFFFFF"/>
        </w:rPr>
        <w:t xml:space="preserve"> për mjekët, infermierët, farmacistët, dentistët, psikologët dhe punonjësit socialë do të krijojë një dosje digjitale për historikun e arsimimit, punësimit, certifikimeve dhe trajnimeve të tyre të vazhdueshme, duke ofruar një panoramë të konsoliduar të informacionit për këta profesionistë. Pas zbatimit të suksesshëm të sistemeve të recetave dhe fiskalizimit elektronik ka lindur nevoja për fiskalizimin e recetave elektronike, proces që do të nisë në vitin 2023.</w:t>
      </w:r>
    </w:p>
    <w:p w14:paraId="3500DD93" w14:textId="77777777"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xml:space="preserve">Është planifikuar që spitalet rajonale të kenë gjithashtu akses </w:t>
      </w:r>
      <w:r w:rsidRPr="00913E39">
        <w:rPr>
          <w:rFonts w:ascii="Garamond" w:hAnsi="Garamond"/>
          <w:i/>
          <w:sz w:val="24"/>
          <w:shd w:val="clear" w:color="auto" w:fill="FFFFFF"/>
        </w:rPr>
        <w:t>online</w:t>
      </w:r>
      <w:r w:rsidRPr="00913E39">
        <w:rPr>
          <w:rFonts w:ascii="Garamond" w:hAnsi="Garamond"/>
          <w:sz w:val="24"/>
          <w:shd w:val="clear" w:color="auto" w:fill="FFFFFF"/>
        </w:rPr>
        <w:t xml:space="preserve"> në informacionin shëndetësor të pacientëve të tyre. Procesi i krijimit të një sistemi informacioni për katër spitalet rajonale do të shtrihet edhe në shtatë spitale të tjera, duke digjitalizuar të gjitha proceset dhe dokumentet mjekësore në spitalet rajonale nga epikriza, fletët e daljes, recetat etj., duke përdorur nënshkrimin elektronik për mjekët. Sistemi do të ofrojë akses në kohë reale në kartelën elektronike të shëndetit dhe historikun e diagnozës së pacientit, si dhe do të përmirësojë efikasitetin e profesionistëve të kujdesit mjekësor duke mundësuar analizën e sëmundshmërisë, vdekjeve, emergjencave </w:t>
      </w:r>
      <w:r w:rsidRPr="00913E39">
        <w:rPr>
          <w:rFonts w:ascii="Garamond" w:hAnsi="Garamond"/>
          <w:i/>
          <w:sz w:val="24"/>
          <w:shd w:val="clear" w:color="auto" w:fill="FFFFFF"/>
        </w:rPr>
        <w:t>supas yonave</w:t>
      </w:r>
      <w:r w:rsidRPr="00913E39">
        <w:rPr>
          <w:rFonts w:ascii="Garamond" w:hAnsi="Garamond"/>
          <w:sz w:val="24"/>
          <w:shd w:val="clear" w:color="auto" w:fill="FFFFFF"/>
        </w:rPr>
        <w:t xml:space="preserve"> gjeografike, moshës, gjinisë etj.</w:t>
      </w:r>
    </w:p>
    <w:p w14:paraId="7D4129A3" w14:textId="4E6E606E"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Fokus i veçantë do t</w:t>
      </w:r>
      <w:r w:rsidR="005222A5" w:rsidRPr="00913E39">
        <w:rPr>
          <w:rFonts w:ascii="Garamond" w:hAnsi="Garamond"/>
          <w:sz w:val="24"/>
          <w:shd w:val="clear" w:color="auto" w:fill="FFFFFF"/>
        </w:rPr>
        <w:t>’</w:t>
      </w:r>
      <w:r w:rsidRPr="00913E39">
        <w:rPr>
          <w:rFonts w:ascii="Garamond" w:hAnsi="Garamond"/>
          <w:sz w:val="24"/>
          <w:shd w:val="clear" w:color="auto" w:fill="FFFFFF"/>
        </w:rPr>
        <w:t>i kushtohet gjithashtu përmirësimit të sistemit të Qendrës Kombëtare të Urgjencave Mjekësore (QKUM), krijimit të një qendre për vazhdimësinë e punës (BCC) dhe përmirësimit të infrastrukturës pajisjeve për Fondin e Sigurimit të Detyrueshëm Shëndetësor dhe degët rajonale për të garantuar rritjen e efikasitetit të shërbimeve ndaj qytetarët.</w:t>
      </w:r>
    </w:p>
    <w:p w14:paraId="47E75F3B" w14:textId="77777777" w:rsidR="00847F23" w:rsidRPr="00913E39" w:rsidRDefault="00847F23" w:rsidP="00FC4C60">
      <w:pPr>
        <w:spacing w:after="0" w:line="240" w:lineRule="auto"/>
        <w:ind w:firstLine="284"/>
        <w:jc w:val="both"/>
        <w:rPr>
          <w:rFonts w:ascii="Garamond" w:hAnsi="Garamond"/>
          <w:b/>
          <w:sz w:val="24"/>
          <w:shd w:val="clear" w:color="auto" w:fill="FFFFFF"/>
        </w:rPr>
      </w:pPr>
      <w:r w:rsidRPr="00913E39">
        <w:rPr>
          <w:rFonts w:ascii="Garamond" w:hAnsi="Garamond"/>
          <w:b/>
          <w:sz w:val="24"/>
          <w:shd w:val="clear" w:color="auto" w:fill="FFFFFF"/>
        </w:rPr>
        <w:t xml:space="preserve">Shërbimet e shëndetit digjital në portalin qeveritar </w:t>
      </w:r>
      <w:r w:rsidRPr="00913E39">
        <w:rPr>
          <w:rFonts w:ascii="Garamond" w:hAnsi="Garamond"/>
          <w:b/>
          <w:i/>
          <w:sz w:val="24"/>
          <w:shd w:val="clear" w:color="auto" w:fill="FFFFFF"/>
        </w:rPr>
        <w:t>e-Albania</w:t>
      </w:r>
      <w:r w:rsidRPr="00913E39">
        <w:rPr>
          <w:rFonts w:ascii="Garamond" w:hAnsi="Garamond"/>
          <w:b/>
          <w:sz w:val="24"/>
          <w:shd w:val="clear" w:color="auto" w:fill="FFFFFF"/>
        </w:rPr>
        <w:t xml:space="preserve"> </w:t>
      </w:r>
    </w:p>
    <w:p w14:paraId="123D2E95" w14:textId="77777777" w:rsidR="00847F23" w:rsidRPr="00913E39" w:rsidRDefault="00847F23" w:rsidP="00BE3DA6">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xml:space="preserve">Nëpërmjet portalit unik qeveritar </w:t>
      </w:r>
      <w:r w:rsidRPr="00913E39">
        <w:rPr>
          <w:rFonts w:ascii="Garamond" w:hAnsi="Garamond"/>
          <w:i/>
          <w:sz w:val="24"/>
          <w:shd w:val="clear" w:color="auto" w:fill="FFFFFF"/>
        </w:rPr>
        <w:t>e-Albania</w:t>
      </w:r>
      <w:r w:rsidRPr="00913E39">
        <w:rPr>
          <w:rFonts w:ascii="Garamond" w:hAnsi="Garamond"/>
          <w:sz w:val="24"/>
          <w:shd w:val="clear" w:color="auto" w:fill="FFFFFF"/>
        </w:rPr>
        <w:t>, i cili administrohet dhe zhvillohet nga Agjencia Kombëtare e Shoqërisë së Informacionit, çdo person i interesuar mund të aksesojë nëpërmjet internetit, shërbimet elektronike të ofruara nga Ministria e Shëndetësisë si:</w:t>
      </w:r>
    </w:p>
    <w:p w14:paraId="5030BCEE" w14:textId="23548FFD" w:rsidR="00847F23" w:rsidRPr="00913E39" w:rsidRDefault="00847F23" w:rsidP="00BE3DA6">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lastRenderedPageBreak/>
        <w:t xml:space="preserve">- </w:t>
      </w:r>
      <w:r w:rsidR="00280A1A" w:rsidRPr="00913E39">
        <w:rPr>
          <w:rFonts w:ascii="Garamond" w:hAnsi="Garamond"/>
          <w:sz w:val="24"/>
          <w:shd w:val="clear" w:color="auto" w:fill="FFFFFF"/>
        </w:rPr>
        <w:t xml:space="preserve">gjenerimi </w:t>
      </w:r>
      <w:r w:rsidRPr="00913E39">
        <w:rPr>
          <w:rFonts w:ascii="Garamond" w:hAnsi="Garamond"/>
          <w:sz w:val="24"/>
          <w:shd w:val="clear" w:color="auto" w:fill="FFFFFF"/>
        </w:rPr>
        <w:t>i kartës së shëndetit me vulë elektronike, e cila dëshmon se qytetari është i siguruar dhe mund të marrë shërbime shëndetësore falas;</w:t>
      </w:r>
    </w:p>
    <w:p w14:paraId="78CCD624" w14:textId="5C5C50C8" w:rsidR="00847F23" w:rsidRPr="00913E39" w:rsidRDefault="00847F23" w:rsidP="00BE3DA6">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aplikim </w:t>
      </w:r>
      <w:r w:rsidRPr="00913E39">
        <w:rPr>
          <w:rFonts w:ascii="Garamond" w:hAnsi="Garamond"/>
          <w:i/>
          <w:sz w:val="24"/>
          <w:shd w:val="clear" w:color="auto" w:fill="FFFFFF"/>
        </w:rPr>
        <w:t>online</w:t>
      </w:r>
      <w:r w:rsidRPr="00913E39">
        <w:rPr>
          <w:rFonts w:ascii="Garamond" w:hAnsi="Garamond"/>
          <w:sz w:val="24"/>
          <w:shd w:val="clear" w:color="auto" w:fill="FFFFFF"/>
        </w:rPr>
        <w:t xml:space="preserve"> për regjistrim te mjeku i familjes dhe ndryshim të mjekut të familjes;</w:t>
      </w:r>
    </w:p>
    <w:p w14:paraId="6540218E" w14:textId="3219E027" w:rsidR="00847F23" w:rsidRPr="00913E39" w:rsidRDefault="00847F23" w:rsidP="00BE3DA6">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aplikim </w:t>
      </w:r>
      <w:r w:rsidRPr="00913E39">
        <w:rPr>
          <w:rFonts w:ascii="Garamond" w:hAnsi="Garamond"/>
          <w:sz w:val="24"/>
          <w:shd w:val="clear" w:color="auto" w:fill="FFFFFF"/>
        </w:rPr>
        <w:t>për t</w:t>
      </w:r>
      <w:r w:rsidR="005222A5" w:rsidRPr="00913E39">
        <w:rPr>
          <w:rFonts w:ascii="Garamond" w:hAnsi="Garamond"/>
          <w:sz w:val="24"/>
          <w:shd w:val="clear" w:color="auto" w:fill="FFFFFF"/>
        </w:rPr>
        <w:t>’</w:t>
      </w:r>
      <w:r w:rsidRPr="00913E39">
        <w:rPr>
          <w:rFonts w:ascii="Garamond" w:hAnsi="Garamond"/>
          <w:sz w:val="24"/>
          <w:shd w:val="clear" w:color="auto" w:fill="FFFFFF"/>
        </w:rPr>
        <w:t>u vaksinuar kundër COVID-19;</w:t>
      </w:r>
    </w:p>
    <w:p w14:paraId="685435CD" w14:textId="5D05BCF3" w:rsidR="00847F23" w:rsidRPr="00913E39" w:rsidRDefault="00847F23" w:rsidP="00FC1B04">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certifikata </w:t>
      </w:r>
      <w:r w:rsidRPr="00913E39">
        <w:rPr>
          <w:rFonts w:ascii="Garamond" w:hAnsi="Garamond"/>
          <w:sz w:val="24"/>
          <w:shd w:val="clear" w:color="auto" w:fill="FFFFFF"/>
        </w:rPr>
        <w:t>e vaksinimit për/shërimit nga COVID-19. Të gjithë qytetarët që janë të vaksinuar me një, dy ose tr</w:t>
      </w:r>
      <w:r w:rsidR="001B7903" w:rsidRPr="00913E39">
        <w:rPr>
          <w:rFonts w:ascii="Garamond" w:hAnsi="Garamond"/>
          <w:sz w:val="24"/>
          <w:shd w:val="clear" w:color="auto" w:fill="FFFFFF"/>
        </w:rPr>
        <w:t>i</w:t>
      </w:r>
      <w:r w:rsidRPr="00913E39">
        <w:rPr>
          <w:rFonts w:ascii="Garamond" w:hAnsi="Garamond"/>
          <w:sz w:val="24"/>
          <w:shd w:val="clear" w:color="auto" w:fill="FFFFFF"/>
        </w:rPr>
        <w:t xml:space="preserve"> doza të vaksinës mund të gjenerojnë </w:t>
      </w:r>
      <w:r w:rsidRPr="00913E39">
        <w:rPr>
          <w:rFonts w:ascii="Garamond" w:hAnsi="Garamond"/>
          <w:i/>
          <w:sz w:val="24"/>
          <w:shd w:val="clear" w:color="auto" w:fill="FFFFFF"/>
        </w:rPr>
        <w:t>online</w:t>
      </w:r>
      <w:r w:rsidRPr="00913E39">
        <w:rPr>
          <w:rFonts w:ascii="Garamond" w:hAnsi="Garamond"/>
          <w:sz w:val="24"/>
          <w:shd w:val="clear" w:color="auto" w:fill="FFFFFF"/>
        </w:rPr>
        <w:t xml:space="preserve"> certifikatën e tyre të vaksinimit kundër COVID-19, e cila njihet elektronikisht në të gjitha vendet e Bashkimit Evropian, sipas rregulloreve përkatëse të çdo vendi</w:t>
      </w:r>
      <w:r w:rsidR="00280A1A" w:rsidRPr="00913E39">
        <w:rPr>
          <w:rFonts w:ascii="Garamond" w:hAnsi="Garamond"/>
          <w:sz w:val="24"/>
          <w:shd w:val="clear" w:color="auto" w:fill="FFFFFF"/>
        </w:rPr>
        <w:t>;</w:t>
      </w:r>
    </w:p>
    <w:p w14:paraId="01A0E4ED" w14:textId="565E54EE" w:rsidR="00847F23" w:rsidRPr="00913E39" w:rsidRDefault="00847F23" w:rsidP="00FC1B04">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marrja </w:t>
      </w:r>
      <w:r w:rsidRPr="00913E39">
        <w:rPr>
          <w:rFonts w:ascii="Garamond" w:hAnsi="Garamond"/>
          <w:sz w:val="24"/>
          <w:shd w:val="clear" w:color="auto" w:fill="FFFFFF"/>
        </w:rPr>
        <w:t>e informacionit në internet për historikun e tyre të sëmundjeve kronike si sëmundjet e zemrës, hipertensioni, veshkat, mushkëritë, truri dhe tumore, të diagnostikuara nga mjeku i tyre i familjes</w:t>
      </w:r>
      <w:r w:rsidR="00280A1A" w:rsidRPr="00913E39">
        <w:rPr>
          <w:rFonts w:ascii="Garamond" w:hAnsi="Garamond"/>
          <w:sz w:val="24"/>
          <w:shd w:val="clear" w:color="auto" w:fill="FFFFFF"/>
        </w:rPr>
        <w:t>;</w:t>
      </w:r>
    </w:p>
    <w:p w14:paraId="147AF759" w14:textId="3CC59F23" w:rsidR="00847F23" w:rsidRPr="00913E39" w:rsidRDefault="00847F23" w:rsidP="00FC1B04">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riskedulimi </w:t>
      </w:r>
      <w:r w:rsidRPr="00913E39">
        <w:rPr>
          <w:rFonts w:ascii="Garamond" w:hAnsi="Garamond"/>
          <w:i/>
          <w:sz w:val="24"/>
          <w:shd w:val="clear" w:color="auto" w:fill="FFFFFF"/>
        </w:rPr>
        <w:t>online</w:t>
      </w:r>
      <w:r w:rsidRPr="00913E39">
        <w:rPr>
          <w:rFonts w:ascii="Garamond" w:hAnsi="Garamond"/>
          <w:sz w:val="24"/>
          <w:shd w:val="clear" w:color="auto" w:fill="FFFFFF"/>
        </w:rPr>
        <w:t xml:space="preserve"> i konsultave me mjekë specialistë për ekzaminim të avancuar. Kur një qytetar përdor shërbimin, shfaqen të gjitha takimet e tij. Për çdo takim të rezervuar, qytetari mund të aksesojë detajet dhe mund ta riskedulojë atë duke ndryshuar datën dhe orën e takimit të rezervuar.</w:t>
      </w:r>
    </w:p>
    <w:p w14:paraId="4C6FBAFE" w14:textId="46D7C2E9" w:rsidR="00847F23" w:rsidRPr="00913E39" w:rsidRDefault="00847F23" w:rsidP="00FC1B04">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Përveç shërbimeve që ofrohen për pacientët, ofrohen edhe shërbime për palët e treta që operojnë në fushën e kujdesit shëndetësor</w:t>
      </w:r>
      <w:r w:rsidR="0078359B" w:rsidRPr="00913E39">
        <w:rPr>
          <w:rFonts w:ascii="Garamond" w:hAnsi="Garamond"/>
          <w:sz w:val="24"/>
          <w:shd w:val="clear" w:color="auto" w:fill="FFFFFF"/>
        </w:rPr>
        <w:t>,</w:t>
      </w:r>
      <w:r w:rsidRPr="00913E39">
        <w:rPr>
          <w:rFonts w:ascii="Garamond" w:hAnsi="Garamond"/>
          <w:sz w:val="24"/>
          <w:shd w:val="clear" w:color="auto" w:fill="FFFFFF"/>
        </w:rPr>
        <w:t xml:space="preserve"> si:</w:t>
      </w:r>
    </w:p>
    <w:p w14:paraId="75658750" w14:textId="37137DC7" w:rsidR="00847F23" w:rsidRPr="00913E39" w:rsidRDefault="00847F23" w:rsidP="00FC1B04">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autorizimi </w:t>
      </w:r>
      <w:r w:rsidRPr="00913E39">
        <w:rPr>
          <w:rFonts w:ascii="Garamond" w:hAnsi="Garamond"/>
          <w:sz w:val="24"/>
          <w:shd w:val="clear" w:color="auto" w:fill="FFFFFF"/>
        </w:rPr>
        <w:t>për import/eksport të barnave apo pajisjeve mjekësore</w:t>
      </w:r>
      <w:r w:rsidR="00280A1A" w:rsidRPr="00913E39">
        <w:rPr>
          <w:rFonts w:ascii="Garamond" w:hAnsi="Garamond"/>
          <w:sz w:val="24"/>
          <w:shd w:val="clear" w:color="auto" w:fill="FFFFFF"/>
        </w:rPr>
        <w:t>;</w:t>
      </w:r>
    </w:p>
    <w:p w14:paraId="5304F2E9" w14:textId="604AFA3E" w:rsidR="00847F23" w:rsidRPr="00913E39" w:rsidRDefault="00847F23" w:rsidP="00FC1B04">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aplikimi </w:t>
      </w:r>
      <w:r w:rsidRPr="00913E39">
        <w:rPr>
          <w:rFonts w:ascii="Garamond" w:hAnsi="Garamond"/>
          <w:sz w:val="24"/>
          <w:shd w:val="clear" w:color="auto" w:fill="FFFFFF"/>
        </w:rPr>
        <w:t>për autorizimin e tregtimit të barnave</w:t>
      </w:r>
      <w:r w:rsidR="00280A1A" w:rsidRPr="00913E39">
        <w:rPr>
          <w:rFonts w:ascii="Garamond" w:hAnsi="Garamond"/>
          <w:sz w:val="24"/>
          <w:shd w:val="clear" w:color="auto" w:fill="FFFFFF"/>
        </w:rPr>
        <w:t>;</w:t>
      </w:r>
    </w:p>
    <w:p w14:paraId="7FE7AF61" w14:textId="4DAD2F05" w:rsidR="00847F23" w:rsidRPr="00913E39" w:rsidRDefault="00847F23" w:rsidP="00FC1B04">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ofruesit </w:t>
      </w:r>
      <w:r w:rsidRPr="00913E39">
        <w:rPr>
          <w:rFonts w:ascii="Garamond" w:hAnsi="Garamond"/>
          <w:sz w:val="24"/>
          <w:shd w:val="clear" w:color="auto" w:fill="FFFFFF"/>
        </w:rPr>
        <w:t>e tretë të kontraktuar nga Fondi i Sigurimit të Detyrueshëm Shëndetësor për furnizim me barna të rimbursueshme.</w:t>
      </w:r>
    </w:p>
    <w:p w14:paraId="76401B2A" w14:textId="77777777" w:rsidR="00847F23" w:rsidRPr="00913E39" w:rsidRDefault="00847F23" w:rsidP="00FC1B04">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Të gjitha zhvillimet e shëndetësisë digjitale kanë pasur një ndikim pozitiv mjedisor dhe social:</w:t>
      </w:r>
    </w:p>
    <w:p w14:paraId="145F0F13" w14:textId="775E808B" w:rsidR="00847F23" w:rsidRPr="00913E39" w:rsidRDefault="00847F23" w:rsidP="00FC1B04">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performanca </w:t>
      </w:r>
      <w:r w:rsidRPr="00913E39">
        <w:rPr>
          <w:rFonts w:ascii="Garamond" w:hAnsi="Garamond"/>
          <w:sz w:val="24"/>
          <w:shd w:val="clear" w:color="auto" w:fill="FFFFFF"/>
        </w:rPr>
        <w:t xml:space="preserve">e ofruesve të kujdesit parësor shëndetësor lidhur me numrin e pacientëve dhe numrin e vizitave të regjistruara në AHIS dhe sistemin </w:t>
      </w:r>
      <w:r w:rsidRPr="00913E39">
        <w:rPr>
          <w:rFonts w:ascii="Garamond" w:hAnsi="Garamond"/>
          <w:i/>
          <w:sz w:val="24"/>
          <w:shd w:val="clear" w:color="auto" w:fill="FFFFFF"/>
        </w:rPr>
        <w:t>e-</w:t>
      </w:r>
      <w:r w:rsidR="007950F4" w:rsidRPr="00913E39">
        <w:rPr>
          <w:rFonts w:ascii="Garamond" w:hAnsi="Garamond"/>
          <w:i/>
          <w:sz w:val="24"/>
          <w:shd w:val="clear" w:color="auto" w:fill="FFFFFF"/>
        </w:rPr>
        <w:t>V</w:t>
      </w:r>
      <w:r w:rsidRPr="00913E39">
        <w:rPr>
          <w:rFonts w:ascii="Garamond" w:hAnsi="Garamond"/>
          <w:i/>
          <w:sz w:val="24"/>
          <w:shd w:val="clear" w:color="auto" w:fill="FFFFFF"/>
        </w:rPr>
        <w:t>izita</w:t>
      </w:r>
      <w:r w:rsidR="00280A1A" w:rsidRPr="00913E39">
        <w:rPr>
          <w:rFonts w:ascii="Garamond" w:hAnsi="Garamond"/>
          <w:sz w:val="24"/>
          <w:shd w:val="clear" w:color="auto" w:fill="FFFFFF"/>
        </w:rPr>
        <w:t>;</w:t>
      </w:r>
    </w:p>
    <w:p w14:paraId="1DD20646" w14:textId="45CDDA78" w:rsidR="00847F23" w:rsidRPr="00913E39" w:rsidRDefault="00847F23" w:rsidP="00FC1B04">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listat </w:t>
      </w:r>
      <w:r w:rsidRPr="00913E39">
        <w:rPr>
          <w:rFonts w:ascii="Garamond" w:hAnsi="Garamond"/>
          <w:sz w:val="24"/>
          <w:shd w:val="clear" w:color="auto" w:fill="FFFFFF"/>
        </w:rPr>
        <w:t>e pritjes për shërbimet mjekësore janë të drejta dhe të barabarta për të gjithë pacientët dhe barrierat administrative (të tilla si dokumentet e komplikuara, kohët e gjata të pritjes etj.) janë reduktuar duke e bërë më të lehtë aksesin në kujdesin për pacientët që kanë nevojë</w:t>
      </w:r>
      <w:r w:rsidR="00280A1A" w:rsidRPr="00913E39">
        <w:rPr>
          <w:rFonts w:ascii="Garamond" w:hAnsi="Garamond"/>
          <w:sz w:val="24"/>
          <w:shd w:val="clear" w:color="auto" w:fill="FFFFFF"/>
        </w:rPr>
        <w:t>;</w:t>
      </w:r>
    </w:p>
    <w:p w14:paraId="1D477204" w14:textId="6969D1E3" w:rsidR="00847F23" w:rsidRPr="00913E39" w:rsidRDefault="00847F23" w:rsidP="00FC1B04">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zëvendësimi </w:t>
      </w:r>
      <w:r w:rsidRPr="00913E39">
        <w:rPr>
          <w:rFonts w:ascii="Garamond" w:hAnsi="Garamond"/>
          <w:sz w:val="24"/>
          <w:shd w:val="clear" w:color="auto" w:fill="FFFFFF"/>
        </w:rPr>
        <w:t>i më shumë se 4 milionë recetave në letër, gjë që ka çuar në kursimin e kostove të arkivit fizik, si dhe në kohë për qytetarët dhe në kursimin e energjisë</w:t>
      </w:r>
      <w:r w:rsidR="00280A1A" w:rsidRPr="00913E39">
        <w:rPr>
          <w:rFonts w:ascii="Garamond" w:hAnsi="Garamond"/>
          <w:sz w:val="24"/>
          <w:shd w:val="clear" w:color="auto" w:fill="FFFFFF"/>
        </w:rPr>
        <w:t>;</w:t>
      </w:r>
    </w:p>
    <w:p w14:paraId="58EDBAF9" w14:textId="3157C60E" w:rsidR="00847F23" w:rsidRPr="00913E39" w:rsidRDefault="00847F23" w:rsidP="00FC1B04">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përdorimi </w:t>
      </w:r>
      <w:r w:rsidRPr="00913E39">
        <w:rPr>
          <w:rFonts w:ascii="Garamond" w:hAnsi="Garamond"/>
          <w:sz w:val="24"/>
          <w:shd w:val="clear" w:color="auto" w:fill="FFFFFF"/>
        </w:rPr>
        <w:t>më racional dhe efikas i burimeve, që do të thotë se këto sisteme ndihmojnë në optimizimin e shpërndarjes së burimeve si koha, paratë dhe puna, si dhe ndihmojnë në reduktimin e humbjeve dhe rritjen e efikasitetit në sistemin e kujdesit shëndetësor</w:t>
      </w:r>
      <w:r w:rsidR="00280A1A" w:rsidRPr="00913E39">
        <w:rPr>
          <w:rFonts w:ascii="Garamond" w:hAnsi="Garamond"/>
          <w:sz w:val="24"/>
          <w:shd w:val="clear" w:color="auto" w:fill="FFFFFF"/>
        </w:rPr>
        <w:t>;</w:t>
      </w:r>
      <w:r w:rsidRPr="00913E39">
        <w:rPr>
          <w:rFonts w:ascii="Garamond" w:hAnsi="Garamond"/>
          <w:sz w:val="24"/>
          <w:shd w:val="clear" w:color="auto" w:fill="FFFFFF"/>
        </w:rPr>
        <w:t xml:space="preserve"> </w:t>
      </w:r>
    </w:p>
    <w:p w14:paraId="332AD326" w14:textId="435C6D18" w:rsidR="00847F23" w:rsidRPr="00913E39" w:rsidRDefault="00847F23" w:rsidP="00FC1B04">
      <w:pPr>
        <w:spacing w:after="0" w:line="240" w:lineRule="auto"/>
        <w:ind w:firstLine="284"/>
        <w:contextualSpacing/>
        <w:jc w:val="both"/>
        <w:rPr>
          <w:rFonts w:ascii="Garamond" w:hAnsi="Garamond"/>
          <w:sz w:val="24"/>
          <w:shd w:val="clear" w:color="auto" w:fill="FFFFFF"/>
        </w:rPr>
      </w:pPr>
      <w:r w:rsidRPr="00913E39">
        <w:rPr>
          <w:rFonts w:ascii="Garamond" w:hAnsi="Garamond"/>
          <w:sz w:val="24"/>
          <w:shd w:val="clear" w:color="auto" w:fill="FFFFFF"/>
        </w:rPr>
        <w:t xml:space="preserve">- </w:t>
      </w:r>
      <w:r w:rsidR="00280A1A" w:rsidRPr="00913E39">
        <w:rPr>
          <w:rFonts w:ascii="Garamond" w:hAnsi="Garamond"/>
          <w:sz w:val="24"/>
          <w:shd w:val="clear" w:color="auto" w:fill="FFFFFF"/>
        </w:rPr>
        <w:t xml:space="preserve">përmirësimi </w:t>
      </w:r>
      <w:r w:rsidRPr="00913E39">
        <w:rPr>
          <w:rFonts w:ascii="Garamond" w:hAnsi="Garamond"/>
          <w:sz w:val="24"/>
          <w:shd w:val="clear" w:color="auto" w:fill="FFFFFF"/>
        </w:rPr>
        <w:t>i cilësisë dhe shpejtësisë së ofrimit të shërbimit mjekësor.</w:t>
      </w:r>
    </w:p>
    <w:p w14:paraId="0CF339D7" w14:textId="481D269F" w:rsidR="00847F23" w:rsidRPr="00913E39" w:rsidRDefault="00847F23" w:rsidP="00BE3DA6">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Platforma Qeveritare e Ndërveprimit mundëson ndërlidhjen e të dhënave elektronike me njëra-tjetrën dhe shkëmbimin e të dhënave në kohë reale në formë të sigurt dhe të besueshme, si një hap i domosdoshëm për të thjeshtuar shërbimet që shteti ofron për qytetarët, bizneset dhe administratën publike, si dhe zvogëlimin e numrit të dokumenteve që kërkohen nga qytetarët apo bizneset për të marrë shërbime publike, duke siguruar standardizimin, nj</w:t>
      </w:r>
      <w:r w:rsidR="00FC1B04" w:rsidRPr="00913E39">
        <w:rPr>
          <w:rFonts w:ascii="Garamond" w:hAnsi="Garamond"/>
          <w:sz w:val="24"/>
          <w:shd w:val="clear" w:color="auto" w:fill="FFFFFF"/>
        </w:rPr>
        <w:t>e</w:t>
      </w:r>
      <w:r w:rsidRPr="00913E39">
        <w:rPr>
          <w:rFonts w:ascii="Garamond" w:hAnsi="Garamond"/>
          <w:sz w:val="24"/>
          <w:shd w:val="clear" w:color="auto" w:fill="FFFFFF"/>
        </w:rPr>
        <w:t>hsimin, përqendrimin e informacionit të ruajtur dhe të përpunuar dhe saktësinë e të dhënave të ruajtura.</w:t>
      </w:r>
    </w:p>
    <w:p w14:paraId="69FEA932" w14:textId="77777777" w:rsidR="00847F23" w:rsidRPr="00913E39" w:rsidRDefault="00847F23" w:rsidP="00BE3DA6">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xml:space="preserve">Ndërveprimi i sistemeve ka reduktuar gjithashtu punën manuale dhe përdorimin e letrës, si dhe gabimin njerëzor, duke ofruar përpunim në kohë reale të informacionit për vendimmarrje më të mirë duke iu referuar raporteve dhe treguesve. Më shumë se 265 milionë transaksione ndërmjet të gjitha sistemeve qeveritare dhe shërbimeve elektronike të ofruara në platformën </w:t>
      </w:r>
      <w:r w:rsidRPr="00913E39">
        <w:rPr>
          <w:rFonts w:ascii="Garamond" w:hAnsi="Garamond"/>
          <w:i/>
          <w:sz w:val="24"/>
          <w:shd w:val="clear" w:color="auto" w:fill="FFFFFF"/>
        </w:rPr>
        <w:t>e-Albania</w:t>
      </w:r>
      <w:r w:rsidRPr="00913E39">
        <w:rPr>
          <w:rFonts w:ascii="Garamond" w:hAnsi="Garamond"/>
          <w:sz w:val="24"/>
          <w:shd w:val="clear" w:color="auto" w:fill="FFFFFF"/>
        </w:rPr>
        <w:t xml:space="preserve"> janë kryer nëpërmjet platformës gjatë vitit 2022.</w:t>
      </w:r>
    </w:p>
    <w:p w14:paraId="69ADD6ED" w14:textId="3B169264" w:rsidR="00847F23" w:rsidRPr="00913E39" w:rsidRDefault="00847F23" w:rsidP="00BE3DA6">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xml:space="preserve">Qeveria shqiptare ka prioritet lidhjen digjitale dhe infrastrukturën </w:t>
      </w:r>
      <w:r w:rsidRPr="00913E39">
        <w:rPr>
          <w:rFonts w:ascii="Garamond" w:hAnsi="Garamond"/>
          <w:i/>
          <w:sz w:val="24"/>
          <w:shd w:val="clear" w:color="auto" w:fill="FFFFFF"/>
        </w:rPr>
        <w:t>broadband</w:t>
      </w:r>
      <w:r w:rsidRPr="00913E39">
        <w:rPr>
          <w:rFonts w:ascii="Garamond" w:hAnsi="Garamond"/>
          <w:sz w:val="24"/>
          <w:shd w:val="clear" w:color="auto" w:fill="FFFFFF"/>
        </w:rPr>
        <w:t>, duke përdorur aktualisht Rrjetin Qeveritar për të ndërlidhur mbi 230 institucione publike në Tiranë. GovNet mundëson në të njëjtën kohë shkëmbimin e të dhënave nëpërmjet</w:t>
      </w:r>
      <w:r w:rsidR="00FC1B04" w:rsidRPr="00913E39">
        <w:rPr>
          <w:rFonts w:ascii="Garamond" w:hAnsi="Garamond"/>
          <w:sz w:val="24"/>
          <w:shd w:val="clear" w:color="auto" w:fill="FFFFFF"/>
        </w:rPr>
        <w:t xml:space="preserve"> </w:t>
      </w:r>
      <w:r w:rsidRPr="00913E39">
        <w:rPr>
          <w:rFonts w:ascii="Garamond" w:hAnsi="Garamond"/>
          <w:sz w:val="24"/>
          <w:shd w:val="clear" w:color="auto" w:fill="FFFFFF"/>
        </w:rPr>
        <w:t xml:space="preserve">Platformës Qeveritare të Ndërveprimit. Zgjerimi i Rrjetit Qeveritar nevojitet për komunikim më të shpejtë dhe më të sigurt në shëndetësi. Në këtë drejtim, një studim fizibiliteti Zhvillimi Rajonal i Infrastrukturës </w:t>
      </w:r>
      <w:r w:rsidRPr="00913E39">
        <w:rPr>
          <w:rFonts w:ascii="Garamond" w:hAnsi="Garamond"/>
          <w:i/>
          <w:sz w:val="24"/>
          <w:shd w:val="clear" w:color="auto" w:fill="FFFFFF"/>
        </w:rPr>
        <w:t>Broadband</w:t>
      </w:r>
      <w:r w:rsidRPr="00913E39">
        <w:rPr>
          <w:rFonts w:ascii="Garamond" w:hAnsi="Garamond"/>
          <w:sz w:val="24"/>
          <w:shd w:val="clear" w:color="auto" w:fill="FFFFFF"/>
        </w:rPr>
        <w:t xml:space="preserve"> në Shqipëri i mbështetur nga një grant i WBIF, pritet të përfundojë brenda mesit të vitit 2024. </w:t>
      </w:r>
    </w:p>
    <w:p w14:paraId="4D1B344A" w14:textId="77777777" w:rsidR="00847F23" w:rsidRPr="00913E39" w:rsidRDefault="00847F23" w:rsidP="00BE3DA6">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xml:space="preserve">Pas studimit të fizibilitetit dhe dizajnit të detajuar, zgjerimi i GovNet do të lidhë spitalet bashkiake dhe universitare, do të sigurojë një lidhje me fibra optike dhe një gjerësi frekuence të lartë për përpunimin e të dhënave shëndetësore dhe do të sigurojë akses të besueshëm në shërbimet e centralizuara të shëndeti digjital. </w:t>
      </w:r>
    </w:p>
    <w:p w14:paraId="27B1CDD5" w14:textId="77777777"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lastRenderedPageBreak/>
        <w:t>Ekziston një politikë dhe kuadër ligjor i mirëpërcaktuar, me një detyrim ligjor për ofruesit e kujdesit shëndetësor për të zbatuar digjitalizimin e të dhënave të kujdesit shëndetësor, si dhe një detyrim për profesionistët e kujdesit shëndetësor për të ndërmarrë trajnim të vazhdueshëm.</w:t>
      </w:r>
    </w:p>
    <w:p w14:paraId="6B321AC6"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Megjithatë, disa dobësi ndikojnë në zhvillimin e të dhënave digjitale të shëndetit. Të dhënat shëndetësore duhet të jenë të sakta dhe të cilësisë së lartë që të jenë të dobishme dhe ekziston rreziku i gabimeve dhe paragjykimeve në mbledhjen dhe analizimin e të dhënave. Një nga pjesët më kritike të industrisë së kujdesit shëndetësor janë të dhënat e sakta, të cilat janë të domosdoshme për besimin dhe kryerjen e analizave të sakta. Kjo është ende një sfidë në sektorin e shëndetësisë në Shqipëri, megjithëse një studim i fundit zbuloi se një grup pacientësh mendonte se të dhënat e pacientëve të ruajtura nga spitalet janë të besueshme dhe të dhënat e pacientëve ruhen duke zbatuar parimin e konfidencialitetit</w:t>
      </w:r>
      <w:r w:rsidRPr="00913E39">
        <w:rPr>
          <w:rFonts w:ascii="Garamond" w:hAnsi="Garamond"/>
          <w:sz w:val="24"/>
          <w:vertAlign w:val="superscript"/>
        </w:rPr>
        <w:footnoteReference w:id="38"/>
      </w:r>
      <w:r w:rsidRPr="00913E39">
        <w:rPr>
          <w:rFonts w:ascii="Garamond" w:hAnsi="Garamond"/>
          <w:sz w:val="24"/>
        </w:rPr>
        <w:t xml:space="preserve">. </w:t>
      </w:r>
    </w:p>
    <w:p w14:paraId="7C3A192F" w14:textId="5E7CA82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më tepër, Shqipëria është e prekur nga një eksod masiv i punëtorëve të kualifikuar, duke përfshirë një numër të madh të rinjsh. Situata është veçanërisht shqetësuese për mjekët dhe infermierët</w:t>
      </w:r>
      <w:r w:rsidR="00961102" w:rsidRPr="00913E39">
        <w:rPr>
          <w:rFonts w:ascii="Garamond" w:hAnsi="Garamond"/>
          <w:sz w:val="24"/>
        </w:rPr>
        <w:t>,</w:t>
      </w:r>
      <w:r w:rsidRPr="00913E39">
        <w:rPr>
          <w:rFonts w:ascii="Garamond" w:hAnsi="Garamond"/>
          <w:sz w:val="24"/>
        </w:rPr>
        <w:t xml:space="preserve"> si dhe psikoterapistët, dentistët dhe farmacistët, të gjithë të kërkuar në Shqipëri. Shqipëria ka numrin më të ulët të mjekëve dhe infermierëve për frymë në E</w:t>
      </w:r>
      <w:r w:rsidR="00FC1B04" w:rsidRPr="00913E39">
        <w:rPr>
          <w:rFonts w:ascii="Garamond" w:hAnsi="Garamond"/>
          <w:sz w:val="24"/>
        </w:rPr>
        <w:t>v</w:t>
      </w:r>
      <w:r w:rsidRPr="00913E39">
        <w:rPr>
          <w:rFonts w:ascii="Garamond" w:hAnsi="Garamond"/>
          <w:sz w:val="24"/>
        </w:rPr>
        <w:t xml:space="preserve">ropë </w:t>
      </w:r>
      <w:r w:rsidRPr="00913E39">
        <w:rPr>
          <w:rFonts w:ascii="Garamond" w:hAnsi="Garamond"/>
          <w:i/>
          <w:sz w:val="24"/>
        </w:rPr>
        <w:t>(</w:t>
      </w:r>
      <w:hyperlink r:id="rId23" w:tgtFrame="_blank" w:history="1">
        <w:r w:rsidRPr="00913E39">
          <w:rPr>
            <w:rFonts w:ascii="Garamond" w:hAnsi="Garamond"/>
            <w:i/>
            <w:sz w:val="24"/>
          </w:rPr>
          <w:t>të dhënat e vitit 2020</w:t>
        </w:r>
      </w:hyperlink>
      <w:r w:rsidRPr="00913E39">
        <w:rPr>
          <w:rFonts w:ascii="Garamond" w:hAnsi="Garamond"/>
          <w:i/>
          <w:sz w:val="24"/>
        </w:rPr>
        <w:t>)</w:t>
      </w:r>
      <w:r w:rsidRPr="00913E39">
        <w:rPr>
          <w:rFonts w:ascii="Garamond" w:hAnsi="Garamond"/>
          <w:sz w:val="24"/>
        </w:rPr>
        <w:t xml:space="preserve">. Në vitin 2019, 18% e personelit mjekësor të kualifikuar punonin jashtë vendit, nga të cilët 765 mjekë shqiptarë punonin në Gjermani – një rritje prej 21% nga një vit më parë. Besohet se që atëherë janë larguar më shumë pasi numri i emigrantëve nga Shqipëria ishte 42,000 </w:t>
      </w:r>
      <w:r w:rsidR="00FC1B04" w:rsidRPr="00913E39">
        <w:rPr>
          <w:rFonts w:ascii="Garamond" w:hAnsi="Garamond"/>
          <w:sz w:val="24"/>
        </w:rPr>
        <w:t>m</w:t>
      </w:r>
      <w:r w:rsidRPr="00913E39">
        <w:rPr>
          <w:rFonts w:ascii="Garamond" w:hAnsi="Garamond"/>
          <w:sz w:val="24"/>
        </w:rPr>
        <w:t>ë 2021.</w:t>
      </w:r>
    </w:p>
    <w:p w14:paraId="5BE518A2" w14:textId="67ECFDDF" w:rsidR="00847F23" w:rsidRPr="00913E39" w:rsidRDefault="00847F23" w:rsidP="00FC4C60">
      <w:pPr>
        <w:spacing w:after="0" w:line="240" w:lineRule="auto"/>
        <w:ind w:firstLine="284"/>
        <w:jc w:val="both"/>
        <w:rPr>
          <w:rFonts w:ascii="Garamond" w:hAnsi="Garamond"/>
          <w:b/>
          <w:spacing w:val="-2"/>
          <w:sz w:val="24"/>
        </w:rPr>
      </w:pPr>
      <w:r w:rsidRPr="00913E39">
        <w:rPr>
          <w:rFonts w:ascii="Garamond" w:hAnsi="Garamond"/>
          <w:sz w:val="24"/>
        </w:rPr>
        <w:t xml:space="preserve">Direktivat sektoriale të BE-së ofrojnë mundësi të mëdha për zhvillimin </w:t>
      </w:r>
      <w:r w:rsidR="00B70578" w:rsidRPr="00913E39">
        <w:rPr>
          <w:rFonts w:ascii="Garamond" w:hAnsi="Garamond"/>
          <w:sz w:val="24"/>
        </w:rPr>
        <w:t>e shëndetësisë digjitale</w:t>
      </w:r>
      <w:r w:rsidRPr="00913E39">
        <w:rPr>
          <w:rFonts w:ascii="Garamond" w:hAnsi="Garamond"/>
          <w:sz w:val="24"/>
        </w:rPr>
        <w:t xml:space="preserve">. </w:t>
      </w:r>
    </w:p>
    <w:p w14:paraId="7EEEE2BA" w14:textId="1C6301D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Rritja e teknologjive të tilla si Inteligjenca Artificiale, analizimi i </w:t>
      </w:r>
      <w:r w:rsidRPr="00913E39">
        <w:rPr>
          <w:rFonts w:ascii="Garamond" w:hAnsi="Garamond"/>
          <w:i/>
          <w:sz w:val="24"/>
        </w:rPr>
        <w:t>Big data</w:t>
      </w:r>
      <w:r w:rsidRPr="00913E39">
        <w:rPr>
          <w:rFonts w:ascii="Garamond" w:hAnsi="Garamond"/>
          <w:sz w:val="24"/>
        </w:rPr>
        <w:t xml:space="preserve"> dhe </w:t>
      </w:r>
      <w:r w:rsidRPr="00913E39">
        <w:rPr>
          <w:rFonts w:ascii="Garamond" w:hAnsi="Garamond"/>
          <w:i/>
          <w:sz w:val="24"/>
        </w:rPr>
        <w:t>Internet of Things</w:t>
      </w:r>
      <w:r w:rsidRPr="00913E39">
        <w:rPr>
          <w:rFonts w:ascii="Garamond" w:hAnsi="Garamond"/>
          <w:sz w:val="24"/>
        </w:rPr>
        <w:t xml:space="preserve"> (IoT) janë ofruar mundësi të reja për rritjen e përdorimit të të dhënave shëndetësore për ofrim më të mirë të kujdesit shëndetësor, kërkime, inovacione dhe politikëbërje Kërcënimet kryesore për sektorin janë: </w:t>
      </w:r>
      <w:r w:rsidR="006775C2" w:rsidRPr="00913E39">
        <w:rPr>
          <w:rFonts w:ascii="Garamond" w:hAnsi="Garamond"/>
          <w:sz w:val="24"/>
        </w:rPr>
        <w:t>s</w:t>
      </w:r>
      <w:r w:rsidRPr="00913E39">
        <w:rPr>
          <w:rFonts w:ascii="Garamond" w:hAnsi="Garamond"/>
          <w:sz w:val="24"/>
        </w:rPr>
        <w:t>fidat në rritje të sigurisë kibernetike dhe gatishmëria e ulët sociale për të pranuar inovacionet e shëndeti digjital.</w:t>
      </w:r>
    </w:p>
    <w:p w14:paraId="2D7CFEA5" w14:textId="54B3BFA4"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Tabela 7</w:t>
      </w:r>
      <w:r w:rsidR="00FC1B04" w:rsidRPr="00913E39">
        <w:rPr>
          <w:rFonts w:ascii="Garamond" w:hAnsi="Garamond"/>
          <w:i/>
          <w:sz w:val="24"/>
        </w:rPr>
        <w:t xml:space="preserve">. </w:t>
      </w:r>
      <w:r w:rsidRPr="00913E39">
        <w:rPr>
          <w:rFonts w:ascii="Garamond" w:hAnsi="Garamond"/>
          <w:i/>
          <w:sz w:val="24"/>
        </w:rPr>
        <w:t xml:space="preserve">Analiza SWOT për </w:t>
      </w:r>
      <w:r w:rsidR="00FC1B04" w:rsidRPr="00913E39">
        <w:rPr>
          <w:rFonts w:ascii="Garamond" w:hAnsi="Garamond"/>
          <w:i/>
          <w:sz w:val="24"/>
        </w:rPr>
        <w:t>nënfushën e mbështetjes së digjitalizimit shëndetësor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9"/>
        <w:gridCol w:w="5535"/>
      </w:tblGrid>
      <w:tr w:rsidR="00847F23" w:rsidRPr="00913E39" w14:paraId="595329A5" w14:textId="77777777" w:rsidTr="006775C2">
        <w:trPr>
          <w:trHeight w:val="20"/>
        </w:trPr>
        <w:tc>
          <w:tcPr>
            <w:tcW w:w="1950" w:type="pct"/>
            <w:shd w:val="clear" w:color="auto" w:fill="D9D9D9"/>
          </w:tcPr>
          <w:p w14:paraId="2F41CA32"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PIKAT E FORTA</w:t>
            </w:r>
          </w:p>
        </w:tc>
        <w:tc>
          <w:tcPr>
            <w:tcW w:w="3050" w:type="pct"/>
            <w:shd w:val="clear" w:color="auto" w:fill="D9D9D9"/>
          </w:tcPr>
          <w:p w14:paraId="09F6BA3B" w14:textId="77777777" w:rsidR="00847F23" w:rsidRPr="00913E39" w:rsidRDefault="00847F23" w:rsidP="000268B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741B169E" w14:textId="77777777" w:rsidTr="006775C2">
        <w:trPr>
          <w:trHeight w:val="20"/>
        </w:trPr>
        <w:tc>
          <w:tcPr>
            <w:tcW w:w="1950" w:type="pct"/>
            <w:shd w:val="clear" w:color="auto" w:fill="FFFFFF"/>
          </w:tcPr>
          <w:p w14:paraId="66719254"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shd w:val="clear" w:color="auto" w:fill="FFFFFF"/>
              </w:rPr>
              <w:t>Kuadri i politikave të favorshme për digjitalizimin e informacionit shëndetësor.</w:t>
            </w:r>
          </w:p>
        </w:tc>
        <w:tc>
          <w:tcPr>
            <w:tcW w:w="3050" w:type="pct"/>
            <w:shd w:val="clear" w:color="auto" w:fill="FFFFFF"/>
          </w:tcPr>
          <w:p w14:paraId="2E07963B"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shd w:val="clear" w:color="auto" w:fill="FFFFFF"/>
              </w:rPr>
              <w:t>Strategjia e Shëndetësisë dhe Agjenda Digjitale.</w:t>
            </w:r>
          </w:p>
        </w:tc>
      </w:tr>
      <w:tr w:rsidR="00847F23" w:rsidRPr="00913E39" w14:paraId="5945A520" w14:textId="77777777" w:rsidTr="006775C2">
        <w:trPr>
          <w:trHeight w:val="20"/>
        </w:trPr>
        <w:tc>
          <w:tcPr>
            <w:tcW w:w="1950" w:type="pct"/>
            <w:shd w:val="clear" w:color="auto" w:fill="FFFFFF"/>
          </w:tcPr>
          <w:p w14:paraId="4E3FACA6" w14:textId="175D7C51"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Sistemet elektronike </w:t>
            </w:r>
            <w:r w:rsidR="00D41B39" w:rsidRPr="00913E39">
              <w:rPr>
                <w:rFonts w:ascii="Garamond" w:hAnsi="Garamond"/>
                <w:sz w:val="18"/>
              </w:rPr>
              <w:t>shëndetësore</w:t>
            </w:r>
            <w:r w:rsidRPr="00913E39">
              <w:rPr>
                <w:rFonts w:ascii="Garamond" w:hAnsi="Garamond"/>
                <w:sz w:val="18"/>
              </w:rPr>
              <w:t xml:space="preserve"> tashm</w:t>
            </w:r>
            <w:r w:rsidR="00D41B39" w:rsidRPr="00913E39">
              <w:rPr>
                <w:rFonts w:ascii="Garamond" w:hAnsi="Garamond"/>
                <w:sz w:val="18"/>
              </w:rPr>
              <w:t>ë</w:t>
            </w:r>
            <w:r w:rsidRPr="00913E39">
              <w:rPr>
                <w:rFonts w:ascii="Garamond" w:hAnsi="Garamond"/>
                <w:sz w:val="18"/>
              </w:rPr>
              <w:t xml:space="preserve"> t</w:t>
            </w:r>
            <w:r w:rsidR="00D41B39" w:rsidRPr="00913E39">
              <w:rPr>
                <w:rFonts w:ascii="Garamond" w:hAnsi="Garamond"/>
                <w:sz w:val="18"/>
              </w:rPr>
              <w:t>ë</w:t>
            </w:r>
            <w:r w:rsidRPr="00913E39">
              <w:rPr>
                <w:rFonts w:ascii="Garamond" w:hAnsi="Garamond"/>
                <w:sz w:val="18"/>
              </w:rPr>
              <w:t xml:space="preserve"> ngritura dhe funksionale</w:t>
            </w:r>
          </w:p>
        </w:tc>
        <w:tc>
          <w:tcPr>
            <w:tcW w:w="3050" w:type="pct"/>
            <w:shd w:val="clear" w:color="auto" w:fill="FFFFFF"/>
          </w:tcPr>
          <w:p w14:paraId="7BCF42E1" w14:textId="0FC4FE1E" w:rsidR="00847F23" w:rsidRPr="00913E39" w:rsidRDefault="00847F23" w:rsidP="000268BB">
            <w:pPr>
              <w:spacing w:after="0" w:line="240" w:lineRule="auto"/>
              <w:jc w:val="both"/>
              <w:rPr>
                <w:rFonts w:ascii="Garamond" w:hAnsi="Garamond"/>
                <w:sz w:val="18"/>
              </w:rPr>
            </w:pPr>
            <w:r w:rsidRPr="00913E39">
              <w:rPr>
                <w:rFonts w:ascii="Garamond" w:hAnsi="Garamond"/>
                <w:i/>
                <w:sz w:val="18"/>
                <w:shd w:val="clear" w:color="auto" w:fill="FFFFFF"/>
              </w:rPr>
              <w:t>E-vizita, e-receta</w:t>
            </w:r>
            <w:r w:rsidRPr="00913E39">
              <w:rPr>
                <w:rFonts w:ascii="Garamond" w:hAnsi="Garamond"/>
                <w:i/>
                <w:sz w:val="18"/>
                <w:shd w:val="clear" w:color="auto" w:fill="FFFFFF"/>
                <w:vertAlign w:val="superscript"/>
              </w:rPr>
              <w:footnoteReference w:id="39"/>
            </w:r>
            <w:r w:rsidRPr="00913E39">
              <w:rPr>
                <w:rFonts w:ascii="Garamond" w:hAnsi="Garamond"/>
                <w:i/>
                <w:sz w:val="18"/>
                <w:shd w:val="clear" w:color="auto" w:fill="FFFFFF"/>
              </w:rPr>
              <w:t>, e-raporte, e-referim,</w:t>
            </w:r>
            <w:r w:rsidRPr="00913E39">
              <w:rPr>
                <w:rFonts w:ascii="Garamond" w:hAnsi="Garamond"/>
                <w:sz w:val="18"/>
                <w:shd w:val="clear" w:color="auto" w:fill="FFFFFF"/>
              </w:rPr>
              <w:t xml:space="preserve"> sistemi i bankës</w:t>
            </w:r>
            <w:r w:rsidR="00D41B39" w:rsidRPr="00913E39">
              <w:rPr>
                <w:rFonts w:ascii="Garamond" w:hAnsi="Garamond"/>
                <w:sz w:val="18"/>
                <w:shd w:val="clear" w:color="auto" w:fill="FFFFFF"/>
              </w:rPr>
              <w:t xml:space="preserve"> s</w:t>
            </w:r>
            <w:r w:rsidRPr="00913E39">
              <w:rPr>
                <w:rFonts w:ascii="Garamond" w:hAnsi="Garamond"/>
                <w:sz w:val="18"/>
                <w:shd w:val="clear" w:color="auto" w:fill="FFFFFF"/>
              </w:rPr>
              <w:t xml:space="preserve">ë gjakut, </w:t>
            </w:r>
            <w:r w:rsidRPr="00913E39">
              <w:rPr>
                <w:rFonts w:ascii="Garamond" w:hAnsi="Garamond"/>
                <w:i/>
                <w:sz w:val="18"/>
                <w:shd w:val="clear" w:color="auto" w:fill="FFFFFF"/>
              </w:rPr>
              <w:t>e-vaksina, e-depo, e-barna</w:t>
            </w:r>
            <w:r w:rsidRPr="00913E39">
              <w:rPr>
                <w:rFonts w:ascii="Garamond" w:hAnsi="Garamond"/>
                <w:sz w:val="18"/>
                <w:shd w:val="clear" w:color="auto" w:fill="FFFFFF"/>
              </w:rPr>
              <w:t xml:space="preserve"> SISP, AHIS </w:t>
            </w:r>
          </w:p>
        </w:tc>
      </w:tr>
      <w:tr w:rsidR="00847F23" w:rsidRPr="00913E39" w14:paraId="6E02AF5A" w14:textId="77777777" w:rsidTr="006775C2">
        <w:trPr>
          <w:trHeight w:val="20"/>
        </w:trPr>
        <w:tc>
          <w:tcPr>
            <w:tcW w:w="1950" w:type="pct"/>
            <w:shd w:val="clear" w:color="auto" w:fill="FFFFFF"/>
          </w:tcPr>
          <w:p w14:paraId="5FDCB256" w14:textId="1986D071" w:rsidR="00847F23" w:rsidRPr="00913E39" w:rsidRDefault="00847F23" w:rsidP="000268BB">
            <w:pPr>
              <w:spacing w:after="0" w:line="240" w:lineRule="auto"/>
              <w:jc w:val="both"/>
              <w:rPr>
                <w:rFonts w:ascii="Garamond" w:hAnsi="Garamond"/>
                <w:sz w:val="18"/>
                <w:shd w:val="clear" w:color="auto" w:fill="FFFFFF"/>
              </w:rPr>
            </w:pPr>
            <w:r w:rsidRPr="00913E39">
              <w:rPr>
                <w:rFonts w:ascii="Garamond" w:hAnsi="Garamond"/>
                <w:sz w:val="18"/>
                <w:shd w:val="clear" w:color="auto" w:fill="FFFFFF"/>
              </w:rPr>
              <w:t>Kuadri ligjor i mirëpërcaktuar.</w:t>
            </w:r>
          </w:p>
          <w:p w14:paraId="30B274CB" w14:textId="77777777" w:rsidR="00847F23" w:rsidRPr="00913E39" w:rsidRDefault="00847F23" w:rsidP="000268BB">
            <w:pPr>
              <w:spacing w:after="0" w:line="240" w:lineRule="auto"/>
              <w:jc w:val="both"/>
              <w:rPr>
                <w:rFonts w:ascii="Garamond" w:hAnsi="Garamond"/>
                <w:sz w:val="18"/>
              </w:rPr>
            </w:pPr>
          </w:p>
        </w:tc>
        <w:tc>
          <w:tcPr>
            <w:tcW w:w="3050" w:type="pct"/>
            <w:shd w:val="clear" w:color="auto" w:fill="FFFFFF"/>
          </w:tcPr>
          <w:p w14:paraId="49376AA2"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shd w:val="clear" w:color="auto" w:fill="FFFFFF"/>
              </w:rPr>
              <w:t>Ofruesit e kujdesit shëndetësor kanë detyrimin të zbatojnë digjitalizimin e të dhënave të kujdesit shëndetësor.</w:t>
            </w:r>
          </w:p>
        </w:tc>
      </w:tr>
      <w:tr w:rsidR="00847F23" w:rsidRPr="00913E39" w14:paraId="1507CF54" w14:textId="77777777" w:rsidTr="006775C2">
        <w:trPr>
          <w:trHeight w:val="20"/>
        </w:trPr>
        <w:tc>
          <w:tcPr>
            <w:tcW w:w="1950" w:type="pct"/>
            <w:tcBorders>
              <w:bottom w:val="single" w:sz="4" w:space="0" w:color="auto"/>
            </w:tcBorders>
            <w:shd w:val="clear" w:color="auto" w:fill="FFFFFF"/>
          </w:tcPr>
          <w:p w14:paraId="780DFC1D" w14:textId="77777777" w:rsidR="00847F23" w:rsidRPr="00913E39" w:rsidRDefault="00847F23" w:rsidP="000268BB">
            <w:pPr>
              <w:spacing w:after="0" w:line="240" w:lineRule="auto"/>
              <w:jc w:val="both"/>
              <w:rPr>
                <w:rFonts w:ascii="Garamond" w:hAnsi="Garamond"/>
                <w:sz w:val="18"/>
                <w:shd w:val="clear" w:color="auto" w:fill="FFFFFF"/>
              </w:rPr>
            </w:pPr>
            <w:r w:rsidRPr="00913E39">
              <w:rPr>
                <w:rFonts w:ascii="Garamond" w:hAnsi="Garamond"/>
                <w:sz w:val="18"/>
                <w:shd w:val="clear" w:color="auto" w:fill="FFFFFF"/>
              </w:rPr>
              <w:t>Njohuria digjitale e ofruesit të kujdesit shëndetësor.</w:t>
            </w:r>
          </w:p>
          <w:p w14:paraId="4B8DDE71" w14:textId="77777777" w:rsidR="00847F23" w:rsidRPr="00913E39" w:rsidRDefault="00847F23" w:rsidP="000268BB">
            <w:pPr>
              <w:spacing w:after="0" w:line="240" w:lineRule="auto"/>
              <w:jc w:val="both"/>
              <w:rPr>
                <w:rFonts w:ascii="Garamond" w:hAnsi="Garamond"/>
                <w:sz w:val="18"/>
              </w:rPr>
            </w:pPr>
          </w:p>
        </w:tc>
        <w:tc>
          <w:tcPr>
            <w:tcW w:w="3050" w:type="pct"/>
            <w:tcBorders>
              <w:bottom w:val="single" w:sz="4" w:space="0" w:color="auto"/>
            </w:tcBorders>
            <w:shd w:val="clear" w:color="auto" w:fill="FFFFFF"/>
          </w:tcPr>
          <w:p w14:paraId="1C9B8346" w14:textId="48D91441" w:rsidR="00847F23" w:rsidRPr="00913E39" w:rsidRDefault="00847F23" w:rsidP="000268BB">
            <w:pPr>
              <w:spacing w:after="0" w:line="240" w:lineRule="auto"/>
              <w:jc w:val="both"/>
              <w:rPr>
                <w:rFonts w:ascii="Garamond" w:hAnsi="Garamond"/>
                <w:sz w:val="18"/>
              </w:rPr>
            </w:pPr>
            <w:r w:rsidRPr="00913E39">
              <w:rPr>
                <w:rFonts w:ascii="Garamond" w:hAnsi="Garamond"/>
                <w:sz w:val="18"/>
                <w:shd w:val="clear" w:color="auto" w:fill="FFFFFF"/>
              </w:rPr>
              <w:t>Detyrimi i profesionistëve të kujdesit shëndetësor për t</w:t>
            </w:r>
            <w:r w:rsidR="005222A5" w:rsidRPr="00913E39">
              <w:rPr>
                <w:rFonts w:ascii="Garamond" w:hAnsi="Garamond"/>
                <w:sz w:val="18"/>
                <w:shd w:val="clear" w:color="auto" w:fill="FFFFFF"/>
              </w:rPr>
              <w:t>’</w:t>
            </w:r>
            <w:r w:rsidRPr="00913E39">
              <w:rPr>
                <w:rFonts w:ascii="Garamond" w:hAnsi="Garamond"/>
                <w:sz w:val="18"/>
                <w:shd w:val="clear" w:color="auto" w:fill="FFFFFF"/>
              </w:rPr>
              <w:t xml:space="preserve">u trajnuar në vazhdimësi. </w:t>
            </w:r>
          </w:p>
        </w:tc>
      </w:tr>
      <w:tr w:rsidR="00847F23" w:rsidRPr="00913E39" w14:paraId="3E3C6735" w14:textId="77777777" w:rsidTr="006775C2">
        <w:trPr>
          <w:trHeight w:val="20"/>
        </w:trPr>
        <w:tc>
          <w:tcPr>
            <w:tcW w:w="1950" w:type="pct"/>
            <w:shd w:val="clear" w:color="auto" w:fill="D9D9D9"/>
          </w:tcPr>
          <w:p w14:paraId="67A97426"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PIKAT E DOBËTA</w:t>
            </w:r>
          </w:p>
        </w:tc>
        <w:tc>
          <w:tcPr>
            <w:tcW w:w="3050" w:type="pct"/>
            <w:shd w:val="clear" w:color="auto" w:fill="D9D9D9"/>
          </w:tcPr>
          <w:p w14:paraId="6AD9BD34" w14:textId="77777777" w:rsidR="00847F23" w:rsidRPr="00913E39" w:rsidRDefault="00847F23" w:rsidP="000268B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4ED6C715" w14:textId="77777777" w:rsidTr="006775C2">
        <w:trPr>
          <w:trHeight w:val="20"/>
        </w:trPr>
        <w:tc>
          <w:tcPr>
            <w:tcW w:w="1950" w:type="pct"/>
            <w:shd w:val="clear" w:color="auto" w:fill="FFFFFF"/>
          </w:tcPr>
          <w:p w14:paraId="2E5024B6" w14:textId="77777777" w:rsidR="00847F23" w:rsidRPr="00913E39" w:rsidRDefault="00847F23" w:rsidP="000268BB">
            <w:pPr>
              <w:spacing w:after="0" w:line="240" w:lineRule="auto"/>
              <w:jc w:val="both"/>
              <w:rPr>
                <w:rFonts w:ascii="Garamond" w:hAnsi="Garamond"/>
                <w:kern w:val="2"/>
                <w:sz w:val="18"/>
              </w:rPr>
            </w:pPr>
            <w:r w:rsidRPr="00913E39">
              <w:rPr>
                <w:rFonts w:ascii="Garamond" w:hAnsi="Garamond"/>
                <w:sz w:val="18"/>
                <w:shd w:val="clear" w:color="auto" w:fill="FFFFFF"/>
              </w:rPr>
              <w:t>Ndarja dhe mungesa e konsolidimit të informacionit për individin.</w:t>
            </w:r>
            <w:r w:rsidR="00693B1A" w:rsidRPr="00913E39">
              <w:rPr>
                <w:rFonts w:ascii="Garamond" w:hAnsi="Garamond"/>
                <w:sz w:val="18"/>
                <w:shd w:val="clear" w:color="auto" w:fill="FFFFFF"/>
              </w:rPr>
              <w:t xml:space="preserve"> </w:t>
            </w:r>
          </w:p>
        </w:tc>
        <w:tc>
          <w:tcPr>
            <w:tcW w:w="3050" w:type="pct"/>
            <w:shd w:val="clear" w:color="auto" w:fill="auto"/>
          </w:tcPr>
          <w:p w14:paraId="539D2665"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shd w:val="clear" w:color="auto" w:fill="FFFFFF"/>
              </w:rPr>
              <w:t xml:space="preserve">Sistemi aktual nuk ofron informacion të plotë për vendimmarrjen e politikave, veçanërisht për shkak të një pjese të konsiderueshme të informacionit të menaxhuar nga ofruesit privatë të kujdesit shëndetësor. </w:t>
            </w:r>
          </w:p>
        </w:tc>
      </w:tr>
      <w:tr w:rsidR="00847F23" w:rsidRPr="00913E39" w14:paraId="0D45ACC2" w14:textId="77777777" w:rsidTr="006775C2">
        <w:trPr>
          <w:trHeight w:val="20"/>
        </w:trPr>
        <w:tc>
          <w:tcPr>
            <w:tcW w:w="1950" w:type="pct"/>
            <w:shd w:val="clear" w:color="auto" w:fill="FFFFFF"/>
          </w:tcPr>
          <w:p w14:paraId="20A05B08" w14:textId="77777777" w:rsidR="00847F23" w:rsidRPr="00913E39" w:rsidRDefault="00847F23" w:rsidP="000268BB">
            <w:pPr>
              <w:spacing w:after="0" w:line="240" w:lineRule="auto"/>
              <w:jc w:val="both"/>
              <w:rPr>
                <w:rFonts w:ascii="Garamond" w:hAnsi="Garamond"/>
                <w:kern w:val="2"/>
                <w:sz w:val="18"/>
              </w:rPr>
            </w:pPr>
            <w:r w:rsidRPr="00913E39">
              <w:rPr>
                <w:rFonts w:ascii="Garamond" w:hAnsi="Garamond"/>
                <w:sz w:val="18"/>
              </w:rPr>
              <w:t xml:space="preserve">Sistemit shëndetësor i mungon personeli mjekësor i kualifikuar. </w:t>
            </w:r>
          </w:p>
        </w:tc>
        <w:tc>
          <w:tcPr>
            <w:tcW w:w="3050" w:type="pct"/>
            <w:shd w:val="clear" w:color="auto" w:fill="auto"/>
          </w:tcPr>
          <w:p w14:paraId="42D0F2AF"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Kjo mungesë u ndje në mënyrë akute gjatë pandemisë COVID-19, me kapacitetet spitalore të sforcuara në pikën e fundit. </w:t>
            </w:r>
          </w:p>
          <w:p w14:paraId="64FB06ED" w14:textId="77777777" w:rsidR="00847F23" w:rsidRPr="00913E39" w:rsidRDefault="00444B6F" w:rsidP="000268BB">
            <w:pPr>
              <w:spacing w:after="0" w:line="240" w:lineRule="auto"/>
              <w:jc w:val="both"/>
              <w:rPr>
                <w:rFonts w:ascii="Garamond" w:hAnsi="Garamond"/>
                <w:sz w:val="18"/>
                <w:shd w:val="clear" w:color="auto" w:fill="FFFFFF"/>
              </w:rPr>
            </w:pPr>
            <w:hyperlink r:id="rId24" w:tgtFrame="_blank" w:history="1">
              <w:r w:rsidR="00847F23" w:rsidRPr="00913E39">
                <w:rPr>
                  <w:rFonts w:ascii="Garamond" w:hAnsi="Garamond"/>
                  <w:sz w:val="18"/>
                </w:rPr>
                <w:t>Organizata Botërore e Shëndetësisë</w:t>
              </w:r>
            </w:hyperlink>
            <w:r w:rsidR="00847F23" w:rsidRPr="00913E39">
              <w:rPr>
                <w:rFonts w:ascii="Garamond" w:hAnsi="Garamond"/>
                <w:sz w:val="18"/>
              </w:rPr>
              <w:t xml:space="preserve"> ka vënë në dukje gjithashtu se Shqipëria ka një nga normat më të ulëta të mjekëve për pacient në nivel global.</w:t>
            </w:r>
          </w:p>
        </w:tc>
      </w:tr>
      <w:tr w:rsidR="00847F23" w:rsidRPr="00913E39" w14:paraId="293DB01A" w14:textId="77777777" w:rsidTr="006775C2">
        <w:trPr>
          <w:trHeight w:val="20"/>
        </w:trPr>
        <w:tc>
          <w:tcPr>
            <w:tcW w:w="1950" w:type="pct"/>
            <w:shd w:val="clear" w:color="auto" w:fill="FFFFFF"/>
          </w:tcPr>
          <w:p w14:paraId="45014F37" w14:textId="77777777" w:rsidR="00847F23" w:rsidRPr="00913E39" w:rsidRDefault="00847F23" w:rsidP="000268BB">
            <w:pPr>
              <w:spacing w:after="0" w:line="240" w:lineRule="auto"/>
              <w:jc w:val="both"/>
              <w:rPr>
                <w:rFonts w:ascii="Garamond" w:hAnsi="Garamond"/>
                <w:sz w:val="18"/>
                <w:shd w:val="clear" w:color="auto" w:fill="FFFFFF"/>
              </w:rPr>
            </w:pPr>
            <w:r w:rsidRPr="00913E39">
              <w:rPr>
                <w:rFonts w:ascii="Garamond" w:hAnsi="Garamond"/>
                <w:sz w:val="18"/>
              </w:rPr>
              <w:t>Saktësia dhe cilësia e pamjaftueshme e të dhënave.</w:t>
            </w:r>
            <w:r w:rsidR="00693B1A" w:rsidRPr="00913E39">
              <w:rPr>
                <w:rFonts w:ascii="Garamond" w:hAnsi="Garamond"/>
                <w:sz w:val="18"/>
              </w:rPr>
              <w:t xml:space="preserve"> </w:t>
            </w:r>
            <w:r w:rsidRPr="00913E39">
              <w:rPr>
                <w:rFonts w:ascii="Garamond" w:hAnsi="Garamond"/>
                <w:sz w:val="18"/>
              </w:rPr>
              <w:t xml:space="preserve"> </w:t>
            </w:r>
          </w:p>
        </w:tc>
        <w:tc>
          <w:tcPr>
            <w:tcW w:w="3050" w:type="pct"/>
            <w:shd w:val="clear" w:color="auto" w:fill="auto"/>
          </w:tcPr>
          <w:p w14:paraId="5E48C86C" w14:textId="04D190D3" w:rsidR="00847F23" w:rsidRPr="00913E39" w:rsidRDefault="00847F23" w:rsidP="000268BB">
            <w:pPr>
              <w:spacing w:after="0" w:line="240" w:lineRule="auto"/>
              <w:jc w:val="both"/>
              <w:rPr>
                <w:rFonts w:ascii="Garamond" w:hAnsi="Garamond"/>
                <w:sz w:val="18"/>
                <w:shd w:val="clear" w:color="auto" w:fill="FFFFFF"/>
              </w:rPr>
            </w:pPr>
            <w:r w:rsidRPr="00913E39">
              <w:rPr>
                <w:rFonts w:ascii="Garamond" w:hAnsi="Garamond"/>
                <w:sz w:val="18"/>
                <w:shd w:val="clear" w:color="auto" w:fill="FFFFFF"/>
              </w:rPr>
              <w:t>Strategjia Kombëtare Shqiptare e Shëndetësisë 2021</w:t>
            </w:r>
            <w:r w:rsidR="00D41B39" w:rsidRPr="00913E39">
              <w:rPr>
                <w:rFonts w:ascii="Garamond" w:hAnsi="Garamond"/>
                <w:sz w:val="18"/>
                <w:shd w:val="clear" w:color="auto" w:fill="FFFFFF"/>
              </w:rPr>
              <w:t>–</w:t>
            </w:r>
            <w:r w:rsidRPr="00913E39">
              <w:rPr>
                <w:rFonts w:ascii="Garamond" w:hAnsi="Garamond"/>
                <w:sz w:val="18"/>
                <w:shd w:val="clear" w:color="auto" w:fill="FFFFFF"/>
              </w:rPr>
              <w:t>2030.</w:t>
            </w:r>
          </w:p>
        </w:tc>
      </w:tr>
      <w:tr w:rsidR="00847F23" w:rsidRPr="00913E39" w14:paraId="02817657" w14:textId="77777777" w:rsidTr="006775C2">
        <w:trPr>
          <w:trHeight w:val="20"/>
        </w:trPr>
        <w:tc>
          <w:tcPr>
            <w:tcW w:w="1950" w:type="pct"/>
            <w:shd w:val="clear" w:color="auto" w:fill="FFFFFF"/>
          </w:tcPr>
          <w:p w14:paraId="3E999941" w14:textId="77777777" w:rsidR="00847F23" w:rsidRPr="00913E39" w:rsidRDefault="00847F23" w:rsidP="000268BB">
            <w:pPr>
              <w:spacing w:after="0" w:line="240" w:lineRule="auto"/>
              <w:jc w:val="both"/>
              <w:rPr>
                <w:rFonts w:ascii="Garamond" w:hAnsi="Garamond"/>
                <w:sz w:val="18"/>
              </w:rPr>
            </w:pPr>
            <w:r w:rsidRPr="00913E39">
              <w:rPr>
                <w:rFonts w:ascii="Garamond" w:hAnsi="Garamond"/>
                <w:kern w:val="2"/>
                <w:sz w:val="18"/>
              </w:rPr>
              <w:t xml:space="preserve"> Qasja në të dhënat shëndetësore nuk është gjithmonë e barabartë dhe ekzistojnë shqetësime lidhur me monopolin e të dhënave dhe pabarazitë e fuqisë.</w:t>
            </w:r>
          </w:p>
        </w:tc>
        <w:tc>
          <w:tcPr>
            <w:tcW w:w="3050" w:type="pct"/>
            <w:shd w:val="clear" w:color="auto" w:fill="auto"/>
          </w:tcPr>
          <w:p w14:paraId="25993B37" w14:textId="77777777" w:rsidR="00847F23" w:rsidRPr="00913E39" w:rsidRDefault="00847F23" w:rsidP="000268BB">
            <w:pPr>
              <w:spacing w:after="0" w:line="240" w:lineRule="auto"/>
              <w:jc w:val="both"/>
              <w:rPr>
                <w:rFonts w:ascii="Garamond" w:hAnsi="Garamond"/>
                <w:sz w:val="18"/>
                <w:shd w:val="clear" w:color="auto" w:fill="FFFFFF"/>
              </w:rPr>
            </w:pPr>
            <w:r w:rsidRPr="00913E39">
              <w:rPr>
                <w:rFonts w:ascii="Garamond" w:hAnsi="Garamond"/>
                <w:sz w:val="18"/>
                <w:shd w:val="clear" w:color="auto" w:fill="FFFFFF"/>
              </w:rPr>
              <w:t>Pavarësisht mekanizmave ekzistues për të ndarë informacionin për shëndetin dhe mirëqenien, ka ende boshllëqe në të dhënat e disponueshme dhe për shkak të kufizimeve financiare dhe administrative, kërkohen përpjekje të mëtejshme për të harmonizuar, integruar dhe koordinuar të dhënat e shëndetit dhe mirëqenies nga burime të ndryshme.</w:t>
            </w:r>
          </w:p>
        </w:tc>
      </w:tr>
      <w:tr w:rsidR="00847F23" w:rsidRPr="00913E39" w14:paraId="358A1819" w14:textId="77777777" w:rsidTr="006775C2">
        <w:trPr>
          <w:trHeight w:val="20"/>
        </w:trPr>
        <w:tc>
          <w:tcPr>
            <w:tcW w:w="1950" w:type="pct"/>
            <w:tcBorders>
              <w:bottom w:val="single" w:sz="4" w:space="0" w:color="auto"/>
            </w:tcBorders>
            <w:shd w:val="clear" w:color="auto" w:fill="D9D9D9"/>
          </w:tcPr>
          <w:p w14:paraId="3BA5946A" w14:textId="77777777" w:rsidR="00847F23" w:rsidRPr="00913E39" w:rsidRDefault="00847F23" w:rsidP="000268BB">
            <w:pPr>
              <w:spacing w:after="0" w:line="240" w:lineRule="auto"/>
              <w:jc w:val="both"/>
              <w:rPr>
                <w:rFonts w:ascii="Garamond" w:hAnsi="Garamond"/>
                <w:kern w:val="2"/>
                <w:sz w:val="18"/>
              </w:rPr>
            </w:pPr>
            <w:r w:rsidRPr="00913E39">
              <w:rPr>
                <w:rFonts w:ascii="Garamond" w:hAnsi="Garamond"/>
                <w:sz w:val="18"/>
              </w:rPr>
              <w:t>MUNDËSITË</w:t>
            </w:r>
          </w:p>
        </w:tc>
        <w:tc>
          <w:tcPr>
            <w:tcW w:w="3050" w:type="pct"/>
            <w:tcBorders>
              <w:bottom w:val="single" w:sz="4" w:space="0" w:color="auto"/>
            </w:tcBorders>
            <w:shd w:val="clear" w:color="auto" w:fill="D9D9D9"/>
          </w:tcPr>
          <w:p w14:paraId="5A3B71D0" w14:textId="77777777" w:rsidR="00847F23" w:rsidRPr="00913E39" w:rsidRDefault="00847F23" w:rsidP="000268BB">
            <w:pPr>
              <w:spacing w:after="0" w:line="240" w:lineRule="auto"/>
              <w:jc w:val="both"/>
              <w:rPr>
                <w:rFonts w:ascii="Garamond" w:hAnsi="Garamond"/>
                <w:sz w:val="18"/>
                <w:shd w:val="clear" w:color="auto" w:fill="FFFFFF"/>
              </w:rPr>
            </w:pPr>
            <w:r w:rsidRPr="00913E39">
              <w:rPr>
                <w:rFonts w:ascii="Garamond" w:hAnsi="Garamond"/>
                <w:b/>
                <w:sz w:val="18"/>
              </w:rPr>
              <w:t>Të dhënat mbështetëse</w:t>
            </w:r>
          </w:p>
        </w:tc>
      </w:tr>
      <w:tr w:rsidR="00847F23" w:rsidRPr="00913E39" w14:paraId="39CCDF06" w14:textId="77777777" w:rsidTr="006775C2">
        <w:trPr>
          <w:trHeight w:val="20"/>
        </w:trPr>
        <w:tc>
          <w:tcPr>
            <w:tcW w:w="1950" w:type="pct"/>
            <w:tcBorders>
              <w:bottom w:val="single" w:sz="4" w:space="0" w:color="auto"/>
            </w:tcBorders>
            <w:shd w:val="clear" w:color="auto" w:fill="FFFFFF"/>
          </w:tcPr>
          <w:p w14:paraId="0DCB4144" w14:textId="77777777" w:rsidR="00847F23" w:rsidRPr="00913E39" w:rsidRDefault="00847F23" w:rsidP="000268BB">
            <w:pPr>
              <w:spacing w:after="0" w:line="240" w:lineRule="auto"/>
              <w:jc w:val="both"/>
              <w:rPr>
                <w:rFonts w:ascii="Garamond" w:hAnsi="Garamond"/>
                <w:kern w:val="2"/>
                <w:sz w:val="18"/>
              </w:rPr>
            </w:pPr>
            <w:r w:rsidRPr="00913E39">
              <w:rPr>
                <w:rFonts w:ascii="Garamond" w:hAnsi="Garamond"/>
                <w:sz w:val="18"/>
              </w:rPr>
              <w:lastRenderedPageBreak/>
              <w:t xml:space="preserve">Rritja e teknologjive të tilla si Inteligjenca Artificiale, analizimi i </w:t>
            </w:r>
            <w:r w:rsidRPr="00913E39">
              <w:rPr>
                <w:rFonts w:ascii="Garamond" w:hAnsi="Garamond"/>
                <w:i/>
                <w:sz w:val="18"/>
              </w:rPr>
              <w:t xml:space="preserve">Big Data </w:t>
            </w:r>
            <w:r w:rsidRPr="00913E39">
              <w:rPr>
                <w:rFonts w:ascii="Garamond" w:hAnsi="Garamond"/>
                <w:sz w:val="18"/>
              </w:rPr>
              <w:t xml:space="preserve">dhe </w:t>
            </w:r>
            <w:r w:rsidRPr="00913E39">
              <w:rPr>
                <w:rFonts w:ascii="Garamond" w:hAnsi="Garamond"/>
                <w:i/>
                <w:sz w:val="18"/>
              </w:rPr>
              <w:t>Internet of Things</w:t>
            </w:r>
            <w:r w:rsidRPr="00913E39">
              <w:rPr>
                <w:rFonts w:ascii="Garamond" w:hAnsi="Garamond"/>
                <w:sz w:val="18"/>
              </w:rPr>
              <w:t xml:space="preserve"> (IoT) ofrojnë mundësi të reja për përdorimin e të dhënave shëndetësore.</w:t>
            </w:r>
          </w:p>
        </w:tc>
        <w:tc>
          <w:tcPr>
            <w:tcW w:w="3050" w:type="pct"/>
            <w:tcBorders>
              <w:bottom w:val="single" w:sz="4" w:space="0" w:color="auto"/>
            </w:tcBorders>
            <w:shd w:val="clear" w:color="auto" w:fill="auto"/>
          </w:tcPr>
          <w:p w14:paraId="49937A6F" w14:textId="77777777" w:rsidR="00847F23" w:rsidRPr="00913E39" w:rsidRDefault="00847F23" w:rsidP="000268BB">
            <w:pPr>
              <w:spacing w:after="0" w:line="240" w:lineRule="auto"/>
              <w:jc w:val="both"/>
              <w:rPr>
                <w:rFonts w:ascii="Garamond" w:hAnsi="Garamond"/>
                <w:sz w:val="18"/>
                <w:shd w:val="clear" w:color="auto" w:fill="FFFFFF"/>
              </w:rPr>
            </w:pPr>
            <w:r w:rsidRPr="00913E39">
              <w:rPr>
                <w:rFonts w:ascii="Garamond" w:hAnsi="Garamond"/>
                <w:sz w:val="18"/>
              </w:rPr>
              <w:t>Rritja e përdorimit të të dhënave shëndetësore për ofrim më të mirë të kujdesit shëndetësor, kërkim shkencor inovacion dhe politikëbërje.</w:t>
            </w:r>
          </w:p>
        </w:tc>
      </w:tr>
      <w:tr w:rsidR="00847F23" w:rsidRPr="00913E39" w14:paraId="5518CF16" w14:textId="77777777" w:rsidTr="006775C2">
        <w:trPr>
          <w:trHeight w:val="20"/>
        </w:trPr>
        <w:tc>
          <w:tcPr>
            <w:tcW w:w="1950" w:type="pct"/>
            <w:tcBorders>
              <w:bottom w:val="single" w:sz="4" w:space="0" w:color="auto"/>
            </w:tcBorders>
            <w:shd w:val="clear" w:color="auto" w:fill="FFFFFF"/>
          </w:tcPr>
          <w:p w14:paraId="0394B5D6" w14:textId="77777777" w:rsidR="00847F23" w:rsidRPr="00913E39" w:rsidRDefault="00847F23" w:rsidP="000268BB">
            <w:pPr>
              <w:spacing w:after="0" w:line="240" w:lineRule="auto"/>
              <w:jc w:val="both"/>
              <w:rPr>
                <w:rFonts w:ascii="Garamond" w:hAnsi="Garamond"/>
                <w:kern w:val="2"/>
                <w:sz w:val="18"/>
              </w:rPr>
            </w:pPr>
            <w:r w:rsidRPr="00913E39">
              <w:rPr>
                <w:rFonts w:ascii="Garamond" w:hAnsi="Garamond"/>
                <w:sz w:val="18"/>
                <w:shd w:val="clear" w:color="auto" w:fill="FFFFFF"/>
              </w:rPr>
              <w:t>Direktivat sektoriale të BE-së ofrojnë një nxitje për të përshpejtuar procesin e përgjithshëm të digjitalizimit.</w:t>
            </w:r>
          </w:p>
        </w:tc>
        <w:tc>
          <w:tcPr>
            <w:tcW w:w="3050" w:type="pct"/>
            <w:tcBorders>
              <w:bottom w:val="single" w:sz="4" w:space="0" w:color="auto"/>
            </w:tcBorders>
            <w:shd w:val="clear" w:color="auto" w:fill="auto"/>
          </w:tcPr>
          <w:p w14:paraId="7B107F3F"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shd w:val="clear" w:color="auto" w:fill="FFFFFF"/>
              </w:rPr>
              <w:t>Direktiva nr. 2011/24/BE e datës 9 mars 2011, mbi të drejtat e pacientëve në kujdesin shëndetësor ndërshtetëror</w:t>
            </w:r>
            <w:r w:rsidRPr="00913E39">
              <w:rPr>
                <w:rFonts w:ascii="Garamond" w:hAnsi="Garamond"/>
                <w:sz w:val="18"/>
              </w:rPr>
              <w:t xml:space="preserve"> synon të garantojë lëvizshmërinë e pacientit dhe ofrimin falas të shërbimeve të kujdesit shëndetësor.</w:t>
            </w:r>
          </w:p>
          <w:p w14:paraId="42EE900B" w14:textId="370A1955" w:rsidR="00847F23" w:rsidRPr="00913E39" w:rsidRDefault="00847F23" w:rsidP="000268BB">
            <w:pPr>
              <w:spacing w:after="0" w:line="240" w:lineRule="auto"/>
              <w:jc w:val="both"/>
              <w:rPr>
                <w:rFonts w:ascii="Garamond" w:hAnsi="Garamond"/>
                <w:sz w:val="18"/>
                <w:shd w:val="clear" w:color="auto" w:fill="FFFFFF"/>
              </w:rPr>
            </w:pPr>
            <w:r w:rsidRPr="00913E39">
              <w:rPr>
                <w:rFonts w:ascii="Garamond" w:hAnsi="Garamond"/>
                <w:sz w:val="18"/>
              </w:rPr>
              <w:t>Rekomandimi i Komisionit C (2019) 800 final</w:t>
            </w:r>
            <w:r w:rsidR="00FC1B04" w:rsidRPr="00913E39">
              <w:rPr>
                <w:rFonts w:ascii="Garamond" w:hAnsi="Garamond"/>
                <w:sz w:val="18"/>
              </w:rPr>
              <w:t xml:space="preserve"> </w:t>
            </w:r>
            <w:r w:rsidRPr="00913E39">
              <w:rPr>
                <w:rFonts w:ascii="Garamond" w:hAnsi="Garamond"/>
                <w:sz w:val="18"/>
              </w:rPr>
              <w:t>datë 6.2.2019 mbi formatin e shkëmbimit të Regjistrave Elektronik</w:t>
            </w:r>
            <w:r w:rsidR="00CD7791" w:rsidRPr="00913E39">
              <w:rPr>
                <w:rFonts w:ascii="Garamond" w:hAnsi="Garamond"/>
                <w:sz w:val="18"/>
              </w:rPr>
              <w:t>ë</w:t>
            </w:r>
            <w:r w:rsidRPr="00913E39">
              <w:rPr>
                <w:rFonts w:ascii="Garamond" w:hAnsi="Garamond"/>
                <w:sz w:val="18"/>
              </w:rPr>
              <w:t xml:space="preserve"> Shëndetësor</w:t>
            </w:r>
            <w:r w:rsidR="00CD7791" w:rsidRPr="00913E39">
              <w:rPr>
                <w:rFonts w:ascii="Garamond" w:hAnsi="Garamond"/>
                <w:sz w:val="18"/>
              </w:rPr>
              <w:t>ë</w:t>
            </w:r>
            <w:r w:rsidRPr="00913E39">
              <w:rPr>
                <w:rFonts w:ascii="Garamond" w:hAnsi="Garamond"/>
                <w:sz w:val="18"/>
              </w:rPr>
              <w:t xml:space="preserve"> Evropian</w:t>
            </w:r>
            <w:r w:rsidR="00CD7791" w:rsidRPr="00913E39">
              <w:rPr>
                <w:rFonts w:ascii="Garamond" w:hAnsi="Garamond"/>
                <w:sz w:val="18"/>
              </w:rPr>
              <w:t>ë</w:t>
            </w:r>
            <w:r w:rsidRPr="00913E39">
              <w:rPr>
                <w:rFonts w:ascii="Garamond" w:hAnsi="Garamond"/>
                <w:sz w:val="18"/>
              </w:rPr>
              <w:t xml:space="preserve"> dhe </w:t>
            </w:r>
            <w:r w:rsidR="00CD7791" w:rsidRPr="00913E39">
              <w:rPr>
                <w:rFonts w:ascii="Garamond" w:hAnsi="Garamond"/>
                <w:sz w:val="18"/>
                <w:shd w:val="clear" w:color="auto" w:fill="FFFFFF"/>
              </w:rPr>
              <w:t xml:space="preserve">rregullorja </w:t>
            </w:r>
            <w:r w:rsidRPr="00913E39">
              <w:rPr>
                <w:rFonts w:ascii="Garamond" w:hAnsi="Garamond"/>
                <w:sz w:val="18"/>
                <w:shd w:val="clear" w:color="auto" w:fill="FFFFFF"/>
              </w:rPr>
              <w:t>e (BE-së) 2016/679 për mbrojtjen e personave fizikë në lidhje me përpunimin e të dhënave personale dhe lëvizjen e lirë të këtyre të dhënave</w:t>
            </w:r>
            <w:r w:rsidRPr="00913E39">
              <w:rPr>
                <w:rFonts w:ascii="Garamond" w:hAnsi="Garamond"/>
                <w:sz w:val="18"/>
              </w:rPr>
              <w:t xml:space="preserve"> që shfuqizon </w:t>
            </w:r>
            <w:r w:rsidR="00CD7791" w:rsidRPr="00913E39">
              <w:rPr>
                <w:rFonts w:ascii="Garamond" w:hAnsi="Garamond"/>
                <w:sz w:val="18"/>
              </w:rPr>
              <w:t xml:space="preserve">direktivën </w:t>
            </w:r>
            <w:r w:rsidRPr="00913E39">
              <w:rPr>
                <w:rFonts w:ascii="Garamond" w:hAnsi="Garamond"/>
                <w:sz w:val="18"/>
              </w:rPr>
              <w:t>95/46/KE (</w:t>
            </w:r>
            <w:r w:rsidR="00283868" w:rsidRPr="00913E39">
              <w:rPr>
                <w:rFonts w:ascii="Garamond" w:hAnsi="Garamond"/>
                <w:sz w:val="18"/>
              </w:rPr>
              <w:t xml:space="preserve">Rregullorja </w:t>
            </w:r>
            <w:r w:rsidRPr="00913E39">
              <w:rPr>
                <w:rFonts w:ascii="Garamond" w:hAnsi="Garamond"/>
                <w:sz w:val="18"/>
              </w:rPr>
              <w:t>e Përgjithshme për Mbrojtjen e të Dhënave - GDPR) (OJ L 119, 4.5</w:t>
            </w:r>
            <w:r w:rsidRPr="00106D98">
              <w:rPr>
                <w:rFonts w:ascii="Garamond" w:hAnsi="Garamond"/>
                <w:sz w:val="18"/>
              </w:rPr>
              <w:t>.2016, f. Direktiva</w:t>
            </w:r>
            <w:r w:rsidRPr="00913E39">
              <w:rPr>
                <w:rFonts w:ascii="Garamond" w:hAnsi="Garamond"/>
                <w:sz w:val="18"/>
              </w:rPr>
              <w:t xml:space="preserve"> (BE) 2016/2102 e Parlamentit Evropian dhe e Këshillit e </w:t>
            </w:r>
            <w:r w:rsidRPr="00913E39">
              <w:rPr>
                <w:rFonts w:ascii="Garamond" w:hAnsi="Garamond"/>
                <w:sz w:val="18"/>
                <w:shd w:val="clear" w:color="auto" w:fill="FFFFFF"/>
              </w:rPr>
              <w:t>26 tetorit 2016</w:t>
            </w:r>
            <w:r w:rsidRPr="00913E39">
              <w:rPr>
                <w:rFonts w:ascii="Garamond" w:hAnsi="Garamond"/>
                <w:sz w:val="18"/>
              </w:rPr>
              <w:t xml:space="preserve"> mbi aksesin në faqet e internetit dhe aplikacionet celulare të organeve të sektorit publik </w:t>
            </w:r>
            <w:r w:rsidRPr="00913E39">
              <w:rPr>
                <w:rFonts w:ascii="Garamond" w:hAnsi="Garamond"/>
                <w:sz w:val="18"/>
                <w:shd w:val="clear" w:color="auto" w:fill="FFFFFF"/>
              </w:rPr>
              <w:t>(OJ L 327, 2.12.</w:t>
            </w:r>
            <w:r w:rsidRPr="00913E39">
              <w:rPr>
                <w:rFonts w:ascii="Garamond" w:hAnsi="Garamond"/>
                <w:sz w:val="18"/>
              </w:rPr>
              <w:t xml:space="preserve"> </w:t>
            </w:r>
            <w:r w:rsidRPr="00913E39">
              <w:rPr>
                <w:rFonts w:ascii="Garamond" w:hAnsi="Garamond"/>
                <w:sz w:val="18"/>
                <w:shd w:val="clear" w:color="auto" w:fill="FFFFFF"/>
              </w:rPr>
              <w:t xml:space="preserve">2016, f. 1–15); </w:t>
            </w:r>
            <w:r w:rsidR="00D41B39" w:rsidRPr="00913E39">
              <w:rPr>
                <w:rFonts w:ascii="Garamond" w:hAnsi="Garamond"/>
                <w:sz w:val="18"/>
                <w:shd w:val="clear" w:color="auto" w:fill="FFFFFF"/>
              </w:rPr>
              <w:t>d</w:t>
            </w:r>
            <w:r w:rsidRPr="00913E39">
              <w:rPr>
                <w:rFonts w:ascii="Garamond" w:hAnsi="Garamond"/>
                <w:sz w:val="18"/>
                <w:shd w:val="clear" w:color="auto" w:fill="FFFFFF"/>
              </w:rPr>
              <w:t>irektiva (BE) 2016/1148 e Parlamentit dhe Këshillit Evropian datë 6 korrik 2016 lidhur me masat për një nivel të lartë të përbashkët të sigurisë së rrjeteve dhe sistemeve të informacionit në të gjithë Bashkimin Evropian;</w:t>
            </w:r>
            <w:r w:rsidRPr="00913E39">
              <w:rPr>
                <w:rFonts w:ascii="Garamond" w:hAnsi="Garamond"/>
                <w:sz w:val="18"/>
              </w:rPr>
              <w:t xml:space="preserve"> </w:t>
            </w:r>
            <w:r w:rsidR="00283868" w:rsidRPr="00913E39">
              <w:rPr>
                <w:rFonts w:ascii="Garamond" w:hAnsi="Garamond"/>
                <w:sz w:val="18"/>
              </w:rPr>
              <w:t xml:space="preserve">rregullorja </w:t>
            </w:r>
            <w:r w:rsidRPr="00913E39">
              <w:rPr>
                <w:rFonts w:ascii="Garamond" w:hAnsi="Garamond"/>
                <w:sz w:val="18"/>
              </w:rPr>
              <w:t xml:space="preserve">e (BE-së) nr. 910/2014 e Parlamentit dhe Këshillit Evropian </w:t>
            </w:r>
            <w:r w:rsidRPr="00913E39">
              <w:rPr>
                <w:rFonts w:ascii="Garamond" w:hAnsi="Garamond"/>
                <w:sz w:val="18"/>
                <w:shd w:val="clear" w:color="auto" w:fill="FFFFFF"/>
              </w:rPr>
              <w:t xml:space="preserve">mbi identifikimin elektronik dhe shërbimet e </w:t>
            </w:r>
            <w:r w:rsidRPr="00913E39">
              <w:rPr>
                <w:rFonts w:ascii="Garamond" w:hAnsi="Garamond"/>
                <w:sz w:val="18"/>
              </w:rPr>
              <w:t>besueshme</w:t>
            </w:r>
            <w:r w:rsidRPr="00913E39">
              <w:rPr>
                <w:rFonts w:ascii="Garamond" w:hAnsi="Garamond"/>
                <w:sz w:val="18"/>
                <w:shd w:val="clear" w:color="auto" w:fill="FFFFFF"/>
              </w:rPr>
              <w:t xml:space="preserve"> për transaksionet elektronike në tregun e brendshëm (</w:t>
            </w:r>
            <w:r w:rsidR="00AB2B27" w:rsidRPr="00913E39">
              <w:rPr>
                <w:rFonts w:ascii="Garamond" w:hAnsi="Garamond"/>
                <w:sz w:val="18"/>
                <w:shd w:val="clear" w:color="auto" w:fill="FFFFFF"/>
              </w:rPr>
              <w:t>r</w:t>
            </w:r>
            <w:r w:rsidRPr="00913E39">
              <w:rPr>
                <w:rFonts w:ascii="Garamond" w:hAnsi="Garamond"/>
                <w:sz w:val="18"/>
                <w:shd w:val="clear" w:color="auto" w:fill="FFFFFF"/>
              </w:rPr>
              <w:t>regullorja e IDAS</w:t>
            </w:r>
            <w:r w:rsidR="00101F1C" w:rsidRPr="00913E39">
              <w:rPr>
                <w:rFonts w:ascii="Garamond" w:hAnsi="Garamond"/>
                <w:sz w:val="18"/>
                <w:shd w:val="clear" w:color="auto" w:fill="FFFFFF"/>
              </w:rPr>
              <w:t>-it</w:t>
            </w:r>
            <w:r w:rsidRPr="00913E39">
              <w:rPr>
                <w:rFonts w:ascii="Garamond" w:hAnsi="Garamond"/>
                <w:sz w:val="18"/>
                <w:shd w:val="clear" w:color="auto" w:fill="FFFFFF"/>
              </w:rPr>
              <w:t xml:space="preserve">), e miratuar më 23 korrik 2014, </w:t>
            </w:r>
            <w:r w:rsidRPr="00913E39">
              <w:rPr>
                <w:rFonts w:ascii="Garamond" w:hAnsi="Garamond"/>
                <w:sz w:val="18"/>
              </w:rPr>
              <w:t>përcakton një kuadër rregullator për të garantuar transaksione elektronike të sigurta dhe pa probleme ndërmjet bizneseve, qytetarëve dhe autoriteteve publike;</w:t>
            </w:r>
            <w:r w:rsidR="00D41B39" w:rsidRPr="00913E39">
              <w:rPr>
                <w:rFonts w:ascii="Garamond" w:hAnsi="Garamond"/>
                <w:sz w:val="18"/>
              </w:rPr>
              <w:t xml:space="preserve"> v</w:t>
            </w:r>
            <w:r w:rsidRPr="00913E39">
              <w:rPr>
                <w:rFonts w:ascii="Garamond" w:hAnsi="Garamond"/>
                <w:sz w:val="18"/>
              </w:rPr>
              <w:t>endimi i Komisionit të (BE-së) 2015/1302</w:t>
            </w:r>
            <w:r w:rsidR="00AB2B27" w:rsidRPr="00913E39">
              <w:rPr>
                <w:rFonts w:ascii="Garamond" w:hAnsi="Garamond"/>
                <w:sz w:val="18"/>
              </w:rPr>
              <w:t>,</w:t>
            </w:r>
            <w:r w:rsidRPr="00913E39">
              <w:rPr>
                <w:rFonts w:ascii="Garamond" w:hAnsi="Garamond"/>
                <w:sz w:val="18"/>
              </w:rPr>
              <w:t xml:space="preserve"> datë 28 korrik 2015</w:t>
            </w:r>
            <w:r w:rsidR="00AB2B27" w:rsidRPr="00913E39">
              <w:rPr>
                <w:rFonts w:ascii="Garamond" w:hAnsi="Garamond"/>
                <w:sz w:val="18"/>
              </w:rPr>
              <w:t>,</w:t>
            </w:r>
            <w:r w:rsidRPr="00913E39">
              <w:rPr>
                <w:rFonts w:ascii="Garamond" w:hAnsi="Garamond"/>
                <w:sz w:val="18"/>
              </w:rPr>
              <w:t xml:space="preserve"> për identifikimin e profileve </w:t>
            </w:r>
            <w:r w:rsidR="00D41B39" w:rsidRPr="00913E39">
              <w:rPr>
                <w:rFonts w:ascii="Garamond" w:hAnsi="Garamond"/>
                <w:sz w:val="18"/>
              </w:rPr>
              <w:t>“</w:t>
            </w:r>
            <w:r w:rsidRPr="00913E39">
              <w:rPr>
                <w:rFonts w:ascii="Garamond" w:hAnsi="Garamond"/>
                <w:sz w:val="18"/>
              </w:rPr>
              <w:t>Integrimi i Ndërmarrjeve Shëndetësore</w:t>
            </w:r>
            <w:r w:rsidR="00D41B39" w:rsidRPr="00913E39">
              <w:rPr>
                <w:rFonts w:ascii="Garamond" w:hAnsi="Garamond"/>
                <w:sz w:val="18"/>
              </w:rPr>
              <w:t>”</w:t>
            </w:r>
            <w:r w:rsidRPr="00913E39">
              <w:rPr>
                <w:rFonts w:ascii="Garamond" w:hAnsi="Garamond"/>
                <w:sz w:val="18"/>
              </w:rPr>
              <w:t xml:space="preserve"> për referencë në prokurimin publik.</w:t>
            </w:r>
          </w:p>
        </w:tc>
      </w:tr>
      <w:tr w:rsidR="00847F23" w:rsidRPr="00913E39" w14:paraId="48ACACB8" w14:textId="77777777" w:rsidTr="006775C2">
        <w:trPr>
          <w:trHeight w:val="20"/>
        </w:trPr>
        <w:tc>
          <w:tcPr>
            <w:tcW w:w="1950" w:type="pct"/>
            <w:tcBorders>
              <w:bottom w:val="single" w:sz="4" w:space="0" w:color="auto"/>
            </w:tcBorders>
            <w:shd w:val="clear" w:color="auto" w:fill="FFFFFF"/>
          </w:tcPr>
          <w:p w14:paraId="33CD57B5" w14:textId="77777777" w:rsidR="00847F23" w:rsidRPr="00913E39" w:rsidRDefault="00847F23" w:rsidP="000268BB">
            <w:pPr>
              <w:spacing w:after="0" w:line="240" w:lineRule="auto"/>
              <w:jc w:val="both"/>
              <w:rPr>
                <w:rFonts w:ascii="Garamond" w:hAnsi="Garamond"/>
                <w:kern w:val="2"/>
                <w:sz w:val="18"/>
              </w:rPr>
            </w:pPr>
            <w:r w:rsidRPr="00913E39">
              <w:rPr>
                <w:rFonts w:ascii="Garamond" w:hAnsi="Garamond"/>
                <w:sz w:val="18"/>
              </w:rPr>
              <w:t>Kriza e COVID-19 ka pasur ndikim në Shqipëri, por ofron edhe mundësinë për fokus strategjik.</w:t>
            </w:r>
            <w:r w:rsidR="00693B1A" w:rsidRPr="00913E39">
              <w:rPr>
                <w:rFonts w:ascii="Garamond" w:hAnsi="Garamond"/>
                <w:sz w:val="18"/>
              </w:rPr>
              <w:t xml:space="preserve"> </w:t>
            </w:r>
            <w:r w:rsidRPr="00913E39">
              <w:rPr>
                <w:rFonts w:ascii="Garamond" w:hAnsi="Garamond"/>
                <w:sz w:val="18"/>
              </w:rPr>
              <w:t xml:space="preserve"> </w:t>
            </w:r>
          </w:p>
        </w:tc>
        <w:tc>
          <w:tcPr>
            <w:tcW w:w="3050" w:type="pct"/>
            <w:tcBorders>
              <w:bottom w:val="single" w:sz="4" w:space="0" w:color="auto"/>
            </w:tcBorders>
            <w:shd w:val="clear" w:color="auto" w:fill="auto"/>
          </w:tcPr>
          <w:p w14:paraId="67AA96FD"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Këto investime dhe mbështetja e mundshme ndërkombëtare paraqesin një mundësi për fokus strategjik në mundësitë dhe në heqjen e kufizimeve të njohura.</w:t>
            </w:r>
          </w:p>
          <w:p w14:paraId="166F58C1" w14:textId="77777777" w:rsidR="00847F23" w:rsidRPr="00913E39" w:rsidRDefault="00847F23" w:rsidP="000268BB">
            <w:pPr>
              <w:spacing w:after="0" w:line="240" w:lineRule="auto"/>
              <w:jc w:val="both"/>
              <w:rPr>
                <w:rFonts w:ascii="Garamond" w:hAnsi="Garamond"/>
                <w:sz w:val="18"/>
                <w:shd w:val="clear" w:color="auto" w:fill="FFFFFF"/>
              </w:rPr>
            </w:pPr>
            <w:r w:rsidRPr="00913E39">
              <w:rPr>
                <w:rFonts w:ascii="Garamond" w:hAnsi="Garamond"/>
                <w:sz w:val="18"/>
              </w:rPr>
              <w:t>OECD, 2021 (faqe 117).</w:t>
            </w:r>
          </w:p>
        </w:tc>
      </w:tr>
      <w:tr w:rsidR="00847F23" w:rsidRPr="00913E39" w14:paraId="3F7F82BB" w14:textId="77777777" w:rsidTr="006775C2">
        <w:trPr>
          <w:trHeight w:val="20"/>
        </w:trPr>
        <w:tc>
          <w:tcPr>
            <w:tcW w:w="1950" w:type="pct"/>
            <w:shd w:val="clear" w:color="auto" w:fill="D9D9D9"/>
          </w:tcPr>
          <w:p w14:paraId="236AE90F" w14:textId="77777777" w:rsidR="00847F23" w:rsidRPr="00913E39" w:rsidRDefault="00847F23" w:rsidP="000268BB">
            <w:pPr>
              <w:spacing w:after="0" w:line="240" w:lineRule="auto"/>
              <w:jc w:val="both"/>
              <w:rPr>
                <w:rFonts w:ascii="Garamond" w:hAnsi="Garamond"/>
                <w:b/>
                <w:kern w:val="2"/>
                <w:sz w:val="18"/>
              </w:rPr>
            </w:pPr>
            <w:r w:rsidRPr="00913E39">
              <w:rPr>
                <w:rFonts w:ascii="Garamond" w:hAnsi="Garamond"/>
                <w:sz w:val="18"/>
              </w:rPr>
              <w:t>KËRCËNIME</w:t>
            </w:r>
          </w:p>
        </w:tc>
        <w:tc>
          <w:tcPr>
            <w:tcW w:w="3050" w:type="pct"/>
            <w:shd w:val="clear" w:color="auto" w:fill="D9D9D9"/>
          </w:tcPr>
          <w:p w14:paraId="577BB299" w14:textId="77777777" w:rsidR="00847F23" w:rsidRPr="00913E39" w:rsidRDefault="00847F23" w:rsidP="000268BB">
            <w:pPr>
              <w:spacing w:after="0" w:line="240" w:lineRule="auto"/>
              <w:jc w:val="both"/>
              <w:rPr>
                <w:rFonts w:ascii="Garamond" w:hAnsi="Garamond"/>
                <w:b/>
                <w:sz w:val="18"/>
                <w:shd w:val="clear" w:color="auto" w:fill="FFFFFF"/>
              </w:rPr>
            </w:pPr>
            <w:r w:rsidRPr="00913E39">
              <w:rPr>
                <w:rFonts w:ascii="Garamond" w:hAnsi="Garamond"/>
                <w:b/>
                <w:sz w:val="18"/>
              </w:rPr>
              <w:t>Të dhënat mbështetëse</w:t>
            </w:r>
          </w:p>
        </w:tc>
      </w:tr>
      <w:tr w:rsidR="00847F23" w:rsidRPr="00913E39" w14:paraId="2A27318D" w14:textId="77777777" w:rsidTr="006775C2">
        <w:trPr>
          <w:trHeight w:val="20"/>
        </w:trPr>
        <w:tc>
          <w:tcPr>
            <w:tcW w:w="1950" w:type="pct"/>
            <w:shd w:val="clear" w:color="auto" w:fill="FFFFFF"/>
          </w:tcPr>
          <w:p w14:paraId="19C71009" w14:textId="77777777" w:rsidR="00847F23" w:rsidRPr="00913E39" w:rsidRDefault="00847F23" w:rsidP="000268BB">
            <w:pPr>
              <w:spacing w:after="0" w:line="240" w:lineRule="auto"/>
              <w:jc w:val="both"/>
              <w:rPr>
                <w:rFonts w:ascii="Garamond" w:hAnsi="Garamond"/>
                <w:kern w:val="2"/>
                <w:sz w:val="18"/>
              </w:rPr>
            </w:pPr>
            <w:r w:rsidRPr="00913E39">
              <w:rPr>
                <w:rFonts w:ascii="Garamond" w:hAnsi="Garamond"/>
                <w:sz w:val="18"/>
              </w:rPr>
              <w:t>Gatishmëri e ulët sociale për të pranuar inovacionet e shëndetësisë digjitale.</w:t>
            </w:r>
            <w:r w:rsidR="00693B1A" w:rsidRPr="00913E39">
              <w:rPr>
                <w:rFonts w:ascii="Garamond" w:hAnsi="Garamond"/>
                <w:sz w:val="18"/>
              </w:rPr>
              <w:t xml:space="preserve"> </w:t>
            </w:r>
            <w:r w:rsidRPr="00913E39">
              <w:rPr>
                <w:rFonts w:ascii="Garamond" w:hAnsi="Garamond"/>
                <w:sz w:val="18"/>
              </w:rPr>
              <w:t xml:space="preserve"> </w:t>
            </w:r>
          </w:p>
        </w:tc>
        <w:tc>
          <w:tcPr>
            <w:tcW w:w="3050" w:type="pct"/>
            <w:shd w:val="clear" w:color="auto" w:fill="auto"/>
          </w:tcPr>
          <w:p w14:paraId="04BEE36B" w14:textId="77777777" w:rsidR="00847F23" w:rsidRPr="00913E39" w:rsidRDefault="00847F23" w:rsidP="000268BB">
            <w:pPr>
              <w:spacing w:after="0" w:line="240" w:lineRule="auto"/>
              <w:jc w:val="both"/>
              <w:rPr>
                <w:rFonts w:ascii="Garamond" w:hAnsi="Garamond"/>
                <w:sz w:val="18"/>
                <w:shd w:val="clear" w:color="auto" w:fill="FFFFFF"/>
              </w:rPr>
            </w:pPr>
            <w:r w:rsidRPr="00913E39">
              <w:rPr>
                <w:rFonts w:ascii="Garamond" w:hAnsi="Garamond"/>
                <w:sz w:val="18"/>
              </w:rPr>
              <w:t>Rezultati i ulët në treguesit e kapitalit njerëzor nën</w:t>
            </w:r>
            <w:r w:rsidRPr="00913E39">
              <w:rPr>
                <w:rFonts w:ascii="Garamond" w:hAnsi="Garamond"/>
                <w:sz w:val="18"/>
                <w:shd w:val="clear" w:color="auto" w:fill="FFFFFF"/>
              </w:rPr>
              <w:t xml:space="preserve"> Indeksin e Ekonomisë dhe Shoqërisë Digjitale DESI 2022</w:t>
            </w:r>
            <w:r w:rsidRPr="00913E39">
              <w:rPr>
                <w:rFonts w:ascii="Garamond" w:hAnsi="Garamond"/>
                <w:sz w:val="18"/>
                <w:shd w:val="clear" w:color="auto" w:fill="FFFFFF"/>
                <w:vertAlign w:val="superscript"/>
              </w:rPr>
              <w:footnoteReference w:id="40"/>
            </w:r>
            <w:r w:rsidRPr="00913E39">
              <w:rPr>
                <w:rFonts w:ascii="Garamond" w:hAnsi="Garamond"/>
                <w:sz w:val="18"/>
                <w:shd w:val="clear" w:color="auto" w:fill="FFFFFF"/>
              </w:rPr>
              <w:t>.</w:t>
            </w:r>
          </w:p>
        </w:tc>
      </w:tr>
      <w:tr w:rsidR="00847F23" w:rsidRPr="00913E39" w14:paraId="2089D881" w14:textId="77777777" w:rsidTr="006775C2">
        <w:trPr>
          <w:trHeight w:val="20"/>
        </w:trPr>
        <w:tc>
          <w:tcPr>
            <w:tcW w:w="1950" w:type="pct"/>
            <w:shd w:val="clear" w:color="auto" w:fill="FFFFFF"/>
          </w:tcPr>
          <w:p w14:paraId="3CA4B21C" w14:textId="77777777" w:rsidR="00847F23" w:rsidRPr="00913E39" w:rsidRDefault="00847F23" w:rsidP="000268BB">
            <w:pPr>
              <w:spacing w:after="0" w:line="240" w:lineRule="auto"/>
              <w:jc w:val="both"/>
              <w:rPr>
                <w:rFonts w:ascii="Garamond" w:hAnsi="Garamond"/>
                <w:kern w:val="2"/>
                <w:sz w:val="18"/>
              </w:rPr>
            </w:pPr>
            <w:r w:rsidRPr="00913E39">
              <w:rPr>
                <w:rFonts w:ascii="Garamond" w:hAnsi="Garamond"/>
                <w:sz w:val="18"/>
              </w:rPr>
              <w:t>Sfidat në rritje të sigurisë kibernetike.</w:t>
            </w:r>
            <w:r w:rsidR="00693B1A" w:rsidRPr="00913E39">
              <w:rPr>
                <w:rFonts w:ascii="Garamond" w:hAnsi="Garamond"/>
                <w:sz w:val="18"/>
              </w:rPr>
              <w:t xml:space="preserve"> </w:t>
            </w:r>
          </w:p>
        </w:tc>
        <w:tc>
          <w:tcPr>
            <w:tcW w:w="3050" w:type="pct"/>
            <w:shd w:val="clear" w:color="auto" w:fill="auto"/>
          </w:tcPr>
          <w:p w14:paraId="1551A561"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Përdorimi i të dhënave shëndetësore ngre shqetësime për sigurinë dhe shkeljet e të dhënave, të cilat mund të çojnë në vjedhje identiteti dhe pasoja të tjera negative.</w:t>
            </w:r>
          </w:p>
          <w:p w14:paraId="78423F78" w14:textId="77777777" w:rsidR="00847F23" w:rsidRPr="00913E39" w:rsidRDefault="00847F23" w:rsidP="000268BB">
            <w:pPr>
              <w:spacing w:after="0" w:line="240" w:lineRule="auto"/>
              <w:jc w:val="both"/>
              <w:rPr>
                <w:rFonts w:ascii="Garamond" w:hAnsi="Garamond"/>
                <w:sz w:val="18"/>
                <w:shd w:val="clear" w:color="auto" w:fill="FFFFFF"/>
              </w:rPr>
            </w:pPr>
            <w:r w:rsidRPr="00913E39">
              <w:rPr>
                <w:rFonts w:ascii="Garamond" w:hAnsi="Garamond"/>
                <w:sz w:val="18"/>
              </w:rPr>
              <w:t xml:space="preserve">Shqipëria </w:t>
            </w:r>
            <w:r w:rsidRPr="00913E39">
              <w:rPr>
                <w:rFonts w:ascii="Garamond" w:hAnsi="Garamond"/>
                <w:sz w:val="18"/>
                <w:shd w:val="clear" w:color="auto" w:fill="FFFFFF"/>
              </w:rPr>
              <w:t>po përjeton potencialin shkatërrues të mjeteve teknologjike, pasi ajo bëhet gjithnjë e më shumë një objektiv i sulmeve kibernetike.</w:t>
            </w:r>
            <w:r w:rsidRPr="00913E39">
              <w:rPr>
                <w:rFonts w:ascii="Garamond" w:hAnsi="Garamond"/>
                <w:sz w:val="18"/>
              </w:rPr>
              <w:t xml:space="preserve"> </w:t>
            </w:r>
            <w:r w:rsidRPr="00913E39">
              <w:rPr>
                <w:rFonts w:ascii="Garamond" w:hAnsi="Garamond"/>
                <w:sz w:val="18"/>
                <w:shd w:val="clear" w:color="auto" w:fill="FFFFFF"/>
              </w:rPr>
              <w:t xml:space="preserve">Në vitin 2022, terroristët kibernetikë të lidhur me Iranin rrëzuan shërbimet elektronike të qeverisë dhe një numër i panjohur biznesesh ranë viktimë e piraterisë kibernetike. </w:t>
            </w:r>
          </w:p>
        </w:tc>
      </w:tr>
      <w:tr w:rsidR="00847F23" w:rsidRPr="00913E39" w14:paraId="5F8CEC73" w14:textId="77777777" w:rsidTr="006775C2">
        <w:trPr>
          <w:trHeight w:val="20"/>
        </w:trPr>
        <w:tc>
          <w:tcPr>
            <w:tcW w:w="1950" w:type="pct"/>
            <w:shd w:val="clear" w:color="auto" w:fill="FFFFFF"/>
          </w:tcPr>
          <w:p w14:paraId="634394B8"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Sektori shqiptar i kujdesit shëndetësor vuan nga financimi i pamjaftueshëm publik. </w:t>
            </w:r>
          </w:p>
          <w:p w14:paraId="32AD381A" w14:textId="77777777" w:rsidR="00847F23" w:rsidRPr="00913E39" w:rsidRDefault="00847F23" w:rsidP="000268BB">
            <w:pPr>
              <w:spacing w:after="0" w:line="240" w:lineRule="auto"/>
              <w:jc w:val="both"/>
              <w:rPr>
                <w:rFonts w:ascii="Garamond" w:hAnsi="Garamond"/>
                <w:kern w:val="2"/>
                <w:sz w:val="18"/>
              </w:rPr>
            </w:pPr>
          </w:p>
        </w:tc>
        <w:tc>
          <w:tcPr>
            <w:tcW w:w="3050" w:type="pct"/>
            <w:shd w:val="clear" w:color="auto" w:fill="auto"/>
          </w:tcPr>
          <w:p w14:paraId="3A4E0E72" w14:textId="77777777" w:rsidR="00847F23" w:rsidRPr="00913E39" w:rsidRDefault="00847F23" w:rsidP="000268BB">
            <w:pPr>
              <w:spacing w:after="0" w:line="240" w:lineRule="auto"/>
              <w:jc w:val="both"/>
              <w:rPr>
                <w:rFonts w:ascii="Garamond" w:hAnsi="Garamond"/>
                <w:sz w:val="18"/>
                <w:shd w:val="clear" w:color="auto" w:fill="FFFFFF"/>
              </w:rPr>
            </w:pPr>
            <w:r w:rsidRPr="00913E39">
              <w:rPr>
                <w:rFonts w:ascii="Garamond" w:hAnsi="Garamond"/>
                <w:sz w:val="18"/>
              </w:rPr>
              <w:t>Shqipëria ka harxhuar 5.2% të PBB-së për shpenzimet shëndetësore në vitin 2018, më pak se shumica e ekonomive të krahasueshme (Banka Botërore, 2020[15]). OECD 2021</w:t>
            </w:r>
          </w:p>
        </w:tc>
      </w:tr>
    </w:tbl>
    <w:p w14:paraId="61C588C8" w14:textId="77777777" w:rsidR="00FC1B04" w:rsidRPr="00913E39" w:rsidRDefault="00FC1B04" w:rsidP="00FC4C60">
      <w:pPr>
        <w:spacing w:after="0" w:line="240" w:lineRule="auto"/>
        <w:ind w:firstLine="284"/>
        <w:jc w:val="both"/>
        <w:rPr>
          <w:rFonts w:ascii="Garamond" w:hAnsi="Garamond"/>
          <w:b/>
          <w:sz w:val="24"/>
        </w:rPr>
      </w:pPr>
    </w:p>
    <w:p w14:paraId="3C57EB18" w14:textId="1411C10B"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FC1B04" w:rsidRPr="00913E39">
        <w:rPr>
          <w:rFonts w:ascii="Garamond" w:hAnsi="Garamond"/>
          <w:i/>
          <w:sz w:val="24"/>
        </w:rPr>
        <w:t>f</w:t>
      </w:r>
      <w:r w:rsidRPr="00913E39">
        <w:rPr>
          <w:rFonts w:ascii="Garamond" w:hAnsi="Garamond"/>
          <w:i/>
          <w:sz w:val="24"/>
        </w:rPr>
        <w:t>usha e mbështetjes 1.2: Digjitalizimi arsimor</w:t>
      </w:r>
    </w:p>
    <w:p w14:paraId="13E2C01A"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Shqipëria ka bërë progres të mirë në arsimin e përgjithshëm, siç pasqyrohet nga Programi i OECD për Vlerësimin Ndërkombëtar të Studentëve (PISA), megjithatë progresi i saj është shumë nën mesatare. Shqipëria lufton me pabarazitë në mundësitë dhe rezultatet e arsimit sipas përkatësisë etnike dhe rajonit gjeografik. Vajzat janë më mirë se djemtë në shumicën e lëndëve të PISA-s: me 38 pikë në lexim (krahasuar me 30 pikë, mesatarisht, në vendet e OECD-së), me 16 pikë në shkencë (krahasuar me 2 pikë në të gjithë OECD) dhe në matematikë (djemtë me performancë më të mirë se vajzat me 5 pikë në të gjithë OECD) (OECD, 2020). Rreth 66,4% e të diplomuarve në arsimin e lartë në 2018/19 ishin femra (INSTAT, 2020). Përmirësimi i aftësive të popullsisë për të përmbushur nevojat e tregut të punës është një pengesë kryesore strukturore e identifikuar në Programet e Reformës Ekonomike të Shqipërisë. </w:t>
      </w:r>
    </w:p>
    <w:p w14:paraId="7CF06AC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Kur filloi pandemia COVID-19, afërsisht 27% e nxënësve 15-vjeçarë në Shqipëri nuk kishin kompjuter në shtëpi. Gjithashtu ishte e lartë përqindja e atyre që nuk kishin lidhje interneti në shtëpi (14% e nxënësve 15-vjeçarë) (OECD, 2020).</w:t>
      </w:r>
    </w:p>
    <w:p w14:paraId="2E3C48A1" w14:textId="3A8F52F2" w:rsidR="00847F23" w:rsidRPr="00913E39" w:rsidRDefault="00847F23" w:rsidP="00FC4C60">
      <w:pPr>
        <w:spacing w:after="0" w:line="240" w:lineRule="auto"/>
        <w:ind w:firstLine="284"/>
        <w:jc w:val="both"/>
        <w:rPr>
          <w:rFonts w:ascii="Garamond" w:eastAsia="Times New Roman" w:hAnsi="Garamond" w:cs="Times New Roman"/>
          <w:sz w:val="24"/>
          <w:szCs w:val="24"/>
        </w:rPr>
      </w:pPr>
      <w:r w:rsidRPr="00913E39">
        <w:rPr>
          <w:rFonts w:ascii="Garamond" w:eastAsia="Times New Roman" w:hAnsi="Garamond" w:cs="Times New Roman"/>
          <w:sz w:val="24"/>
          <w:szCs w:val="24"/>
        </w:rPr>
        <w:t xml:space="preserve">Krijimi i vendeve të reja të punës mbetet i kufizuar, në një farë mase, nga faktorët strukturorë, veçanërisht nga dobësitë në cilësinë dhe rezultatet e arsimit, si dhe nga mungesa e një përafrimi të duhur midis sistemit arsimor dhe kërkesave të tregut të punës. Kompanitë hasin vështirësi në </w:t>
      </w:r>
      <w:r w:rsidRPr="00913E39">
        <w:rPr>
          <w:rFonts w:ascii="Garamond" w:eastAsia="Times New Roman" w:hAnsi="Garamond" w:cs="Times New Roman"/>
          <w:sz w:val="24"/>
          <w:szCs w:val="24"/>
        </w:rPr>
        <w:lastRenderedPageBreak/>
        <w:t>krijimin e vendeve të reja të punës, pasi nuk arrijnë të gjejnë fuqi punëtore me aftësitë e nevojshme për t</w:t>
      </w:r>
      <w:r w:rsidR="005222A5"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 xml:space="preserve">i plotësuar ato. </w:t>
      </w:r>
      <w:r w:rsidRPr="00913E39">
        <w:rPr>
          <w:rFonts w:ascii="Garamond" w:hAnsi="Garamond"/>
          <w:sz w:val="24"/>
        </w:rPr>
        <w:t xml:space="preserve">Sipas </w:t>
      </w:r>
      <w:r w:rsidR="00B70578" w:rsidRPr="00913E39">
        <w:rPr>
          <w:rFonts w:ascii="Garamond" w:hAnsi="Garamond"/>
          <w:sz w:val="24"/>
        </w:rPr>
        <w:t xml:space="preserve">anketës mbi mjedisin e biznesit dhe performancën e ndërmarrjeve </w:t>
      </w:r>
      <w:r w:rsidRPr="00913E39">
        <w:rPr>
          <w:rFonts w:ascii="Garamond" w:hAnsi="Garamond"/>
          <w:sz w:val="24"/>
        </w:rPr>
        <w:t>(BEEPS), 25% e bizneseve të anketuara e kanë identifikuar mungesën e një fuqie punëtore të kualifikuar si një nga tr</w:t>
      </w:r>
      <w:r w:rsidR="001B7903" w:rsidRPr="00913E39">
        <w:rPr>
          <w:rFonts w:ascii="Garamond" w:hAnsi="Garamond"/>
          <w:sz w:val="24"/>
        </w:rPr>
        <w:t>i</w:t>
      </w:r>
      <w:r w:rsidRPr="00913E39">
        <w:rPr>
          <w:rFonts w:ascii="Garamond" w:hAnsi="Garamond"/>
          <w:sz w:val="24"/>
        </w:rPr>
        <w:t xml:space="preserve"> pengesat kryesore për zhvillimin e tyre (Banka Botërore/BERZH/EIB, 2019).</w:t>
      </w:r>
    </w:p>
    <w:p w14:paraId="59BB0C26" w14:textId="735EAAD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Përmirësimi i rezultateve të mësuarit kërkon mbështetje të mëtejshme për mësuesit. Edhe pse raporti nxënës/mësues në arsimin fillor, të mesëm dhe të mesëm të lartë në gjuhën shqipe është mjaft i favorshëm, cilësia e mësimdhënies mbetet e pamjaftueshme. Përmirësimi i cilësisë së mësuesve është veçanërisht i rëndësishëm duke pasur parasysh kurrikulën e bazuar në aftësi të miratuar së fundmi, e cila thekson njohuritë, aftësitë dhe qëndrimet në vend të përmbajtjes së përcaktuar tradicionalisht të lëndës, kërkesat për realizmin e saj dhe disponueshmërinë e shtuar të pajisjeve TIK në klasa. Mbështetja financiare për arsimin parauniversitar është shumë prapa objektivave të strategjisë dhe trajnimet para dhe gjatë punës për mësuesit janë të pamjaftueshme. Mungesa e një strukture progresive të karrierës për mësuesit e cila shpërblen dhe promovon individët bazuar në rritjen e përgjegjësive dhe kompetencave të demonstruara të mësimdhënies (për shembull nëpërmjet vlerësimit të mësuesve) ndikon gjithashtu në cilësinë e mësuesit (Maghnouj et al., 2020).</w:t>
      </w:r>
    </w:p>
    <w:p w14:paraId="77CDE877" w14:textId="5F3C06F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Agjencia Kombëtare e Shoqërisë së Informacionit është autoriteti qendror përgjegjës për internetin e shkollave, për sigurimin e shërbimit të internetit sipas kërkesës së Ministrisë së Arsimit dhe Sportit. AKSHI bën kontrata që shkollat me ofrues privatë të kenë internet në bazë të shpejtësisë që ka kërkuar MAS</w:t>
      </w:r>
      <w:r w:rsidR="006D1036" w:rsidRPr="00913E39">
        <w:rPr>
          <w:rFonts w:ascii="Garamond" w:hAnsi="Garamond"/>
          <w:sz w:val="24"/>
        </w:rPr>
        <w:t>-i</w:t>
      </w:r>
      <w:r w:rsidRPr="00913E39">
        <w:rPr>
          <w:rFonts w:ascii="Garamond" w:hAnsi="Garamond"/>
          <w:sz w:val="24"/>
        </w:rPr>
        <w:t>. MAS-i ka mundësinë të kërkojë në çdo kohë shpejtësi interneti më të lartë në shkolla duke bërë një kërkesë zyrtare në AKSHI. Për</w:t>
      </w:r>
      <w:r w:rsidR="00B70578" w:rsidRPr="00913E39">
        <w:rPr>
          <w:rFonts w:ascii="Garamond" w:hAnsi="Garamond"/>
          <w:sz w:val="24"/>
        </w:rPr>
        <w:t xml:space="preserve"> </w:t>
      </w:r>
      <w:r w:rsidRPr="00913E39">
        <w:rPr>
          <w:rFonts w:ascii="Garamond" w:hAnsi="Garamond"/>
          <w:sz w:val="24"/>
        </w:rPr>
        <w:t xml:space="preserve">sa </w:t>
      </w:r>
      <w:r w:rsidR="00B70578" w:rsidRPr="00913E39">
        <w:rPr>
          <w:rFonts w:ascii="Garamond" w:hAnsi="Garamond"/>
          <w:sz w:val="24"/>
        </w:rPr>
        <w:t>u</w:t>
      </w:r>
      <w:r w:rsidRPr="00913E39">
        <w:rPr>
          <w:rFonts w:ascii="Garamond" w:hAnsi="Garamond"/>
          <w:sz w:val="24"/>
        </w:rPr>
        <w:t xml:space="preserve"> përket zonave rurale, herë pas here mund të ketë probleme me shpejtësinë e internetit në disa prej shkollave, të cilat përgjithësisht zgjidhen brenda ditës. </w:t>
      </w:r>
    </w:p>
    <w:p w14:paraId="315C1531"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PIKAT E FORTA</w:t>
      </w:r>
    </w:p>
    <w:p w14:paraId="34A5CB4C" w14:textId="26B0E6C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Aspekti politik dhe korniza strategjike përfaqësojnë një pikë të fortë. Digjitalizimi i procesit arsimor është prioritet i qeverisë, i cili pasqyrohet në aktet e rëndësishme që lidhen drejtpërdrejt me arsimin. Digjitalizimi është pjesë e Strategjisë Kombëtare të Arsimit, Strategjisë së Zhvillimit dhe Integrimit dhe Agjendës Digjitale, ku objektivat janë të qart</w:t>
      </w:r>
      <w:r w:rsidR="004C3D2D" w:rsidRPr="00913E39">
        <w:rPr>
          <w:rFonts w:ascii="Garamond" w:hAnsi="Garamond"/>
          <w:sz w:val="24"/>
        </w:rPr>
        <w:t>ë</w:t>
      </w:r>
      <w:r w:rsidRPr="00913E39">
        <w:rPr>
          <w:rFonts w:ascii="Garamond" w:hAnsi="Garamond"/>
          <w:sz w:val="24"/>
        </w:rPr>
        <w:t>.</w:t>
      </w:r>
    </w:p>
    <w:p w14:paraId="5774FBE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Ekziston një sistem i unifikuar për menaxhimin e të dhënave dhe informacionit në arsimin parauniversitar dhe arsimin në distancë. Ky sistem, i cili është gjithashtu i lidhur me platformën unike qeveritare </w:t>
      </w:r>
      <w:r w:rsidRPr="00913E39">
        <w:rPr>
          <w:rFonts w:ascii="Garamond" w:hAnsi="Garamond"/>
          <w:i/>
          <w:sz w:val="24"/>
        </w:rPr>
        <w:t>e-Albania</w:t>
      </w:r>
      <w:r w:rsidRPr="00913E39">
        <w:rPr>
          <w:rFonts w:ascii="Garamond" w:hAnsi="Garamond"/>
          <w:sz w:val="24"/>
        </w:rPr>
        <w:t xml:space="preserve"> për të ofruar disa shërbime elektronike për nxënësit dhe prindërit, garanton integrimin me platforma të ndryshme që mundësojnë zhvillimin e kapaciteteve në TIK për të rinjtë. Për herë të parë do të arrihet një nivel i lartë i transparencës në gjenerimin e të dhënave në arsimin parauniversitar dhe politikëbërja do të bazohet në të dhënat e gjeneruara në kohë reale. Sistemi mundëson një qasje bashkëpunuese për zhvillimin e kapaciteteve të nevojshme për të përdorur shërbimet digjitale.</w:t>
      </w:r>
    </w:p>
    <w:p w14:paraId="3DF17A5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Ka një brez të ri të orientuar drejt përdorimit të teknologjisë dhe zhvillimit të kapaciteteve të nevojshme në këtë drejtim. Është rritur numri i programeve të studimit në fushën e TIK-ut, si dhe numri i studentëve që ndjekin këto programe. Rishikimi i kurrikulave në të gjitha nivelet, duke synuar garantimin e aftësive digjitale të orientuara drejt kërkesave të tregut të punës, përfaqëson një tjetër pikë të fortë.</w:t>
      </w:r>
    </w:p>
    <w:p w14:paraId="73EFC4EE"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Gjatë pandemisë COVID-19 dhe si rrjedhojë e mësimit në internet, mësuesit treguan një nivel të lartë përshtatjeje me platformat e të mësuarit në internet dhe të </w:t>
      </w:r>
      <w:r w:rsidRPr="00913E39">
        <w:rPr>
          <w:rFonts w:ascii="Garamond" w:hAnsi="Garamond"/>
          <w:i/>
          <w:sz w:val="24"/>
        </w:rPr>
        <w:t>e-mësimdhënies/nxënies</w:t>
      </w:r>
      <w:r w:rsidRPr="00913E39">
        <w:rPr>
          <w:rFonts w:ascii="Garamond" w:hAnsi="Garamond"/>
          <w:sz w:val="24"/>
        </w:rPr>
        <w:t xml:space="preserve"> gjatë pandemisë dhe mësimit në distancë. Për shkak të zhvillimit të një politike të qëndrueshme në drejtim të zhvillimit profesional të mësuesve dhe angazhimit të tyre në komunitetin ESEP (pjesë e Erasmus+) dhe shoqëri të tjera, mësuesit kanë zhvilluar disa njohuri në drejtim të përdorimit të mjeteve të TIK-ut. Këto njohuri kanë krijuar tashmë kushtet e nevojshme për një shtrirje të procesit të digjitalizimit në të gjithë sistemin. Që nga viti 2019, Universiteti i Tiranës ofron një Master në Mësimdhënien e TIK-ut.</w:t>
      </w:r>
    </w:p>
    <w:p w14:paraId="5062D06D"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PIKAT E DOBËTA</w:t>
      </w:r>
    </w:p>
    <w:p w14:paraId="79E2CA13" w14:textId="54DFF5F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Investimet kryesore në infrastrukturën e integrimit të TIK-ut në arsim u bënë në vitin 2007 me mbështetjen e programit të Bankës Botërore </w:t>
      </w:r>
      <w:r w:rsidR="00850FC7" w:rsidRPr="00913E39">
        <w:rPr>
          <w:rFonts w:ascii="Garamond" w:eastAsia="Times New Roman" w:hAnsi="Garamond" w:cs="Times New Roman"/>
          <w:sz w:val="24"/>
          <w:szCs w:val="24"/>
        </w:rPr>
        <w:t>“</w:t>
      </w:r>
      <w:r w:rsidRPr="00913E39">
        <w:rPr>
          <w:rFonts w:ascii="Garamond" w:hAnsi="Garamond"/>
          <w:sz w:val="24"/>
        </w:rPr>
        <w:t>Cilësi dhe barazi në arsim</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megjithatë, kjo nuk </w:t>
      </w:r>
      <w:r w:rsidRPr="00913E39">
        <w:rPr>
          <w:rFonts w:ascii="Garamond" w:hAnsi="Garamond"/>
          <w:sz w:val="24"/>
        </w:rPr>
        <w:lastRenderedPageBreak/>
        <w:t>përfshin fondet për mirëmbajtjen e infrastrukturës. Mbështetja financiare kombëtare për mirëmbajtjen dhe zëvendësimin e infrastrukturës së TIK-ut është e pamjaftueshme dhe investimi i mëtejshëm në infrastrukturë kërkon mbështetje nga donatorët. Aktualisht, nga vlerësimet e bëra nga DPAP</w:t>
      </w:r>
      <w:r w:rsidR="007950AB" w:rsidRPr="00913E39">
        <w:rPr>
          <w:rFonts w:ascii="Garamond" w:hAnsi="Garamond"/>
          <w:sz w:val="24"/>
        </w:rPr>
        <w:t>-ja</w:t>
      </w:r>
      <w:r w:rsidRPr="00913E39">
        <w:rPr>
          <w:rFonts w:ascii="Garamond" w:hAnsi="Garamond"/>
          <w:sz w:val="24"/>
        </w:rPr>
        <w:t>, amortizimi fizik i kësaj infrastrukture është më i lartë se 67%, ndërsa amortizimi moral i saj është 100%. Siç thuhet në Agjendën Digjitale në vitin 2017, shkollat e nivelit parauniversitar tregojnë raportin nxënës: kompjuter prej 1:25.</w:t>
      </w:r>
    </w:p>
    <w:p w14:paraId="0C6F2B0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Probleme lindin herë pas here në lidhje me shpejtësinë e internetit në disa shkolla kryesisht në zonat rurale, si dhe mungesën e infrastrukturës duke përfshirë kompjuterët funksionalë. Në shtëpi, nxënësit në zonat rurale përdorin internetin e telefonave celularë dhe jo të </w:t>
      </w:r>
      <w:r w:rsidRPr="00913E39">
        <w:rPr>
          <w:rFonts w:ascii="Garamond" w:hAnsi="Garamond"/>
          <w:i/>
          <w:sz w:val="24"/>
        </w:rPr>
        <w:t>broadband</w:t>
      </w:r>
      <w:r w:rsidRPr="00913E39">
        <w:rPr>
          <w:rFonts w:ascii="Garamond" w:hAnsi="Garamond"/>
          <w:sz w:val="24"/>
        </w:rPr>
        <w:t xml:space="preserve"> fiks. Ofruesit e internetit në zonat rurale nuk ofrojnë gjithmonë shërbime të mjaftueshme për të përmbushur nevojat e shkollës. </w:t>
      </w:r>
    </w:p>
    <w:p w14:paraId="1FD1484A"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Rishikimi i Politikave Arsimore në Strategji theksoi pikat e dobëta në aftësitë e mësuesve në lidhje me përdorimin e TIK-ut dhe pikat e dobëta në infrastrukturë (rrjete) si dhe kufizimin e aksesit në TIK jashtë laboratorëve të veçantë. Pavarësisht përfshirjes së kurrikulave të TIK-ut në arsim, mësuesit e TIK-ut nuk janë të trajnuar siç duhet, veçanërisht në drejtim të mirëmbajtjes së infrastrukturës përkatëse.</w:t>
      </w:r>
    </w:p>
    <w:p w14:paraId="3ACEF595"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sz w:val="24"/>
        </w:rPr>
        <w:t>MUNDËSITË</w:t>
      </w:r>
    </w:p>
    <w:p w14:paraId="30B01F89" w14:textId="6E04A8B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Bashkëpunimi me donatorët në drejtim të krijimit të kapaciteteve të nevojshme për digjitalizimin e sistemit tonë arsimor, duke filluar nga përfshirja e ekspertëve për rishikimin e kurrikulave të TIK në të gjitha nivelet dhe asistenca teknike e përfshirë në programin e bashkëpunimit me Bankën Botërore që synon konkretisht të përmirësojë aftësitë digjitale të të rinjve për t</w:t>
      </w:r>
      <w:r w:rsidR="005222A5" w:rsidRPr="00913E39">
        <w:rPr>
          <w:rFonts w:ascii="Garamond" w:hAnsi="Garamond"/>
          <w:sz w:val="24"/>
        </w:rPr>
        <w:t>’</w:t>
      </w:r>
      <w:r w:rsidRPr="00913E39">
        <w:rPr>
          <w:rFonts w:ascii="Garamond" w:hAnsi="Garamond"/>
          <w:sz w:val="24"/>
        </w:rPr>
        <w:t>u përshtatur më mirë me kërkesat e tregut të punës.</w:t>
      </w:r>
    </w:p>
    <w:p w14:paraId="6FB68C67" w14:textId="405B181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Përmirësimi i kurrikulës së TIK-ut duhet të përfshijë edukimin mbi përdorimin e TIK-ut i cili do të garantojë sigurinë e fëmijëve e cila kërcënohet nga aksesi në një gamë të gjerë informacioni dhe edukimin në lidhje me përdorimin e qëndrueshëm të tij për të rritur ndërgjegjësimin për prodhimin e mbetjeve elektronike, konsumin e energjisë etj., dhe masat se si të minimizohen këto ndikime. Vëmendje duhet t</w:t>
      </w:r>
      <w:r w:rsidR="005222A5" w:rsidRPr="00913E39">
        <w:rPr>
          <w:rFonts w:ascii="Garamond" w:hAnsi="Garamond"/>
          <w:sz w:val="24"/>
        </w:rPr>
        <w:t>’</w:t>
      </w:r>
      <w:r w:rsidRPr="00913E39">
        <w:rPr>
          <w:rFonts w:ascii="Garamond" w:hAnsi="Garamond"/>
          <w:sz w:val="24"/>
        </w:rPr>
        <w:t>i kushtohet gjithashtu trajnimit të mësuesve për njohuritë në TIK, me qëllim që të zhvillohen aftësitë e duhura të nxënësve.</w:t>
      </w:r>
    </w:p>
    <w:p w14:paraId="4935501E"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Tregu i punës ka nevojë për profesionistë, të talentuar dhe të aftë për të punuar në fushat e TIK-ut. Në këtë drejtim dhe për të siguruar fuqinë punëtore të nevojshme për tregun, përmirësimi i aftësive digjitale në sistemin parauniversitar është një mundësi për të përmbushur kërkesat e tregut të punës dhe për të përshtatur aftësitë e mësuara në shkollë me aftësitë e kërkuara në tregun e punës.</w:t>
      </w:r>
    </w:p>
    <w:p w14:paraId="1D4F5CC0" w14:textId="193C373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TIK</w:t>
      </w:r>
      <w:r w:rsidR="007950AB" w:rsidRPr="00913E39">
        <w:rPr>
          <w:rFonts w:ascii="Garamond" w:hAnsi="Garamond"/>
          <w:sz w:val="24"/>
        </w:rPr>
        <w:t>-u</w:t>
      </w:r>
      <w:r w:rsidRPr="00913E39">
        <w:rPr>
          <w:rFonts w:ascii="Garamond" w:hAnsi="Garamond"/>
          <w:sz w:val="24"/>
        </w:rPr>
        <w:t xml:space="preserve"> mund të luajë një rol kryesor në mbledhjen e të dhënave dhe monitorimin dhe zhvillimin e kapaciteteve të vlerësimit, pasi pajisjet, programet dhe aplikacionet mund të përdoren si mjete për mbledhjen e të dhënave, duke përfshirë të dhënat mjedisore dhe klimatike, ngarkimin e tyre në një bazë të dhënash të përbashkëta, monitorimin e progresit dhe shpërndarjen rezultatet për politikëbërësit dhe palët e interesuara. Kjo mund të përmirësojë disponueshmërinë dhe aksesueshmërinë e të dhënave, përdorimin e tyre kombëtar dhe lokal dhe llogaridhënien.</w:t>
      </w:r>
    </w:p>
    <w:p w14:paraId="08A60107" w14:textId="0BF01F0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Megjithatë, në mënyrë që vendi të arrijë norma të krahasueshme me vendet e OECD dhe të rajonit për sa i përket infrastrukturës së nevojshme për të zgjeruar përdorimin e TIK-ut në sistemin arsimor parauniversitar, nevojiten përmirësime të infrastrukturës në këtë drejtim. Për më tepër, me zbatimin e mëtejshëm të sistemit SMIP, mësuesit do të duhet të punojnë jashtë shkollave për të hedhur çdo ditë të dhënat e sistemit përkatës. Kjo mbetet problematike pasi shumica e kompjuterëve në përdorim mund të përdoren vetëm në ambientet e shkollës, gjë që e bën të pamundur që mësuesit të punojnë në shtëpi dhe t</w:t>
      </w:r>
      <w:r w:rsidR="005222A5" w:rsidRPr="00913E39">
        <w:rPr>
          <w:rFonts w:ascii="Garamond" w:hAnsi="Garamond"/>
          <w:sz w:val="24"/>
        </w:rPr>
        <w:t>’</w:t>
      </w:r>
      <w:r w:rsidRPr="00913E39">
        <w:rPr>
          <w:rFonts w:ascii="Garamond" w:hAnsi="Garamond"/>
          <w:sz w:val="24"/>
        </w:rPr>
        <w:t>i përgjigjen në kohë reale nevojës për përditësime në SMIP.</w:t>
      </w:r>
    </w:p>
    <w:p w14:paraId="638223C3" w14:textId="4476BEF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lidhje me digjitalizimin e arsimit, prioritet duhet t</w:t>
      </w:r>
      <w:r w:rsidR="005222A5" w:rsidRPr="00913E39">
        <w:rPr>
          <w:rFonts w:ascii="Garamond" w:hAnsi="Garamond"/>
          <w:sz w:val="24"/>
        </w:rPr>
        <w:t>’</w:t>
      </w:r>
      <w:r w:rsidRPr="00913E39">
        <w:rPr>
          <w:rFonts w:ascii="Garamond" w:hAnsi="Garamond"/>
          <w:sz w:val="24"/>
        </w:rPr>
        <w:t>i jepet zhvillimit të infrastrukturës së TIK-ut në sistemin arsimor dhe trajnimit të mësuesve për mënyrën më të mirë të përdorimit të këtyre teknologjive për qëllime didaktike dhe në një mënyrë të qëndrueshme dhe miqësore me mjedisin. Zhvillimi i infrastrukturës paraqet një investim në ofrimin e TIK-ut, kompjuter</w:t>
      </w:r>
      <w:r w:rsidR="00977C00" w:rsidRPr="00913E39">
        <w:rPr>
          <w:rFonts w:ascii="Garamond" w:hAnsi="Garamond"/>
          <w:sz w:val="24"/>
        </w:rPr>
        <w:t>ë</w:t>
      </w:r>
      <w:r w:rsidRPr="00913E39">
        <w:rPr>
          <w:rFonts w:ascii="Garamond" w:hAnsi="Garamond"/>
          <w:sz w:val="24"/>
        </w:rPr>
        <w:t xml:space="preserve"> të rinj, shpejtësi më të madhe të shkarkimit në internet dhe ulje të numrit të nxënësve për kompjuter. E gjithë kjo do t</w:t>
      </w:r>
      <w:r w:rsidR="005222A5" w:rsidRPr="00913E39">
        <w:rPr>
          <w:rFonts w:ascii="Garamond" w:hAnsi="Garamond"/>
          <w:sz w:val="24"/>
        </w:rPr>
        <w:t>’</w:t>
      </w:r>
      <w:r w:rsidRPr="00913E39">
        <w:rPr>
          <w:rFonts w:ascii="Garamond" w:hAnsi="Garamond"/>
          <w:sz w:val="24"/>
        </w:rPr>
        <w:t xml:space="preserve">i lejojë nxënësit të kenë ndërveprim më të shpeshtë dhe produktiv me TIK-un. Teknologjia </w:t>
      </w:r>
      <w:r w:rsidRPr="00913E39">
        <w:rPr>
          <w:rFonts w:ascii="Garamond" w:hAnsi="Garamond"/>
          <w:sz w:val="24"/>
        </w:rPr>
        <w:lastRenderedPageBreak/>
        <w:t>ekziston për të ofruar trajnime dhe mësime ndërvepruese për nxënësit, të cilat do të ndihmojnë për të kapërcyer hendekun e njohurive në Shqipëri dhe për të zbatuar plotësisht TIK-un në kurrikulën e shkollës.</w:t>
      </w:r>
    </w:p>
    <w:p w14:paraId="12A2CEDA"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Kërcënimet</w:t>
      </w:r>
    </w:p>
    <w:p w14:paraId="0AE640F6"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Kërcënimet në lidhje me digjitalizimin dhe përdorimin e platformave digjitale në fushën e arsimit janë të ngjashme me ato në fusha të tjera që kanë të bëjnë me sigurinë kibernetike. Në këtë drejtim nevojiten më shumë trajnime dhe investime përkatëse. </w:t>
      </w:r>
    </w:p>
    <w:p w14:paraId="3E56E6F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Tabela e mëposhtme përmbledh analizën SWOT për këtë fushë të mbështetjes:</w:t>
      </w:r>
    </w:p>
    <w:p w14:paraId="26E6B9FE" w14:textId="2A80033A"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Tabela 8</w:t>
      </w:r>
      <w:r w:rsidR="00977C00" w:rsidRPr="00913E39">
        <w:rPr>
          <w:rFonts w:ascii="Garamond" w:hAnsi="Garamond"/>
          <w:i/>
          <w:sz w:val="24"/>
        </w:rPr>
        <w:t>.</w:t>
      </w:r>
      <w:r w:rsidRPr="00913E39">
        <w:rPr>
          <w:rFonts w:ascii="Garamond" w:hAnsi="Garamond"/>
          <w:i/>
          <w:sz w:val="24"/>
        </w:rPr>
        <w:t xml:space="preserve"> SWOT për </w:t>
      </w:r>
      <w:r w:rsidR="00977C00" w:rsidRPr="00913E39">
        <w:rPr>
          <w:rFonts w:ascii="Garamond" w:hAnsi="Garamond"/>
          <w:i/>
          <w:sz w:val="24"/>
        </w:rPr>
        <w:t>nënfushën e mbështetjes edukimit digjital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0"/>
        <w:gridCol w:w="4530"/>
      </w:tblGrid>
      <w:tr w:rsidR="00847F23" w:rsidRPr="00913E39" w14:paraId="5D93E4F8" w14:textId="77777777" w:rsidTr="000268BB">
        <w:trPr>
          <w:trHeight w:val="20"/>
        </w:trPr>
        <w:tc>
          <w:tcPr>
            <w:tcW w:w="4530" w:type="dxa"/>
            <w:shd w:val="clear" w:color="auto" w:fill="D9D9D9"/>
          </w:tcPr>
          <w:p w14:paraId="7C7A0436"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PIKAT E FORTA</w:t>
            </w:r>
          </w:p>
        </w:tc>
        <w:tc>
          <w:tcPr>
            <w:tcW w:w="4530" w:type="dxa"/>
            <w:shd w:val="clear" w:color="auto" w:fill="D9D9D9"/>
          </w:tcPr>
          <w:p w14:paraId="70007BA2" w14:textId="77777777" w:rsidR="00847F23" w:rsidRPr="00913E39" w:rsidRDefault="00847F23" w:rsidP="000268B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2E628F4E" w14:textId="77777777" w:rsidTr="000268BB">
        <w:trPr>
          <w:trHeight w:val="20"/>
        </w:trPr>
        <w:tc>
          <w:tcPr>
            <w:tcW w:w="4530" w:type="dxa"/>
            <w:shd w:val="clear" w:color="auto" w:fill="auto"/>
          </w:tcPr>
          <w:p w14:paraId="0DC3E653"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Politika dhe kuadri ligjor në fuqi.</w:t>
            </w:r>
          </w:p>
          <w:p w14:paraId="2F67A4AB" w14:textId="77777777" w:rsidR="00847F23" w:rsidRPr="00913E39" w:rsidRDefault="00847F23" w:rsidP="000268BB">
            <w:pPr>
              <w:spacing w:after="0" w:line="240" w:lineRule="auto"/>
              <w:jc w:val="both"/>
              <w:rPr>
                <w:rFonts w:ascii="Garamond" w:hAnsi="Garamond"/>
                <w:sz w:val="18"/>
              </w:rPr>
            </w:pPr>
          </w:p>
          <w:p w14:paraId="3624F589" w14:textId="77777777" w:rsidR="00847F23" w:rsidRPr="00913E39" w:rsidRDefault="00847F23" w:rsidP="000268BB">
            <w:pPr>
              <w:spacing w:after="0" w:line="240" w:lineRule="auto"/>
              <w:jc w:val="both"/>
              <w:rPr>
                <w:rFonts w:ascii="Garamond" w:hAnsi="Garamond"/>
                <w:sz w:val="18"/>
              </w:rPr>
            </w:pPr>
          </w:p>
        </w:tc>
        <w:tc>
          <w:tcPr>
            <w:tcW w:w="4530" w:type="dxa"/>
            <w:shd w:val="clear" w:color="auto" w:fill="auto"/>
          </w:tcPr>
          <w:p w14:paraId="42EC5233"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SKA 2021-2026.</w:t>
            </w:r>
          </w:p>
          <w:p w14:paraId="7F1A48AA"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Ligji nr. 69/2012 </w:t>
            </w:r>
            <w:r w:rsidR="00850FC7" w:rsidRPr="00913E39">
              <w:rPr>
                <w:rFonts w:ascii="Garamond" w:hAnsi="Garamond"/>
                <w:sz w:val="18"/>
              </w:rPr>
              <w:t>“</w:t>
            </w:r>
            <w:r w:rsidRPr="00913E39">
              <w:rPr>
                <w:rFonts w:ascii="Garamond" w:hAnsi="Garamond"/>
                <w:sz w:val="18"/>
              </w:rPr>
              <w:t>Për sistemin arsimor parauniversitar në Republikën e Shqipërisë</w:t>
            </w:r>
            <w:r w:rsidR="00850FC7" w:rsidRPr="00913E39">
              <w:rPr>
                <w:rFonts w:ascii="Garamond" w:hAnsi="Garamond"/>
                <w:sz w:val="18"/>
              </w:rPr>
              <w:t>”</w:t>
            </w:r>
            <w:r w:rsidRPr="00913E39">
              <w:rPr>
                <w:rFonts w:ascii="Garamond" w:hAnsi="Garamond"/>
                <w:sz w:val="18"/>
              </w:rPr>
              <w:t xml:space="preserve"> i ndryshuar. Ligji për arsimin parauniversitar është ndryshuar në vitin 2015 dhe 2018 dhe në këtë drejtim janë miratuar disa akte nënligjore. Ligji njeh aftësimin digjital si një njohuri kyçe për nxënësit. Ndryshimi i vitit 2018 përfshin njohuritë digjitale si pjesë të kurrikulës.</w:t>
            </w:r>
          </w:p>
        </w:tc>
      </w:tr>
      <w:tr w:rsidR="00847F23" w:rsidRPr="00913E39" w14:paraId="79B766B2" w14:textId="77777777" w:rsidTr="000268BB">
        <w:trPr>
          <w:trHeight w:val="20"/>
        </w:trPr>
        <w:tc>
          <w:tcPr>
            <w:tcW w:w="4530" w:type="dxa"/>
            <w:shd w:val="clear" w:color="auto" w:fill="auto"/>
          </w:tcPr>
          <w:p w14:paraId="16206C65"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Rritja e investimeve në arsimin parauniversitar.</w:t>
            </w:r>
            <w:r w:rsidR="00693B1A" w:rsidRPr="00913E39">
              <w:rPr>
                <w:rFonts w:ascii="Garamond" w:hAnsi="Garamond"/>
                <w:sz w:val="18"/>
              </w:rPr>
              <w:t xml:space="preserve"> </w:t>
            </w:r>
          </w:p>
        </w:tc>
        <w:tc>
          <w:tcPr>
            <w:tcW w:w="4530" w:type="dxa"/>
            <w:shd w:val="clear" w:color="auto" w:fill="auto"/>
          </w:tcPr>
          <w:p w14:paraId="74EB15FC"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Disa donatorë që lidhen me sektorët (Banka Botërore, BE/WBIF, Fondacioni Shqiptaro-Amerikan për Zhvillim, Shoqëria e Hapur për Shqipërinë.</w:t>
            </w:r>
          </w:p>
        </w:tc>
      </w:tr>
      <w:tr w:rsidR="00847F23" w:rsidRPr="00913E39" w14:paraId="4BC1A262" w14:textId="77777777" w:rsidTr="000268BB">
        <w:trPr>
          <w:trHeight w:val="20"/>
        </w:trPr>
        <w:tc>
          <w:tcPr>
            <w:tcW w:w="4530" w:type="dxa"/>
            <w:shd w:val="clear" w:color="auto" w:fill="auto"/>
          </w:tcPr>
          <w:p w14:paraId="0BEBA823"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Përvojë me përgatitjen dhe përdorimin e materialeve mësimore online dhe kanalit të dedikuar për mësimdhënie në distancë.</w:t>
            </w:r>
          </w:p>
        </w:tc>
        <w:tc>
          <w:tcPr>
            <w:tcW w:w="4530" w:type="dxa"/>
            <w:shd w:val="clear" w:color="auto" w:fill="auto"/>
          </w:tcPr>
          <w:p w14:paraId="6A9E08B9"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Radio-Televizioni Shqiptar (RTSH SHKOLLË), YouTube dhe SMIP.al</w:t>
            </w:r>
          </w:p>
        </w:tc>
      </w:tr>
      <w:tr w:rsidR="00847F23" w:rsidRPr="00913E39" w14:paraId="377A7D4A" w14:textId="77777777" w:rsidTr="000268BB">
        <w:trPr>
          <w:trHeight w:val="20"/>
        </w:trPr>
        <w:tc>
          <w:tcPr>
            <w:tcW w:w="4530" w:type="dxa"/>
            <w:shd w:val="clear" w:color="auto" w:fill="auto"/>
          </w:tcPr>
          <w:p w14:paraId="5E7F6922"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Ekzistenca e një sistemi digjital të unifikuar për menaxhimin e arsimit parauniversitar dhe arsimit në distancë.</w:t>
            </w:r>
            <w:r w:rsidR="00693B1A" w:rsidRPr="00913E39">
              <w:rPr>
                <w:rFonts w:ascii="Garamond" w:hAnsi="Garamond"/>
                <w:sz w:val="18"/>
              </w:rPr>
              <w:t xml:space="preserve"> </w:t>
            </w:r>
          </w:p>
        </w:tc>
        <w:tc>
          <w:tcPr>
            <w:tcW w:w="4530" w:type="dxa"/>
            <w:shd w:val="clear" w:color="auto" w:fill="auto"/>
          </w:tcPr>
          <w:p w14:paraId="58F12DE5"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SMIP.al</w:t>
            </w:r>
          </w:p>
        </w:tc>
      </w:tr>
      <w:tr w:rsidR="00847F23" w:rsidRPr="00913E39" w14:paraId="2C7BDD95" w14:textId="77777777" w:rsidTr="000268BB">
        <w:trPr>
          <w:trHeight w:val="20"/>
        </w:trPr>
        <w:tc>
          <w:tcPr>
            <w:tcW w:w="4530" w:type="dxa"/>
            <w:tcBorders>
              <w:bottom w:val="single" w:sz="4" w:space="0" w:color="auto"/>
            </w:tcBorders>
            <w:shd w:val="clear" w:color="auto" w:fill="auto"/>
          </w:tcPr>
          <w:p w14:paraId="71254437"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Trajnimi vjetor i detyrueshëm i mësuesve që përfshin TIK.</w:t>
            </w:r>
          </w:p>
        </w:tc>
        <w:tc>
          <w:tcPr>
            <w:tcW w:w="4530" w:type="dxa"/>
            <w:tcBorders>
              <w:bottom w:val="single" w:sz="4" w:space="0" w:color="auto"/>
            </w:tcBorders>
            <w:shd w:val="clear" w:color="auto" w:fill="auto"/>
          </w:tcPr>
          <w:p w14:paraId="3DB6E4FF" w14:textId="77CF33E9"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Ligji </w:t>
            </w:r>
            <w:r w:rsidR="00977C00" w:rsidRPr="00913E39">
              <w:rPr>
                <w:rFonts w:ascii="Garamond" w:hAnsi="Garamond"/>
                <w:sz w:val="18"/>
              </w:rPr>
              <w:t>n</w:t>
            </w:r>
            <w:r w:rsidRPr="00913E39">
              <w:rPr>
                <w:rFonts w:ascii="Garamond" w:hAnsi="Garamond"/>
                <w:sz w:val="18"/>
              </w:rPr>
              <w:t>r. 69/2012 i ndryshuar.</w:t>
            </w:r>
          </w:p>
        </w:tc>
      </w:tr>
      <w:tr w:rsidR="00847F23" w:rsidRPr="00913E39" w14:paraId="58392F54" w14:textId="77777777" w:rsidTr="000268BB">
        <w:trPr>
          <w:trHeight w:val="20"/>
        </w:trPr>
        <w:tc>
          <w:tcPr>
            <w:tcW w:w="4530" w:type="dxa"/>
            <w:tcBorders>
              <w:bottom w:val="single" w:sz="4" w:space="0" w:color="auto"/>
            </w:tcBorders>
            <w:shd w:val="clear" w:color="auto" w:fill="auto"/>
          </w:tcPr>
          <w:p w14:paraId="26F079E4"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Standardet e mësimdhënies të cilat përcaktojnë edhe përdorimin e njohurive digjitale.</w:t>
            </w:r>
            <w:r w:rsidR="00693B1A" w:rsidRPr="00913E39">
              <w:rPr>
                <w:rFonts w:ascii="Garamond" w:hAnsi="Garamond"/>
                <w:sz w:val="18"/>
              </w:rPr>
              <w:t xml:space="preserve"> </w:t>
            </w:r>
          </w:p>
        </w:tc>
        <w:tc>
          <w:tcPr>
            <w:tcW w:w="4530" w:type="dxa"/>
            <w:tcBorders>
              <w:bottom w:val="single" w:sz="4" w:space="0" w:color="auto"/>
            </w:tcBorders>
            <w:shd w:val="clear" w:color="auto" w:fill="auto"/>
          </w:tcPr>
          <w:p w14:paraId="7280F4B8"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Përcaktuar nga Ministria e Arsimit në korrik 2020.</w:t>
            </w:r>
          </w:p>
        </w:tc>
      </w:tr>
      <w:tr w:rsidR="00847F23" w:rsidRPr="00913E39" w14:paraId="08F96C7E" w14:textId="77777777" w:rsidTr="000268BB">
        <w:trPr>
          <w:trHeight w:val="20"/>
        </w:trPr>
        <w:tc>
          <w:tcPr>
            <w:tcW w:w="4530" w:type="dxa"/>
            <w:tcBorders>
              <w:bottom w:val="single" w:sz="4" w:space="0" w:color="auto"/>
            </w:tcBorders>
            <w:shd w:val="clear" w:color="auto" w:fill="auto"/>
          </w:tcPr>
          <w:p w14:paraId="24D9865B" w14:textId="77777777" w:rsidR="00847F23" w:rsidRPr="00913E39" w:rsidRDefault="00847F23" w:rsidP="000268BB">
            <w:pPr>
              <w:spacing w:after="0" w:line="240" w:lineRule="auto"/>
              <w:jc w:val="both"/>
              <w:rPr>
                <w:rFonts w:ascii="Garamond" w:eastAsia="Times New Roman" w:hAnsi="Garamond" w:cs="Times New Roman"/>
                <w:sz w:val="18"/>
                <w:szCs w:val="18"/>
              </w:rPr>
            </w:pPr>
            <w:r w:rsidRPr="00913E39">
              <w:rPr>
                <w:rFonts w:ascii="Garamond" w:eastAsia="Times New Roman" w:hAnsi="Garamond" w:cs="Times New Roman"/>
                <w:sz w:val="18"/>
                <w:szCs w:val="18"/>
              </w:rPr>
              <w:t>Shkalla e lartë e përdorimit të internetit me valë të fiksuar në zonat urbane</w:t>
            </w:r>
          </w:p>
          <w:p w14:paraId="4804068F" w14:textId="77777777" w:rsidR="00847F23" w:rsidRPr="00913E39" w:rsidRDefault="00847F23" w:rsidP="000268BB">
            <w:pPr>
              <w:spacing w:after="0" w:line="240" w:lineRule="auto"/>
              <w:jc w:val="both"/>
              <w:rPr>
                <w:rFonts w:ascii="Garamond" w:hAnsi="Garamond"/>
                <w:sz w:val="18"/>
              </w:rPr>
            </w:pPr>
          </w:p>
        </w:tc>
        <w:tc>
          <w:tcPr>
            <w:tcW w:w="4530" w:type="dxa"/>
            <w:tcBorders>
              <w:bottom w:val="single" w:sz="4" w:space="0" w:color="auto"/>
            </w:tcBorders>
            <w:shd w:val="clear" w:color="auto" w:fill="auto"/>
          </w:tcPr>
          <w:p w14:paraId="5D7C69F3" w14:textId="2B730970" w:rsidR="00847F23" w:rsidRPr="00913E39" w:rsidRDefault="00847F23" w:rsidP="000268BB">
            <w:pPr>
              <w:spacing w:after="0" w:line="240" w:lineRule="auto"/>
              <w:jc w:val="both"/>
              <w:rPr>
                <w:rFonts w:ascii="Garamond" w:hAnsi="Garamond"/>
                <w:sz w:val="18"/>
              </w:rPr>
            </w:pPr>
            <w:r w:rsidRPr="00913E39">
              <w:rPr>
                <w:rFonts w:ascii="Garamond" w:hAnsi="Garamond"/>
                <w:sz w:val="18"/>
              </w:rPr>
              <w:t>Sipas rezultateve të një sondazhi të publikuar nga Instituti Kombëtar i Statistikave të Shqipërisë (INSTAT) më 16/01/2023</w:t>
            </w:r>
            <w:r w:rsidRPr="00913E39">
              <w:rPr>
                <w:rFonts w:ascii="Garamond" w:hAnsi="Garamond"/>
                <w:sz w:val="18"/>
                <w:vertAlign w:val="superscript"/>
              </w:rPr>
              <w:footnoteReference w:id="41"/>
            </w:r>
            <w:r w:rsidRPr="00913E39">
              <w:rPr>
                <w:rFonts w:ascii="Garamond" w:hAnsi="Garamond"/>
                <w:sz w:val="18"/>
              </w:rPr>
              <w:t xml:space="preserve">, në vitin 2022 96,5% e familjeve shqiptare kishin akses në internet, krahasuar me 88,3% një vit më parë. 90.3% ose 665.362 familje kanë akses fiks në internetin </w:t>
            </w:r>
            <w:r w:rsidRPr="00913E39">
              <w:rPr>
                <w:rFonts w:ascii="Garamond" w:hAnsi="Garamond"/>
                <w:i/>
                <w:sz w:val="18"/>
              </w:rPr>
              <w:t>broadband</w:t>
            </w:r>
            <w:r w:rsidRPr="00913E39">
              <w:rPr>
                <w:rFonts w:ascii="Garamond" w:hAnsi="Garamond"/>
                <w:sz w:val="18"/>
              </w:rPr>
              <w:t xml:space="preserve"> (rrjet me fibër optike ose kabllo, LAAD</w:t>
            </w:r>
            <w:r w:rsidRPr="00913E39">
              <w:rPr>
                <w:rFonts w:ascii="Garamond" w:hAnsi="Garamond"/>
                <w:sz w:val="18"/>
                <w:vertAlign w:val="superscript"/>
              </w:rPr>
              <w:footnoteReference w:id="42"/>
            </w:r>
            <w:r w:rsidRPr="00913E39">
              <w:rPr>
                <w:rFonts w:ascii="Garamond" w:hAnsi="Garamond"/>
                <w:sz w:val="18"/>
              </w:rPr>
              <w:t xml:space="preserve"> etj.); ky tregues ka shënuar rritje me rreth 12 pikë përqindje. 99.2% e familjeve kanë internet me lidhje celulare </w:t>
            </w:r>
            <w:r w:rsidRPr="00913E39">
              <w:rPr>
                <w:rFonts w:ascii="Garamond" w:hAnsi="Garamond"/>
                <w:i/>
                <w:sz w:val="18"/>
              </w:rPr>
              <w:t>broadband</w:t>
            </w:r>
            <w:r w:rsidRPr="00913E39">
              <w:rPr>
                <w:rFonts w:ascii="Garamond" w:hAnsi="Garamond"/>
                <w:sz w:val="18"/>
              </w:rPr>
              <w:t xml:space="preserve"> (3G/4G</w:t>
            </w:r>
            <w:r w:rsidRPr="00913E39">
              <w:rPr>
                <w:rFonts w:ascii="Garamond" w:hAnsi="Garamond"/>
                <w:sz w:val="18"/>
                <w:vertAlign w:val="superscript"/>
              </w:rPr>
              <w:footnoteReference w:id="43"/>
            </w:r>
            <w:r w:rsidRPr="00913E39">
              <w:rPr>
                <w:rFonts w:ascii="Garamond" w:hAnsi="Garamond"/>
                <w:sz w:val="18"/>
              </w:rPr>
              <w:t xml:space="preserve">, tablet etj.) krahasuar me 99.1% </w:t>
            </w:r>
            <w:r w:rsidR="006D1036" w:rsidRPr="00913E39">
              <w:rPr>
                <w:rFonts w:ascii="Garamond" w:hAnsi="Garamond"/>
                <w:sz w:val="18"/>
              </w:rPr>
              <w:t>m</w:t>
            </w:r>
            <w:r w:rsidRPr="00913E39">
              <w:rPr>
                <w:rFonts w:ascii="Garamond" w:hAnsi="Garamond"/>
                <w:sz w:val="18"/>
              </w:rPr>
              <w:t>ë 2021.</w:t>
            </w:r>
          </w:p>
        </w:tc>
      </w:tr>
      <w:tr w:rsidR="00847F23" w:rsidRPr="00913E39" w14:paraId="7D4FD24F" w14:textId="77777777" w:rsidTr="000268BB">
        <w:trPr>
          <w:trHeight w:val="20"/>
        </w:trPr>
        <w:tc>
          <w:tcPr>
            <w:tcW w:w="4530" w:type="dxa"/>
            <w:tcBorders>
              <w:bottom w:val="single" w:sz="4" w:space="0" w:color="auto"/>
            </w:tcBorders>
            <w:shd w:val="clear" w:color="auto" w:fill="auto"/>
          </w:tcPr>
          <w:p w14:paraId="63C3CFC0"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1300 shkolla të arsimit parauniversitar kanë akses në internet/intranet nëpërmjet AKSHIT.</w:t>
            </w:r>
            <w:r w:rsidR="00693B1A" w:rsidRPr="00913E39">
              <w:rPr>
                <w:rFonts w:ascii="Garamond" w:hAnsi="Garamond"/>
                <w:sz w:val="18"/>
              </w:rPr>
              <w:t xml:space="preserve"> </w:t>
            </w:r>
          </w:p>
        </w:tc>
        <w:tc>
          <w:tcPr>
            <w:tcW w:w="4530" w:type="dxa"/>
            <w:tcBorders>
              <w:bottom w:val="single" w:sz="4" w:space="0" w:color="auto"/>
            </w:tcBorders>
            <w:shd w:val="clear" w:color="auto" w:fill="auto"/>
          </w:tcPr>
          <w:p w14:paraId="6A05D882" w14:textId="0D5140E4"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VKM </w:t>
            </w:r>
            <w:r w:rsidR="00850FC7" w:rsidRPr="00913E39">
              <w:rPr>
                <w:rFonts w:ascii="Garamond" w:eastAsia="Times New Roman" w:hAnsi="Garamond" w:cs="Times New Roman"/>
                <w:sz w:val="18"/>
                <w:szCs w:val="18"/>
              </w:rPr>
              <w:t>nr</w:t>
            </w:r>
            <w:r w:rsidRPr="00913E39">
              <w:rPr>
                <w:rFonts w:ascii="Garamond" w:eastAsia="Times New Roman" w:hAnsi="Garamond" w:cs="Times New Roman"/>
                <w:sz w:val="18"/>
                <w:szCs w:val="18"/>
              </w:rPr>
              <w:t>.</w:t>
            </w:r>
            <w:r w:rsidR="00850FC7" w:rsidRPr="00913E39">
              <w:rPr>
                <w:rFonts w:ascii="Garamond" w:eastAsia="Times New Roman" w:hAnsi="Garamond" w:cs="Times New Roman"/>
                <w:sz w:val="18"/>
                <w:szCs w:val="18"/>
              </w:rPr>
              <w:t xml:space="preserve"> </w:t>
            </w:r>
            <w:r w:rsidRPr="00913E39">
              <w:rPr>
                <w:rFonts w:ascii="Garamond" w:hAnsi="Garamond"/>
                <w:sz w:val="18"/>
              </w:rPr>
              <w:t>673</w:t>
            </w:r>
            <w:r w:rsidR="00850FC7" w:rsidRPr="00913E39">
              <w:rPr>
                <w:rFonts w:ascii="Garamond" w:eastAsia="Times New Roman" w:hAnsi="Garamond" w:cs="Times New Roman"/>
                <w:sz w:val="18"/>
                <w:szCs w:val="18"/>
              </w:rPr>
              <w:t xml:space="preserve">, </w:t>
            </w:r>
            <w:r w:rsidRPr="00913E39">
              <w:rPr>
                <w:rFonts w:ascii="Garamond" w:hAnsi="Garamond"/>
                <w:sz w:val="18"/>
              </w:rPr>
              <w:t>datë 22.11.2017</w:t>
            </w:r>
            <w:r w:rsidR="006775C2" w:rsidRPr="00913E39">
              <w:rPr>
                <w:rFonts w:ascii="Garamond" w:hAnsi="Garamond"/>
                <w:sz w:val="18"/>
              </w:rPr>
              <w:t>,</w:t>
            </w:r>
            <w:r w:rsidRPr="00913E39">
              <w:rPr>
                <w:rFonts w:ascii="Garamond" w:hAnsi="Garamond"/>
                <w:sz w:val="18"/>
              </w:rPr>
              <w:t xml:space="preserve"> </w:t>
            </w:r>
            <w:r w:rsidR="00850FC7" w:rsidRPr="00913E39">
              <w:rPr>
                <w:rFonts w:ascii="Garamond" w:hAnsi="Garamond"/>
                <w:sz w:val="18"/>
              </w:rPr>
              <w:t>“</w:t>
            </w:r>
            <w:r w:rsidRPr="00913E39">
              <w:rPr>
                <w:rFonts w:ascii="Garamond" w:hAnsi="Garamond"/>
                <w:sz w:val="18"/>
              </w:rPr>
              <w:t xml:space="preserve">Për </w:t>
            </w:r>
            <w:r w:rsidR="00850FC7" w:rsidRPr="00913E39">
              <w:rPr>
                <w:rFonts w:ascii="Garamond" w:eastAsia="Times New Roman" w:hAnsi="Garamond" w:cs="Times New Roman"/>
                <w:sz w:val="18"/>
                <w:szCs w:val="18"/>
              </w:rPr>
              <w:t>rio</w:t>
            </w:r>
            <w:r w:rsidRPr="00913E39">
              <w:rPr>
                <w:rFonts w:ascii="Garamond" w:eastAsia="Times New Roman" w:hAnsi="Garamond" w:cs="Times New Roman"/>
                <w:sz w:val="18"/>
                <w:szCs w:val="18"/>
              </w:rPr>
              <w:t>rganizimin</w:t>
            </w:r>
            <w:r w:rsidRPr="00913E39">
              <w:rPr>
                <w:rFonts w:ascii="Garamond" w:hAnsi="Garamond"/>
                <w:sz w:val="18"/>
              </w:rPr>
              <w:t xml:space="preserve"> e Agjencisë Kombëtare të Shoqërisë së Informacionit</w:t>
            </w:r>
            <w:r w:rsidR="00850FC7" w:rsidRPr="00913E39">
              <w:rPr>
                <w:rFonts w:ascii="Garamond" w:hAnsi="Garamond"/>
                <w:sz w:val="18"/>
              </w:rPr>
              <w:t>”</w:t>
            </w:r>
            <w:r w:rsidRPr="00913E39">
              <w:rPr>
                <w:rFonts w:ascii="Garamond" w:hAnsi="Garamond"/>
                <w:sz w:val="18"/>
              </w:rPr>
              <w:t>.</w:t>
            </w:r>
          </w:p>
        </w:tc>
      </w:tr>
      <w:tr w:rsidR="00847F23" w:rsidRPr="00913E39" w14:paraId="58D27333" w14:textId="77777777" w:rsidTr="000268BB">
        <w:trPr>
          <w:trHeight w:val="20"/>
        </w:trPr>
        <w:tc>
          <w:tcPr>
            <w:tcW w:w="4530" w:type="dxa"/>
            <w:shd w:val="clear" w:color="auto" w:fill="D0CECE"/>
          </w:tcPr>
          <w:p w14:paraId="7A440DCB"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PIKAT E DOBËTA</w:t>
            </w:r>
          </w:p>
        </w:tc>
        <w:tc>
          <w:tcPr>
            <w:tcW w:w="4530" w:type="dxa"/>
            <w:shd w:val="clear" w:color="auto" w:fill="D0CECE"/>
          </w:tcPr>
          <w:p w14:paraId="1FD21092" w14:textId="77777777" w:rsidR="00847F23" w:rsidRPr="00913E39" w:rsidRDefault="00847F23" w:rsidP="000268B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0009B9ED" w14:textId="77777777" w:rsidTr="000268BB">
        <w:trPr>
          <w:trHeight w:val="20"/>
        </w:trPr>
        <w:tc>
          <w:tcPr>
            <w:tcW w:w="4530" w:type="dxa"/>
            <w:shd w:val="clear" w:color="auto" w:fill="auto"/>
          </w:tcPr>
          <w:p w14:paraId="1C9A5448" w14:textId="66424AE0" w:rsidR="00847F23" w:rsidRPr="00913E39" w:rsidRDefault="00847F23" w:rsidP="000268BB">
            <w:pPr>
              <w:spacing w:after="0" w:line="240" w:lineRule="auto"/>
              <w:jc w:val="both"/>
              <w:rPr>
                <w:rFonts w:ascii="Garamond" w:hAnsi="Garamond"/>
                <w:b/>
                <w:sz w:val="18"/>
              </w:rPr>
            </w:pPr>
            <w:r w:rsidRPr="00913E39">
              <w:rPr>
                <w:rFonts w:ascii="Garamond" w:hAnsi="Garamond"/>
                <w:sz w:val="18"/>
              </w:rPr>
              <w:t xml:space="preserve">Mungesa e infrastrukturës përfshirë </w:t>
            </w:r>
            <w:r w:rsidR="00977C00" w:rsidRPr="00913E39">
              <w:rPr>
                <w:rFonts w:ascii="Garamond" w:hAnsi="Garamond"/>
                <w:sz w:val="18"/>
              </w:rPr>
              <w:t>kompjuterët</w:t>
            </w:r>
            <w:r w:rsidRPr="00913E39">
              <w:rPr>
                <w:rFonts w:ascii="Garamond" w:hAnsi="Garamond"/>
                <w:sz w:val="18"/>
              </w:rPr>
              <w:t xml:space="preserve"> funksionalë. Amortizimi fizik i infrastrukturës së TIK-ut është i lartë. </w:t>
            </w:r>
          </w:p>
        </w:tc>
        <w:tc>
          <w:tcPr>
            <w:tcW w:w="4530" w:type="dxa"/>
            <w:shd w:val="clear" w:color="auto" w:fill="auto"/>
          </w:tcPr>
          <w:p w14:paraId="679FFF15" w14:textId="183F6F3C" w:rsidR="00847F23" w:rsidRPr="00913E39" w:rsidRDefault="00847F23" w:rsidP="000268BB">
            <w:pPr>
              <w:spacing w:after="0" w:line="240" w:lineRule="auto"/>
              <w:jc w:val="both"/>
              <w:rPr>
                <w:rFonts w:ascii="Garamond" w:hAnsi="Garamond"/>
                <w:sz w:val="18"/>
              </w:rPr>
            </w:pPr>
            <w:r w:rsidRPr="00913E39">
              <w:rPr>
                <w:rFonts w:ascii="Garamond" w:hAnsi="Garamond"/>
                <w:sz w:val="18"/>
              </w:rPr>
              <w:t>Një vlerësim i bërë nga DPAP (Drejtoria e Përgjithshme e Arsimit Parauniversitar) i cituar në Strategjinë për arsimin parauniversitar zbulon se infrastruktura e TIK-ut në shkollat parauniversitare është kryesisht e amortizuar plotësisht dhe programi i instaluar është i vjetruar.</w:t>
            </w:r>
          </w:p>
        </w:tc>
      </w:tr>
      <w:tr w:rsidR="00847F23" w:rsidRPr="00913E39" w14:paraId="6E814510" w14:textId="77777777" w:rsidTr="000268BB">
        <w:trPr>
          <w:trHeight w:val="20"/>
        </w:trPr>
        <w:tc>
          <w:tcPr>
            <w:tcW w:w="4530" w:type="dxa"/>
            <w:shd w:val="clear" w:color="auto" w:fill="auto"/>
          </w:tcPr>
          <w:p w14:paraId="102E5ECA" w14:textId="057BE0F5" w:rsidR="00847F23" w:rsidRPr="00913E39" w:rsidRDefault="00847F23" w:rsidP="000268BB">
            <w:pPr>
              <w:spacing w:after="0" w:line="240" w:lineRule="auto"/>
              <w:jc w:val="both"/>
              <w:rPr>
                <w:rFonts w:ascii="Garamond" w:hAnsi="Garamond"/>
                <w:b/>
                <w:sz w:val="18"/>
              </w:rPr>
            </w:pPr>
            <w:r w:rsidRPr="00913E39">
              <w:rPr>
                <w:rFonts w:ascii="Garamond" w:hAnsi="Garamond"/>
                <w:sz w:val="18"/>
              </w:rPr>
              <w:t>Njohuritë e mësuesve për përdorimin e TIK-ut dhe dobësitë në infrastrukturë (rrjetet)</w:t>
            </w:r>
            <w:r w:rsidR="00724C1C" w:rsidRPr="00913E39">
              <w:rPr>
                <w:rFonts w:ascii="Garamond" w:hAnsi="Garamond"/>
                <w:sz w:val="18"/>
              </w:rPr>
              <w:t xml:space="preserve">, </w:t>
            </w:r>
            <w:r w:rsidRPr="00913E39">
              <w:rPr>
                <w:rFonts w:ascii="Garamond" w:hAnsi="Garamond"/>
                <w:sz w:val="18"/>
              </w:rPr>
              <w:t>si dhe kufizimet në aksesin e TIK-ut jashtë laboratorëve të veçantë.</w:t>
            </w:r>
            <w:r w:rsidR="00693B1A" w:rsidRPr="00913E39">
              <w:rPr>
                <w:rFonts w:ascii="Garamond" w:hAnsi="Garamond"/>
                <w:sz w:val="18"/>
              </w:rPr>
              <w:t xml:space="preserve"> </w:t>
            </w:r>
            <w:r w:rsidRPr="00913E39">
              <w:rPr>
                <w:rFonts w:ascii="Garamond" w:hAnsi="Garamond"/>
                <w:sz w:val="18"/>
              </w:rPr>
              <w:t xml:space="preserve"> </w:t>
            </w:r>
          </w:p>
        </w:tc>
        <w:tc>
          <w:tcPr>
            <w:tcW w:w="4530" w:type="dxa"/>
            <w:shd w:val="clear" w:color="auto" w:fill="auto"/>
          </w:tcPr>
          <w:p w14:paraId="5DF72CDF" w14:textId="4CDF443A" w:rsidR="00847F23" w:rsidRPr="00913E39" w:rsidRDefault="00847F23" w:rsidP="000268BB">
            <w:pPr>
              <w:spacing w:after="0" w:line="240" w:lineRule="auto"/>
              <w:jc w:val="both"/>
              <w:rPr>
                <w:rFonts w:ascii="Garamond" w:hAnsi="Garamond"/>
                <w:sz w:val="18"/>
              </w:rPr>
            </w:pPr>
            <w:r w:rsidRPr="00913E39">
              <w:rPr>
                <w:rFonts w:ascii="Garamond" w:hAnsi="Garamond"/>
                <w:sz w:val="18"/>
              </w:rPr>
              <w:t>Rishikimi i Politikave Arsimore, Strategjia 2021</w:t>
            </w:r>
            <w:r w:rsidR="00977C00" w:rsidRPr="00913E39">
              <w:rPr>
                <w:rFonts w:ascii="Garamond" w:hAnsi="Garamond"/>
                <w:sz w:val="18"/>
              </w:rPr>
              <w:t>–</w:t>
            </w:r>
            <w:r w:rsidRPr="00913E39">
              <w:rPr>
                <w:rFonts w:ascii="Garamond" w:hAnsi="Garamond"/>
                <w:sz w:val="18"/>
              </w:rPr>
              <w:t>2026.</w:t>
            </w:r>
          </w:p>
        </w:tc>
      </w:tr>
      <w:tr w:rsidR="00847F23" w:rsidRPr="00913E39" w14:paraId="6301B4BC" w14:textId="77777777" w:rsidTr="000268BB">
        <w:trPr>
          <w:trHeight w:val="20"/>
        </w:trPr>
        <w:tc>
          <w:tcPr>
            <w:tcW w:w="4530" w:type="dxa"/>
            <w:shd w:val="clear" w:color="auto" w:fill="auto"/>
          </w:tcPr>
          <w:p w14:paraId="70436D92"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Jo të gjithë mësuesit e TIK-ut kanë formim në TIK (megjithëse ligjërisht një mësues me profilin e matematikës dhe fizikës mund të japë mësim në TIK në sistemin arsimor parauniversitar).</w:t>
            </w:r>
          </w:p>
        </w:tc>
        <w:tc>
          <w:tcPr>
            <w:tcW w:w="4530" w:type="dxa"/>
            <w:shd w:val="clear" w:color="auto" w:fill="auto"/>
          </w:tcPr>
          <w:p w14:paraId="65CF767E" w14:textId="33417D66" w:rsidR="00847F23" w:rsidRPr="00913E39" w:rsidRDefault="00847F23" w:rsidP="000268BB">
            <w:pPr>
              <w:spacing w:after="0" w:line="240" w:lineRule="auto"/>
              <w:jc w:val="both"/>
              <w:rPr>
                <w:rFonts w:ascii="Garamond" w:hAnsi="Garamond"/>
                <w:sz w:val="18"/>
              </w:rPr>
            </w:pPr>
            <w:r w:rsidRPr="00913E39">
              <w:rPr>
                <w:rFonts w:ascii="Garamond" w:hAnsi="Garamond"/>
                <w:sz w:val="18"/>
              </w:rPr>
              <w:t>Vende të lira pune 2021</w:t>
            </w:r>
            <w:r w:rsidR="00977C00" w:rsidRPr="00913E39">
              <w:rPr>
                <w:rFonts w:ascii="Garamond" w:hAnsi="Garamond"/>
                <w:sz w:val="18"/>
              </w:rPr>
              <w:t>–</w:t>
            </w:r>
            <w:r w:rsidRPr="00913E39">
              <w:rPr>
                <w:rFonts w:ascii="Garamond" w:hAnsi="Garamond"/>
                <w:sz w:val="18"/>
              </w:rPr>
              <w:t xml:space="preserve">2022: mungojnë 80 mësues të TIK. </w:t>
            </w:r>
          </w:p>
        </w:tc>
      </w:tr>
      <w:tr w:rsidR="00847F23" w:rsidRPr="00913E39" w14:paraId="58F7137C" w14:textId="77777777" w:rsidTr="000268BB">
        <w:trPr>
          <w:trHeight w:val="20"/>
        </w:trPr>
        <w:tc>
          <w:tcPr>
            <w:tcW w:w="4530" w:type="dxa"/>
            <w:tcBorders>
              <w:bottom w:val="single" w:sz="4" w:space="0" w:color="auto"/>
            </w:tcBorders>
            <w:shd w:val="clear" w:color="auto" w:fill="auto"/>
          </w:tcPr>
          <w:p w14:paraId="537F7EE4"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Futja e </w:t>
            </w:r>
            <w:r w:rsidRPr="00913E39">
              <w:rPr>
                <w:rFonts w:ascii="Garamond" w:hAnsi="Garamond"/>
                <w:i/>
                <w:sz w:val="18"/>
              </w:rPr>
              <w:t>broadband</w:t>
            </w:r>
            <w:r w:rsidRPr="00913E39">
              <w:rPr>
                <w:rFonts w:ascii="Garamond" w:hAnsi="Garamond"/>
                <w:sz w:val="18"/>
              </w:rPr>
              <w:t xml:space="preserve"> fikse në zonat rurale të Shqipërisë, i ulët. </w:t>
            </w:r>
          </w:p>
          <w:p w14:paraId="5D33CE90" w14:textId="77777777" w:rsidR="00847F23" w:rsidRPr="00913E39" w:rsidRDefault="00847F23" w:rsidP="000268BB">
            <w:pPr>
              <w:spacing w:after="0" w:line="240" w:lineRule="auto"/>
              <w:jc w:val="both"/>
              <w:rPr>
                <w:rFonts w:ascii="Garamond" w:hAnsi="Garamond"/>
                <w:b/>
                <w:sz w:val="18"/>
              </w:rPr>
            </w:pPr>
          </w:p>
          <w:p w14:paraId="27884D12" w14:textId="77777777" w:rsidR="00847F23" w:rsidRPr="00913E39" w:rsidRDefault="00847F23" w:rsidP="000268BB">
            <w:pPr>
              <w:spacing w:after="0" w:line="240" w:lineRule="auto"/>
              <w:jc w:val="both"/>
              <w:rPr>
                <w:rFonts w:ascii="Garamond" w:hAnsi="Garamond"/>
                <w:sz w:val="18"/>
              </w:rPr>
            </w:pPr>
          </w:p>
        </w:tc>
        <w:tc>
          <w:tcPr>
            <w:tcW w:w="4530" w:type="dxa"/>
            <w:tcBorders>
              <w:bottom w:val="single" w:sz="4" w:space="0" w:color="auto"/>
            </w:tcBorders>
            <w:shd w:val="clear" w:color="auto" w:fill="auto"/>
          </w:tcPr>
          <w:p w14:paraId="33016E73"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Sipas vlerësimeve të Autoritetit të Komunikimeve Elektronike dhe Postare (AKEP), përdorimi i internetit me valë të fiksuar në zonat rurale vazhdon të jetë shumë i ulët, me një mesatare prej 8% në vitin 2021. Sipas të dhënave rajonale të vitit 2021, Durrësi është rrethi me shkallën më të lartë të përdorimit të internetit rural, rreth 23%, pasuar nga Tirana, Shkodra dhe Lezha, me nga 10% secili. Ndërkohë, shpeshherë ka kufizime në shpejtësinë e internetit në shkollat e zonave rurale</w:t>
            </w:r>
          </w:p>
        </w:tc>
      </w:tr>
      <w:tr w:rsidR="00847F23" w:rsidRPr="00913E39" w14:paraId="699ACAF9" w14:textId="77777777" w:rsidTr="000268BB">
        <w:trPr>
          <w:trHeight w:val="20"/>
        </w:trPr>
        <w:tc>
          <w:tcPr>
            <w:tcW w:w="4530" w:type="dxa"/>
            <w:shd w:val="clear" w:color="auto" w:fill="D9D9D9"/>
          </w:tcPr>
          <w:p w14:paraId="19B3507E"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MUNDËSITË</w:t>
            </w:r>
          </w:p>
        </w:tc>
        <w:tc>
          <w:tcPr>
            <w:tcW w:w="4530" w:type="dxa"/>
            <w:shd w:val="clear" w:color="auto" w:fill="D9D9D9"/>
          </w:tcPr>
          <w:p w14:paraId="0F23C074" w14:textId="77777777" w:rsidR="00847F23" w:rsidRPr="00913E39" w:rsidRDefault="00847F23" w:rsidP="000268B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01FC5AF9" w14:textId="77777777" w:rsidTr="000268BB">
        <w:trPr>
          <w:trHeight w:val="20"/>
        </w:trPr>
        <w:tc>
          <w:tcPr>
            <w:tcW w:w="4530" w:type="dxa"/>
            <w:tcBorders>
              <w:bottom w:val="single" w:sz="4" w:space="0" w:color="auto"/>
            </w:tcBorders>
            <w:shd w:val="clear" w:color="auto" w:fill="auto"/>
          </w:tcPr>
          <w:p w14:paraId="7269B26F"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lastRenderedPageBreak/>
              <w:t>Shtimi i trajnimit të mësuesve me fokus në aftësitë digjitale.</w:t>
            </w:r>
            <w:r w:rsidR="00693B1A" w:rsidRPr="00913E39">
              <w:rPr>
                <w:rFonts w:ascii="Garamond" w:hAnsi="Garamond"/>
                <w:sz w:val="18"/>
              </w:rPr>
              <w:t xml:space="preserve"> </w:t>
            </w:r>
          </w:p>
        </w:tc>
        <w:tc>
          <w:tcPr>
            <w:tcW w:w="4530" w:type="dxa"/>
            <w:tcBorders>
              <w:bottom w:val="single" w:sz="4" w:space="0" w:color="auto"/>
            </w:tcBorders>
            <w:shd w:val="clear" w:color="auto" w:fill="auto"/>
          </w:tcPr>
          <w:p w14:paraId="5BEF2F74"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Vlerësimi shumëdimensional i OECD-së për Ballkanin Perëndimor, Rritja e Arsimit dhe Njohurive në Shqipëri (2022), Kutia 3.1.</w:t>
            </w:r>
          </w:p>
        </w:tc>
      </w:tr>
      <w:tr w:rsidR="00847F23" w:rsidRPr="00913E39" w14:paraId="6A6215F2" w14:textId="77777777" w:rsidTr="000268BB">
        <w:trPr>
          <w:trHeight w:val="20"/>
        </w:trPr>
        <w:tc>
          <w:tcPr>
            <w:tcW w:w="4530" w:type="dxa"/>
            <w:tcBorders>
              <w:bottom w:val="single" w:sz="4" w:space="0" w:color="auto"/>
            </w:tcBorders>
            <w:shd w:val="clear" w:color="auto" w:fill="auto"/>
          </w:tcPr>
          <w:p w14:paraId="493AB02A"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Kërkesa e lartë për specialistë TIK-u në tregun e punës.</w:t>
            </w:r>
            <w:r w:rsidR="00693B1A" w:rsidRPr="00913E39">
              <w:rPr>
                <w:rFonts w:ascii="Garamond" w:hAnsi="Garamond"/>
                <w:sz w:val="18"/>
              </w:rPr>
              <w:t xml:space="preserve"> </w:t>
            </w:r>
          </w:p>
        </w:tc>
        <w:tc>
          <w:tcPr>
            <w:tcW w:w="4530" w:type="dxa"/>
            <w:tcBorders>
              <w:bottom w:val="single" w:sz="4" w:space="0" w:color="auto"/>
            </w:tcBorders>
            <w:shd w:val="clear" w:color="auto" w:fill="auto"/>
          </w:tcPr>
          <w:p w14:paraId="6B850D74"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334 vende të lira pune në TIK – portali AKPA i cili nuk pasqyron numrin aktual të vendeve të lira.</w:t>
            </w:r>
          </w:p>
        </w:tc>
      </w:tr>
      <w:tr w:rsidR="00847F23" w:rsidRPr="00913E39" w14:paraId="39CC5F9C" w14:textId="77777777" w:rsidTr="000268BB">
        <w:trPr>
          <w:trHeight w:val="20"/>
        </w:trPr>
        <w:tc>
          <w:tcPr>
            <w:tcW w:w="4530" w:type="dxa"/>
            <w:shd w:val="clear" w:color="auto" w:fill="D9D9D9"/>
          </w:tcPr>
          <w:p w14:paraId="4FF0DA07"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KËRCËNIME</w:t>
            </w:r>
          </w:p>
        </w:tc>
        <w:tc>
          <w:tcPr>
            <w:tcW w:w="4530" w:type="dxa"/>
            <w:shd w:val="clear" w:color="auto" w:fill="D9D9D9"/>
          </w:tcPr>
          <w:p w14:paraId="65E914B5" w14:textId="77777777" w:rsidR="00847F23" w:rsidRPr="00913E39" w:rsidRDefault="00847F23" w:rsidP="000268B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7D1B9142" w14:textId="77777777" w:rsidTr="000268BB">
        <w:trPr>
          <w:trHeight w:val="20"/>
        </w:trPr>
        <w:tc>
          <w:tcPr>
            <w:tcW w:w="4530" w:type="dxa"/>
            <w:shd w:val="clear" w:color="auto" w:fill="auto"/>
          </w:tcPr>
          <w:p w14:paraId="707CC72D" w14:textId="77777777" w:rsidR="00847F23" w:rsidRPr="00913E39" w:rsidRDefault="00847F23" w:rsidP="000268BB">
            <w:pPr>
              <w:spacing w:after="0" w:line="240" w:lineRule="auto"/>
              <w:jc w:val="both"/>
              <w:rPr>
                <w:rFonts w:ascii="Garamond" w:hAnsi="Garamond"/>
                <w:b/>
                <w:sz w:val="18"/>
              </w:rPr>
            </w:pPr>
            <w:r w:rsidRPr="00913E39">
              <w:rPr>
                <w:rFonts w:ascii="Garamond" w:hAnsi="Garamond"/>
                <w:sz w:val="18"/>
              </w:rPr>
              <w:t>Sulmet e sofistikuara kibernetike përbëjnë një kërcënim për masat e sigurisë kibernetike të qeverisë shqiptare</w:t>
            </w:r>
            <w:r w:rsidR="00693B1A" w:rsidRPr="00913E39">
              <w:rPr>
                <w:rFonts w:ascii="Garamond" w:hAnsi="Garamond"/>
                <w:sz w:val="18"/>
              </w:rPr>
              <w:t xml:space="preserve"> </w:t>
            </w:r>
          </w:p>
        </w:tc>
        <w:tc>
          <w:tcPr>
            <w:tcW w:w="4530" w:type="dxa"/>
            <w:shd w:val="clear" w:color="auto" w:fill="auto"/>
          </w:tcPr>
          <w:p w14:paraId="7DF1EB93"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Agjencia e Sigurisë Kibernetike dhe të Infrastrukturës (CISA) Byroja Federale e Hetimit (FBI) – Shqipëri, grup i përbashkët këshillimor.</w:t>
            </w:r>
          </w:p>
          <w:p w14:paraId="44E76BB3" w14:textId="388479ED"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Microsoft heton sulmet iraniane kundër </w:t>
            </w:r>
            <w:r w:rsidRPr="00A87C97">
              <w:rPr>
                <w:rFonts w:ascii="Garamond" w:hAnsi="Garamond"/>
                <w:sz w:val="18"/>
              </w:rPr>
              <w:t>qeverisë shqiptare.</w:t>
            </w:r>
            <w:r w:rsidRPr="00913E39">
              <w:rPr>
                <w:rFonts w:ascii="Garamond" w:hAnsi="Garamond"/>
                <w:sz w:val="18"/>
              </w:rPr>
              <w:br/>
            </w:r>
          </w:p>
        </w:tc>
      </w:tr>
    </w:tbl>
    <w:p w14:paraId="25A08C03" w14:textId="77777777" w:rsidR="00847F23" w:rsidRPr="00913E39" w:rsidRDefault="00847F23" w:rsidP="00FC4C60">
      <w:pPr>
        <w:spacing w:after="0" w:line="240" w:lineRule="auto"/>
        <w:ind w:firstLine="284"/>
        <w:jc w:val="both"/>
        <w:rPr>
          <w:rFonts w:ascii="Garamond" w:hAnsi="Garamond"/>
          <w:b/>
          <w:sz w:val="24"/>
        </w:rPr>
      </w:pPr>
    </w:p>
    <w:p w14:paraId="1B280C75"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2: Integrimi me sistemet e teknologjisë së informacionit të BE-së, siguria kibernetike dhe digjitale</w:t>
      </w:r>
    </w:p>
    <w:p w14:paraId="6A72B546" w14:textId="55D81CE2"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977C00" w:rsidRPr="00913E39">
        <w:rPr>
          <w:rFonts w:ascii="Garamond" w:hAnsi="Garamond"/>
          <w:i/>
          <w:sz w:val="24"/>
        </w:rPr>
        <w:t>f</w:t>
      </w:r>
      <w:r w:rsidRPr="00913E39">
        <w:rPr>
          <w:rFonts w:ascii="Garamond" w:hAnsi="Garamond"/>
          <w:i/>
          <w:sz w:val="24"/>
        </w:rPr>
        <w:t>usha e mbështetjes 2.1: Tatimet</w:t>
      </w:r>
    </w:p>
    <w:p w14:paraId="4DA1374A" w14:textId="40112287" w:rsidR="00847F23" w:rsidRPr="00913E39" w:rsidRDefault="00847F23" w:rsidP="000268BB">
      <w:pPr>
        <w:spacing w:after="0" w:line="240" w:lineRule="auto"/>
        <w:ind w:firstLine="284"/>
        <w:jc w:val="both"/>
        <w:rPr>
          <w:rFonts w:ascii="Garamond" w:hAnsi="Garamond"/>
          <w:sz w:val="24"/>
        </w:rPr>
      </w:pPr>
      <w:r w:rsidRPr="00913E39">
        <w:rPr>
          <w:rFonts w:ascii="Garamond" w:hAnsi="Garamond"/>
          <w:sz w:val="24"/>
        </w:rPr>
        <w:t xml:space="preserve">Sipas raportit të monitorimit të SIGMA-s 2021, Shqipëria ka shfaqur një trajektore pozitive në Menaxhimin e Financave Publike (MFP), ku rezultati i saj i përgjithshëm është rritur nga 2.8 </w:t>
      </w:r>
      <w:r w:rsidR="006D1036" w:rsidRPr="00913E39">
        <w:rPr>
          <w:rFonts w:ascii="Garamond" w:hAnsi="Garamond"/>
          <w:sz w:val="24"/>
        </w:rPr>
        <w:t>m</w:t>
      </w:r>
      <w:r w:rsidRPr="00913E39">
        <w:rPr>
          <w:rFonts w:ascii="Garamond" w:hAnsi="Garamond"/>
          <w:sz w:val="24"/>
        </w:rPr>
        <w:t xml:space="preserve">ë 2017 në 3.3 </w:t>
      </w:r>
      <w:r w:rsidR="006D1036" w:rsidRPr="00913E39">
        <w:rPr>
          <w:rFonts w:ascii="Garamond" w:hAnsi="Garamond"/>
          <w:sz w:val="24"/>
        </w:rPr>
        <w:t>m</w:t>
      </w:r>
      <w:r w:rsidRPr="00913E39">
        <w:rPr>
          <w:rFonts w:ascii="Garamond" w:hAnsi="Garamond"/>
          <w:sz w:val="24"/>
        </w:rPr>
        <w:t>ë 2021. Ky rezultat tejkalon mesataren rajonale prej 3.1. Në shumicën e treguesve brenda fushës së MFP</w:t>
      </w:r>
      <w:r w:rsidR="007C41EB" w:rsidRPr="00913E39">
        <w:rPr>
          <w:rFonts w:ascii="Garamond" w:hAnsi="Garamond"/>
          <w:sz w:val="24"/>
        </w:rPr>
        <w:t>-së</w:t>
      </w:r>
      <w:r w:rsidRPr="00913E39">
        <w:rPr>
          <w:rFonts w:ascii="Garamond" w:hAnsi="Garamond"/>
          <w:sz w:val="24"/>
        </w:rPr>
        <w:t>, performanca e Shqipërisë është ose e ngjashme ose më e madhe se mesatarja rajonale, me përjashtim të funksionimit të auditimit të brendshëm (AB). Shqipëria ka treguar performancë të lartë sidomos në prokurimin publik, bazat për funksionimin e Kontrollit të Menaxhimit Financiar (KMF), AB</w:t>
      </w:r>
      <w:r w:rsidR="006D1036" w:rsidRPr="00913E39">
        <w:rPr>
          <w:rFonts w:ascii="Garamond" w:hAnsi="Garamond"/>
          <w:sz w:val="24"/>
        </w:rPr>
        <w:t>-ja</w:t>
      </w:r>
      <w:r w:rsidRPr="00913E39">
        <w:rPr>
          <w:rFonts w:ascii="Garamond" w:hAnsi="Garamond"/>
          <w:sz w:val="24"/>
        </w:rPr>
        <w:t xml:space="preserve"> dhe auditim të jashtëm. Janë arritur përmirësime të rëndësishme në zbatimin e menaxhimit të riskut, sistemet e teknologjisë së informacionit, strukturën organizative dhe transparencë të tatimpaguesve. Këto përmirësime janë bënë të mundura nëpërmjet fushatave të ndërgjegjësimit, faqeve praktike të internetit për përdoruesit dhe </w:t>
      </w:r>
      <w:r w:rsidRPr="00913E39">
        <w:rPr>
          <w:rFonts w:ascii="Garamond" w:hAnsi="Garamond"/>
          <w:i/>
          <w:sz w:val="24"/>
        </w:rPr>
        <w:t>Call-Centers</w:t>
      </w:r>
      <w:r w:rsidRPr="00913E39">
        <w:rPr>
          <w:rFonts w:ascii="Garamond" w:hAnsi="Garamond"/>
          <w:sz w:val="24"/>
        </w:rPr>
        <w:t xml:space="preserve">. </w:t>
      </w:r>
    </w:p>
    <w:p w14:paraId="3CD2EB33" w14:textId="77777777" w:rsidR="00847F23" w:rsidRPr="00913E39" w:rsidRDefault="00847F23" w:rsidP="000268BB">
      <w:pPr>
        <w:spacing w:after="0" w:line="240" w:lineRule="auto"/>
        <w:ind w:firstLine="284"/>
        <w:jc w:val="both"/>
        <w:rPr>
          <w:rFonts w:ascii="Garamond" w:hAnsi="Garamond"/>
          <w:sz w:val="24"/>
        </w:rPr>
      </w:pPr>
      <w:r w:rsidRPr="00913E39">
        <w:rPr>
          <w:rFonts w:ascii="Garamond" w:hAnsi="Garamond"/>
          <w:sz w:val="24"/>
        </w:rPr>
        <w:t>Megjithatë, ka ende nevoja të vazhdueshme që kërkojnë vëmendje, përfshirë:</w:t>
      </w:r>
    </w:p>
    <w:p w14:paraId="0295CACA" w14:textId="77777777" w:rsidR="00847F23" w:rsidRPr="00913E39" w:rsidRDefault="00847F23" w:rsidP="000268BB">
      <w:pPr>
        <w:spacing w:after="0" w:line="240" w:lineRule="auto"/>
        <w:ind w:firstLine="284"/>
        <w:contextualSpacing/>
        <w:jc w:val="both"/>
        <w:rPr>
          <w:rFonts w:ascii="Garamond" w:hAnsi="Garamond"/>
          <w:sz w:val="24"/>
        </w:rPr>
      </w:pPr>
      <w:r w:rsidRPr="00913E39">
        <w:rPr>
          <w:rFonts w:ascii="Garamond" w:hAnsi="Garamond"/>
          <w:sz w:val="24"/>
        </w:rPr>
        <w:t xml:space="preserve">- Sistemi tatimor është ndikuar nga ndryshime të shpeshta të politikave </w:t>
      </w:r>
      <w:r w:rsidRPr="00913E39">
        <w:rPr>
          <w:rFonts w:ascii="Garamond" w:hAnsi="Garamond"/>
          <w:i/>
          <w:sz w:val="24"/>
        </w:rPr>
        <w:t>ad hoc</w:t>
      </w:r>
      <w:r w:rsidRPr="00913E39">
        <w:rPr>
          <w:rFonts w:ascii="Garamond" w:hAnsi="Garamond"/>
          <w:sz w:val="24"/>
        </w:rPr>
        <w:t>, duke rrezikuar potencialisht integritetin e tij, duke dobësuar bazën tatimore dhe duke penguar mbledhjen e të ardhurave.</w:t>
      </w:r>
    </w:p>
    <w:p w14:paraId="479150E5" w14:textId="77777777" w:rsidR="00847F23" w:rsidRPr="00913E39" w:rsidRDefault="00847F23" w:rsidP="000268BB">
      <w:pPr>
        <w:spacing w:after="0" w:line="240" w:lineRule="auto"/>
        <w:ind w:firstLine="284"/>
        <w:contextualSpacing/>
        <w:jc w:val="both"/>
        <w:rPr>
          <w:rFonts w:ascii="Garamond" w:hAnsi="Garamond"/>
          <w:sz w:val="24"/>
        </w:rPr>
      </w:pPr>
      <w:r w:rsidRPr="00913E39">
        <w:rPr>
          <w:rFonts w:ascii="Garamond" w:hAnsi="Garamond"/>
          <w:sz w:val="24"/>
        </w:rPr>
        <w:t>- Zbatimi i metodologjive bashkëkohore në zbatim të menaxhimit të riskut ka marrë kohë të konsiderueshme dhe nuk është ende efektiv; nevojiten përpjekje të mëtejshme për zbatimin e suksesshëm.</w:t>
      </w:r>
    </w:p>
    <w:p w14:paraId="2CD92CCC" w14:textId="77777777" w:rsidR="00847F23" w:rsidRPr="00913E39" w:rsidRDefault="00847F23" w:rsidP="000268BB">
      <w:pPr>
        <w:spacing w:after="0" w:line="240" w:lineRule="auto"/>
        <w:ind w:firstLine="284"/>
        <w:contextualSpacing/>
        <w:jc w:val="both"/>
        <w:rPr>
          <w:rFonts w:ascii="Garamond" w:hAnsi="Garamond"/>
          <w:sz w:val="24"/>
        </w:rPr>
      </w:pPr>
      <w:r w:rsidRPr="00913E39">
        <w:rPr>
          <w:rFonts w:ascii="Garamond" w:hAnsi="Garamond"/>
          <w:sz w:val="24"/>
        </w:rPr>
        <w:t>- Roli i Drejtorisë së Përgjithshme të Tatimeve (DPT) duhet të forcohet më tej në mbledhjen e borxheve.</w:t>
      </w:r>
    </w:p>
    <w:p w14:paraId="22986328" w14:textId="77777777" w:rsidR="00847F23" w:rsidRPr="00913E39" w:rsidRDefault="00847F23" w:rsidP="000268BB">
      <w:pPr>
        <w:spacing w:after="0" w:line="240" w:lineRule="auto"/>
        <w:ind w:firstLine="284"/>
        <w:contextualSpacing/>
        <w:jc w:val="both"/>
        <w:rPr>
          <w:rFonts w:ascii="Garamond" w:hAnsi="Garamond"/>
          <w:sz w:val="24"/>
        </w:rPr>
      </w:pPr>
      <w:r w:rsidRPr="00913E39">
        <w:rPr>
          <w:rFonts w:ascii="Garamond" w:hAnsi="Garamond"/>
          <w:sz w:val="24"/>
        </w:rPr>
        <w:t>- Regjistri i Tatimpaguesve kërkon përmirësim dhe përditësim.</w:t>
      </w:r>
    </w:p>
    <w:p w14:paraId="4B20AF3A" w14:textId="62736690" w:rsidR="00847F23" w:rsidRPr="00913E39" w:rsidRDefault="00847F23" w:rsidP="000268BB">
      <w:pPr>
        <w:spacing w:after="0" w:line="240" w:lineRule="auto"/>
        <w:ind w:firstLine="284"/>
        <w:jc w:val="both"/>
        <w:rPr>
          <w:rFonts w:ascii="Garamond" w:hAnsi="Garamond"/>
          <w:sz w:val="24"/>
        </w:rPr>
      </w:pPr>
      <w:r w:rsidRPr="00913E39">
        <w:rPr>
          <w:rFonts w:ascii="Garamond" w:hAnsi="Garamond"/>
          <w:sz w:val="24"/>
        </w:rPr>
        <w:t xml:space="preserve">Në janar 2015, u prezantua një Sistemi i ri i Teknologjisë së Informacionit (IT) i Administratës Tatimore, me vlerësimet e përfunduara në vitin 2017. Në vitin 2019, administrata tatimore finalizoi hartimin e procedurave të automatizuara të bazuara në risk për rimbursimin e TVSH-së. Progres i rëndësishëm është bërë në kryerjen e rimbursimeve automatike të TVSH-së, duke arritur një normë realizimi prej 95% në vitin 2021. Edhe pse </w:t>
      </w:r>
      <w:r w:rsidR="00977C00" w:rsidRPr="00913E39">
        <w:rPr>
          <w:rFonts w:ascii="Garamond" w:hAnsi="Garamond"/>
          <w:sz w:val="24"/>
        </w:rPr>
        <w:t xml:space="preserve">platforma e rimbursimit ka </w:t>
      </w:r>
      <w:r w:rsidRPr="00913E39">
        <w:rPr>
          <w:rFonts w:ascii="Garamond" w:hAnsi="Garamond"/>
          <w:sz w:val="24"/>
        </w:rPr>
        <w:t xml:space="preserve">përgjysmuar periudhën e shlyerjes për rimbursimet e TVSH-së dhe stoku i papaguar i rimbursimeve të TVSH-së është ulur me 16% në vitin 2020 krahasuar me vitin 2019. Edhe pse </w:t>
      </w:r>
      <w:r w:rsidR="00977C00" w:rsidRPr="00913E39">
        <w:rPr>
          <w:rFonts w:ascii="Garamond" w:hAnsi="Garamond"/>
          <w:sz w:val="24"/>
        </w:rPr>
        <w:t xml:space="preserve">objektivi i strategjisë </w:t>
      </w:r>
      <w:r w:rsidRPr="00913E39">
        <w:rPr>
          <w:rFonts w:ascii="Garamond" w:hAnsi="Garamond"/>
          <w:sz w:val="24"/>
        </w:rPr>
        <w:t xml:space="preserve">së MFP-së për zbatimin e procedurave të automatizuara të bazuara në risk për të gjitha </w:t>
      </w:r>
      <w:r w:rsidR="00977C00" w:rsidRPr="00913E39">
        <w:rPr>
          <w:rFonts w:ascii="Garamond" w:hAnsi="Garamond"/>
          <w:sz w:val="24"/>
        </w:rPr>
        <w:t>r</w:t>
      </w:r>
      <w:r w:rsidRPr="00913E39">
        <w:rPr>
          <w:rFonts w:ascii="Garamond" w:hAnsi="Garamond"/>
          <w:sz w:val="24"/>
        </w:rPr>
        <w:t xml:space="preserve">imbursimet e TVSH-së dhe kreditë e bartura nuk u arrit plotësisht në vitin 2021, është bërë njëfarë progresi. Ka përfunduar gjithashtu përmirësimi i modulit të menaxhimit të faturave elektronike, i planifikuar fillimisht për vitin 2019. Gjatë vitit 2019, Drejtoria e Përgjithshme e Tatimeve (DPT) krijoi një regjistër të plotë dhe të saktë të tatimpaguesve, i cili përmirësoi informacionin e tatimpaguesve dhe inkurajoi korrigjimin vullnetar të detyrimeve tatimore. Transmetimi në kohë i të dhënave për regjistrimet dhe ndryshimet në regjistrim u arrit nëpërmjet një marrëveshjeje mes DPT-së dhe Qendrës Kombëtare të Biznesit. Modulet e fiskalizimit janë implementuar plotësisht, ndërsa moduli i pasurive aktualisht është në formatin </w:t>
      </w:r>
      <w:r w:rsidR="00850FC7" w:rsidRPr="00913E39">
        <w:rPr>
          <w:rFonts w:ascii="Garamond" w:eastAsia="Times New Roman" w:hAnsi="Garamond" w:cs="Times New Roman"/>
          <w:sz w:val="24"/>
          <w:szCs w:val="24"/>
        </w:rPr>
        <w:t>“</w:t>
      </w:r>
      <w:r w:rsidRPr="00913E39">
        <w:rPr>
          <w:rFonts w:ascii="Garamond" w:hAnsi="Garamond"/>
          <w:sz w:val="24"/>
        </w:rPr>
        <w:t>autonom</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në pritje të shërbimeve të ueb-it nga palët e treta. Megjithatë, integrimi i sistemit të IT-së me sistemet bankare dhe sistemin e menaxhimit të pasurive të paluajtshme nuk u realizua siç ishte synuar fillimisht.</w:t>
      </w:r>
    </w:p>
    <w:p w14:paraId="3FEF18AA" w14:textId="2C137F4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Megjithatë, akoma ekzistojnë disa nevoja funksionale në lidhje me sistemin aktual </w:t>
      </w:r>
      <w:r w:rsidRPr="00913E39">
        <w:rPr>
          <w:rFonts w:ascii="Garamond" w:hAnsi="Garamond"/>
          <w:i/>
          <w:sz w:val="24"/>
        </w:rPr>
        <w:t>e-tatime</w:t>
      </w:r>
      <w:r w:rsidRPr="00913E39">
        <w:rPr>
          <w:rFonts w:ascii="Garamond" w:hAnsi="Garamond"/>
          <w:sz w:val="24"/>
        </w:rPr>
        <w:t xml:space="preserve">, duke përfshirë shtimin e një </w:t>
      </w:r>
      <w:r w:rsidR="00850FC7" w:rsidRPr="00913E39">
        <w:rPr>
          <w:rFonts w:ascii="Garamond" w:eastAsia="Times New Roman" w:hAnsi="Garamond" w:cs="Times New Roman"/>
          <w:sz w:val="24"/>
          <w:szCs w:val="24"/>
        </w:rPr>
        <w:t>“</w:t>
      </w:r>
      <w:r w:rsidRPr="00913E39">
        <w:rPr>
          <w:rFonts w:ascii="Garamond" w:hAnsi="Garamond"/>
          <w:sz w:val="24"/>
        </w:rPr>
        <w:t xml:space="preserve">Testi të </w:t>
      </w:r>
      <w:r w:rsidR="007950F4" w:rsidRPr="00913E39">
        <w:rPr>
          <w:rFonts w:ascii="Garamond" w:hAnsi="Garamond"/>
          <w:sz w:val="24"/>
        </w:rPr>
        <w:t>p</w:t>
      </w:r>
      <w:r w:rsidRPr="00913E39">
        <w:rPr>
          <w:rFonts w:ascii="Garamond" w:hAnsi="Garamond"/>
          <w:sz w:val="24"/>
        </w:rPr>
        <w:t>ërdoruesit</w:t>
      </w:r>
      <w:r w:rsidR="00850FC7" w:rsidRPr="00913E39">
        <w:rPr>
          <w:rFonts w:ascii="Garamond" w:eastAsia="Times New Roman" w:hAnsi="Garamond" w:cs="Times New Roman"/>
          <w:sz w:val="24"/>
          <w:szCs w:val="24"/>
        </w:rPr>
        <w:t>”</w:t>
      </w:r>
      <w:r w:rsidRPr="00913E39">
        <w:rPr>
          <w:rFonts w:ascii="Garamond" w:hAnsi="Garamond"/>
          <w:sz w:val="24"/>
        </w:rPr>
        <w:t xml:space="preserve"> për tatimpaguesit për t</w:t>
      </w:r>
      <w:r w:rsidR="005222A5" w:rsidRPr="00913E39">
        <w:rPr>
          <w:rFonts w:ascii="Garamond" w:hAnsi="Garamond"/>
          <w:sz w:val="24"/>
        </w:rPr>
        <w:t>’</w:t>
      </w:r>
      <w:r w:rsidRPr="00913E39">
        <w:rPr>
          <w:rFonts w:ascii="Garamond" w:hAnsi="Garamond"/>
          <w:sz w:val="24"/>
        </w:rPr>
        <w:t xml:space="preserve">u njohur me sistemin dhe </w:t>
      </w:r>
      <w:r w:rsidRPr="00913E39">
        <w:rPr>
          <w:rFonts w:ascii="Garamond" w:hAnsi="Garamond"/>
          <w:sz w:val="24"/>
        </w:rPr>
        <w:lastRenderedPageBreak/>
        <w:t>përditësimet e tij, automatizimin e proceseve specifike të punës, lidhjen me sistemin e fiskalizimit për transferimin e të dhënave dhe përditësimin e Manualit të Përdoruesit për të përfshirë një historik të ndryshëm të bërë, në dobi të tatimpaguesve dhe administratës tatimore.</w:t>
      </w:r>
    </w:p>
    <w:p w14:paraId="52920E5E"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Një sfidë tjetër e rëndësishme ka të bëjë me Kadastrën Fiskale të Pronave. Taksimi i ndërtesave nga sistemi nuk mund të kryhej për shkak të angazhimit të kufizuar nga bashkitë për regjistrimin dhe përditësimin e të dhënave, si dhe për shkak të problemeve me cilësinë e të dhënave. Sistemi i IT-së është përmirësuar dhe është gati për taksimin, me një proces pilot të iniciuar në disa bashki. Megjithatë, procesi i vlerësimit për vlerat e zonave në të gjitha bashkitë mbetet jo i plotë për shkak të rreziqeve operacionale që dalin nga projekti</w:t>
      </w:r>
      <w:bookmarkStart w:id="15" w:name="_Hlk149125359"/>
      <w:r w:rsidRPr="00913E39">
        <w:rPr>
          <w:rFonts w:ascii="Garamond" w:hAnsi="Garamond"/>
          <w:sz w:val="24"/>
        </w:rPr>
        <w:t xml:space="preserve"> i vlerësimit të pronave sipas zonës</w:t>
      </w:r>
      <w:bookmarkEnd w:id="15"/>
      <w:r w:rsidRPr="00913E39">
        <w:rPr>
          <w:rFonts w:ascii="Garamond" w:hAnsi="Garamond"/>
          <w:sz w:val="24"/>
        </w:rPr>
        <w:t>, kohëzgjatjes së tepërt dhe vështirësitë me cilësinë dhe disponueshmërinë e të dhënave. Aktualisht është duke u zhvilluar analiza e të dhënave.</w:t>
      </w:r>
    </w:p>
    <w:p w14:paraId="483E1978" w14:textId="77777777" w:rsidR="00847F23" w:rsidRPr="00913E39" w:rsidRDefault="00847F23" w:rsidP="00FC4C60">
      <w:pPr>
        <w:spacing w:after="0" w:line="240" w:lineRule="auto"/>
        <w:ind w:firstLine="284"/>
        <w:jc w:val="both"/>
        <w:rPr>
          <w:rFonts w:ascii="Garamond" w:hAnsi="Garamond"/>
          <w:i/>
          <w:sz w:val="24"/>
        </w:rPr>
      </w:pPr>
    </w:p>
    <w:p w14:paraId="1163EAF6" w14:textId="5D19805F"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Tabela 9</w:t>
      </w:r>
      <w:r w:rsidR="00977C00" w:rsidRPr="00913E39">
        <w:rPr>
          <w:rFonts w:ascii="Garamond" w:hAnsi="Garamond"/>
          <w:i/>
          <w:sz w:val="24"/>
        </w:rPr>
        <w:t>.</w:t>
      </w:r>
      <w:r w:rsidRPr="00913E39">
        <w:rPr>
          <w:rFonts w:ascii="Garamond" w:hAnsi="Garamond"/>
          <w:i/>
          <w:sz w:val="24"/>
        </w:rPr>
        <w:t xml:space="preserve"> Analiza SWOT për </w:t>
      </w:r>
      <w:r w:rsidR="00977C00" w:rsidRPr="00913E39">
        <w:rPr>
          <w:rFonts w:ascii="Garamond" w:hAnsi="Garamond"/>
          <w:i/>
          <w:sz w:val="24"/>
        </w:rPr>
        <w:t>nënfushën e mbështetjes tatimet</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5811"/>
      </w:tblGrid>
      <w:tr w:rsidR="00847F23" w:rsidRPr="00913E39" w14:paraId="40DAB930" w14:textId="77777777" w:rsidTr="000268BB">
        <w:trPr>
          <w:trHeight w:val="20"/>
        </w:trPr>
        <w:tc>
          <w:tcPr>
            <w:tcW w:w="3256" w:type="dxa"/>
            <w:shd w:val="clear" w:color="auto" w:fill="D9D9D9"/>
          </w:tcPr>
          <w:p w14:paraId="41399517"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PIKAT E FORTA</w:t>
            </w:r>
          </w:p>
        </w:tc>
        <w:tc>
          <w:tcPr>
            <w:tcW w:w="5811" w:type="dxa"/>
            <w:shd w:val="clear" w:color="auto" w:fill="D9D9D9"/>
          </w:tcPr>
          <w:p w14:paraId="59197642" w14:textId="77777777" w:rsidR="00847F23" w:rsidRPr="00913E39" w:rsidRDefault="00847F23" w:rsidP="000268B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2A4B5E2B" w14:textId="77777777" w:rsidTr="000268BB">
        <w:trPr>
          <w:trHeight w:val="20"/>
        </w:trPr>
        <w:tc>
          <w:tcPr>
            <w:tcW w:w="3256" w:type="dxa"/>
            <w:shd w:val="clear" w:color="auto" w:fill="auto"/>
          </w:tcPr>
          <w:p w14:paraId="21FF3FE7" w14:textId="77777777" w:rsidR="00847F23" w:rsidRPr="00913E39" w:rsidRDefault="00847F23" w:rsidP="000268BB">
            <w:pPr>
              <w:spacing w:after="0" w:line="240" w:lineRule="auto"/>
              <w:rPr>
                <w:rFonts w:ascii="Garamond" w:hAnsi="Garamond"/>
                <w:sz w:val="18"/>
              </w:rPr>
            </w:pPr>
            <w:r w:rsidRPr="00913E39">
              <w:rPr>
                <w:rFonts w:ascii="Garamond" w:hAnsi="Garamond"/>
                <w:sz w:val="18"/>
              </w:rPr>
              <w:t>Sistemi digjital i tatimeve është tashmë operacional.</w:t>
            </w:r>
            <w:r w:rsidR="00693B1A" w:rsidRPr="00913E39">
              <w:rPr>
                <w:rFonts w:ascii="Garamond" w:hAnsi="Garamond"/>
                <w:sz w:val="18"/>
              </w:rPr>
              <w:t xml:space="preserve"> </w:t>
            </w:r>
          </w:p>
        </w:tc>
        <w:tc>
          <w:tcPr>
            <w:tcW w:w="5811" w:type="dxa"/>
            <w:shd w:val="clear" w:color="auto" w:fill="auto"/>
          </w:tcPr>
          <w:p w14:paraId="5843561C"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Të dhënat bankare, doganat dhe regjistrat e noterëve janë tashmë të ndërveprueshëm.</w:t>
            </w:r>
          </w:p>
        </w:tc>
      </w:tr>
      <w:tr w:rsidR="00847F23" w:rsidRPr="00913E39" w14:paraId="17214C35" w14:textId="77777777" w:rsidTr="000268BB">
        <w:trPr>
          <w:trHeight w:val="20"/>
        </w:trPr>
        <w:tc>
          <w:tcPr>
            <w:tcW w:w="3256" w:type="dxa"/>
            <w:shd w:val="clear" w:color="auto" w:fill="auto"/>
          </w:tcPr>
          <w:p w14:paraId="286863FA" w14:textId="5E295B58" w:rsidR="00847F23" w:rsidRPr="00913E39" w:rsidRDefault="00847F23" w:rsidP="000268BB">
            <w:pPr>
              <w:spacing w:after="0" w:line="240" w:lineRule="auto"/>
              <w:rPr>
                <w:rFonts w:ascii="Garamond" w:hAnsi="Garamond"/>
                <w:b/>
                <w:sz w:val="18"/>
              </w:rPr>
            </w:pPr>
            <w:r w:rsidRPr="00913E39">
              <w:rPr>
                <w:rFonts w:ascii="Garamond" w:hAnsi="Garamond"/>
                <w:sz w:val="18"/>
              </w:rPr>
              <w:t>Shqipëria ka bërë progres të lavdërueshëm për forcimin e kapaciteteve të saj tatimore dhe MFP</w:t>
            </w:r>
            <w:r w:rsidR="006D1036" w:rsidRPr="00913E39">
              <w:rPr>
                <w:rFonts w:ascii="Garamond" w:hAnsi="Garamond"/>
                <w:sz w:val="18"/>
              </w:rPr>
              <w:t>-së</w:t>
            </w:r>
            <w:r w:rsidRPr="00913E39">
              <w:rPr>
                <w:rFonts w:ascii="Garamond" w:hAnsi="Garamond"/>
                <w:sz w:val="18"/>
              </w:rPr>
              <w:t>.</w:t>
            </w:r>
            <w:r w:rsidR="00693B1A" w:rsidRPr="00913E39">
              <w:rPr>
                <w:rFonts w:ascii="Garamond" w:hAnsi="Garamond"/>
                <w:sz w:val="18"/>
              </w:rPr>
              <w:t xml:space="preserve"> </w:t>
            </w:r>
            <w:r w:rsidRPr="00913E39">
              <w:rPr>
                <w:rFonts w:ascii="Garamond" w:hAnsi="Garamond"/>
                <w:sz w:val="18"/>
              </w:rPr>
              <w:t xml:space="preserve"> </w:t>
            </w:r>
          </w:p>
        </w:tc>
        <w:tc>
          <w:tcPr>
            <w:tcW w:w="5811" w:type="dxa"/>
            <w:shd w:val="clear" w:color="auto" w:fill="auto"/>
          </w:tcPr>
          <w:p w14:paraId="47D024D1" w14:textId="0D2BA371" w:rsidR="00847F23" w:rsidRPr="00913E39" w:rsidRDefault="00847F23" w:rsidP="000268BB">
            <w:pPr>
              <w:spacing w:after="0" w:line="240" w:lineRule="auto"/>
              <w:jc w:val="both"/>
              <w:rPr>
                <w:rFonts w:ascii="Garamond" w:hAnsi="Garamond"/>
                <w:b/>
                <w:sz w:val="18"/>
              </w:rPr>
            </w:pPr>
            <w:r w:rsidRPr="00913E39">
              <w:rPr>
                <w:rFonts w:ascii="Garamond" w:hAnsi="Garamond"/>
                <w:sz w:val="18"/>
              </w:rPr>
              <w:t xml:space="preserve">Sipas raportit të vendit nga FMN-së për vitin 2019, Shqipëria ka ndërmarrë masa thelbësore në vitet e fundit për të rritur efikasitetin e administratës tatimore, për të rritur kapacitetin e autoritetit tatimor, për të krijuar baza të të dhënave gjithëpërfshirëse dhe për të luftuar korrupsionin. Këto përpjekje kanë dhënë rezultate pozitive dhe kanë hedhur një themel të fortë për përmirësime të mëtejshme. Dëshmi e trajektores pozitive në Menaxhimin e Financave Publike është rritja e rezultatit të përgjithshëm të MFP-së nga 2.8 </w:t>
            </w:r>
            <w:r w:rsidR="006D1036" w:rsidRPr="00913E39">
              <w:rPr>
                <w:rFonts w:ascii="Garamond" w:hAnsi="Garamond"/>
                <w:sz w:val="18"/>
              </w:rPr>
              <w:t>m</w:t>
            </w:r>
            <w:r w:rsidRPr="00913E39">
              <w:rPr>
                <w:rFonts w:ascii="Garamond" w:hAnsi="Garamond"/>
                <w:sz w:val="18"/>
              </w:rPr>
              <w:t xml:space="preserve">ë 2017 në 3.3 </w:t>
            </w:r>
            <w:r w:rsidR="006D1036" w:rsidRPr="00913E39">
              <w:rPr>
                <w:rFonts w:ascii="Garamond" w:hAnsi="Garamond"/>
                <w:sz w:val="18"/>
              </w:rPr>
              <w:t>m</w:t>
            </w:r>
            <w:r w:rsidRPr="00913E39">
              <w:rPr>
                <w:rFonts w:ascii="Garamond" w:hAnsi="Garamond"/>
                <w:sz w:val="18"/>
              </w:rPr>
              <w:t>ë 2021, sipas raportit të monitorimit SIGMA 2021.</w:t>
            </w:r>
          </w:p>
        </w:tc>
      </w:tr>
      <w:tr w:rsidR="00847F23" w:rsidRPr="00913E39" w14:paraId="69EFC0E9" w14:textId="77777777" w:rsidTr="000268BB">
        <w:trPr>
          <w:trHeight w:val="20"/>
        </w:trPr>
        <w:tc>
          <w:tcPr>
            <w:tcW w:w="3256" w:type="dxa"/>
            <w:shd w:val="clear" w:color="auto" w:fill="auto"/>
          </w:tcPr>
          <w:p w14:paraId="73753E67" w14:textId="2D900402" w:rsidR="00847F23" w:rsidRPr="00913E39" w:rsidRDefault="00847F23" w:rsidP="000268BB">
            <w:pPr>
              <w:spacing w:after="0" w:line="240" w:lineRule="auto"/>
              <w:rPr>
                <w:rFonts w:ascii="Garamond" w:hAnsi="Garamond"/>
                <w:sz w:val="18"/>
              </w:rPr>
            </w:pPr>
            <w:r w:rsidRPr="00913E39">
              <w:rPr>
                <w:rFonts w:ascii="Garamond" w:hAnsi="Garamond"/>
                <w:sz w:val="18"/>
              </w:rPr>
              <w:t xml:space="preserve">Zbatimi i procedurave automatike të bazuara në rrezikun për rimbursimet e TVSH-së, me një normë realizimi 95% </w:t>
            </w:r>
            <w:r w:rsidR="006D1036" w:rsidRPr="00913E39">
              <w:rPr>
                <w:rFonts w:ascii="Garamond" w:hAnsi="Garamond"/>
                <w:sz w:val="18"/>
              </w:rPr>
              <w:t>m</w:t>
            </w:r>
            <w:r w:rsidRPr="00913E39">
              <w:rPr>
                <w:rFonts w:ascii="Garamond" w:hAnsi="Garamond"/>
                <w:sz w:val="18"/>
              </w:rPr>
              <w:t>ë 2021.</w:t>
            </w:r>
            <w:r w:rsidR="00693B1A" w:rsidRPr="00913E39">
              <w:rPr>
                <w:rFonts w:ascii="Garamond" w:hAnsi="Garamond"/>
                <w:sz w:val="18"/>
              </w:rPr>
              <w:t xml:space="preserve"> </w:t>
            </w:r>
          </w:p>
        </w:tc>
        <w:tc>
          <w:tcPr>
            <w:tcW w:w="5811" w:type="dxa"/>
            <w:shd w:val="clear" w:color="auto" w:fill="auto"/>
          </w:tcPr>
          <w:p w14:paraId="73E7FB9D" w14:textId="287D8544"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Raporti i monitorimit të Strategjisë së MFP-së. Raporti 2021 &amp; MFE për aktivitetet e MFP-së </w:t>
            </w:r>
            <w:r w:rsidR="006D1036" w:rsidRPr="00913E39">
              <w:rPr>
                <w:rFonts w:ascii="Garamond" w:hAnsi="Garamond"/>
                <w:sz w:val="18"/>
              </w:rPr>
              <w:t>m</w:t>
            </w:r>
            <w:r w:rsidRPr="00913E39">
              <w:rPr>
                <w:rFonts w:ascii="Garamond" w:hAnsi="Garamond"/>
                <w:sz w:val="18"/>
              </w:rPr>
              <w:t xml:space="preserve">ë 2022: Të dhënat dhe statistikat nga administrata tatimore ose raportet përkatëse mund të mbështesin pretendimin për zbatimin e suksesshëm të procedurave automatike të bazuara në risk për rimbursimet e TVSH-së, siç është norma e realizimit 95% </w:t>
            </w:r>
            <w:r w:rsidR="006D1036" w:rsidRPr="00913E39">
              <w:rPr>
                <w:rFonts w:ascii="Garamond" w:hAnsi="Garamond"/>
                <w:sz w:val="18"/>
              </w:rPr>
              <w:t>m</w:t>
            </w:r>
            <w:r w:rsidRPr="00913E39">
              <w:rPr>
                <w:rFonts w:ascii="Garamond" w:hAnsi="Garamond"/>
                <w:sz w:val="18"/>
              </w:rPr>
              <w:t>ë 2021.</w:t>
            </w:r>
          </w:p>
          <w:p w14:paraId="25AC9C2A" w14:textId="0939E2CF" w:rsidR="00847F23" w:rsidRPr="00913E39" w:rsidRDefault="00847F23" w:rsidP="000268BB">
            <w:pPr>
              <w:spacing w:after="0" w:line="240" w:lineRule="auto"/>
              <w:rPr>
                <w:rFonts w:ascii="Garamond" w:eastAsia="DengXian" w:hAnsi="Garamond" w:cs="Times New Roman"/>
                <w:sz w:val="18"/>
                <w:szCs w:val="18"/>
                <w:lang w:eastAsia="ja-JP"/>
              </w:rPr>
            </w:pPr>
            <w:r w:rsidRPr="00913E39">
              <w:rPr>
                <w:rFonts w:ascii="Garamond" w:eastAsia="DengXian" w:hAnsi="Garamond" w:cs="Times New Roman"/>
                <w:sz w:val="18"/>
                <w:szCs w:val="18"/>
                <w:lang w:eastAsia="ja-JP"/>
              </w:rPr>
              <w:t xml:space="preserve">Që nga data 7 </w:t>
            </w:r>
            <w:r w:rsidR="006D1036" w:rsidRPr="00913E39">
              <w:rPr>
                <w:rFonts w:ascii="Garamond" w:eastAsia="DengXian" w:hAnsi="Garamond" w:cs="Times New Roman"/>
                <w:sz w:val="18"/>
                <w:szCs w:val="18"/>
                <w:lang w:eastAsia="ja-JP"/>
              </w:rPr>
              <w:t>m</w:t>
            </w:r>
            <w:r w:rsidRPr="00913E39">
              <w:rPr>
                <w:rFonts w:ascii="Garamond" w:eastAsia="DengXian" w:hAnsi="Garamond" w:cs="Times New Roman"/>
                <w:sz w:val="18"/>
                <w:szCs w:val="18"/>
                <w:lang w:eastAsia="ja-JP"/>
              </w:rPr>
              <w:t xml:space="preserve">ars 2022, të gjitha kërkesat për rimbursimin e TVSH-së bëhen </w:t>
            </w:r>
            <w:r w:rsidRPr="00913E39">
              <w:rPr>
                <w:rFonts w:ascii="Garamond" w:eastAsia="DengXian" w:hAnsi="Garamond" w:cs="Times New Roman"/>
                <w:i/>
                <w:sz w:val="18"/>
                <w:szCs w:val="18"/>
                <w:lang w:eastAsia="ja-JP"/>
              </w:rPr>
              <w:t>online</w:t>
            </w:r>
            <w:r w:rsidRPr="00913E39">
              <w:rPr>
                <w:rFonts w:ascii="Garamond" w:eastAsia="DengXian" w:hAnsi="Garamond" w:cs="Times New Roman"/>
                <w:sz w:val="18"/>
                <w:szCs w:val="18"/>
                <w:lang w:eastAsia="ja-JP"/>
              </w:rPr>
              <w:t xml:space="preserve"> nëpërmjet Platformës Digjitale të Rimbursimit të TVSH-së, në sistemin </w:t>
            </w:r>
            <w:r w:rsidRPr="00913E39">
              <w:rPr>
                <w:rFonts w:ascii="Garamond" w:eastAsia="DengXian" w:hAnsi="Garamond" w:cs="Times New Roman"/>
                <w:i/>
                <w:sz w:val="18"/>
                <w:szCs w:val="18"/>
                <w:lang w:eastAsia="ja-JP"/>
              </w:rPr>
              <w:t>e-tatime</w:t>
            </w:r>
            <w:r w:rsidRPr="00913E39">
              <w:rPr>
                <w:rFonts w:ascii="Garamond" w:eastAsia="DengXian" w:hAnsi="Garamond" w:cs="Times New Roman"/>
                <w:sz w:val="18"/>
                <w:szCs w:val="18"/>
                <w:lang w:eastAsia="ja-JP"/>
              </w:rPr>
              <w:t>. Ky proces ka thjeshtuar procedurën e rimbursimit duke shmangur kontaktin fizik, si dhe ndjekjen e kërkesës. Aktualisht afati për finalizimin e rimbursimit është nga 42 deri në 45 ditë.</w:t>
            </w:r>
          </w:p>
        </w:tc>
      </w:tr>
      <w:tr w:rsidR="00847F23" w:rsidRPr="00913E39" w14:paraId="7E6F2D4A" w14:textId="77777777" w:rsidTr="000268BB">
        <w:trPr>
          <w:trHeight w:val="20"/>
        </w:trPr>
        <w:tc>
          <w:tcPr>
            <w:tcW w:w="3256" w:type="dxa"/>
            <w:shd w:val="clear" w:color="auto" w:fill="auto"/>
          </w:tcPr>
          <w:p w14:paraId="2DC899B1" w14:textId="77777777" w:rsidR="00847F23" w:rsidRPr="00913E39" w:rsidRDefault="00847F23" w:rsidP="000268BB">
            <w:pPr>
              <w:spacing w:after="0" w:line="240" w:lineRule="auto"/>
              <w:rPr>
                <w:rFonts w:ascii="Garamond" w:eastAsia="Times New Roman" w:hAnsi="Garamond" w:cs="Times New Roman"/>
                <w:sz w:val="18"/>
                <w:szCs w:val="18"/>
              </w:rPr>
            </w:pPr>
            <w:r w:rsidRPr="00913E39">
              <w:rPr>
                <w:rFonts w:ascii="Garamond" w:eastAsia="Times New Roman" w:hAnsi="Garamond" w:cs="Times New Roman"/>
                <w:sz w:val="18"/>
                <w:szCs w:val="18"/>
              </w:rPr>
              <w:t>Rritja e informacionit të tatimpaguesve dhe korrigjimi vullnetar i detyrimeve tatimore nëpërmjet krijimit të një regjistri të plotë dhe të saktë të tatimpaguesve.</w:t>
            </w:r>
            <w:r w:rsidR="00693B1A" w:rsidRPr="00913E39">
              <w:rPr>
                <w:rFonts w:ascii="Garamond" w:eastAsia="Times New Roman" w:hAnsi="Garamond" w:cs="Times New Roman"/>
                <w:sz w:val="18"/>
                <w:szCs w:val="18"/>
              </w:rPr>
              <w:t xml:space="preserve"> </w:t>
            </w:r>
          </w:p>
        </w:tc>
        <w:tc>
          <w:tcPr>
            <w:tcW w:w="5811" w:type="dxa"/>
            <w:shd w:val="clear" w:color="auto" w:fill="auto"/>
          </w:tcPr>
          <w:p w14:paraId="03BCD620" w14:textId="7766806A"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Raporti i monitorimit të Strategjisë së MFP-së. Raporti 2021 &amp; MFE për aktivitetet MFP </w:t>
            </w:r>
            <w:r w:rsidR="006D1036" w:rsidRPr="00913E39">
              <w:rPr>
                <w:rFonts w:ascii="Garamond" w:hAnsi="Garamond"/>
                <w:sz w:val="18"/>
              </w:rPr>
              <w:t>m</w:t>
            </w:r>
            <w:r w:rsidRPr="00913E39">
              <w:rPr>
                <w:rFonts w:ascii="Garamond" w:hAnsi="Garamond"/>
                <w:sz w:val="18"/>
              </w:rPr>
              <w:t>ë 2022: Referenca për krijimin e një regjistri të plotë dhe të saktë të tatimpaguesve mund të mbështetet me dokumentacion ose raporte zyrtare nga Drejtoria e Përgjithshme e Tatimeve (DPT) ose autoritetet përkatëse.</w:t>
            </w:r>
          </w:p>
        </w:tc>
      </w:tr>
      <w:tr w:rsidR="00847F23" w:rsidRPr="00913E39" w14:paraId="12A08233" w14:textId="77777777" w:rsidTr="000268BB">
        <w:trPr>
          <w:trHeight w:val="20"/>
        </w:trPr>
        <w:tc>
          <w:tcPr>
            <w:tcW w:w="3256" w:type="dxa"/>
            <w:shd w:val="clear" w:color="auto" w:fill="auto"/>
          </w:tcPr>
          <w:p w14:paraId="0A295B69" w14:textId="77777777" w:rsidR="00847F23" w:rsidRPr="00913E39" w:rsidRDefault="00847F23" w:rsidP="000268BB">
            <w:pPr>
              <w:spacing w:after="0" w:line="240" w:lineRule="auto"/>
              <w:rPr>
                <w:rFonts w:ascii="Garamond" w:hAnsi="Garamond"/>
                <w:sz w:val="18"/>
              </w:rPr>
            </w:pPr>
            <w:r w:rsidRPr="00913E39">
              <w:rPr>
                <w:rFonts w:ascii="Garamond" w:hAnsi="Garamond"/>
                <w:sz w:val="18"/>
              </w:rPr>
              <w:t>Performancë e lartë në prokurimin publik, Kontrollin e Menaxhimit Financiar (MFK), auditimin e brendshëm dhe auditimin e jashtëm.</w:t>
            </w:r>
          </w:p>
        </w:tc>
        <w:tc>
          <w:tcPr>
            <w:tcW w:w="5811" w:type="dxa"/>
            <w:shd w:val="clear" w:color="auto" w:fill="auto"/>
          </w:tcPr>
          <w:p w14:paraId="6FA4716E"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Treguesit dhe të dhënat specifike nga raporti i monitorimit SIGMA mund të citohen për të theksuar performancën e lartë në prokurimin publik, Kontrollin e Menaxhimit Financiar (MFK), auditimin e brendshëm dhe auditimin e jashtëm.</w:t>
            </w:r>
          </w:p>
        </w:tc>
      </w:tr>
      <w:tr w:rsidR="00847F23" w:rsidRPr="00913E39" w14:paraId="4DEA6A58" w14:textId="77777777" w:rsidTr="000268BB">
        <w:trPr>
          <w:trHeight w:val="20"/>
        </w:trPr>
        <w:tc>
          <w:tcPr>
            <w:tcW w:w="3256" w:type="dxa"/>
            <w:shd w:val="clear" w:color="auto" w:fill="auto"/>
          </w:tcPr>
          <w:p w14:paraId="32AF8E1C" w14:textId="77777777" w:rsidR="00847F23" w:rsidRPr="00913E39" w:rsidRDefault="00847F23" w:rsidP="000268BB">
            <w:pPr>
              <w:spacing w:after="0" w:line="240" w:lineRule="auto"/>
              <w:rPr>
                <w:rFonts w:ascii="Garamond" w:hAnsi="Garamond"/>
                <w:sz w:val="18"/>
              </w:rPr>
            </w:pPr>
            <w:r w:rsidRPr="00913E39">
              <w:rPr>
                <w:rFonts w:ascii="Garamond" w:hAnsi="Garamond"/>
                <w:sz w:val="18"/>
              </w:rPr>
              <w:t>Përmirësime të rëndësishme në zbatim të menaxhimit të riskut, sistemet e teknologjisë së informacionit, strukturat organizative dhe transparencën e tatimpaguesve.</w:t>
            </w:r>
            <w:r w:rsidR="00693B1A" w:rsidRPr="00913E39">
              <w:rPr>
                <w:rFonts w:ascii="Garamond" w:hAnsi="Garamond"/>
                <w:sz w:val="18"/>
              </w:rPr>
              <w:t xml:space="preserve"> </w:t>
            </w:r>
          </w:p>
        </w:tc>
        <w:tc>
          <w:tcPr>
            <w:tcW w:w="5811" w:type="dxa"/>
            <w:shd w:val="clear" w:color="auto" w:fill="auto"/>
          </w:tcPr>
          <w:p w14:paraId="13EB88C3"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Mund të përfshihen shembuj dhe raste studimore që tregojnë përmirësime të rëndësishme në zbatim të menaxhimit të riskut, sistemet e teknologjisë së informacionit, strukturat organizative dhe transparencën e tatimpaguesve.</w:t>
            </w:r>
          </w:p>
        </w:tc>
      </w:tr>
    </w:tbl>
    <w:p w14:paraId="34FE9314" w14:textId="77777777" w:rsidR="00847F23" w:rsidRPr="00913E39" w:rsidRDefault="00847F23" w:rsidP="00FC4C60">
      <w:pPr>
        <w:spacing w:after="0" w:line="240" w:lineRule="auto"/>
        <w:ind w:firstLine="284"/>
        <w:rPr>
          <w:rFonts w:ascii="Garamond" w:hAnsi="Garamond"/>
          <w:vanish/>
          <w:sz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811"/>
      </w:tblGrid>
      <w:tr w:rsidR="00847F23" w:rsidRPr="00913E39" w14:paraId="6BE7124F" w14:textId="77777777" w:rsidTr="00B27420">
        <w:tc>
          <w:tcPr>
            <w:tcW w:w="3256" w:type="dxa"/>
            <w:shd w:val="clear" w:color="auto" w:fill="D9D9D9"/>
          </w:tcPr>
          <w:p w14:paraId="255D2954"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PIKAT E DOBËTA</w:t>
            </w:r>
          </w:p>
        </w:tc>
        <w:tc>
          <w:tcPr>
            <w:tcW w:w="5811" w:type="dxa"/>
            <w:shd w:val="clear" w:color="auto" w:fill="D9D9D9"/>
          </w:tcPr>
          <w:p w14:paraId="020744CD" w14:textId="77777777" w:rsidR="00847F23" w:rsidRPr="00913E39" w:rsidRDefault="00847F23" w:rsidP="000268B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6C1E7240" w14:textId="77777777" w:rsidTr="00B27420">
        <w:tc>
          <w:tcPr>
            <w:tcW w:w="3256" w:type="dxa"/>
            <w:shd w:val="clear" w:color="auto" w:fill="auto"/>
          </w:tcPr>
          <w:p w14:paraId="1AB6567E" w14:textId="77777777" w:rsidR="00847F23" w:rsidRPr="00913E39" w:rsidRDefault="00847F23" w:rsidP="000268BB">
            <w:pPr>
              <w:spacing w:after="0" w:line="240" w:lineRule="auto"/>
              <w:rPr>
                <w:rFonts w:ascii="Garamond" w:hAnsi="Garamond"/>
                <w:sz w:val="18"/>
              </w:rPr>
            </w:pPr>
            <w:r w:rsidRPr="00913E39">
              <w:rPr>
                <w:rFonts w:ascii="Garamond" w:hAnsi="Garamond"/>
                <w:sz w:val="18"/>
              </w:rPr>
              <w:t>Integrimi i suksesshëm dhe ndërveprimi i sistemeve kombëtare të taksave nuk mbështetet me kapacitete dhe burime të mjaftueshme teknike.</w:t>
            </w:r>
            <w:r w:rsidR="00693B1A" w:rsidRPr="00913E39">
              <w:rPr>
                <w:rFonts w:ascii="Garamond" w:hAnsi="Garamond"/>
                <w:sz w:val="18"/>
              </w:rPr>
              <w:t xml:space="preserve"> </w:t>
            </w:r>
          </w:p>
        </w:tc>
        <w:tc>
          <w:tcPr>
            <w:tcW w:w="5811" w:type="dxa"/>
            <w:shd w:val="clear" w:color="auto" w:fill="auto"/>
          </w:tcPr>
          <w:p w14:paraId="6020D8A4" w14:textId="37D95C2E"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Sipas Bankës Botërore, Shqipëria është përballur me sfida sa </w:t>
            </w:r>
            <w:r w:rsidR="00C645AF" w:rsidRPr="00913E39">
              <w:rPr>
                <w:rFonts w:ascii="Garamond" w:hAnsi="Garamond"/>
                <w:sz w:val="18"/>
              </w:rPr>
              <w:t>u</w:t>
            </w:r>
            <w:r w:rsidRPr="00913E39">
              <w:rPr>
                <w:rFonts w:ascii="Garamond" w:hAnsi="Garamond"/>
                <w:sz w:val="18"/>
              </w:rPr>
              <w:t xml:space="preserve"> përket kapaciteteve teknike të administratës së saj tatimore. Këto sfida rrjedhin nga burimet e kufizuara dhe mungesa e personelit të kualifikuar. Si rezultat, integrimi i plotë i sistemit tatimor të Shqipërisë me atë të Bashkimit Evropian (BE) mund të jetë një detyrë e vështirë. Për të adresuar këto sfida, përpjekje shtesë duhet të përqendrohen në rritjen e aftësive dhe kapaciteteve të përgjithshme të administratës tatimore. Kjo përfshin përmirësimin e aftësive në profilizimin dhe vlerësimin e riskut të tatimpaguesve, si dhe përshpejtimin e reformave që lehtësojnë kalimin në proceset e dosjeve tërësisht elektronike.</w:t>
            </w:r>
          </w:p>
          <w:p w14:paraId="6724069C"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Shkëmbimi i sasive të mëdha të informacionit në mënyrë të vazhdueshme kërkon infrastrukturë të fuqishme dhe teknologji të përmirësuar me një rritje të kapaciteteve të pajisjeve dhe programeve për të mundësuar ndërveprim me sistemet e tjera dhe ndryshime të vazhdueshme në sistem.</w:t>
            </w:r>
          </w:p>
        </w:tc>
      </w:tr>
      <w:tr w:rsidR="00847F23" w:rsidRPr="00913E39" w14:paraId="18C1B49F" w14:textId="77777777" w:rsidTr="00B27420">
        <w:tc>
          <w:tcPr>
            <w:tcW w:w="3256" w:type="dxa"/>
            <w:shd w:val="clear" w:color="auto" w:fill="auto"/>
          </w:tcPr>
          <w:p w14:paraId="6711EA72" w14:textId="77777777" w:rsidR="00847F23" w:rsidRPr="00913E39" w:rsidRDefault="00847F23" w:rsidP="000268BB">
            <w:pPr>
              <w:spacing w:after="0" w:line="240" w:lineRule="auto"/>
              <w:rPr>
                <w:rFonts w:ascii="Garamond" w:hAnsi="Garamond"/>
                <w:sz w:val="18"/>
              </w:rPr>
            </w:pPr>
            <w:r w:rsidRPr="00913E39">
              <w:rPr>
                <w:rFonts w:ascii="Garamond" w:hAnsi="Garamond"/>
                <w:sz w:val="18"/>
              </w:rPr>
              <w:t xml:space="preserve">Integrimit dhe ndërveprimit të sistemeve kombëtare tatimore ende i mungon një kuadër i fortë ligjor dhe institucional për të mundësuar strukturën dhe udhëzimet e nevojshme për bashkëpunim dhe </w:t>
            </w:r>
            <w:r w:rsidRPr="00913E39">
              <w:rPr>
                <w:rFonts w:ascii="Garamond" w:hAnsi="Garamond"/>
                <w:sz w:val="18"/>
              </w:rPr>
              <w:lastRenderedPageBreak/>
              <w:t>koordinim efektiv ndërmjet administratave të ndryshme tatimore.</w:t>
            </w:r>
            <w:r w:rsidR="00693B1A" w:rsidRPr="00913E39">
              <w:rPr>
                <w:rFonts w:ascii="Garamond" w:hAnsi="Garamond"/>
                <w:sz w:val="18"/>
              </w:rPr>
              <w:t xml:space="preserve"> </w:t>
            </w:r>
          </w:p>
        </w:tc>
        <w:tc>
          <w:tcPr>
            <w:tcW w:w="5811" w:type="dxa"/>
            <w:shd w:val="clear" w:color="auto" w:fill="auto"/>
          </w:tcPr>
          <w:p w14:paraId="355C1884" w14:textId="5C1CD2C2" w:rsidR="00847F23" w:rsidRPr="00913E39" w:rsidRDefault="00847F23" w:rsidP="000268BB">
            <w:pPr>
              <w:spacing w:after="0" w:line="240" w:lineRule="auto"/>
              <w:jc w:val="both"/>
              <w:rPr>
                <w:rFonts w:ascii="Garamond" w:hAnsi="Garamond"/>
                <w:sz w:val="18"/>
              </w:rPr>
            </w:pPr>
            <w:r w:rsidRPr="00913E39">
              <w:rPr>
                <w:rFonts w:ascii="Garamond" w:hAnsi="Garamond"/>
                <w:sz w:val="18"/>
              </w:rPr>
              <w:lastRenderedPageBreak/>
              <w:t>Raporti i KE-së 2022: Shqipëria ka bërë progres në reformimin e kuadrit ligjor dhe institucional për tatimet, por ka ende vend për përmirësim. BE-ja kërkon një nivel të lartë zbatimi të rregulloreve tatimore dhe mund t</w:t>
            </w:r>
            <w:r w:rsidR="005222A5" w:rsidRPr="00913E39">
              <w:rPr>
                <w:rFonts w:ascii="Garamond" w:hAnsi="Garamond"/>
                <w:sz w:val="18"/>
              </w:rPr>
              <w:t>’</w:t>
            </w:r>
            <w:r w:rsidRPr="00913E39">
              <w:rPr>
                <w:rFonts w:ascii="Garamond" w:hAnsi="Garamond"/>
                <w:sz w:val="18"/>
              </w:rPr>
              <w:t>i kërkojë Shqipërisë të bëjë reforma të mëtejshme në kuadrin e saj ligjor dhe institucional.</w:t>
            </w:r>
          </w:p>
          <w:p w14:paraId="29255885" w14:textId="77777777" w:rsidR="00847F23" w:rsidRPr="00913E39" w:rsidRDefault="00847F23" w:rsidP="000268BB">
            <w:pPr>
              <w:spacing w:after="0" w:line="240" w:lineRule="auto"/>
              <w:jc w:val="both"/>
              <w:rPr>
                <w:rFonts w:ascii="Garamond" w:hAnsi="Garamond"/>
                <w:b/>
                <w:sz w:val="18"/>
              </w:rPr>
            </w:pPr>
          </w:p>
        </w:tc>
      </w:tr>
      <w:tr w:rsidR="00847F23" w:rsidRPr="00913E39" w14:paraId="4783FA85" w14:textId="77777777" w:rsidTr="00B27420">
        <w:tc>
          <w:tcPr>
            <w:tcW w:w="3256" w:type="dxa"/>
            <w:shd w:val="clear" w:color="auto" w:fill="auto"/>
          </w:tcPr>
          <w:p w14:paraId="5A3AE41E" w14:textId="77777777" w:rsidR="00847F23" w:rsidRPr="00913E39" w:rsidRDefault="00847F23" w:rsidP="000268BB">
            <w:pPr>
              <w:spacing w:after="0" w:line="240" w:lineRule="auto"/>
              <w:rPr>
                <w:rFonts w:ascii="Garamond" w:hAnsi="Garamond"/>
                <w:sz w:val="18"/>
              </w:rPr>
            </w:pPr>
            <w:r w:rsidRPr="00913E39">
              <w:rPr>
                <w:rFonts w:ascii="Garamond" w:hAnsi="Garamond"/>
                <w:sz w:val="18"/>
              </w:rPr>
              <w:t>Integrimi dhe ndërveprimi i sistemeve kombëtare të taksave në Shqipëri përballet me pengesa të konsiderueshme për shkak të problemeve strukturore ekonomike të vendit. Këto çështje përfshijnë një nivel të lartë informaliteti në ekonomi dhe zgjerim të kufizuar ekonomik. Si rezultat, Shqipëria përpiqet të mbledhë në mënyrë efektive të ardhurat tatimore dhe të sigurojë përputhjen me ligjet tatimore.</w:t>
            </w:r>
            <w:r w:rsidR="00693B1A" w:rsidRPr="00913E39">
              <w:rPr>
                <w:rFonts w:ascii="Garamond" w:hAnsi="Garamond"/>
                <w:sz w:val="18"/>
              </w:rPr>
              <w:t xml:space="preserve"> </w:t>
            </w:r>
          </w:p>
        </w:tc>
        <w:tc>
          <w:tcPr>
            <w:tcW w:w="5811" w:type="dxa"/>
            <w:shd w:val="clear" w:color="auto" w:fill="auto"/>
          </w:tcPr>
          <w:p w14:paraId="204E411F"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Sipas Fondit Monetar Ndërkombëtar (FMN), vendi përballet me sfida të rëndësishme që lidhen me borxhin e lartë publik, hapësirën e kufizuar fiskale dhe dobësitë strukturore. Po kështu, kushtet ekonomike në BE mund të ndikojnë në integrimin dhe ndërveprimin e sistemeve kombëtare të taksave, veçanërisht në kontekstin e ndryshimeve në politikat tatimore të BE-së.</w:t>
            </w:r>
          </w:p>
          <w:p w14:paraId="7524FD27" w14:textId="77777777" w:rsidR="00847F23" w:rsidRPr="00913E39" w:rsidRDefault="00847F23" w:rsidP="000268BB">
            <w:pPr>
              <w:spacing w:after="0" w:line="240" w:lineRule="auto"/>
              <w:jc w:val="both"/>
              <w:rPr>
                <w:rFonts w:ascii="Garamond" w:hAnsi="Garamond"/>
                <w:sz w:val="18"/>
              </w:rPr>
            </w:pPr>
            <w:r w:rsidRPr="00913E39">
              <w:rPr>
                <w:rFonts w:ascii="Garamond" w:hAnsi="Garamond"/>
                <w:sz w:val="18"/>
              </w:rPr>
              <w:t>Fondi Monetar Ndërkombëtar. (2021). Shqipëria: Raporti i FMN-së për vendin nr. 21/11</w:t>
            </w:r>
          </w:p>
          <w:p w14:paraId="2710B888" w14:textId="77777777" w:rsidR="00847F23" w:rsidRPr="00913E39" w:rsidRDefault="00847F23" w:rsidP="000268BB">
            <w:pPr>
              <w:spacing w:after="0" w:line="240" w:lineRule="auto"/>
              <w:jc w:val="both"/>
              <w:rPr>
                <w:rFonts w:ascii="Garamond" w:hAnsi="Garamond"/>
                <w:sz w:val="18"/>
              </w:rPr>
            </w:pPr>
          </w:p>
        </w:tc>
      </w:tr>
      <w:tr w:rsidR="00847F23" w:rsidRPr="00913E39" w14:paraId="7B5870EA" w14:textId="77777777" w:rsidTr="00B27420">
        <w:tc>
          <w:tcPr>
            <w:tcW w:w="3256" w:type="dxa"/>
            <w:shd w:val="clear" w:color="auto" w:fill="auto"/>
          </w:tcPr>
          <w:p w14:paraId="2D2E943D" w14:textId="77777777" w:rsidR="00847F23" w:rsidRPr="00913E39" w:rsidRDefault="00847F23" w:rsidP="000268BB">
            <w:pPr>
              <w:spacing w:after="0" w:line="240" w:lineRule="auto"/>
              <w:rPr>
                <w:rFonts w:ascii="Garamond" w:hAnsi="Garamond"/>
                <w:sz w:val="18"/>
              </w:rPr>
            </w:pPr>
            <w:r w:rsidRPr="00913E39">
              <w:rPr>
                <w:rFonts w:ascii="Garamond" w:hAnsi="Garamond"/>
                <w:sz w:val="18"/>
              </w:rPr>
              <w:t>Zbatimi i ngadalshëm dhe joefektiv i metodologjive bashkëkohore në zbatim të menaxhimit të riskut.</w:t>
            </w:r>
            <w:r w:rsidR="00693B1A" w:rsidRPr="00913E39">
              <w:rPr>
                <w:rFonts w:ascii="Garamond" w:hAnsi="Garamond"/>
                <w:sz w:val="18"/>
              </w:rPr>
              <w:t xml:space="preserve"> </w:t>
            </w:r>
          </w:p>
        </w:tc>
        <w:tc>
          <w:tcPr>
            <w:tcW w:w="5811" w:type="dxa"/>
            <w:shd w:val="clear" w:color="auto" w:fill="auto"/>
          </w:tcPr>
          <w:p w14:paraId="6EF9AC6B" w14:textId="0A9BC4A2"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Raporti i monitorimit të Strategjisë së MFP-së. Raporti 2021 &amp; MFE për aktivitetet MFP </w:t>
            </w:r>
            <w:r w:rsidR="006D1036" w:rsidRPr="00913E39">
              <w:rPr>
                <w:rFonts w:ascii="Garamond" w:hAnsi="Garamond"/>
                <w:sz w:val="18"/>
              </w:rPr>
              <w:t>m</w:t>
            </w:r>
            <w:r w:rsidRPr="00913E39">
              <w:rPr>
                <w:rFonts w:ascii="Garamond" w:hAnsi="Garamond"/>
                <w:sz w:val="18"/>
              </w:rPr>
              <w:t>ë 2022: tregojnë se zbatimi i metodologjive bashkëkohore në zbatim të menaxhimit të riskut ka marrë kohë të konsiderueshme dhe nuk është ende efektiv; nevojiten përpjekje të mëtejshme për zbatimin e suksesshëm.</w:t>
            </w:r>
          </w:p>
        </w:tc>
      </w:tr>
      <w:tr w:rsidR="00847F23" w:rsidRPr="00913E39" w14:paraId="5EE71A14" w14:textId="77777777" w:rsidTr="00B27420">
        <w:tc>
          <w:tcPr>
            <w:tcW w:w="3256" w:type="dxa"/>
            <w:shd w:val="clear" w:color="auto" w:fill="auto"/>
          </w:tcPr>
          <w:p w14:paraId="0AF0BE84" w14:textId="77777777" w:rsidR="00847F23" w:rsidRPr="00913E39" w:rsidRDefault="00847F23" w:rsidP="000268BB">
            <w:pPr>
              <w:spacing w:after="0" w:line="240" w:lineRule="auto"/>
              <w:rPr>
                <w:rFonts w:ascii="Garamond" w:hAnsi="Garamond"/>
                <w:sz w:val="18"/>
              </w:rPr>
            </w:pPr>
            <w:r w:rsidRPr="00913E39">
              <w:rPr>
                <w:rFonts w:ascii="Garamond" w:hAnsi="Garamond"/>
                <w:sz w:val="18"/>
              </w:rPr>
              <w:t>Regjistri i Tatimpaguesve kërkon përmirësim dhe përditësim.</w:t>
            </w:r>
          </w:p>
        </w:tc>
        <w:tc>
          <w:tcPr>
            <w:tcW w:w="5811" w:type="dxa"/>
            <w:shd w:val="clear" w:color="auto" w:fill="auto"/>
          </w:tcPr>
          <w:p w14:paraId="50C98B05" w14:textId="070682C6"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Raporti i monitorimit të Strategjisë së MFP-së. Raporti 2021 &amp; MFE për aktivitetet MFP </w:t>
            </w:r>
            <w:r w:rsidR="006D1036" w:rsidRPr="00913E39">
              <w:rPr>
                <w:rFonts w:ascii="Garamond" w:hAnsi="Garamond"/>
                <w:sz w:val="18"/>
              </w:rPr>
              <w:t>m</w:t>
            </w:r>
            <w:r w:rsidRPr="00913E39">
              <w:rPr>
                <w:rFonts w:ascii="Garamond" w:hAnsi="Garamond"/>
                <w:sz w:val="18"/>
              </w:rPr>
              <w:t xml:space="preserve">ë 2022 </w:t>
            </w:r>
          </w:p>
        </w:tc>
      </w:tr>
      <w:tr w:rsidR="00847F23" w:rsidRPr="00913E39" w14:paraId="2D15EABC" w14:textId="77777777" w:rsidTr="00B27420">
        <w:tc>
          <w:tcPr>
            <w:tcW w:w="3256" w:type="dxa"/>
            <w:shd w:val="clear" w:color="auto" w:fill="auto"/>
          </w:tcPr>
          <w:p w14:paraId="62E0543E" w14:textId="77777777" w:rsidR="00847F23" w:rsidRPr="00913E39" w:rsidRDefault="00847F23" w:rsidP="000268BB">
            <w:pPr>
              <w:spacing w:after="0" w:line="240" w:lineRule="auto"/>
              <w:rPr>
                <w:rFonts w:ascii="Garamond" w:hAnsi="Garamond"/>
                <w:sz w:val="18"/>
              </w:rPr>
            </w:pPr>
            <w:r w:rsidRPr="00913E39">
              <w:rPr>
                <w:rFonts w:ascii="Garamond" w:hAnsi="Garamond"/>
                <w:sz w:val="18"/>
              </w:rPr>
              <w:t xml:space="preserve">Nevojat funksionale vazhdojnë në lidhje me sistemin aktual </w:t>
            </w:r>
            <w:r w:rsidRPr="00913E39">
              <w:rPr>
                <w:rFonts w:ascii="Garamond" w:hAnsi="Garamond"/>
                <w:i/>
                <w:sz w:val="18"/>
              </w:rPr>
              <w:t>e-tatime</w:t>
            </w:r>
            <w:r w:rsidRPr="00913E39">
              <w:rPr>
                <w:rFonts w:ascii="Garamond" w:hAnsi="Garamond"/>
                <w:sz w:val="18"/>
              </w:rPr>
              <w:t>, duke përfshirë testimin e përdoruesve, automatizimin e proceseve të punës dhe integrimin me sistemet e fiskalizimit.</w:t>
            </w:r>
            <w:r w:rsidR="00693B1A" w:rsidRPr="00913E39">
              <w:rPr>
                <w:rFonts w:ascii="Garamond" w:hAnsi="Garamond"/>
                <w:sz w:val="18"/>
              </w:rPr>
              <w:t xml:space="preserve"> </w:t>
            </w:r>
          </w:p>
        </w:tc>
        <w:tc>
          <w:tcPr>
            <w:tcW w:w="5811" w:type="dxa"/>
            <w:shd w:val="clear" w:color="auto" w:fill="auto"/>
          </w:tcPr>
          <w:p w14:paraId="530CCCB4" w14:textId="14ED2E3B" w:rsidR="00847F23" w:rsidRPr="00913E39" w:rsidRDefault="00847F23" w:rsidP="000268BB">
            <w:pPr>
              <w:spacing w:after="0" w:line="240" w:lineRule="auto"/>
              <w:jc w:val="both"/>
              <w:rPr>
                <w:rFonts w:ascii="Garamond" w:hAnsi="Garamond"/>
                <w:sz w:val="18"/>
              </w:rPr>
            </w:pPr>
            <w:r w:rsidRPr="00913E39">
              <w:rPr>
                <w:rFonts w:ascii="Garamond" w:hAnsi="Garamond"/>
                <w:sz w:val="18"/>
              </w:rPr>
              <w:t xml:space="preserve">Raporti i monitorimit të Strategjisë së MFP-së. Raporti 2021 &amp; MFE për aktivitetet MFP </w:t>
            </w:r>
            <w:r w:rsidR="006D1036" w:rsidRPr="00913E39">
              <w:rPr>
                <w:rFonts w:ascii="Garamond" w:hAnsi="Garamond"/>
                <w:sz w:val="18"/>
              </w:rPr>
              <w:t>m</w:t>
            </w:r>
            <w:r w:rsidRPr="00913E39">
              <w:rPr>
                <w:rFonts w:ascii="Garamond" w:hAnsi="Garamond"/>
                <w:sz w:val="18"/>
              </w:rPr>
              <w:t>ë 2022</w:t>
            </w:r>
          </w:p>
        </w:tc>
      </w:tr>
    </w:tbl>
    <w:p w14:paraId="3CDB03DE" w14:textId="77777777" w:rsidR="00847F23" w:rsidRPr="00913E39" w:rsidRDefault="00847F23" w:rsidP="00FC4C60">
      <w:pPr>
        <w:spacing w:after="0" w:line="240" w:lineRule="auto"/>
        <w:ind w:firstLine="284"/>
        <w:rPr>
          <w:rFonts w:ascii="Garamond" w:hAnsi="Garamond"/>
          <w:vanish/>
          <w:sz w:val="24"/>
        </w:rPr>
      </w:pPr>
      <w:bookmarkStart w:id="16" w:name="_Hlk139017032"/>
      <w:bookmarkStart w:id="17" w:name="_Hlk139018014"/>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5811"/>
      </w:tblGrid>
      <w:tr w:rsidR="00847F23" w:rsidRPr="00913E39" w14:paraId="41AAE0BA" w14:textId="77777777" w:rsidTr="00272C0B">
        <w:trPr>
          <w:trHeight w:val="20"/>
        </w:trPr>
        <w:tc>
          <w:tcPr>
            <w:tcW w:w="3256" w:type="dxa"/>
            <w:shd w:val="clear" w:color="auto" w:fill="D0CECE"/>
          </w:tcPr>
          <w:p w14:paraId="39301FC2"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MUNDËSITË</w:t>
            </w:r>
          </w:p>
        </w:tc>
        <w:tc>
          <w:tcPr>
            <w:tcW w:w="5811" w:type="dxa"/>
            <w:shd w:val="clear" w:color="auto" w:fill="D0CECE"/>
          </w:tcPr>
          <w:p w14:paraId="063F3397" w14:textId="77777777" w:rsidR="00847F23" w:rsidRPr="00913E39" w:rsidRDefault="00847F23" w:rsidP="00272C0B">
            <w:pPr>
              <w:spacing w:after="0" w:line="240" w:lineRule="auto"/>
              <w:jc w:val="both"/>
              <w:rPr>
                <w:rFonts w:ascii="Garamond" w:hAnsi="Garamond"/>
                <w:sz w:val="18"/>
              </w:rPr>
            </w:pPr>
            <w:r w:rsidRPr="00913E39">
              <w:rPr>
                <w:rFonts w:ascii="Garamond" w:hAnsi="Garamond"/>
                <w:b/>
                <w:sz w:val="18"/>
              </w:rPr>
              <w:t>Të dhënat mbështetëse</w:t>
            </w:r>
          </w:p>
        </w:tc>
      </w:tr>
      <w:tr w:rsidR="00847F23" w:rsidRPr="00913E39" w14:paraId="656D24A8" w14:textId="77777777" w:rsidTr="00272C0B">
        <w:trPr>
          <w:trHeight w:val="20"/>
        </w:trPr>
        <w:tc>
          <w:tcPr>
            <w:tcW w:w="3256" w:type="dxa"/>
            <w:shd w:val="clear" w:color="auto" w:fill="auto"/>
          </w:tcPr>
          <w:p w14:paraId="537C143D"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Sistemi </w:t>
            </w:r>
            <w:r w:rsidRPr="00913E39">
              <w:rPr>
                <w:rFonts w:ascii="Garamond" w:hAnsi="Garamond"/>
                <w:i/>
                <w:sz w:val="18"/>
              </w:rPr>
              <w:t>e-tatime</w:t>
            </w:r>
            <w:r w:rsidRPr="00913E39">
              <w:rPr>
                <w:rFonts w:ascii="Garamond" w:hAnsi="Garamond"/>
                <w:sz w:val="18"/>
              </w:rPr>
              <w:t xml:space="preserve"> mund të lidhet me sisteme të tjera për qëllim shkëmbimin dhe transmetimin e të dhënave tatimore, sipas një protokolli komunikimi të rënë dakord. </w:t>
            </w:r>
          </w:p>
          <w:p w14:paraId="5A214BBD"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Integrimi dhe ndërveprimi i sistemeve kombëtare tatimore në Shqipëri me të tjerët mund të rezultojë në përmirësimin e efikasitetit të mbledhjes dhe administrimit të taksave.</w:t>
            </w:r>
            <w:r w:rsidR="00693B1A" w:rsidRPr="00913E39">
              <w:rPr>
                <w:rFonts w:ascii="Garamond" w:hAnsi="Garamond"/>
                <w:sz w:val="18"/>
              </w:rPr>
              <w:t xml:space="preserve"> </w:t>
            </w:r>
          </w:p>
        </w:tc>
        <w:tc>
          <w:tcPr>
            <w:tcW w:w="5811" w:type="dxa"/>
            <w:shd w:val="clear" w:color="auto" w:fill="auto"/>
          </w:tcPr>
          <w:p w14:paraId="4A637ADC"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Sipas Komisionit Evropian, integrimi dhe ndërveprimi i sistemeve kombëtare tatimore mund të çojë në uljen e kostove administrative dhe rritjen e efikasitetit në mbledhjen e taksave. Përdorimi i teknologjisë moderne dhe zgjidhjeve digjitale mund të racionalizojë administratën tatimore dhe të zvogëlojë rrezikun e gabimeve dhe mashtrimeve.</w:t>
            </w:r>
          </w:p>
        </w:tc>
      </w:tr>
      <w:tr w:rsidR="00847F23" w:rsidRPr="00913E39" w14:paraId="5A8C08D7" w14:textId="77777777" w:rsidTr="00272C0B">
        <w:trPr>
          <w:trHeight w:val="20"/>
        </w:trPr>
        <w:tc>
          <w:tcPr>
            <w:tcW w:w="3256" w:type="dxa"/>
            <w:shd w:val="clear" w:color="auto" w:fill="auto"/>
          </w:tcPr>
          <w:p w14:paraId="27243FF6" w14:textId="77777777" w:rsidR="00847F23" w:rsidRPr="00913E39" w:rsidRDefault="00847F23" w:rsidP="00272C0B">
            <w:pPr>
              <w:spacing w:after="0" w:line="240" w:lineRule="auto"/>
              <w:rPr>
                <w:rFonts w:ascii="Garamond" w:hAnsi="Garamond"/>
                <w:sz w:val="18"/>
              </w:rPr>
            </w:pPr>
            <w:r w:rsidRPr="00913E39">
              <w:rPr>
                <w:rFonts w:ascii="Garamond" w:hAnsi="Garamond"/>
                <w:sz w:val="18"/>
              </w:rPr>
              <w:t>Mundësia aktuale e përmirësimeve të sistemit.</w:t>
            </w:r>
            <w:r w:rsidR="00693B1A" w:rsidRPr="00913E39">
              <w:rPr>
                <w:rFonts w:ascii="Garamond" w:hAnsi="Garamond"/>
                <w:sz w:val="18"/>
              </w:rPr>
              <w:t xml:space="preserve"> </w:t>
            </w:r>
            <w:r w:rsidRPr="00913E39">
              <w:rPr>
                <w:rFonts w:ascii="Garamond" w:hAnsi="Garamond"/>
                <w:sz w:val="18"/>
              </w:rPr>
              <w:t xml:space="preserve"> </w:t>
            </w:r>
          </w:p>
        </w:tc>
        <w:tc>
          <w:tcPr>
            <w:tcW w:w="5811" w:type="dxa"/>
            <w:shd w:val="clear" w:color="auto" w:fill="auto"/>
          </w:tcPr>
          <w:p w14:paraId="34B68EAB"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Lehtësia e përshtatjes së sistemit me ndryshimet ligjore ose kërkesat e direktivave të BE-së, siç tregohet në kuadrin ligjor shqiptar.</w:t>
            </w:r>
          </w:p>
        </w:tc>
      </w:tr>
      <w:tr w:rsidR="00847F23" w:rsidRPr="00913E39" w14:paraId="7DD1F823" w14:textId="77777777" w:rsidTr="00272C0B">
        <w:trPr>
          <w:trHeight w:val="20"/>
        </w:trPr>
        <w:tc>
          <w:tcPr>
            <w:tcW w:w="3256" w:type="dxa"/>
            <w:shd w:val="clear" w:color="auto" w:fill="auto"/>
          </w:tcPr>
          <w:p w14:paraId="493C0E53"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Harmonizimi i rregulloreve tatimore: Integrimi dhe ndërveprimi i sistemeve kombëtare tatimore mund të çojë në harmonizimin e rregulloreve tatimore brenda BE-së dhe të zvogëlojë rrezikun e arbitrazhit tatimor.</w:t>
            </w:r>
            <w:r w:rsidR="00693B1A" w:rsidRPr="00913E39">
              <w:rPr>
                <w:rFonts w:ascii="Garamond" w:hAnsi="Garamond"/>
                <w:sz w:val="18"/>
              </w:rPr>
              <w:t xml:space="preserve"> </w:t>
            </w:r>
          </w:p>
        </w:tc>
        <w:tc>
          <w:tcPr>
            <w:tcW w:w="5811" w:type="dxa"/>
            <w:shd w:val="clear" w:color="auto" w:fill="auto"/>
          </w:tcPr>
          <w:p w14:paraId="1FFE6769" w14:textId="77777777" w:rsidR="00847F23" w:rsidRPr="00913E39" w:rsidRDefault="00847F23" w:rsidP="00272C0B">
            <w:pPr>
              <w:spacing w:after="0" w:line="240" w:lineRule="auto"/>
              <w:jc w:val="both"/>
              <w:rPr>
                <w:rFonts w:ascii="Garamond" w:hAnsi="Garamond"/>
                <w:b/>
                <w:sz w:val="18"/>
              </w:rPr>
            </w:pPr>
            <w:r w:rsidRPr="00913E39">
              <w:rPr>
                <w:rFonts w:ascii="Garamond" w:hAnsi="Garamond"/>
                <w:sz w:val="18"/>
              </w:rPr>
              <w:t>Që sistemet të funksionojnë në mënyrë optimale, është thelbësore të harmonizohen me protokollet dhe standardet e BE-së. Ky përafrim kërkon ndryshimin e rregulloreve të BE-së në legjislacionin kombëtar.</w:t>
            </w:r>
          </w:p>
        </w:tc>
      </w:tr>
      <w:tr w:rsidR="00847F23" w:rsidRPr="00913E39" w14:paraId="769328AB" w14:textId="77777777" w:rsidTr="00272C0B">
        <w:trPr>
          <w:trHeight w:val="20"/>
        </w:trPr>
        <w:tc>
          <w:tcPr>
            <w:tcW w:w="3256" w:type="dxa"/>
            <w:shd w:val="clear" w:color="auto" w:fill="D0CECE"/>
          </w:tcPr>
          <w:p w14:paraId="7B29647A"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KËRCËNIME</w:t>
            </w:r>
          </w:p>
        </w:tc>
        <w:tc>
          <w:tcPr>
            <w:tcW w:w="5811" w:type="dxa"/>
            <w:shd w:val="clear" w:color="auto" w:fill="D0CECE"/>
          </w:tcPr>
          <w:p w14:paraId="7E008FA2" w14:textId="77777777" w:rsidR="00847F23" w:rsidRPr="00913E39" w:rsidRDefault="00847F23" w:rsidP="00272C0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1F12E898" w14:textId="77777777" w:rsidTr="00272C0B">
        <w:trPr>
          <w:trHeight w:val="20"/>
        </w:trPr>
        <w:tc>
          <w:tcPr>
            <w:tcW w:w="3256" w:type="dxa"/>
            <w:shd w:val="clear" w:color="auto" w:fill="auto"/>
          </w:tcPr>
          <w:p w14:paraId="068C1AD7"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Për shkak të natyrës së ndjeshme dhe konfidenciale të informacionit tatimor, ndërveprimi me sisteme të ndryshme mbart rrezikun e rrjedhjes së të dhënave.</w:t>
            </w:r>
            <w:r w:rsidR="00693B1A" w:rsidRPr="00913E39">
              <w:rPr>
                <w:rFonts w:ascii="Garamond" w:hAnsi="Garamond"/>
                <w:sz w:val="18"/>
              </w:rPr>
              <w:t xml:space="preserve"> </w:t>
            </w:r>
            <w:r w:rsidRPr="00913E39">
              <w:rPr>
                <w:rFonts w:ascii="Garamond" w:hAnsi="Garamond"/>
                <w:sz w:val="18"/>
              </w:rPr>
              <w:t xml:space="preserve"> </w:t>
            </w:r>
          </w:p>
        </w:tc>
        <w:tc>
          <w:tcPr>
            <w:tcW w:w="5811" w:type="dxa"/>
            <w:shd w:val="clear" w:color="auto" w:fill="auto"/>
          </w:tcPr>
          <w:p w14:paraId="47EE612D" w14:textId="018A1A00"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Raporti i monitorimit të Strategjisë së MFP-së. Raporti 2021 &amp; MFE për aktivitetet MFP </w:t>
            </w:r>
            <w:r w:rsidR="006D1036" w:rsidRPr="00913E39">
              <w:rPr>
                <w:rFonts w:ascii="Garamond" w:hAnsi="Garamond"/>
                <w:sz w:val="18"/>
              </w:rPr>
              <w:t>m</w:t>
            </w:r>
            <w:r w:rsidRPr="00913E39">
              <w:rPr>
                <w:rFonts w:ascii="Garamond" w:hAnsi="Garamond"/>
                <w:sz w:val="18"/>
              </w:rPr>
              <w:t>ë 2022</w:t>
            </w:r>
          </w:p>
        </w:tc>
      </w:tr>
      <w:tr w:rsidR="00847F23" w:rsidRPr="00913E39" w14:paraId="74DE0A0D" w14:textId="77777777" w:rsidTr="00272C0B">
        <w:trPr>
          <w:trHeight w:val="20"/>
        </w:trPr>
        <w:tc>
          <w:tcPr>
            <w:tcW w:w="3256" w:type="dxa"/>
            <w:shd w:val="clear" w:color="auto" w:fill="auto"/>
          </w:tcPr>
          <w:p w14:paraId="3371E29D"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Paqëndrueshmëria politike në Shqipëri mund të jetë një kërcënim i rëndësishëm për integrimin dhe ndërveprimin e e sistemeve kombëtare tatimore me ato të BE-së.</w:t>
            </w:r>
            <w:r w:rsidR="00693B1A" w:rsidRPr="00913E39">
              <w:rPr>
                <w:rFonts w:ascii="Garamond" w:hAnsi="Garamond"/>
                <w:sz w:val="18"/>
              </w:rPr>
              <w:t xml:space="preserve"> </w:t>
            </w:r>
          </w:p>
        </w:tc>
        <w:tc>
          <w:tcPr>
            <w:tcW w:w="5811" w:type="dxa"/>
            <w:shd w:val="clear" w:color="auto" w:fill="auto"/>
          </w:tcPr>
          <w:p w14:paraId="330F813F"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Sipas Bankës Botërore, ndryshimet në prioritetet politike dhe regjimin fiskal mund të çojnë në vonesa në zbatimin e reformave, të cilat mund të ndikojnë në integrimin dhe ndërveprimin e sistemeve kombëtare tatimore. Banka Botërore. (2021). Përmbledhje për Shqipërinë.</w:t>
            </w:r>
          </w:p>
        </w:tc>
      </w:tr>
      <w:tr w:rsidR="00847F23" w:rsidRPr="00913E39" w14:paraId="09D501AF" w14:textId="77777777" w:rsidTr="00272C0B">
        <w:trPr>
          <w:trHeight w:val="20"/>
        </w:trPr>
        <w:tc>
          <w:tcPr>
            <w:tcW w:w="3256" w:type="dxa"/>
            <w:shd w:val="clear" w:color="auto" w:fill="auto"/>
          </w:tcPr>
          <w:p w14:paraId="05348F76" w14:textId="3E164D87" w:rsidR="00847F23" w:rsidRPr="00913E39" w:rsidRDefault="00847F23" w:rsidP="00272C0B">
            <w:pPr>
              <w:spacing w:after="0" w:line="240" w:lineRule="auto"/>
              <w:jc w:val="both"/>
              <w:rPr>
                <w:rFonts w:ascii="Garamond" w:hAnsi="Garamond"/>
                <w:sz w:val="18"/>
              </w:rPr>
            </w:pPr>
            <w:r w:rsidRPr="00913E39">
              <w:rPr>
                <w:rFonts w:ascii="Garamond" w:hAnsi="Garamond"/>
                <w:sz w:val="18"/>
              </w:rPr>
              <w:t>Rreziqet operative dhe vështirësitë me cilësinë dhe disponueshmërinë e të dhënave në procesin e vlerësimit për zonat e dobishme bashkiake për Kadastrën Fiskale të Pronave.</w:t>
            </w:r>
            <w:r w:rsidR="00693B1A" w:rsidRPr="00913E39">
              <w:rPr>
                <w:rFonts w:ascii="Garamond" w:hAnsi="Garamond"/>
                <w:sz w:val="18"/>
              </w:rPr>
              <w:t xml:space="preserve"> </w:t>
            </w:r>
          </w:p>
        </w:tc>
        <w:tc>
          <w:tcPr>
            <w:tcW w:w="5811" w:type="dxa"/>
            <w:shd w:val="clear" w:color="auto" w:fill="auto"/>
          </w:tcPr>
          <w:p w14:paraId="4C70435C" w14:textId="00AAF0F1"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Raporti i monitorimit të Strategjisë së MFP-së. Raporti 2021 &amp; MFE për aktivitetet MFP </w:t>
            </w:r>
            <w:r w:rsidR="006D1036" w:rsidRPr="00913E39">
              <w:rPr>
                <w:rFonts w:ascii="Garamond" w:hAnsi="Garamond"/>
                <w:sz w:val="18"/>
              </w:rPr>
              <w:t>m</w:t>
            </w:r>
            <w:r w:rsidRPr="00913E39">
              <w:rPr>
                <w:rFonts w:ascii="Garamond" w:hAnsi="Garamond"/>
                <w:sz w:val="18"/>
              </w:rPr>
              <w:t>ë 2022</w:t>
            </w:r>
          </w:p>
        </w:tc>
      </w:tr>
      <w:bookmarkEnd w:id="16"/>
      <w:bookmarkEnd w:id="17"/>
    </w:tbl>
    <w:p w14:paraId="3A494EAE" w14:textId="77777777" w:rsidR="00977C00" w:rsidRPr="00913E39" w:rsidRDefault="00977C00" w:rsidP="00FC4C60">
      <w:pPr>
        <w:spacing w:after="0" w:line="240" w:lineRule="auto"/>
        <w:ind w:firstLine="284"/>
        <w:jc w:val="both"/>
        <w:rPr>
          <w:rFonts w:ascii="Garamond" w:hAnsi="Garamond"/>
          <w:b/>
          <w:sz w:val="24"/>
        </w:rPr>
      </w:pPr>
    </w:p>
    <w:p w14:paraId="4BAE4135" w14:textId="681C00AA"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977C00" w:rsidRPr="00913E39">
        <w:rPr>
          <w:rFonts w:ascii="Garamond" w:hAnsi="Garamond"/>
          <w:i/>
          <w:sz w:val="24"/>
        </w:rPr>
        <w:t>f</w:t>
      </w:r>
      <w:r w:rsidRPr="00913E39">
        <w:rPr>
          <w:rFonts w:ascii="Garamond" w:hAnsi="Garamond"/>
          <w:i/>
          <w:sz w:val="24"/>
        </w:rPr>
        <w:t>usha e mbështetjes 2.2: Siguria kibernetike</w:t>
      </w:r>
    </w:p>
    <w:p w14:paraId="770875A7"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Zhvillimet e internetit dhe inovacionit gjatë dekadave të fundit kanë rezultuar në ndryshime dhe sfida thelbësore në çdo shoqëri në mbarë botën. Jeta jonë e përditshme, të drejtat e njeriut, ekonomitë dhe ndërveprimi social ndikohen thellësisht nga teknologjitë e informacionit dhe komunikimit. Një hapësirë e përbashkët dhe e hapur kibernetike nxit angazhimin social dhe politik, thyen barrierat e komunikimit mes vendeve, komuniteteve dhe qytetarëve dhe siguron transparencë, duke lejuar ndërveprimin dhe shkëmbimin e informacionit dhe ideve në kohë reale në mbarë botën. Të gjitha zhvillimet dhe përdorimi në rritje i teknologjive të informacionit dhe komunikimit kanë sjellë përfitime të mëdha, por edhe kërcënime, gjë që e bën kritike mbrojtjen dhe sigurinë kibernetike.</w:t>
      </w:r>
    </w:p>
    <w:p w14:paraId="1A967AF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 xml:space="preserve">Nga njëra anë, qeveria po investon gjithnjë e më shumë në infrastrukturën digjitale për të ofruar shërbime digjitale për qytetarët. Nga ana tjetër, publiku po përdor gjithnjë e më shumë internetin për shkak të avantazheve që ofron. </w:t>
      </w:r>
    </w:p>
    <w:p w14:paraId="19F8DE01" w14:textId="6D36BD6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Si një vend në zhvillim, Shqipëria mbështetet edhe në teknologjinë e informacionit, duke synuar të përmirësojë cilësinë e jetës dhe shërbimet publike. Krahas avantazheve të përdorimit të teknologjive të reja dig</w:t>
      </w:r>
      <w:r w:rsidR="00977C00" w:rsidRPr="00913E39">
        <w:rPr>
          <w:rFonts w:ascii="Garamond" w:hAnsi="Garamond"/>
          <w:sz w:val="24"/>
        </w:rPr>
        <w:t>ji</w:t>
      </w:r>
      <w:r w:rsidRPr="00913E39">
        <w:rPr>
          <w:rFonts w:ascii="Garamond" w:hAnsi="Garamond"/>
          <w:sz w:val="24"/>
        </w:rPr>
        <w:t xml:space="preserve">tale, përdorimi i internetit ka edhe çështjet e tij që lidhen me sigurinë kibernetike. Kërcënimet kibernetike janë në rritje, duke përfituar nga dobësitë teknologjike ose mungesa e njohurive duke përdorur në mënyrë joadekuate këto mjete, duke kërcënuar kështu sigurinë e sistemeve të informacionit. </w:t>
      </w:r>
    </w:p>
    <w:p w14:paraId="7B6998A3"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Një nga sfidat aktuale dhe të vazhdueshme në shumë vende është krijimi i një shoqërie digjitale të zhvilluar, e cila është e mbrojtur nga pikëpamja kibernetike, e pajisur me njohuritë dhe aftësitë e nevojshme për të maksimizuar përfitimet dhe për të menaxhuar risqet.</w:t>
      </w:r>
    </w:p>
    <w:p w14:paraId="1D11A1F9" w14:textId="5DC4D69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Ashtu si vendet e tjera, Shqipëria është shpesh viktimë e aktivitetit kibernetik keqdashës të kryer nga aktorë kriminalë, përfshirë aktorë shtetërorë dhe joshtetërorë që mund të përdorin infrastrukturën e rrjetit brenda dhe jashtë vendit. Krahas përmirësimit të shërbimeve të internetit, Shqipëria ka përjetuar edhe rritjen e formave të ndryshme të krimit kibernetik. Format më të zakonshme të krimit kibernetik që dominojnë në Shqipëri përfshijnë mashtrimet që lidhen me veprimet bankare kibernetike nëpërmjet internetit, si p.sh. </w:t>
      </w:r>
      <w:r w:rsidRPr="00913E39">
        <w:rPr>
          <w:rFonts w:ascii="Garamond" w:hAnsi="Garamond"/>
          <w:i/>
          <w:sz w:val="24"/>
        </w:rPr>
        <w:t>phishing</w:t>
      </w:r>
      <w:r w:rsidRPr="00913E39">
        <w:rPr>
          <w:rFonts w:ascii="Garamond" w:hAnsi="Garamond"/>
          <w:sz w:val="24"/>
        </w:rPr>
        <w:t xml:space="preserve"> dhe </w:t>
      </w:r>
      <w:r w:rsidRPr="00913E39">
        <w:rPr>
          <w:rFonts w:ascii="Garamond" w:hAnsi="Garamond"/>
          <w:i/>
          <w:sz w:val="24"/>
        </w:rPr>
        <w:t>spam</w:t>
      </w:r>
      <w:r w:rsidRPr="00913E39">
        <w:rPr>
          <w:rFonts w:ascii="Garamond" w:hAnsi="Garamond"/>
          <w:sz w:val="24"/>
        </w:rPr>
        <w:t>. Edhe kur identifikohen përgjegjësit e krimit kibernetik kundër Republikës së Shqipërisë, shpesh është e vështirë për agjencitë ligjzbatuese shqiptare dhe organizatat ndërkombëtare të ndiqen penalisht kur ato ndodhen në juridiksione të kufizuara. Aktualisht, mungojnë mjetet e nevojshme për sigurimin e inteligjencës së përgjithshme kibernetike, duke përdorur burimet njerëzore dhe logjistike të disponueshme për aktivitetet e zbatimit të ligjit. Për këtë arsye, është thelbësore rritja e kapaciteteve për të adresuar sfidat kibernetike, të cilat nga ana e tyre kërkojnë një ndryshim në struktura, qasje, kapacitete teknike dhe logjistike etj. Një hap i rëndësishëm përpara në hartimin e legjislacionit dhe masat kundër krimit kibernetik është ndërmarrë me Strategjinë Kombëtare të Sigurisë Kibernetike</w:t>
      </w:r>
      <w:r w:rsidR="00977C00" w:rsidRPr="00913E39">
        <w:rPr>
          <w:rFonts w:ascii="Garamond" w:hAnsi="Garamond"/>
          <w:sz w:val="24"/>
        </w:rPr>
        <w:t>,</w:t>
      </w:r>
      <w:r w:rsidRPr="00913E39">
        <w:rPr>
          <w:rFonts w:ascii="Garamond" w:hAnsi="Garamond"/>
          <w:sz w:val="24"/>
        </w:rPr>
        <w:t xml:space="preserve"> e cila përcakton metodat për goditjen e krimit kibernetik në hapësirën kibernetike dhe ofron mjete më adekuate në këtë drejtim.</w:t>
      </w:r>
    </w:p>
    <w:p w14:paraId="487F9191" w14:textId="3A859003" w:rsidR="00847F23" w:rsidRPr="00913E39" w:rsidRDefault="00847F23" w:rsidP="00FC4C60">
      <w:pPr>
        <w:spacing w:after="0" w:line="240" w:lineRule="auto"/>
        <w:ind w:firstLine="284"/>
        <w:jc w:val="both"/>
        <w:rPr>
          <w:rFonts w:ascii="Garamond" w:hAnsi="Garamond"/>
          <w:b/>
          <w:i/>
          <w:sz w:val="24"/>
        </w:rPr>
      </w:pPr>
      <w:r w:rsidRPr="00913E39">
        <w:rPr>
          <w:rFonts w:ascii="Garamond" w:hAnsi="Garamond"/>
          <w:i/>
          <w:sz w:val="24"/>
        </w:rPr>
        <w:t>Tabela 10</w:t>
      </w:r>
      <w:r w:rsidR="00CF38BF" w:rsidRPr="00913E39">
        <w:rPr>
          <w:rFonts w:ascii="Garamond" w:hAnsi="Garamond"/>
          <w:i/>
          <w:sz w:val="24"/>
        </w:rPr>
        <w:t>.</w:t>
      </w:r>
      <w:r w:rsidRPr="00913E39">
        <w:rPr>
          <w:rFonts w:ascii="Garamond" w:hAnsi="Garamond"/>
          <w:i/>
          <w:sz w:val="24"/>
        </w:rPr>
        <w:t xml:space="preserve"> Analiza SWOT për </w:t>
      </w:r>
      <w:r w:rsidR="00CF38BF" w:rsidRPr="00913E39">
        <w:rPr>
          <w:rFonts w:ascii="Garamond" w:hAnsi="Garamond"/>
          <w:i/>
          <w:sz w:val="24"/>
        </w:rPr>
        <w:t>nënfushën e mbështetjes siguria kibernetike</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5244"/>
      </w:tblGrid>
      <w:tr w:rsidR="00A56912" w:rsidRPr="00913E39" w14:paraId="32900549" w14:textId="77777777" w:rsidTr="007C03A2">
        <w:trPr>
          <w:trHeight w:val="20"/>
        </w:trPr>
        <w:tc>
          <w:tcPr>
            <w:tcW w:w="3823" w:type="dxa"/>
            <w:shd w:val="clear" w:color="auto" w:fill="D0CECE"/>
          </w:tcPr>
          <w:p w14:paraId="610045C9"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PIKAT E FORTA</w:t>
            </w:r>
          </w:p>
        </w:tc>
        <w:tc>
          <w:tcPr>
            <w:tcW w:w="5244" w:type="dxa"/>
            <w:shd w:val="clear" w:color="auto" w:fill="D0CECE"/>
          </w:tcPr>
          <w:p w14:paraId="62820F40" w14:textId="77777777" w:rsidR="00847F23" w:rsidRPr="00913E39" w:rsidRDefault="00847F23" w:rsidP="00272C0B">
            <w:pPr>
              <w:spacing w:after="0" w:line="240" w:lineRule="auto"/>
              <w:jc w:val="both"/>
              <w:rPr>
                <w:rFonts w:ascii="Garamond" w:hAnsi="Garamond"/>
                <w:b/>
                <w:sz w:val="18"/>
              </w:rPr>
            </w:pPr>
            <w:r w:rsidRPr="00913E39">
              <w:rPr>
                <w:rFonts w:ascii="Garamond" w:hAnsi="Garamond"/>
                <w:b/>
                <w:sz w:val="18"/>
              </w:rPr>
              <w:t>Të dhënat mbështetëse</w:t>
            </w:r>
          </w:p>
        </w:tc>
      </w:tr>
      <w:tr w:rsidR="00A56912" w:rsidRPr="00913E39" w14:paraId="053271E1" w14:textId="77777777" w:rsidTr="007C03A2">
        <w:trPr>
          <w:trHeight w:val="20"/>
        </w:trPr>
        <w:tc>
          <w:tcPr>
            <w:tcW w:w="3823" w:type="dxa"/>
            <w:shd w:val="clear" w:color="auto" w:fill="auto"/>
          </w:tcPr>
          <w:p w14:paraId="5A277EBC" w14:textId="77777777" w:rsidR="00847F23" w:rsidRPr="00913E39" w:rsidRDefault="00847F23" w:rsidP="00272C0B">
            <w:pPr>
              <w:spacing w:after="0" w:line="240" w:lineRule="auto"/>
              <w:jc w:val="both"/>
              <w:rPr>
                <w:rFonts w:ascii="Garamond" w:hAnsi="Garamond"/>
                <w:b/>
                <w:sz w:val="18"/>
              </w:rPr>
            </w:pPr>
            <w:r w:rsidRPr="00913E39">
              <w:rPr>
                <w:rFonts w:ascii="Garamond" w:hAnsi="Garamond"/>
                <w:sz w:val="18"/>
              </w:rPr>
              <w:t>Siguria e të dhënave e përmirësuar në vend.</w:t>
            </w:r>
            <w:r w:rsidR="00693B1A" w:rsidRPr="00913E39">
              <w:rPr>
                <w:rFonts w:ascii="Garamond" w:hAnsi="Garamond"/>
                <w:sz w:val="18"/>
              </w:rPr>
              <w:t xml:space="preserve"> </w:t>
            </w:r>
            <w:r w:rsidRPr="00913E39">
              <w:rPr>
                <w:rFonts w:ascii="Garamond" w:hAnsi="Garamond"/>
                <w:sz w:val="18"/>
              </w:rPr>
              <w:t xml:space="preserve"> </w:t>
            </w:r>
          </w:p>
        </w:tc>
        <w:tc>
          <w:tcPr>
            <w:tcW w:w="5244" w:type="dxa"/>
            <w:shd w:val="clear" w:color="auto" w:fill="auto"/>
          </w:tcPr>
          <w:p w14:paraId="3835DB7F" w14:textId="47B8EDA6" w:rsidR="00847F23" w:rsidRPr="00913E39" w:rsidRDefault="00847F23" w:rsidP="00272C0B">
            <w:pPr>
              <w:spacing w:after="0" w:line="240" w:lineRule="auto"/>
              <w:jc w:val="both"/>
              <w:rPr>
                <w:rFonts w:ascii="Garamond" w:hAnsi="Garamond"/>
                <w:b/>
                <w:sz w:val="18"/>
              </w:rPr>
            </w:pPr>
            <w:r w:rsidRPr="00913E39">
              <w:rPr>
                <w:rFonts w:ascii="Garamond" w:hAnsi="Garamond"/>
                <w:sz w:val="18"/>
              </w:rPr>
              <w:t>Shqipëria është kthyer në një shembull të mirë praktik për</w:t>
            </w:r>
            <w:r w:rsidR="00CF38BF" w:rsidRPr="00913E39">
              <w:rPr>
                <w:rFonts w:ascii="Garamond" w:hAnsi="Garamond"/>
                <w:sz w:val="18"/>
              </w:rPr>
              <w:t xml:space="preserve"> </w:t>
            </w:r>
            <w:r w:rsidRPr="00913E39">
              <w:rPr>
                <w:rFonts w:ascii="Garamond" w:hAnsi="Garamond"/>
                <w:sz w:val="18"/>
              </w:rPr>
              <w:t xml:space="preserve">sa i përket transformimit digjital të sektorit publik. 95% e shërbimeve publike ofrohen vetëm </w:t>
            </w:r>
            <w:r w:rsidRPr="00913E39">
              <w:rPr>
                <w:rFonts w:ascii="Garamond" w:hAnsi="Garamond"/>
                <w:i/>
                <w:sz w:val="18"/>
              </w:rPr>
              <w:t>online</w:t>
            </w:r>
            <w:r w:rsidRPr="00913E39">
              <w:rPr>
                <w:rFonts w:ascii="Garamond" w:hAnsi="Garamond"/>
                <w:sz w:val="18"/>
              </w:rPr>
              <w:t xml:space="preserve"> dhe i gjithë cikli i tyre, që nga aplikimi deri në dhënien e dokumentit përfundimtar, bëhet vetëm në formë elektronike. Platforma qeveritare </w:t>
            </w:r>
            <w:r w:rsidRPr="00913E39">
              <w:rPr>
                <w:rFonts w:ascii="Garamond" w:hAnsi="Garamond"/>
                <w:i/>
                <w:sz w:val="18"/>
              </w:rPr>
              <w:t>e-Albania</w:t>
            </w:r>
            <w:r w:rsidRPr="00913E39">
              <w:rPr>
                <w:rFonts w:ascii="Garamond" w:hAnsi="Garamond"/>
                <w:sz w:val="18"/>
              </w:rPr>
              <w:t xml:space="preserve"> dhe të gjitha sistemet e tjera elektronike të qeverisë synojnë të ofrojnë akses universal 24/7 për shërbimet për qytetarët dhe bizneset, me disponueshmëri 99,9%. Si rezultat, të dhënat dhe informacioni duhet të ruhen dhe mbrohen në mënyrë të sigurt, për të shmangur ndërhyrjen dhe humbjen e të dhënave kritike.</w:t>
            </w:r>
          </w:p>
        </w:tc>
      </w:tr>
      <w:tr w:rsidR="00A56912" w:rsidRPr="00913E39" w14:paraId="560E82FD" w14:textId="77777777" w:rsidTr="007C03A2">
        <w:trPr>
          <w:trHeight w:val="20"/>
        </w:trPr>
        <w:tc>
          <w:tcPr>
            <w:tcW w:w="3823" w:type="dxa"/>
            <w:shd w:val="clear" w:color="auto" w:fill="auto"/>
          </w:tcPr>
          <w:p w14:paraId="7B4776F0" w14:textId="77777777" w:rsidR="00847F23" w:rsidRPr="00913E39" w:rsidRDefault="00847F23" w:rsidP="00272C0B">
            <w:pPr>
              <w:spacing w:after="0" w:line="240" w:lineRule="auto"/>
              <w:jc w:val="both"/>
              <w:rPr>
                <w:rFonts w:ascii="Garamond" w:hAnsi="Garamond"/>
                <w:b/>
                <w:sz w:val="18"/>
              </w:rPr>
            </w:pPr>
            <w:r w:rsidRPr="00913E39">
              <w:rPr>
                <w:rFonts w:ascii="Garamond" w:hAnsi="Garamond"/>
                <w:sz w:val="18"/>
              </w:rPr>
              <w:t>Masat e shtuara të sigurisë kibernetike në fuqi</w:t>
            </w:r>
            <w:r w:rsidR="00693B1A" w:rsidRPr="00913E39">
              <w:rPr>
                <w:rFonts w:ascii="Garamond" w:hAnsi="Garamond"/>
                <w:sz w:val="18"/>
              </w:rPr>
              <w:t xml:space="preserve"> </w:t>
            </w:r>
          </w:p>
        </w:tc>
        <w:tc>
          <w:tcPr>
            <w:tcW w:w="5244" w:type="dxa"/>
            <w:shd w:val="clear" w:color="auto" w:fill="auto"/>
          </w:tcPr>
          <w:p w14:paraId="7FAAC9D9" w14:textId="5201DE5A" w:rsidR="00847F23" w:rsidRPr="00913E39" w:rsidRDefault="00847F23" w:rsidP="00272C0B">
            <w:pPr>
              <w:spacing w:after="0" w:line="240" w:lineRule="auto"/>
              <w:jc w:val="both"/>
              <w:rPr>
                <w:rFonts w:ascii="Garamond" w:hAnsi="Garamond"/>
                <w:b/>
                <w:sz w:val="18"/>
                <w:highlight w:val="yellow"/>
              </w:rPr>
            </w:pPr>
            <w:r w:rsidRPr="00913E39">
              <w:rPr>
                <w:rFonts w:ascii="Garamond" w:hAnsi="Garamond"/>
                <w:sz w:val="18"/>
              </w:rPr>
              <w:t>Sulmet kibernetike të vitit të kaluar nga Irani më 15</w:t>
            </w:r>
            <w:r w:rsidR="008142BC" w:rsidRPr="00913E39">
              <w:rPr>
                <w:rFonts w:ascii="Garamond" w:hAnsi="Garamond"/>
                <w:sz w:val="18"/>
              </w:rPr>
              <w:t>–</w:t>
            </w:r>
            <w:r w:rsidRPr="00913E39">
              <w:rPr>
                <w:rFonts w:ascii="Garamond" w:hAnsi="Garamond"/>
                <w:sz w:val="18"/>
              </w:rPr>
              <w:t>16</w:t>
            </w:r>
            <w:r w:rsidR="008142BC" w:rsidRPr="00913E39">
              <w:rPr>
                <w:rFonts w:ascii="Garamond" w:hAnsi="Garamond"/>
                <w:sz w:val="18"/>
              </w:rPr>
              <w:t xml:space="preserve"> </w:t>
            </w:r>
            <w:r w:rsidRPr="00913E39">
              <w:rPr>
                <w:rFonts w:ascii="Garamond" w:hAnsi="Garamond"/>
                <w:sz w:val="18"/>
              </w:rPr>
              <w:t>korrik dëshmuan se ekspertët kompjuterik të sofistikuar të grupeve shtetërore kombëtare janë të interesuar në hapësirën kibernetike të AKSHI-t. Janë rritur kapacitetet për t</w:t>
            </w:r>
            <w:r w:rsidR="005222A5" w:rsidRPr="00913E39">
              <w:rPr>
                <w:rFonts w:ascii="Garamond" w:hAnsi="Garamond"/>
                <w:sz w:val="18"/>
              </w:rPr>
              <w:t>’</w:t>
            </w:r>
            <w:r w:rsidRPr="00913E39">
              <w:rPr>
                <w:rFonts w:ascii="Garamond" w:hAnsi="Garamond"/>
                <w:sz w:val="18"/>
              </w:rPr>
              <w:t xml:space="preserve">iu përgjigjur sulmeve kibernetike në infrastrukturat qeveritare. Janë bërë investime të konsiderueshme në përmirësimin e pajisjeve fizike, zgjidhjet më të fundit teknologjike në lidhje me sigurinë e sistemeve, kalimin e infrastrukturës në </w:t>
            </w:r>
            <w:r w:rsidRPr="00913E39">
              <w:rPr>
                <w:rFonts w:ascii="Garamond" w:hAnsi="Garamond"/>
                <w:i/>
                <w:sz w:val="18"/>
              </w:rPr>
              <w:t>cloud</w:t>
            </w:r>
            <w:r w:rsidRPr="00913E39">
              <w:rPr>
                <w:rFonts w:ascii="Garamond" w:hAnsi="Garamond"/>
                <w:sz w:val="18"/>
              </w:rPr>
              <w:t xml:space="preserve">, modernizimin dhe transformimin e proceseve operacionale drejt modelit </w:t>
            </w:r>
            <w:r w:rsidR="00850FC7" w:rsidRPr="00913E39">
              <w:rPr>
                <w:rFonts w:ascii="Garamond" w:hAnsi="Garamond"/>
                <w:sz w:val="18"/>
              </w:rPr>
              <w:t>“</w:t>
            </w:r>
            <w:r w:rsidRPr="00913E39">
              <w:rPr>
                <w:rFonts w:ascii="Garamond" w:hAnsi="Garamond"/>
                <w:i/>
                <w:sz w:val="18"/>
              </w:rPr>
              <w:t>Zero Trust</w:t>
            </w:r>
            <w:r w:rsidR="00850FC7" w:rsidRPr="00913E39">
              <w:rPr>
                <w:rFonts w:ascii="Garamond" w:hAnsi="Garamond"/>
                <w:sz w:val="18"/>
              </w:rPr>
              <w:t>”</w:t>
            </w:r>
            <w:r w:rsidRPr="00913E39">
              <w:rPr>
                <w:rFonts w:ascii="Garamond" w:hAnsi="Garamond"/>
                <w:sz w:val="18"/>
              </w:rPr>
              <w:t>.</w:t>
            </w:r>
          </w:p>
        </w:tc>
      </w:tr>
      <w:tr w:rsidR="00A56912" w:rsidRPr="00913E39" w14:paraId="49F8EC9B" w14:textId="77777777" w:rsidTr="007C03A2">
        <w:trPr>
          <w:trHeight w:val="20"/>
        </w:trPr>
        <w:tc>
          <w:tcPr>
            <w:tcW w:w="3823" w:type="dxa"/>
            <w:shd w:val="clear" w:color="auto" w:fill="D0CECE"/>
          </w:tcPr>
          <w:p w14:paraId="05C4192D"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PIKAT E DOBËTA</w:t>
            </w:r>
          </w:p>
        </w:tc>
        <w:tc>
          <w:tcPr>
            <w:tcW w:w="5244" w:type="dxa"/>
            <w:shd w:val="clear" w:color="auto" w:fill="D0CECE"/>
          </w:tcPr>
          <w:p w14:paraId="4F069117" w14:textId="77777777" w:rsidR="00847F23" w:rsidRPr="00913E39" w:rsidRDefault="00847F23" w:rsidP="00272C0B">
            <w:pPr>
              <w:spacing w:after="0" w:line="240" w:lineRule="auto"/>
              <w:jc w:val="both"/>
              <w:rPr>
                <w:rFonts w:ascii="Garamond" w:hAnsi="Garamond"/>
                <w:b/>
                <w:sz w:val="18"/>
              </w:rPr>
            </w:pPr>
            <w:r w:rsidRPr="00913E39">
              <w:rPr>
                <w:rFonts w:ascii="Garamond" w:hAnsi="Garamond"/>
                <w:b/>
                <w:sz w:val="18"/>
              </w:rPr>
              <w:t>Të dhënat mbështetëse</w:t>
            </w:r>
          </w:p>
        </w:tc>
      </w:tr>
      <w:tr w:rsidR="00A56912" w:rsidRPr="00913E39" w14:paraId="5CDA8796" w14:textId="77777777" w:rsidTr="007C03A2">
        <w:trPr>
          <w:trHeight w:val="20"/>
        </w:trPr>
        <w:tc>
          <w:tcPr>
            <w:tcW w:w="3823" w:type="dxa"/>
            <w:shd w:val="clear" w:color="auto" w:fill="auto"/>
          </w:tcPr>
          <w:p w14:paraId="6D99DA8F" w14:textId="52F538FA" w:rsidR="00847F23" w:rsidRPr="00913E39" w:rsidRDefault="00847F23" w:rsidP="00272C0B">
            <w:pPr>
              <w:spacing w:after="0" w:line="240" w:lineRule="auto"/>
              <w:rPr>
                <w:rFonts w:ascii="Garamond" w:hAnsi="Garamond"/>
                <w:b/>
                <w:sz w:val="18"/>
              </w:rPr>
            </w:pPr>
            <w:r w:rsidRPr="00913E39">
              <w:rPr>
                <w:rFonts w:ascii="Garamond" w:hAnsi="Garamond"/>
                <w:sz w:val="18"/>
              </w:rPr>
              <w:t xml:space="preserve">Burime të kufizuara: </w:t>
            </w:r>
            <w:r w:rsidR="00977C00" w:rsidRPr="00913E39">
              <w:rPr>
                <w:rFonts w:ascii="Garamond" w:hAnsi="Garamond"/>
                <w:sz w:val="18"/>
              </w:rPr>
              <w:t xml:space="preserve">masat </w:t>
            </w:r>
            <w:r w:rsidRPr="00913E39">
              <w:rPr>
                <w:rFonts w:ascii="Garamond" w:hAnsi="Garamond"/>
                <w:sz w:val="18"/>
              </w:rPr>
              <w:t xml:space="preserve">e sigurisë kibernetike kërkojnë investime të konsiderueshme për sa </w:t>
            </w:r>
            <w:r w:rsidR="00C645AF" w:rsidRPr="00913E39">
              <w:rPr>
                <w:rFonts w:ascii="Garamond" w:hAnsi="Garamond"/>
                <w:sz w:val="18"/>
              </w:rPr>
              <w:t>u</w:t>
            </w:r>
            <w:r w:rsidRPr="00913E39">
              <w:rPr>
                <w:rFonts w:ascii="Garamond" w:hAnsi="Garamond"/>
                <w:sz w:val="18"/>
              </w:rPr>
              <w:t xml:space="preserve"> përket burimeve financiare dhe njerëzore, të cilat mund të jenë të kufizuara në institucionet qeveritare të Shqipërisë.</w:t>
            </w:r>
            <w:r w:rsidR="00693B1A" w:rsidRPr="00913E39">
              <w:rPr>
                <w:rFonts w:ascii="Garamond" w:hAnsi="Garamond"/>
                <w:sz w:val="18"/>
              </w:rPr>
              <w:t xml:space="preserve"> </w:t>
            </w:r>
          </w:p>
        </w:tc>
        <w:tc>
          <w:tcPr>
            <w:tcW w:w="5244" w:type="dxa"/>
            <w:shd w:val="clear" w:color="auto" w:fill="auto"/>
          </w:tcPr>
          <w:p w14:paraId="4262A180" w14:textId="77777777" w:rsidR="00847F23" w:rsidRPr="00913E39" w:rsidRDefault="00847F23" w:rsidP="00272C0B">
            <w:pPr>
              <w:spacing w:after="0" w:line="240" w:lineRule="auto"/>
              <w:jc w:val="both"/>
              <w:rPr>
                <w:rFonts w:ascii="Garamond" w:hAnsi="Garamond"/>
                <w:b/>
                <w:sz w:val="18"/>
              </w:rPr>
            </w:pPr>
            <w:r w:rsidRPr="00913E39">
              <w:rPr>
                <w:rFonts w:ascii="Garamond" w:hAnsi="Garamond"/>
                <w:sz w:val="18"/>
              </w:rPr>
              <w:t>Agjenda digjitale dhe strategjia e sigurisë kibernetike</w:t>
            </w:r>
          </w:p>
        </w:tc>
      </w:tr>
      <w:tr w:rsidR="00A56912" w:rsidRPr="00913E39" w14:paraId="3C443462" w14:textId="77777777" w:rsidTr="007C03A2">
        <w:trPr>
          <w:trHeight w:val="20"/>
        </w:trPr>
        <w:tc>
          <w:tcPr>
            <w:tcW w:w="3823" w:type="dxa"/>
            <w:shd w:val="clear" w:color="auto" w:fill="auto"/>
          </w:tcPr>
          <w:p w14:paraId="46906866" w14:textId="587264E1" w:rsidR="00847F23" w:rsidRPr="00913E39" w:rsidRDefault="00847F23" w:rsidP="00272C0B">
            <w:pPr>
              <w:spacing w:after="0" w:line="240" w:lineRule="auto"/>
              <w:rPr>
                <w:rFonts w:ascii="Garamond" w:hAnsi="Garamond"/>
                <w:b/>
                <w:sz w:val="18"/>
              </w:rPr>
            </w:pPr>
            <w:r w:rsidRPr="00913E39">
              <w:rPr>
                <w:rFonts w:ascii="Garamond" w:hAnsi="Garamond"/>
                <w:sz w:val="18"/>
              </w:rPr>
              <w:t xml:space="preserve">Burime të kufizuara: </w:t>
            </w:r>
            <w:r w:rsidR="00977C00" w:rsidRPr="00913E39">
              <w:rPr>
                <w:rFonts w:ascii="Garamond" w:hAnsi="Garamond"/>
                <w:sz w:val="18"/>
              </w:rPr>
              <w:t xml:space="preserve">përmirësimet </w:t>
            </w:r>
            <w:r w:rsidRPr="00913E39">
              <w:rPr>
                <w:rFonts w:ascii="Garamond" w:hAnsi="Garamond"/>
                <w:sz w:val="18"/>
              </w:rPr>
              <w:t xml:space="preserve">e pajisjeve të vjetra (sistemet vjetra të kodifikimit të programeve &amp; End-of-Life), kalimi në modelin </w:t>
            </w:r>
            <w:r w:rsidRPr="00913E39">
              <w:rPr>
                <w:rFonts w:ascii="Garamond" w:hAnsi="Garamond"/>
                <w:i/>
                <w:sz w:val="18"/>
              </w:rPr>
              <w:t>Cloud</w:t>
            </w:r>
            <w:r w:rsidRPr="00913E39">
              <w:rPr>
                <w:rFonts w:ascii="Garamond" w:hAnsi="Garamond"/>
                <w:sz w:val="18"/>
              </w:rPr>
              <w:t xml:space="preserve"> dhe </w:t>
            </w:r>
            <w:r w:rsidRPr="00913E39">
              <w:rPr>
                <w:rFonts w:ascii="Garamond" w:hAnsi="Garamond"/>
                <w:i/>
                <w:sz w:val="18"/>
              </w:rPr>
              <w:t>Zero Trust</w:t>
            </w:r>
            <w:r w:rsidRPr="00913E39">
              <w:rPr>
                <w:rFonts w:ascii="Garamond" w:hAnsi="Garamond"/>
                <w:sz w:val="18"/>
              </w:rPr>
              <w:t xml:space="preserve"> kërkon investime të konsiderueshme, të cilat mund të jenë të kufizuara për institucionet qeveritare të Shqipërisë.</w:t>
            </w:r>
          </w:p>
        </w:tc>
        <w:tc>
          <w:tcPr>
            <w:tcW w:w="5244" w:type="dxa"/>
            <w:shd w:val="clear" w:color="auto" w:fill="auto"/>
          </w:tcPr>
          <w:p w14:paraId="2D01E1E7" w14:textId="77777777" w:rsidR="00847F23" w:rsidRPr="00913E39" w:rsidRDefault="00847F23" w:rsidP="00272C0B">
            <w:pPr>
              <w:spacing w:after="0" w:line="240" w:lineRule="auto"/>
              <w:jc w:val="both"/>
              <w:rPr>
                <w:rFonts w:ascii="Garamond" w:hAnsi="Garamond"/>
                <w:b/>
                <w:sz w:val="18"/>
              </w:rPr>
            </w:pPr>
            <w:r w:rsidRPr="00913E39">
              <w:rPr>
                <w:rFonts w:ascii="Garamond" w:hAnsi="Garamond"/>
                <w:sz w:val="18"/>
              </w:rPr>
              <w:t>Agjenda digjitale dhe strategjia e sigurisë kibernetike</w:t>
            </w:r>
          </w:p>
        </w:tc>
      </w:tr>
      <w:tr w:rsidR="00A56912" w:rsidRPr="00913E39" w14:paraId="50224260" w14:textId="77777777" w:rsidTr="007C03A2">
        <w:trPr>
          <w:trHeight w:val="20"/>
        </w:trPr>
        <w:tc>
          <w:tcPr>
            <w:tcW w:w="3823" w:type="dxa"/>
            <w:shd w:val="clear" w:color="auto" w:fill="D0CECE"/>
          </w:tcPr>
          <w:p w14:paraId="1F9A68CC" w14:textId="77777777" w:rsidR="00847F23" w:rsidRPr="00913E39" w:rsidRDefault="00847F23" w:rsidP="00272C0B">
            <w:pPr>
              <w:spacing w:after="0" w:line="240" w:lineRule="auto"/>
              <w:rPr>
                <w:rFonts w:ascii="Garamond" w:hAnsi="Garamond"/>
                <w:b/>
                <w:sz w:val="18"/>
              </w:rPr>
            </w:pPr>
            <w:r w:rsidRPr="00913E39">
              <w:rPr>
                <w:rFonts w:ascii="Garamond" w:hAnsi="Garamond"/>
                <w:sz w:val="18"/>
              </w:rPr>
              <w:t>MUNDËSITË</w:t>
            </w:r>
          </w:p>
        </w:tc>
        <w:tc>
          <w:tcPr>
            <w:tcW w:w="5244" w:type="dxa"/>
            <w:shd w:val="clear" w:color="auto" w:fill="D0CECE"/>
          </w:tcPr>
          <w:p w14:paraId="01B321BF" w14:textId="77777777" w:rsidR="00847F23" w:rsidRPr="00913E39" w:rsidRDefault="00847F23" w:rsidP="00272C0B">
            <w:pPr>
              <w:spacing w:after="0" w:line="240" w:lineRule="auto"/>
              <w:jc w:val="both"/>
              <w:rPr>
                <w:rFonts w:ascii="Garamond" w:hAnsi="Garamond"/>
                <w:b/>
                <w:sz w:val="18"/>
              </w:rPr>
            </w:pPr>
            <w:r w:rsidRPr="00913E39">
              <w:rPr>
                <w:rFonts w:ascii="Garamond" w:hAnsi="Garamond"/>
                <w:b/>
                <w:sz w:val="18"/>
              </w:rPr>
              <w:t>Të dhënat mbështetëse</w:t>
            </w:r>
          </w:p>
        </w:tc>
      </w:tr>
      <w:tr w:rsidR="00A56912" w:rsidRPr="00913E39" w14:paraId="319C3390" w14:textId="77777777" w:rsidTr="007C03A2">
        <w:trPr>
          <w:trHeight w:val="20"/>
        </w:trPr>
        <w:tc>
          <w:tcPr>
            <w:tcW w:w="3823" w:type="dxa"/>
            <w:shd w:val="clear" w:color="auto" w:fill="auto"/>
          </w:tcPr>
          <w:p w14:paraId="4D593A3D" w14:textId="469CC597" w:rsidR="00847F23" w:rsidRPr="00913E39" w:rsidRDefault="00847F23" w:rsidP="00272C0B">
            <w:pPr>
              <w:spacing w:after="0" w:line="240" w:lineRule="auto"/>
              <w:rPr>
                <w:rFonts w:ascii="Garamond" w:hAnsi="Garamond"/>
                <w:sz w:val="18"/>
              </w:rPr>
            </w:pPr>
            <w:r w:rsidRPr="00913E39">
              <w:rPr>
                <w:rFonts w:ascii="Garamond" w:hAnsi="Garamond"/>
                <w:sz w:val="18"/>
              </w:rPr>
              <w:lastRenderedPageBreak/>
              <w:t xml:space="preserve">Zhvillimi i </w:t>
            </w:r>
            <w:r w:rsidR="00977C00" w:rsidRPr="00913E39">
              <w:rPr>
                <w:rFonts w:ascii="Garamond" w:hAnsi="Garamond"/>
                <w:sz w:val="18"/>
              </w:rPr>
              <w:t>kapacitetit të sigurisë kibernetike</w:t>
            </w:r>
          </w:p>
          <w:p w14:paraId="731C0D13" w14:textId="77777777" w:rsidR="00847F23" w:rsidRPr="00913E39" w:rsidRDefault="00847F23" w:rsidP="00272C0B">
            <w:pPr>
              <w:spacing w:after="0" w:line="240" w:lineRule="auto"/>
              <w:rPr>
                <w:rFonts w:ascii="Garamond" w:hAnsi="Garamond"/>
                <w:sz w:val="18"/>
              </w:rPr>
            </w:pPr>
          </w:p>
          <w:p w14:paraId="162E86B8" w14:textId="77777777" w:rsidR="00847F23" w:rsidRPr="00913E39" w:rsidRDefault="00847F23" w:rsidP="00272C0B">
            <w:pPr>
              <w:spacing w:after="0" w:line="240" w:lineRule="auto"/>
              <w:rPr>
                <w:rFonts w:ascii="Garamond" w:hAnsi="Garamond"/>
                <w:b/>
                <w:sz w:val="18"/>
              </w:rPr>
            </w:pPr>
          </w:p>
        </w:tc>
        <w:tc>
          <w:tcPr>
            <w:tcW w:w="5244" w:type="dxa"/>
            <w:shd w:val="clear" w:color="auto" w:fill="auto"/>
          </w:tcPr>
          <w:p w14:paraId="11F2FB37" w14:textId="77777777" w:rsidR="00847F23" w:rsidRPr="00913E39" w:rsidRDefault="00847F23" w:rsidP="00272C0B">
            <w:pPr>
              <w:spacing w:after="0" w:line="240" w:lineRule="auto"/>
              <w:jc w:val="both"/>
              <w:rPr>
                <w:rFonts w:ascii="Garamond" w:hAnsi="Garamond"/>
                <w:b/>
                <w:sz w:val="18"/>
              </w:rPr>
            </w:pPr>
            <w:r w:rsidRPr="00913E39">
              <w:rPr>
                <w:rFonts w:ascii="Garamond" w:hAnsi="Garamond"/>
                <w:sz w:val="18"/>
              </w:rPr>
              <w:t xml:space="preserve">Raportet përfundimtare të sulmeve kibernetike të vitit të kaluar nga FBI, CISA dhe Microsoft dëshmuan se AKSHI ishte rezistent ndaj një sulmi të sofistikuar. Zhvillimi i mëtejshëm i kapaciteteve të reagimit të sigurisë kibernetike. </w:t>
            </w:r>
          </w:p>
        </w:tc>
      </w:tr>
      <w:tr w:rsidR="00A56912" w:rsidRPr="00913E39" w14:paraId="4D082997" w14:textId="77777777" w:rsidTr="007C03A2">
        <w:trPr>
          <w:trHeight w:val="20"/>
        </w:trPr>
        <w:tc>
          <w:tcPr>
            <w:tcW w:w="3823" w:type="dxa"/>
            <w:shd w:val="clear" w:color="auto" w:fill="auto"/>
          </w:tcPr>
          <w:p w14:paraId="5072F932" w14:textId="77777777" w:rsidR="00847F23" w:rsidRPr="00913E39" w:rsidRDefault="00847F23" w:rsidP="00272C0B">
            <w:pPr>
              <w:spacing w:after="0" w:line="240" w:lineRule="auto"/>
              <w:rPr>
                <w:rFonts w:ascii="Garamond" w:hAnsi="Garamond"/>
                <w:sz w:val="18"/>
              </w:rPr>
            </w:pPr>
            <w:r w:rsidRPr="00913E39">
              <w:rPr>
                <w:rFonts w:ascii="Garamond" w:hAnsi="Garamond"/>
                <w:sz w:val="18"/>
              </w:rPr>
              <w:t>Rezistenca kibernetike kryeson listën e objektivave për të ardhmen në Shqipëri.</w:t>
            </w:r>
            <w:r w:rsidR="00693B1A" w:rsidRPr="00913E39">
              <w:rPr>
                <w:rFonts w:ascii="Garamond" w:hAnsi="Garamond"/>
                <w:sz w:val="18"/>
              </w:rPr>
              <w:t xml:space="preserve"> </w:t>
            </w:r>
          </w:p>
        </w:tc>
        <w:tc>
          <w:tcPr>
            <w:tcW w:w="5244" w:type="dxa"/>
            <w:shd w:val="clear" w:color="auto" w:fill="auto"/>
          </w:tcPr>
          <w:p w14:paraId="65CEE3DB"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Siç shprehet në agjendën digjitale dhe strategjinë kombëtare të sigurisë kibernetike.</w:t>
            </w:r>
          </w:p>
        </w:tc>
      </w:tr>
      <w:tr w:rsidR="00A56912" w:rsidRPr="00913E39" w14:paraId="10E5AB10" w14:textId="77777777" w:rsidTr="007C03A2">
        <w:trPr>
          <w:trHeight w:val="20"/>
        </w:trPr>
        <w:tc>
          <w:tcPr>
            <w:tcW w:w="3823" w:type="dxa"/>
            <w:shd w:val="clear" w:color="auto" w:fill="D0CECE"/>
          </w:tcPr>
          <w:p w14:paraId="4D306850" w14:textId="77777777" w:rsidR="00847F23" w:rsidRPr="00913E39" w:rsidRDefault="00847F23" w:rsidP="00272C0B">
            <w:pPr>
              <w:spacing w:after="0" w:line="240" w:lineRule="auto"/>
              <w:rPr>
                <w:rFonts w:ascii="Garamond" w:hAnsi="Garamond"/>
                <w:b/>
                <w:sz w:val="18"/>
              </w:rPr>
            </w:pPr>
            <w:r w:rsidRPr="00913E39">
              <w:rPr>
                <w:rFonts w:ascii="Garamond" w:hAnsi="Garamond"/>
                <w:sz w:val="18"/>
              </w:rPr>
              <w:t>KËRCËNIME</w:t>
            </w:r>
          </w:p>
        </w:tc>
        <w:tc>
          <w:tcPr>
            <w:tcW w:w="5244" w:type="dxa"/>
            <w:shd w:val="clear" w:color="auto" w:fill="D0CECE"/>
          </w:tcPr>
          <w:p w14:paraId="551E9276" w14:textId="77777777" w:rsidR="00847F23" w:rsidRPr="00913E39" w:rsidRDefault="00847F23" w:rsidP="00272C0B">
            <w:pPr>
              <w:spacing w:after="0" w:line="240" w:lineRule="auto"/>
              <w:jc w:val="both"/>
              <w:rPr>
                <w:rFonts w:ascii="Garamond" w:hAnsi="Garamond"/>
                <w:b/>
                <w:sz w:val="18"/>
              </w:rPr>
            </w:pPr>
            <w:r w:rsidRPr="00913E39">
              <w:rPr>
                <w:rFonts w:ascii="Garamond" w:hAnsi="Garamond"/>
                <w:b/>
                <w:sz w:val="18"/>
              </w:rPr>
              <w:t>Të dhënat mbështetëse</w:t>
            </w:r>
          </w:p>
        </w:tc>
      </w:tr>
      <w:tr w:rsidR="00A56912" w:rsidRPr="00913E39" w14:paraId="5D195264" w14:textId="77777777" w:rsidTr="007C03A2">
        <w:trPr>
          <w:trHeight w:val="20"/>
        </w:trPr>
        <w:tc>
          <w:tcPr>
            <w:tcW w:w="3823" w:type="dxa"/>
            <w:shd w:val="clear" w:color="auto" w:fill="auto"/>
          </w:tcPr>
          <w:p w14:paraId="55E03165" w14:textId="74FE6064" w:rsidR="00847F23" w:rsidRPr="00913E39" w:rsidRDefault="00847F23" w:rsidP="00272C0B">
            <w:pPr>
              <w:spacing w:after="0" w:line="240" w:lineRule="auto"/>
              <w:rPr>
                <w:rFonts w:ascii="Garamond" w:hAnsi="Garamond"/>
                <w:sz w:val="18"/>
              </w:rPr>
            </w:pPr>
            <w:r w:rsidRPr="00913E39">
              <w:rPr>
                <w:rFonts w:ascii="Garamond" w:hAnsi="Garamond"/>
                <w:sz w:val="18"/>
              </w:rPr>
              <w:t xml:space="preserve">Sulmet kibernetike të avancuara: </w:t>
            </w:r>
            <w:r w:rsidR="00977C00" w:rsidRPr="00913E39">
              <w:rPr>
                <w:rFonts w:ascii="Garamond" w:hAnsi="Garamond"/>
                <w:sz w:val="18"/>
              </w:rPr>
              <w:t>s</w:t>
            </w:r>
            <w:r w:rsidRPr="00913E39">
              <w:rPr>
                <w:rFonts w:ascii="Garamond" w:hAnsi="Garamond"/>
                <w:sz w:val="18"/>
              </w:rPr>
              <w:t>ulmet e sofistikuara kibernetike përbëjnë një kërcënim të rëndësishëm ndaj masave të sigurisë kibernetike të qeverisë shqiptare</w:t>
            </w:r>
            <w:r w:rsidR="00693B1A" w:rsidRPr="00913E39">
              <w:rPr>
                <w:rFonts w:ascii="Garamond" w:hAnsi="Garamond"/>
                <w:sz w:val="18"/>
              </w:rPr>
              <w:t xml:space="preserve"> </w:t>
            </w:r>
          </w:p>
        </w:tc>
        <w:tc>
          <w:tcPr>
            <w:tcW w:w="5244" w:type="dxa"/>
            <w:shd w:val="clear" w:color="auto" w:fill="auto"/>
          </w:tcPr>
          <w:p w14:paraId="14D3CC75"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Këshillim i përbashkët CISA-FBI -Shqipëri.</w:t>
            </w:r>
          </w:p>
          <w:p w14:paraId="1C575309"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Microsoft heton sulmet iraniane kundër qeverisë shqiptare.</w:t>
            </w:r>
          </w:p>
        </w:tc>
      </w:tr>
      <w:tr w:rsidR="00A56912" w:rsidRPr="00913E39" w14:paraId="37719943" w14:textId="77777777" w:rsidTr="007C03A2">
        <w:trPr>
          <w:trHeight w:val="20"/>
        </w:trPr>
        <w:tc>
          <w:tcPr>
            <w:tcW w:w="3823" w:type="dxa"/>
            <w:shd w:val="clear" w:color="auto" w:fill="auto"/>
          </w:tcPr>
          <w:p w14:paraId="2F7AA32A"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Panorama e kërcënimit kibernetik.</w:t>
            </w:r>
          </w:p>
        </w:tc>
        <w:tc>
          <w:tcPr>
            <w:tcW w:w="5244" w:type="dxa"/>
            <w:shd w:val="clear" w:color="auto" w:fill="auto"/>
          </w:tcPr>
          <w:p w14:paraId="0ED25E20"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Strategjitë përkatëse kombëtare.</w:t>
            </w:r>
          </w:p>
        </w:tc>
      </w:tr>
    </w:tbl>
    <w:p w14:paraId="53C3E1A6" w14:textId="77777777" w:rsidR="00A22AA7" w:rsidRPr="00913E39" w:rsidRDefault="00A22AA7" w:rsidP="00FC4C60">
      <w:pPr>
        <w:spacing w:after="0" w:line="240" w:lineRule="auto"/>
        <w:ind w:firstLine="284"/>
        <w:jc w:val="both"/>
        <w:rPr>
          <w:rFonts w:ascii="Garamond" w:hAnsi="Garamond"/>
          <w:b/>
          <w:sz w:val="24"/>
        </w:rPr>
      </w:pPr>
    </w:p>
    <w:p w14:paraId="1C117C8E" w14:textId="034A484A"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CF38BF" w:rsidRPr="00913E39">
        <w:rPr>
          <w:rFonts w:ascii="Garamond" w:hAnsi="Garamond"/>
          <w:i/>
          <w:sz w:val="24"/>
        </w:rPr>
        <w:t>f</w:t>
      </w:r>
      <w:r w:rsidRPr="00913E39">
        <w:rPr>
          <w:rFonts w:ascii="Garamond" w:hAnsi="Garamond"/>
          <w:i/>
          <w:sz w:val="24"/>
        </w:rPr>
        <w:t>usha e mbështetjes 2.3: Ndërlidhja digjitale</w:t>
      </w:r>
    </w:p>
    <w:p w14:paraId="65E4059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Infrastruktura digjitale dhe mbulimi me </w:t>
      </w:r>
      <w:r w:rsidRPr="00913E39">
        <w:rPr>
          <w:rFonts w:ascii="Garamond" w:hAnsi="Garamond"/>
          <w:i/>
          <w:sz w:val="24"/>
        </w:rPr>
        <w:t>broadband</w:t>
      </w:r>
      <w:r w:rsidRPr="00913E39">
        <w:rPr>
          <w:rFonts w:ascii="Garamond" w:hAnsi="Garamond"/>
          <w:sz w:val="24"/>
        </w:rPr>
        <w:t xml:space="preserve"> janë përmirësuar gjatë viteve të fundit. Depërtimi i linjës fikse është rritur vit pas viti vazhdimisht. </w:t>
      </w:r>
      <w:bookmarkStart w:id="18" w:name="_Hlk148859722"/>
      <w:r w:rsidRPr="00913E39">
        <w:rPr>
          <w:rFonts w:ascii="Garamond" w:hAnsi="Garamond"/>
          <w:sz w:val="24"/>
        </w:rPr>
        <w:t xml:space="preserve">Qeveria shqiptare ka promovuar TIK-un në sektorë të ndryshëm për më shumë se një dekadë, duke paraqitur dhe zbatuar strategji dhe politika të ndryshme që fokusohen në TIK, zhvillimin e shoqërisë së informacionit, agjendën digjitale dhe zhvillimin e </w:t>
      </w:r>
      <w:r w:rsidRPr="00913E39">
        <w:rPr>
          <w:rFonts w:ascii="Garamond" w:hAnsi="Garamond"/>
          <w:i/>
          <w:sz w:val="24"/>
        </w:rPr>
        <w:t>broadband</w:t>
      </w:r>
      <w:r w:rsidRPr="00913E39">
        <w:rPr>
          <w:rFonts w:ascii="Garamond" w:hAnsi="Garamond"/>
          <w:sz w:val="24"/>
        </w:rPr>
        <w:t xml:space="preserve"> së bashku me ekonominë qarkore. </w:t>
      </w:r>
      <w:bookmarkEnd w:id="18"/>
      <w:r w:rsidRPr="00913E39">
        <w:rPr>
          <w:rFonts w:ascii="Garamond" w:hAnsi="Garamond"/>
          <w:sz w:val="24"/>
        </w:rPr>
        <w:t xml:space="preserve">Tregu i telekomunikacioneve ka qenë plotësisht i liberalizuar dhe konkurrues që nga viti 2008. Kuadri rregullator për komunikimet elektronike, i cili u miratua në vitin 2008 dhe u ndryshua më pas, veçanërisht në vitin 2012, bazohet në një regjim të përgjithshëm autorizimi që është në përputhje me </w:t>
      </w:r>
      <w:r w:rsidRPr="00913E39">
        <w:rPr>
          <w:rFonts w:ascii="Garamond" w:hAnsi="Garamond"/>
          <w:i/>
          <w:sz w:val="24"/>
        </w:rPr>
        <w:t>acquis</w:t>
      </w:r>
      <w:r w:rsidRPr="00913E39">
        <w:rPr>
          <w:rFonts w:ascii="Garamond" w:hAnsi="Garamond"/>
          <w:sz w:val="24"/>
        </w:rPr>
        <w:t xml:space="preserve">-in e BE-së të vitit 2002, të ndryshuar në vitin 2009. </w:t>
      </w:r>
    </w:p>
    <w:p w14:paraId="77B64511"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Qeveria shqiptare ka investuar ndjeshëm në digjitalizimin e infrastrukturës publike dhe ngritjen e sistemeve dhe shërbimeve të qeverisjes elektronike. Shqipëria tani ofron më shumë se 95% të të gjitha shërbimeve publike </w:t>
      </w:r>
      <w:r w:rsidRPr="00913E39">
        <w:rPr>
          <w:rFonts w:ascii="Garamond" w:hAnsi="Garamond"/>
          <w:i/>
          <w:sz w:val="24"/>
        </w:rPr>
        <w:t>online</w:t>
      </w:r>
      <w:r w:rsidRPr="00913E39">
        <w:rPr>
          <w:rFonts w:ascii="Garamond" w:hAnsi="Garamond"/>
          <w:sz w:val="24"/>
        </w:rPr>
        <w:t xml:space="preserve">, duke e bërë atë vendin lider në Ballkanin Perëndimor sa i përket digjitalizimit të shërbimeve publike. Revolucioni digjital i shërbimeve publike në Shqipëri, i cili nisi me vetëm 14 shërbime </w:t>
      </w:r>
      <w:r w:rsidRPr="00913E39">
        <w:rPr>
          <w:rFonts w:ascii="Garamond" w:hAnsi="Garamond"/>
          <w:i/>
          <w:sz w:val="24"/>
        </w:rPr>
        <w:t>online</w:t>
      </w:r>
      <w:r w:rsidRPr="00913E39">
        <w:rPr>
          <w:rFonts w:ascii="Garamond" w:hAnsi="Garamond"/>
          <w:sz w:val="24"/>
        </w:rPr>
        <w:t xml:space="preserve"> në </w:t>
      </w:r>
      <w:r w:rsidRPr="00913E39">
        <w:rPr>
          <w:rFonts w:ascii="Garamond" w:hAnsi="Garamond"/>
          <w:i/>
          <w:sz w:val="24"/>
        </w:rPr>
        <w:t>e-Albania</w:t>
      </w:r>
      <w:r w:rsidRPr="00913E39">
        <w:rPr>
          <w:rFonts w:ascii="Garamond" w:hAnsi="Garamond"/>
          <w:sz w:val="24"/>
        </w:rPr>
        <w:t xml:space="preserve">, ka nisur prej kohësh procesin e transformimit të shërbimeve publike dhe ndryshimit të qëndrimeve të qytetarëve ndaj kësaj forme të re, të pashmangshme komunikimi me institucionet qeveritare, kështu që sot ofrohen 1227 shërbime </w:t>
      </w:r>
      <w:r w:rsidRPr="00913E39">
        <w:rPr>
          <w:rFonts w:ascii="Garamond" w:hAnsi="Garamond"/>
          <w:i/>
          <w:sz w:val="24"/>
        </w:rPr>
        <w:t>online</w:t>
      </w:r>
      <w:r w:rsidRPr="00913E39">
        <w:rPr>
          <w:rFonts w:ascii="Garamond" w:hAnsi="Garamond"/>
          <w:sz w:val="24"/>
        </w:rPr>
        <w:t xml:space="preserve">, që përfaqësojnë rreth 95% të të gjitha shërbimeve publike. Qeveria shqiptare, si promotore e transformimit nga shërbimet </w:t>
      </w:r>
      <w:r w:rsidRPr="00913E39">
        <w:rPr>
          <w:rFonts w:ascii="Garamond" w:hAnsi="Garamond"/>
          <w:i/>
          <w:sz w:val="24"/>
        </w:rPr>
        <w:t>offline</w:t>
      </w:r>
      <w:r w:rsidRPr="00913E39">
        <w:rPr>
          <w:rFonts w:ascii="Garamond" w:hAnsi="Garamond"/>
          <w:sz w:val="24"/>
        </w:rPr>
        <w:t xml:space="preserve"> në ato </w:t>
      </w:r>
      <w:r w:rsidRPr="00913E39">
        <w:rPr>
          <w:rFonts w:ascii="Garamond" w:hAnsi="Garamond"/>
          <w:i/>
          <w:sz w:val="24"/>
        </w:rPr>
        <w:t>online</w:t>
      </w:r>
      <w:r w:rsidRPr="00913E39">
        <w:rPr>
          <w:rFonts w:ascii="Garamond" w:hAnsi="Garamond"/>
          <w:sz w:val="24"/>
        </w:rPr>
        <w:t xml:space="preserve">, ka krijuar platformën </w:t>
      </w:r>
      <w:r w:rsidRPr="00913E39">
        <w:rPr>
          <w:rFonts w:ascii="Garamond" w:hAnsi="Garamond"/>
          <w:i/>
          <w:sz w:val="24"/>
        </w:rPr>
        <w:t>e-Albania</w:t>
      </w:r>
      <w:r w:rsidRPr="00913E39">
        <w:rPr>
          <w:rFonts w:ascii="Garamond" w:hAnsi="Garamond"/>
          <w:sz w:val="24"/>
        </w:rPr>
        <w:t xml:space="preserve"> si një histori suksesi dhe ka arritur të ndërtojë një imazh serioz të shtetit dhe të rikthejë besimin e qytetarëve tek institucionet publike. Administrata nuk është më e njëjta. Qytetarët dhe bizneset nuk mbledhin dokumente dhe certifikata, pasi punonjësit e administratës publike mbledhin të gjitha dokumentet shtetërore të nevojshme për shërbimet përkatëse. Të gjitha të dhënat dhe dokumentet shtetërore përdoren dhe ripërdoren brenda administratës, kështu që qytetarët nuk kanë më nevojë të mbledhin dokumentet e tyre në letër nga sportelet e shtetit. Sistemi i posaçëm (Sistemi i Qarkullimit të Dokumenteve </w:t>
      </w:r>
      <w:r w:rsidRPr="00913E39">
        <w:rPr>
          <w:rFonts w:ascii="Garamond" w:hAnsi="Garamond"/>
          <w:i/>
          <w:sz w:val="24"/>
        </w:rPr>
        <w:t>e-nënshkrimi</w:t>
      </w:r>
      <w:r w:rsidRPr="00913E39">
        <w:rPr>
          <w:rFonts w:ascii="Garamond" w:hAnsi="Garamond"/>
          <w:sz w:val="24"/>
        </w:rPr>
        <w:t>) u mundëson të gjitha institucioneve të ndërveprojnë me synimin për të shkëmbyer të gjitha dokumentet përkatëse të dosjes së qytetarit në formë elektronike, pa letër dhe me nënshkrim elektronik. Kjo do të ulë barrën e qytetarëve dhe kompanive në institucione dhe të vetmet dokumente që do të duhet të ngarkojnë do të jenë vetë-deklarimet dhe dokumentet e marra nga subjektet private.</w:t>
      </w:r>
    </w:p>
    <w:p w14:paraId="2684A2A0" w14:textId="5D1156D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Plani Kombëtar për Zhvillimin e Qëndrueshëm të Infrastrukturës Digjitale, </w:t>
      </w:r>
      <w:r w:rsidRPr="00913E39">
        <w:rPr>
          <w:rFonts w:ascii="Garamond" w:hAnsi="Garamond"/>
          <w:i/>
          <w:sz w:val="24"/>
        </w:rPr>
        <w:t>Broadband</w:t>
      </w:r>
      <w:r w:rsidRPr="00913E39">
        <w:rPr>
          <w:rFonts w:ascii="Garamond" w:hAnsi="Garamond"/>
          <w:sz w:val="24"/>
        </w:rPr>
        <w:t xml:space="preserve"> 2020</w:t>
      </w:r>
      <w:r w:rsidR="00CF38BF" w:rsidRPr="00913E39">
        <w:rPr>
          <w:rFonts w:ascii="Garamond" w:hAnsi="Garamond"/>
          <w:sz w:val="24"/>
        </w:rPr>
        <w:t>–</w:t>
      </w:r>
      <w:r w:rsidRPr="00913E39">
        <w:rPr>
          <w:rFonts w:ascii="Garamond" w:hAnsi="Garamond"/>
          <w:sz w:val="24"/>
        </w:rPr>
        <w:t xml:space="preserve">2025 e ka parë zhvillimin dhe digjitalizimin e shërbimeve publike si një shtysë për të rritur anën e kërkesës për investime të mëtejshme në infrastrukturën digjitale. </w:t>
      </w:r>
    </w:p>
    <w:p w14:paraId="495F9AEF" w14:textId="74B68A0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Tregu i </w:t>
      </w:r>
      <w:r w:rsidRPr="00913E39">
        <w:rPr>
          <w:rFonts w:ascii="Garamond" w:hAnsi="Garamond"/>
          <w:i/>
          <w:sz w:val="24"/>
        </w:rPr>
        <w:t>broadband</w:t>
      </w:r>
      <w:r w:rsidRPr="00913E39">
        <w:rPr>
          <w:rFonts w:ascii="Garamond" w:hAnsi="Garamond"/>
          <w:sz w:val="24"/>
        </w:rPr>
        <w:t xml:space="preserve"> ka qenë një nga tregjet më të gjalla në sektorin e telekomunikacionit në Shqipëri, me 240 ISP të autorizuar nga AKEP</w:t>
      </w:r>
      <w:r w:rsidR="00894C20" w:rsidRPr="00913E39">
        <w:rPr>
          <w:rFonts w:ascii="Garamond" w:hAnsi="Garamond"/>
          <w:sz w:val="24"/>
        </w:rPr>
        <w:t>-i</w:t>
      </w:r>
      <w:r w:rsidRPr="00913E39">
        <w:rPr>
          <w:rFonts w:ascii="Garamond" w:hAnsi="Garamond"/>
          <w:sz w:val="24"/>
        </w:rPr>
        <w:t xml:space="preserve">. Deri në fund të vitit 2022, tre operatorë të rrjeteve celulare ofrojnë shërbime celulare me </w:t>
      </w:r>
      <w:r w:rsidRPr="00913E39">
        <w:rPr>
          <w:rFonts w:ascii="Garamond" w:hAnsi="Garamond"/>
          <w:i/>
          <w:sz w:val="24"/>
        </w:rPr>
        <w:t>broadband</w:t>
      </w:r>
      <w:r w:rsidRPr="00913E39">
        <w:rPr>
          <w:rFonts w:ascii="Garamond" w:hAnsi="Garamond"/>
          <w:sz w:val="24"/>
        </w:rPr>
        <w:t xml:space="preserve"> bazuar në 4G/LTE. </w:t>
      </w:r>
      <w:r w:rsidRPr="00913E39">
        <w:rPr>
          <w:rFonts w:ascii="Garamond" w:hAnsi="Garamond"/>
          <w:i/>
          <w:sz w:val="24"/>
        </w:rPr>
        <w:t>Broadband</w:t>
      </w:r>
      <w:r w:rsidRPr="00913E39">
        <w:rPr>
          <w:rFonts w:ascii="Garamond" w:hAnsi="Garamond"/>
          <w:sz w:val="24"/>
        </w:rPr>
        <w:t xml:space="preserve"> fikse sigurohet nëpërmjet teknologjive të ndryshme fikse dhe celulare duke përfshirë DSL, FTTH/FTTB, FTTx dhe Cable Docsis 3.1.</w:t>
      </w:r>
    </w:p>
    <w:p w14:paraId="73C78F4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Bazuar në shifrat e fundit, depërtimi i </w:t>
      </w:r>
      <w:r w:rsidRPr="00913E39">
        <w:rPr>
          <w:rFonts w:ascii="Garamond" w:hAnsi="Garamond"/>
          <w:i/>
          <w:sz w:val="24"/>
        </w:rPr>
        <w:t>broadband</w:t>
      </w:r>
      <w:r w:rsidRPr="00913E39">
        <w:rPr>
          <w:rFonts w:ascii="Garamond" w:hAnsi="Garamond"/>
          <w:sz w:val="24"/>
        </w:rPr>
        <w:t xml:space="preserve"> fikse dhe </w:t>
      </w:r>
      <w:r w:rsidRPr="00913E39">
        <w:rPr>
          <w:rFonts w:ascii="Garamond" w:hAnsi="Garamond"/>
          <w:i/>
          <w:sz w:val="24"/>
        </w:rPr>
        <w:t>broadband</w:t>
      </w:r>
      <w:r w:rsidRPr="00913E39">
        <w:rPr>
          <w:rFonts w:ascii="Garamond" w:hAnsi="Garamond"/>
          <w:sz w:val="24"/>
        </w:rPr>
        <w:t xml:space="preserve"> celulare është rritur vazhdimisht gjatë viteve të fundit. </w:t>
      </w:r>
    </w:p>
    <w:p w14:paraId="49CF6E94" w14:textId="2D81216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Bazuar në raportin vjetor të AKEP-it</w:t>
      </w:r>
      <w:r w:rsidRPr="00913E39">
        <w:rPr>
          <w:rFonts w:ascii="Garamond" w:hAnsi="Garamond"/>
          <w:sz w:val="24"/>
          <w:vertAlign w:val="superscript"/>
        </w:rPr>
        <w:footnoteReference w:id="44"/>
      </w:r>
      <w:r w:rsidRPr="00913E39">
        <w:rPr>
          <w:rFonts w:ascii="Garamond" w:hAnsi="Garamond"/>
          <w:sz w:val="24"/>
        </w:rPr>
        <w:t xml:space="preserve">, në fund të vitit 2022, numri total i abonentëve me </w:t>
      </w:r>
      <w:r w:rsidRPr="00913E39">
        <w:rPr>
          <w:rFonts w:ascii="Garamond" w:hAnsi="Garamond"/>
          <w:i/>
          <w:sz w:val="24"/>
        </w:rPr>
        <w:t>broadband</w:t>
      </w:r>
      <w:r w:rsidRPr="00913E39">
        <w:rPr>
          <w:rFonts w:ascii="Garamond" w:hAnsi="Garamond"/>
          <w:sz w:val="24"/>
        </w:rPr>
        <w:t xml:space="preserve"> fikse në Shqipëri ishte 582 110, një rritje prej 14% nga viti 2020. Shkalla e depërtimit ishte rreth 21% e popullsisë me 80% të familjeve të mbuluara. Bazuar në anketën</w:t>
      </w:r>
      <w:r w:rsidRPr="00913E39">
        <w:rPr>
          <w:rFonts w:ascii="Garamond" w:hAnsi="Garamond"/>
          <w:sz w:val="24"/>
          <w:vertAlign w:val="superscript"/>
        </w:rPr>
        <w:footnoteReference w:id="45"/>
      </w:r>
      <w:r w:rsidRPr="00913E39">
        <w:rPr>
          <w:rFonts w:ascii="Garamond" w:hAnsi="Garamond"/>
          <w:sz w:val="24"/>
        </w:rPr>
        <w:t xml:space="preserve"> e fundit të INSTAT për përdorimin e TIK nga individët dhe familjet, 88% e familjeve në Shqipëri kanë akses në internet. Ndarja digjitale është ende e pranishme veçanërisht midis zonave rurale dhe urbane: mbulimi fiks rural vazhdoi të jetë më i ulët se mbulimi fiks kombëtar. Sipas Raportit të KE-së 2022 dhe të dhënave të fundit të AKEP</w:t>
      </w:r>
      <w:r w:rsidR="00B445F5" w:rsidRPr="00913E39">
        <w:rPr>
          <w:rFonts w:ascii="Garamond" w:hAnsi="Garamond"/>
          <w:sz w:val="24"/>
        </w:rPr>
        <w:t>-it</w:t>
      </w:r>
      <w:r w:rsidRPr="00913E39">
        <w:rPr>
          <w:rFonts w:ascii="Garamond" w:hAnsi="Garamond"/>
          <w:sz w:val="24"/>
        </w:rPr>
        <w:t xml:space="preserve">, vetëm 20% e numrit të përgjithshëm të lidhjeve </w:t>
      </w:r>
      <w:r w:rsidRPr="00913E39">
        <w:rPr>
          <w:rFonts w:ascii="Garamond" w:hAnsi="Garamond"/>
          <w:i/>
          <w:sz w:val="24"/>
        </w:rPr>
        <w:t>broadband</w:t>
      </w:r>
      <w:r w:rsidRPr="00913E39">
        <w:rPr>
          <w:rFonts w:ascii="Garamond" w:hAnsi="Garamond"/>
          <w:sz w:val="24"/>
        </w:rPr>
        <w:t xml:space="preserve"> fikse janë në zonat rurale ndërsa popullsia rurale është rreth 40%. Bazuar në të dhënat e fundit të AKEP-it, deri në fund të vitit 2022, nga numri total i lidhjeve </w:t>
      </w:r>
      <w:r w:rsidRPr="00913E39">
        <w:rPr>
          <w:rFonts w:ascii="Garamond" w:hAnsi="Garamond"/>
          <w:i/>
          <w:sz w:val="24"/>
        </w:rPr>
        <w:t>broadband</w:t>
      </w:r>
      <w:r w:rsidRPr="00913E39">
        <w:rPr>
          <w:rFonts w:ascii="Garamond" w:hAnsi="Garamond"/>
          <w:sz w:val="24"/>
        </w:rPr>
        <w:t xml:space="preserve"> fikse, 114 078 abonentë janë lidhur me </w:t>
      </w:r>
      <w:r w:rsidRPr="00913E39">
        <w:rPr>
          <w:rFonts w:ascii="Garamond" w:hAnsi="Garamond"/>
          <w:i/>
          <w:sz w:val="24"/>
        </w:rPr>
        <w:t>broadband</w:t>
      </w:r>
      <w:r w:rsidRPr="00913E39">
        <w:rPr>
          <w:rFonts w:ascii="Garamond" w:hAnsi="Garamond"/>
          <w:sz w:val="24"/>
        </w:rPr>
        <w:t xml:space="preserve"> fikse në zonat rurale, që përbën 19% të totalit.</w:t>
      </w:r>
    </w:p>
    <w:p w14:paraId="35D205FF"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Sipas raportit të AKEP-it për vitin 2022</w:t>
      </w:r>
      <w:r w:rsidRPr="00913E39">
        <w:rPr>
          <w:rFonts w:ascii="Garamond" w:hAnsi="Garamond"/>
          <w:sz w:val="24"/>
          <w:vertAlign w:val="superscript"/>
        </w:rPr>
        <w:footnoteReference w:id="46"/>
      </w:r>
      <w:r w:rsidRPr="00913E39">
        <w:rPr>
          <w:rFonts w:ascii="Garamond" w:hAnsi="Garamond"/>
          <w:sz w:val="24"/>
        </w:rPr>
        <w:t xml:space="preserve">, më shumë se gjysma e përdoruesve kishin akses në internet me </w:t>
      </w:r>
      <w:r w:rsidRPr="00913E39">
        <w:rPr>
          <w:rFonts w:ascii="Garamond" w:hAnsi="Garamond"/>
          <w:i/>
          <w:sz w:val="24"/>
        </w:rPr>
        <w:t>broadband</w:t>
      </w:r>
      <w:r w:rsidRPr="00913E39">
        <w:rPr>
          <w:rFonts w:ascii="Garamond" w:hAnsi="Garamond"/>
          <w:sz w:val="24"/>
        </w:rPr>
        <w:t xml:space="preserve"> fikse mbi 30 Mbps dhe 12% e përdoruesve kishin akses në internet me </w:t>
      </w:r>
      <w:r w:rsidRPr="00913E39">
        <w:rPr>
          <w:rFonts w:ascii="Garamond" w:hAnsi="Garamond"/>
          <w:i/>
          <w:sz w:val="24"/>
        </w:rPr>
        <w:t>broadband</w:t>
      </w:r>
      <w:r w:rsidRPr="00913E39">
        <w:rPr>
          <w:rFonts w:ascii="Garamond" w:hAnsi="Garamond"/>
          <w:sz w:val="24"/>
        </w:rPr>
        <w:t xml:space="preserve"> fikse me mbi 100 Mbps gjatë vitit 2022. Edhe pse ky numër është dyfishuar në krahasim me vitin 2021 mbetet në nivele shumë modeste krahasuar me disa vende të rajonit si Mali i Zi dhe </w:t>
      </w:r>
      <w:r w:rsidRPr="00F24014">
        <w:rPr>
          <w:rFonts w:ascii="Garamond" w:hAnsi="Garamond"/>
          <w:sz w:val="24"/>
        </w:rPr>
        <w:t>Kosova</w:t>
      </w:r>
      <w:r w:rsidRPr="00F24014">
        <w:rPr>
          <w:rFonts w:ascii="Garamond" w:hAnsi="Garamond"/>
          <w:sz w:val="24"/>
          <w:vertAlign w:val="superscript"/>
        </w:rPr>
        <w:footnoteReference w:customMarkFollows="1" w:id="47"/>
        <w:t>*</w:t>
      </w:r>
      <w:r w:rsidRPr="00F24014">
        <w:rPr>
          <w:rFonts w:ascii="Garamond" w:hAnsi="Garamond"/>
          <w:sz w:val="24"/>
        </w:rPr>
        <w:t xml:space="preserve"> ku</w:t>
      </w:r>
      <w:r w:rsidRPr="00913E39">
        <w:rPr>
          <w:rFonts w:ascii="Garamond" w:hAnsi="Garamond"/>
          <w:sz w:val="24"/>
        </w:rPr>
        <w:t xml:space="preserve"> rreth 40% e përdoruesve kanë një shpejtësi të tillë interneti. Referuar raportit të DESI-t për Ballkanin Perëndimor</w:t>
      </w:r>
      <w:r w:rsidRPr="00913E39">
        <w:rPr>
          <w:rFonts w:ascii="Garamond" w:hAnsi="Garamond"/>
          <w:sz w:val="24"/>
          <w:vertAlign w:val="superscript"/>
        </w:rPr>
        <w:footnoteReference w:id="48"/>
      </w:r>
      <w:r w:rsidRPr="00913E39">
        <w:rPr>
          <w:rFonts w:ascii="Garamond" w:hAnsi="Garamond"/>
          <w:sz w:val="24"/>
        </w:rPr>
        <w:t xml:space="preserve">, përqindja e lidhjeve </w:t>
      </w:r>
      <w:r w:rsidRPr="00913E39">
        <w:rPr>
          <w:rFonts w:ascii="Garamond" w:hAnsi="Garamond"/>
          <w:i/>
          <w:sz w:val="24"/>
        </w:rPr>
        <w:t>gigabit</w:t>
      </w:r>
      <w:r w:rsidRPr="00913E39">
        <w:rPr>
          <w:rFonts w:ascii="Garamond" w:hAnsi="Garamond"/>
          <w:sz w:val="24"/>
        </w:rPr>
        <w:t xml:space="preserve"> në Shqipëri është shumë e ulët krahasuar me vendet e tjera të rajonit dhe BE-së.</w:t>
      </w:r>
    </w:p>
    <w:p w14:paraId="553CE67F" w14:textId="4747D97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Sipas raporteve vjetore të AKEP</w:t>
      </w:r>
      <w:r w:rsidR="002A4475" w:rsidRPr="00913E39">
        <w:rPr>
          <w:rFonts w:ascii="Garamond" w:hAnsi="Garamond"/>
          <w:sz w:val="24"/>
        </w:rPr>
        <w:t>-it</w:t>
      </w:r>
      <w:r w:rsidRPr="00913E39">
        <w:rPr>
          <w:rFonts w:ascii="Garamond" w:hAnsi="Garamond"/>
          <w:sz w:val="24"/>
        </w:rPr>
        <w:t xml:space="preserve">, mbulimi celular për popullsi i rrjeteve celulare me teknologjinë 3G/4G/4G+ në vitin 2022 ishte 99,2 % e popullsisë dhe përdoruesit </w:t>
      </w:r>
      <w:r w:rsidRPr="00913E39">
        <w:rPr>
          <w:rFonts w:ascii="Garamond" w:hAnsi="Garamond"/>
          <w:i/>
          <w:sz w:val="24"/>
        </w:rPr>
        <w:t>broadband</w:t>
      </w:r>
      <w:r w:rsidRPr="00913E39">
        <w:rPr>
          <w:rFonts w:ascii="Garamond" w:hAnsi="Garamond"/>
          <w:sz w:val="24"/>
        </w:rPr>
        <w:t xml:space="preserve"> nga rrjetet celulare ishin rreth 2,1 milionë në fund të 2022 me një depërtim prej 77 %. </w:t>
      </w:r>
    </w:p>
    <w:p w14:paraId="1C636E54" w14:textId="1B4E9989" w:rsidR="00850FC7" w:rsidRPr="00913E39" w:rsidRDefault="00847F23" w:rsidP="00850FC7">
      <w:pPr>
        <w:spacing w:after="0" w:line="240" w:lineRule="auto"/>
        <w:ind w:firstLine="284"/>
        <w:jc w:val="both"/>
        <w:rPr>
          <w:rFonts w:ascii="Garamond" w:hAnsi="Garamond"/>
          <w:sz w:val="24"/>
        </w:rPr>
      </w:pPr>
      <w:r w:rsidRPr="00913E39">
        <w:rPr>
          <w:rFonts w:ascii="Garamond" w:hAnsi="Garamond"/>
          <w:sz w:val="24"/>
        </w:rPr>
        <w:t>5G</w:t>
      </w:r>
      <w:r w:rsidRPr="00913E39">
        <w:rPr>
          <w:rFonts w:ascii="Garamond" w:hAnsi="Garamond"/>
          <w:sz w:val="24"/>
          <w:vertAlign w:val="superscript"/>
        </w:rPr>
        <w:footnoteReference w:id="49"/>
      </w:r>
      <w:r w:rsidRPr="00913E39">
        <w:rPr>
          <w:rFonts w:ascii="Garamond" w:hAnsi="Garamond"/>
          <w:sz w:val="24"/>
        </w:rPr>
        <w:t>, që shihet si një mundësi e madhe për transformim digjital dhe përdorim të gjerë në industrinë vertikale, zhvillimin e qyteteve të digjitalizuara etj., nuk është futur ende si treg në vend. Një rrjet testimi 5G është bërë në tetor 2019. Licencimi i rrjeteve 5G është planifikuar për 2023</w:t>
      </w:r>
      <w:r w:rsidR="002A4475" w:rsidRPr="00913E39">
        <w:rPr>
          <w:rFonts w:ascii="Garamond" w:hAnsi="Garamond"/>
          <w:sz w:val="24"/>
        </w:rPr>
        <w:t>–</w:t>
      </w:r>
      <w:r w:rsidRPr="00913E39">
        <w:rPr>
          <w:rFonts w:ascii="Garamond" w:hAnsi="Garamond"/>
          <w:sz w:val="24"/>
        </w:rPr>
        <w:t xml:space="preserve">2024. </w:t>
      </w:r>
    </w:p>
    <w:p w14:paraId="2D8C5E57" w14:textId="151AA0C7" w:rsidR="00847F23" w:rsidRPr="00913E39" w:rsidRDefault="00847F23" w:rsidP="00850FC7">
      <w:pPr>
        <w:spacing w:after="0" w:line="240" w:lineRule="auto"/>
        <w:ind w:firstLine="284"/>
        <w:jc w:val="both"/>
        <w:rPr>
          <w:rFonts w:ascii="Garamond" w:hAnsi="Garamond"/>
          <w:i/>
          <w:sz w:val="24"/>
        </w:rPr>
      </w:pPr>
      <w:r w:rsidRPr="00913E39">
        <w:rPr>
          <w:rFonts w:ascii="Garamond" w:hAnsi="Garamond"/>
          <w:i/>
          <w:sz w:val="24"/>
        </w:rPr>
        <w:t>Tabela 11</w:t>
      </w:r>
      <w:r w:rsidR="00850FC7" w:rsidRPr="00913E39">
        <w:rPr>
          <w:rFonts w:ascii="Garamond" w:eastAsia="Times New Roman" w:hAnsi="Garamond" w:cs="Times New Roman"/>
          <w:i/>
          <w:sz w:val="24"/>
          <w:szCs w:val="24"/>
        </w:rPr>
        <w:t>.</w:t>
      </w:r>
      <w:r w:rsidRPr="00913E39">
        <w:rPr>
          <w:rFonts w:ascii="Garamond" w:hAnsi="Garamond"/>
          <w:i/>
          <w:sz w:val="24"/>
        </w:rPr>
        <w:t xml:space="preserve"> Mbulimi për popullsinë</w:t>
      </w:r>
    </w:p>
    <w:tbl>
      <w:tblPr>
        <w:tblW w:w="775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926"/>
        <w:gridCol w:w="833"/>
        <w:gridCol w:w="833"/>
        <w:gridCol w:w="833"/>
        <w:gridCol w:w="926"/>
        <w:gridCol w:w="832"/>
      </w:tblGrid>
      <w:tr w:rsidR="00847F23" w:rsidRPr="00913E39" w14:paraId="064F652E" w14:textId="77777777" w:rsidTr="00DB7647">
        <w:trPr>
          <w:trHeight w:val="20"/>
        </w:trPr>
        <w:tc>
          <w:tcPr>
            <w:tcW w:w="2575" w:type="dxa"/>
            <w:shd w:val="clear" w:color="auto" w:fill="auto"/>
            <w:hideMark/>
          </w:tcPr>
          <w:p w14:paraId="7D0BF091" w14:textId="77777777" w:rsidR="00847F23" w:rsidRPr="00913E39" w:rsidRDefault="00847F23" w:rsidP="00272C0B">
            <w:pPr>
              <w:spacing w:after="0" w:line="240" w:lineRule="auto"/>
              <w:rPr>
                <w:rFonts w:ascii="Garamond" w:hAnsi="Garamond"/>
                <w:sz w:val="20"/>
              </w:rPr>
            </w:pPr>
            <w:r w:rsidRPr="00913E39">
              <w:rPr>
                <w:rFonts w:ascii="Garamond" w:hAnsi="Garamond"/>
                <w:b/>
                <w:sz w:val="20"/>
              </w:rPr>
              <w:t>Mbulimi për popullsinë</w:t>
            </w:r>
          </w:p>
        </w:tc>
        <w:tc>
          <w:tcPr>
            <w:tcW w:w="926" w:type="dxa"/>
            <w:shd w:val="clear" w:color="auto" w:fill="auto"/>
            <w:hideMark/>
          </w:tcPr>
          <w:p w14:paraId="4E18D706" w14:textId="77777777" w:rsidR="00847F23" w:rsidRPr="00913E39" w:rsidRDefault="00847F23" w:rsidP="00272C0B">
            <w:pPr>
              <w:spacing w:after="0" w:line="240" w:lineRule="auto"/>
              <w:jc w:val="both"/>
              <w:rPr>
                <w:rFonts w:ascii="Garamond" w:hAnsi="Garamond"/>
                <w:sz w:val="20"/>
              </w:rPr>
            </w:pPr>
            <w:r w:rsidRPr="00913E39">
              <w:rPr>
                <w:rFonts w:ascii="Garamond" w:hAnsi="Garamond"/>
                <w:b/>
                <w:sz w:val="20"/>
              </w:rPr>
              <w:t>2017</w:t>
            </w:r>
          </w:p>
        </w:tc>
        <w:tc>
          <w:tcPr>
            <w:tcW w:w="833" w:type="dxa"/>
            <w:shd w:val="clear" w:color="auto" w:fill="auto"/>
            <w:hideMark/>
          </w:tcPr>
          <w:p w14:paraId="29FDCDD5" w14:textId="77777777" w:rsidR="00847F23" w:rsidRPr="00913E39" w:rsidRDefault="00847F23" w:rsidP="00272C0B">
            <w:pPr>
              <w:spacing w:after="0" w:line="240" w:lineRule="auto"/>
              <w:jc w:val="both"/>
              <w:rPr>
                <w:rFonts w:ascii="Garamond" w:hAnsi="Garamond"/>
                <w:sz w:val="20"/>
              </w:rPr>
            </w:pPr>
            <w:r w:rsidRPr="00913E39">
              <w:rPr>
                <w:rFonts w:ascii="Garamond" w:hAnsi="Garamond"/>
                <w:b/>
                <w:sz w:val="20"/>
              </w:rPr>
              <w:t>2018</w:t>
            </w:r>
          </w:p>
        </w:tc>
        <w:tc>
          <w:tcPr>
            <w:tcW w:w="833" w:type="dxa"/>
            <w:shd w:val="clear" w:color="auto" w:fill="auto"/>
            <w:hideMark/>
          </w:tcPr>
          <w:p w14:paraId="08CE3741" w14:textId="77777777" w:rsidR="00847F23" w:rsidRPr="00913E39" w:rsidRDefault="00847F23" w:rsidP="00272C0B">
            <w:pPr>
              <w:spacing w:after="0" w:line="240" w:lineRule="auto"/>
              <w:jc w:val="both"/>
              <w:rPr>
                <w:rFonts w:ascii="Garamond" w:hAnsi="Garamond"/>
                <w:sz w:val="20"/>
              </w:rPr>
            </w:pPr>
            <w:r w:rsidRPr="00913E39">
              <w:rPr>
                <w:rFonts w:ascii="Garamond" w:hAnsi="Garamond"/>
                <w:b/>
                <w:sz w:val="20"/>
              </w:rPr>
              <w:t>2019</w:t>
            </w:r>
          </w:p>
        </w:tc>
        <w:tc>
          <w:tcPr>
            <w:tcW w:w="833" w:type="dxa"/>
            <w:shd w:val="clear" w:color="auto" w:fill="auto"/>
            <w:hideMark/>
          </w:tcPr>
          <w:p w14:paraId="6A2A680A" w14:textId="77777777" w:rsidR="00847F23" w:rsidRPr="00913E39" w:rsidRDefault="00847F23" w:rsidP="00272C0B">
            <w:pPr>
              <w:spacing w:after="0" w:line="240" w:lineRule="auto"/>
              <w:jc w:val="both"/>
              <w:rPr>
                <w:rFonts w:ascii="Garamond" w:hAnsi="Garamond"/>
                <w:sz w:val="20"/>
              </w:rPr>
            </w:pPr>
            <w:r w:rsidRPr="00913E39">
              <w:rPr>
                <w:rFonts w:ascii="Garamond" w:hAnsi="Garamond"/>
                <w:b/>
                <w:sz w:val="20"/>
              </w:rPr>
              <w:t>2020</w:t>
            </w:r>
          </w:p>
        </w:tc>
        <w:tc>
          <w:tcPr>
            <w:tcW w:w="926" w:type="dxa"/>
            <w:shd w:val="clear" w:color="auto" w:fill="auto"/>
            <w:hideMark/>
          </w:tcPr>
          <w:p w14:paraId="77E64702" w14:textId="77777777" w:rsidR="00847F23" w:rsidRPr="00913E39" w:rsidRDefault="00847F23" w:rsidP="00272C0B">
            <w:pPr>
              <w:spacing w:after="0" w:line="240" w:lineRule="auto"/>
              <w:jc w:val="both"/>
              <w:rPr>
                <w:rFonts w:ascii="Garamond" w:hAnsi="Garamond"/>
                <w:sz w:val="20"/>
              </w:rPr>
            </w:pPr>
            <w:r w:rsidRPr="00913E39">
              <w:rPr>
                <w:rFonts w:ascii="Garamond" w:hAnsi="Garamond"/>
                <w:b/>
                <w:sz w:val="20"/>
              </w:rPr>
              <w:t>2021</w:t>
            </w:r>
          </w:p>
        </w:tc>
        <w:tc>
          <w:tcPr>
            <w:tcW w:w="832" w:type="dxa"/>
            <w:shd w:val="clear" w:color="auto" w:fill="auto"/>
            <w:hideMark/>
          </w:tcPr>
          <w:p w14:paraId="583F0FD6" w14:textId="77777777" w:rsidR="00847F23" w:rsidRPr="00913E39" w:rsidRDefault="00847F23" w:rsidP="00272C0B">
            <w:pPr>
              <w:spacing w:after="0" w:line="240" w:lineRule="auto"/>
              <w:jc w:val="both"/>
              <w:rPr>
                <w:rFonts w:ascii="Garamond" w:hAnsi="Garamond"/>
                <w:sz w:val="20"/>
              </w:rPr>
            </w:pPr>
            <w:r w:rsidRPr="00913E39">
              <w:rPr>
                <w:rFonts w:ascii="Garamond" w:hAnsi="Garamond"/>
                <w:b/>
                <w:sz w:val="20"/>
              </w:rPr>
              <w:t>2022</w:t>
            </w:r>
          </w:p>
        </w:tc>
      </w:tr>
      <w:tr w:rsidR="00847F23" w:rsidRPr="00913E39" w14:paraId="2A81D64A" w14:textId="77777777" w:rsidTr="00DB7647">
        <w:trPr>
          <w:trHeight w:val="20"/>
        </w:trPr>
        <w:tc>
          <w:tcPr>
            <w:tcW w:w="2575" w:type="dxa"/>
            <w:shd w:val="clear" w:color="auto" w:fill="auto"/>
            <w:hideMark/>
          </w:tcPr>
          <w:p w14:paraId="2EE9406C" w14:textId="77777777" w:rsidR="00847F23" w:rsidRPr="00913E39" w:rsidRDefault="00847F23" w:rsidP="00272C0B">
            <w:pPr>
              <w:spacing w:after="0" w:line="240" w:lineRule="auto"/>
              <w:jc w:val="both"/>
              <w:rPr>
                <w:rFonts w:ascii="Garamond" w:hAnsi="Garamond"/>
                <w:sz w:val="20"/>
              </w:rPr>
            </w:pPr>
            <w:r w:rsidRPr="00913E39">
              <w:rPr>
                <w:rFonts w:ascii="Garamond" w:hAnsi="Garamond"/>
                <w:b/>
                <w:sz w:val="20"/>
              </w:rPr>
              <w:t>GSM</w:t>
            </w:r>
          </w:p>
        </w:tc>
        <w:tc>
          <w:tcPr>
            <w:tcW w:w="926" w:type="dxa"/>
            <w:shd w:val="clear" w:color="auto" w:fill="auto"/>
            <w:hideMark/>
          </w:tcPr>
          <w:p w14:paraId="4559373E"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99,86%</w:t>
            </w:r>
          </w:p>
        </w:tc>
        <w:tc>
          <w:tcPr>
            <w:tcW w:w="833" w:type="dxa"/>
            <w:shd w:val="clear" w:color="auto" w:fill="auto"/>
            <w:hideMark/>
          </w:tcPr>
          <w:p w14:paraId="0AA90E5B"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99,86%</w:t>
            </w:r>
          </w:p>
        </w:tc>
        <w:tc>
          <w:tcPr>
            <w:tcW w:w="833" w:type="dxa"/>
            <w:shd w:val="clear" w:color="auto" w:fill="auto"/>
            <w:hideMark/>
          </w:tcPr>
          <w:p w14:paraId="129881D1"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99,86%</w:t>
            </w:r>
          </w:p>
        </w:tc>
        <w:tc>
          <w:tcPr>
            <w:tcW w:w="833" w:type="dxa"/>
            <w:shd w:val="clear" w:color="auto" w:fill="auto"/>
            <w:hideMark/>
          </w:tcPr>
          <w:p w14:paraId="7FB8F0B6"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99,86%</w:t>
            </w:r>
          </w:p>
        </w:tc>
        <w:tc>
          <w:tcPr>
            <w:tcW w:w="926" w:type="dxa"/>
            <w:shd w:val="clear" w:color="auto" w:fill="auto"/>
            <w:hideMark/>
          </w:tcPr>
          <w:p w14:paraId="74F76263"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99,86%</w:t>
            </w:r>
          </w:p>
        </w:tc>
        <w:tc>
          <w:tcPr>
            <w:tcW w:w="832" w:type="dxa"/>
            <w:shd w:val="clear" w:color="auto" w:fill="auto"/>
            <w:hideMark/>
          </w:tcPr>
          <w:p w14:paraId="51865BF0"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100%</w:t>
            </w:r>
          </w:p>
        </w:tc>
      </w:tr>
      <w:tr w:rsidR="00847F23" w:rsidRPr="00913E39" w14:paraId="1E4D2F50" w14:textId="77777777" w:rsidTr="00DB7647">
        <w:trPr>
          <w:trHeight w:val="20"/>
        </w:trPr>
        <w:tc>
          <w:tcPr>
            <w:tcW w:w="2575" w:type="dxa"/>
            <w:shd w:val="clear" w:color="auto" w:fill="auto"/>
            <w:hideMark/>
          </w:tcPr>
          <w:p w14:paraId="52068F07" w14:textId="77777777" w:rsidR="00847F23" w:rsidRPr="00913E39" w:rsidRDefault="00847F23" w:rsidP="00272C0B">
            <w:pPr>
              <w:spacing w:after="0" w:line="240" w:lineRule="auto"/>
              <w:jc w:val="both"/>
              <w:rPr>
                <w:rFonts w:ascii="Garamond" w:hAnsi="Garamond"/>
                <w:sz w:val="20"/>
              </w:rPr>
            </w:pPr>
            <w:r w:rsidRPr="00913E39">
              <w:rPr>
                <w:rFonts w:ascii="Garamond" w:hAnsi="Garamond"/>
                <w:b/>
                <w:sz w:val="20"/>
              </w:rPr>
              <w:t>3G</w:t>
            </w:r>
          </w:p>
        </w:tc>
        <w:tc>
          <w:tcPr>
            <w:tcW w:w="926" w:type="dxa"/>
            <w:shd w:val="clear" w:color="auto" w:fill="auto"/>
            <w:hideMark/>
          </w:tcPr>
          <w:p w14:paraId="60A9D795"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99,20%</w:t>
            </w:r>
          </w:p>
        </w:tc>
        <w:tc>
          <w:tcPr>
            <w:tcW w:w="833" w:type="dxa"/>
            <w:shd w:val="clear" w:color="auto" w:fill="auto"/>
            <w:hideMark/>
          </w:tcPr>
          <w:p w14:paraId="6EC05960"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99,20%</w:t>
            </w:r>
          </w:p>
        </w:tc>
        <w:tc>
          <w:tcPr>
            <w:tcW w:w="833" w:type="dxa"/>
            <w:shd w:val="clear" w:color="auto" w:fill="auto"/>
            <w:hideMark/>
          </w:tcPr>
          <w:p w14:paraId="6431A771"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99,20%</w:t>
            </w:r>
          </w:p>
        </w:tc>
        <w:tc>
          <w:tcPr>
            <w:tcW w:w="833" w:type="dxa"/>
            <w:shd w:val="clear" w:color="auto" w:fill="auto"/>
            <w:hideMark/>
          </w:tcPr>
          <w:p w14:paraId="5FF185B9"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99,20%</w:t>
            </w:r>
          </w:p>
        </w:tc>
        <w:tc>
          <w:tcPr>
            <w:tcW w:w="926" w:type="dxa"/>
            <w:shd w:val="clear" w:color="auto" w:fill="auto"/>
            <w:hideMark/>
          </w:tcPr>
          <w:p w14:paraId="4FA3E4B8"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99,20%</w:t>
            </w:r>
          </w:p>
        </w:tc>
        <w:tc>
          <w:tcPr>
            <w:tcW w:w="832" w:type="dxa"/>
            <w:shd w:val="clear" w:color="auto" w:fill="auto"/>
            <w:hideMark/>
          </w:tcPr>
          <w:p w14:paraId="5D8A50DE"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99%</w:t>
            </w:r>
          </w:p>
        </w:tc>
      </w:tr>
      <w:tr w:rsidR="00847F23" w:rsidRPr="00913E39" w14:paraId="576F03F7" w14:textId="77777777" w:rsidTr="00DB7647">
        <w:trPr>
          <w:trHeight w:val="20"/>
        </w:trPr>
        <w:tc>
          <w:tcPr>
            <w:tcW w:w="2575" w:type="dxa"/>
            <w:shd w:val="clear" w:color="auto" w:fill="auto"/>
            <w:hideMark/>
          </w:tcPr>
          <w:p w14:paraId="121CE1AA" w14:textId="77777777" w:rsidR="00847F23" w:rsidRPr="00913E39" w:rsidRDefault="00847F23" w:rsidP="00272C0B">
            <w:pPr>
              <w:spacing w:after="0" w:line="240" w:lineRule="auto"/>
              <w:jc w:val="both"/>
              <w:rPr>
                <w:rFonts w:ascii="Garamond" w:hAnsi="Garamond"/>
                <w:sz w:val="20"/>
              </w:rPr>
            </w:pPr>
            <w:r w:rsidRPr="00913E39">
              <w:rPr>
                <w:rFonts w:ascii="Garamond" w:hAnsi="Garamond"/>
                <w:b/>
                <w:sz w:val="20"/>
              </w:rPr>
              <w:t>4G</w:t>
            </w:r>
          </w:p>
        </w:tc>
        <w:tc>
          <w:tcPr>
            <w:tcW w:w="926" w:type="dxa"/>
            <w:shd w:val="clear" w:color="auto" w:fill="auto"/>
            <w:hideMark/>
          </w:tcPr>
          <w:p w14:paraId="7909E2D0"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85,30%</w:t>
            </w:r>
          </w:p>
        </w:tc>
        <w:tc>
          <w:tcPr>
            <w:tcW w:w="833" w:type="dxa"/>
            <w:shd w:val="clear" w:color="auto" w:fill="auto"/>
            <w:hideMark/>
          </w:tcPr>
          <w:p w14:paraId="0B4F3E47"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85,50%</w:t>
            </w:r>
          </w:p>
        </w:tc>
        <w:tc>
          <w:tcPr>
            <w:tcW w:w="833" w:type="dxa"/>
            <w:shd w:val="clear" w:color="auto" w:fill="auto"/>
            <w:hideMark/>
          </w:tcPr>
          <w:p w14:paraId="7A14CEE1"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95%</w:t>
            </w:r>
          </w:p>
        </w:tc>
        <w:tc>
          <w:tcPr>
            <w:tcW w:w="833" w:type="dxa"/>
            <w:shd w:val="clear" w:color="auto" w:fill="auto"/>
            <w:hideMark/>
          </w:tcPr>
          <w:p w14:paraId="0B518A93"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98,38%</w:t>
            </w:r>
          </w:p>
        </w:tc>
        <w:tc>
          <w:tcPr>
            <w:tcW w:w="926" w:type="dxa"/>
            <w:shd w:val="clear" w:color="auto" w:fill="auto"/>
            <w:hideMark/>
          </w:tcPr>
          <w:p w14:paraId="523DCE31"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98,90%</w:t>
            </w:r>
          </w:p>
        </w:tc>
        <w:tc>
          <w:tcPr>
            <w:tcW w:w="832" w:type="dxa"/>
            <w:shd w:val="clear" w:color="auto" w:fill="auto"/>
            <w:hideMark/>
          </w:tcPr>
          <w:p w14:paraId="281C0EC3" w14:textId="77777777" w:rsidR="00847F23" w:rsidRPr="00913E39" w:rsidRDefault="00847F23" w:rsidP="00272C0B">
            <w:pPr>
              <w:spacing w:after="0" w:line="240" w:lineRule="auto"/>
              <w:jc w:val="both"/>
              <w:rPr>
                <w:rFonts w:ascii="Garamond" w:hAnsi="Garamond"/>
                <w:sz w:val="20"/>
              </w:rPr>
            </w:pPr>
            <w:r w:rsidRPr="00913E39">
              <w:rPr>
                <w:rFonts w:ascii="Garamond" w:hAnsi="Garamond"/>
                <w:sz w:val="20"/>
              </w:rPr>
              <w:t>99%</w:t>
            </w:r>
          </w:p>
        </w:tc>
      </w:tr>
    </w:tbl>
    <w:p w14:paraId="58F7EC40" w14:textId="77777777" w:rsidR="00847F23" w:rsidRPr="00913E39" w:rsidRDefault="00847F23" w:rsidP="00FC4C60">
      <w:pPr>
        <w:spacing w:after="0" w:line="240" w:lineRule="auto"/>
        <w:ind w:firstLine="284"/>
        <w:jc w:val="both"/>
        <w:rPr>
          <w:rFonts w:ascii="Garamond" w:hAnsi="Garamond"/>
          <w:sz w:val="24"/>
        </w:rPr>
      </w:pPr>
    </w:p>
    <w:p w14:paraId="3A2F4511" w14:textId="0BC503E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w:t>
      </w:r>
      <w:r w:rsidR="00DB7647" w:rsidRPr="00913E39">
        <w:rPr>
          <w:rFonts w:ascii="Garamond" w:hAnsi="Garamond"/>
          <w:sz w:val="24"/>
        </w:rPr>
        <w:t xml:space="preserve"> </w:t>
      </w:r>
      <w:r w:rsidRPr="00913E39">
        <w:rPr>
          <w:rFonts w:ascii="Garamond" w:hAnsi="Garamond"/>
          <w:sz w:val="24"/>
        </w:rPr>
        <w:t xml:space="preserve">sa i përket lidhjes ndërkombëtare, Shqipëria është e lidhur mirë me të gjitha vendet fqinje me kabllo nënujore me fibra optike. Kapaciteti i lidhjes ndërkombëtare të internetit të Shqipërisë u rrit nga 157 GB </w:t>
      </w:r>
      <w:r w:rsidR="006D1036" w:rsidRPr="00913E39">
        <w:rPr>
          <w:rFonts w:ascii="Garamond" w:hAnsi="Garamond"/>
          <w:sz w:val="24"/>
        </w:rPr>
        <w:t>m</w:t>
      </w:r>
      <w:r w:rsidRPr="00913E39">
        <w:rPr>
          <w:rFonts w:ascii="Garamond" w:hAnsi="Garamond"/>
          <w:sz w:val="24"/>
        </w:rPr>
        <w:t xml:space="preserve">ë 2017 në mbi 1,150 GB </w:t>
      </w:r>
      <w:r w:rsidR="006D1036" w:rsidRPr="00913E39">
        <w:rPr>
          <w:rFonts w:ascii="Garamond" w:hAnsi="Garamond"/>
          <w:sz w:val="24"/>
        </w:rPr>
        <w:t>m</w:t>
      </w:r>
      <w:r w:rsidRPr="00913E39">
        <w:rPr>
          <w:rFonts w:ascii="Garamond" w:hAnsi="Garamond"/>
          <w:sz w:val="24"/>
        </w:rPr>
        <w:t xml:space="preserve">ë 2022. </w:t>
      </w:r>
    </w:p>
    <w:p w14:paraId="427973A5" w14:textId="0FCB468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Kërkesa për komunikim të të dhënave është rritur me shpejtësi dhe pritet të vazhdojë edhe në të ardhmen. Sipas statistikave të siguruara nga AKEP</w:t>
      </w:r>
      <w:r w:rsidR="001F11B1" w:rsidRPr="00913E39">
        <w:rPr>
          <w:rFonts w:ascii="Garamond" w:hAnsi="Garamond"/>
          <w:sz w:val="24"/>
        </w:rPr>
        <w:t>-i</w:t>
      </w:r>
      <w:r w:rsidRPr="00913E39">
        <w:rPr>
          <w:rFonts w:ascii="Garamond" w:hAnsi="Garamond"/>
          <w:sz w:val="24"/>
        </w:rPr>
        <w:t xml:space="preserve"> në raportin e fundit vjetor, volumi i të dhënave të transmetuara nëpërmjet internetit për rrjetet celulare gjatë vitit 2022 arriti në rreth 184 milionë GB ose 7.3 GB në muaj për përdorues. Këto shifra tregojnë një rritje rreth 3 herë krahasuar me vëllimet e vitit 2018. </w:t>
      </w:r>
    </w:p>
    <w:p w14:paraId="48564BF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Gjatë vitit 2022, trafiku i internetit me </w:t>
      </w:r>
      <w:r w:rsidRPr="00913E39">
        <w:rPr>
          <w:rFonts w:ascii="Garamond" w:hAnsi="Garamond"/>
          <w:i/>
          <w:sz w:val="24"/>
        </w:rPr>
        <w:t>broadband</w:t>
      </w:r>
      <w:r w:rsidRPr="00913E39">
        <w:rPr>
          <w:rFonts w:ascii="Garamond" w:hAnsi="Garamond"/>
          <w:sz w:val="24"/>
        </w:rPr>
        <w:t xml:space="preserve"> nga rrjetet fikse arriti në rreth 1 miliard GB ose rreth 6% më shumë se në vitin 2021, çka tregon se përdoruesit e këtij shërbimi e kanë përdorur këtë rrjet për të aksesuar shërbimet e tyre financiare, informative, sociale dhe shëndetësore. Gjatë vitit 2022, Shqipëria arriti pragun simbolik të 4 nga 5 familjet me akses </w:t>
      </w:r>
      <w:r w:rsidRPr="00913E39">
        <w:rPr>
          <w:rFonts w:ascii="Garamond" w:hAnsi="Garamond"/>
          <w:i/>
          <w:sz w:val="24"/>
        </w:rPr>
        <w:t>broadband</w:t>
      </w:r>
      <w:r w:rsidRPr="00913E39">
        <w:rPr>
          <w:rFonts w:ascii="Garamond" w:hAnsi="Garamond"/>
          <w:sz w:val="24"/>
        </w:rPr>
        <w:t xml:space="preserve"> fikse, duke e pozicionuar vendin mbi mesataren e vendeve të Ballkanit Perëndimor.</w:t>
      </w:r>
    </w:p>
    <w:p w14:paraId="31AC55F0" w14:textId="7ADBC14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Bazuar në Raportin DESI të Ballkanit Perëndimor 2022</w:t>
      </w:r>
      <w:r w:rsidRPr="00913E39">
        <w:rPr>
          <w:rFonts w:ascii="Garamond" w:hAnsi="Garamond"/>
          <w:sz w:val="24"/>
          <w:vertAlign w:val="superscript"/>
        </w:rPr>
        <w:footnoteReference w:id="50"/>
      </w:r>
      <w:r w:rsidRPr="00913E39">
        <w:rPr>
          <w:rFonts w:ascii="Garamond" w:hAnsi="Garamond"/>
          <w:sz w:val="24"/>
        </w:rPr>
        <w:t xml:space="preserve">, analiza e të dhënave zbulon se rajoni i Ballkanit Perëndimor rezulton nën mesataren e BE-së në të gjitha dimensionet DESI në vitin </w:t>
      </w:r>
      <w:r w:rsidRPr="00913E39">
        <w:rPr>
          <w:rFonts w:ascii="Garamond" w:hAnsi="Garamond"/>
          <w:sz w:val="24"/>
        </w:rPr>
        <w:lastRenderedPageBreak/>
        <w:t xml:space="preserve">2022. Mali i Zi, Serbia dhe Shqipëria kanë pikët më të larta për totalin e DESI-t të BP-së për vitin 2022. Për sa i përket lidhjes digjitale, raporti nënvizonte se </w:t>
      </w:r>
      <w:r w:rsidR="00850FC7" w:rsidRPr="00913E39">
        <w:rPr>
          <w:rFonts w:ascii="Garamond" w:eastAsia="Times New Roman" w:hAnsi="Garamond" w:cs="Times New Roman"/>
          <w:sz w:val="24"/>
          <w:szCs w:val="24"/>
        </w:rPr>
        <w:t>“</w:t>
      </w:r>
      <w:r w:rsidRPr="00913E39">
        <w:rPr>
          <w:rFonts w:ascii="Garamond" w:hAnsi="Garamond"/>
          <w:sz w:val="24"/>
        </w:rPr>
        <w:t xml:space="preserve">Në lidhjalidhjen e përgjithshëm me </w:t>
      </w:r>
      <w:r w:rsidRPr="00913E39">
        <w:rPr>
          <w:rFonts w:ascii="Garamond" w:hAnsi="Garamond"/>
          <w:i/>
          <w:sz w:val="24"/>
        </w:rPr>
        <w:t>broadband</w:t>
      </w:r>
      <w:r w:rsidRPr="00913E39">
        <w:rPr>
          <w:rFonts w:ascii="Garamond" w:hAnsi="Garamond"/>
          <w:sz w:val="24"/>
        </w:rPr>
        <w:t>, rajoni i BP mbetet akoma prapa BE-së, kryesisht për shkak të shërbimeve 5G të cilat nuk ishin të disponueshme në vitin 2021. Mali i Zi shënoi rezultatin më të lartë në parametrat e lidhjes, ndjekur nga Serbia, Kosova dhe Shqipëria.</w:t>
      </w:r>
      <w:r w:rsidR="006D1036" w:rsidRPr="00913E39">
        <w:rPr>
          <w:rFonts w:ascii="Garamond" w:hAnsi="Garamond"/>
          <w:sz w:val="24"/>
        </w:rPr>
        <w:t>”</w:t>
      </w:r>
      <w:r w:rsidRPr="00913E39">
        <w:rPr>
          <w:rFonts w:ascii="Garamond" w:hAnsi="Garamond"/>
          <w:sz w:val="24"/>
        </w:rPr>
        <w:t xml:space="preserve"> </w:t>
      </w:r>
    </w:p>
    <w:p w14:paraId="3B69958E" w14:textId="6B930AE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sa i përket lidhjes fikse, raporti tregon se: </w:t>
      </w:r>
      <w:r w:rsidR="006D1036" w:rsidRPr="00913E39">
        <w:rPr>
          <w:rFonts w:ascii="Garamond" w:hAnsi="Garamond"/>
          <w:sz w:val="24"/>
        </w:rPr>
        <w:t>“</w:t>
      </w:r>
      <w:r w:rsidRPr="00913E39">
        <w:rPr>
          <w:rFonts w:ascii="Garamond" w:hAnsi="Garamond"/>
          <w:sz w:val="24"/>
        </w:rPr>
        <w:t xml:space="preserve">Në vitin 2021, Shqipëria performoi mbi mesataren e BP si në mbulimin me </w:t>
      </w:r>
      <w:r w:rsidRPr="00913E39">
        <w:rPr>
          <w:rFonts w:ascii="Garamond" w:hAnsi="Garamond"/>
          <w:i/>
          <w:sz w:val="24"/>
        </w:rPr>
        <w:t>broadband</w:t>
      </w:r>
      <w:r w:rsidRPr="00913E39">
        <w:rPr>
          <w:rFonts w:ascii="Garamond" w:hAnsi="Garamond"/>
          <w:sz w:val="24"/>
        </w:rPr>
        <w:t xml:space="preserve"> (NGA) (74% kundrejt 73% në BP) dhe në mbulimin e Rrjetit Fiks me Kapacitet Shumë të Lartë (VHCN) (60). % kundrejt 48% në BP). VHCN ofrohet kryesisht nga teknologjia Fibra nga Fillimi në Fund (FTTP). FTTP u rrit nga 46% </w:t>
      </w:r>
      <w:r w:rsidR="006D1036" w:rsidRPr="00913E39">
        <w:rPr>
          <w:rFonts w:ascii="Garamond" w:hAnsi="Garamond"/>
          <w:sz w:val="24"/>
        </w:rPr>
        <w:t>m</w:t>
      </w:r>
      <w:r w:rsidRPr="00913E39">
        <w:rPr>
          <w:rFonts w:ascii="Garamond" w:hAnsi="Garamond"/>
          <w:sz w:val="24"/>
        </w:rPr>
        <w:t xml:space="preserve">ë 2020 në 56% </w:t>
      </w:r>
      <w:r w:rsidR="006D1036" w:rsidRPr="00913E39">
        <w:rPr>
          <w:rFonts w:ascii="Garamond" w:hAnsi="Garamond"/>
          <w:sz w:val="24"/>
        </w:rPr>
        <w:t>m</w:t>
      </w:r>
      <w:r w:rsidRPr="00913E39">
        <w:rPr>
          <w:rFonts w:ascii="Garamond" w:hAnsi="Garamond"/>
          <w:sz w:val="24"/>
        </w:rPr>
        <w:t>ë 2021 dhe me këta dy tregues</w:t>
      </w:r>
      <w:r w:rsidR="006D1036" w:rsidRPr="00913E39">
        <w:rPr>
          <w:rFonts w:ascii="Garamond" w:hAnsi="Garamond"/>
          <w:sz w:val="24"/>
        </w:rPr>
        <w:t>,</w:t>
      </w:r>
      <w:r w:rsidRPr="00913E39">
        <w:rPr>
          <w:rFonts w:ascii="Garamond" w:hAnsi="Garamond"/>
          <w:sz w:val="24"/>
        </w:rPr>
        <w:t xml:space="preserve"> Shqipëria i kaloi objektivat e përcaktuar në Planin Kombëtar për Zhvillimin e Qëndrueshëm të Infrastrukturës Digjitale dhe </w:t>
      </w:r>
      <w:r w:rsidRPr="00913E39">
        <w:rPr>
          <w:rFonts w:ascii="Garamond" w:hAnsi="Garamond"/>
          <w:i/>
          <w:sz w:val="24"/>
        </w:rPr>
        <w:t>Broadband</w:t>
      </w:r>
      <w:r w:rsidRPr="00913E39">
        <w:rPr>
          <w:rFonts w:ascii="Garamond" w:hAnsi="Garamond"/>
          <w:sz w:val="24"/>
        </w:rPr>
        <w:t xml:space="preserve"> 2020</w:t>
      </w:r>
      <w:r w:rsidR="001F11B1" w:rsidRPr="00913E39">
        <w:rPr>
          <w:rFonts w:ascii="Garamond" w:hAnsi="Garamond"/>
          <w:sz w:val="24"/>
        </w:rPr>
        <w:t>–</w:t>
      </w:r>
      <w:r w:rsidRPr="00913E39">
        <w:rPr>
          <w:rFonts w:ascii="Garamond" w:hAnsi="Garamond"/>
          <w:sz w:val="24"/>
        </w:rPr>
        <w:t xml:space="preserve">2025. Shqipëria ka performuar shumë mirë, gjithashtu, në përdorimin e përgjithshëm të </w:t>
      </w:r>
      <w:r w:rsidRPr="00913E39">
        <w:rPr>
          <w:rFonts w:ascii="Garamond" w:hAnsi="Garamond"/>
          <w:i/>
          <w:sz w:val="24"/>
        </w:rPr>
        <w:t>broadband</w:t>
      </w:r>
      <w:r w:rsidRPr="00913E39">
        <w:rPr>
          <w:rFonts w:ascii="Garamond" w:hAnsi="Garamond"/>
          <w:sz w:val="24"/>
        </w:rPr>
        <w:t xml:space="preserve"> fikse me 77% të familjeve që përdorin lidhje me </w:t>
      </w:r>
      <w:r w:rsidRPr="00913E39">
        <w:rPr>
          <w:rFonts w:ascii="Garamond" w:hAnsi="Garamond"/>
          <w:i/>
          <w:sz w:val="24"/>
        </w:rPr>
        <w:t>broadband</w:t>
      </w:r>
      <w:r w:rsidRPr="00913E39">
        <w:rPr>
          <w:rFonts w:ascii="Garamond" w:hAnsi="Garamond"/>
          <w:sz w:val="24"/>
        </w:rPr>
        <w:t xml:space="preserve"> fikse. Me gjithë mbulimin e lartë VHCN, Shqipëria ka mbetur prapa në sigurimin e </w:t>
      </w:r>
      <w:r w:rsidRPr="00913E39">
        <w:rPr>
          <w:rFonts w:ascii="Garamond" w:hAnsi="Garamond"/>
          <w:i/>
          <w:sz w:val="24"/>
        </w:rPr>
        <w:t>broadbands</w:t>
      </w:r>
      <w:r w:rsidRPr="00913E39">
        <w:rPr>
          <w:rFonts w:ascii="Garamond" w:hAnsi="Garamond"/>
          <w:sz w:val="24"/>
        </w:rPr>
        <w:t xml:space="preserve"> fikse prej të paktën 100 Mbps (7% krahasuar me mesataren e BP</w:t>
      </w:r>
      <w:r w:rsidR="006D1036" w:rsidRPr="00913E39">
        <w:rPr>
          <w:rFonts w:ascii="Garamond" w:hAnsi="Garamond"/>
          <w:sz w:val="24"/>
        </w:rPr>
        <w:t>-së</w:t>
      </w:r>
      <w:r w:rsidRPr="00913E39">
        <w:rPr>
          <w:rFonts w:ascii="Garamond" w:hAnsi="Garamond"/>
          <w:sz w:val="24"/>
        </w:rPr>
        <w:t xml:space="preserve"> prej 21%), por ka pasur një rritje dyshifrore në shtrirjen e </w:t>
      </w:r>
      <w:r w:rsidRPr="00913E39">
        <w:rPr>
          <w:rFonts w:ascii="Garamond" w:hAnsi="Garamond"/>
          <w:i/>
          <w:sz w:val="24"/>
        </w:rPr>
        <w:t>broadband</w:t>
      </w:r>
      <w:r w:rsidRPr="00913E39">
        <w:rPr>
          <w:rFonts w:ascii="Garamond" w:hAnsi="Garamond"/>
          <w:sz w:val="24"/>
        </w:rPr>
        <w:t xml:space="preserve"> fikse prej të paktën 100 Mbps </w:t>
      </w:r>
      <w:r w:rsidR="006D1036" w:rsidRPr="00913E39">
        <w:rPr>
          <w:rFonts w:ascii="Garamond" w:hAnsi="Garamond"/>
          <w:sz w:val="24"/>
        </w:rPr>
        <w:t>m</w:t>
      </w:r>
      <w:r w:rsidRPr="00913E39">
        <w:rPr>
          <w:rFonts w:ascii="Garamond" w:hAnsi="Garamond"/>
          <w:sz w:val="24"/>
        </w:rPr>
        <w:t>ë 2021 krahasuar me 2020</w:t>
      </w:r>
      <w:r w:rsidR="006D1036" w:rsidRPr="00913E39">
        <w:rPr>
          <w:rFonts w:ascii="Garamond" w:hAnsi="Garamond"/>
          <w:sz w:val="24"/>
        </w:rPr>
        <w:t>-n</w:t>
      </w:r>
      <w:r w:rsidRPr="00913E39">
        <w:rPr>
          <w:rFonts w:ascii="Garamond" w:hAnsi="Garamond"/>
          <w:sz w:val="24"/>
        </w:rPr>
        <w:t xml:space="preserve">. Si në të gjithë rajonin e Ballkanit Perëndimor, përdorimi i </w:t>
      </w:r>
      <w:r w:rsidRPr="00913E39">
        <w:rPr>
          <w:rFonts w:ascii="Garamond" w:hAnsi="Garamond"/>
          <w:i/>
          <w:sz w:val="24"/>
        </w:rPr>
        <w:t>broadband</w:t>
      </w:r>
      <w:r w:rsidRPr="00913E39">
        <w:rPr>
          <w:rFonts w:ascii="Garamond" w:hAnsi="Garamond"/>
          <w:sz w:val="24"/>
        </w:rPr>
        <w:t xml:space="preserve"> 1 Gbps është në një nivel shumë të ulët. </w:t>
      </w:r>
      <w:r w:rsidR="005222A5" w:rsidRPr="00913E39">
        <w:rPr>
          <w:rFonts w:ascii="Garamond" w:hAnsi="Garamond"/>
          <w:sz w:val="24"/>
        </w:rPr>
        <w:t>‘</w:t>
      </w:r>
      <w:r w:rsidRPr="00913E39">
        <w:rPr>
          <w:rFonts w:ascii="Garamond" w:hAnsi="Garamond"/>
          <w:sz w:val="24"/>
        </w:rPr>
        <w:t xml:space="preserve">Raporti nënvizon se përqindja e lidhjeve </w:t>
      </w:r>
      <w:r w:rsidRPr="00913E39">
        <w:rPr>
          <w:rFonts w:ascii="Garamond" w:hAnsi="Garamond"/>
          <w:i/>
          <w:sz w:val="24"/>
        </w:rPr>
        <w:t>gigabit</w:t>
      </w:r>
      <w:r w:rsidRPr="00913E39">
        <w:rPr>
          <w:rFonts w:ascii="Garamond" w:hAnsi="Garamond"/>
          <w:sz w:val="24"/>
        </w:rPr>
        <w:t xml:space="preserve"> për të gjithë rajonin e Ballkanit Perëndimor dhe për Shqipërinë është mjaft e ulët krahasuar me mesataren e BE-së. </w:t>
      </w:r>
    </w:p>
    <w:p w14:paraId="5C9B395B" w14:textId="4BFFBA8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Direktiva 2014/61/BE e Parlamentit dhe Këshillit Evropian datë 15 maj 2014 për masat për uljen e kostos së shtrirjes së rrjeteve të komunikimeve elektronike me shpejtësi të lartë është ndryshuar me ligjin nr. 120/2016, datë 24.11.2016 </w:t>
      </w:r>
      <w:r w:rsidR="00850FC7" w:rsidRPr="00913E39">
        <w:rPr>
          <w:rFonts w:ascii="Garamond" w:hAnsi="Garamond"/>
          <w:sz w:val="24"/>
        </w:rPr>
        <w:t>“</w:t>
      </w:r>
      <w:r w:rsidRPr="00913E39">
        <w:rPr>
          <w:rFonts w:ascii="Garamond" w:hAnsi="Garamond"/>
          <w:sz w:val="24"/>
        </w:rPr>
        <w:t>Për zhvillimin të rrjeteve të komunikimeve elektronike me shpejtësi të lartë dhe sigurimin e së drejtës së kalimit</w:t>
      </w:r>
      <w:r w:rsidR="00850FC7" w:rsidRPr="00913E39">
        <w:rPr>
          <w:rFonts w:ascii="Garamond" w:hAnsi="Garamond"/>
          <w:sz w:val="24"/>
        </w:rPr>
        <w:t>”</w:t>
      </w:r>
      <w:r w:rsidRPr="00913E39">
        <w:rPr>
          <w:rFonts w:ascii="Garamond" w:hAnsi="Garamond"/>
          <w:sz w:val="24"/>
        </w:rPr>
        <w:t>. Në bazë të këtij ligji, gjatë vitit 2022 janë miratuar një sërë aktesh nënligjore.</w:t>
      </w:r>
    </w:p>
    <w:p w14:paraId="49F450EB" w14:textId="4E9A650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Bazuar në </w:t>
      </w:r>
      <w:r w:rsidR="001F11B1" w:rsidRPr="00913E39">
        <w:rPr>
          <w:rFonts w:ascii="Garamond" w:hAnsi="Garamond"/>
          <w:sz w:val="24"/>
        </w:rPr>
        <w:t xml:space="preserve">rekomandimin </w:t>
      </w:r>
      <w:r w:rsidRPr="00913E39">
        <w:rPr>
          <w:rFonts w:ascii="Garamond" w:hAnsi="Garamond"/>
          <w:sz w:val="24"/>
        </w:rPr>
        <w:t>e BE-së (BE) 2020/1307</w:t>
      </w:r>
      <w:r w:rsidR="004029C2" w:rsidRPr="00913E39">
        <w:rPr>
          <w:rFonts w:ascii="Garamond" w:hAnsi="Garamond"/>
          <w:sz w:val="24"/>
        </w:rPr>
        <w:t>,</w:t>
      </w:r>
      <w:r w:rsidRPr="00913E39">
        <w:rPr>
          <w:rFonts w:ascii="Garamond" w:hAnsi="Garamond"/>
          <w:sz w:val="24"/>
        </w:rPr>
        <w:t xml:space="preserve"> të datës 18 shtator 2020</w:t>
      </w:r>
      <w:r w:rsidR="004029C2" w:rsidRPr="00913E39">
        <w:rPr>
          <w:rFonts w:ascii="Garamond" w:hAnsi="Garamond"/>
          <w:sz w:val="24"/>
        </w:rPr>
        <w:t>,</w:t>
      </w:r>
      <w:r w:rsidRPr="00913E39">
        <w:rPr>
          <w:rFonts w:ascii="Garamond" w:hAnsi="Garamond"/>
          <w:sz w:val="24"/>
        </w:rPr>
        <w:t xml:space="preserve"> mbi një paketë mjetesh të përbashkëta të Bashkimit Evropian për uljen e kostos së shtrirjes të rrjeteve me kapacitet shumë të lartë dhe për sigurimin e aksesit në kohë dhe pozitiv në investime në spektrin radio 5G, për të vijuar me lidhjen në mbështetje të rimëkëmbjes ekonomike nga kriza COVID-19, </w:t>
      </w:r>
      <w:r w:rsidR="004029C2" w:rsidRPr="00913E39">
        <w:rPr>
          <w:rFonts w:ascii="Garamond" w:hAnsi="Garamond"/>
          <w:sz w:val="24"/>
        </w:rPr>
        <w:t>v</w:t>
      </w:r>
      <w:r w:rsidRPr="00913E39">
        <w:rPr>
          <w:rFonts w:ascii="Garamond" w:hAnsi="Garamond"/>
          <w:sz w:val="24"/>
        </w:rPr>
        <w:t>endimi i Këshillit të Ministrave nr</w:t>
      </w:r>
      <w:r w:rsidR="004029C2" w:rsidRPr="00913E39">
        <w:rPr>
          <w:rFonts w:ascii="Garamond" w:hAnsi="Garamond"/>
          <w:sz w:val="24"/>
        </w:rPr>
        <w:t>.</w:t>
      </w:r>
      <w:r w:rsidRPr="00913E39">
        <w:rPr>
          <w:rFonts w:ascii="Garamond" w:hAnsi="Garamond"/>
          <w:sz w:val="24"/>
        </w:rPr>
        <w:t xml:space="preserve"> 457 i </w:t>
      </w:r>
      <w:r w:rsidR="00B05637" w:rsidRPr="00913E39">
        <w:rPr>
          <w:rFonts w:ascii="Garamond" w:hAnsi="Garamond"/>
          <w:sz w:val="24"/>
        </w:rPr>
        <w:t xml:space="preserve">datës </w:t>
      </w:r>
      <w:r w:rsidRPr="00913E39">
        <w:rPr>
          <w:rFonts w:ascii="Garamond" w:hAnsi="Garamond"/>
          <w:sz w:val="24"/>
        </w:rPr>
        <w:t>29.6.2022</w:t>
      </w:r>
      <w:r w:rsidR="00B05637" w:rsidRPr="00913E39">
        <w:rPr>
          <w:rFonts w:ascii="Garamond" w:hAnsi="Garamond"/>
          <w:sz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Për disa ndryshime në vendimin e Këshillit të Ministrave nr. 408, datë 13.5.2015</w:t>
      </w:r>
      <w:r w:rsidR="004029C2" w:rsidRPr="00913E39">
        <w:rPr>
          <w:rFonts w:ascii="Garamond" w:hAnsi="Garamond"/>
          <w:sz w:val="24"/>
        </w:rPr>
        <w:t>,</w:t>
      </w:r>
      <w:r w:rsidRPr="00913E39">
        <w:rPr>
          <w:rFonts w:ascii="Garamond" w:hAnsi="Garamond"/>
          <w:sz w:val="24"/>
        </w:rPr>
        <w:t xml:space="preserve"> </w:t>
      </w:r>
      <w:r w:rsidR="00B05637" w:rsidRPr="00913E39">
        <w:rPr>
          <w:rFonts w:ascii="Garamond" w:hAnsi="Garamond"/>
          <w:sz w:val="24"/>
        </w:rPr>
        <w:t>‘</w:t>
      </w:r>
      <w:r w:rsidRPr="00913E39">
        <w:rPr>
          <w:rFonts w:ascii="Garamond" w:hAnsi="Garamond"/>
          <w:sz w:val="24"/>
        </w:rPr>
        <w:t>Për miratimin e rregullores së zhvillimit të territorit</w:t>
      </w:r>
      <w:r w:rsidR="00B05637" w:rsidRPr="00913E39">
        <w:rPr>
          <w:rFonts w:ascii="Garamond" w:hAnsi="Garamond"/>
          <w:sz w:val="24"/>
        </w:rPr>
        <w:t>’</w:t>
      </w:r>
      <w:r w:rsidR="00850FC7" w:rsidRPr="00913E39">
        <w:rPr>
          <w:rFonts w:ascii="Garamond" w:hAnsi="Garamond"/>
          <w:sz w:val="24"/>
        </w:rPr>
        <w:t>”</w:t>
      </w:r>
      <w:r w:rsidRPr="00913E39">
        <w:rPr>
          <w:rFonts w:ascii="Garamond" w:hAnsi="Garamond"/>
          <w:sz w:val="24"/>
        </w:rPr>
        <w:t xml:space="preserve"> u miratua në qershor 2022, me qëllim prezantimin e rregullave më të lehta për lejet e ndërtimit për antenat e vogla të rrjetit celularit</w:t>
      </w:r>
      <w:r w:rsidR="00606E39" w:rsidRPr="00913E39">
        <w:rPr>
          <w:rFonts w:ascii="Garamond" w:hAnsi="Garamond"/>
          <w:sz w:val="24"/>
        </w:rPr>
        <w:t>,</w:t>
      </w:r>
      <w:r w:rsidRPr="00913E39">
        <w:rPr>
          <w:rFonts w:ascii="Garamond" w:hAnsi="Garamond"/>
          <w:sz w:val="24"/>
        </w:rPr>
        <w:t xml:space="preserve"> si edhe për rrjetin e internetit. </w:t>
      </w:r>
    </w:p>
    <w:p w14:paraId="3CD120B0" w14:textId="5396B20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kuadër të Procesit të Berlinit dhe Tregut të Përbashkët Rajonal (CRM 2021</w:t>
      </w:r>
      <w:r w:rsidR="004029C2" w:rsidRPr="00913E39">
        <w:rPr>
          <w:rFonts w:ascii="Garamond" w:hAnsi="Garamond"/>
          <w:sz w:val="24"/>
        </w:rPr>
        <w:t>–</w:t>
      </w:r>
      <w:r w:rsidRPr="00913E39">
        <w:rPr>
          <w:rFonts w:ascii="Garamond" w:hAnsi="Garamond"/>
          <w:sz w:val="24"/>
        </w:rPr>
        <w:t>2024) për Ballkanin Perëndimor të miratuar në Samitin e Sofjes në nëntor 2020, Qeveria e Shqipërisë është plotësisht e angazhuar në arritjen e objektivave dhe angazhimeve në fushën digjitale në kuadër të Planit të Veprimit të Tregut të Përbashkët Rajonal 2021</w:t>
      </w:r>
      <w:r w:rsidR="004029C2" w:rsidRPr="00913E39">
        <w:rPr>
          <w:rFonts w:ascii="Garamond" w:hAnsi="Garamond"/>
          <w:sz w:val="24"/>
        </w:rPr>
        <w:t>–</w:t>
      </w:r>
      <w:r w:rsidRPr="00913E39">
        <w:rPr>
          <w:rFonts w:ascii="Garamond" w:hAnsi="Garamond"/>
          <w:sz w:val="24"/>
        </w:rPr>
        <w:t xml:space="preserve">2024 për integrimin digjital në BE. </w:t>
      </w:r>
    </w:p>
    <w:p w14:paraId="3DDFC732" w14:textId="5786D26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Marrëveshja Rajonale e </w:t>
      </w:r>
      <w:r w:rsidRPr="00913E39">
        <w:rPr>
          <w:rFonts w:ascii="Garamond" w:hAnsi="Garamond"/>
          <w:i/>
          <w:sz w:val="24"/>
        </w:rPr>
        <w:t>Roaming</w:t>
      </w:r>
      <w:r w:rsidRPr="00913E39">
        <w:rPr>
          <w:rFonts w:ascii="Garamond" w:hAnsi="Garamond"/>
          <w:sz w:val="24"/>
        </w:rPr>
        <w:t xml:space="preserve"> e nënshkruar në prill 2019 për zbatimin e </w:t>
      </w:r>
      <w:r w:rsidRPr="00913E39">
        <w:rPr>
          <w:rFonts w:ascii="Garamond" w:hAnsi="Garamond"/>
          <w:i/>
          <w:sz w:val="24"/>
        </w:rPr>
        <w:t>Roaming Like at Home</w:t>
      </w:r>
      <w:r w:rsidRPr="00913E39">
        <w:rPr>
          <w:rFonts w:ascii="Garamond" w:hAnsi="Garamond"/>
          <w:sz w:val="24"/>
        </w:rPr>
        <w:t xml:space="preserve"> (Njëlloj si në Vendin Tënd) (RLAH) në rajonin e Ballkanit Perëndimor është zbatuar me sukses dhe nga 1</w:t>
      </w:r>
      <w:r w:rsidRPr="00913E39">
        <w:rPr>
          <w:rFonts w:ascii="Garamond" w:hAnsi="Garamond"/>
          <w:sz w:val="24"/>
          <w:vertAlign w:val="superscript"/>
        </w:rPr>
        <w:t xml:space="preserve"> </w:t>
      </w:r>
      <w:r w:rsidRPr="00913E39">
        <w:rPr>
          <w:rFonts w:ascii="Garamond" w:hAnsi="Garamond"/>
          <w:sz w:val="24"/>
        </w:rPr>
        <w:t xml:space="preserve">korriku 2021 RLAH është në fuqi në Rajonin e Ballkanit Perëndimor. Skema për uljen e çmimeve të </w:t>
      </w:r>
      <w:r w:rsidRPr="00913E39">
        <w:rPr>
          <w:rFonts w:ascii="Garamond" w:hAnsi="Garamond"/>
          <w:i/>
          <w:sz w:val="24"/>
        </w:rPr>
        <w:t>roaming</w:t>
      </w:r>
      <w:r w:rsidRPr="00913E39">
        <w:rPr>
          <w:rFonts w:ascii="Garamond" w:hAnsi="Garamond"/>
          <w:sz w:val="24"/>
        </w:rPr>
        <w:t xml:space="preserve"> ndërmjet BE-së dhe Ballkanit Perëndimor u miratua gjatë Samitit Digjital të Ballkanit Perëndimor në tetor 2021, me angazhime të qarta dhe masa reformuese të politikave të qeverisë dhe organeve rregullatore të Ballkanit Perëndimor. Masat e reformës së politikave janë hartuar nën katër shtylla të ndërlidhura: 1) Ruajtja e zbatimit efikas të marrëveshjes rajonale të </w:t>
      </w:r>
      <w:r w:rsidRPr="00913E39">
        <w:rPr>
          <w:rFonts w:ascii="Garamond" w:hAnsi="Garamond"/>
          <w:i/>
          <w:sz w:val="24"/>
        </w:rPr>
        <w:t>roaming</w:t>
      </w:r>
      <w:r w:rsidR="001F11B1" w:rsidRPr="00913E39">
        <w:rPr>
          <w:rFonts w:ascii="Garamond" w:hAnsi="Garamond"/>
          <w:sz w:val="24"/>
        </w:rPr>
        <w:t>;</w:t>
      </w:r>
      <w:r w:rsidRPr="00913E39">
        <w:rPr>
          <w:rFonts w:ascii="Garamond" w:hAnsi="Garamond"/>
          <w:sz w:val="24"/>
        </w:rPr>
        <w:t xml:space="preserve"> 2) Rritja e transparencës dhe monitorimit</w:t>
      </w:r>
      <w:r w:rsidR="001F11B1" w:rsidRPr="00913E39">
        <w:rPr>
          <w:rFonts w:ascii="Garamond" w:hAnsi="Garamond"/>
          <w:sz w:val="24"/>
        </w:rPr>
        <w:t>;</w:t>
      </w:r>
      <w:r w:rsidRPr="00913E39">
        <w:rPr>
          <w:rFonts w:ascii="Garamond" w:hAnsi="Garamond"/>
          <w:sz w:val="24"/>
        </w:rPr>
        <w:t xml:space="preserve"> 3) Përafrimi me </w:t>
      </w:r>
      <w:r w:rsidRPr="00913E39">
        <w:rPr>
          <w:rFonts w:ascii="Garamond" w:hAnsi="Garamond"/>
          <w:i/>
          <w:sz w:val="24"/>
        </w:rPr>
        <w:t>acquis</w:t>
      </w:r>
      <w:r w:rsidRPr="00913E39">
        <w:rPr>
          <w:rFonts w:ascii="Garamond" w:hAnsi="Garamond"/>
          <w:sz w:val="24"/>
        </w:rPr>
        <w:t xml:space="preserve"> të BE-së; 4) Përmirësimi i mjedisit të biznesit. </w:t>
      </w:r>
    </w:p>
    <w:p w14:paraId="4CE9990A" w14:textId="0A0CC5C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Zhvillimet e deritanishme dhe rritja e ndjeshme e komunikimit të të dhënave dhe e vëllimit të të dhënave në rrjetet e telekomunikacionit në rrjetet fikse apo celulare nxjerrin në pah nevojën për investime në të ardhmen dhe vendosjen e </w:t>
      </w:r>
      <w:r w:rsidR="004029C2" w:rsidRPr="00913E39">
        <w:rPr>
          <w:rFonts w:ascii="Garamond" w:hAnsi="Garamond"/>
          <w:sz w:val="24"/>
        </w:rPr>
        <w:t xml:space="preserve">rrjeteve me kapacitet shumë të lartë </w:t>
      </w:r>
      <w:r w:rsidRPr="00913E39">
        <w:rPr>
          <w:rFonts w:ascii="Garamond" w:hAnsi="Garamond"/>
          <w:sz w:val="24"/>
        </w:rPr>
        <w:t xml:space="preserve">derisa përdoruesi fundor të tregojë një lidhje më të mirë të internetit kudo në zonat rurale dhe zonat e largëta, si edhe për të mbështetur zgjidhjet dhe aplikimet e reja në të gjithë sektorët e nevojshëm. SWOT për sektorin e TIK-ut në përgjithësi ka qenë rezultat i sesionit të rrahjes së mendimeve me aktorë të </w:t>
      </w:r>
      <w:r w:rsidRPr="00913E39">
        <w:rPr>
          <w:rFonts w:ascii="Garamond" w:hAnsi="Garamond"/>
          <w:sz w:val="24"/>
        </w:rPr>
        <w:lastRenderedPageBreak/>
        <w:t>ndryshëm në kuadër të Tryezës Kombëtare për TIK-un të mbajtur më 19 maj 2023, në kuadër të përgatitjes së Strategjisë së Specializimit mbi Inteligjencën</w:t>
      </w:r>
      <w:r w:rsidRPr="00913E39">
        <w:rPr>
          <w:rFonts w:ascii="Garamond" w:hAnsi="Garamond"/>
          <w:sz w:val="24"/>
          <w:vertAlign w:val="superscript"/>
        </w:rPr>
        <w:footnoteReference w:id="51"/>
      </w:r>
      <w:r w:rsidRPr="00913E39">
        <w:rPr>
          <w:rFonts w:ascii="Garamond" w:hAnsi="Garamond"/>
          <w:sz w:val="24"/>
        </w:rPr>
        <w:t xml:space="preserve">. </w:t>
      </w:r>
    </w:p>
    <w:p w14:paraId="38A0E03C" w14:textId="1D045209"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Tabela 12</w:t>
      </w:r>
      <w:r w:rsidR="004029C2" w:rsidRPr="00913E39">
        <w:rPr>
          <w:rFonts w:ascii="Garamond" w:hAnsi="Garamond"/>
          <w:i/>
          <w:sz w:val="24"/>
        </w:rPr>
        <w:t xml:space="preserve">. </w:t>
      </w:r>
      <w:r w:rsidRPr="00913E39">
        <w:rPr>
          <w:rFonts w:ascii="Garamond" w:hAnsi="Garamond"/>
          <w:i/>
          <w:sz w:val="24"/>
        </w:rPr>
        <w:t xml:space="preserve">Analiza SWOT për </w:t>
      </w:r>
      <w:r w:rsidR="004029C2" w:rsidRPr="00913E39">
        <w:rPr>
          <w:rFonts w:ascii="Garamond" w:hAnsi="Garamond"/>
          <w:i/>
          <w:sz w:val="24"/>
        </w:rPr>
        <w:t>nënfushën e mbështetjes ndërlidhja digjitale</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095"/>
      </w:tblGrid>
      <w:tr w:rsidR="00847F23" w:rsidRPr="00913E39" w14:paraId="72B7E56F" w14:textId="77777777" w:rsidTr="00272C0B">
        <w:trPr>
          <w:trHeight w:val="20"/>
        </w:trPr>
        <w:tc>
          <w:tcPr>
            <w:tcW w:w="2972" w:type="dxa"/>
            <w:shd w:val="clear" w:color="auto" w:fill="D0CECE"/>
          </w:tcPr>
          <w:p w14:paraId="0EC74234"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PIKAT E FORTA</w:t>
            </w:r>
          </w:p>
        </w:tc>
        <w:tc>
          <w:tcPr>
            <w:tcW w:w="6095" w:type="dxa"/>
            <w:shd w:val="clear" w:color="auto" w:fill="D0CECE"/>
          </w:tcPr>
          <w:p w14:paraId="0D4387A8" w14:textId="77777777" w:rsidR="00847F23" w:rsidRPr="00913E39" w:rsidRDefault="00847F23" w:rsidP="00272C0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51E19936" w14:textId="77777777" w:rsidTr="00272C0B">
        <w:trPr>
          <w:trHeight w:val="20"/>
        </w:trPr>
        <w:tc>
          <w:tcPr>
            <w:tcW w:w="2972" w:type="dxa"/>
            <w:shd w:val="clear" w:color="auto" w:fill="auto"/>
          </w:tcPr>
          <w:p w14:paraId="13E9D660"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Është miratuar kuadri strategjik për infrastrukturën digjitale, </w:t>
            </w:r>
            <w:r w:rsidRPr="00913E39">
              <w:rPr>
                <w:rFonts w:ascii="Garamond" w:hAnsi="Garamond"/>
                <w:i/>
                <w:sz w:val="18"/>
              </w:rPr>
              <w:t>broadband</w:t>
            </w:r>
            <w:r w:rsidRPr="00913E39">
              <w:rPr>
                <w:rFonts w:ascii="Garamond" w:hAnsi="Garamond"/>
                <w:sz w:val="18"/>
              </w:rPr>
              <w:t>.</w:t>
            </w:r>
            <w:r w:rsidR="00693B1A" w:rsidRPr="00913E39">
              <w:rPr>
                <w:rFonts w:ascii="Garamond" w:hAnsi="Garamond"/>
                <w:sz w:val="18"/>
              </w:rPr>
              <w:t xml:space="preserve"> </w:t>
            </w:r>
            <w:r w:rsidRPr="00913E39">
              <w:rPr>
                <w:rFonts w:ascii="Garamond" w:hAnsi="Garamond"/>
                <w:sz w:val="18"/>
              </w:rPr>
              <w:t xml:space="preserve"> </w:t>
            </w:r>
          </w:p>
        </w:tc>
        <w:tc>
          <w:tcPr>
            <w:tcW w:w="6095" w:type="dxa"/>
            <w:shd w:val="clear" w:color="auto" w:fill="auto"/>
          </w:tcPr>
          <w:p w14:paraId="0CD1EEE1"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Është miratuar Plani Kombëtar për Zhvillimin e Qëndrueshëm të Infrastrukturës Digjitale, Broadband 2020-2025 (2020) </w:t>
            </w:r>
          </w:p>
          <w:p w14:paraId="6CC5E495"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Është miratuar (2023) Strategjia Kombëtare për Zhvillim dhe Integrim Evropian 2030 (SKZHIE 2030).</w:t>
            </w:r>
          </w:p>
          <w:p w14:paraId="7EDF26D4"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SKZHIE 2030 thekson objektivin strategjik: </w:t>
            </w:r>
            <w:r w:rsidRPr="00913E39">
              <w:rPr>
                <w:rFonts w:ascii="Garamond" w:hAnsi="Garamond"/>
                <w:i/>
                <w:sz w:val="18"/>
              </w:rPr>
              <w:t>Shqipëria me Infrastrukturë Digjitale Broadband të shpejtësisë së lartë dhe shumë të lartë në të gjithë vendin, për të ngritur themelet për një shoqëri Gigabit.</w:t>
            </w:r>
          </w:p>
        </w:tc>
      </w:tr>
      <w:tr w:rsidR="00847F23" w:rsidRPr="00913E39" w14:paraId="41F41FBC"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56BF92BE"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Është në fuqi legjislacioni parësor për komunikimin elektronik dhe për uljen e kostos së </w:t>
            </w:r>
            <w:r w:rsidRPr="00913E39">
              <w:rPr>
                <w:rFonts w:ascii="Garamond" w:hAnsi="Garamond"/>
                <w:i/>
                <w:sz w:val="18"/>
              </w:rPr>
              <w:t>broadbands</w:t>
            </w:r>
            <w:r w:rsidRPr="00913E39">
              <w:rPr>
                <w:rFonts w:ascii="Garamond" w:hAnsi="Garamond"/>
                <w:sz w:val="18"/>
              </w:rPr>
              <w:t>.</w:t>
            </w:r>
            <w:r w:rsidR="00693B1A" w:rsidRPr="00913E39">
              <w:rPr>
                <w:rFonts w:ascii="Garamond" w:hAnsi="Garamond"/>
                <w:sz w:val="18"/>
              </w:rPr>
              <w:t xml:space="preserve"> </w:t>
            </w:r>
            <w:r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E6D72F8"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 xml:space="preserve">Dy ligjet kryesore janë: </w:t>
            </w:r>
          </w:p>
          <w:p w14:paraId="17E055CF" w14:textId="77777777" w:rsidR="00847F23" w:rsidRPr="00913E39" w:rsidRDefault="00847F23" w:rsidP="00272C0B">
            <w:pPr>
              <w:numPr>
                <w:ilvl w:val="0"/>
                <w:numId w:val="32"/>
              </w:numPr>
              <w:shd w:val="clear" w:color="auto" w:fill="FFFFFF"/>
              <w:spacing w:after="0" w:line="240" w:lineRule="auto"/>
              <w:ind w:left="0" w:firstLine="0"/>
              <w:rPr>
                <w:rFonts w:ascii="Garamond" w:hAnsi="Garamond"/>
                <w:sz w:val="18"/>
              </w:rPr>
            </w:pPr>
            <w:r w:rsidRPr="00913E39">
              <w:rPr>
                <w:rFonts w:ascii="Garamond" w:hAnsi="Garamond"/>
                <w:sz w:val="18"/>
              </w:rPr>
              <w:t xml:space="preserve">Ligji nr. 9918/2008, </w:t>
            </w:r>
            <w:r w:rsidR="00850FC7" w:rsidRPr="00913E39">
              <w:rPr>
                <w:rFonts w:ascii="Garamond" w:hAnsi="Garamond"/>
                <w:sz w:val="18"/>
              </w:rPr>
              <w:t>“</w:t>
            </w:r>
            <w:r w:rsidRPr="00913E39">
              <w:rPr>
                <w:rFonts w:ascii="Garamond" w:hAnsi="Garamond"/>
                <w:sz w:val="18"/>
              </w:rPr>
              <w:t>Për komunikimin elektronik në Republikën e Shqipërisë</w:t>
            </w:r>
            <w:r w:rsidR="00850FC7" w:rsidRPr="00913E39">
              <w:rPr>
                <w:rFonts w:ascii="Garamond" w:hAnsi="Garamond"/>
                <w:sz w:val="18"/>
              </w:rPr>
              <w:t>”</w:t>
            </w:r>
            <w:r w:rsidRPr="00913E39">
              <w:rPr>
                <w:rFonts w:ascii="Garamond" w:hAnsi="Garamond"/>
                <w:sz w:val="18"/>
              </w:rPr>
              <w:t xml:space="preserve">, i ndryshuar, i përafruar kryesisht me direktivat e BE-së. </w:t>
            </w:r>
          </w:p>
          <w:p w14:paraId="1448A524" w14:textId="4A5BDADA"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Ligji </w:t>
            </w:r>
            <w:r w:rsidR="00B07D47" w:rsidRPr="00913E39">
              <w:rPr>
                <w:rFonts w:ascii="Garamond" w:hAnsi="Garamond"/>
                <w:sz w:val="18"/>
              </w:rPr>
              <w:t>n</w:t>
            </w:r>
            <w:r w:rsidRPr="00913E39">
              <w:rPr>
                <w:rFonts w:ascii="Garamond" w:hAnsi="Garamond"/>
                <w:sz w:val="18"/>
              </w:rPr>
              <w:t>r.</w:t>
            </w:r>
            <w:r w:rsidR="00B07D47" w:rsidRPr="00913E39">
              <w:rPr>
                <w:rFonts w:ascii="Garamond" w:hAnsi="Garamond"/>
                <w:sz w:val="18"/>
              </w:rPr>
              <w:t xml:space="preserve"> </w:t>
            </w:r>
            <w:r w:rsidRPr="00913E39">
              <w:rPr>
                <w:rFonts w:ascii="Garamond" w:hAnsi="Garamond"/>
                <w:sz w:val="18"/>
              </w:rPr>
              <w:t xml:space="preserve">120/2016, </w:t>
            </w:r>
            <w:r w:rsidR="00850FC7" w:rsidRPr="00913E39">
              <w:rPr>
                <w:rFonts w:ascii="Garamond" w:hAnsi="Garamond"/>
                <w:sz w:val="18"/>
              </w:rPr>
              <w:t>“</w:t>
            </w:r>
            <w:r w:rsidRPr="00913E39">
              <w:rPr>
                <w:rFonts w:ascii="Garamond" w:hAnsi="Garamond"/>
                <w:sz w:val="18"/>
              </w:rPr>
              <w:t xml:space="preserve">Ligji nr. 120/2016 </w:t>
            </w:r>
            <w:r w:rsidR="00850FC7" w:rsidRPr="00913E39">
              <w:rPr>
                <w:rFonts w:ascii="Garamond" w:hAnsi="Garamond"/>
                <w:sz w:val="18"/>
              </w:rPr>
              <w:t>“</w:t>
            </w:r>
            <w:r w:rsidRPr="00913E39">
              <w:rPr>
                <w:rFonts w:ascii="Garamond" w:hAnsi="Garamond"/>
                <w:sz w:val="18"/>
              </w:rPr>
              <w:t xml:space="preserve">Për zhvillimin e rrjeteve të komunikimeve elektronike me shpejtësi të lartë dhe sigurimin e </w:t>
            </w:r>
            <w:r w:rsidR="00B800EC" w:rsidRPr="00913E39">
              <w:rPr>
                <w:rFonts w:ascii="Garamond" w:hAnsi="Garamond"/>
                <w:sz w:val="18"/>
              </w:rPr>
              <w:t>s</w:t>
            </w:r>
            <w:r w:rsidRPr="00913E39">
              <w:rPr>
                <w:rFonts w:ascii="Garamond" w:hAnsi="Garamond"/>
                <w:sz w:val="18"/>
              </w:rPr>
              <w:t>ë drejtës së kalimit</w:t>
            </w:r>
            <w:r w:rsidR="00850FC7" w:rsidRPr="00913E39">
              <w:rPr>
                <w:rFonts w:ascii="Garamond" w:hAnsi="Garamond"/>
                <w:sz w:val="18"/>
              </w:rPr>
              <w:t>”</w:t>
            </w:r>
            <w:r w:rsidRPr="00913E39">
              <w:rPr>
                <w:rFonts w:ascii="Garamond" w:hAnsi="Garamond"/>
                <w:sz w:val="18"/>
              </w:rPr>
              <w:t xml:space="preserve">, i përafruar kryesisht me </w:t>
            </w:r>
            <w:r w:rsidR="00DB24A2" w:rsidRPr="00913E39">
              <w:rPr>
                <w:rFonts w:ascii="Garamond" w:hAnsi="Garamond"/>
                <w:sz w:val="18"/>
              </w:rPr>
              <w:t>d</w:t>
            </w:r>
            <w:r w:rsidRPr="00913E39">
              <w:rPr>
                <w:rFonts w:ascii="Garamond" w:hAnsi="Garamond"/>
                <w:sz w:val="18"/>
              </w:rPr>
              <w:t xml:space="preserve">irektivën 2014/61/BE, BCRD. </w:t>
            </w:r>
          </w:p>
        </w:tc>
      </w:tr>
      <w:tr w:rsidR="00847F23" w:rsidRPr="00913E39" w14:paraId="005C4AE4"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4D7237FA"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Është bërë progres i konsiderueshëm në përgatitjen e akteve nënligjore lidhur me infrastrukturën digjitale, </w:t>
            </w:r>
            <w:r w:rsidRPr="00913E39">
              <w:rPr>
                <w:rFonts w:ascii="Garamond" w:hAnsi="Garamond"/>
                <w:i/>
                <w:sz w:val="18"/>
              </w:rPr>
              <w:t>broadband</w:t>
            </w:r>
            <w:r w:rsidRPr="00913E39">
              <w:rPr>
                <w:rFonts w:ascii="Garamond" w:hAnsi="Garamond"/>
                <w:sz w:val="18"/>
              </w:rPr>
              <w:t>.</w:t>
            </w:r>
            <w:r w:rsidR="00693B1A"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1DA5301" w14:textId="14BEC1EF"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Miratimi i akteve nënligjore të mëposhtme</w:t>
            </w:r>
            <w:r w:rsidR="00DB24A2" w:rsidRPr="00913E39">
              <w:rPr>
                <w:rFonts w:ascii="Garamond" w:hAnsi="Garamond"/>
                <w:sz w:val="18"/>
              </w:rPr>
              <w:t>:</w:t>
            </w:r>
            <w:r w:rsidRPr="00913E39">
              <w:rPr>
                <w:rFonts w:ascii="Garamond" w:hAnsi="Garamond"/>
                <w:sz w:val="18"/>
              </w:rPr>
              <w:t xml:space="preserve"> </w:t>
            </w:r>
          </w:p>
          <w:p w14:paraId="1FAF1765" w14:textId="6F61729E"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VKM nr. 189, d</w:t>
            </w:r>
            <w:r w:rsidR="00B07D47" w:rsidRPr="00913E39">
              <w:rPr>
                <w:rFonts w:ascii="Garamond" w:hAnsi="Garamond"/>
                <w:sz w:val="18"/>
              </w:rPr>
              <w:t>a</w:t>
            </w:r>
            <w:r w:rsidRPr="00913E39">
              <w:rPr>
                <w:rFonts w:ascii="Garamond" w:hAnsi="Garamond"/>
                <w:sz w:val="18"/>
              </w:rPr>
              <w:t>t</w:t>
            </w:r>
            <w:r w:rsidR="00B07D47" w:rsidRPr="00913E39">
              <w:rPr>
                <w:rFonts w:ascii="Garamond" w:hAnsi="Garamond"/>
                <w:sz w:val="18"/>
              </w:rPr>
              <w:t>ë</w:t>
            </w:r>
            <w:r w:rsidRPr="00913E39">
              <w:rPr>
                <w:rFonts w:ascii="Garamond" w:hAnsi="Garamond"/>
                <w:sz w:val="18"/>
              </w:rPr>
              <w:t xml:space="preserve"> 30.3.2022 </w:t>
            </w:r>
          </w:p>
          <w:p w14:paraId="1B2142DA" w14:textId="52F0BDE2"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 xml:space="preserve">VKM nr. 22, </w:t>
            </w:r>
            <w:r w:rsidR="00B07D47" w:rsidRPr="00913E39">
              <w:rPr>
                <w:rFonts w:ascii="Garamond" w:hAnsi="Garamond"/>
                <w:sz w:val="18"/>
              </w:rPr>
              <w:t>datë</w:t>
            </w:r>
            <w:r w:rsidRPr="00913E39">
              <w:rPr>
                <w:rFonts w:ascii="Garamond" w:hAnsi="Garamond"/>
                <w:sz w:val="18"/>
              </w:rPr>
              <w:t xml:space="preserve"> 13.1.2022 </w:t>
            </w:r>
          </w:p>
          <w:p w14:paraId="660E71C5" w14:textId="48090D69"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 xml:space="preserve">VKM nr. 155, </w:t>
            </w:r>
            <w:r w:rsidR="00B07D47" w:rsidRPr="00913E39">
              <w:rPr>
                <w:rFonts w:ascii="Garamond" w:hAnsi="Garamond"/>
                <w:sz w:val="18"/>
              </w:rPr>
              <w:t>datë</w:t>
            </w:r>
            <w:r w:rsidRPr="00913E39">
              <w:rPr>
                <w:rFonts w:ascii="Garamond" w:hAnsi="Garamond"/>
                <w:sz w:val="18"/>
              </w:rPr>
              <w:t xml:space="preserve"> 11.3.2022 </w:t>
            </w:r>
          </w:p>
          <w:p w14:paraId="532F84D5" w14:textId="262FCB26"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 xml:space="preserve">VKM nr. 190, </w:t>
            </w:r>
            <w:r w:rsidR="00B07D47" w:rsidRPr="00913E39">
              <w:rPr>
                <w:rFonts w:ascii="Garamond" w:hAnsi="Garamond"/>
                <w:sz w:val="18"/>
              </w:rPr>
              <w:t>datë</w:t>
            </w:r>
            <w:r w:rsidRPr="00913E39">
              <w:rPr>
                <w:rFonts w:ascii="Garamond" w:hAnsi="Garamond"/>
                <w:sz w:val="18"/>
              </w:rPr>
              <w:t xml:space="preserve"> 30.3.2022 </w:t>
            </w:r>
          </w:p>
          <w:p w14:paraId="6107B94B" w14:textId="3D99D758"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VKM nr. 457, datë 29.6.2022 </w:t>
            </w:r>
          </w:p>
        </w:tc>
      </w:tr>
      <w:tr w:rsidR="00847F23" w:rsidRPr="00913E39" w14:paraId="0D52CB0F"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6FB1BBBB"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Është në fuqi kuadri rregullator për komunikimin elektronik bazuar në modelin e BE-së;</w:t>
            </w:r>
          </w:p>
          <w:p w14:paraId="107BE9E7" w14:textId="075BB7AB"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Organi i </w:t>
            </w:r>
            <w:r w:rsidR="004029C2" w:rsidRPr="00913E39">
              <w:rPr>
                <w:rFonts w:ascii="Garamond" w:hAnsi="Garamond"/>
                <w:sz w:val="18"/>
              </w:rPr>
              <w:t>pavarur rregullator</w:t>
            </w:r>
            <w:r w:rsidRPr="00913E39">
              <w:rPr>
                <w:rFonts w:ascii="Garamond" w:hAnsi="Garamond"/>
                <w:sz w:val="18"/>
              </w:rPr>
              <w:t>, AKEP</w:t>
            </w:r>
            <w:r w:rsidR="004029C2" w:rsidRPr="00913E39">
              <w:rPr>
                <w:rFonts w:ascii="Garamond" w:hAnsi="Garamond"/>
                <w:sz w:val="18"/>
              </w:rPr>
              <w:t>-i</w:t>
            </w:r>
            <w:r w:rsidRPr="00913E39">
              <w:rPr>
                <w:rFonts w:ascii="Garamond" w:hAnsi="Garamond"/>
                <w:sz w:val="18"/>
              </w:rPr>
              <w:t xml:space="preserve"> është krijuar që në vitin 2008.</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CC8F33E" w14:textId="7A53ABC0" w:rsidR="00847F23" w:rsidRPr="00913E39" w:rsidRDefault="008B5591" w:rsidP="008B5591">
            <w:pPr>
              <w:shd w:val="clear" w:color="auto" w:fill="FFFFFF"/>
              <w:spacing w:after="0" w:line="240" w:lineRule="auto"/>
              <w:rPr>
                <w:rFonts w:ascii="Garamond" w:hAnsi="Garamond"/>
                <w:sz w:val="18"/>
              </w:rPr>
            </w:pPr>
            <w:r w:rsidRPr="00913E39">
              <w:rPr>
                <w:rFonts w:ascii="Garamond" w:hAnsi="Garamond"/>
                <w:sz w:val="18"/>
              </w:rPr>
              <w:t xml:space="preserve">- </w:t>
            </w:r>
            <w:r w:rsidR="00847F23" w:rsidRPr="00913E39">
              <w:rPr>
                <w:rFonts w:ascii="Garamond" w:hAnsi="Garamond"/>
                <w:sz w:val="18"/>
              </w:rPr>
              <w:t xml:space="preserve">Ligji nr. 9918/2008, </w:t>
            </w:r>
            <w:r w:rsidR="00850FC7" w:rsidRPr="00913E39">
              <w:rPr>
                <w:rFonts w:ascii="Garamond" w:hAnsi="Garamond"/>
                <w:sz w:val="18"/>
              </w:rPr>
              <w:t>“</w:t>
            </w:r>
            <w:r w:rsidR="00847F23" w:rsidRPr="00913E39">
              <w:rPr>
                <w:rFonts w:ascii="Garamond" w:hAnsi="Garamond"/>
                <w:sz w:val="18"/>
              </w:rPr>
              <w:t>Për komunikimin elektronik në Republikën e Shqipërisë</w:t>
            </w:r>
            <w:r w:rsidR="00850FC7" w:rsidRPr="00913E39">
              <w:rPr>
                <w:rFonts w:ascii="Garamond" w:hAnsi="Garamond"/>
                <w:sz w:val="18"/>
              </w:rPr>
              <w:t>”</w:t>
            </w:r>
            <w:r w:rsidR="00847F23" w:rsidRPr="00913E39">
              <w:rPr>
                <w:rFonts w:ascii="Garamond" w:hAnsi="Garamond"/>
                <w:sz w:val="18"/>
              </w:rPr>
              <w:t>, i ndryshuar;</w:t>
            </w:r>
          </w:p>
          <w:p w14:paraId="442897CC" w14:textId="2DB19769" w:rsidR="00847F23" w:rsidRPr="00913E39" w:rsidRDefault="008B5591" w:rsidP="008B5591">
            <w:pPr>
              <w:shd w:val="clear" w:color="auto" w:fill="FFFFFF"/>
              <w:spacing w:after="0" w:line="240" w:lineRule="auto"/>
              <w:rPr>
                <w:rFonts w:ascii="Garamond" w:hAnsi="Garamond"/>
                <w:sz w:val="18"/>
              </w:rPr>
            </w:pPr>
            <w:r w:rsidRPr="00913E39">
              <w:rPr>
                <w:rFonts w:ascii="Garamond" w:hAnsi="Garamond"/>
                <w:sz w:val="18"/>
              </w:rPr>
              <w:t xml:space="preserve">- </w:t>
            </w:r>
            <w:r w:rsidR="00847F23" w:rsidRPr="00913E39">
              <w:rPr>
                <w:rFonts w:ascii="Garamond" w:hAnsi="Garamond"/>
                <w:sz w:val="18"/>
              </w:rPr>
              <w:t xml:space="preserve">Rregulloret e miratuara nga AKEP: </w:t>
            </w:r>
            <w:hyperlink r:id="rId25" w:history="1">
              <w:r w:rsidR="00847F23" w:rsidRPr="00913E39">
                <w:rPr>
                  <w:rFonts w:ascii="Garamond" w:hAnsi="Garamond"/>
                  <w:sz w:val="18"/>
                  <w:u w:val="single"/>
                </w:rPr>
                <w:t>https://akep.al/vendime-akte/komunikimet-elektronike/</w:t>
              </w:r>
            </w:hyperlink>
            <w:r w:rsidR="00847F23" w:rsidRPr="00913E39">
              <w:rPr>
                <w:rFonts w:ascii="Garamond" w:hAnsi="Garamond"/>
                <w:sz w:val="18"/>
              </w:rPr>
              <w:t>;</w:t>
            </w:r>
          </w:p>
          <w:p w14:paraId="645433C4" w14:textId="374FAEC5" w:rsidR="00847F23" w:rsidRPr="00913E39" w:rsidRDefault="00847F23" w:rsidP="00272C0B">
            <w:pPr>
              <w:spacing w:after="0" w:line="240" w:lineRule="auto"/>
              <w:jc w:val="both"/>
              <w:rPr>
                <w:rFonts w:ascii="Garamond" w:hAnsi="Garamond"/>
                <w:sz w:val="18"/>
              </w:rPr>
            </w:pPr>
            <w:r w:rsidRPr="00913E39">
              <w:rPr>
                <w:rFonts w:ascii="Garamond" w:hAnsi="Garamond"/>
                <w:sz w:val="18"/>
              </w:rPr>
              <w:t>Nenet 6,</w:t>
            </w:r>
            <w:r w:rsidR="004029C2" w:rsidRPr="00913E39">
              <w:rPr>
                <w:rFonts w:ascii="Garamond" w:hAnsi="Garamond"/>
                <w:sz w:val="18"/>
              </w:rPr>
              <w:t xml:space="preserve"> </w:t>
            </w:r>
            <w:r w:rsidRPr="00913E39">
              <w:rPr>
                <w:rFonts w:ascii="Garamond" w:hAnsi="Garamond"/>
                <w:sz w:val="18"/>
              </w:rPr>
              <w:t>7,</w:t>
            </w:r>
            <w:r w:rsidR="004029C2" w:rsidRPr="00913E39">
              <w:rPr>
                <w:rFonts w:ascii="Garamond" w:hAnsi="Garamond"/>
                <w:sz w:val="18"/>
              </w:rPr>
              <w:t xml:space="preserve"> </w:t>
            </w:r>
            <w:r w:rsidRPr="00913E39">
              <w:rPr>
                <w:rFonts w:ascii="Garamond" w:hAnsi="Garamond"/>
                <w:sz w:val="18"/>
              </w:rPr>
              <w:t>8, 114-116 të ligjit nr.</w:t>
            </w:r>
            <w:r w:rsidR="004029C2" w:rsidRPr="00913E39">
              <w:rPr>
                <w:rFonts w:ascii="Garamond" w:hAnsi="Garamond"/>
                <w:sz w:val="18"/>
              </w:rPr>
              <w:t xml:space="preserve"> </w:t>
            </w:r>
            <w:r w:rsidRPr="00913E39">
              <w:rPr>
                <w:rFonts w:ascii="Garamond" w:hAnsi="Garamond"/>
                <w:sz w:val="18"/>
              </w:rPr>
              <w:t xml:space="preserve">9918/2008, </w:t>
            </w:r>
            <w:r w:rsidR="00850FC7" w:rsidRPr="00913E39">
              <w:rPr>
                <w:rFonts w:ascii="Garamond" w:hAnsi="Garamond"/>
                <w:sz w:val="18"/>
              </w:rPr>
              <w:t>“</w:t>
            </w:r>
            <w:r w:rsidRPr="00913E39">
              <w:rPr>
                <w:rFonts w:ascii="Garamond" w:hAnsi="Garamond"/>
                <w:sz w:val="18"/>
              </w:rPr>
              <w:t>Për komunikimin elektronik në Republikën e Shqipërisë</w:t>
            </w:r>
            <w:r w:rsidR="00850FC7" w:rsidRPr="00913E39">
              <w:rPr>
                <w:rFonts w:ascii="Garamond" w:hAnsi="Garamond"/>
                <w:sz w:val="18"/>
              </w:rPr>
              <w:t>”</w:t>
            </w:r>
            <w:r w:rsidRPr="00913E39">
              <w:rPr>
                <w:rFonts w:ascii="Garamond" w:hAnsi="Garamond"/>
                <w:sz w:val="18"/>
              </w:rPr>
              <w:t>, të ndryshuar.</w:t>
            </w:r>
          </w:p>
        </w:tc>
      </w:tr>
      <w:tr w:rsidR="00847F23" w:rsidRPr="00913E39" w14:paraId="5D323E95"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3C44C4A8"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Tregu i telekomunikacionit është i liberalizuar dhe i hapur plotësisht për konkurrencë që nga viti 2008.</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5394270" w14:textId="579D70BA" w:rsidR="00847F23" w:rsidRPr="00913E39" w:rsidRDefault="008B5591" w:rsidP="008B5591">
            <w:pPr>
              <w:shd w:val="clear" w:color="auto" w:fill="FFFFFF"/>
              <w:spacing w:after="0" w:line="240" w:lineRule="auto"/>
              <w:rPr>
                <w:rFonts w:ascii="Garamond" w:hAnsi="Garamond"/>
                <w:sz w:val="18"/>
              </w:rPr>
            </w:pPr>
            <w:r w:rsidRPr="00913E39">
              <w:rPr>
                <w:rFonts w:ascii="Garamond" w:hAnsi="Garamond"/>
                <w:sz w:val="18"/>
              </w:rPr>
              <w:t xml:space="preserve">- </w:t>
            </w:r>
            <w:r w:rsidR="00847F23" w:rsidRPr="00913E39">
              <w:rPr>
                <w:rFonts w:ascii="Garamond" w:hAnsi="Garamond"/>
                <w:sz w:val="18"/>
              </w:rPr>
              <w:t xml:space="preserve">Ligji nr. 9918/2008, </w:t>
            </w:r>
            <w:r w:rsidR="00850FC7" w:rsidRPr="00913E39">
              <w:rPr>
                <w:rFonts w:ascii="Garamond" w:hAnsi="Garamond"/>
                <w:sz w:val="18"/>
              </w:rPr>
              <w:t>“</w:t>
            </w:r>
            <w:r w:rsidR="00847F23" w:rsidRPr="00913E39">
              <w:rPr>
                <w:rFonts w:ascii="Garamond" w:hAnsi="Garamond"/>
                <w:sz w:val="18"/>
              </w:rPr>
              <w:t>Për komunikimin elektronik në Republikën e Shqipërisë</w:t>
            </w:r>
            <w:r w:rsidR="00850FC7" w:rsidRPr="00913E39">
              <w:rPr>
                <w:rFonts w:ascii="Garamond" w:hAnsi="Garamond"/>
                <w:sz w:val="18"/>
              </w:rPr>
              <w:t>”</w:t>
            </w:r>
            <w:r w:rsidR="00847F23" w:rsidRPr="00913E39">
              <w:rPr>
                <w:rFonts w:ascii="Garamond" w:hAnsi="Garamond"/>
                <w:sz w:val="18"/>
              </w:rPr>
              <w:t>, i ndryshuar;</w:t>
            </w:r>
          </w:p>
          <w:p w14:paraId="70B6A19E" w14:textId="43809689" w:rsidR="00847F23" w:rsidRPr="00913E39" w:rsidRDefault="008B5591" w:rsidP="008B5591">
            <w:pPr>
              <w:shd w:val="clear" w:color="auto" w:fill="FFFFFF"/>
              <w:spacing w:after="0" w:line="240" w:lineRule="auto"/>
              <w:rPr>
                <w:rFonts w:ascii="Garamond" w:hAnsi="Garamond"/>
                <w:sz w:val="18"/>
              </w:rPr>
            </w:pPr>
            <w:r w:rsidRPr="00913E39">
              <w:rPr>
                <w:rFonts w:ascii="Garamond" w:hAnsi="Garamond"/>
                <w:sz w:val="18"/>
              </w:rPr>
              <w:t xml:space="preserve">- </w:t>
            </w:r>
            <w:r w:rsidR="00847F23" w:rsidRPr="00913E39">
              <w:rPr>
                <w:rFonts w:ascii="Garamond" w:hAnsi="Garamond"/>
                <w:sz w:val="18"/>
              </w:rPr>
              <w:t>Sipërmarrjet e autorizuara për të ofruar rrjete dhe/ose shërbime të komunikimit elektronik:</w:t>
            </w:r>
          </w:p>
          <w:p w14:paraId="29632FEC" w14:textId="77777777" w:rsidR="00847F23" w:rsidRPr="00913E39" w:rsidRDefault="00444B6F" w:rsidP="00272C0B">
            <w:pPr>
              <w:spacing w:after="0" w:line="240" w:lineRule="auto"/>
              <w:jc w:val="both"/>
              <w:rPr>
                <w:rFonts w:ascii="Garamond" w:hAnsi="Garamond"/>
                <w:sz w:val="18"/>
              </w:rPr>
            </w:pPr>
            <w:hyperlink r:id="rId26" w:history="1">
              <w:r w:rsidR="00847F23" w:rsidRPr="00913E39">
                <w:rPr>
                  <w:rFonts w:ascii="Garamond" w:hAnsi="Garamond"/>
                  <w:sz w:val="18"/>
                  <w:u w:val="single"/>
                </w:rPr>
                <w:t>https://akep.al/wp-content/uploads/2023/05/REGJISTRI-I-SIPERMARRESVE-TE-AUTORIZIMIT-TE-PERGJITHSHEM-DERI-NE-DATEN-08.05.2023.pdf</w:t>
              </w:r>
            </w:hyperlink>
          </w:p>
        </w:tc>
      </w:tr>
      <w:tr w:rsidR="00847F23" w:rsidRPr="00913E39" w14:paraId="1B06F818"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6B97CFC4"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Ka rritje të qëndrueshme të shtrirjes së </w:t>
            </w:r>
            <w:r w:rsidRPr="00913E39">
              <w:rPr>
                <w:rFonts w:ascii="Garamond" w:hAnsi="Garamond"/>
                <w:i/>
                <w:sz w:val="18"/>
              </w:rPr>
              <w:t>broadband</w:t>
            </w:r>
            <w:r w:rsidRPr="00913E39">
              <w:rPr>
                <w:rFonts w:ascii="Garamond" w:hAnsi="Garamond"/>
                <w:sz w:val="18"/>
              </w:rPr>
              <w:t xml:space="preserve"> fikse dhe teknologjive të avancuara.</w:t>
            </w:r>
            <w:r w:rsidR="00693B1A"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A0A72C9"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Raportet vjetore të AKEP:</w:t>
            </w:r>
          </w:p>
          <w:p w14:paraId="3DE2681B" w14:textId="77777777" w:rsidR="00847F23" w:rsidRPr="00913E39" w:rsidRDefault="00444B6F" w:rsidP="00272C0B">
            <w:pPr>
              <w:shd w:val="clear" w:color="auto" w:fill="FFFFFF"/>
              <w:spacing w:after="0" w:line="240" w:lineRule="auto"/>
              <w:rPr>
                <w:rFonts w:ascii="Garamond" w:hAnsi="Garamond"/>
                <w:sz w:val="18"/>
              </w:rPr>
            </w:pPr>
            <w:hyperlink r:id="rId27" w:history="1">
              <w:r w:rsidR="00847F23" w:rsidRPr="00913E39">
                <w:rPr>
                  <w:rFonts w:ascii="Garamond" w:hAnsi="Garamond"/>
                  <w:sz w:val="18"/>
                  <w:u w:val="single"/>
                </w:rPr>
                <w:t>https://akep.al/wp-content/uploads/2022/06/AKEP-Raporti-Vjetor-2021.pdf</w:t>
              </w:r>
            </w:hyperlink>
          </w:p>
          <w:p w14:paraId="31C09A8B"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Raporti i Indeksit të Ekonomisë dhe Shoqërisë Digjitale (Raporti DESI për BP 2022):</w:t>
            </w:r>
          </w:p>
          <w:p w14:paraId="44F58BF4" w14:textId="77777777" w:rsidR="00847F23" w:rsidRPr="00913E39" w:rsidRDefault="00444B6F" w:rsidP="00272C0B">
            <w:pPr>
              <w:spacing w:after="0" w:line="240" w:lineRule="auto"/>
              <w:jc w:val="both"/>
              <w:rPr>
                <w:rFonts w:ascii="Garamond" w:hAnsi="Garamond"/>
                <w:sz w:val="18"/>
              </w:rPr>
            </w:pPr>
            <w:hyperlink r:id="rId28" w:history="1">
              <w:r w:rsidR="00847F23" w:rsidRPr="00913E39">
                <w:rPr>
                  <w:rFonts w:ascii="Garamond" w:hAnsi="Garamond"/>
                  <w:sz w:val="18"/>
                  <w:u w:val="single"/>
                </w:rPr>
                <w:t>https://www.rcc.int/pubs/159/western-balkans-digital-economy-society-index-wb-desi-2022-report</w:t>
              </w:r>
            </w:hyperlink>
          </w:p>
        </w:tc>
      </w:tr>
      <w:tr w:rsidR="00847F23" w:rsidRPr="00913E39" w14:paraId="7A4D7611"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75686C22" w14:textId="051DFFFE"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Mbulim i mirë i </w:t>
            </w:r>
            <w:r w:rsidRPr="00913E39">
              <w:rPr>
                <w:rFonts w:ascii="Garamond" w:hAnsi="Garamond"/>
                <w:i/>
                <w:sz w:val="18"/>
              </w:rPr>
              <w:t>broadbands</w:t>
            </w:r>
            <w:r w:rsidRPr="00913E39">
              <w:rPr>
                <w:rFonts w:ascii="Garamond" w:hAnsi="Garamond"/>
                <w:sz w:val="18"/>
              </w:rPr>
              <w:t xml:space="preserve"> celulare bazuar në 4G/4G+</w:t>
            </w:r>
            <w:r w:rsidR="00693B1A"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42095621"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Raporti vjetor i AKEP:</w:t>
            </w:r>
          </w:p>
          <w:p w14:paraId="7B39FA8A" w14:textId="77777777" w:rsidR="00847F23" w:rsidRPr="00913E39" w:rsidRDefault="00444B6F" w:rsidP="00272C0B">
            <w:pPr>
              <w:spacing w:after="0" w:line="240" w:lineRule="auto"/>
              <w:jc w:val="both"/>
              <w:rPr>
                <w:rFonts w:ascii="Garamond" w:hAnsi="Garamond"/>
                <w:sz w:val="18"/>
              </w:rPr>
            </w:pPr>
            <w:hyperlink r:id="rId29" w:history="1">
              <w:r w:rsidR="00847F23" w:rsidRPr="00913E39">
                <w:rPr>
                  <w:rFonts w:ascii="Garamond" w:hAnsi="Garamond"/>
                  <w:sz w:val="18"/>
                  <w:u w:val="single"/>
                </w:rPr>
                <w:t>https://akep.al/wp-content/uploads/2022/06/AKEP-Raporti-Vjetor-2021.pdf</w:t>
              </w:r>
            </w:hyperlink>
          </w:p>
        </w:tc>
      </w:tr>
      <w:tr w:rsidR="00847F23" w:rsidRPr="00913E39" w14:paraId="6037CC72"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08B766C9"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Digjitalizimi është një prioritet i lartë i Qeverisë Shqiptare.</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EEEE330"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Strategjia Kombëtare për Zhvillim dhe Integrim Evropian 2030 (SKZHI 2030);</w:t>
            </w:r>
          </w:p>
          <w:p w14:paraId="2D8EB527"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Strategjia e Agjendës Digjitale 2022-2026 (miratuar 2022) e avancuar në objektivat e digjitalizimit të Strategjisë së mëparshme të Agjendës Digjitale (2015-2020);</w:t>
            </w:r>
          </w:p>
          <w:p w14:paraId="56C877CD"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 xml:space="preserve">Digjitalizimi i shërbimeve publike në fazën paraprake: </w:t>
            </w:r>
            <w:hyperlink r:id="rId30" w:history="1">
              <w:r w:rsidRPr="00913E39">
                <w:rPr>
                  <w:rFonts w:ascii="Garamond" w:hAnsi="Garamond"/>
                  <w:sz w:val="18"/>
                  <w:u w:val="single"/>
                </w:rPr>
                <w:t>https://e-albania.al/</w:t>
              </w:r>
            </w:hyperlink>
            <w:r w:rsidRPr="00913E39">
              <w:rPr>
                <w:rFonts w:ascii="Garamond" w:hAnsi="Garamond"/>
                <w:sz w:val="18"/>
              </w:rPr>
              <w:t xml:space="preserve">; </w:t>
            </w:r>
          </w:p>
          <w:p w14:paraId="63A8DD1F" w14:textId="77777777" w:rsidR="00847F23" w:rsidRPr="00913E39" w:rsidRDefault="00444B6F" w:rsidP="00272C0B">
            <w:pPr>
              <w:spacing w:after="0" w:line="240" w:lineRule="auto"/>
              <w:jc w:val="both"/>
              <w:rPr>
                <w:rFonts w:ascii="Garamond" w:hAnsi="Garamond"/>
                <w:sz w:val="18"/>
              </w:rPr>
            </w:pPr>
            <w:hyperlink r:id="rId31" w:history="1">
              <w:r w:rsidR="00847F23" w:rsidRPr="00913E39">
                <w:rPr>
                  <w:rFonts w:ascii="Garamond" w:hAnsi="Garamond"/>
                  <w:sz w:val="18"/>
                  <w:u w:val="single"/>
                </w:rPr>
                <w:t>https://akshi.gov.al/qeverisja-digjitale-shqiperia-e-para-dhe-e-vetmja-ne-rajon-qe-permbush-cdo-standard/</w:t>
              </w:r>
            </w:hyperlink>
          </w:p>
        </w:tc>
      </w:tr>
      <w:tr w:rsidR="00847F23" w:rsidRPr="00913E39" w14:paraId="30509FDF" w14:textId="77777777" w:rsidTr="00272C0B">
        <w:trPr>
          <w:trHeight w:val="20"/>
        </w:trPr>
        <w:tc>
          <w:tcPr>
            <w:tcW w:w="2972" w:type="dxa"/>
            <w:shd w:val="clear" w:color="auto" w:fill="D0CECE"/>
          </w:tcPr>
          <w:p w14:paraId="57AB179D"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PIKAT E DOBËTA</w:t>
            </w:r>
          </w:p>
        </w:tc>
        <w:tc>
          <w:tcPr>
            <w:tcW w:w="6095" w:type="dxa"/>
            <w:shd w:val="clear" w:color="auto" w:fill="D0CECE"/>
          </w:tcPr>
          <w:p w14:paraId="59B5D8F2" w14:textId="77777777" w:rsidR="00847F23" w:rsidRPr="00913E39" w:rsidRDefault="00847F23" w:rsidP="00272C0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4CDE16B5"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2011ED54"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Ndarja digjitale është ende e pranishme veçanërisht midis zonave rurale dhe urbane: Mbulimi fiks rural vazhdon të jetë më i ulët se mbulimi kombëtar fiks.</w:t>
            </w:r>
            <w:r w:rsidR="00693B1A"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ACA75A5" w14:textId="6AF25391"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 xml:space="preserve">Sipas Raportit të KE-së 2022 dhe gjithashtu të të dhënave të fundit nga AKEP, vetëm 20% e numrit total të lidhjeve </w:t>
            </w:r>
            <w:r w:rsidRPr="00913E39">
              <w:rPr>
                <w:rFonts w:ascii="Garamond" w:hAnsi="Garamond"/>
                <w:i/>
                <w:sz w:val="18"/>
              </w:rPr>
              <w:t>broadband</w:t>
            </w:r>
            <w:r w:rsidRPr="00913E39">
              <w:rPr>
                <w:rFonts w:ascii="Garamond" w:hAnsi="Garamond"/>
                <w:sz w:val="18"/>
              </w:rPr>
              <w:t xml:space="preserve"> fikse janë në zonat rurale ndërsa popullsia rurale është rreth 40%. </w:t>
            </w:r>
          </w:p>
          <w:p w14:paraId="74103BBE"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Raportet vjetore të AKEP:</w:t>
            </w:r>
          </w:p>
          <w:p w14:paraId="2DD0CB28" w14:textId="77777777" w:rsidR="00847F23" w:rsidRPr="00913E39" w:rsidRDefault="00444B6F" w:rsidP="00272C0B">
            <w:pPr>
              <w:shd w:val="clear" w:color="auto" w:fill="FFFFFF"/>
              <w:spacing w:after="0" w:line="240" w:lineRule="auto"/>
              <w:rPr>
                <w:rFonts w:ascii="Garamond" w:hAnsi="Garamond"/>
                <w:sz w:val="18"/>
              </w:rPr>
            </w:pPr>
            <w:hyperlink r:id="rId32" w:history="1">
              <w:r w:rsidR="00847F23" w:rsidRPr="00913E39">
                <w:rPr>
                  <w:rFonts w:ascii="Garamond" w:hAnsi="Garamond"/>
                  <w:sz w:val="18"/>
                  <w:u w:val="single"/>
                </w:rPr>
                <w:t>https://akep.al/wp-content/uploads/2022/06/AKEP-Raporti-Vjetor-2021.pdf</w:t>
              </w:r>
            </w:hyperlink>
          </w:p>
          <w:p w14:paraId="3E0E7CFF"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Plani Kombëtar për Zhvillimin e Qëndrueshëm të Infrastrukturës Digjitale, </w:t>
            </w:r>
            <w:r w:rsidRPr="00913E39">
              <w:rPr>
                <w:rFonts w:ascii="Garamond" w:hAnsi="Garamond"/>
                <w:i/>
                <w:sz w:val="18"/>
              </w:rPr>
              <w:t>Broadband</w:t>
            </w:r>
            <w:r w:rsidRPr="00913E39">
              <w:rPr>
                <w:rFonts w:ascii="Garamond" w:hAnsi="Garamond"/>
                <w:sz w:val="18"/>
              </w:rPr>
              <w:t xml:space="preserve"> 2020-2025</w:t>
            </w:r>
            <w:r w:rsidRPr="00913E39">
              <w:rPr>
                <w:rFonts w:ascii="Garamond" w:hAnsi="Garamond"/>
                <w:sz w:val="18"/>
                <w:vertAlign w:val="superscript"/>
              </w:rPr>
              <w:footnoteReference w:id="52"/>
            </w:r>
            <w:r w:rsidRPr="00913E39">
              <w:rPr>
                <w:rFonts w:ascii="Garamond" w:hAnsi="Garamond"/>
                <w:sz w:val="18"/>
              </w:rPr>
              <w:t>.</w:t>
            </w:r>
          </w:p>
        </w:tc>
      </w:tr>
      <w:tr w:rsidR="00847F23" w:rsidRPr="00913E39" w14:paraId="0F5CFA60"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7F19EFF2"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Rrjetet 5G nuk janë futur ende.</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1172116"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Akoma nuk është dhënë asnjë licencë për 5G.</w:t>
            </w:r>
          </w:p>
        </w:tc>
      </w:tr>
      <w:tr w:rsidR="00847F23" w:rsidRPr="00913E39" w14:paraId="10687BD8"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7CFDDCE2" w14:textId="6F1BD7DC"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Përqindja e lidhjeve </w:t>
            </w:r>
            <w:r w:rsidRPr="00913E39">
              <w:rPr>
                <w:rFonts w:ascii="Garamond" w:hAnsi="Garamond"/>
                <w:i/>
                <w:sz w:val="18"/>
              </w:rPr>
              <w:t>broadband</w:t>
            </w:r>
            <w:r w:rsidRPr="00913E39">
              <w:rPr>
                <w:rFonts w:ascii="Garamond" w:hAnsi="Garamond"/>
                <w:sz w:val="18"/>
              </w:rPr>
              <w:t xml:space="preserve"> me 100 Mbit ose më shumë është ende shumë e ulët (12% </w:t>
            </w:r>
            <w:r w:rsidR="009214CB" w:rsidRPr="00913E39">
              <w:rPr>
                <w:rFonts w:ascii="Garamond" w:hAnsi="Garamond"/>
                <w:sz w:val="18"/>
              </w:rPr>
              <w:t>m</w:t>
            </w:r>
            <w:r w:rsidRPr="00913E39">
              <w:rPr>
                <w:rFonts w:ascii="Garamond" w:hAnsi="Garamond"/>
                <w:sz w:val="18"/>
              </w:rPr>
              <w:t>ë 2022).</w:t>
            </w:r>
            <w:r w:rsidR="00693B1A"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320FCA28"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Raportet vjetore të AKEP:</w:t>
            </w:r>
          </w:p>
          <w:p w14:paraId="22CB2458" w14:textId="77777777" w:rsidR="00847F23" w:rsidRPr="00913E39" w:rsidRDefault="00444B6F" w:rsidP="00272C0B">
            <w:pPr>
              <w:shd w:val="clear" w:color="auto" w:fill="FFFFFF"/>
              <w:spacing w:after="0" w:line="240" w:lineRule="auto"/>
              <w:rPr>
                <w:rFonts w:ascii="Garamond" w:hAnsi="Garamond"/>
                <w:sz w:val="18"/>
              </w:rPr>
            </w:pPr>
            <w:hyperlink r:id="rId33" w:history="1">
              <w:r w:rsidR="00847F23" w:rsidRPr="00913E39">
                <w:rPr>
                  <w:rFonts w:ascii="Garamond" w:hAnsi="Garamond"/>
                  <w:sz w:val="18"/>
                  <w:u w:val="single"/>
                </w:rPr>
                <w:t>https://akep.al/wp-content/uploads/2022/06/AKEP-Raporti-Vjetor-2021.pdf</w:t>
              </w:r>
            </w:hyperlink>
            <w:r w:rsidR="00847F23" w:rsidRPr="00913E39">
              <w:rPr>
                <w:rFonts w:ascii="Garamond" w:hAnsi="Garamond"/>
                <w:sz w:val="18"/>
                <w:u w:val="single"/>
              </w:rPr>
              <w:t xml:space="preserve"> </w:t>
            </w:r>
          </w:p>
          <w:p w14:paraId="663E0634"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Raporti i Indeksit të Ekonomisë dhe Shoqërisë Digjitale (Raporti DESI për BP 2022):</w:t>
            </w:r>
          </w:p>
          <w:p w14:paraId="7480E89B" w14:textId="77777777" w:rsidR="00847F23" w:rsidRPr="00913E39" w:rsidRDefault="00444B6F" w:rsidP="00272C0B">
            <w:pPr>
              <w:spacing w:after="0" w:line="240" w:lineRule="auto"/>
              <w:jc w:val="both"/>
              <w:rPr>
                <w:rFonts w:ascii="Garamond" w:hAnsi="Garamond"/>
                <w:sz w:val="18"/>
              </w:rPr>
            </w:pPr>
            <w:hyperlink r:id="rId34" w:history="1">
              <w:r w:rsidR="00847F23" w:rsidRPr="00913E39">
                <w:rPr>
                  <w:rFonts w:ascii="Garamond" w:hAnsi="Garamond"/>
                  <w:sz w:val="18"/>
                  <w:u w:val="single"/>
                </w:rPr>
                <w:t>https://www.rcc.int/pubs/159/western-balkans-digital-economy-society-index-wb-desi-2022-report</w:t>
              </w:r>
            </w:hyperlink>
            <w:r w:rsidR="00847F23" w:rsidRPr="00913E39">
              <w:rPr>
                <w:rFonts w:ascii="Garamond" w:hAnsi="Garamond"/>
                <w:sz w:val="18"/>
              </w:rPr>
              <w:t>;</w:t>
            </w:r>
          </w:p>
        </w:tc>
      </w:tr>
      <w:tr w:rsidR="00847F23" w:rsidRPr="00913E39" w14:paraId="27B64838"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1363D8ED" w14:textId="6B49C6A2"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Nevojiten investime të mëdha për të arritur: një shoqëri </w:t>
            </w:r>
            <w:r w:rsidRPr="00913E39">
              <w:rPr>
                <w:rFonts w:ascii="Garamond" w:hAnsi="Garamond"/>
                <w:i/>
                <w:sz w:val="18"/>
              </w:rPr>
              <w:t>gigabit</w:t>
            </w:r>
            <w:r w:rsidRPr="00913E39">
              <w:rPr>
                <w:rFonts w:ascii="Garamond" w:hAnsi="Garamond"/>
                <w:sz w:val="18"/>
              </w:rPr>
              <w:t xml:space="preserve"> dhe për të </w:t>
            </w:r>
            <w:r w:rsidR="006775C2" w:rsidRPr="00913E39">
              <w:rPr>
                <w:rFonts w:ascii="Garamond" w:hAnsi="Garamond"/>
                <w:sz w:val="18"/>
              </w:rPr>
              <w:lastRenderedPageBreak/>
              <w:t>zhvilluar rrjetet me kapacitet shumë të lartë</w:t>
            </w:r>
            <w:r w:rsidRPr="00913E39">
              <w:rPr>
                <w:rFonts w:ascii="Garamond" w:hAnsi="Garamond"/>
                <w:sz w:val="18"/>
              </w:rPr>
              <w:t xml:space="preserve"> (VHCN)</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885AC33" w14:textId="538D3912"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lastRenderedPageBreak/>
              <w:t xml:space="preserve">WB19-ALB-DII-01: </w:t>
            </w:r>
            <w:r w:rsidRPr="00913E39">
              <w:rPr>
                <w:rFonts w:ascii="Garamond" w:hAnsi="Garamond"/>
                <w:i/>
                <w:sz w:val="18"/>
              </w:rPr>
              <w:t>WB19-ALB-DII-01: Studimi i Fizibilitetit dhe Analiza Kosto-Përfitim për Zhvillimin e Infrastrukturës Rajonale Broadband në Shqipëri, rezultatet:</w:t>
            </w:r>
            <w:r w:rsidR="00213B0C" w:rsidRPr="00913E39">
              <w:rPr>
                <w:rFonts w:ascii="Garamond" w:hAnsi="Garamond"/>
                <w:i/>
                <w:sz w:val="18"/>
              </w:rPr>
              <w:t xml:space="preserve"> </w:t>
            </w:r>
            <w:hyperlink r:id="rId35" w:history="1">
              <w:r w:rsidR="00213B0C" w:rsidRPr="00913E39">
                <w:rPr>
                  <w:rStyle w:val="Hyperlink"/>
                  <w:rFonts w:ascii="Garamond" w:hAnsi="Garamond"/>
                  <w:color w:val="auto"/>
                  <w:sz w:val="18"/>
                </w:rPr>
                <w:t>https://www.eeas.europa.eu/delegations/albania/regional-broadband-infrastructure-development-albania-closing-workshop_en</w:t>
              </w:r>
            </w:hyperlink>
            <w:r w:rsidRPr="00913E39">
              <w:rPr>
                <w:rFonts w:ascii="Garamond" w:hAnsi="Garamond"/>
                <w:sz w:val="18"/>
              </w:rPr>
              <w:t>;</w:t>
            </w:r>
          </w:p>
          <w:p w14:paraId="3B2C11E5"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Plani Ekonomik dhe i Investimeve për Ballkanin Perëndimor:</w:t>
            </w:r>
          </w:p>
          <w:p w14:paraId="24B7514A" w14:textId="77777777" w:rsidR="00847F23" w:rsidRPr="00913E39" w:rsidRDefault="00444B6F" w:rsidP="00272C0B">
            <w:pPr>
              <w:spacing w:after="0" w:line="240" w:lineRule="auto"/>
              <w:jc w:val="both"/>
              <w:rPr>
                <w:rFonts w:ascii="Garamond" w:hAnsi="Garamond"/>
                <w:sz w:val="18"/>
              </w:rPr>
            </w:pPr>
            <w:hyperlink r:id="rId36" w:history="1">
              <w:r w:rsidR="00847F23" w:rsidRPr="00913E39">
                <w:rPr>
                  <w:rFonts w:ascii="Garamond" w:hAnsi="Garamond"/>
                  <w:sz w:val="18"/>
                  <w:u w:val="single"/>
                </w:rPr>
                <w:t>https://neighbourhood-enlargement.ec.europa.eu/system/files/2020-10/communication_on_wb_economic_and_investment_plan_october_2020_en.pdf</w:t>
              </w:r>
            </w:hyperlink>
          </w:p>
        </w:tc>
      </w:tr>
      <w:tr w:rsidR="00847F23" w:rsidRPr="00913E39" w14:paraId="4EE2AE05"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16FD5900"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lastRenderedPageBreak/>
              <w:t xml:space="preserve">Akoma mungon legjislacioni sekondar </w:t>
            </w:r>
            <w:r w:rsidRPr="00913E39">
              <w:rPr>
                <w:rFonts w:ascii="Garamond" w:hAnsi="Garamond"/>
                <w:i/>
                <w:sz w:val="18"/>
              </w:rPr>
              <w:t>broadband</w:t>
            </w:r>
            <w:r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04C0183" w14:textId="439E96C2"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Ligji </w:t>
            </w:r>
            <w:r w:rsidR="00B07D47" w:rsidRPr="00913E39">
              <w:rPr>
                <w:rFonts w:ascii="Garamond" w:hAnsi="Garamond"/>
                <w:sz w:val="18"/>
              </w:rPr>
              <w:t>n</w:t>
            </w:r>
            <w:r w:rsidRPr="00913E39">
              <w:rPr>
                <w:rFonts w:ascii="Garamond" w:hAnsi="Garamond"/>
                <w:sz w:val="18"/>
              </w:rPr>
              <w:t>r.</w:t>
            </w:r>
            <w:r w:rsidR="00B07D47" w:rsidRPr="00913E39">
              <w:rPr>
                <w:rFonts w:ascii="Garamond" w:hAnsi="Garamond"/>
                <w:sz w:val="18"/>
              </w:rPr>
              <w:t xml:space="preserve"> </w:t>
            </w:r>
            <w:r w:rsidRPr="00913E39">
              <w:rPr>
                <w:rFonts w:ascii="Garamond" w:hAnsi="Garamond"/>
                <w:sz w:val="18"/>
              </w:rPr>
              <w:t xml:space="preserve">120/2016, </w:t>
            </w:r>
            <w:r w:rsidR="00850FC7" w:rsidRPr="00913E39">
              <w:rPr>
                <w:rFonts w:ascii="Garamond" w:hAnsi="Garamond"/>
                <w:sz w:val="18"/>
              </w:rPr>
              <w:t>“</w:t>
            </w:r>
            <w:r w:rsidRPr="00913E39">
              <w:rPr>
                <w:rFonts w:ascii="Garamond" w:hAnsi="Garamond"/>
                <w:sz w:val="18"/>
              </w:rPr>
              <w:t xml:space="preserve">Ligji nr. 120/2016 </w:t>
            </w:r>
            <w:r w:rsidR="00850FC7" w:rsidRPr="00913E39">
              <w:rPr>
                <w:rFonts w:ascii="Garamond" w:hAnsi="Garamond"/>
                <w:sz w:val="18"/>
              </w:rPr>
              <w:t>“</w:t>
            </w:r>
            <w:r w:rsidRPr="00913E39">
              <w:rPr>
                <w:rFonts w:ascii="Garamond" w:hAnsi="Garamond"/>
                <w:sz w:val="18"/>
              </w:rPr>
              <w:t xml:space="preserve">Për zhvillimin e rrjeteve të komunikimeve elektronike me shpejtësi të lartë dhe sigurimin e </w:t>
            </w:r>
            <w:r w:rsidR="00B800EC" w:rsidRPr="00913E39">
              <w:rPr>
                <w:rFonts w:ascii="Garamond" w:hAnsi="Garamond"/>
                <w:sz w:val="18"/>
              </w:rPr>
              <w:t>s</w:t>
            </w:r>
            <w:r w:rsidRPr="00913E39">
              <w:rPr>
                <w:rFonts w:ascii="Garamond" w:hAnsi="Garamond"/>
                <w:sz w:val="18"/>
              </w:rPr>
              <w:t>ë drejtës së kalimit</w:t>
            </w:r>
            <w:r w:rsidR="00850FC7" w:rsidRPr="00913E39">
              <w:rPr>
                <w:rFonts w:ascii="Garamond" w:hAnsi="Garamond"/>
                <w:sz w:val="18"/>
              </w:rPr>
              <w:t>”</w:t>
            </w:r>
            <w:r w:rsidRPr="00913E39">
              <w:rPr>
                <w:rFonts w:ascii="Garamond" w:hAnsi="Garamond"/>
                <w:sz w:val="18"/>
              </w:rPr>
              <w:t>.</w:t>
            </w:r>
          </w:p>
        </w:tc>
      </w:tr>
      <w:tr w:rsidR="00847F23" w:rsidRPr="00913E39" w14:paraId="59A212FB"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693ACED4"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Përgjegjësitë institucionale për ndarjen e aksesit në ndërtimin e infrastrukturës për </w:t>
            </w:r>
            <w:r w:rsidRPr="00913E39">
              <w:rPr>
                <w:rFonts w:ascii="Garamond" w:hAnsi="Garamond"/>
                <w:i/>
                <w:sz w:val="18"/>
              </w:rPr>
              <w:t>broadband</w:t>
            </w:r>
            <w:r w:rsidRPr="00913E39">
              <w:rPr>
                <w:rFonts w:ascii="Garamond" w:hAnsi="Garamond"/>
                <w:sz w:val="18"/>
              </w:rPr>
              <w:t xml:space="preserve"> dhe në ndërtesat publike nuk janë gjithmonë të qarta.</w:t>
            </w:r>
            <w:r w:rsidR="00693B1A"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01D9321"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Bazuar në komunikimet, konsultimet me aktorët e tregut të telekomunikacionit, bashkitë, AKEP etj.</w:t>
            </w:r>
          </w:p>
        </w:tc>
      </w:tr>
      <w:tr w:rsidR="00847F23" w:rsidRPr="00913E39" w14:paraId="2918B391"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39BF17A7"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Kapacitetet e MIE dhe AKEP kanë nevojë për përmirësim për zhvillimin e mëtejshëm të rrjeteve VHCN, 5G.</w:t>
            </w:r>
            <w:r w:rsidR="00693B1A"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72FB2DCB"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Rregullore të reja janë integruar në projektligjin për komunikimin elektronik në lidhje me VHCN, 5G etj. </w:t>
            </w:r>
          </w:p>
        </w:tc>
      </w:tr>
      <w:tr w:rsidR="00847F23" w:rsidRPr="00913E39" w14:paraId="26EDA732" w14:textId="77777777" w:rsidTr="00272C0B">
        <w:trPr>
          <w:trHeight w:val="20"/>
        </w:trPr>
        <w:tc>
          <w:tcPr>
            <w:tcW w:w="2972" w:type="dxa"/>
            <w:shd w:val="clear" w:color="auto" w:fill="D0CECE"/>
          </w:tcPr>
          <w:p w14:paraId="33AD8E07"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MUNDËSITË</w:t>
            </w:r>
          </w:p>
        </w:tc>
        <w:tc>
          <w:tcPr>
            <w:tcW w:w="6095" w:type="dxa"/>
            <w:shd w:val="clear" w:color="auto" w:fill="D0CECE"/>
          </w:tcPr>
          <w:p w14:paraId="242E7FE8" w14:textId="77777777" w:rsidR="00847F23" w:rsidRPr="00913E39" w:rsidRDefault="00847F23" w:rsidP="00272C0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62E6DA92"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063400AF"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 xml:space="preserve">Krijimi i një shtyse të re falë shpalljes së një sërë strategjish kombëtare, duke përfshirë transformimin digjital dhe digjitalizimin. </w:t>
            </w:r>
          </w:p>
          <w:p w14:paraId="140AF30C" w14:textId="77777777" w:rsidR="00847F23" w:rsidRPr="00913E39" w:rsidRDefault="00847F23" w:rsidP="00272C0B">
            <w:pPr>
              <w:spacing w:after="0" w:line="240" w:lineRule="auto"/>
              <w:rPr>
                <w:rFonts w:ascii="Garamond" w:hAnsi="Garamond"/>
                <w:sz w:val="18"/>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31AD30D" w14:textId="7C3D2A3B" w:rsidR="00847F23" w:rsidRPr="00913E39" w:rsidRDefault="009E2AF7" w:rsidP="009E2AF7">
            <w:pPr>
              <w:shd w:val="clear" w:color="auto" w:fill="FFFFFF"/>
              <w:spacing w:after="0" w:line="240" w:lineRule="auto"/>
              <w:rPr>
                <w:rFonts w:ascii="Garamond" w:hAnsi="Garamond"/>
                <w:i/>
                <w:sz w:val="18"/>
              </w:rPr>
            </w:pPr>
            <w:r w:rsidRPr="00913E39">
              <w:rPr>
                <w:rFonts w:ascii="Garamond" w:hAnsi="Garamond"/>
                <w:sz w:val="18"/>
              </w:rPr>
              <w:t xml:space="preserve">- </w:t>
            </w:r>
            <w:r w:rsidR="00847F23" w:rsidRPr="00913E39">
              <w:rPr>
                <w:rFonts w:ascii="Garamond" w:hAnsi="Garamond"/>
                <w:sz w:val="18"/>
              </w:rPr>
              <w:t xml:space="preserve">SKZHIE 2030 thekson objektivin strategjik: </w:t>
            </w:r>
            <w:r w:rsidR="00847F23" w:rsidRPr="00913E39">
              <w:rPr>
                <w:rFonts w:ascii="Garamond" w:hAnsi="Garamond"/>
                <w:i/>
                <w:sz w:val="18"/>
              </w:rPr>
              <w:t>Shqipëria me Infrastrukturë Digjitale Broadband të shpejtësisë së lartë dhe shumë të lartë në të gjithë vendin, për të ngritur themelet për një shoqëri Gigabit.</w:t>
            </w:r>
          </w:p>
          <w:p w14:paraId="371F5C56" w14:textId="7126579E" w:rsidR="00847F23" w:rsidRPr="00913E39" w:rsidRDefault="009E2AF7" w:rsidP="009E2AF7">
            <w:pPr>
              <w:shd w:val="clear" w:color="auto" w:fill="FFFFFF"/>
              <w:spacing w:after="0" w:line="240" w:lineRule="auto"/>
              <w:rPr>
                <w:rFonts w:ascii="Garamond" w:hAnsi="Garamond"/>
                <w:sz w:val="18"/>
              </w:rPr>
            </w:pPr>
            <w:r w:rsidRPr="00913E39">
              <w:rPr>
                <w:rFonts w:ascii="Garamond" w:hAnsi="Garamond"/>
                <w:sz w:val="18"/>
              </w:rPr>
              <w:t xml:space="preserve">- </w:t>
            </w:r>
            <w:r w:rsidR="00847F23" w:rsidRPr="00913E39">
              <w:rPr>
                <w:rFonts w:ascii="Garamond" w:hAnsi="Garamond"/>
                <w:sz w:val="18"/>
              </w:rPr>
              <w:t>Miratimi i Agjendës Digjitale 2022-2026 (2022)</w:t>
            </w:r>
          </w:p>
          <w:p w14:paraId="49261514" w14:textId="76325C6F" w:rsidR="00847F23" w:rsidRPr="00913E39" w:rsidRDefault="009E2AF7" w:rsidP="009E2AF7">
            <w:pPr>
              <w:shd w:val="clear" w:color="auto" w:fill="FFFFFF"/>
              <w:spacing w:after="0" w:line="240" w:lineRule="auto"/>
              <w:rPr>
                <w:rFonts w:ascii="Garamond" w:hAnsi="Garamond"/>
                <w:sz w:val="18"/>
              </w:rPr>
            </w:pPr>
            <w:r w:rsidRPr="00913E39">
              <w:rPr>
                <w:rFonts w:ascii="Garamond" w:hAnsi="Garamond"/>
                <w:sz w:val="18"/>
              </w:rPr>
              <w:t xml:space="preserve">- </w:t>
            </w:r>
            <w:r w:rsidR="00847F23" w:rsidRPr="00913E39">
              <w:rPr>
                <w:rFonts w:ascii="Garamond" w:hAnsi="Garamond"/>
                <w:sz w:val="18"/>
              </w:rPr>
              <w:t>Miratimi i Strategjisë Ndërsektoriale për Zhvillimin e Biznesit dhe Investimet (SNSZHBI) 2021-2027 (2021)</w:t>
            </w:r>
          </w:p>
          <w:p w14:paraId="550375D5" w14:textId="770BA961" w:rsidR="00847F23" w:rsidRPr="00913E39" w:rsidRDefault="009E2AF7" w:rsidP="009E2AF7">
            <w:pPr>
              <w:shd w:val="clear" w:color="auto" w:fill="FFFFFF"/>
              <w:spacing w:after="0" w:line="240" w:lineRule="auto"/>
              <w:rPr>
                <w:rFonts w:ascii="Garamond" w:hAnsi="Garamond"/>
                <w:sz w:val="18"/>
              </w:rPr>
            </w:pPr>
            <w:r w:rsidRPr="00913E39">
              <w:rPr>
                <w:rFonts w:ascii="Garamond" w:hAnsi="Garamond"/>
                <w:sz w:val="18"/>
              </w:rPr>
              <w:t xml:space="preserve">- </w:t>
            </w:r>
            <w:r w:rsidR="00847F23" w:rsidRPr="00913E39">
              <w:rPr>
                <w:rFonts w:ascii="Garamond" w:hAnsi="Garamond"/>
                <w:sz w:val="18"/>
              </w:rPr>
              <w:t xml:space="preserve">Miratimi i Planit Kombëtar për Zhvillimin e Qëndrueshëm të Infrastrukturës Digjitale, </w:t>
            </w:r>
            <w:r w:rsidR="00847F23" w:rsidRPr="00913E39">
              <w:rPr>
                <w:rFonts w:ascii="Garamond" w:hAnsi="Garamond"/>
                <w:i/>
                <w:sz w:val="18"/>
              </w:rPr>
              <w:t>Broadband</w:t>
            </w:r>
            <w:r w:rsidR="00847F23" w:rsidRPr="00913E39">
              <w:rPr>
                <w:rFonts w:ascii="Garamond" w:hAnsi="Garamond"/>
                <w:sz w:val="18"/>
              </w:rPr>
              <w:t xml:space="preserve"> 2020-2025</w:t>
            </w:r>
            <w:r w:rsidR="00847F23" w:rsidRPr="00913E39">
              <w:rPr>
                <w:rFonts w:ascii="Garamond" w:hAnsi="Garamond"/>
                <w:sz w:val="18"/>
                <w:vertAlign w:val="superscript"/>
              </w:rPr>
              <w:footnoteReference w:id="53"/>
            </w:r>
            <w:r w:rsidR="00847F23" w:rsidRPr="00913E39">
              <w:rPr>
                <w:rFonts w:ascii="Garamond" w:hAnsi="Garamond"/>
                <w:sz w:val="18"/>
              </w:rPr>
              <w:t xml:space="preserve"> (2020) </w:t>
            </w:r>
          </w:p>
          <w:p w14:paraId="00CC56DB" w14:textId="35FF4FC3" w:rsidR="00847F23" w:rsidRPr="00913E39" w:rsidRDefault="009E2AF7" w:rsidP="009E2AF7">
            <w:pPr>
              <w:shd w:val="clear" w:color="auto" w:fill="FFFFFF"/>
              <w:spacing w:after="0" w:line="240" w:lineRule="auto"/>
              <w:rPr>
                <w:rFonts w:ascii="Garamond" w:hAnsi="Garamond"/>
                <w:sz w:val="18"/>
              </w:rPr>
            </w:pPr>
            <w:r w:rsidRPr="00913E39">
              <w:rPr>
                <w:rFonts w:ascii="Garamond" w:hAnsi="Garamond"/>
                <w:sz w:val="18"/>
              </w:rPr>
              <w:t xml:space="preserve">- </w:t>
            </w:r>
            <w:r w:rsidR="00847F23" w:rsidRPr="00913E39">
              <w:rPr>
                <w:rFonts w:ascii="Garamond" w:hAnsi="Garamond"/>
                <w:sz w:val="18"/>
              </w:rPr>
              <w:t>Strategjia Kombëtare Ndërsektoriale për Punësimin dhe Aftësitë 2023-2030;</w:t>
            </w:r>
          </w:p>
          <w:p w14:paraId="3A2CC74E" w14:textId="08B03ABF" w:rsidR="00847F23" w:rsidRPr="00913E39" w:rsidRDefault="009E2AF7" w:rsidP="009E2AF7">
            <w:pPr>
              <w:shd w:val="clear" w:color="auto" w:fill="FFFFFF"/>
              <w:spacing w:after="0" w:line="240" w:lineRule="auto"/>
              <w:rPr>
                <w:rFonts w:ascii="Garamond" w:hAnsi="Garamond"/>
                <w:sz w:val="18"/>
              </w:rPr>
            </w:pPr>
            <w:r w:rsidRPr="00913E39">
              <w:rPr>
                <w:rFonts w:ascii="Garamond" w:hAnsi="Garamond"/>
                <w:sz w:val="18"/>
              </w:rPr>
              <w:t xml:space="preserve">- </w:t>
            </w:r>
            <w:r w:rsidR="00847F23" w:rsidRPr="00913E39">
              <w:rPr>
                <w:rFonts w:ascii="Garamond" w:hAnsi="Garamond"/>
                <w:sz w:val="18"/>
              </w:rPr>
              <w:t>Miratimi i Strategjisë Kombëtare të Energjisë 2018-2030 duke përfshirë digjitalizimin/matjen inteligjente etj.</w:t>
            </w:r>
          </w:p>
        </w:tc>
      </w:tr>
      <w:tr w:rsidR="00847F23" w:rsidRPr="00913E39" w14:paraId="0885F508"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4D5BF32C" w14:textId="14707BAD" w:rsidR="00847F23" w:rsidRPr="00913E39" w:rsidRDefault="00847F23" w:rsidP="00272C0B">
            <w:pPr>
              <w:spacing w:after="0" w:line="240" w:lineRule="auto"/>
              <w:rPr>
                <w:rFonts w:ascii="Garamond" w:hAnsi="Garamond"/>
                <w:sz w:val="18"/>
              </w:rPr>
            </w:pPr>
            <w:r w:rsidRPr="00913E39">
              <w:rPr>
                <w:rFonts w:ascii="Garamond" w:hAnsi="Garamond"/>
                <w:sz w:val="18"/>
              </w:rPr>
              <w:t>Rritja e ndërgjegjësimit për rëndësinë e infrastrukturës digjitale dhe përfitimet nga digjitalizimi</w:t>
            </w:r>
            <w:r w:rsidR="00693B1A"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5B8CBA8C" w14:textId="034F91BB"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 xml:space="preserve">Rezultatet e anketës Këshilli i Investimeve </w:t>
            </w:r>
            <w:r w:rsidR="00850FC7" w:rsidRPr="00913E39">
              <w:rPr>
                <w:rFonts w:ascii="Garamond" w:eastAsia="Times New Roman" w:hAnsi="Garamond" w:cs="Times New Roman"/>
                <w:sz w:val="18"/>
                <w:szCs w:val="18"/>
              </w:rPr>
              <w:t>“</w:t>
            </w:r>
            <w:r w:rsidRPr="00913E39">
              <w:rPr>
                <w:rFonts w:ascii="Garamond" w:hAnsi="Garamond"/>
                <w:sz w:val="18"/>
              </w:rPr>
              <w:t>Ndikimi i COVID-19 në Biznes</w:t>
            </w:r>
            <w:r w:rsidR="00850FC7" w:rsidRPr="00913E39">
              <w:rPr>
                <w:rFonts w:ascii="Garamond" w:eastAsia="Times New Roman" w:hAnsi="Garamond" w:cs="Times New Roman"/>
                <w:sz w:val="18"/>
                <w:szCs w:val="18"/>
              </w:rPr>
              <w:t>”</w:t>
            </w:r>
            <w:r w:rsidRPr="00913E39">
              <w:rPr>
                <w:rFonts w:ascii="Garamond" w:hAnsi="Garamond"/>
                <w:sz w:val="18"/>
              </w:rPr>
              <w:t xml:space="preserve"> (2021). Raport mbi ecurinë e rekomandimeve të KI për gjysmën e parë të vitit 2021. </w:t>
            </w:r>
            <w:hyperlink r:id="rId37" w:history="1">
              <w:r w:rsidRPr="00913E39">
                <w:rPr>
                  <w:rFonts w:ascii="Garamond" w:hAnsi="Garamond"/>
                  <w:sz w:val="18"/>
                  <w:u w:val="single"/>
                </w:rPr>
                <w:t>https://www.investment.com.al/sq/newsletter_ic/keshilli-investimeve-lajmet-kryesore-korrik-shtator-2021/</w:t>
              </w:r>
            </w:hyperlink>
          </w:p>
          <w:p w14:paraId="40DD655A" w14:textId="77777777" w:rsidR="00847F23" w:rsidRPr="00913E39" w:rsidRDefault="00847F23" w:rsidP="00272C0B">
            <w:pPr>
              <w:spacing w:after="0" w:line="240" w:lineRule="auto"/>
              <w:rPr>
                <w:rFonts w:ascii="Garamond" w:hAnsi="Garamond"/>
                <w:sz w:val="18"/>
              </w:rPr>
            </w:pPr>
            <w:r w:rsidRPr="00913E39">
              <w:rPr>
                <w:rFonts w:ascii="Garamond" w:hAnsi="Garamond"/>
                <w:sz w:val="18"/>
              </w:rPr>
              <w:t xml:space="preserve">Takim kombëtar mbi TIK-un i mbajtur më 19 maj 2023, për Strategjinë e Specializimit mbi Inteligjencën (S3): </w:t>
            </w:r>
            <w:hyperlink r:id="rId38" w:history="1">
              <w:r w:rsidRPr="00913E39">
                <w:rPr>
                  <w:rFonts w:ascii="Garamond" w:hAnsi="Garamond"/>
                  <w:sz w:val="18"/>
                  <w:u w:val="single"/>
                </w:rPr>
                <w:t>https://s3albania.org/</w:t>
              </w:r>
            </w:hyperlink>
            <w:r w:rsidRPr="00913E39">
              <w:rPr>
                <w:rFonts w:ascii="Garamond" w:hAnsi="Garamond"/>
                <w:sz w:val="18"/>
                <w:u w:val="single"/>
              </w:rPr>
              <w:t xml:space="preserve"> </w:t>
            </w:r>
          </w:p>
        </w:tc>
      </w:tr>
      <w:tr w:rsidR="00847F23" w:rsidRPr="00913E39" w14:paraId="3C30AE79"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1615E463" w14:textId="6C29A374" w:rsidR="00847F23" w:rsidRPr="00913E39" w:rsidRDefault="00847F23" w:rsidP="00272C0B">
            <w:pPr>
              <w:spacing w:after="0" w:line="240" w:lineRule="auto"/>
              <w:rPr>
                <w:rFonts w:ascii="Garamond" w:hAnsi="Garamond"/>
                <w:sz w:val="18"/>
              </w:rPr>
            </w:pPr>
            <w:r w:rsidRPr="00913E39">
              <w:rPr>
                <w:rFonts w:ascii="Garamond" w:hAnsi="Garamond"/>
                <w:sz w:val="18"/>
              </w:rPr>
              <w:t xml:space="preserve">Zhvillimi i 5G, IoT, AI, </w:t>
            </w:r>
            <w:r w:rsidRPr="00913E39">
              <w:rPr>
                <w:rFonts w:ascii="Garamond" w:hAnsi="Garamond"/>
                <w:i/>
                <w:sz w:val="18"/>
              </w:rPr>
              <w:t>Cloud computing,</w:t>
            </w:r>
            <w:r w:rsidRPr="00913E39">
              <w:rPr>
                <w:rFonts w:ascii="Garamond" w:hAnsi="Garamond"/>
                <w:sz w:val="18"/>
              </w:rPr>
              <w:t xml:space="preserve"> rastet e përdorimit të 5G si një mundësi për të gjithë sektorët, për inovacion</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0E77172"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 xml:space="preserve">Teknologjia e Gjeneratës së Pestë (5G) për Shqipërinë –Plan/Studimi Strategjik AKEP: </w:t>
            </w:r>
          </w:p>
          <w:p w14:paraId="29F80732" w14:textId="77777777" w:rsidR="00847F23" w:rsidRPr="00913E39" w:rsidRDefault="00444B6F" w:rsidP="00272C0B">
            <w:pPr>
              <w:shd w:val="clear" w:color="auto" w:fill="FFFFFF"/>
              <w:spacing w:after="0" w:line="240" w:lineRule="auto"/>
              <w:rPr>
                <w:rFonts w:ascii="Garamond" w:hAnsi="Garamond"/>
                <w:sz w:val="18"/>
              </w:rPr>
            </w:pPr>
            <w:hyperlink r:id="rId39" w:history="1">
              <w:r w:rsidR="00847F23" w:rsidRPr="00913E39">
                <w:rPr>
                  <w:rFonts w:ascii="Garamond" w:hAnsi="Garamond"/>
                  <w:sz w:val="18"/>
                  <w:u w:val="single"/>
                </w:rPr>
                <w:t>https://akep.al/wp-content/uploads/2021/11/5G-Strategic-Plan-Public-Consultation-English-Version.pdf</w:t>
              </w:r>
            </w:hyperlink>
            <w:r w:rsidR="00847F23" w:rsidRPr="00913E39">
              <w:rPr>
                <w:rFonts w:ascii="Garamond" w:hAnsi="Garamond"/>
                <w:sz w:val="18"/>
              </w:rPr>
              <w:t>;</w:t>
            </w:r>
          </w:p>
          <w:p w14:paraId="2B38C868"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Miratimi i Planit Kombëtar për Zhvillimin e Qëndrueshëm të Infrastrukturës Digjitale, Broadband 2020-2025 (2020);</w:t>
            </w:r>
          </w:p>
          <w:p w14:paraId="3C6CFCF2" w14:textId="77777777" w:rsidR="00847F23" w:rsidRPr="00913E39" w:rsidRDefault="00847F23" w:rsidP="00272C0B">
            <w:pPr>
              <w:spacing w:after="0" w:line="240" w:lineRule="auto"/>
              <w:rPr>
                <w:rFonts w:ascii="Garamond" w:hAnsi="Garamond"/>
                <w:sz w:val="18"/>
              </w:rPr>
            </w:pPr>
            <w:r w:rsidRPr="00913E39">
              <w:rPr>
                <w:rFonts w:ascii="Garamond" w:hAnsi="Garamond"/>
                <w:sz w:val="18"/>
              </w:rPr>
              <w:t>Miratimi i Agjendës Digjitale 2022-2026 (2022);</w:t>
            </w:r>
          </w:p>
        </w:tc>
      </w:tr>
      <w:tr w:rsidR="00847F23" w:rsidRPr="00913E39" w14:paraId="4D9A1125"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32A23AA4" w14:textId="7C733E4A" w:rsidR="00847F23" w:rsidRPr="00913E39" w:rsidRDefault="00847F23" w:rsidP="00272C0B">
            <w:pPr>
              <w:spacing w:after="0" w:line="240" w:lineRule="auto"/>
              <w:jc w:val="both"/>
              <w:rPr>
                <w:rFonts w:ascii="Garamond" w:hAnsi="Garamond"/>
                <w:sz w:val="18"/>
              </w:rPr>
            </w:pPr>
            <w:r w:rsidRPr="00913E39">
              <w:rPr>
                <w:rFonts w:ascii="Garamond" w:hAnsi="Garamond"/>
                <w:sz w:val="18"/>
              </w:rPr>
              <w:t>Vullneti politik për të përgatitur/</w:t>
            </w:r>
            <w:r w:rsidR="00B07D47" w:rsidRPr="00913E39">
              <w:rPr>
                <w:rFonts w:ascii="Garamond" w:hAnsi="Garamond"/>
                <w:sz w:val="18"/>
              </w:rPr>
              <w:t xml:space="preserve"> </w:t>
            </w:r>
            <w:r w:rsidRPr="00913E39">
              <w:rPr>
                <w:rFonts w:ascii="Garamond" w:hAnsi="Garamond"/>
                <w:sz w:val="18"/>
              </w:rPr>
              <w:t>përditësuar kuadrin strategjik dhe ligjor bazuar në direktivat e fundit të BE-së</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4B06186"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VKM nr. 122, datë 1.3.2023 Plani Kombëtar për Integrimin Evropian (PKIE) 2023-2025.</w:t>
            </w:r>
          </w:p>
        </w:tc>
      </w:tr>
      <w:tr w:rsidR="00847F23" w:rsidRPr="00913E39" w14:paraId="39D5EC11"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2A908C83" w14:textId="5601BD2C" w:rsidR="00847F23" w:rsidRPr="00913E39" w:rsidRDefault="00847F23" w:rsidP="00272C0B">
            <w:pPr>
              <w:spacing w:after="0" w:line="240" w:lineRule="auto"/>
              <w:jc w:val="both"/>
              <w:rPr>
                <w:rFonts w:ascii="Garamond" w:hAnsi="Garamond"/>
                <w:sz w:val="18"/>
              </w:rPr>
            </w:pPr>
            <w:r w:rsidRPr="00913E39">
              <w:rPr>
                <w:rFonts w:ascii="Garamond" w:hAnsi="Garamond"/>
                <w:sz w:val="18"/>
              </w:rPr>
              <w:t>Sinergji me projekte të tjera të lidhjes (energji, transport, telekomunikacion)</w:t>
            </w:r>
            <w:r w:rsidR="00693B1A"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066B4FCA"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 xml:space="preserve">Një plan ekonomik dhe investimi për Ballkanin Perëndimor (2020) </w:t>
            </w:r>
          </w:p>
          <w:p w14:paraId="5DE0B5D3"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Agjenda e Gjelbër për Ballkanin Perëndimor, 2020</w:t>
            </w:r>
          </w:p>
          <w:p w14:paraId="10AC3766"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Programi CEF2.</w:t>
            </w:r>
          </w:p>
        </w:tc>
      </w:tr>
      <w:tr w:rsidR="00847F23" w:rsidRPr="00913E39" w14:paraId="6D7A6545"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5ECE21DD" w14:textId="420BB3E9" w:rsidR="00847F23" w:rsidRPr="00913E39" w:rsidRDefault="00847F23" w:rsidP="00272C0B">
            <w:pPr>
              <w:spacing w:after="0" w:line="240" w:lineRule="auto"/>
              <w:jc w:val="both"/>
              <w:rPr>
                <w:rFonts w:ascii="Garamond" w:hAnsi="Garamond"/>
                <w:sz w:val="18"/>
              </w:rPr>
            </w:pPr>
            <w:r w:rsidRPr="00913E39">
              <w:rPr>
                <w:rFonts w:ascii="Garamond" w:hAnsi="Garamond"/>
                <w:sz w:val="18"/>
              </w:rPr>
              <w:t>Kërkesa në rritje për lidhjen digjitale</w:t>
            </w:r>
            <w:r w:rsidR="00693B1A"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24F60563" w14:textId="77777777"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Statistikat e rritjes së vëllimit të komunikimit të të dhënave në rrjetet fikse dhe celulare gjatë viteve.</w:t>
            </w:r>
          </w:p>
          <w:p w14:paraId="0D39623D"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Takim kombëtar mbi TIK-un i mbajtur më 19 maj 2023, për Strategjinë e Specializimit mbi Inteligjencën (S3): </w:t>
            </w:r>
            <w:hyperlink r:id="rId40" w:history="1">
              <w:r w:rsidRPr="00913E39">
                <w:rPr>
                  <w:rFonts w:ascii="Garamond" w:hAnsi="Garamond"/>
                  <w:sz w:val="18"/>
                  <w:u w:val="single"/>
                </w:rPr>
                <w:t>https://s3albania.org/</w:t>
              </w:r>
            </w:hyperlink>
          </w:p>
        </w:tc>
      </w:tr>
      <w:tr w:rsidR="00847F23" w:rsidRPr="00913E39" w14:paraId="4F84FA33" w14:textId="77777777" w:rsidTr="00272C0B">
        <w:trPr>
          <w:trHeight w:val="20"/>
        </w:trPr>
        <w:tc>
          <w:tcPr>
            <w:tcW w:w="2972" w:type="dxa"/>
            <w:shd w:val="clear" w:color="auto" w:fill="D0CECE"/>
          </w:tcPr>
          <w:p w14:paraId="0B8C013B" w14:textId="77777777" w:rsidR="00847F23" w:rsidRPr="00913E39" w:rsidRDefault="00847F23" w:rsidP="00272C0B">
            <w:pPr>
              <w:spacing w:after="0" w:line="240" w:lineRule="auto"/>
              <w:jc w:val="both"/>
              <w:rPr>
                <w:rFonts w:ascii="Garamond" w:hAnsi="Garamond"/>
                <w:b/>
                <w:sz w:val="18"/>
              </w:rPr>
            </w:pPr>
            <w:r w:rsidRPr="00913E39">
              <w:rPr>
                <w:rFonts w:ascii="Garamond" w:hAnsi="Garamond"/>
                <w:sz w:val="18"/>
              </w:rPr>
              <w:t>KËRCËNIME</w:t>
            </w:r>
          </w:p>
        </w:tc>
        <w:tc>
          <w:tcPr>
            <w:tcW w:w="6095" w:type="dxa"/>
            <w:shd w:val="clear" w:color="auto" w:fill="D0CECE"/>
          </w:tcPr>
          <w:p w14:paraId="1517DCF9" w14:textId="77777777" w:rsidR="00847F23" w:rsidRPr="00913E39" w:rsidRDefault="00847F23" w:rsidP="00272C0B">
            <w:pPr>
              <w:spacing w:after="0" w:line="240" w:lineRule="auto"/>
              <w:jc w:val="both"/>
              <w:rPr>
                <w:rFonts w:ascii="Garamond" w:hAnsi="Garamond"/>
                <w:b/>
                <w:sz w:val="18"/>
              </w:rPr>
            </w:pPr>
            <w:r w:rsidRPr="00913E39">
              <w:rPr>
                <w:rFonts w:ascii="Garamond" w:hAnsi="Garamond"/>
                <w:b/>
                <w:sz w:val="18"/>
              </w:rPr>
              <w:t>Të dhënat mbështetëse</w:t>
            </w:r>
          </w:p>
        </w:tc>
      </w:tr>
      <w:tr w:rsidR="00847F23" w:rsidRPr="00913E39" w14:paraId="790C8F0B"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3B7F43C7" w14:textId="108B10AF"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Vonesat në zbatimin e legjislacionit në </w:t>
            </w:r>
            <w:r w:rsidRPr="00913E39">
              <w:rPr>
                <w:rFonts w:ascii="Garamond" w:hAnsi="Garamond"/>
                <w:i/>
                <w:sz w:val="18"/>
              </w:rPr>
              <w:t>broadband</w:t>
            </w:r>
            <w:r w:rsidRPr="00913E39">
              <w:rPr>
                <w:rFonts w:ascii="Garamond" w:hAnsi="Garamond"/>
                <w:sz w:val="18"/>
              </w:rPr>
              <w:t xml:space="preserve"> /VHCN</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C580D8D" w14:textId="303D1630" w:rsidR="00847F23" w:rsidRPr="00913E39" w:rsidRDefault="00847F23" w:rsidP="00272C0B">
            <w:pPr>
              <w:spacing w:after="0" w:line="240" w:lineRule="auto"/>
              <w:jc w:val="both"/>
              <w:rPr>
                <w:rFonts w:ascii="Garamond" w:hAnsi="Garamond"/>
                <w:sz w:val="18"/>
              </w:rPr>
            </w:pPr>
            <w:r w:rsidRPr="00913E39">
              <w:rPr>
                <w:rFonts w:ascii="Garamond" w:hAnsi="Garamond"/>
                <w:sz w:val="18"/>
              </w:rPr>
              <w:t>Disa akte ligjore/nënligjore janë ende për t</w:t>
            </w:r>
            <w:r w:rsidR="005222A5" w:rsidRPr="00913E39">
              <w:rPr>
                <w:rFonts w:ascii="Garamond" w:hAnsi="Garamond"/>
                <w:sz w:val="18"/>
              </w:rPr>
              <w:t>’</w:t>
            </w:r>
            <w:r w:rsidRPr="00913E39">
              <w:rPr>
                <w:rFonts w:ascii="Garamond" w:hAnsi="Garamond"/>
                <w:sz w:val="18"/>
              </w:rPr>
              <w:t>u miratuar.</w:t>
            </w:r>
          </w:p>
        </w:tc>
      </w:tr>
      <w:tr w:rsidR="00847F23" w:rsidRPr="00913E39" w14:paraId="4FC90759"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71D89B5E" w14:textId="2B87709C" w:rsidR="00847F23" w:rsidRPr="00913E39" w:rsidRDefault="00847F23" w:rsidP="00272C0B">
            <w:pPr>
              <w:shd w:val="clear" w:color="auto" w:fill="FFFFFF"/>
              <w:spacing w:after="0" w:line="240" w:lineRule="auto"/>
              <w:rPr>
                <w:rFonts w:ascii="Garamond" w:hAnsi="Garamond"/>
                <w:sz w:val="18"/>
              </w:rPr>
            </w:pPr>
            <w:r w:rsidRPr="00913E39">
              <w:rPr>
                <w:rFonts w:ascii="Garamond" w:hAnsi="Garamond"/>
                <w:sz w:val="18"/>
              </w:rPr>
              <w:t>Mungesa e financimit</w:t>
            </w:r>
          </w:p>
          <w:p w14:paraId="1DCD6773" w14:textId="77777777" w:rsidR="00847F23" w:rsidRPr="00913E39" w:rsidRDefault="00847F23" w:rsidP="00272C0B">
            <w:pPr>
              <w:spacing w:after="0" w:line="240" w:lineRule="auto"/>
              <w:jc w:val="both"/>
              <w:rPr>
                <w:rFonts w:ascii="Garamond" w:hAnsi="Garamond"/>
                <w:sz w:val="18"/>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6C067BD2"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Disa raporte sektoriale theksojnë financimin e nevojshëm për infrastrukturën digjitale.</w:t>
            </w:r>
          </w:p>
        </w:tc>
      </w:tr>
      <w:tr w:rsidR="00847F23" w:rsidRPr="00913E39" w14:paraId="5679DE01"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6E2BB613"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Besimi dhe siguria.</w:t>
            </w:r>
            <w:r w:rsidR="00693B1A" w:rsidRPr="00913E39">
              <w:rPr>
                <w:rFonts w:ascii="Garamond" w:hAnsi="Garamond"/>
                <w:sz w:val="18"/>
              </w:rPr>
              <w:t xml:space="preserve"> </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1DF4E174"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Siguria 5G është një nga çështjet kritike të ngritura në raporte të ndryshme.</w:t>
            </w:r>
          </w:p>
        </w:tc>
      </w:tr>
      <w:tr w:rsidR="00847F23" w:rsidRPr="00913E39" w14:paraId="28A36782" w14:textId="77777777" w:rsidTr="00272C0B">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1C46B56A" w14:textId="426C7488" w:rsidR="00847F23" w:rsidRPr="00913E39" w:rsidRDefault="00847F23" w:rsidP="00272C0B">
            <w:pPr>
              <w:spacing w:after="0" w:line="240" w:lineRule="auto"/>
              <w:jc w:val="both"/>
              <w:rPr>
                <w:rFonts w:ascii="Garamond" w:hAnsi="Garamond"/>
                <w:sz w:val="18"/>
              </w:rPr>
            </w:pPr>
            <w:r w:rsidRPr="00913E39">
              <w:rPr>
                <w:rFonts w:ascii="Garamond" w:hAnsi="Garamond"/>
                <w:sz w:val="18"/>
              </w:rPr>
              <w:t xml:space="preserve">Emigrimi i </w:t>
            </w:r>
            <w:r w:rsidR="00B07D47" w:rsidRPr="00913E39">
              <w:rPr>
                <w:rFonts w:ascii="Garamond" w:hAnsi="Garamond"/>
                <w:sz w:val="18"/>
              </w:rPr>
              <w:t xml:space="preserve">trurit/humbja </w:t>
            </w:r>
            <w:r w:rsidRPr="00913E39">
              <w:rPr>
                <w:rFonts w:ascii="Garamond" w:hAnsi="Garamond"/>
                <w:sz w:val="18"/>
              </w:rPr>
              <w:t>e kapacitetit lokal</w:t>
            </w:r>
          </w:p>
        </w:tc>
        <w:tc>
          <w:tcPr>
            <w:tcW w:w="6095" w:type="dxa"/>
            <w:tcBorders>
              <w:top w:val="single" w:sz="4" w:space="0" w:color="auto"/>
              <w:left w:val="single" w:sz="4" w:space="0" w:color="auto"/>
              <w:bottom w:val="single" w:sz="4" w:space="0" w:color="auto"/>
              <w:right w:val="single" w:sz="4" w:space="0" w:color="auto"/>
            </w:tcBorders>
            <w:shd w:val="clear" w:color="auto" w:fill="auto"/>
          </w:tcPr>
          <w:p w14:paraId="5FAA704F" w14:textId="77777777" w:rsidR="00847F23" w:rsidRPr="00913E39" w:rsidRDefault="00847F23" w:rsidP="00272C0B">
            <w:pPr>
              <w:spacing w:after="0" w:line="240" w:lineRule="auto"/>
              <w:jc w:val="both"/>
              <w:rPr>
                <w:rFonts w:ascii="Garamond" w:hAnsi="Garamond"/>
                <w:sz w:val="18"/>
              </w:rPr>
            </w:pPr>
            <w:r w:rsidRPr="00913E39">
              <w:rPr>
                <w:rFonts w:ascii="Garamond" w:hAnsi="Garamond"/>
                <w:sz w:val="18"/>
              </w:rPr>
              <w:t>Bazuar në konsultimet dhe komunikimet me aktorë të ndryshëm.</w:t>
            </w:r>
          </w:p>
        </w:tc>
      </w:tr>
    </w:tbl>
    <w:p w14:paraId="0ED68347" w14:textId="77777777" w:rsidR="00DE5BB1" w:rsidRPr="00913E39" w:rsidRDefault="00DE5BB1" w:rsidP="00FC4C60">
      <w:pPr>
        <w:spacing w:after="0" w:line="240" w:lineRule="auto"/>
        <w:ind w:firstLine="284"/>
        <w:jc w:val="both"/>
        <w:rPr>
          <w:rFonts w:ascii="Garamond" w:hAnsi="Garamond"/>
          <w:b/>
          <w:sz w:val="24"/>
        </w:rPr>
      </w:pPr>
      <w:bookmarkStart w:id="19" w:name="_Hlk106370468"/>
    </w:p>
    <w:p w14:paraId="1FC6B3C8" w14:textId="58AD63B2"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 xml:space="preserve">3. Objektivi i përgjithshëm dhe </w:t>
      </w:r>
      <w:r w:rsidR="00B07D47" w:rsidRPr="00913E39">
        <w:rPr>
          <w:rFonts w:ascii="Garamond" w:hAnsi="Garamond"/>
          <w:b/>
          <w:sz w:val="24"/>
        </w:rPr>
        <w:t>objektivat specifikë të programit operacional</w:t>
      </w:r>
      <w:bookmarkEnd w:id="19"/>
    </w:p>
    <w:p w14:paraId="24EBB30F" w14:textId="56C805F6"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 xml:space="preserve">Objektivi i </w:t>
      </w:r>
      <w:r w:rsidR="00B07D47" w:rsidRPr="00913E39">
        <w:rPr>
          <w:rFonts w:ascii="Garamond" w:hAnsi="Garamond"/>
          <w:i/>
          <w:sz w:val="24"/>
        </w:rPr>
        <w:t>përgjithshëm/ndikimi i programit operacional</w:t>
      </w:r>
      <w:r w:rsidR="00B07D47" w:rsidRPr="00913E39">
        <w:rPr>
          <w:rFonts w:ascii="Garamond" w:hAnsi="Garamond"/>
          <w:sz w:val="24"/>
        </w:rPr>
        <w:t xml:space="preserve"> </w:t>
      </w:r>
      <w:r w:rsidRPr="00913E39">
        <w:rPr>
          <w:rFonts w:ascii="Garamond" w:hAnsi="Garamond"/>
          <w:sz w:val="24"/>
        </w:rPr>
        <w:t>është të avancojë me zbatimin e Agjendës Digjitale të Shqipërisë në sektorë të përzgjedhur.</w:t>
      </w:r>
    </w:p>
    <w:p w14:paraId="01411128" w14:textId="1D66C08D"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DE5BB1" w:rsidRPr="00913E39">
        <w:rPr>
          <w:rFonts w:ascii="Garamond" w:hAnsi="Garamond"/>
          <w:i/>
          <w:sz w:val="24"/>
        </w:rPr>
        <w:t xml:space="preserve">fusha </w:t>
      </w:r>
      <w:r w:rsidRPr="00913E39">
        <w:rPr>
          <w:rFonts w:ascii="Garamond" w:hAnsi="Garamond"/>
          <w:i/>
          <w:sz w:val="24"/>
        </w:rPr>
        <w:t xml:space="preserve">e mbështetjes 1.1: Digjitalizimi shëndetësor </w:t>
      </w:r>
    </w:p>
    <w:p w14:paraId="383BE2AE" w14:textId="11FFCCF6"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i/>
          <w:sz w:val="24"/>
        </w:rPr>
        <w:lastRenderedPageBreak/>
        <w:t>Objektivi specifik (</w:t>
      </w:r>
      <w:r w:rsidR="00DE5BB1" w:rsidRPr="00913E39">
        <w:rPr>
          <w:rFonts w:ascii="Garamond" w:hAnsi="Garamond"/>
          <w:i/>
          <w:sz w:val="24"/>
        </w:rPr>
        <w:t>r</w:t>
      </w:r>
      <w:r w:rsidRPr="00913E39">
        <w:rPr>
          <w:rFonts w:ascii="Garamond" w:hAnsi="Garamond"/>
          <w:i/>
          <w:sz w:val="24"/>
        </w:rPr>
        <w:t>ezultati)</w:t>
      </w:r>
      <w:r w:rsidRPr="00913E39">
        <w:rPr>
          <w:rFonts w:ascii="Garamond" w:hAnsi="Garamond"/>
          <w:sz w:val="24"/>
        </w:rPr>
        <w:t xml:space="preserve"> i kësaj nënfushe të </w:t>
      </w:r>
      <w:r w:rsidR="00DE5BB1" w:rsidRPr="00913E39">
        <w:rPr>
          <w:rFonts w:ascii="Garamond" w:hAnsi="Garamond"/>
          <w:sz w:val="24"/>
        </w:rPr>
        <w:t xml:space="preserve">mbështetjes </w:t>
      </w:r>
      <w:r w:rsidRPr="00913E39">
        <w:rPr>
          <w:rFonts w:ascii="Garamond" w:hAnsi="Garamond"/>
          <w:sz w:val="24"/>
        </w:rPr>
        <w:t>është përmirësimi i ofrimit të kujdesit shëndetësor</w:t>
      </w:r>
      <w:r w:rsidRPr="00913E39">
        <w:rPr>
          <w:rFonts w:ascii="Garamond" w:hAnsi="Garamond"/>
          <w:sz w:val="24"/>
          <w:shd w:val="clear" w:color="auto" w:fill="FFFFFF"/>
        </w:rPr>
        <w:t xml:space="preserve"> duke krijuar një rrjet të ri kombëtar të integruar të shëndeti digjital dhe Sistemin e Informacionit të Radiologjisë. </w:t>
      </w:r>
    </w:p>
    <w:p w14:paraId="6C73FB0F" w14:textId="7BDF847C"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DE5BB1" w:rsidRPr="00913E39">
        <w:rPr>
          <w:rFonts w:ascii="Garamond" w:hAnsi="Garamond"/>
          <w:i/>
          <w:sz w:val="24"/>
        </w:rPr>
        <w:t xml:space="preserve">fusha </w:t>
      </w:r>
      <w:r w:rsidRPr="00913E39">
        <w:rPr>
          <w:rFonts w:ascii="Garamond" w:hAnsi="Garamond"/>
          <w:i/>
          <w:sz w:val="24"/>
        </w:rPr>
        <w:t xml:space="preserve">e </w:t>
      </w:r>
      <w:r w:rsidR="00DE5BB1" w:rsidRPr="00913E39">
        <w:rPr>
          <w:rFonts w:ascii="Garamond" w:hAnsi="Garamond"/>
          <w:i/>
          <w:sz w:val="24"/>
        </w:rPr>
        <w:t>m</w:t>
      </w:r>
      <w:r w:rsidRPr="00913E39">
        <w:rPr>
          <w:rFonts w:ascii="Garamond" w:hAnsi="Garamond"/>
          <w:i/>
          <w:sz w:val="24"/>
        </w:rPr>
        <w:t xml:space="preserve">bështetjes 1.2: </w:t>
      </w:r>
      <w:r w:rsidRPr="00913E39">
        <w:rPr>
          <w:rFonts w:ascii="Garamond" w:hAnsi="Garamond"/>
          <w:i/>
          <w:sz w:val="24"/>
          <w:shd w:val="clear" w:color="auto" w:fill="FFFFFF"/>
        </w:rPr>
        <w:t>Digjitalizimi arsimor</w:t>
      </w:r>
    </w:p>
    <w:p w14:paraId="38736F8D" w14:textId="524A0EB5"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Objektivi specifik (</w:t>
      </w:r>
      <w:r w:rsidR="00DE5BB1" w:rsidRPr="00913E39">
        <w:rPr>
          <w:rFonts w:ascii="Garamond" w:hAnsi="Garamond"/>
          <w:i/>
          <w:sz w:val="24"/>
        </w:rPr>
        <w:t>r</w:t>
      </w:r>
      <w:r w:rsidRPr="00913E39">
        <w:rPr>
          <w:rFonts w:ascii="Garamond" w:hAnsi="Garamond"/>
          <w:i/>
          <w:sz w:val="24"/>
        </w:rPr>
        <w:t>ezultati)</w:t>
      </w:r>
      <w:r w:rsidRPr="00913E39">
        <w:rPr>
          <w:rFonts w:ascii="Garamond" w:hAnsi="Garamond"/>
          <w:b/>
          <w:sz w:val="24"/>
        </w:rPr>
        <w:t xml:space="preserve"> </w:t>
      </w:r>
      <w:r w:rsidRPr="00913E39">
        <w:rPr>
          <w:rFonts w:ascii="Garamond" w:hAnsi="Garamond"/>
          <w:sz w:val="24"/>
        </w:rPr>
        <w:t xml:space="preserve">i kësaj nënfushe të </w:t>
      </w:r>
      <w:r w:rsidR="00DE5BB1" w:rsidRPr="00913E39">
        <w:rPr>
          <w:rFonts w:ascii="Garamond" w:hAnsi="Garamond"/>
          <w:sz w:val="24"/>
        </w:rPr>
        <w:t>mbështet</w:t>
      </w:r>
      <w:r w:rsidRPr="00913E39">
        <w:rPr>
          <w:rFonts w:ascii="Garamond" w:hAnsi="Garamond"/>
          <w:sz w:val="24"/>
        </w:rPr>
        <w:t>jes është përmirësimi i rezultateve të të nxënit të nxënësve në arsimin parauniversitar duke përdorur mjete dhe sisteme digjitale.</w:t>
      </w:r>
    </w:p>
    <w:p w14:paraId="3F8B4CDD" w14:textId="306C4C4F"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DE5BB1" w:rsidRPr="00913E39">
        <w:rPr>
          <w:rFonts w:ascii="Garamond" w:hAnsi="Garamond"/>
          <w:i/>
          <w:sz w:val="24"/>
        </w:rPr>
        <w:t xml:space="preserve">fusha </w:t>
      </w:r>
      <w:r w:rsidRPr="00913E39">
        <w:rPr>
          <w:rFonts w:ascii="Garamond" w:hAnsi="Garamond"/>
          <w:i/>
          <w:sz w:val="24"/>
        </w:rPr>
        <w:t xml:space="preserve">e </w:t>
      </w:r>
      <w:r w:rsidR="00DE5BB1" w:rsidRPr="00913E39">
        <w:rPr>
          <w:rFonts w:ascii="Garamond" w:hAnsi="Garamond"/>
          <w:i/>
          <w:sz w:val="24"/>
        </w:rPr>
        <w:t xml:space="preserve">mbështetjes </w:t>
      </w:r>
      <w:r w:rsidRPr="00913E39">
        <w:rPr>
          <w:rFonts w:ascii="Garamond" w:hAnsi="Garamond"/>
          <w:i/>
          <w:sz w:val="24"/>
        </w:rPr>
        <w:t>2.1: Tatimet</w:t>
      </w:r>
    </w:p>
    <w:p w14:paraId="5E108F8D" w14:textId="4A575C10"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Objektivat specifik</w:t>
      </w:r>
      <w:r w:rsidR="00DE5BB1" w:rsidRPr="00913E39">
        <w:rPr>
          <w:rFonts w:ascii="Garamond" w:hAnsi="Garamond"/>
          <w:i/>
          <w:sz w:val="24"/>
        </w:rPr>
        <w:t>ë</w:t>
      </w:r>
      <w:r w:rsidRPr="00913E39">
        <w:rPr>
          <w:rFonts w:ascii="Garamond" w:hAnsi="Garamond"/>
          <w:i/>
          <w:sz w:val="24"/>
        </w:rPr>
        <w:t xml:space="preserve"> (</w:t>
      </w:r>
      <w:r w:rsidR="00DE5BB1" w:rsidRPr="00913E39">
        <w:rPr>
          <w:rFonts w:ascii="Garamond" w:hAnsi="Garamond"/>
          <w:i/>
          <w:sz w:val="24"/>
        </w:rPr>
        <w:t>rezultati</w:t>
      </w:r>
      <w:r w:rsidRPr="00913E39">
        <w:rPr>
          <w:rFonts w:ascii="Garamond" w:hAnsi="Garamond"/>
          <w:i/>
          <w:sz w:val="24"/>
        </w:rPr>
        <w:t>)</w:t>
      </w:r>
      <w:r w:rsidRPr="00913E39">
        <w:rPr>
          <w:rFonts w:ascii="Garamond" w:hAnsi="Garamond"/>
          <w:sz w:val="24"/>
        </w:rPr>
        <w:t xml:space="preserve"> të kësaj nënfushe mbështetjeje janë arritja e ndërlidhjes dhe ndërveprimit të sistemeve të IT-së së DPT-së me sistemet e IT-së të BE-së. </w:t>
      </w:r>
    </w:p>
    <w:p w14:paraId="3C600930" w14:textId="1029D8BC"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DE5BB1" w:rsidRPr="00913E39">
        <w:rPr>
          <w:rFonts w:ascii="Garamond" w:hAnsi="Garamond"/>
          <w:i/>
          <w:sz w:val="24"/>
        </w:rPr>
        <w:t xml:space="preserve">fusha </w:t>
      </w:r>
      <w:r w:rsidRPr="00913E39">
        <w:rPr>
          <w:rFonts w:ascii="Garamond" w:hAnsi="Garamond"/>
          <w:i/>
          <w:sz w:val="24"/>
        </w:rPr>
        <w:t>e mbështetjes 2.2: Siguria kibernetike</w:t>
      </w:r>
    </w:p>
    <w:p w14:paraId="4B4D3EAB" w14:textId="56F693D0"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Objektivi specifik (</w:t>
      </w:r>
      <w:r w:rsidR="00DE5BB1" w:rsidRPr="00913E39">
        <w:rPr>
          <w:rFonts w:ascii="Garamond" w:hAnsi="Garamond"/>
          <w:i/>
          <w:sz w:val="24"/>
        </w:rPr>
        <w:t>rezultati</w:t>
      </w:r>
      <w:r w:rsidRPr="00913E39">
        <w:rPr>
          <w:rFonts w:ascii="Garamond" w:hAnsi="Garamond"/>
          <w:i/>
          <w:sz w:val="24"/>
        </w:rPr>
        <w:t>)</w:t>
      </w:r>
      <w:r w:rsidRPr="00913E39">
        <w:rPr>
          <w:rFonts w:ascii="Garamond" w:hAnsi="Garamond"/>
          <w:sz w:val="24"/>
        </w:rPr>
        <w:t xml:space="preserve"> i kësaj nënfushe të mbështetjes është rritja e kapaciteteve për të luftuar kërcënimet kibernetike kundër infrastrukturave kritike të informacionit.</w:t>
      </w:r>
    </w:p>
    <w:p w14:paraId="6D6A03DB" w14:textId="03F95B22"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DE5BB1" w:rsidRPr="00913E39">
        <w:rPr>
          <w:rFonts w:ascii="Garamond" w:hAnsi="Garamond"/>
          <w:i/>
          <w:sz w:val="24"/>
        </w:rPr>
        <w:t xml:space="preserve">fusha </w:t>
      </w:r>
      <w:r w:rsidRPr="00913E39">
        <w:rPr>
          <w:rFonts w:ascii="Garamond" w:hAnsi="Garamond"/>
          <w:i/>
          <w:sz w:val="24"/>
        </w:rPr>
        <w:t>e mbështetjes 2.3: Ndërlidhja digjitale</w:t>
      </w:r>
    </w:p>
    <w:p w14:paraId="1722CB51" w14:textId="5E2112A7"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Objektivi specifik (</w:t>
      </w:r>
      <w:r w:rsidR="00DE5BB1" w:rsidRPr="00913E39">
        <w:rPr>
          <w:rFonts w:ascii="Garamond" w:hAnsi="Garamond"/>
          <w:i/>
          <w:sz w:val="24"/>
        </w:rPr>
        <w:t>rezultati</w:t>
      </w:r>
      <w:r w:rsidRPr="00913E39">
        <w:rPr>
          <w:rFonts w:ascii="Garamond" w:hAnsi="Garamond"/>
          <w:i/>
          <w:sz w:val="24"/>
        </w:rPr>
        <w:t>)</w:t>
      </w:r>
      <w:r w:rsidRPr="00913E39">
        <w:rPr>
          <w:rFonts w:ascii="Garamond" w:hAnsi="Garamond"/>
          <w:sz w:val="24"/>
        </w:rPr>
        <w:t xml:space="preserve"> specifik i kësaj nënfushe mbështetjeje është përmirësimi i lidhjalidhjes digjitale bazuar në VHCN me fibra optike dhe 5G.</w:t>
      </w:r>
    </w:p>
    <w:p w14:paraId="2CDEA57D" w14:textId="308C83B7" w:rsidR="00847F23" w:rsidRPr="00913E39" w:rsidRDefault="00847F23" w:rsidP="00FC4C60">
      <w:pPr>
        <w:spacing w:after="0" w:line="240" w:lineRule="auto"/>
        <w:ind w:firstLine="284"/>
        <w:jc w:val="both"/>
        <w:rPr>
          <w:rFonts w:ascii="Garamond" w:hAnsi="Garamond"/>
          <w:i/>
          <w:sz w:val="24"/>
        </w:rPr>
      </w:pPr>
      <w:bookmarkStart w:id="20" w:name="_Hlk106370474"/>
      <w:r w:rsidRPr="00913E39">
        <w:rPr>
          <w:rFonts w:ascii="Garamond" w:hAnsi="Garamond"/>
          <w:i/>
          <w:sz w:val="24"/>
        </w:rPr>
        <w:t>3.1</w:t>
      </w:r>
      <w:r w:rsidR="007D29FF" w:rsidRPr="00913E39">
        <w:rPr>
          <w:rFonts w:ascii="Garamond" w:hAnsi="Garamond"/>
          <w:i/>
          <w:sz w:val="24"/>
        </w:rPr>
        <w:t xml:space="preserve"> </w:t>
      </w:r>
      <w:r w:rsidRPr="00913E39">
        <w:rPr>
          <w:rFonts w:ascii="Garamond" w:hAnsi="Garamond"/>
          <w:i/>
          <w:sz w:val="24"/>
        </w:rPr>
        <w:t>Koherenca me Kuadrin e Programimit IPA III dhe me instrumentet specifike të politikave të procesit të zgjerimit</w:t>
      </w:r>
    </w:p>
    <w:p w14:paraId="747F75B0" w14:textId="68C78BC4"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w:t>
      </w:r>
      <w:r w:rsidR="00DE5BB1" w:rsidRPr="00913E39">
        <w:rPr>
          <w:rFonts w:ascii="Garamond" w:hAnsi="Garamond"/>
          <w:i/>
          <w:sz w:val="24"/>
        </w:rPr>
        <w:t>nfu</w:t>
      </w:r>
      <w:r w:rsidRPr="00913E39">
        <w:rPr>
          <w:rFonts w:ascii="Garamond" w:hAnsi="Garamond"/>
          <w:i/>
          <w:sz w:val="24"/>
        </w:rPr>
        <w:t>sha e mbështetjes 1.1: Digjitalizimi shëndetësor</w:t>
      </w:r>
    </w:p>
    <w:p w14:paraId="58D2D380" w14:textId="6439AEF4" w:rsidR="00847F23" w:rsidRPr="00913E39" w:rsidRDefault="00847F23" w:rsidP="00FC4C60">
      <w:pPr>
        <w:spacing w:after="0" w:line="240" w:lineRule="auto"/>
        <w:ind w:firstLine="284"/>
        <w:jc w:val="both"/>
        <w:rPr>
          <w:rFonts w:ascii="Garamond" w:hAnsi="Garamond"/>
          <w:sz w:val="24"/>
        </w:rPr>
      </w:pPr>
      <w:bookmarkStart w:id="21" w:name="_Hlk106370483"/>
      <w:bookmarkEnd w:id="20"/>
      <w:r w:rsidRPr="00913E39">
        <w:rPr>
          <w:rFonts w:ascii="Garamond" w:hAnsi="Garamond"/>
          <w:b/>
          <w:sz w:val="24"/>
        </w:rPr>
        <w:t>Kuadri i Programimit</w:t>
      </w:r>
      <w:r w:rsidRPr="00913E39">
        <w:rPr>
          <w:rFonts w:ascii="Garamond" w:hAnsi="Garamond"/>
          <w:sz w:val="24"/>
        </w:rPr>
        <w:t xml:space="preserve"> IPA III përshkruan objektivat kryesor</w:t>
      </w:r>
      <w:r w:rsidR="004C3D2D" w:rsidRPr="00913E39">
        <w:rPr>
          <w:rFonts w:ascii="Garamond" w:hAnsi="Garamond"/>
          <w:sz w:val="24"/>
        </w:rPr>
        <w:t>ë</w:t>
      </w:r>
      <w:r w:rsidRPr="00913E39">
        <w:rPr>
          <w:rFonts w:ascii="Garamond" w:hAnsi="Garamond"/>
          <w:sz w:val="24"/>
        </w:rPr>
        <w:t xml:space="preserve"> të financimit të BE-së nën fushën 3 (Agjenda e </w:t>
      </w:r>
      <w:r w:rsidR="00DE5BB1" w:rsidRPr="00913E39">
        <w:rPr>
          <w:rFonts w:ascii="Garamond" w:hAnsi="Garamond"/>
          <w:sz w:val="24"/>
        </w:rPr>
        <w:t xml:space="preserve">Gjelbër </w:t>
      </w:r>
      <w:r w:rsidRPr="00913E39">
        <w:rPr>
          <w:rFonts w:ascii="Garamond" w:hAnsi="Garamond"/>
          <w:sz w:val="24"/>
        </w:rPr>
        <w:t xml:space="preserve">dhe Lidhja e Qëndrueshme). Sa i përket shëndetit, Kuadri i Programimit të IPA III thekson që: sistemet e forta shëndetësore janë të një rëndësie vendimtare për sigurinë e shoqërisë në tërësi. IPA III mund të kontribuojë në forcimin e qëndrueshmërisë së sistemeve shëndetësore të përfituesit të IPA III. IPA III gjithashtu do të mbështesë, aty ku është e përshtatshme, përafrimin dhe zbatimin e </w:t>
      </w:r>
      <w:r w:rsidRPr="00913E39">
        <w:rPr>
          <w:rFonts w:ascii="Garamond" w:hAnsi="Garamond"/>
          <w:i/>
          <w:sz w:val="24"/>
        </w:rPr>
        <w:t>acquis</w:t>
      </w:r>
      <w:r w:rsidRPr="00913E39">
        <w:rPr>
          <w:rFonts w:ascii="Garamond" w:hAnsi="Garamond"/>
          <w:sz w:val="24"/>
        </w:rPr>
        <w:t xml:space="preserve"> të BE-së në fushën e shëndetit publik, duke përfshirë sigurinë e shëndetit. Ai gjithashtu duhet të kontribuojë në reformat e sistemeve shëndetësore në lidhje me rritjen e mbulimit dhe standardeve të kujdesit të ofruar për popullatën në tërësi, duke i kushtuar vëmendje të moshuarve dhe njerëzve që i përkasin grupeve vulnerabël. Përveç kësaj, duke marrë parasysh mësimet e nxjerra nga trajtimi i pandemisë COVID-19, IPA III do të mbështesë përfituesit në forcimin e gatishmërisë dhe rezistencës së sistemeve të tyre shëndetësore publike ndaj kërcënimeve shëndetësore ndërshtetërore.</w:t>
      </w:r>
    </w:p>
    <w:p w14:paraId="2B08CB5D" w14:textId="66415CB3"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Plani Ekonomik dhe i Investimeve të Ballkanit Perëndimor (PEI) dhe Agjenda e gjelbër</w:t>
      </w:r>
      <w:r w:rsidRPr="00913E39">
        <w:rPr>
          <w:rFonts w:ascii="Garamond" w:hAnsi="Garamond"/>
          <w:sz w:val="24"/>
        </w:rPr>
        <w:t xml:space="preserve"> thekson se forcimi i ndërlidhjes digjitale dhe transformimi digjital i bizneseve dhe shërbimeve publike mund të përdoret për inovacione që krijojnë pasuri për shoqëritë dhe bizneset. Sa i përket shëndeti</w:t>
      </w:r>
      <w:r w:rsidR="00AA23F3" w:rsidRPr="00913E39">
        <w:rPr>
          <w:rFonts w:ascii="Garamond" w:hAnsi="Garamond"/>
          <w:sz w:val="24"/>
        </w:rPr>
        <w:t>t</w:t>
      </w:r>
      <w:r w:rsidRPr="00913E39">
        <w:rPr>
          <w:rFonts w:ascii="Garamond" w:hAnsi="Garamond"/>
          <w:sz w:val="24"/>
        </w:rPr>
        <w:t xml:space="preserve"> digjital, PEI thekson se transformimi digjital i shërbimeve publike (me fokus të veçantë në </w:t>
      </w:r>
      <w:bookmarkStart w:id="22" w:name="_Hlk188410055"/>
      <w:r w:rsidRPr="00913E39">
        <w:rPr>
          <w:rFonts w:ascii="Garamond" w:hAnsi="Garamond"/>
          <w:i/>
          <w:sz w:val="24"/>
        </w:rPr>
        <w:t>e-governmente-government, e-prokurimi</w:t>
      </w:r>
      <w:r w:rsidRPr="00913E39">
        <w:rPr>
          <w:rFonts w:ascii="Garamond" w:hAnsi="Garamond"/>
          <w:sz w:val="24"/>
        </w:rPr>
        <w:t xml:space="preserve"> dhe shëndeti digjital</w:t>
      </w:r>
      <w:bookmarkEnd w:id="22"/>
      <w:r w:rsidRPr="00913E39">
        <w:rPr>
          <w:rFonts w:ascii="Garamond" w:hAnsi="Garamond"/>
          <w:sz w:val="24"/>
        </w:rPr>
        <w:t xml:space="preserve"> në koordinim me fushat e tjera) ka një ndikim të madh në rritjen, produktivitetin, inovacionin, shërbimet, luftën kundër mashtrimit dhe korrupsionit dhe në fund të fundit mbi jetën e njerëzve.</w:t>
      </w:r>
    </w:p>
    <w:p w14:paraId="0B6E7DEA" w14:textId="2805CC92" w:rsidR="00847F23" w:rsidRPr="00913E39" w:rsidRDefault="00847F23" w:rsidP="00FC4C60">
      <w:pPr>
        <w:spacing w:after="0" w:line="240" w:lineRule="auto"/>
        <w:ind w:firstLine="284"/>
        <w:jc w:val="both"/>
        <w:rPr>
          <w:rFonts w:ascii="Garamond" w:hAnsi="Garamond"/>
          <w:sz w:val="24"/>
        </w:rPr>
      </w:pPr>
      <w:bookmarkStart w:id="23" w:name="_Hlk136929216"/>
      <w:r w:rsidRPr="00913E39">
        <w:rPr>
          <w:rFonts w:ascii="Garamond" w:hAnsi="Garamond"/>
          <w:sz w:val="24"/>
        </w:rPr>
        <w:t xml:space="preserve">Ndërhyrja e propozuar në kuadër të PO-së pasqyron konkluzionet dhe rekomandimet e </w:t>
      </w:r>
      <w:r w:rsidRPr="00913E39">
        <w:rPr>
          <w:rFonts w:ascii="Garamond" w:hAnsi="Garamond"/>
          <w:b/>
          <w:sz w:val="24"/>
        </w:rPr>
        <w:t>Raport Progresit të KE 2022 për Shqipërinë</w:t>
      </w:r>
      <w:r w:rsidRPr="00913E39">
        <w:rPr>
          <w:rFonts w:ascii="Garamond" w:hAnsi="Garamond"/>
          <w:sz w:val="24"/>
        </w:rPr>
        <w:t xml:space="preserve">. </w:t>
      </w:r>
      <w:bookmarkEnd w:id="23"/>
      <w:r w:rsidRPr="00913E39">
        <w:rPr>
          <w:rFonts w:ascii="Garamond" w:hAnsi="Garamond"/>
          <w:sz w:val="24"/>
        </w:rPr>
        <w:t>Ministria e Shëndetësisë dhe Mbrojtjes Sociale (MSHMS) dhe Agjencia Kombëtare e Shoqërisë së Informacionit (AKSHI) janë përgjegjëse për shëndeti digjital. MSHMS</w:t>
      </w:r>
      <w:r w:rsidR="00C35D67" w:rsidRPr="00913E39">
        <w:rPr>
          <w:rFonts w:ascii="Garamond" w:hAnsi="Garamond"/>
          <w:sz w:val="24"/>
        </w:rPr>
        <w:t>-ja</w:t>
      </w:r>
      <w:r w:rsidRPr="00913E39">
        <w:rPr>
          <w:rFonts w:ascii="Garamond" w:hAnsi="Garamond"/>
          <w:sz w:val="24"/>
        </w:rPr>
        <w:t xml:space="preserve"> zbaton dhe operon një sistem elektronik për mbledhjen dhe raportimin e informacionit shëndetësor të të dhënave mjekësore bazuar në Treguesit Kryesor</w:t>
      </w:r>
      <w:r w:rsidR="00787C0C" w:rsidRPr="00913E39">
        <w:rPr>
          <w:rFonts w:ascii="Garamond" w:hAnsi="Garamond"/>
          <w:sz w:val="24"/>
        </w:rPr>
        <w:t>ë</w:t>
      </w:r>
      <w:r w:rsidRPr="00913E39">
        <w:rPr>
          <w:rFonts w:ascii="Garamond" w:hAnsi="Garamond"/>
          <w:sz w:val="24"/>
        </w:rPr>
        <w:t xml:space="preserve"> Evropian</w:t>
      </w:r>
      <w:r w:rsidR="00787C0C" w:rsidRPr="00913E39">
        <w:rPr>
          <w:rFonts w:ascii="Garamond" w:hAnsi="Garamond"/>
          <w:sz w:val="24"/>
        </w:rPr>
        <w:t>ë</w:t>
      </w:r>
      <w:r w:rsidRPr="00913E39">
        <w:rPr>
          <w:rFonts w:ascii="Garamond" w:hAnsi="Garamond"/>
          <w:sz w:val="24"/>
        </w:rPr>
        <w:t xml:space="preserve"> të Shëndetit (ECHI), por sistemi ende nuk është funksional. Një regjistër elektronik (i disponueshëm në portalin </w:t>
      </w:r>
      <w:r w:rsidRPr="00913E39">
        <w:rPr>
          <w:rFonts w:ascii="Garamond" w:hAnsi="Garamond"/>
          <w:i/>
          <w:sz w:val="24"/>
        </w:rPr>
        <w:t>e-Albania</w:t>
      </w:r>
      <w:r w:rsidRPr="00913E39">
        <w:rPr>
          <w:rFonts w:ascii="Garamond" w:hAnsi="Garamond"/>
          <w:sz w:val="24"/>
        </w:rPr>
        <w:t xml:space="preserve">), i përmirësuar me më shumë funksione </w:t>
      </w:r>
      <w:r w:rsidR="00DE5BB1" w:rsidRPr="00913E39">
        <w:rPr>
          <w:rFonts w:ascii="Garamond" w:hAnsi="Garamond"/>
          <w:sz w:val="24"/>
        </w:rPr>
        <w:t>m</w:t>
      </w:r>
      <w:r w:rsidRPr="00913E39">
        <w:rPr>
          <w:rFonts w:ascii="Garamond" w:hAnsi="Garamond"/>
          <w:sz w:val="24"/>
        </w:rPr>
        <w:t>ë 2021, përdoret për identifikimin e personave të siguruar dhe gjenerimin e kartave të shëndetit. Mundëson regjistrimin e pacientëve në qendrat shëndetësore dhe përcakton kategorinë e përfitimit të tyre bazuar në bashkërendimin e tij me bazat e të dhënave të tjera institucionale. Në katër spitale rajonale po zbatohet një sistem i ri i menaxhimit të informacionit spitalor që do të përfshijë një bazë të dhënash elektronike të të dhënave mjekësore të pacientëve. Pavarësisht progresit në administrimin statistikor, infrastruktura/pajisjet teknologjike në shëndetësi dhe burimet njerëzore mbeten të pamjaftueshme veçanërisht në zonat rurale</w:t>
      </w:r>
      <w:r w:rsidR="00850FC7" w:rsidRPr="00913E39">
        <w:rPr>
          <w:rFonts w:ascii="Garamond" w:hAnsi="Garamond"/>
          <w:sz w:val="24"/>
        </w:rPr>
        <w:t>”</w:t>
      </w:r>
      <w:r w:rsidRPr="00913E39">
        <w:rPr>
          <w:rFonts w:ascii="Garamond" w:hAnsi="Garamond"/>
          <w:sz w:val="24"/>
        </w:rPr>
        <w:t>.</w:t>
      </w:r>
    </w:p>
    <w:p w14:paraId="28E1264B" w14:textId="30C9FCB9"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Programi i Reformës Ekonomike (PRE) për 2023</w:t>
      </w:r>
      <w:r w:rsidR="00DE5BB1" w:rsidRPr="00913E39">
        <w:rPr>
          <w:rFonts w:ascii="Garamond" w:hAnsi="Garamond"/>
          <w:b/>
          <w:sz w:val="24"/>
        </w:rPr>
        <w:t>–</w:t>
      </w:r>
      <w:r w:rsidRPr="00913E39">
        <w:rPr>
          <w:rFonts w:ascii="Garamond" w:hAnsi="Garamond"/>
          <w:b/>
          <w:sz w:val="24"/>
        </w:rPr>
        <w:t>2025</w:t>
      </w:r>
      <w:r w:rsidRPr="00913E39">
        <w:rPr>
          <w:rFonts w:ascii="Garamond" w:hAnsi="Garamond"/>
          <w:sz w:val="24"/>
        </w:rPr>
        <w:t xml:space="preserve"> thekson rëndësinë e digjitalizimit dhe modernizimit të sistemeve shëndetësore që qytetarët do të përfitojnë nga ekzaminimet </w:t>
      </w:r>
      <w:r w:rsidRPr="00913E39">
        <w:rPr>
          <w:rFonts w:ascii="Garamond" w:hAnsi="Garamond"/>
          <w:sz w:val="24"/>
        </w:rPr>
        <w:lastRenderedPageBreak/>
        <w:t>laboratorike, rritja e kapaciteteve diagnostikuese. PRE për shërbimet shëndeti digjital përmend se infrastruktura digjitale duhet të koordinohet për të përfituar nga sinergjitë për faktin se mungesa e bashkëpunimit ndërmjet aktorëve të ndryshëm të përfshirë në këtë proces është një nga vështirësitë e identifikuara në këtë sektor.</w:t>
      </w:r>
    </w:p>
    <w:p w14:paraId="6086CC22" w14:textId="50724768"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Plani Kombëtar për Integrimin Evropian (NPEI) 2023</w:t>
      </w:r>
      <w:r w:rsidR="00DE5BB1" w:rsidRPr="00913E39">
        <w:rPr>
          <w:rFonts w:ascii="Garamond" w:hAnsi="Garamond"/>
          <w:b/>
          <w:sz w:val="24"/>
        </w:rPr>
        <w:t>–</w:t>
      </w:r>
      <w:r w:rsidRPr="00913E39">
        <w:rPr>
          <w:rFonts w:ascii="Garamond" w:hAnsi="Garamond"/>
          <w:b/>
          <w:sz w:val="24"/>
        </w:rPr>
        <w:t xml:space="preserve">2025 </w:t>
      </w:r>
      <w:r w:rsidRPr="00913E39">
        <w:rPr>
          <w:rFonts w:ascii="Garamond" w:hAnsi="Garamond"/>
          <w:sz w:val="24"/>
        </w:rPr>
        <w:t>thekson se për</w:t>
      </w:r>
      <w:r w:rsidR="00DE5BB1" w:rsidRPr="00913E39">
        <w:rPr>
          <w:rFonts w:ascii="Garamond" w:hAnsi="Garamond"/>
          <w:sz w:val="24"/>
        </w:rPr>
        <w:t xml:space="preserve"> </w:t>
      </w:r>
      <w:r w:rsidRPr="00913E39">
        <w:rPr>
          <w:rFonts w:ascii="Garamond" w:hAnsi="Garamond"/>
          <w:sz w:val="24"/>
        </w:rPr>
        <w:t>sa i përket mirëqenies së krijuar, një nga gjashtë prioritetet e qeverisë shqiptare për arritjen e zhvillimit të qëndrueshëm ekonomik dhe social është transformimi i mënyrës së ofrimit të shërbimeve në Shqipëri nëpërmjet një modeli me në qendër qytetarin. Kjo është parashikuar në Strategjinë Ndërsektoriale të Reformës së Administratës Publike (SNSRAP) 2018</w:t>
      </w:r>
      <w:r w:rsidR="00DE5BB1" w:rsidRPr="00913E39">
        <w:rPr>
          <w:rFonts w:ascii="Garamond" w:hAnsi="Garamond"/>
          <w:sz w:val="24"/>
        </w:rPr>
        <w:t>–</w:t>
      </w:r>
      <w:r w:rsidRPr="00913E39">
        <w:rPr>
          <w:rFonts w:ascii="Garamond" w:hAnsi="Garamond"/>
          <w:sz w:val="24"/>
        </w:rPr>
        <w:t xml:space="preserve">2022, e cila përbën kuadrin e përgjithshëm për modernizimin dhe transformimin e institucioneve dhe praktikave të administratës publike në vend, me vizionin </w:t>
      </w:r>
      <w:r w:rsidR="00850FC7" w:rsidRPr="00913E39">
        <w:rPr>
          <w:rFonts w:ascii="Garamond" w:hAnsi="Garamond"/>
          <w:sz w:val="24"/>
        </w:rPr>
        <w:t>“</w:t>
      </w:r>
      <w:r w:rsidRPr="00913E39">
        <w:rPr>
          <w:rFonts w:ascii="Garamond" w:hAnsi="Garamond"/>
          <w:sz w:val="24"/>
        </w:rPr>
        <w:t>për shërbime më cilësi të lartë për qytetarët dhe bizneset në mënyrë transparente, efektive, dhe efikase, nëpërmjet përdorimit të teknologjive moderne dhe shërbimeve të reja dhe në përputhje me kërkesat e integrimit Evropian, nëpërmjet nëpunësve civilë të paanshëm, profesionistë dhe të përgjegjshëm, pjesë e strukturave efi</w:t>
      </w:r>
      <w:r w:rsidR="00DE5BB1" w:rsidRPr="00913E39">
        <w:rPr>
          <w:rFonts w:ascii="Garamond" w:hAnsi="Garamond"/>
          <w:sz w:val="24"/>
        </w:rPr>
        <w:t>ci</w:t>
      </w:r>
      <w:r w:rsidRPr="00913E39">
        <w:rPr>
          <w:rFonts w:ascii="Garamond" w:hAnsi="Garamond"/>
          <w:sz w:val="24"/>
        </w:rPr>
        <w:t>ente.</w:t>
      </w:r>
      <w:r w:rsidR="00850FC7" w:rsidRPr="00913E39">
        <w:rPr>
          <w:rFonts w:ascii="Garamond" w:hAnsi="Garamond"/>
          <w:sz w:val="24"/>
        </w:rPr>
        <w:t>”</w:t>
      </w:r>
      <w:r w:rsidRPr="00913E39">
        <w:rPr>
          <w:rFonts w:ascii="Garamond" w:hAnsi="Garamond"/>
          <w:sz w:val="24"/>
        </w:rPr>
        <w:t xml:space="preserve"> PKIE</w:t>
      </w:r>
      <w:r w:rsidRPr="00913E39">
        <w:rPr>
          <w:rFonts w:ascii="Garamond" w:hAnsi="Garamond"/>
          <w:b/>
          <w:sz w:val="24"/>
        </w:rPr>
        <w:t xml:space="preserve"> </w:t>
      </w:r>
      <w:r w:rsidRPr="00913E39">
        <w:rPr>
          <w:rFonts w:ascii="Garamond" w:hAnsi="Garamond"/>
          <w:sz w:val="24"/>
        </w:rPr>
        <w:t>e</w:t>
      </w:r>
      <w:r w:rsidRPr="00913E39">
        <w:rPr>
          <w:rFonts w:ascii="Garamond" w:hAnsi="Garamond"/>
          <w:b/>
          <w:sz w:val="24"/>
        </w:rPr>
        <w:t xml:space="preserve"> </w:t>
      </w:r>
      <w:r w:rsidRPr="00913E39">
        <w:rPr>
          <w:rFonts w:ascii="Garamond" w:hAnsi="Garamond"/>
          <w:sz w:val="24"/>
        </w:rPr>
        <w:t xml:space="preserve">përshkruan prioritetin e mëposhtëm në lidhje me PO, siç thuhet në </w:t>
      </w:r>
      <w:r w:rsidR="00DE5BB1" w:rsidRPr="00913E39">
        <w:rPr>
          <w:rFonts w:ascii="Garamond" w:hAnsi="Garamond"/>
          <w:sz w:val="24"/>
        </w:rPr>
        <w:t>k</w:t>
      </w:r>
      <w:r w:rsidRPr="00913E39">
        <w:rPr>
          <w:rFonts w:ascii="Garamond" w:hAnsi="Garamond"/>
          <w:sz w:val="24"/>
        </w:rPr>
        <w:t xml:space="preserve">apitullin 28, në lidhje me Mbrojtjen e Konsumatorit dhe Shëndetit: Modeli </w:t>
      </w:r>
      <w:r w:rsidR="00850FC7" w:rsidRPr="00913E39">
        <w:rPr>
          <w:rFonts w:ascii="Garamond" w:hAnsi="Garamond"/>
          <w:i/>
          <w:sz w:val="24"/>
        </w:rPr>
        <w:t>“</w:t>
      </w:r>
      <w:r w:rsidRPr="00913E39">
        <w:rPr>
          <w:rFonts w:ascii="Garamond" w:hAnsi="Garamond"/>
          <w:i/>
          <w:sz w:val="24"/>
        </w:rPr>
        <w:t>One Health</w:t>
      </w:r>
      <w:r w:rsidR="00850FC7" w:rsidRPr="00913E39">
        <w:rPr>
          <w:rFonts w:ascii="Garamond" w:hAnsi="Garamond"/>
          <w:i/>
          <w:sz w:val="24"/>
        </w:rPr>
        <w:t>”</w:t>
      </w:r>
      <w:r w:rsidRPr="00913E39">
        <w:rPr>
          <w:rFonts w:ascii="Garamond" w:hAnsi="Garamond"/>
          <w:sz w:val="24"/>
        </w:rPr>
        <w:t xml:space="preserve"> si dhe gatishmëria shëndetësore për të gjitha rreziqet dhe më shumë që duhet bërë në përgjithësi për të forcuar kuadrin e politikave dhe për të siguruar që të gjithë në Shqipëri të kenë mbulim cilësor të kujdesit shëndetësor.</w:t>
      </w:r>
    </w:p>
    <w:p w14:paraId="2E5219BB" w14:textId="08563701"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DE5BB1" w:rsidRPr="00913E39">
        <w:rPr>
          <w:rFonts w:ascii="Garamond" w:hAnsi="Garamond"/>
          <w:i/>
          <w:sz w:val="24"/>
        </w:rPr>
        <w:t>f</w:t>
      </w:r>
      <w:r w:rsidRPr="00913E39">
        <w:rPr>
          <w:rFonts w:ascii="Garamond" w:hAnsi="Garamond"/>
          <w:i/>
          <w:sz w:val="24"/>
        </w:rPr>
        <w:t>usha e mbështetjes 1.2: Digjitalizimi</w:t>
      </w:r>
      <w:r w:rsidR="00DE5BB1" w:rsidRPr="00913E39">
        <w:rPr>
          <w:rFonts w:ascii="Garamond" w:hAnsi="Garamond"/>
          <w:i/>
          <w:sz w:val="24"/>
        </w:rPr>
        <w:t xml:space="preserve"> </w:t>
      </w:r>
      <w:r w:rsidRPr="00913E39">
        <w:rPr>
          <w:rFonts w:ascii="Garamond" w:hAnsi="Garamond"/>
          <w:i/>
          <w:sz w:val="24"/>
        </w:rPr>
        <w:t>arsimor</w:t>
      </w:r>
    </w:p>
    <w:p w14:paraId="1EB1EB8F" w14:textId="746017B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Sipas </w:t>
      </w:r>
      <w:r w:rsidRPr="00913E39">
        <w:rPr>
          <w:rFonts w:ascii="Garamond" w:hAnsi="Garamond"/>
          <w:b/>
          <w:sz w:val="24"/>
        </w:rPr>
        <w:t>Kuadrit të Programimit IPA III</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Arsimi gjeneron përfitime të prekshme shumëdimensionale për shoqërinë nëpërmjet të mësuarit dhe përvetësimit të aftësive, ndërsa luan një rol thelbësor në zhvillimin personal, social dhe ekonomik. Politikat e zhvillimit njerëzor duhet të përmirësohen nëpërmjet modernizimit të politikave të arsimit dhe punësimit, si dhe përmirësimit të aftësive. Metodologjia dhe cilësia e arsimit duhet të përmirësohen. Kjo mund të mbështetet nga përdorimi i strategjive digjitale që mbështesin të gjithë qytetarët për të përfituar sa më mirë nga mundësitë e krijuara nga teknologjitë e reja dhe digjitalizimi i ekonomisë. Zhvillime të tilla mund të mbështeten nëpërmjet qasjeve të reja ndaj inovacionit në zhvillimin e aftësive si pjesë e reformave sistematike të përfituesve të IPA III</w:t>
      </w:r>
      <w:r w:rsidR="00850FC7" w:rsidRPr="00913E39">
        <w:rPr>
          <w:rFonts w:ascii="Garamond" w:hAnsi="Garamond"/>
          <w:sz w:val="24"/>
        </w:rPr>
        <w:t>”</w:t>
      </w:r>
      <w:r w:rsidRPr="00913E39">
        <w:rPr>
          <w:rFonts w:ascii="Garamond" w:hAnsi="Garamond"/>
          <w:sz w:val="24"/>
        </w:rPr>
        <w:t>.</w:t>
      </w:r>
    </w:p>
    <w:p w14:paraId="2AA69183"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Plani Ekonomik dhe i Investimeve të Ballkanit Perëndimor (PEI) dhe Agjenda e gjelbër</w:t>
      </w:r>
      <w:r w:rsidRPr="00913E39">
        <w:rPr>
          <w:rFonts w:ascii="Garamond" w:hAnsi="Garamond"/>
          <w:sz w:val="24"/>
        </w:rPr>
        <w:t xml:space="preserve"> i referohen Agjendës për Inovacion, Kërkim shkencor, Arsim, Kulturë, Rini dhe Sport për Ballkanin Perëndimor, e cila përshkruan një strategji gjithëpërfshirëse dhe afatgjatë për bashkëpunimin me Ballkanin Perëndimor në këto fusha.</w:t>
      </w:r>
    </w:p>
    <w:p w14:paraId="532909C8" w14:textId="0B25788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Ndërhyrja e propozuar në kuadër të PO pasqyron konkluzionet dhe rekomandimet e </w:t>
      </w:r>
      <w:r w:rsidRPr="00913E39">
        <w:rPr>
          <w:rFonts w:ascii="Garamond" w:hAnsi="Garamond"/>
          <w:b/>
          <w:sz w:val="24"/>
        </w:rPr>
        <w:t>Raport Progresit të KE-së 2022 për Shqipërinë.</w:t>
      </w:r>
      <w:r w:rsidRPr="00913E39">
        <w:rPr>
          <w:rFonts w:ascii="Garamond" w:hAnsi="Garamond"/>
          <w:sz w:val="24"/>
        </w:rPr>
        <w:t xml:space="preserve"> </w:t>
      </w:r>
      <w:r w:rsidR="00850FC7" w:rsidRPr="00913E39">
        <w:rPr>
          <w:rFonts w:ascii="Garamond" w:eastAsia="Times New Roman" w:hAnsi="Garamond" w:cs="Times New Roman"/>
          <w:sz w:val="24"/>
          <w:szCs w:val="24"/>
        </w:rPr>
        <w:t>“</w:t>
      </w:r>
      <w:r w:rsidRPr="00913E39">
        <w:rPr>
          <w:rFonts w:ascii="Garamond" w:hAnsi="Garamond"/>
          <w:sz w:val="24"/>
        </w:rPr>
        <w:t>Është bërë njëfarë progresi me miratimin e Strategjisë Kombëtare për Arsimin 2021</w:t>
      </w:r>
      <w:r w:rsidR="00DE5BB1" w:rsidRPr="00913E39">
        <w:rPr>
          <w:rFonts w:ascii="Garamond" w:hAnsi="Garamond"/>
          <w:sz w:val="24"/>
        </w:rPr>
        <w:t>–</w:t>
      </w:r>
      <w:r w:rsidRPr="00913E39">
        <w:rPr>
          <w:rFonts w:ascii="Garamond" w:hAnsi="Garamond"/>
          <w:sz w:val="24"/>
        </w:rPr>
        <w:t>2026 dhe planin e veprimit përkatës; forcimin e Agjencisë së re Kombëtare për Punësimin dhe Aftësitë; ristrukturimin e vazhdueshëm të Agjencisë Kombëtare të Arsimit, Formimit Profesional dhe Kualifikimeve; dhe zbatimin e Kornizës Shqiptare të Kualifikimeve dhe Ligjit për Arsimin dhe Formimin Profesional. Kërkohen përpjekje të mëtejshme për të forcuar cilësinë dhe gjithëpërfshirjen e tyre në arsim, me fokus të veçantë në zbatimin e duhur të qasjes së bazuar në njohuri dhe digjitalizimin. Burimet e duhura duhet t</w:t>
      </w:r>
      <w:r w:rsidR="005222A5" w:rsidRPr="00913E39">
        <w:rPr>
          <w:rFonts w:ascii="Garamond" w:hAnsi="Garamond"/>
          <w:sz w:val="24"/>
        </w:rPr>
        <w:t>’</w:t>
      </w:r>
      <w:r w:rsidRPr="00913E39">
        <w:rPr>
          <w:rFonts w:ascii="Garamond" w:hAnsi="Garamond"/>
          <w:sz w:val="24"/>
        </w:rPr>
        <w:t>i alokohen sigurimit të zbatimit të reformës së re të politikave. Nevojiten përpjekje shtesë për zbatimin e legjislacionit për Trashëgiminë kulturore dhe muzetë. Vitin e ardhshëm, Shqipëria duhet të: a) të sigurojë optimizimin e sistemit të AFP-së për të zhvilluar shërbimet dhe aftësimin në përputhje me nevojat e tregut të punës; b) të përmirësojë zhvillimin profesional dhe trajnimin e mësuesve dhe trajnuesve, me fokus të veçantë në aftësitë pedagogjike që lidhen me zbatimin e qasjes gjithëpërfshirëse të bazuar në njohuri dhe digjitalizim nga niveli parashkollor në atë universitar, duke përfshirë AFP-në; c) të miratojë Strategjinë Kombëtare për Rininë 2022</w:t>
      </w:r>
      <w:r w:rsidR="00DE5BB1" w:rsidRPr="00913E39">
        <w:rPr>
          <w:rFonts w:ascii="Garamond" w:hAnsi="Garamond"/>
          <w:sz w:val="24"/>
        </w:rPr>
        <w:t>–</w:t>
      </w:r>
      <w:r w:rsidRPr="00913E39">
        <w:rPr>
          <w:rFonts w:ascii="Garamond" w:hAnsi="Garamond"/>
          <w:sz w:val="24"/>
        </w:rPr>
        <w:t>2029.</w:t>
      </w:r>
      <w:r w:rsidR="00850FC7" w:rsidRPr="00913E39">
        <w:rPr>
          <w:rFonts w:ascii="Garamond" w:hAnsi="Garamond"/>
          <w:sz w:val="24"/>
        </w:rPr>
        <w:t>”</w:t>
      </w:r>
      <w:r w:rsidRPr="00913E39">
        <w:rPr>
          <w:rFonts w:ascii="Garamond" w:hAnsi="Garamond"/>
          <w:sz w:val="24"/>
        </w:rPr>
        <w:t xml:space="preserve"> </w:t>
      </w:r>
    </w:p>
    <w:p w14:paraId="68692A86" w14:textId="44CD1FE8"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Programi i Reformës Ekonomike 2023</w:t>
      </w:r>
      <w:r w:rsidR="00DE5BB1" w:rsidRPr="00913E39">
        <w:rPr>
          <w:rFonts w:ascii="Garamond" w:hAnsi="Garamond"/>
          <w:b/>
          <w:sz w:val="24"/>
        </w:rPr>
        <w:t>–</w:t>
      </w:r>
      <w:r w:rsidRPr="00913E39">
        <w:rPr>
          <w:rFonts w:ascii="Garamond" w:hAnsi="Garamond"/>
          <w:b/>
          <w:sz w:val="24"/>
        </w:rPr>
        <w:t>2025</w:t>
      </w:r>
      <w:r w:rsidRPr="00913E39">
        <w:rPr>
          <w:rFonts w:ascii="Garamond" w:hAnsi="Garamond"/>
          <w:sz w:val="24"/>
        </w:rPr>
        <w:t xml:space="preserve"> thekson se në përputhje me </w:t>
      </w:r>
      <w:r w:rsidR="00961102" w:rsidRPr="00913E39">
        <w:rPr>
          <w:rFonts w:ascii="Garamond" w:hAnsi="Garamond"/>
          <w:sz w:val="24"/>
        </w:rPr>
        <w:t xml:space="preserve">rekomandimin </w:t>
      </w:r>
      <w:r w:rsidRPr="00913E39">
        <w:rPr>
          <w:rFonts w:ascii="Garamond" w:hAnsi="Garamond"/>
          <w:sz w:val="24"/>
        </w:rPr>
        <w:t>e Këshillit Evropian për mësimin e kombinuar, si dhe bazuar në strategjinë kombëtare të arsimit 2021</w:t>
      </w:r>
      <w:r w:rsidR="00DE5BB1" w:rsidRPr="00913E39">
        <w:rPr>
          <w:rFonts w:ascii="Garamond" w:hAnsi="Garamond"/>
          <w:sz w:val="24"/>
        </w:rPr>
        <w:t>–</w:t>
      </w:r>
      <w:r w:rsidRPr="00913E39">
        <w:rPr>
          <w:rFonts w:ascii="Garamond" w:hAnsi="Garamond"/>
          <w:sz w:val="24"/>
        </w:rPr>
        <w:t xml:space="preserve">2026, parashikohet krijimi i infrastrukturës digjitale së përshtatshme për përdorimin e TIK-ut në shkolla dhe mirëmbajtja e tij, investimi për shtimin e pajisjeve. </w:t>
      </w:r>
    </w:p>
    <w:p w14:paraId="259153F6" w14:textId="2BCB0781"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NPEI 2023</w:t>
      </w:r>
      <w:r w:rsidR="00DE5BB1" w:rsidRPr="00913E39">
        <w:rPr>
          <w:rFonts w:ascii="Garamond" w:hAnsi="Garamond"/>
          <w:b/>
          <w:sz w:val="24"/>
        </w:rPr>
        <w:t>–</w:t>
      </w:r>
      <w:r w:rsidRPr="00913E39">
        <w:rPr>
          <w:rFonts w:ascii="Garamond" w:hAnsi="Garamond"/>
          <w:b/>
          <w:sz w:val="24"/>
        </w:rPr>
        <w:t xml:space="preserve">2025 </w:t>
      </w:r>
      <w:r w:rsidRPr="00913E39">
        <w:rPr>
          <w:rFonts w:ascii="Garamond" w:hAnsi="Garamond"/>
          <w:sz w:val="24"/>
        </w:rPr>
        <w:t>thekson se për</w:t>
      </w:r>
      <w:r w:rsidR="00DE5BB1" w:rsidRPr="00913E39">
        <w:rPr>
          <w:rFonts w:ascii="Garamond" w:hAnsi="Garamond"/>
          <w:sz w:val="24"/>
        </w:rPr>
        <w:t xml:space="preserve"> </w:t>
      </w:r>
      <w:r w:rsidRPr="00913E39">
        <w:rPr>
          <w:rFonts w:ascii="Garamond" w:hAnsi="Garamond"/>
          <w:sz w:val="24"/>
        </w:rPr>
        <w:t xml:space="preserve">sa i përket mirëqenies së krijuar, një nga gjashtë prioritetet e qeverisë shqiptare për arritjen e zhvillimit të qëndrueshëm ekonomik dhe social është transformimi </w:t>
      </w:r>
      <w:r w:rsidRPr="00913E39">
        <w:rPr>
          <w:rFonts w:ascii="Garamond" w:hAnsi="Garamond"/>
          <w:sz w:val="24"/>
        </w:rPr>
        <w:lastRenderedPageBreak/>
        <w:t>i mënyrës së ofrimit të shërbimeve në Shqipëri nëpërmjet një modeli me në qendër qytetarin. Kjo është parashikuar në Strategjinë Ndërsektoriale të Reformës së Administratës Publike (SNSRAP) 2018</w:t>
      </w:r>
      <w:r w:rsidR="00DE5BB1" w:rsidRPr="00913E39">
        <w:rPr>
          <w:rFonts w:ascii="Garamond" w:hAnsi="Garamond"/>
          <w:sz w:val="24"/>
        </w:rPr>
        <w:t>–</w:t>
      </w:r>
      <w:r w:rsidRPr="00913E39">
        <w:rPr>
          <w:rFonts w:ascii="Garamond" w:hAnsi="Garamond"/>
          <w:sz w:val="24"/>
        </w:rPr>
        <w:t xml:space="preserve">2022, e cila përbën kuadrin e përgjithshëm për modernizimin dhe transformimin e institucioneve dhe praktikave të administratës publike në vend, me vizionin </w:t>
      </w:r>
      <w:r w:rsidR="00850FC7" w:rsidRPr="00913E39">
        <w:rPr>
          <w:rFonts w:ascii="Garamond" w:hAnsi="Garamond"/>
          <w:sz w:val="24"/>
        </w:rPr>
        <w:t>“</w:t>
      </w:r>
      <w:r w:rsidRPr="00913E39">
        <w:rPr>
          <w:rFonts w:ascii="Garamond" w:hAnsi="Garamond"/>
          <w:sz w:val="24"/>
        </w:rPr>
        <w:t>për shërbime më cilësi të lartë për qytetarët dhe bizneset në mënyrë transparente, efektive, dhe efikase, nëpërmjet përdorimit të teknologjive moderne dhe shërbimeve të reja dhe në përputhje me kërkesat e integrimit Evropian, nëpërmjet nëpunësve civilë të paanshëm, profesionistë dhe të përgjegjshëm, pjesë e strukturave efic</w:t>
      </w:r>
      <w:r w:rsidR="00DE5BB1" w:rsidRPr="00913E39">
        <w:rPr>
          <w:rFonts w:ascii="Garamond" w:hAnsi="Garamond"/>
          <w:sz w:val="24"/>
        </w:rPr>
        <w:t>i</w:t>
      </w:r>
      <w:r w:rsidRPr="00913E39">
        <w:rPr>
          <w:rFonts w:ascii="Garamond" w:hAnsi="Garamond"/>
          <w:sz w:val="24"/>
        </w:rPr>
        <w:t>ente.</w:t>
      </w:r>
      <w:r w:rsidR="00850FC7" w:rsidRPr="00913E39">
        <w:rPr>
          <w:rFonts w:ascii="Garamond" w:hAnsi="Garamond"/>
          <w:sz w:val="24"/>
        </w:rPr>
        <w:t>”</w:t>
      </w:r>
      <w:r w:rsidRPr="00913E39">
        <w:rPr>
          <w:rFonts w:ascii="Garamond" w:hAnsi="Garamond"/>
          <w:sz w:val="24"/>
        </w:rPr>
        <w:t xml:space="preserve"> Ai i referohet në mënyrë të përgjithshme zbatimit të strategjisë kombëtare të arsimit, si një nga prioritetet e kapitullit 26, me fokus </w:t>
      </w:r>
      <w:r w:rsidR="00850FC7" w:rsidRPr="00913E39">
        <w:rPr>
          <w:rFonts w:ascii="Garamond" w:hAnsi="Garamond"/>
          <w:sz w:val="24"/>
        </w:rPr>
        <w:t>“</w:t>
      </w:r>
      <w:r w:rsidRPr="00913E39">
        <w:rPr>
          <w:rFonts w:ascii="Garamond" w:hAnsi="Garamond"/>
          <w:sz w:val="24"/>
        </w:rPr>
        <w:t>sigurimin e arsimit gjithëpërfshirës dhe cilësor</w:t>
      </w:r>
      <w:r w:rsidR="00850FC7" w:rsidRPr="00913E39">
        <w:rPr>
          <w:rFonts w:ascii="Garamond" w:hAnsi="Garamond"/>
          <w:sz w:val="24"/>
        </w:rPr>
        <w:t>”</w:t>
      </w:r>
      <w:r w:rsidRPr="00913E39">
        <w:rPr>
          <w:rFonts w:ascii="Garamond" w:hAnsi="Garamond"/>
          <w:sz w:val="24"/>
        </w:rPr>
        <w:t xml:space="preserve">. </w:t>
      </w:r>
    </w:p>
    <w:p w14:paraId="534ED2D1" w14:textId="1928A10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më tepër, sipas konkluzioneve të Samitit të Berlinit 2022 rritja ekonomike duhet të jetë gjithëpërfshirëse dhe reformat kryesore të lidhura me Agjendën digjitale nuk duhet t</w:t>
      </w:r>
      <w:r w:rsidR="005222A5" w:rsidRPr="00913E39">
        <w:rPr>
          <w:rFonts w:ascii="Garamond" w:hAnsi="Garamond"/>
          <w:sz w:val="24"/>
        </w:rPr>
        <w:t>’</w:t>
      </w:r>
      <w:r w:rsidRPr="00913E39">
        <w:rPr>
          <w:rFonts w:ascii="Garamond" w:hAnsi="Garamond"/>
          <w:sz w:val="24"/>
        </w:rPr>
        <w:t xml:space="preserve">i lënë pas Romët. Samiti nënvizoi gjithashtu rëndësinë e mbështetjes së shkollave me fëmijë në nevojë, duke siguruar mjete digjitale dhe mësues të aftë. </w:t>
      </w:r>
      <w:bookmarkStart w:id="24" w:name="_Hlk149125205"/>
      <w:r w:rsidRPr="00913E39">
        <w:rPr>
          <w:rFonts w:ascii="Garamond" w:hAnsi="Garamond"/>
          <w:sz w:val="24"/>
        </w:rPr>
        <w:t xml:space="preserve">Të dyja këto synime janë në përputhje me synimet e strategjisë për arsimin që kanë të bëjnë me përfshirjen e të gjithë nxënësve në arsim (përfshirë digjitalizimin arsimor) dhe ofrimin e edukimit me të njëjtën cilësi për të gjithë nxënësit, përfshirë ata nga grupet e pafavorizuara, dhe komunitetet </w:t>
      </w:r>
      <w:r w:rsidR="003655D2" w:rsidRPr="00913E39">
        <w:rPr>
          <w:rFonts w:ascii="Garamond" w:hAnsi="Garamond"/>
          <w:sz w:val="24"/>
        </w:rPr>
        <w:t>rome dhe egjiptiane</w:t>
      </w:r>
      <w:r w:rsidRPr="00913E39">
        <w:rPr>
          <w:rFonts w:ascii="Garamond" w:hAnsi="Garamond"/>
          <w:sz w:val="24"/>
        </w:rPr>
        <w:t>.</w:t>
      </w:r>
    </w:p>
    <w:bookmarkEnd w:id="24"/>
    <w:p w14:paraId="11FA7C96" w14:textId="7DF80B2D"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3655D2" w:rsidRPr="00913E39">
        <w:rPr>
          <w:rFonts w:ascii="Garamond" w:hAnsi="Garamond"/>
          <w:i/>
          <w:sz w:val="24"/>
        </w:rPr>
        <w:t>f</w:t>
      </w:r>
      <w:r w:rsidRPr="00913E39">
        <w:rPr>
          <w:rFonts w:ascii="Garamond" w:hAnsi="Garamond"/>
          <w:i/>
          <w:sz w:val="24"/>
        </w:rPr>
        <w:t>usha e mbështetjes 2.1: Tatimet</w:t>
      </w:r>
    </w:p>
    <w:p w14:paraId="518A461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Produktet në këtë Nënfushë të Mbështetjes përputhen me </w:t>
      </w:r>
      <w:r w:rsidRPr="00913E39">
        <w:rPr>
          <w:rFonts w:ascii="Garamond" w:hAnsi="Garamond"/>
          <w:b/>
          <w:sz w:val="24"/>
        </w:rPr>
        <w:t>Kuadrin e Programimit IPA III</w:t>
      </w:r>
      <w:r w:rsidRPr="00913E39">
        <w:rPr>
          <w:rFonts w:ascii="Garamond" w:hAnsi="Garamond"/>
          <w:sz w:val="24"/>
        </w:rPr>
        <w:t xml:space="preserve">, veçanërisht në fushën e menaxhimit të financave publike. Një prioritet kyç është rritja e strategjive të reformës për të siguruar qëndrueshmëri fiskale dhe menaxhim të shëndoshë të financave publike, në përputhje me standardet e BE-së. </w:t>
      </w:r>
    </w:p>
    <w:p w14:paraId="40B05BD1" w14:textId="7C926E8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Ndërhyrja e propozuar është në përputhje dhe do të kontribuojë në objektivin e </w:t>
      </w:r>
      <w:r w:rsidRPr="00913E39">
        <w:rPr>
          <w:rFonts w:ascii="Garamond" w:hAnsi="Garamond"/>
          <w:b/>
          <w:sz w:val="24"/>
        </w:rPr>
        <w:t>Programit të Reformës Ekonomike 2023</w:t>
      </w:r>
      <w:r w:rsidR="00864192" w:rsidRPr="00913E39">
        <w:rPr>
          <w:rFonts w:ascii="Garamond" w:hAnsi="Garamond"/>
          <w:b/>
          <w:sz w:val="24"/>
        </w:rPr>
        <w:t>–</w:t>
      </w:r>
      <w:r w:rsidRPr="00913E39">
        <w:rPr>
          <w:rFonts w:ascii="Garamond" w:hAnsi="Garamond"/>
          <w:b/>
          <w:sz w:val="24"/>
        </w:rPr>
        <w:t>2025</w:t>
      </w:r>
      <w:r w:rsidRPr="00913E39">
        <w:rPr>
          <w:rFonts w:ascii="Garamond" w:hAnsi="Garamond"/>
          <w:sz w:val="24"/>
        </w:rPr>
        <w:t xml:space="preserve"> për forcimin e konsolidimit fiskal në periudhën afatmesme. Arritja e ndërveprimit ndërmjet sistemit tatimor dhe sistemeve të tjera të BE-së do të mbështesë zbatimin e </w:t>
      </w:r>
      <w:r w:rsidR="00864192" w:rsidRPr="00913E39">
        <w:rPr>
          <w:rFonts w:ascii="Garamond" w:hAnsi="Garamond"/>
          <w:sz w:val="24"/>
        </w:rPr>
        <w:t xml:space="preserve">masës së reformës </w:t>
      </w:r>
      <w:r w:rsidRPr="00913E39">
        <w:rPr>
          <w:rFonts w:ascii="Garamond" w:hAnsi="Garamond"/>
          <w:sz w:val="24"/>
        </w:rPr>
        <w:t>06 të PRE-së, e cila fokusohet në forcimin e luftës kundër informalitetit.</w:t>
      </w:r>
    </w:p>
    <w:p w14:paraId="48BF2AE1" w14:textId="7F97285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Sipas </w:t>
      </w:r>
      <w:r w:rsidRPr="00913E39">
        <w:rPr>
          <w:rFonts w:ascii="Garamond" w:hAnsi="Garamond"/>
          <w:b/>
          <w:sz w:val="24"/>
        </w:rPr>
        <w:t>PKIE-së 2023-2025</w:t>
      </w:r>
      <w:r w:rsidRPr="00913E39">
        <w:rPr>
          <w:rFonts w:ascii="Garamond" w:hAnsi="Garamond"/>
          <w:sz w:val="24"/>
        </w:rPr>
        <w:t xml:space="preserve">, përafrimi i legjislacionit shqiptar me legjislacionin e Bashkimit Evropian për kapitullin 16, Tatimet, si dhe përmirësimi i administratës tatimore për rritjen e bazës së tatimpaguesve, mbeten prioritet. Ndërhyrja e propozuar në kuadër të PO-së do të kontribuojë në objektivin e PKIE-së për të harmonizuar më tej politikat tatimore me </w:t>
      </w:r>
      <w:r w:rsidRPr="00913E39">
        <w:rPr>
          <w:rFonts w:ascii="Garamond" w:hAnsi="Garamond"/>
          <w:i/>
          <w:sz w:val="24"/>
        </w:rPr>
        <w:t>acquis</w:t>
      </w:r>
      <w:r w:rsidRPr="00913E39">
        <w:rPr>
          <w:rFonts w:ascii="Garamond" w:hAnsi="Garamond"/>
          <w:sz w:val="24"/>
        </w:rPr>
        <w:t xml:space="preserve"> të BE-së, pra edhe me standardin e funksionimit të saj sipas VIES/VIDA. Për më tepër, mbështetja e propozuar kontribuon në objektivin e PKIE-së për të përmirësuar menaxhimin e administratës tatimore për mbledhjen e të ardhurave, bazuar në profesionalizmin, integritet dhe ndershmëri, si dhe krijimin e standardeve që ngjallin besim te qytetarët, partnerët ndërkombëtarë dhe komuniteti i biznesit vendas dhe të huaj.</w:t>
      </w:r>
    </w:p>
    <w:p w14:paraId="68DCDE4A"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 </w:t>
      </w:r>
      <w:r w:rsidRPr="00913E39">
        <w:rPr>
          <w:rFonts w:ascii="Garamond" w:hAnsi="Garamond"/>
          <w:b/>
          <w:sz w:val="24"/>
        </w:rPr>
        <w:t>Raporti i Progresit 2022 të KE-së për Shqipërinë</w:t>
      </w:r>
      <w:r w:rsidRPr="00913E39">
        <w:rPr>
          <w:rFonts w:ascii="Garamond" w:hAnsi="Garamond"/>
          <w:sz w:val="24"/>
        </w:rPr>
        <w:t xml:space="preserve"> ofron udhëzime të qarta për prioritetet e ardhshme për Shqipërinë në lidhje me tatimin, duke përfshirë thjeshtëzimin e sistemit tatimor për të inkurajuar përmbushjen e detyrimeve tatimore dhe sigurimin e zbatimit efektiv të shkëmbimit automatik të informacionit tatimor me Shtetet Anëtare të BE-së në përputhje me Standardin Global të OECD. Më tej, raporti thekson se efektiviteti i masave kundër korrupsionit në administratën tatimore mbetet i kufizuar, duke e bërë atë një fushë veçanërisht të cenueshme në këtë drejtim. Raporti rekomandon zhvillimin e kapaciteteve të nevojshme dhe marrjen e masave të duhura për të siguruar zbatimin efektiv të shkëmbimit automatik të informacionit tatimor me shtetet anëtare të BE-së në përputhje me Standardin Global të OECD.</w:t>
      </w:r>
    </w:p>
    <w:p w14:paraId="7C48B3F1" w14:textId="6B54B1C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Konkluzionet e</w:t>
      </w:r>
      <w:r w:rsidRPr="00913E39">
        <w:rPr>
          <w:rFonts w:ascii="Garamond" w:hAnsi="Garamond"/>
          <w:b/>
          <w:sz w:val="24"/>
        </w:rPr>
        <w:t xml:space="preserve"> Grupit të Posaçëm të 10</w:t>
      </w:r>
      <w:r w:rsidR="00864192" w:rsidRPr="00913E39">
        <w:rPr>
          <w:rFonts w:ascii="Garamond" w:hAnsi="Garamond"/>
          <w:b/>
          <w:sz w:val="24"/>
        </w:rPr>
        <w:t>-</w:t>
      </w:r>
      <w:r w:rsidRPr="00913E39">
        <w:rPr>
          <w:rFonts w:ascii="Garamond" w:hAnsi="Garamond"/>
          <w:b/>
          <w:sz w:val="24"/>
          <w:vertAlign w:val="superscript"/>
        </w:rPr>
        <w:t>të</w:t>
      </w:r>
      <w:r w:rsidRPr="00913E39">
        <w:rPr>
          <w:rFonts w:ascii="Garamond" w:hAnsi="Garamond"/>
          <w:b/>
          <w:sz w:val="24"/>
        </w:rPr>
        <w:t xml:space="preserve"> BE-Shqipëri për Reformën e Administratës Publike (RAP)</w:t>
      </w:r>
      <w:r w:rsidRPr="00913E39">
        <w:rPr>
          <w:rFonts w:ascii="Garamond" w:hAnsi="Garamond"/>
          <w:sz w:val="24"/>
        </w:rPr>
        <w:t xml:space="preserve"> theksojnë rëndësinë e miratimit dhe monitorim</w:t>
      </w:r>
      <w:r w:rsidR="00864192" w:rsidRPr="00913E39">
        <w:rPr>
          <w:rFonts w:ascii="Garamond" w:hAnsi="Garamond"/>
          <w:sz w:val="24"/>
        </w:rPr>
        <w:t>i</w:t>
      </w:r>
      <w:r w:rsidRPr="00913E39">
        <w:rPr>
          <w:rFonts w:ascii="Garamond" w:hAnsi="Garamond"/>
          <w:sz w:val="24"/>
        </w:rPr>
        <w:t>n e zbatimit të Strategjisë Afatmesme të të Ardhurave (SAMA). Të ardhurat nga taksat në Shqipëri janë afërsisht 10% më të ulëta se mesatarja e Ballkanit Perëndimor, duke përjashtuar kontributet sociale. Prandaj, veprimet në digjitalizim mund të lehtësojnë reduktimin e informalitetit dhe të përmirësojnë transparencën.</w:t>
      </w:r>
    </w:p>
    <w:p w14:paraId="0C2C1672" w14:textId="0306052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Masat e propozuara në kuadër të këtij Programi Operacional përputhen me qasjen e përgjithshme të </w:t>
      </w:r>
      <w:r w:rsidR="00850FC7" w:rsidRPr="00913E39">
        <w:rPr>
          <w:rFonts w:ascii="Garamond" w:eastAsia="Times New Roman" w:hAnsi="Garamond" w:cs="Times New Roman"/>
          <w:bCs/>
          <w:sz w:val="24"/>
          <w:szCs w:val="24"/>
        </w:rPr>
        <w:t>“</w:t>
      </w:r>
      <w:r w:rsidRPr="00913E39">
        <w:rPr>
          <w:rFonts w:ascii="Garamond" w:hAnsi="Garamond"/>
          <w:b/>
          <w:sz w:val="24"/>
        </w:rPr>
        <w:t>Planit Ekonomik dhe të Investimeve për Ballkanin Perëndimor</w:t>
      </w:r>
      <w:r w:rsidR="00850FC7" w:rsidRPr="00913E39">
        <w:rPr>
          <w:rFonts w:ascii="Garamond" w:eastAsia="Times New Roman" w:hAnsi="Garamond" w:cs="Times New Roman"/>
          <w:b/>
          <w:sz w:val="24"/>
          <w:szCs w:val="24"/>
        </w:rPr>
        <w:t>”</w:t>
      </w:r>
      <w:r w:rsidRPr="00913E39">
        <w:rPr>
          <w:rFonts w:ascii="Garamond" w:eastAsia="Times New Roman" w:hAnsi="Garamond" w:cs="Times New Roman"/>
          <w:bCs/>
          <w:sz w:val="24"/>
          <w:szCs w:val="24"/>
        </w:rPr>
        <w:t>,</w:t>
      </w:r>
      <w:r w:rsidRPr="00913E39">
        <w:rPr>
          <w:rFonts w:ascii="Garamond" w:hAnsi="Garamond"/>
          <w:sz w:val="24"/>
        </w:rPr>
        <w:t xml:space="preserve"> i cili </w:t>
      </w:r>
      <w:r w:rsidRPr="00913E39">
        <w:rPr>
          <w:rFonts w:ascii="Garamond" w:hAnsi="Garamond"/>
          <w:sz w:val="24"/>
        </w:rPr>
        <w:lastRenderedPageBreak/>
        <w:t xml:space="preserve">thekson ndër të tjera rolin e një shërbimi civil profesional në parandalimin e korrupsionit nëpërmjet rritjes së transparencës dhe përdorimit të </w:t>
      </w:r>
      <w:r w:rsidRPr="00913E39">
        <w:rPr>
          <w:rFonts w:ascii="Garamond" w:hAnsi="Garamond"/>
          <w:i/>
          <w:sz w:val="24"/>
        </w:rPr>
        <w:t>e-qeverisje</w:t>
      </w:r>
      <w:r w:rsidRPr="00913E39">
        <w:rPr>
          <w:rFonts w:ascii="Garamond" w:hAnsi="Garamond"/>
          <w:sz w:val="24"/>
        </w:rPr>
        <w:t>.</w:t>
      </w:r>
    </w:p>
    <w:p w14:paraId="1265CA7D" w14:textId="4FA256E9"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3655D2" w:rsidRPr="00913E39">
        <w:rPr>
          <w:rFonts w:ascii="Garamond" w:hAnsi="Garamond"/>
          <w:i/>
          <w:sz w:val="24"/>
        </w:rPr>
        <w:t>f</w:t>
      </w:r>
      <w:r w:rsidRPr="00913E39">
        <w:rPr>
          <w:rFonts w:ascii="Garamond" w:hAnsi="Garamond"/>
          <w:i/>
          <w:sz w:val="24"/>
        </w:rPr>
        <w:t xml:space="preserve">usha e mbështetjes 2.2: Siguria kibernetike </w:t>
      </w:r>
    </w:p>
    <w:p w14:paraId="6615E44A" w14:textId="1B4EAEB0"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Kuadri i Programimit IPA III</w:t>
      </w:r>
      <w:r w:rsidRPr="00913E39">
        <w:rPr>
          <w:rFonts w:ascii="Garamond" w:hAnsi="Garamond"/>
          <w:sz w:val="24"/>
        </w:rPr>
        <w:t xml:space="preserve"> e vlerëson se çështjet e reja të sigurisë në nivel global duhet të përqendrohen, veçanërisht në fushën e sigurisë kibernetike dhe shtimin e vigjilencës shtetërore dhe shoqërore ndaj kërcënimeve hibride. Mbështetja e shtuar për forcimin e kapaciteteve është parashikuar në fushën e </w:t>
      </w:r>
      <w:r w:rsidRPr="00913E39">
        <w:rPr>
          <w:rFonts w:ascii="Garamond" w:hAnsi="Garamond"/>
          <w:b/>
          <w:sz w:val="24"/>
        </w:rPr>
        <w:t>sigurisë kibernetike dhe luftës kundër krimit kibernetik</w:t>
      </w:r>
      <w:r w:rsidRPr="00913E39">
        <w:rPr>
          <w:rFonts w:ascii="Garamond" w:hAnsi="Garamond"/>
          <w:sz w:val="24"/>
        </w:rPr>
        <w:t>. Me lidhjainstalimet në rritje, rëndësia e sigurisë kibernetike dhe përballja</w:t>
      </w:r>
      <w:r w:rsidR="003655D2" w:rsidRPr="00913E39">
        <w:rPr>
          <w:rFonts w:ascii="Garamond" w:hAnsi="Garamond"/>
          <w:sz w:val="24"/>
        </w:rPr>
        <w:t xml:space="preserve"> </w:t>
      </w:r>
      <w:r w:rsidRPr="00913E39">
        <w:rPr>
          <w:rFonts w:ascii="Garamond" w:hAnsi="Garamond"/>
          <w:sz w:val="24"/>
        </w:rPr>
        <w:t>do të vazhdojnë të rriten në të ardhmen. Theksohet se operatorët e shërbimeve thelbësore në sektorë kyç si shëndetësia, transporti, energjia, bankat, infrastruktura digjitale dhe sigurimi me ujë duhet të kenë kapacitetet e nevojshme për të marrë masat e duhura të sigurisë bazuar në vlerat dhe parimet e BE-së.</w:t>
      </w:r>
    </w:p>
    <w:p w14:paraId="70E3E4A3" w14:textId="4E77713D"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Raporti i Progresit 2022 i KE për Shqipërinë</w:t>
      </w:r>
      <w:r w:rsidRPr="00913E39">
        <w:rPr>
          <w:rFonts w:ascii="Garamond" w:hAnsi="Garamond"/>
          <w:sz w:val="24"/>
        </w:rPr>
        <w:t xml:space="preserve"> vëren se ndërsa Shqipëria është palë e Konventës së Budapestit për krimin kibernetik, ajo ende nuk ka nënshkruar Protokollin e Dytë Shtesë të Konventës për bashkëpunimin e zgjeruar dhe zbulimin e provave elektronike, i cili është i hapur për nënshkrim më 12 maj 2022. Në lidhje me negociatat për një konventë të Kombeve të Bashkuara për krimin kibernetik bazuar në rezolutën 74/247 të Asamblesë së Përgjithshme të Kombeve të Bashkuara, Shqipëria demonstroi modele votimi që janë plotësisht në përputhje me qëndrimin e mbajtur nga BE</w:t>
      </w:r>
      <w:r w:rsidR="007874BD" w:rsidRPr="00913E39">
        <w:rPr>
          <w:rFonts w:ascii="Garamond" w:hAnsi="Garamond"/>
          <w:sz w:val="24"/>
        </w:rPr>
        <w:t>-ja</w:t>
      </w:r>
      <w:r w:rsidRPr="00913E39">
        <w:rPr>
          <w:rFonts w:ascii="Garamond" w:hAnsi="Garamond"/>
          <w:sz w:val="24"/>
        </w:rPr>
        <w:t xml:space="preserve"> dhe Shtetet Anëtare të saj. Mbi bazën e Strategjisë Kombëtare të Sigurisë Kibernetike 2020</w:t>
      </w:r>
      <w:r w:rsidR="007874BD" w:rsidRPr="00913E39">
        <w:rPr>
          <w:rFonts w:ascii="Garamond" w:hAnsi="Garamond"/>
          <w:sz w:val="24"/>
        </w:rPr>
        <w:t>–</w:t>
      </w:r>
      <w:r w:rsidRPr="00913E39">
        <w:rPr>
          <w:rFonts w:ascii="Garamond" w:hAnsi="Garamond"/>
          <w:sz w:val="24"/>
        </w:rPr>
        <w:t>2025, mbeten për t</w:t>
      </w:r>
      <w:r w:rsidR="005222A5" w:rsidRPr="00913E39">
        <w:rPr>
          <w:rFonts w:ascii="Garamond" w:hAnsi="Garamond"/>
          <w:sz w:val="24"/>
        </w:rPr>
        <w:t>’</w:t>
      </w:r>
      <w:r w:rsidRPr="00913E39">
        <w:rPr>
          <w:rFonts w:ascii="Garamond" w:hAnsi="Garamond"/>
          <w:sz w:val="24"/>
        </w:rPr>
        <w:t xml:space="preserve">u miratuar akte të reja ligjore dhe nënligjore për krimin kibernetik. Në korrik 2022, Shqipëria ishte viktimë e një sulmi kibernetik në shkallë të gjerë, i cili çoi në ndërprerjen e përkohshme të shumicës së shërbimeve publike </w:t>
      </w:r>
      <w:r w:rsidRPr="00913E39">
        <w:rPr>
          <w:rFonts w:ascii="Garamond" w:hAnsi="Garamond"/>
          <w:i/>
          <w:sz w:val="24"/>
        </w:rPr>
        <w:t>online</w:t>
      </w:r>
      <w:r w:rsidRPr="00913E39">
        <w:rPr>
          <w:rFonts w:ascii="Garamond" w:hAnsi="Garamond"/>
          <w:sz w:val="24"/>
        </w:rPr>
        <w:t xml:space="preserve">. Autoriteti Kombëtar për Certifikimin Elektronik dhe Sigurinë Kibernetike ka ndërmarrë disa hapa të rinj për të harmonizuar më tej </w:t>
      </w:r>
      <w:r w:rsidR="00801F56" w:rsidRPr="00913E39">
        <w:rPr>
          <w:rFonts w:ascii="Garamond" w:hAnsi="Garamond"/>
          <w:b/>
          <w:sz w:val="24"/>
        </w:rPr>
        <w:t>ligjin për sigurinë kibernetike</w:t>
      </w:r>
      <w:r w:rsidR="00801F56" w:rsidRPr="00913E39">
        <w:rPr>
          <w:rFonts w:ascii="Garamond" w:hAnsi="Garamond"/>
          <w:sz w:val="24"/>
        </w:rPr>
        <w:t xml:space="preserve"> me direktivën e </w:t>
      </w:r>
      <w:r w:rsidRPr="00913E39">
        <w:rPr>
          <w:rFonts w:ascii="Garamond" w:hAnsi="Garamond"/>
          <w:sz w:val="24"/>
        </w:rPr>
        <w:t xml:space="preserve">BE-së për sigurinë e rrjeteve dhe sistemeve të informacionit. Shqipëria ka krijuar një listë të infrastrukturave kritike të informacionit dhe legjislacionin e nevojshëm zbatues. Për sa </w:t>
      </w:r>
      <w:r w:rsidR="00E93B9B" w:rsidRPr="00913E39">
        <w:rPr>
          <w:rFonts w:ascii="Garamond" w:hAnsi="Garamond"/>
          <w:sz w:val="24"/>
        </w:rPr>
        <w:t>u</w:t>
      </w:r>
      <w:r w:rsidRPr="00913E39">
        <w:rPr>
          <w:rFonts w:ascii="Garamond" w:hAnsi="Garamond"/>
          <w:sz w:val="24"/>
        </w:rPr>
        <w:t xml:space="preserve"> përket kërcënimeve hibride, Shqipëria e ka ezauruar studimin e BE-së për rrezikun hibrid me qëllim identifikimin e dobësive sistematike të cilat duhet të dihen.</w:t>
      </w:r>
    </w:p>
    <w:p w14:paraId="71C747C9" w14:textId="568AA87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kuadër të </w:t>
      </w:r>
      <w:r w:rsidRPr="00913E39">
        <w:rPr>
          <w:rFonts w:ascii="Garamond" w:hAnsi="Garamond"/>
          <w:b/>
          <w:sz w:val="24"/>
        </w:rPr>
        <w:t>Planit Kombëtar për Integrimin Evropian 2023</w:t>
      </w:r>
      <w:r w:rsidR="00850FC7" w:rsidRPr="00913E39">
        <w:rPr>
          <w:rFonts w:ascii="Garamond" w:eastAsia="Times New Roman" w:hAnsi="Garamond" w:cs="Times New Roman"/>
          <w:sz w:val="24"/>
          <w:szCs w:val="24"/>
        </w:rPr>
        <w:t>–</w:t>
      </w:r>
      <w:r w:rsidRPr="00913E39">
        <w:rPr>
          <w:rFonts w:ascii="Garamond" w:hAnsi="Garamond"/>
          <w:b/>
          <w:sz w:val="24"/>
        </w:rPr>
        <w:t>2025,</w:t>
      </w:r>
      <w:r w:rsidRPr="00913E39">
        <w:rPr>
          <w:rFonts w:ascii="Garamond" w:hAnsi="Garamond"/>
          <w:sz w:val="24"/>
        </w:rPr>
        <w:t xml:space="preserve"> nën </w:t>
      </w:r>
      <w:r w:rsidR="00B24371" w:rsidRPr="00913E39">
        <w:rPr>
          <w:rFonts w:ascii="Garamond" w:hAnsi="Garamond"/>
          <w:sz w:val="24"/>
        </w:rPr>
        <w:t>k</w:t>
      </w:r>
      <w:r w:rsidRPr="00913E39">
        <w:rPr>
          <w:rFonts w:ascii="Garamond" w:hAnsi="Garamond"/>
          <w:sz w:val="24"/>
        </w:rPr>
        <w:t xml:space="preserve">apitullin 24: Drejtësia, </w:t>
      </w:r>
      <w:r w:rsidR="00B24371" w:rsidRPr="00913E39">
        <w:rPr>
          <w:rFonts w:ascii="Garamond" w:hAnsi="Garamond"/>
          <w:sz w:val="24"/>
        </w:rPr>
        <w:t xml:space="preserve">liria, siguria </w:t>
      </w:r>
      <w:r w:rsidR="00850FC7" w:rsidRPr="00913E39">
        <w:rPr>
          <w:rFonts w:ascii="Garamond" w:eastAsia="Times New Roman" w:hAnsi="Garamond" w:cs="Times New Roman"/>
          <w:sz w:val="24"/>
          <w:szCs w:val="24"/>
        </w:rPr>
        <w:t>–</w:t>
      </w:r>
      <w:r w:rsidRPr="00913E39">
        <w:rPr>
          <w:rFonts w:ascii="Garamond" w:hAnsi="Garamond"/>
          <w:sz w:val="24"/>
        </w:rPr>
        <w:t xml:space="preserve"> </w:t>
      </w:r>
      <w:r w:rsidR="00B24371" w:rsidRPr="00913E39">
        <w:rPr>
          <w:rFonts w:ascii="Garamond" w:hAnsi="Garamond"/>
          <w:sz w:val="24"/>
        </w:rPr>
        <w:t>l</w:t>
      </w:r>
      <w:r w:rsidRPr="00913E39">
        <w:rPr>
          <w:rFonts w:ascii="Garamond" w:hAnsi="Garamond"/>
          <w:sz w:val="24"/>
        </w:rPr>
        <w:t>ufta</w:t>
      </w:r>
      <w:r w:rsidR="00850FC7" w:rsidRPr="00913E39">
        <w:rPr>
          <w:rFonts w:ascii="Garamond" w:hAnsi="Garamond"/>
          <w:sz w:val="24"/>
        </w:rPr>
        <w:t xml:space="preserve"> </w:t>
      </w:r>
      <w:r w:rsidRPr="00913E39">
        <w:rPr>
          <w:rFonts w:ascii="Garamond" w:hAnsi="Garamond"/>
          <w:sz w:val="24"/>
        </w:rPr>
        <w:t xml:space="preserve">kundër </w:t>
      </w:r>
      <w:r w:rsidR="00B24371" w:rsidRPr="00913E39">
        <w:rPr>
          <w:rFonts w:ascii="Garamond" w:hAnsi="Garamond"/>
          <w:sz w:val="24"/>
        </w:rPr>
        <w:t>krimit të organizuar</w:t>
      </w:r>
      <w:r w:rsidRPr="00913E39">
        <w:rPr>
          <w:rFonts w:ascii="Garamond" w:hAnsi="Garamond"/>
          <w:sz w:val="24"/>
        </w:rPr>
        <w:t>, lufta kundër krimit kibernetik, trafikimit të qenieve njerëzore dhe pastrimit të parave mbeten fusha ku nevojiten rezultate të tjera. Policia e Shtetit është anëtare e 18 nga 30 projekteve analitike të EUROPOL-it, i cili është një sistem përpunimi informacioni që ka të bëjë me luftën kundër krimit të organizuar, kultivimit dhe trafikut të drogës, terrorizmit islamik, krimit kibernetik, abuzimit të fëmijëve nëpërmjet internetit, kontrabandimit të emigrantëve, trafikimit të qenieve njerëzore, pastrimit të parave etj. Në vitin 2020, Shqipëria miratoi një strategji të re të sigurisë kibernetike dhe një Plan Veprimi 2020</w:t>
      </w:r>
      <w:r w:rsidR="00850FC7" w:rsidRPr="00913E39">
        <w:rPr>
          <w:rFonts w:ascii="Garamond" w:eastAsia="Times New Roman" w:hAnsi="Garamond" w:cs="Times New Roman"/>
          <w:sz w:val="24"/>
          <w:szCs w:val="24"/>
        </w:rPr>
        <w:t>–</w:t>
      </w:r>
      <w:r w:rsidRPr="00913E39">
        <w:rPr>
          <w:rFonts w:ascii="Garamond" w:hAnsi="Garamond"/>
          <w:sz w:val="24"/>
        </w:rPr>
        <w:t xml:space="preserve">2025 që i jep prioritet kësaj fushe. Gjithashtu, me </w:t>
      </w:r>
      <w:r w:rsidR="00850FC7" w:rsidRPr="00913E39">
        <w:rPr>
          <w:rFonts w:ascii="Garamond" w:eastAsia="Times New Roman" w:hAnsi="Garamond" w:cs="Times New Roman"/>
          <w:sz w:val="24"/>
          <w:szCs w:val="24"/>
        </w:rPr>
        <w:t>urdhrin nr</w:t>
      </w:r>
      <w:r w:rsidRPr="00913E39">
        <w:rPr>
          <w:rFonts w:ascii="Garamond" w:eastAsia="Times New Roman" w:hAnsi="Garamond" w:cs="Times New Roman"/>
          <w:sz w:val="24"/>
          <w:szCs w:val="24"/>
        </w:rPr>
        <w:t>.</w:t>
      </w:r>
      <w:r w:rsidR="00850FC7" w:rsidRPr="00913E39">
        <w:rPr>
          <w:rFonts w:ascii="Garamond" w:eastAsia="Times New Roman" w:hAnsi="Garamond" w:cs="Times New Roman"/>
          <w:sz w:val="24"/>
          <w:szCs w:val="24"/>
        </w:rPr>
        <w:t xml:space="preserve"> </w:t>
      </w:r>
      <w:r w:rsidRPr="00913E39">
        <w:rPr>
          <w:rFonts w:ascii="Garamond" w:hAnsi="Garamond"/>
          <w:sz w:val="24"/>
        </w:rPr>
        <w:t xml:space="preserve">494, datë 30.12.2020, Ministri i Brendshëm miratoi </w:t>
      </w:r>
      <w:r w:rsidR="00850FC7" w:rsidRPr="00913E39">
        <w:rPr>
          <w:rFonts w:ascii="Garamond" w:hAnsi="Garamond"/>
          <w:sz w:val="24"/>
        </w:rPr>
        <w:t>“</w:t>
      </w:r>
      <w:r w:rsidRPr="00913E39">
        <w:rPr>
          <w:rFonts w:ascii="Garamond" w:hAnsi="Garamond"/>
          <w:sz w:val="24"/>
        </w:rPr>
        <w:t>Strategjinë për Hetimin e Krimeve Kompjuterike dhe Planin e Veprimit për periudhën 2021-2025</w:t>
      </w:r>
      <w:r w:rsidR="00850FC7" w:rsidRPr="00913E39">
        <w:rPr>
          <w:rFonts w:ascii="Garamond" w:hAnsi="Garamond"/>
          <w:sz w:val="24"/>
        </w:rPr>
        <w:t>”</w:t>
      </w:r>
      <w:r w:rsidRPr="00913E39">
        <w:rPr>
          <w:rFonts w:ascii="Garamond" w:hAnsi="Garamond"/>
          <w:sz w:val="24"/>
        </w:rPr>
        <w:t>. Aktualisht po punohet për ndryshimet legjislative të bazuara në këtë strategji. Parashikohet miratimi i akteve të reja ligjore dhe rregulloreve për krimin kibernetik bazuar në Strategjinë Kombëtare të Sigurisë Kibernetike 2020</w:t>
      </w:r>
      <w:r w:rsidR="00850FC7" w:rsidRPr="00913E39">
        <w:rPr>
          <w:rFonts w:ascii="Garamond" w:eastAsia="Times New Roman" w:hAnsi="Garamond" w:cs="Times New Roman"/>
          <w:sz w:val="24"/>
          <w:szCs w:val="24"/>
        </w:rPr>
        <w:t>–</w:t>
      </w:r>
      <w:r w:rsidRPr="00913E39">
        <w:rPr>
          <w:rFonts w:ascii="Garamond" w:hAnsi="Garamond"/>
          <w:sz w:val="24"/>
        </w:rPr>
        <w:t>2025.</w:t>
      </w:r>
    </w:p>
    <w:p w14:paraId="0519CC8E" w14:textId="2DBB116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Sipas </w:t>
      </w:r>
      <w:r w:rsidR="00850FC7" w:rsidRPr="00913E39">
        <w:rPr>
          <w:rFonts w:ascii="Garamond" w:eastAsia="Times New Roman" w:hAnsi="Garamond" w:cs="Times New Roman"/>
          <w:sz w:val="24"/>
          <w:szCs w:val="24"/>
        </w:rPr>
        <w:t>k</w:t>
      </w:r>
      <w:r w:rsidRPr="00913E39">
        <w:rPr>
          <w:rFonts w:ascii="Garamond" w:eastAsia="Times New Roman" w:hAnsi="Garamond" w:cs="Times New Roman"/>
          <w:sz w:val="24"/>
          <w:szCs w:val="24"/>
        </w:rPr>
        <w:t>apitullit</w:t>
      </w:r>
      <w:r w:rsidRPr="00913E39">
        <w:rPr>
          <w:rFonts w:ascii="Garamond" w:hAnsi="Garamond"/>
          <w:sz w:val="24"/>
        </w:rPr>
        <w:t xml:space="preserve"> 10: Shoqëria e </w:t>
      </w:r>
      <w:r w:rsidR="00BE688F" w:rsidRPr="00913E39">
        <w:rPr>
          <w:rFonts w:ascii="Garamond" w:hAnsi="Garamond"/>
          <w:sz w:val="24"/>
        </w:rPr>
        <w:t xml:space="preserve">informacionit dhe media, ligji për </w:t>
      </w:r>
      <w:r w:rsidRPr="00913E39">
        <w:rPr>
          <w:rFonts w:ascii="Garamond" w:hAnsi="Garamond"/>
          <w:sz w:val="24"/>
        </w:rPr>
        <w:t xml:space="preserve">sigurinë kibernetike (nr. 2/2017) e kanë ndryshuar pjesërisht </w:t>
      </w:r>
      <w:r w:rsidR="00B249CF" w:rsidRPr="00913E39">
        <w:rPr>
          <w:rFonts w:ascii="Garamond" w:hAnsi="Garamond"/>
          <w:sz w:val="24"/>
        </w:rPr>
        <w:t>d</w:t>
      </w:r>
      <w:r w:rsidRPr="00913E39">
        <w:rPr>
          <w:rFonts w:ascii="Garamond" w:hAnsi="Garamond"/>
          <w:sz w:val="24"/>
        </w:rPr>
        <w:t xml:space="preserve">irektivën </w:t>
      </w:r>
      <w:r w:rsidR="00850FC7" w:rsidRPr="00913E39">
        <w:rPr>
          <w:rFonts w:ascii="Garamond" w:eastAsia="Times New Roman" w:hAnsi="Garamond" w:cs="Times New Roman"/>
          <w:sz w:val="24"/>
          <w:szCs w:val="24"/>
        </w:rPr>
        <w:t>n</w:t>
      </w:r>
      <w:r w:rsidRPr="00913E39">
        <w:rPr>
          <w:rFonts w:ascii="Garamond" w:eastAsia="Times New Roman" w:hAnsi="Garamond" w:cs="Times New Roman"/>
          <w:sz w:val="24"/>
          <w:szCs w:val="24"/>
        </w:rPr>
        <w:t>r</w:t>
      </w:r>
      <w:r w:rsidRPr="00913E39">
        <w:rPr>
          <w:rFonts w:ascii="Garamond" w:hAnsi="Garamond"/>
          <w:sz w:val="24"/>
        </w:rPr>
        <w:t xml:space="preserve">. 2016/1148/BE e cila fokusohet në masat për arritjen e një niveli të lartë të përbashkët të sigurisë së rrjetit dhe sistemit të informacionit në BE. Për sa i përket përafrimit me legjislacionin e BE-së dhe harmonizimit me standardet e BE-së në fushën e luftës kundër krimit të organizuar, Raporti i Shqipërisë 2022 thekson se Autoriteti Kombëtar për Certifikimin Elektronik dhe Sigurinë Kibernetike ka ndërmarrë disa hapa të </w:t>
      </w:r>
      <w:r w:rsidR="00C4225F" w:rsidRPr="00913E39">
        <w:rPr>
          <w:rFonts w:ascii="Garamond" w:hAnsi="Garamond"/>
          <w:sz w:val="24"/>
        </w:rPr>
        <w:t>rinj</w:t>
      </w:r>
      <w:r w:rsidRPr="00913E39">
        <w:rPr>
          <w:rFonts w:ascii="Garamond" w:hAnsi="Garamond"/>
          <w:sz w:val="24"/>
        </w:rPr>
        <w:t xml:space="preserve"> për të harmonizuar më tej </w:t>
      </w:r>
      <w:r w:rsidR="00850FC7" w:rsidRPr="00913E39">
        <w:rPr>
          <w:rFonts w:ascii="Garamond" w:eastAsia="Times New Roman" w:hAnsi="Garamond" w:cs="Times New Roman"/>
          <w:sz w:val="24"/>
          <w:szCs w:val="24"/>
        </w:rPr>
        <w:t>ligjin e sigurisë kibernetike</w:t>
      </w:r>
      <w:r w:rsidR="00850FC7" w:rsidRPr="00913E39">
        <w:rPr>
          <w:rFonts w:ascii="Garamond" w:hAnsi="Garamond"/>
          <w:sz w:val="24"/>
        </w:rPr>
        <w:t xml:space="preserve"> </w:t>
      </w:r>
      <w:r w:rsidRPr="00913E39">
        <w:rPr>
          <w:rFonts w:ascii="Garamond" w:hAnsi="Garamond"/>
          <w:sz w:val="24"/>
        </w:rPr>
        <w:t xml:space="preserve">me </w:t>
      </w:r>
      <w:r w:rsidR="00DB24A2" w:rsidRPr="00913E39">
        <w:rPr>
          <w:rFonts w:ascii="Garamond" w:hAnsi="Garamond"/>
          <w:sz w:val="24"/>
        </w:rPr>
        <w:t xml:space="preserve">direktivën </w:t>
      </w:r>
      <w:r w:rsidRPr="00913E39">
        <w:rPr>
          <w:rFonts w:ascii="Garamond" w:hAnsi="Garamond"/>
          <w:sz w:val="24"/>
        </w:rPr>
        <w:t xml:space="preserve">e BE-së mbi sigurinë e informacionit të rrjeteve dhe sistemeve. Zbatimi i ligjit për krimin kibernetik duhet të forcohet nëpërmjet rritjes së kapaciteteve për zbulimin, hetimin dhe ndjekjen penale. </w:t>
      </w:r>
    </w:p>
    <w:p w14:paraId="49C911A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Lidhur me fushën e sigurisë kibernetike, konkluzionet e Samitit të Berlinit 2022 theksuan nevojën për më shumë bashkëpunim në fushën e sigurisë kibernetike dhe luftën kundër formave të ndryshme të kërcënimeve hibride në të gjithë Ballkanin Perëndimor.</w:t>
      </w:r>
    </w:p>
    <w:p w14:paraId="41B79BCC" w14:textId="6A5CB8A0" w:rsidR="00847F23" w:rsidRPr="00913E39" w:rsidRDefault="00847F23" w:rsidP="00FC4C60">
      <w:pPr>
        <w:spacing w:after="0" w:line="240" w:lineRule="auto"/>
        <w:ind w:firstLine="284"/>
        <w:jc w:val="both"/>
        <w:rPr>
          <w:rFonts w:ascii="Garamond" w:hAnsi="Garamond"/>
          <w:i/>
          <w:sz w:val="24"/>
        </w:rPr>
      </w:pPr>
      <w:r w:rsidRPr="00913E39">
        <w:rPr>
          <w:rFonts w:ascii="Garamond" w:eastAsia="Times New Roman" w:hAnsi="Garamond" w:cs="Times New Roman"/>
          <w:bCs/>
          <w:i/>
          <w:iCs/>
          <w:sz w:val="24"/>
          <w:szCs w:val="24"/>
        </w:rPr>
        <w:t>Nën</w:t>
      </w:r>
      <w:r w:rsidR="00850FC7" w:rsidRPr="00913E39">
        <w:rPr>
          <w:rFonts w:ascii="Garamond" w:eastAsia="Times New Roman" w:hAnsi="Garamond" w:cs="Times New Roman"/>
          <w:bCs/>
          <w:i/>
          <w:iCs/>
          <w:sz w:val="24"/>
          <w:szCs w:val="24"/>
        </w:rPr>
        <w:t>f</w:t>
      </w:r>
      <w:r w:rsidRPr="00913E39">
        <w:rPr>
          <w:rFonts w:ascii="Garamond" w:eastAsia="Times New Roman" w:hAnsi="Garamond" w:cs="Times New Roman"/>
          <w:bCs/>
          <w:i/>
          <w:iCs/>
          <w:sz w:val="24"/>
          <w:szCs w:val="24"/>
        </w:rPr>
        <w:t>usha</w:t>
      </w:r>
      <w:r w:rsidRPr="00913E39">
        <w:rPr>
          <w:rFonts w:ascii="Garamond" w:hAnsi="Garamond"/>
          <w:i/>
          <w:sz w:val="24"/>
        </w:rPr>
        <w:t xml:space="preserve"> e mbështetjes 2.3: Ndërlidhja digjitale</w:t>
      </w:r>
    </w:p>
    <w:p w14:paraId="3BE0B04F" w14:textId="35D51D8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Objektivat e PO-së janë plotësisht në përputhje me</w:t>
      </w:r>
      <w:r w:rsidRPr="00913E39">
        <w:rPr>
          <w:rFonts w:ascii="Garamond" w:hAnsi="Garamond"/>
          <w:b/>
          <w:sz w:val="24"/>
        </w:rPr>
        <w:t xml:space="preserve"> Kuadrin e Programimit IPA III</w:t>
      </w:r>
      <w:r w:rsidRPr="00913E39">
        <w:rPr>
          <w:rFonts w:ascii="Garamond" w:hAnsi="Garamond"/>
          <w:sz w:val="24"/>
        </w:rPr>
        <w:t xml:space="preserve"> pasi ato pasqyrojnë infrastrukturën digjitale dhe instalimin e shpejtë dhe shumë të shpejtë të rrjeteve (</w:t>
      </w:r>
      <w:r w:rsidR="00850FC7" w:rsidRPr="00913E39">
        <w:rPr>
          <w:rFonts w:ascii="Garamond" w:eastAsia="Times New Roman" w:hAnsi="Garamond" w:cs="Times New Roman"/>
          <w:sz w:val="24"/>
          <w:szCs w:val="24"/>
        </w:rPr>
        <w:t>k</w:t>
      </w:r>
      <w:r w:rsidRPr="00913E39">
        <w:rPr>
          <w:rFonts w:ascii="Garamond" w:eastAsia="Times New Roman" w:hAnsi="Garamond" w:cs="Times New Roman"/>
          <w:sz w:val="24"/>
          <w:szCs w:val="24"/>
        </w:rPr>
        <w:t>omponenti</w:t>
      </w:r>
      <w:r w:rsidRPr="00913E39">
        <w:rPr>
          <w:rFonts w:ascii="Garamond" w:hAnsi="Garamond"/>
          <w:sz w:val="24"/>
        </w:rPr>
        <w:t xml:space="preserve"> 1) dhe zhvillojnë dhe zbatojnë rastet e përdorimit të 5G për komunitetin digjital nëpërmjet rrjeteve 5G të sigurta dhe fleksibël të bazuara në përvojat e paketës 5G të BE-së dhe parimet e agjendës së gjelbër (</w:t>
      </w:r>
      <w:r w:rsidR="00B249CF" w:rsidRPr="00913E39">
        <w:rPr>
          <w:rFonts w:ascii="Garamond" w:hAnsi="Garamond"/>
          <w:sz w:val="24"/>
        </w:rPr>
        <w:t>k</w:t>
      </w:r>
      <w:r w:rsidRPr="00913E39">
        <w:rPr>
          <w:rFonts w:ascii="Garamond" w:hAnsi="Garamond"/>
          <w:sz w:val="24"/>
        </w:rPr>
        <w:t xml:space="preserve">omponenti 2). Për lidhjen digjitale, Kuadri i Programimit IPA III thekson: </w:t>
      </w:r>
      <w:r w:rsidR="00850FC7" w:rsidRPr="00913E39">
        <w:rPr>
          <w:rFonts w:ascii="Garamond" w:hAnsi="Garamond"/>
          <w:sz w:val="24"/>
        </w:rPr>
        <w:t>“</w:t>
      </w:r>
      <w:r w:rsidRPr="00913E39">
        <w:rPr>
          <w:rFonts w:ascii="Garamond" w:hAnsi="Garamond"/>
          <w:sz w:val="24"/>
        </w:rPr>
        <w:t xml:space="preserve">Ekonomia digjitale është një sektor me rritje të shpejtë. Forcimi i lidhjes digjitale dhe transformimi digjital i bizneseve dhe shërbimeve publike mund të përdoret për inovacione që sjellin pasuri për shoqëritë dhe bizneset. Mbështetja e transformimit digjital të ekonomive në Ballkanin Perëndimor dhe Turqi është thelbësore për të mos zgjeruar hendekun digjital me BE-në dhe është një parakusht për konkurrencën e industrisë në rajon. ndërlidhja digjitale fleksibël dhe e sigurt, e cila zbut rreziqet në rrjete dhe ruan privatësinë dhe integritetin e qytetarëve, është parakusht për një ekonomi dhe shoqëri digjitale me qendër njeriun. Të dhënat dhe </w:t>
      </w:r>
      <w:r w:rsidR="0078359B" w:rsidRPr="00913E39">
        <w:rPr>
          <w:rFonts w:ascii="Garamond" w:hAnsi="Garamond"/>
          <w:sz w:val="24"/>
        </w:rPr>
        <w:t xml:space="preserve">inteligjenca artificiale </w:t>
      </w:r>
      <w:r w:rsidRPr="00913E39">
        <w:rPr>
          <w:rFonts w:ascii="Garamond" w:hAnsi="Garamond"/>
          <w:sz w:val="24"/>
        </w:rPr>
        <w:t>janë përbërësit për inovacionin që ndihmojnë në gjetjen e zgjidhjeve të qëndrueshme për sfidat shoqërore, nga ndryshimet klimatike, nga shëndeti te</w:t>
      </w:r>
      <w:r w:rsidR="0078359B" w:rsidRPr="00913E39">
        <w:rPr>
          <w:rFonts w:ascii="Garamond" w:hAnsi="Garamond"/>
          <w:sz w:val="24"/>
        </w:rPr>
        <w:t>k</w:t>
      </w:r>
      <w:r w:rsidRPr="00913E39">
        <w:rPr>
          <w:rFonts w:ascii="Garamond" w:hAnsi="Garamond"/>
          <w:sz w:val="24"/>
        </w:rPr>
        <w:t xml:space="preserve"> bujqësia, nga siguria te</w:t>
      </w:r>
      <w:r w:rsidR="0078359B" w:rsidRPr="00913E39">
        <w:rPr>
          <w:rFonts w:ascii="Garamond" w:hAnsi="Garamond"/>
          <w:sz w:val="24"/>
        </w:rPr>
        <w:t>k</w:t>
      </w:r>
      <w:r w:rsidRPr="00913E39">
        <w:rPr>
          <w:rFonts w:ascii="Garamond" w:hAnsi="Garamond"/>
          <w:sz w:val="24"/>
        </w:rPr>
        <w:t xml:space="preserve"> prodhimi.</w:t>
      </w:r>
      <w:r w:rsidR="00850FC7" w:rsidRPr="00913E39">
        <w:rPr>
          <w:rFonts w:ascii="Garamond" w:hAnsi="Garamond"/>
          <w:sz w:val="24"/>
        </w:rPr>
        <w:t>”</w:t>
      </w:r>
    </w:p>
    <w:p w14:paraId="35D8A050" w14:textId="674D34DB"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Plani Ekonomik dhe i Investimeve i Ballkanit Perëndimor (EIP) dhe Agjenda e Gjelbër</w:t>
      </w:r>
      <w:r w:rsidRPr="00913E39">
        <w:rPr>
          <w:rFonts w:ascii="Garamond" w:hAnsi="Garamond"/>
          <w:sz w:val="24"/>
          <w:vertAlign w:val="superscript"/>
        </w:rPr>
        <w:footnoteReference w:id="54"/>
      </w:r>
      <w:r w:rsidRPr="00913E39">
        <w:rPr>
          <w:rFonts w:ascii="Garamond" w:hAnsi="Garamond"/>
          <w:sz w:val="24"/>
        </w:rPr>
        <w:t xml:space="preserve"> theksojnë se zhvillimi i infrastrukturës digjitale </w:t>
      </w:r>
      <w:r w:rsidRPr="00913E39">
        <w:rPr>
          <w:rFonts w:ascii="Garamond" w:hAnsi="Garamond"/>
          <w:i/>
          <w:sz w:val="24"/>
        </w:rPr>
        <w:t>broadband</w:t>
      </w:r>
      <w:r w:rsidRPr="00913E39">
        <w:rPr>
          <w:rFonts w:ascii="Garamond" w:hAnsi="Garamond"/>
          <w:sz w:val="24"/>
        </w:rPr>
        <w:t xml:space="preserve"> dhe shumë të shpejtë është një nga drejtimet kryesore të investimeve të identifikuara në Programin kryesor (pionier) 8. Infrastruktura digjitale, zhvillimi i një ultra</w:t>
      </w:r>
      <w:r w:rsidR="00894495" w:rsidRPr="00913E39">
        <w:rPr>
          <w:rFonts w:ascii="Garamond" w:hAnsi="Garamond"/>
          <w:sz w:val="24"/>
        </w:rPr>
        <w:t xml:space="preserve"> </w:t>
      </w:r>
      <w:r w:rsidRPr="00913E39">
        <w:rPr>
          <w:rFonts w:ascii="Garamond" w:hAnsi="Garamond"/>
          <w:sz w:val="24"/>
        </w:rPr>
        <w:t xml:space="preserve">- </w:t>
      </w:r>
      <w:r w:rsidRPr="00913E39">
        <w:rPr>
          <w:rFonts w:ascii="Garamond" w:hAnsi="Garamond"/>
          <w:i/>
          <w:sz w:val="24"/>
        </w:rPr>
        <w:t>broadband</w:t>
      </w:r>
      <w:r w:rsidRPr="00913E39">
        <w:rPr>
          <w:rFonts w:ascii="Garamond" w:hAnsi="Garamond"/>
          <w:sz w:val="24"/>
        </w:rPr>
        <w:t xml:space="preserve"> të shpejtë, me synimin për të siguruar akses universal, uljen e kostos së </w:t>
      </w:r>
      <w:r w:rsidRPr="00913E39">
        <w:rPr>
          <w:rFonts w:ascii="Garamond" w:hAnsi="Garamond"/>
          <w:i/>
          <w:sz w:val="24"/>
        </w:rPr>
        <w:t>roaming</w:t>
      </w:r>
      <w:r w:rsidRPr="00913E39">
        <w:rPr>
          <w:rFonts w:ascii="Garamond" w:hAnsi="Garamond"/>
          <w:sz w:val="24"/>
        </w:rPr>
        <w:t xml:space="preserve">-, zhvillimin e aftësive digjitale dhe rritjen e sigurisë kibernetike, janë prioritetet kryesore të Agjendës Digjitale për Ballkanin Perëndimor. Për më tepër, Marrëveshja e Gjelbër Evropiane vlerëson se </w:t>
      </w:r>
      <w:r w:rsidR="00850FC7" w:rsidRPr="00913E39">
        <w:rPr>
          <w:rFonts w:ascii="Garamond" w:eastAsia="Times New Roman" w:hAnsi="Garamond" w:cs="Times New Roman"/>
          <w:sz w:val="24"/>
          <w:szCs w:val="24"/>
        </w:rPr>
        <w:t>“</w:t>
      </w:r>
      <w:r w:rsidRPr="00913E39">
        <w:rPr>
          <w:rFonts w:ascii="Garamond" w:hAnsi="Garamond"/>
          <w:sz w:val="24"/>
        </w:rPr>
        <w:t>teknologjitë digjitale janë një mundësi e madhe për arritjen e qëllimeve të qëndrueshmërisë të Marrëveshjes së Gjelbër në shumë sektorë të ndryshëm</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w:t>
      </w:r>
      <w:r w:rsidR="00850FC7" w:rsidRPr="00913E39">
        <w:rPr>
          <w:rFonts w:ascii="Garamond" w:hAnsi="Garamond"/>
          <w:sz w:val="24"/>
        </w:rPr>
        <w:t>“</w:t>
      </w:r>
      <w:r w:rsidRPr="00913E39">
        <w:rPr>
          <w:rFonts w:ascii="Garamond" w:hAnsi="Garamond"/>
          <w:sz w:val="24"/>
        </w:rPr>
        <w:t xml:space="preserve">Komisioni do të shqyrtojë masat për të siguruar që teknologjitë digjitale të tilla </w:t>
      </w:r>
      <w:r w:rsidR="007950AB" w:rsidRPr="00913E39">
        <w:rPr>
          <w:rFonts w:ascii="Garamond" w:hAnsi="Garamond"/>
          <w:sz w:val="24"/>
        </w:rPr>
        <w:t>si inteligjenca artificiale</w:t>
      </w:r>
      <w:r w:rsidRPr="00913E39">
        <w:rPr>
          <w:rFonts w:ascii="Garamond" w:hAnsi="Garamond"/>
          <w:sz w:val="24"/>
        </w:rPr>
        <w:t>, 5G, Cloud dhe Edge Computing dhe interneti i gjërave të mund të përshpejtojnë dhe të maksimizojnë ndikimin e politikave për t</w:t>
      </w:r>
      <w:r w:rsidR="005222A5" w:rsidRPr="00913E39">
        <w:rPr>
          <w:rFonts w:ascii="Garamond" w:hAnsi="Garamond"/>
          <w:sz w:val="24"/>
        </w:rPr>
        <w:t>’</w:t>
      </w:r>
      <w:r w:rsidRPr="00913E39">
        <w:rPr>
          <w:rFonts w:ascii="Garamond" w:hAnsi="Garamond"/>
          <w:sz w:val="24"/>
        </w:rPr>
        <w:t>u marrë me ndryshimet klimatike dhe për të mbrojtur mjedisin. Digjitalizimi paraqet gjithashtu mundësi të reja për monitorimin në distancë të ndotjes së ajrit dhe ujit, ose për monitorimin dhe optimizimin e përdorimit të energjisë dhe burimeve natyrore</w:t>
      </w:r>
      <w:r w:rsidR="00850FC7" w:rsidRPr="00913E39">
        <w:rPr>
          <w:rFonts w:ascii="Garamond" w:hAnsi="Garamond"/>
          <w:sz w:val="24"/>
        </w:rPr>
        <w:t>”</w:t>
      </w:r>
      <w:r w:rsidRPr="00913E39">
        <w:rPr>
          <w:rFonts w:ascii="Garamond" w:hAnsi="Garamond"/>
          <w:sz w:val="24"/>
        </w:rPr>
        <w:t>.</w:t>
      </w:r>
    </w:p>
    <w:p w14:paraId="528B0031" w14:textId="3CD9BA6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Edhe pse Raporti i Shqipërisë 2022 thekson gjithashtu që grumbullimi i ndarë i drejtimeve të ndryshme të mbetjeve është ende i pamjaftueshëm, kjo ka ndodhur për shkak të mungesës së dispozitave të mjaftueshme ligjore për menaxhimin e mbetjeve elektronike. Aktualisht po hartohet dhe do të publikohet për konsultim një ligj i ri </w:t>
      </w:r>
      <w:r w:rsidR="00850FC7" w:rsidRPr="00913E39">
        <w:rPr>
          <w:rFonts w:ascii="Garamond" w:hAnsi="Garamond"/>
          <w:sz w:val="24"/>
        </w:rPr>
        <w:t>“</w:t>
      </w:r>
      <w:r w:rsidRPr="00913E39">
        <w:rPr>
          <w:rFonts w:ascii="Garamond" w:hAnsi="Garamond"/>
          <w:sz w:val="24"/>
        </w:rPr>
        <w:t>Për përgjegjësitë e zgjeruara të prodhuesit</w:t>
      </w:r>
      <w:r w:rsidR="00850FC7" w:rsidRPr="00913E39">
        <w:rPr>
          <w:rFonts w:ascii="Garamond" w:hAnsi="Garamond"/>
          <w:sz w:val="24"/>
        </w:rPr>
        <w:t>”</w:t>
      </w:r>
      <w:r w:rsidRPr="00913E39">
        <w:rPr>
          <w:rFonts w:ascii="Garamond" w:hAnsi="Garamond"/>
          <w:sz w:val="24"/>
        </w:rPr>
        <w:t>, një pjesë e të cilit ka të bëjë me menaxhimin e mbetjeve elektronike (menaxhimi i mbetjeve elektronike); Ky ligj synon të mundësojë zbatimin e detyrimit të prodhuesve që gjenerojnë mbetje pas konsumit, për të pasur përgjegjësi shtesë për fazën pas konsumit të produkteve të tyre, me një objektiv specifik në tr</w:t>
      </w:r>
      <w:r w:rsidR="001B7903" w:rsidRPr="00913E39">
        <w:rPr>
          <w:rFonts w:ascii="Garamond" w:hAnsi="Garamond"/>
          <w:sz w:val="24"/>
        </w:rPr>
        <w:t>i</w:t>
      </w:r>
      <w:r w:rsidRPr="00913E39">
        <w:rPr>
          <w:rFonts w:ascii="Garamond" w:hAnsi="Garamond"/>
          <w:sz w:val="24"/>
        </w:rPr>
        <w:t xml:space="preserve"> kategori mbetjesh, njëra prej të cilave janë mbetjet elektronike. Pritet që ky ligj të hyjë në fuqi nga janari i vitit 2025, kjo sidomos për shumicën e projekteve të parashikuara, për faktin se nuk do të ketë zëvendësim të pajisjeve aktuale.</w:t>
      </w:r>
    </w:p>
    <w:p w14:paraId="39933D8E"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Duke iu referuar rasteve të ndryshme të përdorimit të paraqitura në BE</w:t>
      </w:r>
      <w:r w:rsidRPr="00913E39">
        <w:rPr>
          <w:rFonts w:ascii="Garamond" w:hAnsi="Garamond"/>
          <w:sz w:val="24"/>
          <w:vertAlign w:val="superscript"/>
        </w:rPr>
        <w:footnoteReference w:id="55"/>
      </w:r>
      <w:r w:rsidRPr="00913E39">
        <w:rPr>
          <w:rFonts w:ascii="Garamond" w:hAnsi="Garamond"/>
          <w:sz w:val="24"/>
        </w:rPr>
        <w:t xml:space="preserve"> në kuadrin e 5G për komunitetin digjital dhe në studimet</w:t>
      </w:r>
      <w:r w:rsidRPr="00913E39">
        <w:rPr>
          <w:rFonts w:ascii="Garamond" w:hAnsi="Garamond"/>
          <w:sz w:val="24"/>
          <w:vertAlign w:val="superscript"/>
        </w:rPr>
        <w:footnoteReference w:id="56"/>
      </w:r>
      <w:r w:rsidRPr="00913E39">
        <w:rPr>
          <w:rFonts w:ascii="Garamond" w:hAnsi="Garamond"/>
          <w:sz w:val="24"/>
        </w:rPr>
        <w:t xml:space="preserve"> mbi përfitimet e lidhjes digjitale 5G, ndërlidhja digjitale 5G mbështet agjendën e gjelbër në shumë sektorë dhe ndihmon për të fituar avantazhe konkurruese duke ulur emetimet e gazrave serrë, konsumin e energjisë dhe përdorimin e ujit dhe pesticideve nëpërmjet aplikacioneve smart si IoT, M2M, matës digjitalë etj. Për më tepër, sistemet e monitorimit IoT me shumë sensorë të ndotjes së ujit dhe ajrit mundësojnë marrjen e vendimeve të duhura me shpejtësi në një nivel të lokalizuar për të qenë sa më efektive në aspektin e shëndetit të njeriut dhe mbrojtjes së mjedisit. </w:t>
      </w:r>
    </w:p>
    <w:p w14:paraId="60AD3DAF" w14:textId="17F1955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Sipas </w:t>
      </w:r>
      <w:r w:rsidRPr="00913E39">
        <w:rPr>
          <w:rFonts w:ascii="Garamond" w:hAnsi="Garamond"/>
          <w:b/>
          <w:sz w:val="24"/>
        </w:rPr>
        <w:t>Raportit të Progresit 2022 të KE-së në Shqipërinë,</w:t>
      </w:r>
      <w:r w:rsidRPr="00913E39">
        <w:rPr>
          <w:rFonts w:ascii="Garamond" w:hAnsi="Garamond"/>
          <w:sz w:val="24"/>
        </w:rPr>
        <w:t xml:space="preserve"> infrastruktura digjitale vazhdoi të përmirësohej dhe përqindja e ndërmarrjeve me lidhje më të shpejtë (&gt;10 MB/s) në rrjet u rrit nga 79.8% </w:t>
      </w:r>
      <w:r w:rsidR="009214CB" w:rsidRPr="00913E39">
        <w:rPr>
          <w:rFonts w:ascii="Garamond" w:hAnsi="Garamond"/>
          <w:sz w:val="24"/>
        </w:rPr>
        <w:t>m</w:t>
      </w:r>
      <w:r w:rsidRPr="00913E39">
        <w:rPr>
          <w:rFonts w:ascii="Garamond" w:hAnsi="Garamond"/>
          <w:sz w:val="24"/>
        </w:rPr>
        <w:t xml:space="preserve">ë 2020 në 90.5% </w:t>
      </w:r>
      <w:r w:rsidR="009214CB" w:rsidRPr="00913E39">
        <w:rPr>
          <w:rFonts w:ascii="Garamond" w:hAnsi="Garamond"/>
          <w:sz w:val="24"/>
        </w:rPr>
        <w:t>m</w:t>
      </w:r>
      <w:r w:rsidRPr="00913E39">
        <w:rPr>
          <w:rFonts w:ascii="Garamond" w:hAnsi="Garamond"/>
          <w:sz w:val="24"/>
        </w:rPr>
        <w:t xml:space="preserve">ë 2021, por përdorimi i internetit dhe faqet e internetit të ndërmarrjeve </w:t>
      </w:r>
      <w:r w:rsidRPr="00913E39">
        <w:rPr>
          <w:rFonts w:ascii="Garamond" w:hAnsi="Garamond"/>
          <w:sz w:val="24"/>
        </w:rPr>
        <w:lastRenderedPageBreak/>
        <w:t>tregojnë vetëm rritje e vogël. Raporti DESI përfshin të dhëna në lidhje me teknologjinë e integrimit digjitale që u mundëson bizneseve të fitojnë një avantazh konkurrues, të përmirësojnë shërbimet dhe produktet e tyre dhe të zgjerojnë tregjet e tyre. Sipas Raportit DESI 2022, përqindja e ndërmarrjeve me intensitet të mesëm/të lartë të ekoaktiviteteve nëpërmjet TIK-ut për vitin 2021 është 66%. Bazuar në gjetjet e raportit DESI 2021, është zhvilluar një tregues që mat nivelin e mbështetjes që TIK e miratuar i ofron ndërmarrjeve për t</w:t>
      </w:r>
      <w:r w:rsidR="005222A5" w:rsidRPr="00913E39">
        <w:rPr>
          <w:rFonts w:ascii="Garamond" w:hAnsi="Garamond"/>
          <w:sz w:val="24"/>
        </w:rPr>
        <w:t>’</w:t>
      </w:r>
      <w:r w:rsidRPr="00913E39">
        <w:rPr>
          <w:rFonts w:ascii="Garamond" w:hAnsi="Garamond"/>
          <w:sz w:val="24"/>
        </w:rPr>
        <w:t xml:space="preserve">u përfshirë në veprime më miqësore me mjedisin. Gjetjet dalin në përfundimin se teknologjitë digjitale kontribuan në përdorimin e më pak materialeve, pajisjeve ose materialeve të konsumueshme (73%), për të prodhuar më pak mbetje (72%) ose për të përdorur më pak energji (70%). Objektivat për zhvillimin e </w:t>
      </w:r>
      <w:r w:rsidRPr="00913E39">
        <w:rPr>
          <w:rFonts w:ascii="Garamond" w:hAnsi="Garamond"/>
          <w:i/>
          <w:sz w:val="24"/>
        </w:rPr>
        <w:t>broadband</w:t>
      </w:r>
      <w:r w:rsidRPr="00913E39">
        <w:rPr>
          <w:rFonts w:ascii="Garamond" w:hAnsi="Garamond"/>
          <w:sz w:val="24"/>
        </w:rPr>
        <w:t xml:space="preserve"> janë në përputhje me Agjendën Digjitale të BE-së dhe pjesë e prioriteteve të MAP-REA të BP6 të miratuar në Samitin e Triestes më 1 korrik 2017. </w:t>
      </w:r>
    </w:p>
    <w:p w14:paraId="71245F41" w14:textId="12BFF77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Plani TPR 2021</w:t>
      </w:r>
      <w:r w:rsidR="00850FC7" w:rsidRPr="00913E39">
        <w:rPr>
          <w:rFonts w:ascii="Garamond" w:eastAsia="Times New Roman" w:hAnsi="Garamond" w:cs="Times New Roman"/>
          <w:sz w:val="24"/>
          <w:szCs w:val="24"/>
        </w:rPr>
        <w:t>–</w:t>
      </w:r>
      <w:r w:rsidRPr="00913E39">
        <w:rPr>
          <w:rFonts w:ascii="Garamond" w:hAnsi="Garamond"/>
          <w:sz w:val="24"/>
        </w:rPr>
        <w:t xml:space="preserve">2024 i Ballkanit Perëndimor, i miratuar në Samitin e Sofjes në nëntor 2020, synon të integrojë Ballkanin Perëndimor në zonën digjitale </w:t>
      </w:r>
      <w:r w:rsidR="00850FC7" w:rsidRPr="00913E39">
        <w:rPr>
          <w:rFonts w:ascii="Garamond" w:eastAsia="Times New Roman" w:hAnsi="Garamond" w:cs="Times New Roman"/>
          <w:sz w:val="24"/>
          <w:szCs w:val="24"/>
        </w:rPr>
        <w:t>panevropiane</w:t>
      </w:r>
      <w:r w:rsidR="00850FC7" w:rsidRPr="00913E39">
        <w:rPr>
          <w:rFonts w:ascii="Garamond" w:hAnsi="Garamond"/>
          <w:sz w:val="24"/>
        </w:rPr>
        <w:t xml:space="preserve"> </w:t>
      </w:r>
      <w:r w:rsidRPr="00913E39">
        <w:rPr>
          <w:rFonts w:ascii="Garamond" w:hAnsi="Garamond"/>
          <w:sz w:val="24"/>
        </w:rPr>
        <w:t xml:space="preserve">duke ofruar akses në internetin </w:t>
      </w:r>
      <w:r w:rsidRPr="00913E39">
        <w:rPr>
          <w:rFonts w:ascii="Garamond" w:hAnsi="Garamond"/>
          <w:i/>
          <w:sz w:val="24"/>
        </w:rPr>
        <w:t>broadband</w:t>
      </w:r>
      <w:r w:rsidRPr="00913E39">
        <w:rPr>
          <w:rFonts w:ascii="Garamond" w:hAnsi="Garamond"/>
          <w:sz w:val="24"/>
        </w:rPr>
        <w:t xml:space="preserve"> për shumicën dërrmuese të familjeve, në përputhje me parimet dhe praktikat e Tregut Unik Digjitale të BE-së, duke finalizuar procesin e mundësimit të rajonit të </w:t>
      </w:r>
      <w:r w:rsidRPr="00913E39">
        <w:rPr>
          <w:rFonts w:ascii="Garamond" w:hAnsi="Garamond"/>
          <w:i/>
          <w:sz w:val="24"/>
        </w:rPr>
        <w:t>roaming</w:t>
      </w:r>
      <w:r w:rsidRPr="00913E39">
        <w:rPr>
          <w:rFonts w:ascii="Garamond" w:hAnsi="Garamond"/>
          <w:sz w:val="24"/>
        </w:rPr>
        <w:t xml:space="preserve"> pa pagesë BP6, duke ulur ndjeshëm me kalimin e kohës kostot e </w:t>
      </w:r>
      <w:r w:rsidRPr="00913E39">
        <w:rPr>
          <w:rFonts w:ascii="Garamond" w:hAnsi="Garamond"/>
          <w:i/>
          <w:sz w:val="24"/>
        </w:rPr>
        <w:t>roaming</w:t>
      </w:r>
      <w:r w:rsidRPr="00913E39">
        <w:rPr>
          <w:rFonts w:ascii="Garamond" w:hAnsi="Garamond"/>
          <w:sz w:val="24"/>
        </w:rPr>
        <w:t xml:space="preserve"> ndërmjet BP6 dhe BE-së, duke koordinuar metodat e mbrojtjes së të dhënave, duke prezantuar njohjen reciproke të shërbimeve të besimit dhe fillimin e praktikave të reja sfiduese, si Inteligjenca Artificiale, qytetet digjitale, llogaritjen me performancë të lartë etj.</w:t>
      </w:r>
    </w:p>
    <w:p w14:paraId="1B67240C" w14:textId="69843E5B" w:rsidR="00847F23" w:rsidRPr="00913E39" w:rsidRDefault="00847F23" w:rsidP="00FC4C60">
      <w:pPr>
        <w:spacing w:after="0" w:line="240" w:lineRule="auto"/>
        <w:ind w:firstLine="284"/>
        <w:jc w:val="both"/>
        <w:rPr>
          <w:rFonts w:ascii="Garamond" w:hAnsi="Garamond"/>
          <w:sz w:val="24"/>
        </w:rPr>
      </w:pPr>
      <w:bookmarkStart w:id="25" w:name="_Hlk148860087"/>
      <w:r w:rsidRPr="00913E39">
        <w:rPr>
          <w:rFonts w:ascii="Garamond" w:hAnsi="Garamond"/>
          <w:b/>
          <w:sz w:val="24"/>
        </w:rPr>
        <w:t>Programi i Reformës Ekonomike 2023</w:t>
      </w:r>
      <w:r w:rsidR="00850FC7" w:rsidRPr="00913E39">
        <w:rPr>
          <w:rFonts w:ascii="Garamond" w:eastAsia="Times New Roman" w:hAnsi="Garamond" w:cs="Times New Roman"/>
          <w:sz w:val="24"/>
          <w:szCs w:val="24"/>
        </w:rPr>
        <w:t>–</w:t>
      </w:r>
      <w:r w:rsidRPr="00913E39">
        <w:rPr>
          <w:rFonts w:ascii="Garamond" w:hAnsi="Garamond"/>
          <w:b/>
          <w:sz w:val="24"/>
        </w:rPr>
        <w:t>2025</w:t>
      </w:r>
      <w:r w:rsidRPr="00913E39">
        <w:rPr>
          <w:rFonts w:ascii="Garamond" w:hAnsi="Garamond"/>
          <w:sz w:val="24"/>
        </w:rPr>
        <w:t xml:space="preserve"> Masa e reformës #12 </w:t>
      </w:r>
      <w:r w:rsidR="00850FC7" w:rsidRPr="00913E39">
        <w:rPr>
          <w:rFonts w:ascii="Garamond" w:hAnsi="Garamond"/>
          <w:sz w:val="24"/>
        </w:rPr>
        <w:t>“</w:t>
      </w:r>
      <w:r w:rsidRPr="00913E39">
        <w:rPr>
          <w:rFonts w:ascii="Garamond" w:hAnsi="Garamond"/>
          <w:sz w:val="24"/>
        </w:rPr>
        <w:t>Zhvillimi i infrastrukturës broadband për ekonominë digjitale</w:t>
      </w:r>
      <w:r w:rsidR="00850FC7" w:rsidRPr="00913E39">
        <w:rPr>
          <w:rFonts w:ascii="Garamond" w:hAnsi="Garamond"/>
          <w:sz w:val="24"/>
        </w:rPr>
        <w:t>”</w:t>
      </w:r>
      <w:r w:rsidRPr="00913E39">
        <w:rPr>
          <w:rFonts w:ascii="Garamond" w:hAnsi="Garamond"/>
          <w:sz w:val="24"/>
        </w:rPr>
        <w:t xml:space="preserve"> njeh nevojën për zhvillimin e mëtejshëm të infrastrukturës broadband për zhvillimin socialo-ekonomik. </w:t>
      </w:r>
      <w:bookmarkEnd w:id="25"/>
      <w:r w:rsidRPr="00913E39">
        <w:rPr>
          <w:rFonts w:ascii="Garamond" w:hAnsi="Garamond"/>
          <w:sz w:val="24"/>
        </w:rPr>
        <w:t xml:space="preserve">Menaxhimi i shkaqeve të ndotjeve mjedisore të TIK konsiderohet si një levë e rëndësishme për të arritur qëllimet mjedisore të BE-së, përfshirë neutralitetin klimatik. Teknologjitë digjitale identifikohen si një mundësi e madhe për arritjen e këtyre objektivave, duke premtuar reduktime të mëdha të emetimeve të GS-së, ndër të tjera në sektorët e ndërtimit, energjisë, transportit, industrisë dhe bujqësisë dhe duke ndihmuar në krijimin e aftësisë përshtatëse ndaj klimës. </w:t>
      </w:r>
    </w:p>
    <w:p w14:paraId="5EDE9555" w14:textId="108B612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Komisioni në marrëveshjen e tij të gjelbër bën thirrje për </w:t>
      </w:r>
      <w:r w:rsidR="00850FC7" w:rsidRPr="00913E39">
        <w:rPr>
          <w:rFonts w:ascii="Garamond" w:eastAsia="Times New Roman" w:hAnsi="Garamond" w:cs="Times New Roman"/>
          <w:sz w:val="24"/>
          <w:szCs w:val="24"/>
        </w:rPr>
        <w:t>“</w:t>
      </w:r>
      <w:r w:rsidRPr="00913E39">
        <w:rPr>
          <w:rFonts w:ascii="Garamond" w:hAnsi="Garamond"/>
          <w:sz w:val="24"/>
        </w:rPr>
        <w:t>një sektor digjitale që vendos qëndrueshmërinë në zemër</w:t>
      </w:r>
      <w:r w:rsidR="00850FC7" w:rsidRPr="00913E39">
        <w:rPr>
          <w:rFonts w:ascii="Garamond" w:eastAsia="Times New Roman" w:hAnsi="Garamond" w:cs="Times New Roman"/>
          <w:sz w:val="24"/>
          <w:szCs w:val="24"/>
        </w:rPr>
        <w:t>”</w:t>
      </w:r>
      <w:r w:rsidRPr="00913E39">
        <w:rPr>
          <w:rFonts w:ascii="Garamond" w:hAnsi="Garamond"/>
          <w:sz w:val="24"/>
        </w:rPr>
        <w:t xml:space="preserve"> dhe njoftoi marrjen në konsideratë të masave </w:t>
      </w:r>
      <w:r w:rsidR="00850FC7" w:rsidRPr="00913E39">
        <w:rPr>
          <w:rFonts w:ascii="Garamond" w:eastAsia="Times New Roman" w:hAnsi="Garamond" w:cs="Times New Roman"/>
          <w:sz w:val="24"/>
          <w:szCs w:val="24"/>
        </w:rPr>
        <w:t>“</w:t>
      </w:r>
      <w:r w:rsidRPr="00913E39">
        <w:rPr>
          <w:rFonts w:ascii="Garamond" w:hAnsi="Garamond"/>
          <w:sz w:val="24"/>
        </w:rPr>
        <w:t xml:space="preserve">për të përmirësuar efikasitetin e energjisë dhe performancën e ekonomisë qarkulluese të vetë sektorit, nga rrjetet </w:t>
      </w:r>
      <w:r w:rsidRPr="00913E39">
        <w:rPr>
          <w:rFonts w:ascii="Garamond" w:hAnsi="Garamond"/>
          <w:i/>
          <w:sz w:val="24"/>
        </w:rPr>
        <w:t>broadband</w:t>
      </w:r>
      <w:r w:rsidRPr="00913E39">
        <w:rPr>
          <w:rFonts w:ascii="Garamond" w:hAnsi="Garamond"/>
          <w:sz w:val="24"/>
        </w:rPr>
        <w:t xml:space="preserve"> te</w:t>
      </w:r>
      <w:r w:rsidR="000D598C" w:rsidRPr="00913E39">
        <w:rPr>
          <w:rFonts w:ascii="Garamond" w:hAnsi="Garamond"/>
          <w:sz w:val="24"/>
        </w:rPr>
        <w:t>k</w:t>
      </w:r>
      <w:r w:rsidRPr="00913E39">
        <w:rPr>
          <w:rFonts w:ascii="Garamond" w:hAnsi="Garamond"/>
          <w:sz w:val="24"/>
        </w:rPr>
        <w:t xml:space="preserve"> qendrat e të dhënave dhe pajisjet TIK</w:t>
      </w:r>
      <w:r w:rsidR="00850FC7" w:rsidRPr="00913E39">
        <w:rPr>
          <w:rFonts w:ascii="Garamond" w:eastAsia="Times New Roman" w:hAnsi="Garamond" w:cs="Times New Roman"/>
          <w:sz w:val="24"/>
          <w:szCs w:val="24"/>
        </w:rPr>
        <w:t>”</w:t>
      </w:r>
      <w:r w:rsidRPr="00913E39">
        <w:rPr>
          <w:rFonts w:ascii="Garamond" w:hAnsi="Garamond"/>
          <w:sz w:val="24"/>
        </w:rPr>
        <w:t xml:space="preserve"> dhe drejt </w:t>
      </w:r>
      <w:r w:rsidR="00850FC7" w:rsidRPr="00913E39">
        <w:rPr>
          <w:rFonts w:ascii="Garamond" w:hAnsi="Garamond"/>
          <w:sz w:val="24"/>
        </w:rPr>
        <w:t>“</w:t>
      </w:r>
      <w:r w:rsidRPr="00913E39">
        <w:rPr>
          <w:rFonts w:ascii="Garamond" w:hAnsi="Garamond"/>
          <w:sz w:val="24"/>
        </w:rPr>
        <w:t>më shumë transparencë mbi ndikimin mjedisor të shërbimeve të komunikimit elektronik</w:t>
      </w:r>
      <w:r w:rsidR="00850FC7" w:rsidRPr="00913E39">
        <w:rPr>
          <w:rFonts w:ascii="Garamond" w:hAnsi="Garamond"/>
          <w:sz w:val="24"/>
        </w:rPr>
        <w:t>”</w:t>
      </w:r>
      <w:r w:rsidRPr="00913E39">
        <w:rPr>
          <w:rFonts w:ascii="Garamond" w:hAnsi="Garamond"/>
          <w:sz w:val="24"/>
        </w:rPr>
        <w:t xml:space="preserve">. </w:t>
      </w:r>
    </w:p>
    <w:p w14:paraId="1C13C7D4" w14:textId="519C120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Raportin e BEREC-it mbi Qëndrueshmërinë theksohej se TIK do të ketë një rol mundësues në digjitalizimin e vazhdueshëm të shoqërisë, gjë që mund të çojë në ulje të konsiderueshme të konsumit të energjisë në sektorë të tjerë. Në këtë drejtim, propozohet që të fokusohet në infrastrukturat dhe teknologjitë më të mira të disponueshme për sa i përket efikasitetit. U tha se </w:t>
      </w:r>
      <w:r w:rsidR="00850FC7" w:rsidRPr="00913E39">
        <w:rPr>
          <w:rFonts w:ascii="Garamond" w:eastAsia="Times New Roman" w:hAnsi="Garamond" w:cs="Times New Roman"/>
          <w:sz w:val="24"/>
          <w:szCs w:val="24"/>
        </w:rPr>
        <w:t>“</w:t>
      </w:r>
      <w:r w:rsidRPr="00913E39">
        <w:rPr>
          <w:rFonts w:ascii="Garamond" w:hAnsi="Garamond"/>
          <w:sz w:val="24"/>
        </w:rPr>
        <w:t>rregullatorët mund të ndihmojnë duke qëndruar teknologjikisht asnjanës, në mënyrë që teknologjia e vjetër të zëvendësohet dhe të zgjidhet teknologjia më efikase (p.sh. 5G dhe fibra</w:t>
      </w:r>
      <w:r w:rsidRPr="00913E39">
        <w:rPr>
          <w:rFonts w:ascii="Garamond" w:eastAsia="Times New Roman" w:hAnsi="Garamond" w:cs="Times New Roman"/>
          <w:sz w:val="24"/>
          <w:szCs w:val="24"/>
        </w:rPr>
        <w:t>)</w:t>
      </w:r>
      <w:r w:rsidR="00850FC7" w:rsidRPr="00913E39">
        <w:rPr>
          <w:rFonts w:ascii="Garamond" w:eastAsia="Times New Roman" w:hAnsi="Garamond" w:cs="Times New Roman"/>
          <w:sz w:val="24"/>
          <w:szCs w:val="24"/>
        </w:rPr>
        <w:t>”</w:t>
      </w:r>
      <w:r w:rsidRPr="00913E39">
        <w:rPr>
          <w:rFonts w:ascii="Garamond" w:hAnsi="Garamond"/>
          <w:sz w:val="24"/>
          <w:vertAlign w:val="superscript"/>
        </w:rPr>
        <w:footnoteReference w:id="57"/>
      </w:r>
      <w:r w:rsidRPr="00913E39">
        <w:rPr>
          <w:rFonts w:ascii="Garamond" w:hAnsi="Garamond"/>
          <w:sz w:val="24"/>
        </w:rPr>
        <w:t>. Masat e kësaj reforme kanë të bëjnë me investimet në zonat e bardha, zonat rurale dhe të largëta si dhe me Promovimin e Agjendës së Gjelbër duke iniciuar ose mbështetur projektin digjitale të gjelbër të ndërmarrë nga palët e interesuara</w:t>
      </w:r>
      <w:r w:rsidR="00DC6807" w:rsidRPr="00913E39">
        <w:rPr>
          <w:rFonts w:ascii="Garamond" w:hAnsi="Garamond"/>
          <w:sz w:val="24"/>
        </w:rPr>
        <w:t>,</w:t>
      </w:r>
      <w:r w:rsidRPr="00913E39">
        <w:rPr>
          <w:rFonts w:ascii="Garamond" w:hAnsi="Garamond"/>
          <w:sz w:val="24"/>
        </w:rPr>
        <w:t xml:space="preserve"> p.sh.</w:t>
      </w:r>
      <w:r w:rsidR="00DC6807" w:rsidRPr="00913E39">
        <w:rPr>
          <w:rFonts w:ascii="Garamond" w:hAnsi="Garamond"/>
          <w:sz w:val="24"/>
        </w:rPr>
        <w:t>,</w:t>
      </w:r>
      <w:r w:rsidRPr="00913E39">
        <w:rPr>
          <w:rFonts w:ascii="Garamond" w:hAnsi="Garamond"/>
          <w:sz w:val="24"/>
        </w:rPr>
        <w:t xml:space="preserve"> aktorët e tregut. Sa </w:t>
      </w:r>
      <w:r w:rsidR="00E93B9B" w:rsidRPr="00913E39">
        <w:rPr>
          <w:rFonts w:ascii="Garamond" w:hAnsi="Garamond"/>
          <w:sz w:val="24"/>
        </w:rPr>
        <w:t>u</w:t>
      </w:r>
      <w:r w:rsidRPr="00913E39">
        <w:rPr>
          <w:rFonts w:ascii="Garamond" w:hAnsi="Garamond"/>
          <w:sz w:val="24"/>
        </w:rPr>
        <w:t xml:space="preserve"> përket 5G, masat e kësaj reforme përfshijnë zhvillimin e rrjeteve 5G, dhe lëshimin e brezit të frekuencave 700 MHz, Dividendin Digjital 2 (DD2) për zhvillimin e 5G. Për më tepër, ndërhyrja e propozuar është koherente dhe synon të adresojë politikat e mëposhtme të BE-së: Objektivat e Tregut Unik Digjitale të BE</w:t>
      </w:r>
      <w:r w:rsidR="0010145D" w:rsidRPr="00913E39">
        <w:rPr>
          <w:rFonts w:ascii="Garamond" w:hAnsi="Garamond"/>
          <w:sz w:val="24"/>
        </w:rPr>
        <w:t>-së</w:t>
      </w:r>
      <w:r w:rsidRPr="00913E39">
        <w:rPr>
          <w:rFonts w:ascii="Garamond" w:hAnsi="Garamond"/>
          <w:sz w:val="24"/>
        </w:rPr>
        <w:t xml:space="preserve"> 2020; </w:t>
      </w:r>
      <w:bookmarkStart w:id="26" w:name="_Hlk149125258"/>
      <w:r w:rsidRPr="00913E39">
        <w:rPr>
          <w:rFonts w:ascii="Garamond" w:hAnsi="Garamond"/>
          <w:sz w:val="24"/>
        </w:rPr>
        <w:t>Marrëveshja e Gjelbër e BE-së,</w:t>
      </w:r>
      <w:r w:rsidRPr="00913E39">
        <w:rPr>
          <w:rFonts w:ascii="Garamond" w:hAnsi="Garamond"/>
          <w:sz w:val="24"/>
          <w:vertAlign w:val="superscript"/>
        </w:rPr>
        <w:footnoteReference w:id="58"/>
      </w:r>
      <w:bookmarkEnd w:id="26"/>
      <w:r w:rsidRPr="00913E39">
        <w:rPr>
          <w:rFonts w:ascii="Garamond" w:hAnsi="Garamond"/>
          <w:sz w:val="24"/>
        </w:rPr>
        <w:t xml:space="preserve"> Objektivat e BE-së në Shoqëria Gigabit 2025, Plani i Veprimit i BE-së për </w:t>
      </w:r>
      <w:r w:rsidRPr="00913E39">
        <w:rPr>
          <w:rFonts w:ascii="Garamond" w:hAnsi="Garamond"/>
          <w:i/>
          <w:sz w:val="24"/>
        </w:rPr>
        <w:t>Broadband</w:t>
      </w:r>
      <w:r w:rsidRPr="00913E39">
        <w:rPr>
          <w:rFonts w:ascii="Garamond" w:hAnsi="Garamond"/>
          <w:sz w:val="24"/>
        </w:rPr>
        <w:t xml:space="preserve"> në zonat </w:t>
      </w:r>
      <w:r w:rsidR="00DC6807" w:rsidRPr="00913E39">
        <w:rPr>
          <w:rFonts w:ascii="Garamond" w:hAnsi="Garamond"/>
          <w:sz w:val="24"/>
        </w:rPr>
        <w:t>r</w:t>
      </w:r>
      <w:r w:rsidRPr="00913E39">
        <w:rPr>
          <w:rFonts w:ascii="Garamond" w:hAnsi="Garamond"/>
          <w:sz w:val="24"/>
        </w:rPr>
        <w:t xml:space="preserve">urale; Europa 2020 – Një strategji për rritje inteligjente, të qëndrueshme dhe gjithëpërfshirëse me shtyllat e saj në Agjendën Digjitale të BE-së 2020 dhe Programin e Tregut Unik Digjitale, dhe Programin e BE-së për Dekadën. Ai synon të mbështesë Shqipërinë në procesin e integrimit nëpërmjet zbatimit të </w:t>
      </w:r>
      <w:r w:rsidRPr="00913E39">
        <w:rPr>
          <w:rFonts w:ascii="Garamond" w:hAnsi="Garamond"/>
          <w:i/>
          <w:sz w:val="24"/>
        </w:rPr>
        <w:t>acquis</w:t>
      </w:r>
      <w:r w:rsidRPr="00913E39">
        <w:rPr>
          <w:rFonts w:ascii="Garamond" w:hAnsi="Garamond"/>
          <w:sz w:val="24"/>
        </w:rPr>
        <w:t>-it të fundit përkatës të BE-së në lidhje me infrastrukturën digjitale dhe përvojat 5G.</w:t>
      </w:r>
    </w:p>
    <w:p w14:paraId="3DE5E3B6"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lastRenderedPageBreak/>
        <w:t>4. Karakteristikat operacionale të programit</w:t>
      </w:r>
    </w:p>
    <w:p w14:paraId="375D92D6" w14:textId="53623551"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4.1 Ndërveprimi i programit me planet vjetore të veprimit të IPA III ose masat dhe ndërhyrjet nga donatorë të tjerë/</w:t>
      </w:r>
      <w:r w:rsidR="00864192" w:rsidRPr="00913E39">
        <w:rPr>
          <w:rFonts w:ascii="Garamond" w:hAnsi="Garamond"/>
          <w:i/>
          <w:sz w:val="24"/>
        </w:rPr>
        <w:t>institucione financiare ndërkombëtare</w:t>
      </w:r>
    </w:p>
    <w:bookmarkEnd w:id="21"/>
    <w:p w14:paraId="1BD6EDCB"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1: Infrastruktura TIK për shërbime më të mira për shoqërinë</w:t>
      </w:r>
    </w:p>
    <w:p w14:paraId="1F6D3441" w14:textId="24CEFFAB"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864192" w:rsidRPr="00913E39">
        <w:rPr>
          <w:rFonts w:ascii="Garamond" w:hAnsi="Garamond"/>
          <w:i/>
          <w:sz w:val="24"/>
        </w:rPr>
        <w:t xml:space="preserve">fusha </w:t>
      </w:r>
      <w:r w:rsidRPr="00913E39">
        <w:rPr>
          <w:rFonts w:ascii="Garamond" w:hAnsi="Garamond"/>
          <w:i/>
          <w:sz w:val="24"/>
        </w:rPr>
        <w:t xml:space="preserve">e mbështetjes 1.1: Shëndetësia </w:t>
      </w:r>
      <w:r w:rsidR="00864192" w:rsidRPr="00913E39">
        <w:rPr>
          <w:rFonts w:ascii="Garamond" w:hAnsi="Garamond"/>
          <w:i/>
          <w:sz w:val="24"/>
        </w:rPr>
        <w:t>digjitale</w:t>
      </w:r>
    </w:p>
    <w:p w14:paraId="3B7A5B3C" w14:textId="78989F4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Ndihma e donatorëve në sektorin e shëndetësisë që është e rëndësishme për ndërhyrjen e parashikuar në këtë fushë të mbështetjes është </w:t>
      </w:r>
      <w:r w:rsidRPr="00913E39">
        <w:rPr>
          <w:rFonts w:ascii="Garamond" w:hAnsi="Garamond"/>
          <w:i/>
          <w:sz w:val="24"/>
        </w:rPr>
        <w:t>Përmirësimi i Sistemit Shëndetësor i mbështetur nga Banka Botërore</w:t>
      </w:r>
      <w:r w:rsidR="00850FC7" w:rsidRPr="00913E39">
        <w:rPr>
          <w:rFonts w:ascii="Garamond" w:hAnsi="Garamond"/>
          <w:i/>
          <w:sz w:val="24"/>
        </w:rPr>
        <w:t>”</w:t>
      </w:r>
      <w:r w:rsidRPr="00913E39">
        <w:rPr>
          <w:rFonts w:ascii="Garamond" w:hAnsi="Garamond"/>
          <w:i/>
          <w:sz w:val="24"/>
        </w:rPr>
        <w:t xml:space="preserve"> (HSIP).</w:t>
      </w:r>
      <w:r w:rsidRPr="00913E39">
        <w:rPr>
          <w:rFonts w:ascii="Garamond" w:hAnsi="Garamond"/>
          <w:sz w:val="24"/>
        </w:rPr>
        <w:t xml:space="preserve"> Zbatimi i Sistemit Informativ Spitalor Rajonal (RHIS) është në bazë të ligjit nr. 57/2015 </w:t>
      </w:r>
      <w:r w:rsidR="00850FC7" w:rsidRPr="00913E39">
        <w:rPr>
          <w:rFonts w:ascii="Garamond" w:hAnsi="Garamond"/>
          <w:sz w:val="24"/>
        </w:rPr>
        <w:t>“</w:t>
      </w:r>
      <w:r w:rsidRPr="00913E39">
        <w:rPr>
          <w:rFonts w:ascii="Garamond" w:hAnsi="Garamond"/>
          <w:sz w:val="24"/>
        </w:rPr>
        <w:t xml:space="preserve">Për </w:t>
      </w:r>
      <w:r w:rsidR="008B189E" w:rsidRPr="00913E39">
        <w:rPr>
          <w:rFonts w:ascii="Garamond" w:hAnsi="Garamond"/>
          <w:sz w:val="24"/>
        </w:rPr>
        <w:t>ratifiki</w:t>
      </w:r>
      <w:r w:rsidRPr="00913E39">
        <w:rPr>
          <w:rFonts w:ascii="Garamond" w:hAnsi="Garamond"/>
          <w:sz w:val="24"/>
        </w:rPr>
        <w:t>min e Marrëveshjes së Huas ndërmjet Republikës së Shqipërisë dhe Bankës Ndërkombëtare për Rindërtim dhe Zhvillim</w:t>
      </w:r>
      <w:r w:rsidR="00850FC7" w:rsidRPr="00913E39">
        <w:rPr>
          <w:rFonts w:ascii="Garamond" w:hAnsi="Garamond"/>
          <w:sz w:val="24"/>
        </w:rPr>
        <w:t>”</w:t>
      </w:r>
      <w:r w:rsidRPr="00913E39">
        <w:rPr>
          <w:rFonts w:ascii="Garamond" w:hAnsi="Garamond"/>
          <w:sz w:val="24"/>
        </w:rPr>
        <w:t>.</w:t>
      </w:r>
    </w:p>
    <w:p w14:paraId="600ADA6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RHIS është në fazën e zbatimit dhe mbulon digjitalizimin e të gjitha proceseve të punës në spital, si dhe digjitalizimin e të gjitha dokumenteve mjekësore të prodhuara nga epikriza, fletët e daljes, recetat etj., duke përdorur nënshkrimin elektronik për mjekët specialistë. Sistemi do të ofrojë akses në kohë reale në kartelën elektronike të shëndetit dhe historikun e diagnozës së pacientit, si dhe do të përmirësojë efikasitetin e profesionistëve të kujdesit mjekësor duke mundësuar analizën e sëmundshmërisë, vdekjeve, urgjencave, zonave gjeografike, moshës, gjinisë etj. </w:t>
      </w:r>
    </w:p>
    <w:p w14:paraId="1B6A41F8" w14:textId="275E016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Agjencia Kombëtare për Shoqërinë e Informacionit ka marrë një grant WBIF për të përgatitur një studim fizibiliteti për </w:t>
      </w:r>
      <w:r w:rsidR="00864192" w:rsidRPr="00913E39">
        <w:rPr>
          <w:rFonts w:ascii="Garamond" w:hAnsi="Garamond"/>
          <w:sz w:val="24"/>
        </w:rPr>
        <w:t xml:space="preserve">zgjerimin e rrjetit qeveritar </w:t>
      </w:r>
      <w:r w:rsidRPr="00913E39">
        <w:rPr>
          <w:rFonts w:ascii="Garamond" w:hAnsi="Garamond"/>
          <w:sz w:val="24"/>
        </w:rPr>
        <w:t xml:space="preserve">(GovNet) që të sigurojë komunikim më të shpejtë, të besueshëm dhe të sigurt ndërmjet ofruesve të shërbimeve të kujdesit shëndetësor. Rrjeti qeveritar ndërlidh më shumë se 230 institucione publike në Tiranë dhe është gjithashtu rrjeti kryesor i infrastrukturës që përdoret nga platforma </w:t>
      </w:r>
      <w:r w:rsidRPr="00913E39">
        <w:rPr>
          <w:rFonts w:ascii="Garamond" w:hAnsi="Garamond"/>
          <w:i/>
          <w:sz w:val="24"/>
        </w:rPr>
        <w:t>Government Gateway</w:t>
      </w:r>
      <w:r w:rsidRPr="00913E39">
        <w:rPr>
          <w:rFonts w:ascii="Garamond" w:hAnsi="Garamond"/>
          <w:sz w:val="24"/>
        </w:rPr>
        <w:t xml:space="preserve"> (GG) e cila shërben si arkitektura bazë që mundëson shkëmbimin e të dhënave qeveritare në kohë reale në mënyrë të sigurt dhe të besueshme. Projekti i cili tashmë ka filluar dhe pritet të finalizohet brenda mesit të vitit 2024, do të mbulojë Studimin e Fizibilitetit për Zgjerimin e Rrjetit Qeveritar (GovNet) për të siguruar komunikim më të shpejtë, të besueshëm dhe të sigurt ndërmjet ofruesve të shërbimeve shëndetësore. Qëllimi është të rrisë sigurinë e shkëmbimit të të dhënave shëndetësore, të ofrojë shërbime më të mira shëndetësore për qytetarët dhe të krijojë mbulimin e nevojshëm të Rrjetit Qeveritar në të gjithë vendin me qëllim zgjerimin e GovNet-it edhe në institucione të tjera. </w:t>
      </w:r>
    </w:p>
    <w:p w14:paraId="56718DAD"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Me investime të ndryshme që janë bërë në avancimin e sistemeve digjitale të informacionit shëndetësor (të mbështetur edhe nga entitete ndërkombëtare si Banka Botërore dhe Qeveria Austriake), një akses më i shpejtë dhe më i sigurt në të dhënat shëndetësore të pacientëve është thelbësor në të gjitha nivelet e shërbimeve të kujdesit shëndetësor: niveli primar (qendrat mjekësore), niveli sekondar (poliklinika) dhe niveli terciar (spitalet).</w:t>
      </w:r>
    </w:p>
    <w:p w14:paraId="5D5503BB" w14:textId="76D5E3D4"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9214CB" w:rsidRPr="00913E39">
        <w:rPr>
          <w:rFonts w:ascii="Garamond" w:hAnsi="Garamond"/>
          <w:i/>
          <w:sz w:val="24"/>
        </w:rPr>
        <w:t>f</w:t>
      </w:r>
      <w:r w:rsidRPr="00913E39">
        <w:rPr>
          <w:rFonts w:ascii="Garamond" w:hAnsi="Garamond"/>
          <w:i/>
          <w:sz w:val="24"/>
        </w:rPr>
        <w:t xml:space="preserve">usha e mbështetjes 1.2: </w:t>
      </w:r>
      <w:r w:rsidR="009214CB" w:rsidRPr="00913E39">
        <w:rPr>
          <w:rFonts w:ascii="Garamond" w:hAnsi="Garamond"/>
          <w:i/>
          <w:sz w:val="24"/>
        </w:rPr>
        <w:t>D</w:t>
      </w:r>
      <w:r w:rsidRPr="00913E39">
        <w:rPr>
          <w:rFonts w:ascii="Garamond" w:hAnsi="Garamond"/>
          <w:i/>
          <w:sz w:val="24"/>
        </w:rPr>
        <w:t>i</w:t>
      </w:r>
      <w:r w:rsidR="0010145D" w:rsidRPr="00913E39">
        <w:rPr>
          <w:rFonts w:ascii="Garamond" w:hAnsi="Garamond"/>
          <w:i/>
          <w:sz w:val="24"/>
        </w:rPr>
        <w:t>gj</w:t>
      </w:r>
      <w:r w:rsidRPr="00913E39">
        <w:rPr>
          <w:rFonts w:ascii="Garamond" w:hAnsi="Garamond"/>
          <w:i/>
          <w:sz w:val="24"/>
        </w:rPr>
        <w:t>italizimi arsimor</w:t>
      </w:r>
    </w:p>
    <w:p w14:paraId="217D0DA1"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kuadër të IPA II, Ministria e Arsimit dhe Sportit u përfshi në projektin </w:t>
      </w:r>
      <w:r w:rsidRPr="00913E39">
        <w:rPr>
          <w:rFonts w:ascii="Garamond" w:hAnsi="Garamond"/>
          <w:b/>
          <w:sz w:val="24"/>
        </w:rPr>
        <w:t>BE për mësimdhënien</w:t>
      </w:r>
      <w:r w:rsidRPr="00913E39">
        <w:rPr>
          <w:rFonts w:ascii="Garamond" w:hAnsi="Garamond"/>
          <w:sz w:val="24"/>
        </w:rPr>
        <w:t xml:space="preserve"> me vlerë 2 352 941 euro. Objektivi kryesor i projektit është rritja e të nxënit cilësor gjithëpërfshirës të bazuar në njohuritë në arsimin fillor parauniversitar Shqipëri që nuk lë pas asnjë fëmijë, bazuar në procese që pajisin mësuesit me aftësi dhe njohur të mësimdhënies gjithëpërfshirëse. </w:t>
      </w:r>
    </w:p>
    <w:p w14:paraId="55809428" w14:textId="559CC40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Qeveria shqiptare po zbaton një program të ri që synon transformimin digjitale në sistemin arsimor parauniversitar duke mbështetur shkollat me infrastrukturën e nevojshme për rritjen e aftësive digjitale dhe njohurive teknologjike të nxënësve nëpërmjet krijimit të </w:t>
      </w:r>
      <w:r w:rsidRPr="00913E39">
        <w:rPr>
          <w:rFonts w:ascii="Garamond" w:hAnsi="Garamond"/>
          <w:b/>
          <w:sz w:val="24"/>
        </w:rPr>
        <w:t>laboratorëve SMART në shkolla</w:t>
      </w:r>
      <w:r w:rsidRPr="00913E39">
        <w:rPr>
          <w:rFonts w:ascii="Garamond" w:hAnsi="Garamond"/>
          <w:sz w:val="24"/>
        </w:rPr>
        <w:t>, përfshirjes së koncepteve dhe nocioneve të kodimit në klasat 1</w:t>
      </w:r>
      <w:r w:rsidR="0010145D" w:rsidRPr="00913E39">
        <w:rPr>
          <w:rFonts w:ascii="Garamond" w:hAnsi="Garamond"/>
          <w:sz w:val="24"/>
        </w:rPr>
        <w:t>–</w:t>
      </w:r>
      <w:r w:rsidRPr="00913E39">
        <w:rPr>
          <w:rFonts w:ascii="Garamond" w:hAnsi="Garamond"/>
          <w:sz w:val="24"/>
        </w:rPr>
        <w:t>3</w:t>
      </w:r>
      <w:r w:rsidR="0010145D" w:rsidRPr="00913E39">
        <w:rPr>
          <w:rFonts w:ascii="Garamond" w:hAnsi="Garamond"/>
          <w:sz w:val="24"/>
        </w:rPr>
        <w:t>,</w:t>
      </w:r>
      <w:r w:rsidRPr="00913E39">
        <w:rPr>
          <w:rFonts w:ascii="Garamond" w:hAnsi="Garamond"/>
          <w:sz w:val="24"/>
        </w:rPr>
        <w:t xml:space="preserve"> si dhe përditësimit të kurrikulës mësimore aktuale të TIK-ut në klasat IV</w:t>
      </w:r>
      <w:r w:rsidR="009214CB" w:rsidRPr="00913E39">
        <w:rPr>
          <w:rFonts w:ascii="Garamond" w:hAnsi="Garamond"/>
          <w:sz w:val="24"/>
        </w:rPr>
        <w:t>–</w:t>
      </w:r>
      <w:r w:rsidRPr="00913E39">
        <w:rPr>
          <w:rFonts w:ascii="Garamond" w:hAnsi="Garamond"/>
          <w:sz w:val="24"/>
        </w:rPr>
        <w:t>XII. Në këtë kuadër është miratuar kurrikula e lëndës Teknologjia e Informacionit dhe Komunikimit (TIK) për klasën e parë, me synim nxitjen e të menduarit krijues te nxënësit. Në kurrikulën e re, njohuritë për teknologjinë dhe kodimin përfshihen që në klasën e parë. Një platformë specifike (</w:t>
      </w:r>
      <w:r w:rsidRPr="00913E39">
        <w:rPr>
          <w:rFonts w:ascii="Garamond" w:hAnsi="Garamond"/>
          <w:i/>
          <w:sz w:val="24"/>
        </w:rPr>
        <w:t>Code Monkey</w:t>
      </w:r>
      <w:r w:rsidRPr="00913E39">
        <w:rPr>
          <w:rFonts w:ascii="Garamond" w:hAnsi="Garamond"/>
          <w:sz w:val="24"/>
        </w:rPr>
        <w:t xml:space="preserve">) po përdoret për të mësuar konceptet e kodimit në klasën e parë, e krijuar për nxënësit e shkollave fillore. Po sjell një mënyrë krejtësisht të re të të mësuarit, nëpërmjet lojërave të </w:t>
      </w:r>
      <w:r w:rsidRPr="00913E39">
        <w:rPr>
          <w:rFonts w:ascii="Garamond" w:eastAsia="Times New Roman" w:hAnsi="Garamond" w:cs="Times New Roman"/>
          <w:sz w:val="24"/>
          <w:szCs w:val="24"/>
        </w:rPr>
        <w:t>ndërthurura</w:t>
      </w:r>
      <w:r w:rsidRPr="00913E39">
        <w:rPr>
          <w:rFonts w:ascii="Garamond" w:hAnsi="Garamond"/>
          <w:sz w:val="24"/>
        </w:rPr>
        <w:t xml:space="preserve"> me personazhe të dashur për fëmijët, për ta bërë mësimin e teknologjisë sa më tërheqës për ta. Në vitin akademik 2022</w:t>
      </w:r>
      <w:r w:rsidR="009214CB" w:rsidRPr="00913E39">
        <w:rPr>
          <w:rFonts w:ascii="Garamond" w:hAnsi="Garamond"/>
          <w:sz w:val="24"/>
        </w:rPr>
        <w:t>–</w:t>
      </w:r>
      <w:r w:rsidRPr="00913E39">
        <w:rPr>
          <w:rFonts w:ascii="Garamond" w:hAnsi="Garamond"/>
          <w:sz w:val="24"/>
        </w:rPr>
        <w:t xml:space="preserve">2023, zbatimi i TIK-ut si lëndë ka nisur që në klasën e parë me fokus kodimin në 100 shkolla pilot në 34 qytete të vendit, ku përfitues janë 7079 nxënës. </w:t>
      </w:r>
    </w:p>
    <w:p w14:paraId="39864B50" w14:textId="209C34E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 xml:space="preserve">Disa donatorë po mbështesin investimin e kërkuar, duke përfshirë Fondacionin Shqiptaro-Amerikan për Zhvillim, fondacionin OSFA, Qeverinë e Mbretërisë së Bashkuar/Këshillin Britanik (nëpërmjet programit </w:t>
      </w:r>
      <w:r w:rsidR="00850FC7" w:rsidRPr="00913E39">
        <w:rPr>
          <w:rFonts w:ascii="Garamond" w:eastAsia="Times New Roman" w:hAnsi="Garamond" w:cs="Times New Roman"/>
          <w:sz w:val="24"/>
          <w:szCs w:val="24"/>
        </w:rPr>
        <w:t>“</w:t>
      </w:r>
      <w:r w:rsidRPr="00913E39">
        <w:rPr>
          <w:rFonts w:ascii="Garamond" w:hAnsi="Garamond"/>
          <w:sz w:val="24"/>
        </w:rPr>
        <w:t>Shkollat e shekullit 21</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Bankën Ndërkombëtare për Rindërtim dhe Zhvillim (Bankën Botërore), Kornizën e Investimeve në Ballkanin Perëndimor (WBIF) dhe Bankën e Këshillit të </w:t>
      </w:r>
      <w:r w:rsidRPr="00913E39">
        <w:rPr>
          <w:rFonts w:ascii="Garamond" w:eastAsia="Times New Roman" w:hAnsi="Garamond" w:cs="Times New Roman"/>
          <w:sz w:val="24"/>
          <w:szCs w:val="24"/>
        </w:rPr>
        <w:t>E</w:t>
      </w:r>
      <w:r w:rsidR="00850FC7" w:rsidRPr="00913E39">
        <w:rPr>
          <w:rFonts w:ascii="Garamond" w:eastAsia="Times New Roman" w:hAnsi="Garamond" w:cs="Times New Roman"/>
          <w:sz w:val="24"/>
          <w:szCs w:val="24"/>
        </w:rPr>
        <w:t>v</w:t>
      </w:r>
      <w:r w:rsidRPr="00913E39">
        <w:rPr>
          <w:rFonts w:ascii="Garamond" w:eastAsia="Times New Roman" w:hAnsi="Garamond" w:cs="Times New Roman"/>
          <w:sz w:val="24"/>
          <w:szCs w:val="24"/>
        </w:rPr>
        <w:t>ropës</w:t>
      </w:r>
      <w:r w:rsidRPr="00913E39">
        <w:rPr>
          <w:rFonts w:ascii="Garamond" w:hAnsi="Garamond"/>
          <w:sz w:val="24"/>
        </w:rPr>
        <w:t xml:space="preserve"> (CEB). Negociatat me Bankën Botërore për shtrirjen e këtij projekti </w:t>
      </w:r>
      <w:r w:rsidR="00211362" w:rsidRPr="00913E39">
        <w:rPr>
          <w:rFonts w:ascii="Garamond" w:hAnsi="Garamond"/>
          <w:sz w:val="24"/>
        </w:rPr>
        <w:t>m</w:t>
      </w:r>
      <w:r w:rsidRPr="00913E39">
        <w:rPr>
          <w:rFonts w:ascii="Garamond" w:hAnsi="Garamond"/>
          <w:sz w:val="24"/>
        </w:rPr>
        <w:t xml:space="preserve">ë 200 shkolla të tjera janë mbyllur, duke siguruar kështu infrastrukturën e duhur me një tipologji unike për krijimin e mjediseve të përshtatshme për zhvillimin e njohurive të qëndrueshme TIK. Kjo tipologji synon të krijojë laboratorë Smart në këto 200 shkolla, ku nxënësit që nga klasa e parë do të mund të përdorin platformën </w:t>
      </w:r>
      <w:r w:rsidRPr="00913E39">
        <w:rPr>
          <w:rFonts w:ascii="Garamond" w:hAnsi="Garamond"/>
          <w:i/>
          <w:sz w:val="24"/>
        </w:rPr>
        <w:t>Code Monkey</w:t>
      </w:r>
      <w:r w:rsidRPr="00913E39">
        <w:rPr>
          <w:rFonts w:ascii="Garamond" w:hAnsi="Garamond"/>
          <w:sz w:val="24"/>
        </w:rPr>
        <w:t>. Projekti parashikon trajnimin e mësuesve të TIK-ut dhe mësuesve të lëndëve të tjera në përdorimin e infrastrukturës së TIK-ut dhe përdorimin e mjeteve të TIK-ut që mundësojnë mësimdhënien dhe të nxënit, duke stimuluar kështu të nxënit e kombinuar. WBIF ka miratuar një grant për të mbështetur ngritjen e laboratorëve Smart në pjesën tjetër të arsimit parauniversitar (684 shkolla), në bashkëpunim me mbështetjen financiare të Këshillit të Bankës Evropiane për Zhvillim.</w:t>
      </w:r>
    </w:p>
    <w:p w14:paraId="700407E3" w14:textId="24A4AC18"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Inteligjenca artificiale për të rinjtë</w:t>
      </w:r>
      <w:r w:rsidRPr="00913E39">
        <w:rPr>
          <w:rFonts w:ascii="Garamond" w:hAnsi="Garamond"/>
          <w:sz w:val="24"/>
        </w:rPr>
        <w:t xml:space="preserve"> është një program i ri që do të trajnojë nxënësit shqiptarë në fushën e teknologjisë dhe AI, etikën e biznesit, të menduarit kritik dhe zgjidhjen e problemeve. Vizioni është transformimi digjitale në sistemin arsimor parauniversitar duke mbështetur shkollat me infrastrukturën e nevojshme dhe të qëndrueshme për rritjen e aftësive digjitale dhe njohurive teknologjike për nxënësit shqiptarë të moshës 13-19 vjeç në teknologji, konkretisht në fushën e Inteligjencës Artificiale. Ky program zhvillohet mes një bashkëpunimi të AADF dhe Intel Corporation Inc. për edukimin e nxënësve shqiptarë të moshës 13</w:t>
      </w:r>
      <w:r w:rsidR="0010145D" w:rsidRPr="00913E39">
        <w:rPr>
          <w:rFonts w:ascii="Garamond" w:hAnsi="Garamond"/>
          <w:sz w:val="24"/>
        </w:rPr>
        <w:t>–</w:t>
      </w:r>
      <w:r w:rsidRPr="00913E39">
        <w:rPr>
          <w:rFonts w:ascii="Garamond" w:hAnsi="Garamond"/>
          <w:sz w:val="24"/>
        </w:rPr>
        <w:t xml:space="preserve">19 vjeç në teknologji, veçanërisht në fushën e inteligjencës artificiale. Pjesë e projektit janë bërë 9 shkolla të arsimit të mesëm të lartë dhe janë ndërtuar 6 laboratorë Smart dhe përfitues janë 160 nxënës dhe 24 mësues të trajnuar. </w:t>
      </w:r>
    </w:p>
    <w:p w14:paraId="65AF88C6"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 xml:space="preserve">Siguria e internetit </w:t>
      </w:r>
    </w:p>
    <w:p w14:paraId="1A1EF0C5" w14:textId="07BCF5C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MAS</w:t>
      </w:r>
      <w:r w:rsidR="0010145D" w:rsidRPr="00913E39">
        <w:rPr>
          <w:rFonts w:ascii="Garamond" w:hAnsi="Garamond"/>
          <w:sz w:val="24"/>
        </w:rPr>
        <w:t>-i</w:t>
      </w:r>
      <w:r w:rsidRPr="00913E39">
        <w:rPr>
          <w:rFonts w:ascii="Garamond" w:hAnsi="Garamond"/>
          <w:sz w:val="24"/>
        </w:rPr>
        <w:t xml:space="preserve"> është pjesë e komunitetit online </w:t>
      </w:r>
      <w:r w:rsidRPr="00913E39">
        <w:rPr>
          <w:rFonts w:ascii="Garamond" w:hAnsi="Garamond"/>
          <w:b/>
          <w:sz w:val="24"/>
        </w:rPr>
        <w:t>ESEP/eTwinning</w:t>
      </w:r>
      <w:r w:rsidRPr="00913E39">
        <w:rPr>
          <w:rFonts w:ascii="Garamond" w:hAnsi="Garamond"/>
          <w:sz w:val="24"/>
        </w:rPr>
        <w:t xml:space="preserve"> (Sistemi Evropian i Arsimit në Shkollë) që nga viti 2014. Projekti është pjesë e programit Erasmus+ dhe vizioni i tij është të krijojë një komunitet online mësuesish në nivel ndërkombëtar, të cilët ndajnë përvojat dhe zhvillojnë mësimdhënien kompetencat e bazuara në integrimin e teknologjisë. </w:t>
      </w:r>
    </w:p>
    <w:p w14:paraId="30076B11" w14:textId="72BC6D2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MAS</w:t>
      </w:r>
      <w:r w:rsidR="00850FC7" w:rsidRPr="00913E39">
        <w:rPr>
          <w:rFonts w:ascii="Garamond" w:eastAsia="Times New Roman" w:hAnsi="Garamond" w:cs="Times New Roman"/>
          <w:sz w:val="24"/>
          <w:szCs w:val="24"/>
        </w:rPr>
        <w:t>-i</w:t>
      </w:r>
      <w:r w:rsidRPr="00913E39">
        <w:rPr>
          <w:rFonts w:ascii="Garamond" w:hAnsi="Garamond"/>
          <w:sz w:val="24"/>
        </w:rPr>
        <w:t xml:space="preserve">, në bashkëpunim me Fondacionin </w:t>
      </w:r>
      <w:r w:rsidR="00850FC7" w:rsidRPr="00913E39">
        <w:rPr>
          <w:rFonts w:ascii="Garamond" w:eastAsia="Times New Roman" w:hAnsi="Garamond" w:cs="Times New Roman"/>
          <w:sz w:val="24"/>
          <w:szCs w:val="24"/>
        </w:rPr>
        <w:t>“</w:t>
      </w:r>
      <w:r w:rsidRPr="00913E39">
        <w:rPr>
          <w:rFonts w:ascii="Garamond" w:hAnsi="Garamond"/>
          <w:sz w:val="24"/>
        </w:rPr>
        <w:t>Vodafone Albania</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po zbaton projektin </w:t>
      </w:r>
      <w:r w:rsidR="00850FC7" w:rsidRPr="00913E39">
        <w:rPr>
          <w:rFonts w:ascii="Garamond" w:eastAsia="Times New Roman" w:hAnsi="Garamond" w:cs="Times New Roman"/>
          <w:sz w:val="24"/>
          <w:szCs w:val="24"/>
        </w:rPr>
        <w:t>“</w:t>
      </w:r>
      <w:r w:rsidRPr="00913E39">
        <w:rPr>
          <w:rFonts w:ascii="Garamond" w:hAnsi="Garamond"/>
          <w:sz w:val="24"/>
        </w:rPr>
        <w:t>STEM</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i cili është një projekt gjithëpërfshirës, edukativ, vizionar që do të kontribuojë në zhvillimin e njohurive të mësuesve dhe nxënësve të shkollave të përzgjedhura në fushën e shkencës dhe teknologjisë duke mundësuar një kuptim më të mirë në drejtim të gjetjes së zgjidhjeve të përshtatshme digjitale. </w:t>
      </w:r>
    </w:p>
    <w:p w14:paraId="27A3392E"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Me nismën e MAS-it, me financim dhe mbështetje nga AADF</w:t>
      </w:r>
      <w:r w:rsidR="00850FC7" w:rsidRPr="00913E39">
        <w:rPr>
          <w:rFonts w:ascii="Garamond" w:eastAsia="Times New Roman" w:hAnsi="Garamond" w:cs="Times New Roman"/>
          <w:sz w:val="24"/>
          <w:szCs w:val="24"/>
        </w:rPr>
        <w:t>-ja</w:t>
      </w:r>
      <w:r w:rsidRPr="00913E39">
        <w:rPr>
          <w:rFonts w:ascii="Garamond" w:hAnsi="Garamond"/>
          <w:sz w:val="24"/>
        </w:rPr>
        <w:t xml:space="preserve">, programi </w:t>
      </w:r>
      <w:r w:rsidRPr="00913E39">
        <w:rPr>
          <w:rFonts w:ascii="Garamond" w:hAnsi="Garamond"/>
          <w:i/>
          <w:sz w:val="24"/>
        </w:rPr>
        <w:t>Clean Score,</w:t>
      </w:r>
      <w:r w:rsidRPr="00913E39">
        <w:rPr>
          <w:rFonts w:ascii="Garamond" w:hAnsi="Garamond"/>
          <w:sz w:val="24"/>
        </w:rPr>
        <w:t xml:space="preserve"> i zbatuar në bazë të Memorandumit të Mirëkuptimit të nënshkruar ndërmjet palëve, si dhe Marrëveshjeve me universitetet partnere, synon zbatimin e korrigjimit të automatizuar të provimeve në universitete, duke rritur ndjeshëm transparencën në vlerësimin e studentëve. Aktualisht është vendosur bashkëpunim me 11 universitete publike dhe 2 private. </w:t>
      </w:r>
    </w:p>
    <w:p w14:paraId="3BD5508F" w14:textId="6273B8B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kuadër të projektit </w:t>
      </w:r>
      <w:r w:rsidR="00850FC7" w:rsidRPr="00913E39">
        <w:rPr>
          <w:rFonts w:ascii="Garamond" w:eastAsia="Times New Roman" w:hAnsi="Garamond" w:cs="Times New Roman"/>
          <w:sz w:val="24"/>
          <w:szCs w:val="24"/>
        </w:rPr>
        <w:t>“</w:t>
      </w:r>
      <w:r w:rsidRPr="00913E39">
        <w:rPr>
          <w:rFonts w:ascii="Garamond" w:hAnsi="Garamond"/>
          <w:sz w:val="24"/>
        </w:rPr>
        <w:t>BE</w:t>
      </w:r>
      <w:r w:rsidR="00564DC3" w:rsidRPr="00913E39">
        <w:rPr>
          <w:rFonts w:ascii="Garamond" w:hAnsi="Garamond"/>
          <w:sz w:val="24"/>
        </w:rPr>
        <w:t>-ja</w:t>
      </w:r>
      <w:r w:rsidRPr="00913E39">
        <w:rPr>
          <w:rFonts w:ascii="Garamond" w:hAnsi="Garamond"/>
          <w:sz w:val="24"/>
        </w:rPr>
        <w:t xml:space="preserve"> për shkollat</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një projekt i financuar nga BE</w:t>
      </w:r>
      <w:r w:rsidR="00223E9D" w:rsidRPr="00913E39">
        <w:rPr>
          <w:rFonts w:ascii="Garamond" w:hAnsi="Garamond"/>
          <w:sz w:val="24"/>
        </w:rPr>
        <w:t>-ja</w:t>
      </w:r>
      <w:r w:rsidRPr="00913E39">
        <w:rPr>
          <w:rFonts w:ascii="Garamond" w:hAnsi="Garamond"/>
          <w:sz w:val="24"/>
        </w:rPr>
        <w:t xml:space="preserve"> dhe i zbatuar nga UNDP, shkollat e sapondërtuara të këtij projekti janë rikonstruktuar duke ndjekur udhëzimet Evropiane për </w:t>
      </w:r>
      <w:r w:rsidRPr="00913E39">
        <w:rPr>
          <w:rFonts w:ascii="Garamond" w:eastAsia="Times New Roman" w:hAnsi="Garamond" w:cs="Times New Roman"/>
          <w:sz w:val="24"/>
          <w:szCs w:val="24"/>
        </w:rPr>
        <w:t>efi</w:t>
      </w:r>
      <w:r w:rsidR="00850FC7" w:rsidRPr="00913E39">
        <w:rPr>
          <w:rFonts w:ascii="Garamond" w:eastAsia="Times New Roman" w:hAnsi="Garamond" w:cs="Times New Roman"/>
          <w:sz w:val="24"/>
          <w:szCs w:val="24"/>
        </w:rPr>
        <w:t>ci</w:t>
      </w:r>
      <w:r w:rsidRPr="00913E39">
        <w:rPr>
          <w:rFonts w:ascii="Garamond" w:eastAsia="Times New Roman" w:hAnsi="Garamond" w:cs="Times New Roman"/>
          <w:sz w:val="24"/>
          <w:szCs w:val="24"/>
        </w:rPr>
        <w:t>encën</w:t>
      </w:r>
      <w:r w:rsidRPr="00913E39">
        <w:rPr>
          <w:rFonts w:ascii="Garamond" w:hAnsi="Garamond"/>
          <w:sz w:val="24"/>
        </w:rPr>
        <w:t xml:space="preserve"> e energjisë dhe mbetjet elektronike. Pajisjet e TIK-ut të vendosura në këto shkolla janë në përputhje me standardet përkatëse </w:t>
      </w:r>
      <w:r w:rsidR="00A0365C" w:rsidRPr="00913E39">
        <w:rPr>
          <w:rFonts w:ascii="Garamond" w:hAnsi="Garamond"/>
          <w:sz w:val="24"/>
        </w:rPr>
        <w:t>e</w:t>
      </w:r>
      <w:r w:rsidRPr="00913E39">
        <w:rPr>
          <w:rFonts w:ascii="Garamond" w:hAnsi="Garamond"/>
          <w:sz w:val="24"/>
        </w:rPr>
        <w:t xml:space="preserve">vropiane që kanë të bëjnë me mbetjet elektronike. Në kuadër të WBIF, është duke u bërë një vlerësim në 16 shkolla lidhur me parimet e </w:t>
      </w:r>
      <w:r w:rsidRPr="00913E39">
        <w:rPr>
          <w:rFonts w:ascii="Garamond" w:eastAsia="Times New Roman" w:hAnsi="Garamond" w:cs="Times New Roman"/>
          <w:sz w:val="24"/>
          <w:szCs w:val="24"/>
        </w:rPr>
        <w:t>efic</w:t>
      </w:r>
      <w:r w:rsidR="00850FC7" w:rsidRPr="00913E39">
        <w:rPr>
          <w:rFonts w:ascii="Garamond" w:eastAsia="Times New Roman" w:hAnsi="Garamond" w:cs="Times New Roman"/>
          <w:sz w:val="24"/>
          <w:szCs w:val="24"/>
        </w:rPr>
        <w:t>i</w:t>
      </w:r>
      <w:r w:rsidRPr="00913E39">
        <w:rPr>
          <w:rFonts w:ascii="Garamond" w:eastAsia="Times New Roman" w:hAnsi="Garamond" w:cs="Times New Roman"/>
          <w:sz w:val="24"/>
          <w:szCs w:val="24"/>
        </w:rPr>
        <w:t>encës</w:t>
      </w:r>
      <w:r w:rsidRPr="00913E39">
        <w:rPr>
          <w:rFonts w:ascii="Garamond" w:hAnsi="Garamond"/>
          <w:sz w:val="24"/>
        </w:rPr>
        <w:t xml:space="preserve"> së energjisë. Në këtë drejtim, pyetësori i vlerësimit përfshin edhe element</w:t>
      </w:r>
      <w:r w:rsidR="00B1253D" w:rsidRPr="00913E39">
        <w:rPr>
          <w:rFonts w:ascii="Garamond" w:hAnsi="Garamond"/>
          <w:sz w:val="24"/>
        </w:rPr>
        <w:t>e</w:t>
      </w:r>
      <w:r w:rsidRPr="00913E39">
        <w:rPr>
          <w:rFonts w:ascii="Garamond" w:hAnsi="Garamond"/>
          <w:sz w:val="24"/>
        </w:rPr>
        <w:t xml:space="preserve"> që kanë të bëjnë me mbetjet elektronike.</w:t>
      </w:r>
    </w:p>
    <w:p w14:paraId="337B34A4" w14:textId="72DDE8BD"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2: Integrimi me sistemet e teknologjisë së informacionit të BE-së, siguria kibernetike</w:t>
      </w:r>
      <w:r w:rsidR="00B851D3" w:rsidRPr="00913E39">
        <w:rPr>
          <w:rFonts w:ascii="Garamond" w:hAnsi="Garamond"/>
          <w:i/>
          <w:sz w:val="24"/>
        </w:rPr>
        <w:t xml:space="preserve"> </w:t>
      </w:r>
      <w:r w:rsidRPr="00913E39">
        <w:rPr>
          <w:rFonts w:ascii="Garamond" w:hAnsi="Garamond"/>
          <w:i/>
          <w:sz w:val="24"/>
        </w:rPr>
        <w:t>dhe ndërlidhja digjitale</w:t>
      </w:r>
    </w:p>
    <w:p w14:paraId="189F56AB" w14:textId="435B536C"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10145D" w:rsidRPr="00913E39">
        <w:rPr>
          <w:rFonts w:ascii="Garamond" w:hAnsi="Garamond"/>
          <w:i/>
          <w:sz w:val="24"/>
        </w:rPr>
        <w:t>f</w:t>
      </w:r>
      <w:r w:rsidRPr="00913E39">
        <w:rPr>
          <w:rFonts w:ascii="Garamond" w:hAnsi="Garamond"/>
          <w:i/>
          <w:sz w:val="24"/>
        </w:rPr>
        <w:t>usha e mbështetjes 2.1: Tatimet</w:t>
      </w:r>
    </w:p>
    <w:p w14:paraId="33CC89FE" w14:textId="3D6FD97B"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Fondi Monetar Ndërkombëtar (FMN), në bashkëpunim me Komisionin Evropian dhe Sekretariatin Zviceran për Çështjet Ekonomike (SECO)</w:t>
      </w:r>
      <w:r w:rsidRPr="00913E39">
        <w:rPr>
          <w:rFonts w:ascii="Garamond" w:hAnsi="Garamond"/>
          <w:sz w:val="24"/>
        </w:rPr>
        <w:t xml:space="preserve">, po zbaton një program për zhvillimin e kapaciteteve në mbështetje të institucioneve fiskale në Ballkanin Perëndimor, përkatësisht në Shqipëri, Bosnjë dhe Hercegovinë, Kosovë, Mal i Zi, Maqedoni e Veriut dhe Serbi. Programi, i </w:t>
      </w:r>
      <w:r w:rsidRPr="00913E39">
        <w:rPr>
          <w:rFonts w:ascii="Garamond" w:hAnsi="Garamond"/>
          <w:sz w:val="24"/>
        </w:rPr>
        <w:lastRenderedPageBreak/>
        <w:t xml:space="preserve">njohur si programi i reformës për </w:t>
      </w:r>
      <w:r w:rsidR="00860735" w:rsidRPr="00913E39">
        <w:rPr>
          <w:rFonts w:ascii="Garamond" w:hAnsi="Garamond"/>
          <w:sz w:val="24"/>
        </w:rPr>
        <w:t>administrimin e të ardhurave dhe menaxhimin e financave publike</w:t>
      </w:r>
      <w:r w:rsidRPr="00913E39">
        <w:rPr>
          <w:rFonts w:ascii="Garamond" w:hAnsi="Garamond"/>
          <w:sz w:val="24"/>
        </w:rPr>
        <w:t xml:space="preserve"> (MFP), ka kaluar tashmë dy faza (SEE I dhe SEE II) dhe ka mbështetur forcimin e kapaciteteve institucionale dhe njerëzore të institucioneve fiskale në vendet përfituese. Ai</w:t>
      </w:r>
      <w:r w:rsidR="00847C6A" w:rsidRPr="00913E39">
        <w:rPr>
          <w:rFonts w:ascii="Garamond" w:hAnsi="Garamond"/>
          <w:sz w:val="24"/>
        </w:rPr>
        <w:t>,</w:t>
      </w:r>
      <w:r w:rsidRPr="00913E39">
        <w:rPr>
          <w:rFonts w:ascii="Garamond" w:hAnsi="Garamond"/>
          <w:sz w:val="24"/>
        </w:rPr>
        <w:t xml:space="preserve"> gjithashtu</w:t>
      </w:r>
      <w:r w:rsidR="00847C6A" w:rsidRPr="00913E39">
        <w:rPr>
          <w:rFonts w:ascii="Garamond" w:hAnsi="Garamond"/>
          <w:sz w:val="24"/>
        </w:rPr>
        <w:t>,</w:t>
      </w:r>
      <w:r w:rsidRPr="00913E39">
        <w:rPr>
          <w:rFonts w:ascii="Garamond" w:hAnsi="Garamond"/>
          <w:sz w:val="24"/>
        </w:rPr>
        <w:t xml:space="preserve"> ka lehtësuar reforma të rëndësishme në këto fusha, duke përfshirë adresimin e sfidave në zhvillim si ato të paraqitura nga pandemia COVID-19.</w:t>
      </w:r>
    </w:p>
    <w:p w14:paraId="48D6A961" w14:textId="002F379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Faza e tretë në vazhdim e programit (2023</w:t>
      </w:r>
      <w:r w:rsidR="0010145D" w:rsidRPr="00913E39">
        <w:rPr>
          <w:rFonts w:ascii="Garamond" w:hAnsi="Garamond"/>
          <w:sz w:val="24"/>
        </w:rPr>
        <w:t>–</w:t>
      </w:r>
      <w:r w:rsidRPr="00913E39">
        <w:rPr>
          <w:rFonts w:ascii="Garamond" w:hAnsi="Garamond"/>
          <w:sz w:val="24"/>
        </w:rPr>
        <w:t xml:space="preserve">2026) kërkon të ofrojë ekspertizë teknike thelbësore për të mbështetur përpjekjet e rimëkëmbjes në periudhën pas pandemisë dhe për të zbutur efektet e përhapura. Objektivat </w:t>
      </w:r>
      <w:r w:rsidRPr="00913E39">
        <w:rPr>
          <w:rFonts w:ascii="Garamond" w:eastAsia="Times New Roman" w:hAnsi="Garamond" w:cs="Times New Roman"/>
          <w:bCs/>
          <w:sz w:val="24"/>
          <w:szCs w:val="24"/>
        </w:rPr>
        <w:t>kryesor</w:t>
      </w:r>
      <w:r w:rsidR="00850FC7" w:rsidRPr="00913E39">
        <w:rPr>
          <w:rFonts w:ascii="Garamond" w:eastAsia="Times New Roman" w:hAnsi="Garamond" w:cs="Times New Roman"/>
          <w:bCs/>
          <w:sz w:val="24"/>
          <w:szCs w:val="24"/>
        </w:rPr>
        <w:t>ë</w:t>
      </w:r>
      <w:r w:rsidRPr="00913E39">
        <w:rPr>
          <w:rFonts w:ascii="Garamond" w:hAnsi="Garamond"/>
          <w:sz w:val="24"/>
        </w:rPr>
        <w:t xml:space="preserve"> të kësaj faze janë përmirësimi i praktikave të menaxhimit të riskut fiskal, përmirësimi i efikasitetit të investimeve publike, eliminimi i stimujve joproduktivë tatimorë për të rritur efikasitetin e të ardhurave, adresimi i çështjeve strukturore për të siguruar gjenerim të barabartë të të ardhurave, forcimi i pajtueshmërisë së tatimpaguesve dhe përmirësimi i funksioneve kryesore të administrimit të të ardhurave.</w:t>
      </w:r>
    </w:p>
    <w:p w14:paraId="6E2CD719" w14:textId="20E81A5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Përveç programit të FMN-së, DPT ka iniciuar një projekt bashkëpunimi trevjeçar (2023</w:t>
      </w:r>
      <w:r w:rsidR="0010145D" w:rsidRPr="00913E39">
        <w:rPr>
          <w:rFonts w:ascii="Garamond" w:hAnsi="Garamond"/>
          <w:sz w:val="24"/>
        </w:rPr>
        <w:t>–</w:t>
      </w:r>
      <w:r w:rsidRPr="00913E39">
        <w:rPr>
          <w:rFonts w:ascii="Garamond" w:hAnsi="Garamond"/>
          <w:sz w:val="24"/>
        </w:rPr>
        <w:t xml:space="preserve">2025) me </w:t>
      </w:r>
      <w:r w:rsidRPr="00913E39">
        <w:rPr>
          <w:rFonts w:ascii="Garamond" w:hAnsi="Garamond"/>
          <w:b/>
          <w:sz w:val="24"/>
        </w:rPr>
        <w:t>Agjencinë Suedeze të Taksave (STA), mbështetur nga Agjencia Suedeze për Bashkëpunim Ndërkombëtar për Zhvillim (SIDA)</w:t>
      </w:r>
      <w:r w:rsidRPr="00913E39">
        <w:rPr>
          <w:rFonts w:ascii="Garamond" w:hAnsi="Garamond"/>
          <w:sz w:val="24"/>
        </w:rPr>
        <w:t>. Qëllimi i përgjithshëm është të mbështesë DPT-në në arritjen e zhvillimit dhe progresit të nevojshëm bazuar në draftin e SAMA 2022</w:t>
      </w:r>
      <w:r w:rsidR="0010145D" w:rsidRPr="00913E39">
        <w:rPr>
          <w:rFonts w:ascii="Garamond" w:hAnsi="Garamond"/>
          <w:sz w:val="24"/>
        </w:rPr>
        <w:t>–</w:t>
      </w:r>
      <w:r w:rsidRPr="00913E39">
        <w:rPr>
          <w:rFonts w:ascii="Garamond" w:hAnsi="Garamond"/>
          <w:sz w:val="24"/>
        </w:rPr>
        <w:t xml:space="preserve">2026. Ky projekt bashkëpunimi do të fokusohet kryesisht në pesë komponentë kyç: krijimi i një kulture të fortë integriteti, përmirësimi i menaxhimit sipas riskut, përmirësimi i shërbimit ndaj tatimpaguesve, forcimi i funksionit të kontrollit tatimor dhe përmirësimi dhe zhvillimi i proceseve të biznesit brenda DPT-së. Duke vënë theksin në qeverisjen e mirë, pajtueshmërinë vullnetare dhe zhvillimin e biznesit, ky projekt synon të forcojë efektivitetin dhe </w:t>
      </w:r>
      <w:r w:rsidRPr="00913E39">
        <w:rPr>
          <w:rFonts w:ascii="Garamond" w:eastAsia="Times New Roman" w:hAnsi="Garamond" w:cs="Times New Roman"/>
          <w:bCs/>
          <w:sz w:val="24"/>
          <w:szCs w:val="24"/>
        </w:rPr>
        <w:t>efi</w:t>
      </w:r>
      <w:r w:rsidR="00850FC7" w:rsidRPr="00913E39">
        <w:rPr>
          <w:rFonts w:ascii="Garamond" w:eastAsia="Times New Roman" w:hAnsi="Garamond" w:cs="Times New Roman"/>
          <w:bCs/>
          <w:sz w:val="24"/>
          <w:szCs w:val="24"/>
        </w:rPr>
        <w:t>ci</w:t>
      </w:r>
      <w:r w:rsidRPr="00913E39">
        <w:rPr>
          <w:rFonts w:ascii="Garamond" w:eastAsia="Times New Roman" w:hAnsi="Garamond" w:cs="Times New Roman"/>
          <w:bCs/>
          <w:sz w:val="24"/>
          <w:szCs w:val="24"/>
        </w:rPr>
        <w:t>encën</w:t>
      </w:r>
      <w:r w:rsidRPr="00913E39">
        <w:rPr>
          <w:rFonts w:ascii="Garamond" w:hAnsi="Garamond"/>
          <w:sz w:val="24"/>
        </w:rPr>
        <w:t xml:space="preserve"> e DPT-së. Prandaj, është e rëndësishme të theksohet se kjo asistencë teknike nuk parashikohet të ketë ndërveprime të rëndësishme me aktivitetet e propozuara në kuadër të Programit Operacional Ekonomia dhe Shoqëria Digjitale.</w:t>
      </w:r>
    </w:p>
    <w:p w14:paraId="4944CEF8" w14:textId="2C8D02B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periudhën 2010</w:t>
      </w:r>
      <w:r w:rsidR="006A336F" w:rsidRPr="00913E39">
        <w:rPr>
          <w:rFonts w:ascii="Garamond" w:hAnsi="Garamond"/>
          <w:sz w:val="24"/>
        </w:rPr>
        <w:t>–</w:t>
      </w:r>
      <w:r w:rsidRPr="00913E39">
        <w:rPr>
          <w:rFonts w:ascii="Garamond" w:hAnsi="Garamond"/>
          <w:sz w:val="24"/>
        </w:rPr>
        <w:t>2012, DPT</w:t>
      </w:r>
      <w:r w:rsidR="00860735" w:rsidRPr="00913E39">
        <w:rPr>
          <w:rFonts w:ascii="Garamond" w:hAnsi="Garamond"/>
          <w:sz w:val="24"/>
        </w:rPr>
        <w:t>-ja</w:t>
      </w:r>
      <w:r w:rsidRPr="00913E39">
        <w:rPr>
          <w:rFonts w:ascii="Garamond" w:hAnsi="Garamond"/>
          <w:sz w:val="24"/>
        </w:rPr>
        <w:t xml:space="preserve"> ishte përfituese e një</w:t>
      </w:r>
      <w:r w:rsidRPr="00913E39">
        <w:rPr>
          <w:rFonts w:ascii="Garamond" w:hAnsi="Garamond"/>
          <w:b/>
          <w:sz w:val="24"/>
        </w:rPr>
        <w:t xml:space="preserve"> projekti IPA, </w:t>
      </w:r>
      <w:r w:rsidR="00850FC7" w:rsidRPr="00913E39">
        <w:rPr>
          <w:rFonts w:ascii="Garamond" w:hAnsi="Garamond"/>
          <w:b/>
          <w:sz w:val="24"/>
        </w:rPr>
        <w:t>“</w:t>
      </w:r>
      <w:r w:rsidRPr="00913E39">
        <w:rPr>
          <w:rFonts w:ascii="Garamond" w:hAnsi="Garamond"/>
          <w:b/>
          <w:sz w:val="24"/>
        </w:rPr>
        <w:t>Mbështetje për Drejtorinë e Përgjithshme të Tatimeve të Shqipërisë</w:t>
      </w:r>
      <w:r w:rsidR="00850FC7" w:rsidRPr="00913E39">
        <w:rPr>
          <w:rFonts w:ascii="Garamond" w:hAnsi="Garamond"/>
          <w:b/>
          <w:sz w:val="24"/>
        </w:rPr>
        <w:t>”</w:t>
      </w:r>
      <w:r w:rsidRPr="00913E39">
        <w:rPr>
          <w:rFonts w:ascii="Garamond" w:hAnsi="Garamond"/>
          <w:sz w:val="24"/>
        </w:rPr>
        <w:t xml:space="preserve">. Projekti është zbatuar nga </w:t>
      </w:r>
      <w:r w:rsidR="006A336F" w:rsidRPr="00913E39">
        <w:rPr>
          <w:rFonts w:ascii="Garamond" w:hAnsi="Garamond"/>
          <w:sz w:val="24"/>
        </w:rPr>
        <w:t xml:space="preserve">administrata tatimore </w:t>
      </w:r>
      <w:r w:rsidRPr="00913E39">
        <w:rPr>
          <w:rFonts w:ascii="Garamond" w:hAnsi="Garamond"/>
          <w:sz w:val="24"/>
        </w:rPr>
        <w:t>e Francës (komponentët 1, 2) dhe ajo e Suedisë (komponentët 3, 4).</w:t>
      </w:r>
    </w:p>
    <w:p w14:paraId="6FC4E7B8" w14:textId="1DFDC155" w:rsidR="00847F23" w:rsidRPr="00913E39" w:rsidRDefault="00847F23" w:rsidP="00FC4C60">
      <w:pPr>
        <w:spacing w:after="0" w:line="240" w:lineRule="auto"/>
        <w:ind w:firstLine="284"/>
        <w:jc w:val="both"/>
        <w:rPr>
          <w:rFonts w:ascii="Garamond" w:hAnsi="Garamond"/>
          <w:i/>
          <w:sz w:val="24"/>
        </w:rPr>
      </w:pPr>
      <w:r w:rsidRPr="00913E39">
        <w:rPr>
          <w:rFonts w:ascii="Garamond" w:eastAsia="Times New Roman" w:hAnsi="Garamond" w:cs="Times New Roman"/>
          <w:i/>
          <w:sz w:val="24"/>
          <w:szCs w:val="24"/>
        </w:rPr>
        <w:t>Nën</w:t>
      </w:r>
      <w:r w:rsidR="00850FC7" w:rsidRPr="00913E39">
        <w:rPr>
          <w:rFonts w:ascii="Garamond" w:eastAsia="Times New Roman" w:hAnsi="Garamond" w:cs="Times New Roman"/>
          <w:i/>
          <w:sz w:val="24"/>
          <w:szCs w:val="24"/>
        </w:rPr>
        <w:t>f</w:t>
      </w:r>
      <w:r w:rsidRPr="00913E39">
        <w:rPr>
          <w:rFonts w:ascii="Garamond" w:eastAsia="Times New Roman" w:hAnsi="Garamond" w:cs="Times New Roman"/>
          <w:i/>
          <w:sz w:val="24"/>
          <w:szCs w:val="24"/>
        </w:rPr>
        <w:t>usha</w:t>
      </w:r>
      <w:r w:rsidRPr="00913E39">
        <w:rPr>
          <w:rFonts w:ascii="Garamond" w:hAnsi="Garamond"/>
          <w:i/>
          <w:sz w:val="24"/>
        </w:rPr>
        <w:t xml:space="preserve"> e mbështetjes 2.2: Siguria kibernetike</w:t>
      </w:r>
    </w:p>
    <w:p w14:paraId="6FFA5FB3"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Tabela e mëposhtme përmbledh ndihmën e SHBA-së në sektorin e sigurisë kibernetike.</w:t>
      </w:r>
    </w:p>
    <w:p w14:paraId="7336388E" w14:textId="1C727094" w:rsidR="00847F23" w:rsidRPr="00913E39" w:rsidRDefault="00847F23" w:rsidP="00FC4C60">
      <w:pPr>
        <w:spacing w:after="0" w:line="240" w:lineRule="auto"/>
        <w:ind w:firstLine="284"/>
        <w:jc w:val="both"/>
        <w:rPr>
          <w:rFonts w:ascii="Garamond" w:hAnsi="Garamond"/>
          <w:b/>
          <w:sz w:val="24"/>
        </w:rPr>
      </w:pPr>
      <w:r w:rsidRPr="00913E39">
        <w:rPr>
          <w:rFonts w:ascii="Garamond" w:hAnsi="Garamond"/>
          <w:i/>
          <w:sz w:val="24"/>
        </w:rPr>
        <w:t>Tabela 13</w:t>
      </w:r>
      <w:r w:rsidR="00850FC7" w:rsidRPr="00913E39">
        <w:rPr>
          <w:rFonts w:ascii="Garamond" w:eastAsia="Times New Roman" w:hAnsi="Garamond" w:cs="Times New Roman"/>
          <w:bCs/>
          <w:i/>
          <w:sz w:val="24"/>
          <w:szCs w:val="24"/>
        </w:rPr>
        <w:t>.</w:t>
      </w:r>
      <w:r w:rsidRPr="00913E39">
        <w:rPr>
          <w:rFonts w:ascii="Garamond" w:hAnsi="Garamond"/>
          <w:b/>
          <w:sz w:val="24"/>
        </w:rPr>
        <w:t xml:space="preserve"> </w:t>
      </w:r>
      <w:r w:rsidRPr="00913E39">
        <w:rPr>
          <w:rFonts w:ascii="Garamond" w:hAnsi="Garamond"/>
          <w:i/>
          <w:sz w:val="24"/>
        </w:rPr>
        <w:t>Siguria</w:t>
      </w:r>
      <w:r w:rsidRPr="00913E39">
        <w:rPr>
          <w:rFonts w:ascii="Garamond" w:hAnsi="Garamond"/>
          <w:b/>
          <w:sz w:val="24"/>
        </w:rPr>
        <w:t xml:space="preserve"> </w:t>
      </w:r>
      <w:r w:rsidRPr="00913E39">
        <w:rPr>
          <w:rFonts w:ascii="Garamond" w:eastAsia="Times New Roman" w:hAnsi="Garamond" w:cs="Times New Roman"/>
          <w:bCs/>
          <w:i/>
          <w:sz w:val="24"/>
          <w:szCs w:val="24"/>
        </w:rPr>
        <w:t>kibernetik</w:t>
      </w:r>
      <w:r w:rsidR="00850FC7" w:rsidRPr="00913E39">
        <w:rPr>
          <w:rFonts w:ascii="Garamond" w:eastAsia="Times New Roman" w:hAnsi="Garamond" w:cs="Times New Roman"/>
          <w:bCs/>
          <w:i/>
          <w:sz w:val="24"/>
          <w:szCs w:val="24"/>
        </w:rPr>
        <w:t>e</w:t>
      </w:r>
      <w:r w:rsidRPr="00913E39">
        <w:rPr>
          <w:rFonts w:ascii="Garamond" w:eastAsia="Times New Roman" w:hAnsi="Garamond" w:cs="Times New Roman"/>
          <w:bCs/>
          <w:i/>
          <w:sz w:val="24"/>
          <w:szCs w:val="24"/>
        </w:rPr>
        <w:t xml:space="preserve">, </w:t>
      </w:r>
      <w:r w:rsidR="00850FC7" w:rsidRPr="00913E39">
        <w:rPr>
          <w:rFonts w:ascii="Garamond" w:eastAsia="Times New Roman" w:hAnsi="Garamond" w:cs="Times New Roman"/>
          <w:bCs/>
          <w:i/>
          <w:sz w:val="24"/>
          <w:szCs w:val="24"/>
        </w:rPr>
        <w:t>n</w:t>
      </w:r>
      <w:r w:rsidRPr="00913E39">
        <w:rPr>
          <w:rFonts w:ascii="Garamond" w:eastAsia="Times New Roman" w:hAnsi="Garamond" w:cs="Times New Roman"/>
          <w:bCs/>
          <w:i/>
          <w:sz w:val="24"/>
          <w:szCs w:val="24"/>
        </w:rPr>
        <w:t>dihma</w:t>
      </w:r>
      <w:r w:rsidRPr="00913E39">
        <w:rPr>
          <w:rFonts w:ascii="Garamond" w:hAnsi="Garamond"/>
          <w:b/>
          <w:sz w:val="24"/>
        </w:rPr>
        <w:t xml:space="preserve"> </w:t>
      </w:r>
      <w:r w:rsidRPr="00913E39">
        <w:rPr>
          <w:rFonts w:ascii="Garamond" w:hAnsi="Garamond"/>
          <w:i/>
          <w:sz w:val="24"/>
        </w:rPr>
        <w:t>nga SHBA</w:t>
      </w:r>
      <w:r w:rsidR="00850FC7" w:rsidRPr="00913E39">
        <w:rPr>
          <w:rFonts w:ascii="Garamond" w:eastAsia="Times New Roman" w:hAnsi="Garamond" w:cs="Times New Roman"/>
          <w:bCs/>
          <w:i/>
          <w:sz w:val="24"/>
          <w:szCs w:val="24"/>
        </w:rPr>
        <w:t>-ja</w:t>
      </w: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
        <w:gridCol w:w="6867"/>
        <w:gridCol w:w="1555"/>
      </w:tblGrid>
      <w:tr w:rsidR="00847F23" w:rsidRPr="00913E39" w14:paraId="2A081CD7" w14:textId="77777777" w:rsidTr="006D6812">
        <w:trPr>
          <w:trHeight w:val="20"/>
        </w:trPr>
        <w:tc>
          <w:tcPr>
            <w:tcW w:w="0" w:type="auto"/>
            <w:shd w:val="clear" w:color="auto" w:fill="auto"/>
          </w:tcPr>
          <w:p w14:paraId="02249A66"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Nr.</w:t>
            </w:r>
          </w:p>
        </w:tc>
        <w:tc>
          <w:tcPr>
            <w:tcW w:w="0" w:type="auto"/>
            <w:shd w:val="clear" w:color="auto" w:fill="auto"/>
          </w:tcPr>
          <w:p w14:paraId="5143E371"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Projekti</w:t>
            </w:r>
          </w:p>
        </w:tc>
        <w:tc>
          <w:tcPr>
            <w:tcW w:w="0" w:type="auto"/>
            <w:shd w:val="clear" w:color="auto" w:fill="auto"/>
          </w:tcPr>
          <w:p w14:paraId="34793C39"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Përfituesi</w:t>
            </w:r>
          </w:p>
        </w:tc>
      </w:tr>
      <w:tr w:rsidR="00847F23" w:rsidRPr="00913E39" w14:paraId="64CF02F2" w14:textId="77777777" w:rsidTr="006D6812">
        <w:trPr>
          <w:trHeight w:val="20"/>
        </w:trPr>
        <w:tc>
          <w:tcPr>
            <w:tcW w:w="0" w:type="auto"/>
            <w:shd w:val="clear" w:color="auto" w:fill="auto"/>
          </w:tcPr>
          <w:p w14:paraId="14473E8C"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1</w:t>
            </w:r>
          </w:p>
        </w:tc>
        <w:tc>
          <w:tcPr>
            <w:tcW w:w="0" w:type="auto"/>
            <w:shd w:val="clear" w:color="auto" w:fill="auto"/>
          </w:tcPr>
          <w:p w14:paraId="0C373D8E"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Përmirësimi dhe maksimizimi i arkitekturës së </w:t>
            </w:r>
            <w:r w:rsidRPr="00913E39">
              <w:rPr>
                <w:rFonts w:ascii="Garamond" w:hAnsi="Garamond"/>
                <w:i/>
                <w:sz w:val="18"/>
              </w:rPr>
              <w:t>firewall</w:t>
            </w:r>
            <w:r w:rsidRPr="00913E39">
              <w:rPr>
                <w:rFonts w:ascii="Garamond" w:hAnsi="Garamond"/>
                <w:sz w:val="18"/>
              </w:rPr>
              <w:t xml:space="preserve">-it të AKSHI-it në nivel të filtrave të internetit (WAF – Liçenca për 3 abonime) </w:t>
            </w:r>
          </w:p>
        </w:tc>
        <w:tc>
          <w:tcPr>
            <w:tcW w:w="0" w:type="auto"/>
            <w:shd w:val="clear" w:color="auto" w:fill="auto"/>
          </w:tcPr>
          <w:p w14:paraId="3E412902"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AKSHI</w:t>
            </w:r>
          </w:p>
        </w:tc>
      </w:tr>
      <w:tr w:rsidR="00847F23" w:rsidRPr="00913E39" w14:paraId="5A34DFE1" w14:textId="77777777" w:rsidTr="006D6812">
        <w:trPr>
          <w:trHeight w:val="20"/>
        </w:trPr>
        <w:tc>
          <w:tcPr>
            <w:tcW w:w="0" w:type="auto"/>
            <w:shd w:val="clear" w:color="auto" w:fill="auto"/>
          </w:tcPr>
          <w:p w14:paraId="74B0FA38"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2</w:t>
            </w:r>
          </w:p>
        </w:tc>
        <w:tc>
          <w:tcPr>
            <w:tcW w:w="0" w:type="auto"/>
            <w:shd w:val="clear" w:color="auto" w:fill="auto"/>
          </w:tcPr>
          <w:p w14:paraId="447C1D4C"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Migrimi i sektorëve prioritarë në </w:t>
            </w:r>
            <w:r w:rsidRPr="00913E39">
              <w:rPr>
                <w:rFonts w:ascii="Garamond" w:hAnsi="Garamond"/>
                <w:i/>
                <w:sz w:val="18"/>
              </w:rPr>
              <w:t>Cloud</w:t>
            </w:r>
            <w:r w:rsidRPr="00913E39">
              <w:rPr>
                <w:rFonts w:ascii="Garamond" w:hAnsi="Garamond"/>
                <w:sz w:val="18"/>
              </w:rPr>
              <w:t xml:space="preserve"> si: QSO (Qendra e Sigurisë Operacionale) Kombëtare dhe QOS sektoriale (Energjia/Policia e Shtetit/Sektori shtetëror) së bashku me aplikacionet/sistemet e ndërlidhura me to</w:t>
            </w:r>
          </w:p>
        </w:tc>
        <w:tc>
          <w:tcPr>
            <w:tcW w:w="0" w:type="auto"/>
            <w:shd w:val="clear" w:color="auto" w:fill="auto"/>
          </w:tcPr>
          <w:p w14:paraId="687CB643"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Energjia</w:t>
            </w:r>
          </w:p>
          <w:p w14:paraId="13691763"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AKSHI</w:t>
            </w:r>
          </w:p>
          <w:p w14:paraId="41B2EBC9"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ASP</w:t>
            </w:r>
          </w:p>
          <w:p w14:paraId="080C480D"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AKCESK</w:t>
            </w:r>
          </w:p>
        </w:tc>
      </w:tr>
      <w:tr w:rsidR="00847F23" w:rsidRPr="00913E39" w14:paraId="02DA3E85" w14:textId="77777777" w:rsidTr="006D6812">
        <w:trPr>
          <w:trHeight w:val="20"/>
        </w:trPr>
        <w:tc>
          <w:tcPr>
            <w:tcW w:w="0" w:type="auto"/>
            <w:shd w:val="clear" w:color="auto" w:fill="auto"/>
          </w:tcPr>
          <w:p w14:paraId="397DADAE"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3</w:t>
            </w:r>
          </w:p>
        </w:tc>
        <w:tc>
          <w:tcPr>
            <w:tcW w:w="0" w:type="auto"/>
            <w:shd w:val="clear" w:color="auto" w:fill="auto"/>
          </w:tcPr>
          <w:p w14:paraId="257CB81E"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Asistencë Teknike e Infrastrukturës në Nevojë (Ekspertizë) </w:t>
            </w:r>
          </w:p>
        </w:tc>
        <w:tc>
          <w:tcPr>
            <w:tcW w:w="0" w:type="auto"/>
            <w:shd w:val="clear" w:color="auto" w:fill="auto"/>
          </w:tcPr>
          <w:p w14:paraId="3CB00A73"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Energjia</w:t>
            </w:r>
          </w:p>
          <w:p w14:paraId="488DB66B"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AKSHI</w:t>
            </w:r>
          </w:p>
          <w:p w14:paraId="7F9BFC23"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ASP</w:t>
            </w:r>
          </w:p>
          <w:p w14:paraId="1E24BFAE"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AKCESK</w:t>
            </w:r>
          </w:p>
        </w:tc>
      </w:tr>
      <w:tr w:rsidR="00847F23" w:rsidRPr="00913E39" w14:paraId="7F522453" w14:textId="77777777" w:rsidTr="006D6812">
        <w:trPr>
          <w:trHeight w:val="20"/>
        </w:trPr>
        <w:tc>
          <w:tcPr>
            <w:tcW w:w="0" w:type="auto"/>
            <w:shd w:val="clear" w:color="auto" w:fill="auto"/>
          </w:tcPr>
          <w:p w14:paraId="099D32A9"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4</w:t>
            </w:r>
          </w:p>
        </w:tc>
        <w:tc>
          <w:tcPr>
            <w:tcW w:w="0" w:type="auto"/>
            <w:shd w:val="clear" w:color="auto" w:fill="auto"/>
          </w:tcPr>
          <w:p w14:paraId="6EAD35AA"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Plani teknik dhe strategjik për analizën e riskut dhe standardet për 52 institucione në varësi të AKSHI</w:t>
            </w:r>
          </w:p>
        </w:tc>
        <w:tc>
          <w:tcPr>
            <w:tcW w:w="0" w:type="auto"/>
            <w:shd w:val="clear" w:color="auto" w:fill="auto"/>
          </w:tcPr>
          <w:p w14:paraId="05F0BB67"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AKSHI</w:t>
            </w:r>
          </w:p>
        </w:tc>
      </w:tr>
      <w:tr w:rsidR="00847F23" w:rsidRPr="00913E39" w14:paraId="5FC17B46" w14:textId="77777777" w:rsidTr="006D6812">
        <w:trPr>
          <w:trHeight w:val="20"/>
        </w:trPr>
        <w:tc>
          <w:tcPr>
            <w:tcW w:w="0" w:type="auto"/>
            <w:shd w:val="clear" w:color="auto" w:fill="auto"/>
          </w:tcPr>
          <w:p w14:paraId="0D48700D"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5</w:t>
            </w:r>
          </w:p>
        </w:tc>
        <w:tc>
          <w:tcPr>
            <w:tcW w:w="0" w:type="auto"/>
            <w:shd w:val="clear" w:color="auto" w:fill="auto"/>
          </w:tcPr>
          <w:p w14:paraId="2EFF6BC7"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QSO kombëtare </w:t>
            </w:r>
          </w:p>
        </w:tc>
        <w:tc>
          <w:tcPr>
            <w:tcW w:w="0" w:type="auto"/>
            <w:shd w:val="clear" w:color="auto" w:fill="auto"/>
          </w:tcPr>
          <w:p w14:paraId="17D68EF5"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AKCESK</w:t>
            </w:r>
          </w:p>
          <w:p w14:paraId="1D37026E"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ASP</w:t>
            </w:r>
          </w:p>
          <w:p w14:paraId="6264FCFE"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Energjia</w:t>
            </w:r>
          </w:p>
          <w:p w14:paraId="574A7D9B"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Financa</w:t>
            </w:r>
          </w:p>
        </w:tc>
      </w:tr>
      <w:tr w:rsidR="00847F23" w:rsidRPr="00913E39" w14:paraId="03241CD7" w14:textId="77777777" w:rsidTr="006D6812">
        <w:trPr>
          <w:trHeight w:val="20"/>
        </w:trPr>
        <w:tc>
          <w:tcPr>
            <w:tcW w:w="0" w:type="auto"/>
            <w:shd w:val="clear" w:color="auto" w:fill="auto"/>
          </w:tcPr>
          <w:p w14:paraId="1CA30FB6"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6</w:t>
            </w:r>
          </w:p>
        </w:tc>
        <w:tc>
          <w:tcPr>
            <w:tcW w:w="0" w:type="auto"/>
            <w:shd w:val="clear" w:color="auto" w:fill="auto"/>
          </w:tcPr>
          <w:p w14:paraId="369E8672" w14:textId="65F88FEB"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QSO në </w:t>
            </w:r>
            <w:r w:rsidR="00860735" w:rsidRPr="00913E39">
              <w:rPr>
                <w:rFonts w:ascii="Garamond" w:hAnsi="Garamond"/>
                <w:sz w:val="18"/>
              </w:rPr>
              <w:t>s</w:t>
            </w:r>
            <w:r w:rsidRPr="00913E39">
              <w:rPr>
                <w:rFonts w:ascii="Garamond" w:hAnsi="Garamond"/>
                <w:sz w:val="18"/>
              </w:rPr>
              <w:t>htresën 2 dhe 3</w:t>
            </w:r>
          </w:p>
        </w:tc>
        <w:tc>
          <w:tcPr>
            <w:tcW w:w="0" w:type="auto"/>
            <w:shd w:val="clear" w:color="auto" w:fill="auto"/>
          </w:tcPr>
          <w:p w14:paraId="7A988845"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Financa</w:t>
            </w:r>
          </w:p>
          <w:p w14:paraId="48B0BC7F"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ASP</w:t>
            </w:r>
          </w:p>
          <w:p w14:paraId="3F3C30AC"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Energjia</w:t>
            </w:r>
          </w:p>
        </w:tc>
      </w:tr>
      <w:tr w:rsidR="00847F23" w:rsidRPr="00913E39" w14:paraId="7E80354B" w14:textId="77777777" w:rsidTr="006D6812">
        <w:trPr>
          <w:trHeight w:val="20"/>
        </w:trPr>
        <w:tc>
          <w:tcPr>
            <w:tcW w:w="0" w:type="auto"/>
            <w:shd w:val="clear" w:color="auto" w:fill="auto"/>
          </w:tcPr>
          <w:p w14:paraId="1B731C3B"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7</w:t>
            </w:r>
          </w:p>
        </w:tc>
        <w:tc>
          <w:tcPr>
            <w:tcW w:w="0" w:type="auto"/>
            <w:shd w:val="clear" w:color="auto" w:fill="auto"/>
          </w:tcPr>
          <w:p w14:paraId="2A0EB8C9"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Higjiena kibernetike</w:t>
            </w:r>
          </w:p>
        </w:tc>
        <w:tc>
          <w:tcPr>
            <w:tcW w:w="0" w:type="auto"/>
            <w:shd w:val="clear" w:color="auto" w:fill="auto"/>
          </w:tcPr>
          <w:p w14:paraId="11D3CE17"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AKCESK</w:t>
            </w:r>
          </w:p>
          <w:p w14:paraId="0595FE62"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AKSHI</w:t>
            </w:r>
          </w:p>
          <w:p w14:paraId="664CA7A7"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Financa</w:t>
            </w:r>
          </w:p>
          <w:p w14:paraId="25C89866"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ASP</w:t>
            </w:r>
          </w:p>
          <w:p w14:paraId="1B8B35A8"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Energjia</w:t>
            </w:r>
          </w:p>
          <w:p w14:paraId="46963523"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Transporti</w:t>
            </w:r>
          </w:p>
          <w:p w14:paraId="0B816805"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Tjetër</w:t>
            </w:r>
          </w:p>
        </w:tc>
      </w:tr>
      <w:tr w:rsidR="00847F23" w:rsidRPr="00913E39" w14:paraId="60096A30" w14:textId="77777777" w:rsidTr="006D6812">
        <w:trPr>
          <w:trHeight w:val="20"/>
        </w:trPr>
        <w:tc>
          <w:tcPr>
            <w:tcW w:w="0" w:type="auto"/>
            <w:shd w:val="clear" w:color="auto" w:fill="auto"/>
          </w:tcPr>
          <w:p w14:paraId="17898844"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8</w:t>
            </w:r>
          </w:p>
        </w:tc>
        <w:tc>
          <w:tcPr>
            <w:tcW w:w="0" w:type="auto"/>
            <w:shd w:val="clear" w:color="auto" w:fill="auto"/>
          </w:tcPr>
          <w:p w14:paraId="123D62A9"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Platforma e </w:t>
            </w:r>
            <w:r w:rsidRPr="00913E39">
              <w:rPr>
                <w:rFonts w:ascii="Garamond" w:hAnsi="Garamond"/>
                <w:i/>
                <w:sz w:val="18"/>
              </w:rPr>
              <w:t>Threat Inteligence</w:t>
            </w:r>
          </w:p>
        </w:tc>
        <w:tc>
          <w:tcPr>
            <w:tcW w:w="0" w:type="auto"/>
            <w:shd w:val="clear" w:color="auto" w:fill="auto"/>
          </w:tcPr>
          <w:p w14:paraId="57FEAB95"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AKCESK/AKSHI</w:t>
            </w:r>
          </w:p>
        </w:tc>
      </w:tr>
      <w:tr w:rsidR="00847F23" w:rsidRPr="00913E39" w14:paraId="275575C3" w14:textId="77777777" w:rsidTr="006D6812">
        <w:trPr>
          <w:trHeight w:val="20"/>
        </w:trPr>
        <w:tc>
          <w:tcPr>
            <w:tcW w:w="0" w:type="auto"/>
            <w:shd w:val="clear" w:color="auto" w:fill="auto"/>
          </w:tcPr>
          <w:p w14:paraId="643BA554"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9</w:t>
            </w:r>
          </w:p>
        </w:tc>
        <w:tc>
          <w:tcPr>
            <w:tcW w:w="0" w:type="auto"/>
            <w:shd w:val="clear" w:color="auto" w:fill="auto"/>
          </w:tcPr>
          <w:p w14:paraId="5F4264F3" w14:textId="141D0104"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Trajnimi dhe </w:t>
            </w:r>
            <w:r w:rsidR="006A336F" w:rsidRPr="00913E39">
              <w:rPr>
                <w:rFonts w:ascii="Garamond" w:hAnsi="Garamond"/>
                <w:sz w:val="18"/>
              </w:rPr>
              <w:t>ngritja e kapaciteteve</w:t>
            </w:r>
          </w:p>
        </w:tc>
        <w:tc>
          <w:tcPr>
            <w:tcW w:w="0" w:type="auto"/>
            <w:shd w:val="clear" w:color="auto" w:fill="auto"/>
          </w:tcPr>
          <w:p w14:paraId="1127AB87"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AKCESK</w:t>
            </w:r>
          </w:p>
          <w:p w14:paraId="39EC0713"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ASP</w:t>
            </w:r>
          </w:p>
          <w:p w14:paraId="2ED8441D"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lastRenderedPageBreak/>
              <w:t>Energjia</w:t>
            </w:r>
          </w:p>
          <w:p w14:paraId="39B9C8B4"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Financa</w:t>
            </w:r>
          </w:p>
        </w:tc>
      </w:tr>
    </w:tbl>
    <w:p w14:paraId="1493818D" w14:textId="77777777" w:rsidR="00847F23" w:rsidRPr="00913E39" w:rsidRDefault="00847F23" w:rsidP="00FC4C60">
      <w:pPr>
        <w:spacing w:after="0" w:line="240" w:lineRule="auto"/>
        <w:ind w:firstLine="284"/>
        <w:jc w:val="both"/>
        <w:rPr>
          <w:rFonts w:ascii="Garamond" w:hAnsi="Garamond"/>
          <w:sz w:val="24"/>
        </w:rPr>
      </w:pPr>
    </w:p>
    <w:p w14:paraId="79DDAB2D"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Studimi i fizibilitetit për krijimin e një qendre kompjuterike me performancë të lartë për të dhënat e institucioneve qeveritare dhe ngritjen e një rrjeti të sigurt shkëmbimi informacioni për të mundësuar ndërveprimin rajonal në rajonin e Ballkanit Perëndimor (Korniza e Investimeve të Ballkanit Perëndimor (WBIF))</w:t>
      </w:r>
    </w:p>
    <w:p w14:paraId="47FCDCF3" w14:textId="40E41A78" w:rsidR="00847F23" w:rsidRPr="00913E39" w:rsidRDefault="00847F23" w:rsidP="006D6812">
      <w:pPr>
        <w:spacing w:after="0" w:line="240" w:lineRule="auto"/>
        <w:ind w:firstLine="284"/>
        <w:jc w:val="both"/>
        <w:rPr>
          <w:rFonts w:ascii="Garamond" w:hAnsi="Garamond"/>
          <w:sz w:val="24"/>
        </w:rPr>
      </w:pPr>
      <w:r w:rsidRPr="00913E39">
        <w:rPr>
          <w:rFonts w:ascii="Garamond" w:hAnsi="Garamond"/>
          <w:sz w:val="24"/>
        </w:rPr>
        <w:t xml:space="preserve">Objektivi i projektit është të mbulojë Studimin e Fizibilitetit dhe Analizën Kosto-Përfitim për zbatimin e dy komponentëve kryesorë, të cilët do të ndryshojnë transformimin digjitale në Shqipëri me synimin për të rritur cilësinë e jetës së qytetarëve shqiptarë: </w:t>
      </w:r>
    </w:p>
    <w:p w14:paraId="4AB53D01" w14:textId="77777777" w:rsidR="00847F23" w:rsidRPr="00913E39" w:rsidRDefault="00847F23" w:rsidP="006D6812">
      <w:pPr>
        <w:spacing w:after="0" w:line="240" w:lineRule="auto"/>
        <w:ind w:firstLine="284"/>
        <w:contextualSpacing/>
        <w:jc w:val="both"/>
        <w:rPr>
          <w:rFonts w:ascii="Garamond" w:hAnsi="Garamond"/>
          <w:sz w:val="24"/>
        </w:rPr>
      </w:pPr>
      <w:r w:rsidRPr="00913E39">
        <w:rPr>
          <w:rFonts w:ascii="Garamond" w:hAnsi="Garamond"/>
          <w:sz w:val="24"/>
        </w:rPr>
        <w:t>- Krijimi i një qendre kompjuterike me performancë të lartë për të dhënat e institucionit shtetëror.</w:t>
      </w:r>
    </w:p>
    <w:p w14:paraId="25F22A54" w14:textId="77777777" w:rsidR="00847F23" w:rsidRPr="00913E39" w:rsidRDefault="00847F23" w:rsidP="006D6812">
      <w:pPr>
        <w:spacing w:after="0" w:line="240" w:lineRule="auto"/>
        <w:ind w:firstLine="284"/>
        <w:contextualSpacing/>
        <w:jc w:val="both"/>
        <w:rPr>
          <w:rFonts w:ascii="Garamond" w:hAnsi="Garamond"/>
          <w:sz w:val="24"/>
        </w:rPr>
      </w:pPr>
      <w:r w:rsidRPr="00913E39">
        <w:rPr>
          <w:rFonts w:ascii="Garamond" w:hAnsi="Garamond"/>
          <w:sz w:val="24"/>
        </w:rPr>
        <w:t>- Krijimi i një rrjeti të sigurt shkëmbimi informacioni për të mundësuar ndërveprimin rajonal në rajonin e Ballkanit Perëndimor.</w:t>
      </w:r>
    </w:p>
    <w:p w14:paraId="564E9F9F" w14:textId="770D32A5" w:rsidR="00847F23" w:rsidRPr="00913E39" w:rsidRDefault="00847F23" w:rsidP="006D6812">
      <w:pPr>
        <w:spacing w:after="0" w:line="240" w:lineRule="auto"/>
        <w:ind w:firstLine="284"/>
        <w:jc w:val="both"/>
        <w:rPr>
          <w:rFonts w:ascii="Garamond" w:hAnsi="Garamond"/>
          <w:sz w:val="24"/>
        </w:rPr>
      </w:pPr>
      <w:r w:rsidRPr="00913E39">
        <w:rPr>
          <w:rFonts w:ascii="Garamond" w:hAnsi="Garamond"/>
          <w:sz w:val="24"/>
        </w:rPr>
        <w:t xml:space="preserve">Qendra HPC do të jetë hapi tjetër në rrugëtimin </w:t>
      </w:r>
      <w:r w:rsidR="006A336F" w:rsidRPr="00913E39">
        <w:rPr>
          <w:rFonts w:ascii="Garamond" w:hAnsi="Garamond"/>
          <w:sz w:val="24"/>
        </w:rPr>
        <w:t xml:space="preserve">e transformimit digjital të qeverisë </w:t>
      </w:r>
      <w:r w:rsidRPr="00913E39">
        <w:rPr>
          <w:rFonts w:ascii="Garamond" w:hAnsi="Garamond"/>
          <w:sz w:val="24"/>
        </w:rPr>
        <w:t>duke mundësuar njohuri nga të dhënat e ruajtura në Qendrën e të Dhënave të Qeverisë për shkak të analizës dhe përpunimit në kohë reale që do t</w:t>
      </w:r>
      <w:r w:rsidR="005222A5" w:rsidRPr="00913E39">
        <w:rPr>
          <w:rFonts w:ascii="Garamond" w:hAnsi="Garamond"/>
          <w:sz w:val="24"/>
        </w:rPr>
        <w:t>’</w:t>
      </w:r>
      <w:r w:rsidRPr="00913E39">
        <w:rPr>
          <w:rFonts w:ascii="Garamond" w:hAnsi="Garamond"/>
          <w:sz w:val="24"/>
        </w:rPr>
        <w:t xml:space="preserve">i mundësojë qeverisë të jetë në përputhje me </w:t>
      </w:r>
      <w:r w:rsidR="00850FC7" w:rsidRPr="00913E39">
        <w:rPr>
          <w:rFonts w:ascii="Garamond" w:eastAsia="Times New Roman" w:hAnsi="Garamond" w:cs="Times New Roman"/>
          <w:bCs/>
          <w:sz w:val="24"/>
          <w:szCs w:val="24"/>
        </w:rPr>
        <w:t>“</w:t>
      </w:r>
      <w:r w:rsidRPr="00913E39">
        <w:rPr>
          <w:rFonts w:ascii="Garamond" w:hAnsi="Garamond"/>
          <w:sz w:val="24"/>
        </w:rPr>
        <w:t>Programin e E</w:t>
      </w:r>
      <w:r w:rsidR="003B1CE2" w:rsidRPr="00913E39">
        <w:rPr>
          <w:rFonts w:ascii="Garamond" w:hAnsi="Garamond"/>
          <w:sz w:val="24"/>
        </w:rPr>
        <w:t>v</w:t>
      </w:r>
      <w:r w:rsidRPr="00913E39">
        <w:rPr>
          <w:rFonts w:ascii="Garamond" w:hAnsi="Garamond"/>
          <w:sz w:val="24"/>
        </w:rPr>
        <w:t>ropës Digjitale</w:t>
      </w:r>
      <w:r w:rsidR="00850FC7" w:rsidRPr="00913E39">
        <w:rPr>
          <w:rFonts w:ascii="Garamond" w:eastAsia="Times New Roman" w:hAnsi="Garamond" w:cs="Times New Roman"/>
          <w:bCs/>
          <w:sz w:val="24"/>
          <w:szCs w:val="24"/>
        </w:rPr>
        <w:t>”</w:t>
      </w:r>
      <w:r w:rsidRPr="00913E39">
        <w:rPr>
          <w:rFonts w:ascii="Garamond" w:eastAsia="Times New Roman" w:hAnsi="Garamond" w:cs="Times New Roman"/>
          <w:bCs/>
          <w:sz w:val="24"/>
          <w:szCs w:val="24"/>
        </w:rPr>
        <w:t>.</w:t>
      </w:r>
    </w:p>
    <w:p w14:paraId="214E7F10" w14:textId="55DF8B7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Qendra HPC do të mundësojë </w:t>
      </w:r>
      <w:r w:rsidR="008D21D2" w:rsidRPr="00913E39">
        <w:rPr>
          <w:rFonts w:ascii="Garamond" w:hAnsi="Garamond"/>
          <w:sz w:val="24"/>
        </w:rPr>
        <w:t xml:space="preserve">transformimin digjitale të qeverisë </w:t>
      </w:r>
      <w:r w:rsidRPr="00913E39">
        <w:rPr>
          <w:rFonts w:ascii="Garamond" w:hAnsi="Garamond"/>
          <w:sz w:val="24"/>
        </w:rPr>
        <w:t xml:space="preserve">duke sjellë teknologjinë digjitale për bizneset, qytetarët dhe administratën publike me anë të përdorimit të fusha kyçeve të kapacitetit përfshirë super-kompjuterin, </w:t>
      </w:r>
      <w:r w:rsidRPr="00913E39">
        <w:rPr>
          <w:rFonts w:ascii="Garamond" w:hAnsi="Garamond"/>
          <w:i/>
          <w:sz w:val="24"/>
        </w:rPr>
        <w:t>Big Data</w:t>
      </w:r>
      <w:r w:rsidRPr="00913E39">
        <w:rPr>
          <w:rFonts w:ascii="Garamond" w:hAnsi="Garamond"/>
          <w:sz w:val="24"/>
        </w:rPr>
        <w:t xml:space="preserve"> dhe </w:t>
      </w:r>
      <w:r w:rsidRPr="00913E39">
        <w:rPr>
          <w:rFonts w:ascii="Garamond" w:hAnsi="Garamond"/>
          <w:i/>
          <w:sz w:val="24"/>
        </w:rPr>
        <w:t>Machine Learning</w:t>
      </w:r>
      <w:r w:rsidRPr="00913E39">
        <w:rPr>
          <w:rFonts w:ascii="Garamond" w:hAnsi="Garamond"/>
          <w:sz w:val="24"/>
        </w:rPr>
        <w:t xml:space="preserve"> (ML) dhe inteligjencën artificiale, për të siguruar një përdorim të gjerë të teknologjive digjitale në ekonomi dhe shoqëri, në përputhje me </w:t>
      </w:r>
      <w:r w:rsidR="00850FC7" w:rsidRPr="00913E39">
        <w:rPr>
          <w:rFonts w:ascii="Garamond" w:hAnsi="Garamond"/>
          <w:sz w:val="24"/>
        </w:rPr>
        <w:t>“</w:t>
      </w:r>
      <w:r w:rsidRPr="00913E39">
        <w:rPr>
          <w:rFonts w:ascii="Garamond" w:hAnsi="Garamond"/>
          <w:sz w:val="24"/>
        </w:rPr>
        <w:t>Programin e E</w:t>
      </w:r>
      <w:r w:rsidR="003B1CE2" w:rsidRPr="00913E39">
        <w:rPr>
          <w:rFonts w:ascii="Garamond" w:hAnsi="Garamond"/>
          <w:sz w:val="24"/>
        </w:rPr>
        <w:t>v</w:t>
      </w:r>
      <w:r w:rsidRPr="00913E39">
        <w:rPr>
          <w:rFonts w:ascii="Garamond" w:hAnsi="Garamond"/>
          <w:sz w:val="24"/>
        </w:rPr>
        <w:t>ropës Digjitale</w:t>
      </w:r>
      <w:r w:rsidR="00850FC7" w:rsidRPr="00913E39">
        <w:rPr>
          <w:rFonts w:ascii="Garamond" w:hAnsi="Garamond"/>
          <w:sz w:val="24"/>
        </w:rPr>
        <w:t>”</w:t>
      </w:r>
      <w:r w:rsidRPr="00913E39">
        <w:rPr>
          <w:rFonts w:ascii="Garamond" w:hAnsi="Garamond"/>
          <w:sz w:val="24"/>
        </w:rPr>
        <w:t>.</w:t>
      </w:r>
    </w:p>
    <w:p w14:paraId="5B6D5CA8" w14:textId="7702D105" w:rsidR="00847F23" w:rsidRPr="00913E39" w:rsidRDefault="00847F23" w:rsidP="00FC4C60">
      <w:pPr>
        <w:spacing w:after="0" w:line="240" w:lineRule="auto"/>
        <w:ind w:firstLine="284"/>
        <w:jc w:val="both"/>
        <w:rPr>
          <w:rFonts w:ascii="Garamond" w:hAnsi="Garamond"/>
          <w:i/>
          <w:sz w:val="24"/>
        </w:rPr>
      </w:pPr>
      <w:r w:rsidRPr="00913E39">
        <w:rPr>
          <w:rFonts w:ascii="Garamond" w:eastAsia="Times New Roman" w:hAnsi="Garamond" w:cs="Times New Roman"/>
          <w:i/>
          <w:sz w:val="24"/>
          <w:szCs w:val="24"/>
        </w:rPr>
        <w:t>Nën</w:t>
      </w:r>
      <w:r w:rsidR="00850FC7" w:rsidRPr="00913E39">
        <w:rPr>
          <w:rFonts w:ascii="Garamond" w:eastAsia="Times New Roman" w:hAnsi="Garamond" w:cs="Times New Roman"/>
          <w:i/>
          <w:sz w:val="24"/>
          <w:szCs w:val="24"/>
        </w:rPr>
        <w:t>f</w:t>
      </w:r>
      <w:r w:rsidRPr="00913E39">
        <w:rPr>
          <w:rFonts w:ascii="Garamond" w:eastAsia="Times New Roman" w:hAnsi="Garamond" w:cs="Times New Roman"/>
          <w:i/>
          <w:sz w:val="24"/>
          <w:szCs w:val="24"/>
        </w:rPr>
        <w:t>usha</w:t>
      </w:r>
      <w:r w:rsidRPr="00913E39">
        <w:rPr>
          <w:rFonts w:ascii="Garamond" w:hAnsi="Garamond"/>
          <w:i/>
          <w:sz w:val="24"/>
        </w:rPr>
        <w:t xml:space="preserve"> e mbështetjes 2.3: ndërlidhja digjitale</w:t>
      </w:r>
    </w:p>
    <w:p w14:paraId="0D887CB0" w14:textId="7BF69BC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Gjatë përgatitjes së këtij PO-je, janë marrë parasysh projektet në zbatim, zbatimi i programeve IPA II dhe informacioni i dhënë në dokumentet e planifikimit sektorial. Më konkretisht, janë marrë në konsideratë rezultatet e projektit të Asistencës Teknike IPA 2020 </w:t>
      </w:r>
      <w:r w:rsidR="00850FC7" w:rsidRPr="00913E39">
        <w:rPr>
          <w:rFonts w:ascii="Garamond" w:hAnsi="Garamond"/>
          <w:sz w:val="24"/>
        </w:rPr>
        <w:t>“</w:t>
      </w:r>
      <w:r w:rsidRPr="00913E39">
        <w:rPr>
          <w:rFonts w:ascii="Garamond" w:hAnsi="Garamond"/>
          <w:sz w:val="24"/>
        </w:rPr>
        <w:t xml:space="preserve">Mbështetja e Ministrisë së Infrastrukturës dhe Energjisë për të zbatuar Kodin e ri Evropian të Komunikimeve Elektronike </w:t>
      </w:r>
      <w:r w:rsidR="00850FC7" w:rsidRPr="00913E39">
        <w:rPr>
          <w:rFonts w:ascii="Garamond" w:eastAsia="Times New Roman" w:hAnsi="Garamond" w:cs="Times New Roman"/>
          <w:bCs/>
          <w:sz w:val="24"/>
          <w:szCs w:val="24"/>
        </w:rPr>
        <w:t>dhe</w:t>
      </w:r>
      <w:r w:rsidRPr="00913E39">
        <w:rPr>
          <w:rFonts w:ascii="Garamond" w:hAnsi="Garamond"/>
          <w:sz w:val="24"/>
        </w:rPr>
        <w:t xml:space="preserve"> Internetin e Hapur</w:t>
      </w:r>
      <w:r w:rsidR="00850FC7" w:rsidRPr="00913E39">
        <w:rPr>
          <w:rFonts w:ascii="Garamond" w:hAnsi="Garamond"/>
          <w:sz w:val="24"/>
        </w:rPr>
        <w:t>”</w:t>
      </w:r>
      <w:r w:rsidR="008D21D2" w:rsidRPr="00913E39">
        <w:rPr>
          <w:rFonts w:ascii="Garamond" w:hAnsi="Garamond"/>
          <w:sz w:val="24"/>
        </w:rPr>
        <w:t>,</w:t>
      </w:r>
      <w:r w:rsidRPr="00913E39">
        <w:rPr>
          <w:rFonts w:ascii="Garamond" w:hAnsi="Garamond"/>
          <w:sz w:val="24"/>
        </w:rPr>
        <w:t xml:space="preserve"> i cili përfundoi gjatë vitit 2022. Objektivi i përgjithshëm i këtij projekti ishte përafrimi i legjislacionit shqiptar me </w:t>
      </w:r>
      <w:r w:rsidRPr="00913E39">
        <w:rPr>
          <w:rFonts w:ascii="Garamond" w:hAnsi="Garamond"/>
          <w:i/>
          <w:sz w:val="24"/>
        </w:rPr>
        <w:t>acquis</w:t>
      </w:r>
      <w:r w:rsidRPr="00913E39">
        <w:rPr>
          <w:rFonts w:ascii="Garamond" w:hAnsi="Garamond"/>
          <w:sz w:val="24"/>
        </w:rPr>
        <w:t xml:space="preserve"> të BE-së në fushën e Komunikimeve Elektronike dhe lëshimi i frekuencës 700 MHz.</w:t>
      </w:r>
    </w:p>
    <w:p w14:paraId="482435BE" w14:textId="13CDFE4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Sipas IPA 2022, miratohet asistencë e mëtejshme për të mbështetur përgatitjen e akteve nënligjore dhe rregulloreve të hartuara për të përafruar ligjin e ri të komunikimit elektronik me </w:t>
      </w:r>
      <w:r w:rsidR="00DB24A2" w:rsidRPr="00913E39">
        <w:rPr>
          <w:rFonts w:ascii="Garamond" w:hAnsi="Garamond"/>
          <w:sz w:val="24"/>
        </w:rPr>
        <w:t xml:space="preserve">direktivën </w:t>
      </w:r>
      <w:r w:rsidRPr="00913E39">
        <w:rPr>
          <w:rFonts w:ascii="Garamond" w:hAnsi="Garamond"/>
          <w:sz w:val="24"/>
        </w:rPr>
        <w:t xml:space="preserve">2018/1972/BE që krijon Kodin Evropian të Komunikimeve Elektronike. </w:t>
      </w:r>
    </w:p>
    <w:p w14:paraId="302E90A4" w14:textId="69A0242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Ministria e Infrastrukturës dhe Energjisë inicioi Projektin Rajonal </w:t>
      </w:r>
      <w:r w:rsidRPr="00913E39">
        <w:rPr>
          <w:rFonts w:ascii="Garamond" w:hAnsi="Garamond"/>
          <w:i/>
          <w:sz w:val="24"/>
        </w:rPr>
        <w:t>Broadband</w:t>
      </w:r>
      <w:r w:rsidRPr="00913E39">
        <w:rPr>
          <w:rFonts w:ascii="Garamond" w:hAnsi="Garamond"/>
          <w:sz w:val="24"/>
        </w:rPr>
        <w:t xml:space="preserve"> </w:t>
      </w:r>
      <w:r w:rsidR="009214CB" w:rsidRPr="00913E39">
        <w:rPr>
          <w:rFonts w:ascii="Garamond" w:hAnsi="Garamond"/>
          <w:sz w:val="24"/>
        </w:rPr>
        <w:t>m</w:t>
      </w:r>
      <w:r w:rsidRPr="00913E39">
        <w:rPr>
          <w:rFonts w:ascii="Garamond" w:hAnsi="Garamond"/>
          <w:sz w:val="24"/>
        </w:rPr>
        <w:t xml:space="preserve">ë 2018. Studimi i fizibilitetit dhe CBA për zhvillimin rajonal të </w:t>
      </w:r>
      <w:r w:rsidRPr="00913E39">
        <w:rPr>
          <w:rFonts w:ascii="Garamond" w:hAnsi="Garamond"/>
          <w:i/>
          <w:sz w:val="24"/>
        </w:rPr>
        <w:t>Broadband</w:t>
      </w:r>
      <w:r w:rsidRPr="00913E39">
        <w:rPr>
          <w:rFonts w:ascii="Garamond" w:hAnsi="Garamond"/>
          <w:sz w:val="24"/>
        </w:rPr>
        <w:t xml:space="preserve"> përfunduan në korrik 2020 në kuadër të projektit WBIF: WB19-ALB-DII-0: </w:t>
      </w:r>
      <w:bookmarkStart w:id="27" w:name="_Hlk188567763"/>
      <w:r w:rsidRPr="00913E39">
        <w:rPr>
          <w:rFonts w:ascii="Garamond" w:hAnsi="Garamond"/>
          <w:sz w:val="24"/>
        </w:rPr>
        <w:t>Studimi i Fizibilitetit dhe Analiza Kosto-Përfitim</w:t>
      </w:r>
      <w:bookmarkEnd w:id="27"/>
      <w:r w:rsidRPr="00913E39">
        <w:rPr>
          <w:rFonts w:ascii="Garamond" w:hAnsi="Garamond"/>
          <w:sz w:val="24"/>
        </w:rPr>
        <w:t xml:space="preserve"> për Zhvillimin e Infrastrukturës Rajonale </w:t>
      </w:r>
      <w:r w:rsidRPr="00913E39">
        <w:rPr>
          <w:rFonts w:ascii="Garamond" w:hAnsi="Garamond"/>
          <w:i/>
          <w:sz w:val="24"/>
        </w:rPr>
        <w:t>Broadband</w:t>
      </w:r>
      <w:r w:rsidRPr="00913E39">
        <w:rPr>
          <w:rFonts w:ascii="Garamond" w:hAnsi="Garamond"/>
          <w:sz w:val="24"/>
        </w:rPr>
        <w:t xml:space="preserve"> në Shqipëri. </w:t>
      </w:r>
      <w:bookmarkStart w:id="28" w:name="_Hlk188568074"/>
      <w:r w:rsidRPr="00913E39">
        <w:rPr>
          <w:rFonts w:ascii="Garamond" w:hAnsi="Garamond"/>
          <w:sz w:val="24"/>
        </w:rPr>
        <w:t xml:space="preserve">Zonat pa dhe me </w:t>
      </w:r>
      <w:r w:rsidRPr="00913E39">
        <w:rPr>
          <w:rFonts w:ascii="Garamond" w:hAnsi="Garamond"/>
          <w:i/>
          <w:sz w:val="24"/>
        </w:rPr>
        <w:t>Broadband</w:t>
      </w:r>
      <w:bookmarkEnd w:id="28"/>
      <w:r w:rsidRPr="00913E39">
        <w:rPr>
          <w:rFonts w:ascii="Garamond" w:hAnsi="Garamond"/>
          <w:sz w:val="24"/>
        </w:rPr>
        <w:t xml:space="preserve"> u identifikuan bazuar në raportin e diagnozës digjitale të përgatitur në fund të vitit 2019. Studimi i Fizibilitetit dhe Analiza Kosto-Përfitim dhanë gjithashtu një vlerësim për nevojat e investimeve për të arritur mbulimin me </w:t>
      </w:r>
      <w:r w:rsidRPr="00913E39">
        <w:rPr>
          <w:rFonts w:ascii="Garamond" w:hAnsi="Garamond"/>
          <w:i/>
          <w:sz w:val="24"/>
        </w:rPr>
        <w:t>broadband</w:t>
      </w:r>
      <w:r w:rsidRPr="00913E39">
        <w:rPr>
          <w:rFonts w:ascii="Garamond" w:hAnsi="Garamond"/>
          <w:sz w:val="24"/>
        </w:rPr>
        <w:t xml:space="preserve"> në zonat pa </w:t>
      </w:r>
      <w:r w:rsidRPr="00913E39">
        <w:rPr>
          <w:rFonts w:ascii="Garamond" w:hAnsi="Garamond"/>
          <w:i/>
          <w:sz w:val="24"/>
        </w:rPr>
        <w:t>Broadband</w:t>
      </w:r>
      <w:r w:rsidRPr="00913E39">
        <w:rPr>
          <w:rFonts w:ascii="Garamond" w:hAnsi="Garamond"/>
          <w:sz w:val="24"/>
        </w:rPr>
        <w:t xml:space="preserve">. Hapat e ardhshëm bazuar në Projektin Pilot WB22-ALB-DII-02 për Zhvillimin Rural </w:t>
      </w:r>
      <w:r w:rsidRPr="00913E39">
        <w:rPr>
          <w:rFonts w:ascii="Garamond" w:hAnsi="Garamond"/>
          <w:i/>
          <w:sz w:val="24"/>
        </w:rPr>
        <w:t>Broadband</w:t>
      </w:r>
      <w:r w:rsidRPr="00913E39">
        <w:rPr>
          <w:rFonts w:ascii="Garamond" w:hAnsi="Garamond"/>
          <w:sz w:val="24"/>
        </w:rPr>
        <w:t xml:space="preserve"> në Shkodër, Tropojë, Kukës dhe Dibër janë: VNMS, Projektimi i Detajuar dhe Dokumentet e Tenderit, dhe WB24-ALB-DII-01 Zhvillimi i </w:t>
      </w:r>
      <w:r w:rsidRPr="00913E39">
        <w:rPr>
          <w:rFonts w:ascii="Garamond" w:hAnsi="Garamond"/>
          <w:i/>
          <w:sz w:val="24"/>
        </w:rPr>
        <w:t>Broadband</w:t>
      </w:r>
      <w:r w:rsidRPr="00913E39">
        <w:rPr>
          <w:rFonts w:ascii="Garamond" w:hAnsi="Garamond"/>
          <w:sz w:val="24"/>
        </w:rPr>
        <w:t xml:space="preserve"> në këto zona në qarkun Vlorë, Gjirokastër, Fier, Berat dhe Korçë: Projektimi i Detajuar, VNMS dhe </w:t>
      </w:r>
      <w:r w:rsidR="00850FC7" w:rsidRPr="00913E39">
        <w:rPr>
          <w:rFonts w:ascii="Garamond" w:eastAsia="Times New Roman" w:hAnsi="Garamond" w:cs="Times New Roman"/>
          <w:bCs/>
          <w:sz w:val="24"/>
          <w:szCs w:val="24"/>
        </w:rPr>
        <w:t>dokumentet</w:t>
      </w:r>
      <w:r w:rsidR="00850FC7" w:rsidRPr="00913E39">
        <w:rPr>
          <w:rFonts w:ascii="Garamond" w:hAnsi="Garamond"/>
          <w:sz w:val="24"/>
        </w:rPr>
        <w:t xml:space="preserve"> e </w:t>
      </w:r>
      <w:r w:rsidR="00850FC7" w:rsidRPr="00913E39">
        <w:rPr>
          <w:rFonts w:ascii="Garamond" w:eastAsia="Times New Roman" w:hAnsi="Garamond" w:cs="Times New Roman"/>
          <w:bCs/>
          <w:sz w:val="24"/>
          <w:szCs w:val="24"/>
        </w:rPr>
        <w:t>tenderit</w:t>
      </w:r>
      <w:r w:rsidR="00850FC7" w:rsidRPr="00913E39">
        <w:rPr>
          <w:rFonts w:ascii="Garamond" w:hAnsi="Garamond"/>
          <w:sz w:val="24"/>
        </w:rPr>
        <w:t xml:space="preserve"> për </w:t>
      </w:r>
      <w:r w:rsidR="00850FC7" w:rsidRPr="00913E39">
        <w:rPr>
          <w:rFonts w:ascii="Garamond" w:eastAsia="Times New Roman" w:hAnsi="Garamond" w:cs="Times New Roman"/>
          <w:sz w:val="24"/>
          <w:szCs w:val="24"/>
        </w:rPr>
        <w:t>zhvillimin</w:t>
      </w:r>
      <w:r w:rsidR="00850FC7" w:rsidRPr="00913E39">
        <w:rPr>
          <w:rFonts w:ascii="Garamond" w:hAnsi="Garamond"/>
          <w:sz w:val="24"/>
        </w:rPr>
        <w:t xml:space="preserve"> </w:t>
      </w:r>
      <w:r w:rsidRPr="00913E39">
        <w:rPr>
          <w:rFonts w:ascii="Garamond" w:hAnsi="Garamond"/>
          <w:sz w:val="24"/>
        </w:rPr>
        <w:t xml:space="preserve">e </w:t>
      </w:r>
      <w:r w:rsidRPr="00913E39">
        <w:rPr>
          <w:rFonts w:ascii="Garamond" w:hAnsi="Garamond"/>
          <w:i/>
          <w:sz w:val="24"/>
        </w:rPr>
        <w:t>Broadband</w:t>
      </w:r>
      <w:r w:rsidRPr="00913E39">
        <w:rPr>
          <w:rFonts w:ascii="Garamond" w:hAnsi="Garamond"/>
          <w:sz w:val="24"/>
        </w:rPr>
        <w:t xml:space="preserve"> në pa Broadband dhe zonat rurale nuk ka filluar akoma.</w:t>
      </w:r>
    </w:p>
    <w:p w14:paraId="056FBC86"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Projekti WB23-ALB-DII-01 mbi zhvillimin e </w:t>
      </w:r>
      <w:r w:rsidRPr="00913E39">
        <w:rPr>
          <w:rFonts w:ascii="Garamond" w:hAnsi="Garamond"/>
          <w:i/>
          <w:sz w:val="24"/>
        </w:rPr>
        <w:t>Broadband</w:t>
      </w:r>
      <w:r w:rsidRPr="00913E39">
        <w:rPr>
          <w:rFonts w:ascii="Garamond" w:hAnsi="Garamond"/>
          <w:sz w:val="24"/>
        </w:rPr>
        <w:t xml:space="preserve"> ATLAS, studimi para fizibilitetit përfundoi gjatë vitit 2022. Qëllimi i këtij projekti ishte zhvillimi i atlasit </w:t>
      </w:r>
      <w:r w:rsidRPr="00913E39">
        <w:rPr>
          <w:rFonts w:ascii="Garamond" w:hAnsi="Garamond"/>
          <w:i/>
          <w:sz w:val="24"/>
        </w:rPr>
        <w:t>Broadband</w:t>
      </w:r>
      <w:r w:rsidRPr="00913E39">
        <w:rPr>
          <w:rFonts w:ascii="Garamond" w:hAnsi="Garamond"/>
          <w:sz w:val="24"/>
        </w:rPr>
        <w:t xml:space="preserve"> duke përfshirë informacionin për përdoruesit fundorë si dhe ofrimin e metodologjisë për krijimin katër lloje hartash: harta e infrastrukturës, harta e shërbimeve, harta e kërkesës dhe harta e investimeve.</w:t>
      </w:r>
    </w:p>
    <w:p w14:paraId="2AA00519"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4.2 Përshkrimi i programit</w:t>
      </w:r>
    </w:p>
    <w:p w14:paraId="57F04E32" w14:textId="653F02DA"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 xml:space="preserve">4.2.1 Logjika e ndërhyrjes </w:t>
      </w:r>
    </w:p>
    <w:p w14:paraId="38F4C442" w14:textId="40A94704"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 xml:space="preserve">Objektivi i </w:t>
      </w:r>
      <w:r w:rsidR="00850FC7" w:rsidRPr="00913E39">
        <w:rPr>
          <w:rFonts w:ascii="Garamond" w:eastAsia="Times New Roman" w:hAnsi="Garamond" w:cs="Times New Roman"/>
          <w:bCs/>
          <w:i/>
          <w:sz w:val="24"/>
          <w:szCs w:val="24"/>
        </w:rPr>
        <w:t>përgjithshëm/ndikimi</w:t>
      </w:r>
      <w:r w:rsidR="00850FC7" w:rsidRPr="00913E39">
        <w:rPr>
          <w:rFonts w:ascii="Garamond" w:hAnsi="Garamond"/>
          <w:i/>
          <w:sz w:val="24"/>
        </w:rPr>
        <w:t xml:space="preserve"> i </w:t>
      </w:r>
      <w:r w:rsidR="00850FC7" w:rsidRPr="00913E39">
        <w:rPr>
          <w:rFonts w:ascii="Garamond" w:eastAsia="Times New Roman" w:hAnsi="Garamond" w:cs="Times New Roman"/>
          <w:bCs/>
          <w:i/>
          <w:sz w:val="24"/>
          <w:szCs w:val="24"/>
        </w:rPr>
        <w:t>programit operacional</w:t>
      </w:r>
      <w:r w:rsidR="00850FC7" w:rsidRPr="00913E39">
        <w:rPr>
          <w:rFonts w:ascii="Garamond" w:hAnsi="Garamond"/>
          <w:sz w:val="24"/>
        </w:rPr>
        <w:t xml:space="preserve"> </w:t>
      </w:r>
      <w:r w:rsidRPr="00913E39">
        <w:rPr>
          <w:rFonts w:ascii="Garamond" w:hAnsi="Garamond"/>
          <w:sz w:val="24"/>
        </w:rPr>
        <w:t>është të avancojë me zbatimin e Agjendës Digjitale të Shqipërisë në sektorë të përzgjedhur.</w:t>
      </w:r>
    </w:p>
    <w:p w14:paraId="2119E7A1" w14:textId="09D84D0E"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i/>
          <w:sz w:val="24"/>
        </w:rPr>
        <w:lastRenderedPageBreak/>
        <w:t>Rezultati 1</w:t>
      </w:r>
      <w:r w:rsidR="00850FC7" w:rsidRPr="00913E39">
        <w:rPr>
          <w:rFonts w:ascii="Garamond" w:eastAsia="Times New Roman" w:hAnsi="Garamond" w:cs="Times New Roman"/>
          <w:bCs/>
          <w:i/>
          <w:sz w:val="24"/>
          <w:szCs w:val="24"/>
        </w:rPr>
        <w:t>.</w:t>
      </w:r>
      <w:r w:rsidRPr="00913E39">
        <w:rPr>
          <w:rFonts w:ascii="Garamond" w:hAnsi="Garamond"/>
          <w:i/>
          <w:sz w:val="24"/>
        </w:rPr>
        <w:t xml:space="preserve"> Objektivi specifik</w:t>
      </w:r>
      <w:r w:rsidRPr="00913E39">
        <w:rPr>
          <w:rFonts w:ascii="Garamond" w:hAnsi="Garamond"/>
          <w:b/>
          <w:sz w:val="24"/>
        </w:rPr>
        <w:t xml:space="preserve"> </w:t>
      </w:r>
      <w:r w:rsidRPr="00913E39">
        <w:rPr>
          <w:rFonts w:ascii="Garamond" w:hAnsi="Garamond"/>
          <w:sz w:val="24"/>
        </w:rPr>
        <w:t>(</w:t>
      </w:r>
      <w:r w:rsidR="00850FC7" w:rsidRPr="00913E39">
        <w:rPr>
          <w:rFonts w:ascii="Garamond" w:eastAsia="Times New Roman" w:hAnsi="Garamond" w:cs="Times New Roman"/>
          <w:bCs/>
          <w:i/>
          <w:sz w:val="24"/>
          <w:szCs w:val="24"/>
        </w:rPr>
        <w:t>rezultati</w:t>
      </w:r>
      <w:r w:rsidRPr="00913E39">
        <w:rPr>
          <w:rFonts w:ascii="Garamond" w:hAnsi="Garamond"/>
          <w:sz w:val="24"/>
        </w:rPr>
        <w:t>) i nënfushës së mbështetjes së Shëndetësisë Digjitale është përmirësimi i ofrimit të kujdesit shëndetësor</w:t>
      </w:r>
      <w:r w:rsidRPr="00913E39">
        <w:rPr>
          <w:rFonts w:ascii="Garamond" w:hAnsi="Garamond"/>
          <w:sz w:val="24"/>
          <w:shd w:val="clear" w:color="auto" w:fill="FFFFFF"/>
        </w:rPr>
        <w:t xml:space="preserve"> duke krijuar një rrjet të ri kombëtar të integruar të shëndetit elektronik dhe Sistemin e Informacionit të Radiologjisë. </w:t>
      </w:r>
    </w:p>
    <w:p w14:paraId="79D7C22F"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Ky rezultat do të arrihet duke përfshirë të gjithë popullsinë e Shqipërisë në një rrjet të ri kombëtar të integruar të shëndeti digjital. Rrjeti i integruar i shëndeti digjital do të përmirësojë mjedisin e punës së ofruesve të kujdesit shëndetësor dhe gjithashtu do të sigurojë akses nga politikëbërësit dhe institucionet akademike për të përmirësuar informacionin shëndetësor.</w:t>
      </w:r>
    </w:p>
    <w:p w14:paraId="654175D7" w14:textId="3EC27CE1"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Rezultatet</w:t>
      </w:r>
      <w:r w:rsidRPr="00913E39">
        <w:rPr>
          <w:rFonts w:ascii="Garamond" w:hAnsi="Garamond"/>
          <w:b/>
          <w:sz w:val="24"/>
        </w:rPr>
        <w:t xml:space="preserve"> </w:t>
      </w:r>
      <w:r w:rsidRPr="00913E39">
        <w:rPr>
          <w:rFonts w:ascii="Garamond" w:hAnsi="Garamond"/>
          <w:sz w:val="24"/>
        </w:rPr>
        <w:t xml:space="preserve">që do të ofrohen nën </w:t>
      </w:r>
      <w:r w:rsidR="00850FC7" w:rsidRPr="00913E39">
        <w:rPr>
          <w:rFonts w:ascii="Garamond" w:eastAsia="Times New Roman" w:hAnsi="Garamond" w:cs="Times New Roman"/>
          <w:sz w:val="24"/>
          <w:szCs w:val="24"/>
        </w:rPr>
        <w:t>nënfushën</w:t>
      </w:r>
      <w:r w:rsidR="00850FC7" w:rsidRPr="00913E39">
        <w:rPr>
          <w:rFonts w:ascii="Garamond" w:hAnsi="Garamond"/>
          <w:sz w:val="24"/>
        </w:rPr>
        <w:t xml:space="preserve"> e </w:t>
      </w:r>
      <w:r w:rsidR="00850FC7" w:rsidRPr="00913E39">
        <w:rPr>
          <w:rFonts w:ascii="Garamond" w:eastAsia="Times New Roman" w:hAnsi="Garamond" w:cs="Times New Roman"/>
          <w:sz w:val="24"/>
          <w:szCs w:val="24"/>
        </w:rPr>
        <w:t>mbështetjes</w:t>
      </w:r>
      <w:r w:rsidR="00850FC7" w:rsidRPr="00913E39">
        <w:rPr>
          <w:rFonts w:ascii="Garamond" w:hAnsi="Garamond"/>
          <w:sz w:val="24"/>
        </w:rPr>
        <w:t xml:space="preserve"> së </w:t>
      </w:r>
      <w:r w:rsidR="00850FC7" w:rsidRPr="00913E39">
        <w:rPr>
          <w:rFonts w:ascii="Garamond" w:eastAsia="Times New Roman" w:hAnsi="Garamond" w:cs="Times New Roman"/>
          <w:sz w:val="24"/>
          <w:szCs w:val="24"/>
        </w:rPr>
        <w:t>shëndetësisë digjitale</w:t>
      </w:r>
      <w:r w:rsidR="00850FC7" w:rsidRPr="00913E39">
        <w:rPr>
          <w:rFonts w:ascii="Garamond" w:hAnsi="Garamond"/>
          <w:sz w:val="24"/>
        </w:rPr>
        <w:t xml:space="preserve"> duke kontribuar në </w:t>
      </w:r>
      <w:r w:rsidR="00850FC7" w:rsidRPr="00913E39">
        <w:rPr>
          <w:rFonts w:ascii="Garamond" w:eastAsia="Times New Roman" w:hAnsi="Garamond" w:cs="Times New Roman"/>
          <w:sz w:val="24"/>
          <w:szCs w:val="24"/>
        </w:rPr>
        <w:t>objektivin specifik</w:t>
      </w:r>
      <w:r w:rsidR="00850FC7" w:rsidRPr="00913E39">
        <w:rPr>
          <w:rFonts w:ascii="Garamond" w:hAnsi="Garamond"/>
          <w:sz w:val="24"/>
        </w:rPr>
        <w:t xml:space="preserve"> përkatës (</w:t>
      </w:r>
      <w:r w:rsidR="00850FC7" w:rsidRPr="00913E39">
        <w:rPr>
          <w:rFonts w:ascii="Garamond" w:eastAsia="Times New Roman" w:hAnsi="Garamond" w:cs="Times New Roman"/>
          <w:sz w:val="24"/>
          <w:szCs w:val="24"/>
        </w:rPr>
        <w:t>rezultati</w:t>
      </w:r>
      <w:r w:rsidR="00850FC7" w:rsidRPr="00913E39">
        <w:rPr>
          <w:rFonts w:ascii="Garamond" w:hAnsi="Garamond"/>
          <w:sz w:val="24"/>
        </w:rPr>
        <w:t xml:space="preserve"> </w:t>
      </w:r>
      <w:r w:rsidRPr="00913E39">
        <w:rPr>
          <w:rFonts w:ascii="Garamond" w:hAnsi="Garamond"/>
          <w:sz w:val="24"/>
        </w:rPr>
        <w:t>1)</w:t>
      </w:r>
      <w:r w:rsidR="008D21D2" w:rsidRPr="00913E39">
        <w:rPr>
          <w:rFonts w:ascii="Garamond" w:hAnsi="Garamond"/>
          <w:sz w:val="24"/>
        </w:rPr>
        <w:t>,</w:t>
      </w:r>
      <w:r w:rsidRPr="00913E39">
        <w:rPr>
          <w:rFonts w:ascii="Garamond" w:hAnsi="Garamond"/>
          <w:sz w:val="24"/>
        </w:rPr>
        <w:t xml:space="preserve"> janë:</w:t>
      </w:r>
    </w:p>
    <w:p w14:paraId="1B52A12F" w14:textId="28A5DF2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1.1 që kontribuon në </w:t>
      </w:r>
      <w:r w:rsidR="00850FC7" w:rsidRPr="00913E39">
        <w:rPr>
          <w:rFonts w:ascii="Garamond" w:eastAsia="Times New Roman" w:hAnsi="Garamond" w:cs="Times New Roman"/>
          <w:sz w:val="24"/>
          <w:szCs w:val="24"/>
        </w:rPr>
        <w:t>rezultatin</w:t>
      </w:r>
      <w:r w:rsidR="00850FC7" w:rsidRPr="00913E39">
        <w:rPr>
          <w:rFonts w:ascii="Garamond" w:hAnsi="Garamond"/>
          <w:sz w:val="24"/>
        </w:rPr>
        <w:t xml:space="preserve"> </w:t>
      </w:r>
      <w:r w:rsidRPr="00913E39">
        <w:rPr>
          <w:rFonts w:ascii="Garamond" w:hAnsi="Garamond"/>
          <w:sz w:val="24"/>
        </w:rPr>
        <w:t>1: Krijimi i dizajnit të detajuar të sistemit.</w:t>
      </w:r>
    </w:p>
    <w:p w14:paraId="4BFE4703" w14:textId="7B654E1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1.2 që kontribuon në </w:t>
      </w:r>
      <w:r w:rsidR="00850FC7" w:rsidRPr="00913E39">
        <w:rPr>
          <w:rFonts w:ascii="Garamond" w:eastAsia="Times New Roman" w:hAnsi="Garamond" w:cs="Times New Roman"/>
          <w:sz w:val="24"/>
          <w:szCs w:val="24"/>
        </w:rPr>
        <w:t>rezultatin</w:t>
      </w:r>
      <w:r w:rsidR="00850FC7" w:rsidRPr="00913E39">
        <w:rPr>
          <w:rFonts w:ascii="Garamond" w:hAnsi="Garamond"/>
          <w:sz w:val="24"/>
        </w:rPr>
        <w:t xml:space="preserve"> </w:t>
      </w:r>
      <w:r w:rsidRPr="00913E39">
        <w:rPr>
          <w:rFonts w:ascii="Garamond" w:hAnsi="Garamond"/>
          <w:sz w:val="24"/>
        </w:rPr>
        <w:t xml:space="preserve">1: Krijimi i infrastrukturës dhe </w:t>
      </w:r>
      <w:r w:rsidR="008D21D2" w:rsidRPr="00913E39">
        <w:rPr>
          <w:rFonts w:ascii="Garamond" w:hAnsi="Garamond"/>
          <w:sz w:val="24"/>
        </w:rPr>
        <w:t xml:space="preserve">sistemeve softuerike për </w:t>
      </w:r>
      <w:r w:rsidR="006A336F" w:rsidRPr="00913E39">
        <w:rPr>
          <w:rFonts w:ascii="Garamond" w:hAnsi="Garamond"/>
          <w:sz w:val="24"/>
        </w:rPr>
        <w:t>Regjistrin</w:t>
      </w:r>
      <w:r w:rsidRPr="00913E39">
        <w:rPr>
          <w:rFonts w:ascii="Garamond" w:hAnsi="Garamond"/>
          <w:sz w:val="24"/>
        </w:rPr>
        <w:t xml:space="preserve"> </w:t>
      </w:r>
      <w:r w:rsidR="008D21D2" w:rsidRPr="00913E39">
        <w:rPr>
          <w:rFonts w:ascii="Garamond" w:hAnsi="Garamond"/>
          <w:sz w:val="24"/>
        </w:rPr>
        <w:t xml:space="preserve">Elektronik Shëndetësor Kombëtar </w:t>
      </w:r>
      <w:r w:rsidRPr="00913E39">
        <w:rPr>
          <w:rFonts w:ascii="Garamond" w:hAnsi="Garamond"/>
          <w:sz w:val="24"/>
        </w:rPr>
        <w:t>dhe Sistemin e Informacionit Radiologjik.</w:t>
      </w:r>
    </w:p>
    <w:p w14:paraId="74F72E1B" w14:textId="6E88E87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1.3 që kontribuon në </w:t>
      </w:r>
      <w:r w:rsidR="00850FC7" w:rsidRPr="00913E39">
        <w:rPr>
          <w:rFonts w:ascii="Garamond" w:eastAsia="Times New Roman" w:hAnsi="Garamond" w:cs="Times New Roman"/>
          <w:sz w:val="24"/>
          <w:szCs w:val="24"/>
        </w:rPr>
        <w:t>rezultatin</w:t>
      </w:r>
      <w:r w:rsidR="00850FC7" w:rsidRPr="00913E39">
        <w:rPr>
          <w:rFonts w:ascii="Garamond" w:hAnsi="Garamond"/>
          <w:sz w:val="24"/>
        </w:rPr>
        <w:t xml:space="preserve"> </w:t>
      </w:r>
      <w:r w:rsidRPr="00913E39">
        <w:rPr>
          <w:rFonts w:ascii="Garamond" w:hAnsi="Garamond"/>
          <w:sz w:val="24"/>
        </w:rPr>
        <w:t xml:space="preserve">1: Ofruesit e kujdesit shëndetësor të aftësuar për të përdorur Sistemin e Informacionit të Radiologjisë dhe </w:t>
      </w:r>
      <w:r w:rsidR="006A336F" w:rsidRPr="00913E39">
        <w:rPr>
          <w:rFonts w:ascii="Garamond" w:hAnsi="Garamond"/>
          <w:sz w:val="24"/>
        </w:rPr>
        <w:t>Regjistrin</w:t>
      </w:r>
      <w:r w:rsidRPr="00913E39">
        <w:rPr>
          <w:rFonts w:ascii="Garamond" w:hAnsi="Garamond"/>
          <w:sz w:val="24"/>
        </w:rPr>
        <w:t xml:space="preserve"> elektronik </w:t>
      </w:r>
      <w:r w:rsidR="006A336F" w:rsidRPr="00913E39">
        <w:rPr>
          <w:rFonts w:ascii="Garamond" w:hAnsi="Garamond"/>
          <w:sz w:val="24"/>
        </w:rPr>
        <w:t>shëndetësor</w:t>
      </w:r>
      <w:r w:rsidRPr="00913E39">
        <w:rPr>
          <w:rFonts w:ascii="Garamond" w:hAnsi="Garamond"/>
          <w:sz w:val="24"/>
        </w:rPr>
        <w:t xml:space="preserve"> </w:t>
      </w:r>
      <w:r w:rsidR="006A336F" w:rsidRPr="00913E39">
        <w:rPr>
          <w:rFonts w:ascii="Garamond" w:hAnsi="Garamond"/>
          <w:sz w:val="24"/>
        </w:rPr>
        <w:t>kombëtar</w:t>
      </w:r>
    </w:p>
    <w:p w14:paraId="49B0B0DA" w14:textId="62EB7E9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1.4 që kontribuon në </w:t>
      </w:r>
      <w:r w:rsidR="00850FC7" w:rsidRPr="00913E39">
        <w:rPr>
          <w:rFonts w:ascii="Garamond" w:eastAsia="Times New Roman" w:hAnsi="Garamond" w:cs="Times New Roman"/>
          <w:sz w:val="24"/>
          <w:szCs w:val="24"/>
        </w:rPr>
        <w:t>rezultatin</w:t>
      </w:r>
      <w:r w:rsidR="00850FC7" w:rsidRPr="00913E39">
        <w:rPr>
          <w:rFonts w:ascii="Garamond" w:hAnsi="Garamond"/>
          <w:sz w:val="24"/>
        </w:rPr>
        <w:t xml:space="preserve"> </w:t>
      </w:r>
      <w:r w:rsidRPr="00913E39">
        <w:rPr>
          <w:rFonts w:ascii="Garamond" w:hAnsi="Garamond"/>
          <w:sz w:val="24"/>
        </w:rPr>
        <w:t>1: Përfituesit fundorë dhe profesionistët e kujdesit shëndetësor plotësisht të informuar mbi përfitimet e sistemit të ri.</w:t>
      </w:r>
    </w:p>
    <w:p w14:paraId="1A7D7C88" w14:textId="73E2A09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Produktet e mësipërme përfshijnë një studim teknik që synon të përmi</w:t>
      </w:r>
      <w:r w:rsidR="006A336F" w:rsidRPr="00913E39">
        <w:rPr>
          <w:rFonts w:ascii="Garamond" w:hAnsi="Garamond"/>
          <w:sz w:val="24"/>
        </w:rPr>
        <w:t>rë</w:t>
      </w:r>
      <w:r w:rsidRPr="00913E39">
        <w:rPr>
          <w:rFonts w:ascii="Garamond" w:hAnsi="Garamond"/>
          <w:sz w:val="24"/>
        </w:rPr>
        <w:t>sojë</w:t>
      </w:r>
      <w:r w:rsidR="006A336F" w:rsidRPr="00913E39">
        <w:rPr>
          <w:rFonts w:ascii="Garamond" w:hAnsi="Garamond"/>
          <w:sz w:val="24"/>
        </w:rPr>
        <w:t xml:space="preserve"> </w:t>
      </w:r>
      <w:r w:rsidRPr="00913E39">
        <w:rPr>
          <w:rFonts w:ascii="Garamond" w:hAnsi="Garamond"/>
          <w:sz w:val="24"/>
        </w:rPr>
        <w:t xml:space="preserve">zgjedhjet teknike të investimit të parashikuar në infrastrukturën qendrore, rrjetin/sigurinë dhe sistemet softuerike dhe të sigurojë një dizajn të detajuar të sistemit. Më pas do të krijohet sistemi dhe përdoruesit e synuar do të trajnohen për menaxhimin e ndryshimeve si dhe për funksionalitetet e sistemit. Për të nxitur ndërgjegjësimin dhe për të kapërcyer çdo çështje të mundshme të besimit dhe privatësisë nga përdoruesit e sistemeve (d.m.th. pacientët dhe profesionistët e kujdesit shëndetësor), është planifikuar gjithashtu një fushatë ndërgjegjësimi në këtë </w:t>
      </w:r>
      <w:r w:rsidR="006A336F" w:rsidRPr="00913E39">
        <w:rPr>
          <w:rFonts w:ascii="Garamond" w:hAnsi="Garamond"/>
          <w:sz w:val="24"/>
        </w:rPr>
        <w:t>nënfushë mbështetjeje</w:t>
      </w:r>
      <w:r w:rsidRPr="00913E39">
        <w:rPr>
          <w:rFonts w:ascii="Garamond" w:hAnsi="Garamond"/>
          <w:sz w:val="24"/>
        </w:rPr>
        <w:t>.</w:t>
      </w:r>
    </w:p>
    <w:p w14:paraId="5B1F1F02" w14:textId="6C07141C"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Rezultati 2</w:t>
      </w:r>
      <w:r w:rsidR="00850FC7" w:rsidRPr="00913E39">
        <w:rPr>
          <w:rFonts w:ascii="Garamond" w:eastAsia="Times New Roman" w:hAnsi="Garamond" w:cs="Times New Roman"/>
          <w:bCs/>
          <w:i/>
          <w:sz w:val="24"/>
          <w:szCs w:val="24"/>
        </w:rPr>
        <w:t>.</w:t>
      </w:r>
      <w:r w:rsidRPr="00913E39">
        <w:rPr>
          <w:rFonts w:ascii="Garamond" w:hAnsi="Garamond"/>
          <w:i/>
          <w:sz w:val="24"/>
        </w:rPr>
        <w:t xml:space="preserve"> Objektivi specifik</w:t>
      </w:r>
      <w:r w:rsidRPr="00913E39">
        <w:rPr>
          <w:rFonts w:ascii="Garamond" w:hAnsi="Garamond"/>
          <w:b/>
          <w:sz w:val="24"/>
        </w:rPr>
        <w:t xml:space="preserve"> </w:t>
      </w:r>
      <w:r w:rsidRPr="00913E39">
        <w:rPr>
          <w:rFonts w:ascii="Garamond" w:hAnsi="Garamond"/>
          <w:sz w:val="24"/>
        </w:rPr>
        <w:t>(</w:t>
      </w:r>
      <w:r w:rsidR="00850FC7" w:rsidRPr="00913E39">
        <w:rPr>
          <w:rFonts w:ascii="Garamond" w:eastAsia="Times New Roman" w:hAnsi="Garamond" w:cs="Times New Roman"/>
          <w:bCs/>
          <w:i/>
          <w:sz w:val="24"/>
          <w:szCs w:val="24"/>
        </w:rPr>
        <w:t>r</w:t>
      </w:r>
      <w:r w:rsidRPr="00913E39">
        <w:rPr>
          <w:rFonts w:ascii="Garamond" w:eastAsia="Times New Roman" w:hAnsi="Garamond" w:cs="Times New Roman"/>
          <w:bCs/>
          <w:i/>
          <w:sz w:val="24"/>
          <w:szCs w:val="24"/>
        </w:rPr>
        <w:t>ezultati</w:t>
      </w:r>
      <w:r w:rsidRPr="00913E39">
        <w:rPr>
          <w:rFonts w:ascii="Garamond" w:hAnsi="Garamond"/>
          <w:sz w:val="24"/>
        </w:rPr>
        <w:t>)</w:t>
      </w:r>
      <w:r w:rsidRPr="00913E39">
        <w:rPr>
          <w:rFonts w:ascii="Garamond" w:hAnsi="Garamond"/>
          <w:b/>
          <w:sz w:val="24"/>
        </w:rPr>
        <w:t xml:space="preserve"> </w:t>
      </w:r>
      <w:r w:rsidRPr="00913E39">
        <w:rPr>
          <w:rFonts w:ascii="Garamond" w:hAnsi="Garamond"/>
          <w:sz w:val="24"/>
        </w:rPr>
        <w:t xml:space="preserve">i nënfushës së mbështetjes </w:t>
      </w:r>
      <w:r w:rsidR="006A336F" w:rsidRPr="00913E39">
        <w:rPr>
          <w:rFonts w:ascii="Garamond" w:hAnsi="Garamond"/>
          <w:sz w:val="24"/>
        </w:rPr>
        <w:t xml:space="preserve">arsimi digjial </w:t>
      </w:r>
      <w:r w:rsidRPr="00913E39">
        <w:rPr>
          <w:rFonts w:ascii="Garamond" w:hAnsi="Garamond"/>
          <w:sz w:val="24"/>
        </w:rPr>
        <w:t>është përmirësimi i rezultateve të të nxënit të nxënësve në arsimin parauniversitar duke përdorur mjete dhe sisteme digjitale.</w:t>
      </w:r>
    </w:p>
    <w:p w14:paraId="53F57301" w14:textId="583791ED"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Produktet</w:t>
      </w:r>
      <w:r w:rsidRPr="00913E39">
        <w:rPr>
          <w:rFonts w:ascii="Garamond" w:hAnsi="Garamond"/>
          <w:sz w:val="24"/>
        </w:rPr>
        <w:t xml:space="preserve"> që do të ofrohen nën </w:t>
      </w:r>
      <w:r w:rsidR="00850FC7" w:rsidRPr="00913E39">
        <w:rPr>
          <w:rFonts w:ascii="Garamond" w:hAnsi="Garamond"/>
          <w:sz w:val="24"/>
        </w:rPr>
        <w:t xml:space="preserve">këtë </w:t>
      </w:r>
      <w:r w:rsidR="00850FC7" w:rsidRPr="00913E39">
        <w:rPr>
          <w:rFonts w:ascii="Garamond" w:eastAsia="Times New Roman" w:hAnsi="Garamond" w:cs="Times New Roman"/>
          <w:sz w:val="24"/>
          <w:szCs w:val="24"/>
        </w:rPr>
        <w:t>nënfushë</w:t>
      </w:r>
      <w:r w:rsidR="00850FC7" w:rsidRPr="00913E39">
        <w:rPr>
          <w:rFonts w:ascii="Garamond" w:hAnsi="Garamond"/>
          <w:sz w:val="24"/>
        </w:rPr>
        <w:t xml:space="preserve"> të </w:t>
      </w:r>
      <w:r w:rsidR="00850FC7" w:rsidRPr="00913E39">
        <w:rPr>
          <w:rFonts w:ascii="Garamond" w:eastAsia="Times New Roman" w:hAnsi="Garamond" w:cs="Times New Roman"/>
          <w:sz w:val="24"/>
          <w:szCs w:val="24"/>
        </w:rPr>
        <w:t>mbështetjes</w:t>
      </w:r>
      <w:r w:rsidR="00850FC7" w:rsidRPr="00913E39">
        <w:rPr>
          <w:rFonts w:ascii="Garamond" w:hAnsi="Garamond"/>
          <w:sz w:val="24"/>
        </w:rPr>
        <w:t xml:space="preserve"> që kontribuojnë në </w:t>
      </w:r>
      <w:r w:rsidR="00850FC7" w:rsidRPr="00913E39">
        <w:rPr>
          <w:rFonts w:ascii="Garamond" w:eastAsia="Times New Roman" w:hAnsi="Garamond" w:cs="Times New Roman"/>
          <w:sz w:val="24"/>
          <w:szCs w:val="24"/>
        </w:rPr>
        <w:t>objektivin specifik</w:t>
      </w:r>
      <w:r w:rsidR="00850FC7" w:rsidRPr="00913E39">
        <w:rPr>
          <w:rFonts w:ascii="Garamond" w:hAnsi="Garamond"/>
          <w:sz w:val="24"/>
        </w:rPr>
        <w:t xml:space="preserve"> përkatës (</w:t>
      </w:r>
      <w:r w:rsidR="00850FC7" w:rsidRPr="00913E39">
        <w:rPr>
          <w:rFonts w:ascii="Garamond" w:eastAsia="Times New Roman" w:hAnsi="Garamond" w:cs="Times New Roman"/>
          <w:sz w:val="24"/>
          <w:szCs w:val="24"/>
        </w:rPr>
        <w:t>rezultati</w:t>
      </w:r>
      <w:r w:rsidR="00850FC7" w:rsidRPr="00913E39">
        <w:rPr>
          <w:rFonts w:ascii="Garamond" w:hAnsi="Garamond"/>
          <w:sz w:val="24"/>
        </w:rPr>
        <w:t xml:space="preserve"> 2</w:t>
      </w:r>
      <w:r w:rsidRPr="00913E39">
        <w:rPr>
          <w:rFonts w:ascii="Garamond" w:hAnsi="Garamond"/>
          <w:sz w:val="24"/>
        </w:rPr>
        <w:t>)</w:t>
      </w:r>
      <w:r w:rsidR="006A336F" w:rsidRPr="00913E39">
        <w:rPr>
          <w:rFonts w:ascii="Garamond" w:hAnsi="Garamond"/>
          <w:sz w:val="24"/>
        </w:rPr>
        <w:t>,</w:t>
      </w:r>
      <w:r w:rsidRPr="00913E39">
        <w:rPr>
          <w:rFonts w:ascii="Garamond" w:hAnsi="Garamond"/>
          <w:sz w:val="24"/>
        </w:rPr>
        <w:t xml:space="preserve"> janë: </w:t>
      </w:r>
    </w:p>
    <w:p w14:paraId="0A49E10E" w14:textId="7B7F250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2.1 që kontribuon në </w:t>
      </w:r>
      <w:r w:rsidR="00850FC7" w:rsidRPr="00913E39">
        <w:rPr>
          <w:rFonts w:ascii="Garamond" w:eastAsia="Times New Roman" w:hAnsi="Garamond" w:cs="Times New Roman"/>
          <w:sz w:val="24"/>
          <w:szCs w:val="24"/>
        </w:rPr>
        <w:t>r</w:t>
      </w:r>
      <w:r w:rsidRPr="00913E39">
        <w:rPr>
          <w:rFonts w:ascii="Garamond" w:eastAsia="Times New Roman" w:hAnsi="Garamond" w:cs="Times New Roman"/>
          <w:sz w:val="24"/>
          <w:szCs w:val="24"/>
        </w:rPr>
        <w:t>ezultatin</w:t>
      </w:r>
      <w:r w:rsidRPr="00913E39">
        <w:rPr>
          <w:rFonts w:ascii="Garamond" w:hAnsi="Garamond"/>
          <w:sz w:val="24"/>
        </w:rPr>
        <w:t xml:space="preserve"> 2: Përmirësimi i kurrikulave të shkollave të mesme të orientuara nga TIK (3 vitet e fundit të arsimit parauniversitar). </w:t>
      </w:r>
    </w:p>
    <w:p w14:paraId="4F4B9AF2" w14:textId="7879A22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2.2 që kontribuon në </w:t>
      </w:r>
      <w:r w:rsidR="00850FC7" w:rsidRPr="00913E39">
        <w:rPr>
          <w:rFonts w:ascii="Garamond" w:eastAsia="Times New Roman" w:hAnsi="Garamond" w:cs="Times New Roman"/>
          <w:sz w:val="24"/>
          <w:szCs w:val="24"/>
        </w:rPr>
        <w:t>r</w:t>
      </w:r>
      <w:r w:rsidRPr="00913E39">
        <w:rPr>
          <w:rFonts w:ascii="Garamond" w:eastAsia="Times New Roman" w:hAnsi="Garamond" w:cs="Times New Roman"/>
          <w:sz w:val="24"/>
          <w:szCs w:val="24"/>
        </w:rPr>
        <w:t>ezultatin</w:t>
      </w:r>
      <w:r w:rsidRPr="00913E39">
        <w:rPr>
          <w:rFonts w:ascii="Garamond" w:hAnsi="Garamond"/>
          <w:sz w:val="24"/>
        </w:rPr>
        <w:t xml:space="preserve"> 2: Produkti 2.2 që kontribuon në </w:t>
      </w:r>
      <w:r w:rsidR="006A336F" w:rsidRPr="00913E39">
        <w:rPr>
          <w:rFonts w:ascii="Garamond" w:hAnsi="Garamond"/>
          <w:sz w:val="24"/>
        </w:rPr>
        <w:t xml:space="preserve">rezultatin </w:t>
      </w:r>
      <w:r w:rsidRPr="00913E39">
        <w:rPr>
          <w:rFonts w:ascii="Garamond" w:hAnsi="Garamond"/>
          <w:sz w:val="24"/>
        </w:rPr>
        <w:t>2: Forcimi i kapaciteteve të mësuesve për kurrikulat e reja dhe</w:t>
      </w:r>
      <w:bookmarkStart w:id="29" w:name="_Hlk148650633"/>
      <w:r w:rsidRPr="00913E39">
        <w:rPr>
          <w:rFonts w:ascii="Garamond" w:hAnsi="Garamond"/>
          <w:sz w:val="24"/>
        </w:rPr>
        <w:t xml:space="preserve"> për përdorimin e qëndrueshëm të mjeteve digjitale, parimet e </w:t>
      </w:r>
      <w:bookmarkStart w:id="30" w:name="_Hlk188820286"/>
      <w:r w:rsidRPr="00913E39">
        <w:rPr>
          <w:rFonts w:ascii="Garamond" w:hAnsi="Garamond"/>
          <w:sz w:val="24"/>
        </w:rPr>
        <w:t>ekonomisë qarkulluese</w:t>
      </w:r>
      <w:bookmarkEnd w:id="30"/>
      <w:r w:rsidRPr="00913E39">
        <w:rPr>
          <w:rFonts w:ascii="Garamond" w:hAnsi="Garamond"/>
          <w:sz w:val="24"/>
        </w:rPr>
        <w:t xml:space="preserve"> dhe efikasitetin e energjisë</w:t>
      </w:r>
      <w:bookmarkEnd w:id="29"/>
      <w:r w:rsidRPr="00913E39">
        <w:rPr>
          <w:rFonts w:ascii="Garamond" w:hAnsi="Garamond"/>
          <w:sz w:val="24"/>
        </w:rPr>
        <w:t>.</w:t>
      </w:r>
    </w:p>
    <w:p w14:paraId="22840CFC" w14:textId="72C3F61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2.3 që kontribuon në </w:t>
      </w:r>
      <w:r w:rsidR="00850FC7" w:rsidRPr="00913E39">
        <w:rPr>
          <w:rFonts w:ascii="Garamond" w:eastAsia="Times New Roman" w:hAnsi="Garamond" w:cs="Times New Roman"/>
          <w:sz w:val="24"/>
          <w:szCs w:val="24"/>
        </w:rPr>
        <w:t>r</w:t>
      </w:r>
      <w:r w:rsidRPr="00913E39">
        <w:rPr>
          <w:rFonts w:ascii="Garamond" w:eastAsia="Times New Roman" w:hAnsi="Garamond" w:cs="Times New Roman"/>
          <w:sz w:val="24"/>
          <w:szCs w:val="24"/>
        </w:rPr>
        <w:t>ezultatin</w:t>
      </w:r>
      <w:r w:rsidRPr="00913E39">
        <w:rPr>
          <w:rFonts w:ascii="Garamond" w:hAnsi="Garamond"/>
          <w:sz w:val="24"/>
        </w:rPr>
        <w:t xml:space="preserve"> 2: Pajisja e mësuesve të shkollave të mesme me laptop.</w:t>
      </w:r>
    </w:p>
    <w:p w14:paraId="3EF2D592" w14:textId="46EBDA30"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 xml:space="preserve">Objektivat </w:t>
      </w:r>
      <w:r w:rsidR="00850FC7" w:rsidRPr="00913E39">
        <w:rPr>
          <w:rFonts w:ascii="Garamond" w:eastAsia="Times New Roman" w:hAnsi="Garamond" w:cs="Times New Roman"/>
          <w:bCs/>
          <w:i/>
          <w:sz w:val="24"/>
          <w:szCs w:val="24"/>
        </w:rPr>
        <w:t>s</w:t>
      </w:r>
      <w:r w:rsidRPr="00913E39">
        <w:rPr>
          <w:rFonts w:ascii="Garamond" w:eastAsia="Times New Roman" w:hAnsi="Garamond" w:cs="Times New Roman"/>
          <w:bCs/>
          <w:i/>
          <w:sz w:val="24"/>
          <w:szCs w:val="24"/>
        </w:rPr>
        <w:t>pecifik</w:t>
      </w:r>
      <w:r w:rsidR="00850FC7" w:rsidRPr="00913E39">
        <w:rPr>
          <w:rFonts w:ascii="Garamond" w:eastAsia="Times New Roman" w:hAnsi="Garamond" w:cs="Times New Roman"/>
          <w:bCs/>
          <w:i/>
          <w:sz w:val="24"/>
          <w:szCs w:val="24"/>
        </w:rPr>
        <w:t>ë</w:t>
      </w:r>
      <w:r w:rsidRPr="00913E39">
        <w:rPr>
          <w:rFonts w:ascii="Garamond" w:eastAsia="Times New Roman" w:hAnsi="Garamond" w:cs="Times New Roman"/>
          <w:b/>
          <w:bCs/>
          <w:sz w:val="24"/>
          <w:szCs w:val="24"/>
        </w:rPr>
        <w:t xml:space="preserve"> </w:t>
      </w:r>
      <w:r w:rsidRPr="00913E39">
        <w:rPr>
          <w:rFonts w:ascii="Garamond" w:eastAsia="Times New Roman" w:hAnsi="Garamond" w:cs="Times New Roman"/>
          <w:bCs/>
          <w:i/>
          <w:sz w:val="24"/>
          <w:szCs w:val="24"/>
        </w:rPr>
        <w:t>(</w:t>
      </w:r>
      <w:r w:rsidR="00850FC7" w:rsidRPr="00913E39">
        <w:rPr>
          <w:rFonts w:ascii="Garamond" w:eastAsia="Times New Roman" w:hAnsi="Garamond" w:cs="Times New Roman"/>
          <w:bCs/>
          <w:i/>
          <w:sz w:val="24"/>
          <w:szCs w:val="24"/>
        </w:rPr>
        <w:t>r</w:t>
      </w:r>
      <w:r w:rsidRPr="00913E39">
        <w:rPr>
          <w:rFonts w:ascii="Garamond" w:eastAsia="Times New Roman" w:hAnsi="Garamond" w:cs="Times New Roman"/>
          <w:bCs/>
          <w:i/>
          <w:sz w:val="24"/>
          <w:szCs w:val="24"/>
        </w:rPr>
        <w:t>ezultatet</w:t>
      </w:r>
      <w:r w:rsidRPr="00913E39">
        <w:rPr>
          <w:rFonts w:ascii="Garamond" w:hAnsi="Garamond"/>
          <w:i/>
          <w:sz w:val="24"/>
        </w:rPr>
        <w:t>)</w:t>
      </w:r>
      <w:r w:rsidRPr="00913E39">
        <w:rPr>
          <w:rFonts w:ascii="Garamond" w:hAnsi="Garamond"/>
          <w:b/>
          <w:sz w:val="24"/>
        </w:rPr>
        <w:t xml:space="preserve"> </w:t>
      </w:r>
      <w:r w:rsidRPr="00913E39">
        <w:rPr>
          <w:rFonts w:ascii="Garamond" w:hAnsi="Garamond"/>
          <w:sz w:val="24"/>
        </w:rPr>
        <w:t xml:space="preserve">të </w:t>
      </w:r>
      <w:r w:rsidR="00850FC7" w:rsidRPr="00913E39">
        <w:rPr>
          <w:rFonts w:ascii="Garamond" w:eastAsia="Times New Roman" w:hAnsi="Garamond" w:cs="Times New Roman"/>
          <w:sz w:val="24"/>
          <w:szCs w:val="24"/>
        </w:rPr>
        <w:t>nënfushës</w:t>
      </w:r>
      <w:r w:rsidR="00850FC7" w:rsidRPr="00913E39">
        <w:rPr>
          <w:rFonts w:ascii="Garamond" w:hAnsi="Garamond"/>
          <w:sz w:val="24"/>
        </w:rPr>
        <w:t xml:space="preserve"> së </w:t>
      </w:r>
      <w:r w:rsidR="00850FC7" w:rsidRPr="00913E39">
        <w:rPr>
          <w:rFonts w:ascii="Garamond" w:eastAsia="Times New Roman" w:hAnsi="Garamond" w:cs="Times New Roman"/>
          <w:sz w:val="24"/>
          <w:szCs w:val="24"/>
        </w:rPr>
        <w:t>mbështetjes</w:t>
      </w:r>
      <w:r w:rsidR="00850FC7" w:rsidRPr="00913E39">
        <w:rPr>
          <w:rFonts w:ascii="Garamond" w:hAnsi="Garamond"/>
          <w:sz w:val="24"/>
        </w:rPr>
        <w:t xml:space="preserve"> së </w:t>
      </w:r>
      <w:r w:rsidR="00850FC7" w:rsidRPr="00913E39">
        <w:rPr>
          <w:rFonts w:ascii="Garamond" w:eastAsia="Times New Roman" w:hAnsi="Garamond" w:cs="Times New Roman"/>
          <w:sz w:val="24"/>
          <w:szCs w:val="24"/>
        </w:rPr>
        <w:t>tatimeve,</w:t>
      </w:r>
      <w:r w:rsidR="00850FC7" w:rsidRPr="00913E39">
        <w:rPr>
          <w:rFonts w:ascii="Garamond" w:hAnsi="Garamond"/>
          <w:sz w:val="24"/>
        </w:rPr>
        <w:t xml:space="preserve"> </w:t>
      </w:r>
      <w:r w:rsidRPr="00913E39">
        <w:rPr>
          <w:rFonts w:ascii="Garamond" w:hAnsi="Garamond"/>
          <w:sz w:val="24"/>
        </w:rPr>
        <w:t>janë:</w:t>
      </w:r>
    </w:p>
    <w:p w14:paraId="04F81A75" w14:textId="611E41D9" w:rsidR="00847F23" w:rsidRPr="00913E39" w:rsidRDefault="00847F23" w:rsidP="00FC4C60">
      <w:pPr>
        <w:spacing w:after="0" w:line="240" w:lineRule="auto"/>
        <w:ind w:firstLine="284"/>
        <w:jc w:val="both"/>
        <w:rPr>
          <w:rFonts w:ascii="Garamond" w:hAnsi="Garamond"/>
          <w:sz w:val="24"/>
        </w:rPr>
      </w:pPr>
      <w:bookmarkStart w:id="31" w:name="_Hlk137602615"/>
      <w:bookmarkStart w:id="32" w:name="_Hlk137622265"/>
      <w:r w:rsidRPr="00913E39">
        <w:rPr>
          <w:rFonts w:ascii="Garamond" w:hAnsi="Garamond"/>
          <w:i/>
          <w:sz w:val="24"/>
        </w:rPr>
        <w:t>Rezultati 3</w:t>
      </w:r>
      <w:bookmarkEnd w:id="31"/>
      <w:r w:rsidR="00850FC7" w:rsidRPr="00913E39">
        <w:rPr>
          <w:rFonts w:ascii="Garamond" w:eastAsia="Times New Roman" w:hAnsi="Garamond" w:cs="Times New Roman"/>
          <w:bCs/>
          <w:i/>
          <w:sz w:val="24"/>
          <w:szCs w:val="24"/>
        </w:rPr>
        <w:t>.</w:t>
      </w:r>
      <w:r w:rsidRPr="00913E39">
        <w:rPr>
          <w:rFonts w:ascii="Garamond" w:hAnsi="Garamond"/>
          <w:sz w:val="24"/>
        </w:rPr>
        <w:t xml:space="preserve"> Realizimi i ndërlidhjes dhe ndërveprimit të sistemeve TIK të DPT-së me sistemet TIK të BE-së nëpërmjet rrjetit/ndërfaqes CCN/CSI dhe përgatitja e integrimit në VIES/VIDA të BE-së.</w:t>
      </w:r>
    </w:p>
    <w:bookmarkEnd w:id="32"/>
    <w:p w14:paraId="3D1BBADE" w14:textId="367F08F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Administrata tatimore e Shqipërisë duhet të përgatitet që sistemet e saj IT të ndërlidhen me sistemet e BE-së. Kur Shqipëria të bëhet Shtet Anëtar, duhet të ndërlidhet me CCN/CSI, e cila lehtëson të gjitha komunikimet në kuadrin e shkëmbimit të informacionit me administratat tatimore të shteteve të tjera anëtare sipas </w:t>
      </w:r>
      <w:r w:rsidR="006A336F" w:rsidRPr="00913E39">
        <w:rPr>
          <w:rFonts w:ascii="Garamond" w:hAnsi="Garamond"/>
          <w:sz w:val="24"/>
        </w:rPr>
        <w:t xml:space="preserve">direktivave </w:t>
      </w:r>
      <w:r w:rsidRPr="00913E39">
        <w:rPr>
          <w:rFonts w:ascii="Garamond" w:hAnsi="Garamond"/>
          <w:sz w:val="24"/>
        </w:rPr>
        <w:t xml:space="preserve">të BE-së për </w:t>
      </w:r>
      <w:r w:rsidR="006A336F" w:rsidRPr="00913E39">
        <w:rPr>
          <w:rFonts w:ascii="Garamond" w:hAnsi="Garamond"/>
          <w:sz w:val="24"/>
        </w:rPr>
        <w:t xml:space="preserve">bashkëpunimin administrativ </w:t>
      </w:r>
      <w:r w:rsidRPr="00913E39">
        <w:rPr>
          <w:rFonts w:ascii="Garamond" w:hAnsi="Garamond"/>
          <w:sz w:val="24"/>
        </w:rPr>
        <w:t>(DAC), me VIES/VIDA etj.</w:t>
      </w:r>
    </w:p>
    <w:p w14:paraId="6BDCB19C" w14:textId="521E116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Prandaj, ndërhyrja synon të sigurojë kapacitetet e nevojshme dhe të marrë masa për të siguruar zbatimin efektiv të shkëmbimit automatik të informacionit tatimor me shtetet anëtare të BE-së në përputhje me Standardin Global të OECD</w:t>
      </w:r>
      <w:r w:rsidR="007617F8" w:rsidRPr="00913E39">
        <w:rPr>
          <w:rFonts w:ascii="Garamond" w:hAnsi="Garamond"/>
          <w:sz w:val="24"/>
        </w:rPr>
        <w:t>-së</w:t>
      </w:r>
      <w:r w:rsidRPr="00913E39">
        <w:rPr>
          <w:rFonts w:ascii="Garamond" w:hAnsi="Garamond"/>
          <w:sz w:val="24"/>
        </w:rPr>
        <w:t xml:space="preserve">, duke arritur ndërlidhjen dhe ndërveprimin me sistemet IT të BE-së në përputhje me rekomandimet e </w:t>
      </w:r>
      <w:r w:rsidR="006A336F" w:rsidRPr="00913E39">
        <w:rPr>
          <w:rFonts w:ascii="Garamond" w:hAnsi="Garamond"/>
          <w:sz w:val="24"/>
        </w:rPr>
        <w:t xml:space="preserve">progresraportit </w:t>
      </w:r>
      <w:r w:rsidRPr="00913E39">
        <w:rPr>
          <w:rFonts w:ascii="Garamond" w:hAnsi="Garamond"/>
          <w:sz w:val="24"/>
        </w:rPr>
        <w:t>2022 të Komisionit Evropian për Shqipërinë. Gjithashtu, ai synon të adoptojë dhe integrojë standardet dhe praktikat e BE-së (VIES/VIDA) sipas kërkesave të BE-së dhe në përputhje me specifikimet e DG TAXUD.</w:t>
      </w:r>
    </w:p>
    <w:p w14:paraId="0C969B25" w14:textId="2A6A250C" w:rsidR="00847F23" w:rsidRPr="00913E39" w:rsidRDefault="00847F23" w:rsidP="00FC4C60">
      <w:pPr>
        <w:spacing w:after="0" w:line="240" w:lineRule="auto"/>
        <w:ind w:firstLine="284"/>
        <w:jc w:val="both"/>
        <w:rPr>
          <w:rFonts w:ascii="Garamond" w:hAnsi="Garamond"/>
          <w:sz w:val="24"/>
        </w:rPr>
      </w:pPr>
      <w:bookmarkStart w:id="33" w:name="_Hlk137622288"/>
      <w:r w:rsidRPr="00913E39">
        <w:rPr>
          <w:rFonts w:ascii="Garamond" w:hAnsi="Garamond"/>
          <w:i/>
          <w:sz w:val="24"/>
        </w:rPr>
        <w:t>Rezultati 4</w:t>
      </w:r>
      <w:r w:rsidR="00850FC7" w:rsidRPr="00913E39">
        <w:rPr>
          <w:rFonts w:ascii="Garamond" w:eastAsia="Times New Roman" w:hAnsi="Garamond" w:cs="Times New Roman"/>
          <w:i/>
          <w:sz w:val="24"/>
          <w:szCs w:val="24"/>
        </w:rPr>
        <w:t>.</w:t>
      </w:r>
      <w:r w:rsidRPr="00913E39">
        <w:rPr>
          <w:rFonts w:ascii="Garamond" w:hAnsi="Garamond"/>
          <w:b/>
          <w:sz w:val="24"/>
        </w:rPr>
        <w:t xml:space="preserve"> </w:t>
      </w:r>
      <w:r w:rsidRPr="00913E39">
        <w:rPr>
          <w:rFonts w:ascii="Garamond" w:hAnsi="Garamond"/>
          <w:sz w:val="24"/>
        </w:rPr>
        <w:t>Përmbushja e detyrimit të OECD-së dhe BE-së për kryerjen e shkëmbimeve automatike të informacionit tatimor (</w:t>
      </w:r>
      <w:r w:rsidR="00850FC7" w:rsidRPr="00913E39">
        <w:rPr>
          <w:rFonts w:ascii="Garamond" w:eastAsia="Times New Roman" w:hAnsi="Garamond" w:cs="Times New Roman"/>
          <w:bCs/>
          <w:i/>
          <w:sz w:val="24"/>
          <w:szCs w:val="24"/>
        </w:rPr>
        <w:t>r</w:t>
      </w:r>
      <w:r w:rsidRPr="00913E39">
        <w:rPr>
          <w:rFonts w:ascii="Garamond" w:eastAsia="Times New Roman" w:hAnsi="Garamond" w:cs="Times New Roman"/>
          <w:bCs/>
          <w:i/>
          <w:sz w:val="24"/>
          <w:szCs w:val="24"/>
        </w:rPr>
        <w:t>aportimi</w:t>
      </w:r>
      <w:r w:rsidRPr="00913E39">
        <w:rPr>
          <w:rFonts w:ascii="Garamond" w:hAnsi="Garamond"/>
          <w:sz w:val="24"/>
        </w:rPr>
        <w:t xml:space="preserve"> nga shteti</w:t>
      </w:r>
      <w:r w:rsidRPr="00913E39">
        <w:rPr>
          <w:rFonts w:ascii="Garamond" w:eastAsia="Times New Roman" w:hAnsi="Garamond" w:cs="Times New Roman"/>
          <w:bCs/>
          <w:sz w:val="24"/>
          <w:szCs w:val="24"/>
        </w:rPr>
        <w:t>)</w:t>
      </w:r>
      <w:r w:rsidR="007617F8" w:rsidRPr="00913E39">
        <w:rPr>
          <w:rFonts w:ascii="Garamond" w:eastAsia="Times New Roman" w:hAnsi="Garamond" w:cs="Times New Roman"/>
          <w:bCs/>
          <w:sz w:val="24"/>
          <w:szCs w:val="24"/>
        </w:rPr>
        <w:t>.</w:t>
      </w:r>
    </w:p>
    <w:bookmarkEnd w:id="33"/>
    <w:p w14:paraId="08CA9C75" w14:textId="183D0DC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Synimi është që Drejtoria e Përgjithshme e Tatimeve (DPT) të kryejë shkëmbime automatike të informacionit tatimor bazuar në kërkesat e OECD/Raportimi nga çdo shtet. Ky zbatim pritet të </w:t>
      </w:r>
      <w:r w:rsidRPr="00913E39">
        <w:rPr>
          <w:rFonts w:ascii="Garamond" w:hAnsi="Garamond"/>
          <w:sz w:val="24"/>
        </w:rPr>
        <w:lastRenderedPageBreak/>
        <w:t>rrisë ndjeshëm efikasitetin dhe administrimin e të ardhurave tatimore në Shqipëri. Duke adoptuar këtë qasje, DPT</w:t>
      </w:r>
      <w:r w:rsidR="006A336F" w:rsidRPr="00913E39">
        <w:rPr>
          <w:rFonts w:ascii="Garamond" w:hAnsi="Garamond"/>
          <w:sz w:val="24"/>
        </w:rPr>
        <w:t>-ja</w:t>
      </w:r>
      <w:r w:rsidRPr="00913E39">
        <w:rPr>
          <w:rFonts w:ascii="Garamond" w:hAnsi="Garamond"/>
          <w:sz w:val="24"/>
        </w:rPr>
        <w:t xml:space="preserve"> do të fitojë njohuri gjithëpërfshirëse dhe të detajuara mbi operacionet globale, financat dhe pozicionet tatimore të ndërmarrjeve shumëkombëshe (MNE).</w:t>
      </w:r>
    </w:p>
    <w:p w14:paraId="5FE0E8F4"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Produktet</w:t>
      </w:r>
      <w:r w:rsidRPr="00913E39">
        <w:rPr>
          <w:rFonts w:ascii="Garamond" w:hAnsi="Garamond"/>
          <w:sz w:val="24"/>
        </w:rPr>
        <w:t xml:space="preserve"> që kontribuojnë në objektivin specifik janë si më poshtë:</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6797"/>
      </w:tblGrid>
      <w:tr w:rsidR="00847F23" w:rsidRPr="00913E39" w14:paraId="46331CA7" w14:textId="77777777" w:rsidTr="006A336F">
        <w:trPr>
          <w:trHeight w:val="1077"/>
        </w:trPr>
        <w:tc>
          <w:tcPr>
            <w:tcW w:w="2263" w:type="dxa"/>
            <w:shd w:val="clear" w:color="auto" w:fill="auto"/>
          </w:tcPr>
          <w:p w14:paraId="5255B82C" w14:textId="5BDD0B4F" w:rsidR="00847F23" w:rsidRPr="00913E39" w:rsidRDefault="00847F23" w:rsidP="006D6812">
            <w:pPr>
              <w:spacing w:after="0" w:line="240" w:lineRule="auto"/>
              <w:jc w:val="both"/>
              <w:rPr>
                <w:rFonts w:ascii="Garamond" w:hAnsi="Garamond"/>
                <w:sz w:val="20"/>
              </w:rPr>
            </w:pPr>
            <w:r w:rsidRPr="00913E39">
              <w:rPr>
                <w:rFonts w:ascii="Garamond" w:hAnsi="Garamond"/>
                <w:sz w:val="20"/>
              </w:rPr>
              <w:t xml:space="preserve">Kontributi për </w:t>
            </w:r>
            <w:r w:rsidR="00850FC7" w:rsidRPr="00913E39">
              <w:rPr>
                <w:rFonts w:ascii="Garamond" w:eastAsia="Times New Roman" w:hAnsi="Garamond" w:cs="Times New Roman"/>
                <w:i/>
                <w:sz w:val="20"/>
                <w:szCs w:val="24"/>
              </w:rPr>
              <w:t>rezultatin</w:t>
            </w:r>
            <w:r w:rsidR="00850FC7" w:rsidRPr="00913E39">
              <w:rPr>
                <w:rFonts w:ascii="Garamond" w:hAnsi="Garamond"/>
                <w:sz w:val="20"/>
              </w:rPr>
              <w:t xml:space="preserve"> </w:t>
            </w:r>
            <w:r w:rsidRPr="00913E39">
              <w:rPr>
                <w:rFonts w:ascii="Garamond" w:hAnsi="Garamond"/>
                <w:sz w:val="20"/>
              </w:rPr>
              <w:t>3</w:t>
            </w:r>
          </w:p>
        </w:tc>
        <w:tc>
          <w:tcPr>
            <w:tcW w:w="6797" w:type="dxa"/>
            <w:shd w:val="clear" w:color="auto" w:fill="auto"/>
          </w:tcPr>
          <w:p w14:paraId="3D876087" w14:textId="77777777" w:rsidR="00847F23" w:rsidRPr="00913E39" w:rsidRDefault="00847F23" w:rsidP="006A336F">
            <w:pPr>
              <w:spacing w:after="0" w:line="240" w:lineRule="auto"/>
              <w:jc w:val="both"/>
              <w:rPr>
                <w:rFonts w:ascii="Garamond" w:hAnsi="Garamond"/>
                <w:sz w:val="20"/>
              </w:rPr>
            </w:pPr>
            <w:r w:rsidRPr="00913E39">
              <w:rPr>
                <w:rFonts w:ascii="Garamond" w:hAnsi="Garamond"/>
                <w:sz w:val="20"/>
              </w:rPr>
              <w:t>Produkt 3.1. Hartimi i rekomandimeve, specifikimeve dhe udhëzimeve teknike.</w:t>
            </w:r>
          </w:p>
          <w:p w14:paraId="0D8EEE24" w14:textId="77777777" w:rsidR="00847F23" w:rsidRPr="00913E39" w:rsidRDefault="00847F23" w:rsidP="006A336F">
            <w:pPr>
              <w:spacing w:after="0" w:line="240" w:lineRule="auto"/>
              <w:jc w:val="both"/>
              <w:rPr>
                <w:rFonts w:ascii="Garamond" w:hAnsi="Garamond"/>
                <w:sz w:val="20"/>
              </w:rPr>
            </w:pPr>
            <w:r w:rsidRPr="00913E39">
              <w:rPr>
                <w:rFonts w:ascii="Garamond" w:hAnsi="Garamond"/>
                <w:sz w:val="20"/>
              </w:rPr>
              <w:t>Produkti 3.2 Zhvillimi i reformave ligjore dhe rregullatore për të përgatitur terrenin për zbatim.</w:t>
            </w:r>
          </w:p>
          <w:p w14:paraId="3F529F6A" w14:textId="77777777" w:rsidR="00847F23" w:rsidRPr="00913E39" w:rsidRDefault="00847F23" w:rsidP="006A336F">
            <w:pPr>
              <w:spacing w:after="0" w:line="240" w:lineRule="auto"/>
              <w:jc w:val="both"/>
              <w:rPr>
                <w:rFonts w:ascii="Garamond" w:hAnsi="Garamond"/>
                <w:sz w:val="20"/>
              </w:rPr>
            </w:pPr>
            <w:r w:rsidRPr="00913E39">
              <w:rPr>
                <w:rFonts w:ascii="Garamond" w:hAnsi="Garamond"/>
                <w:sz w:val="20"/>
              </w:rPr>
              <w:t xml:space="preserve">Produkti 3.3 Përmirësimi i infrastrukturës ekzistuese e IT-së dhe krijimi i një pajisjeje të re të krijuar në DPT. </w:t>
            </w:r>
          </w:p>
          <w:p w14:paraId="5FBA7228" w14:textId="77777777" w:rsidR="00847F23" w:rsidRPr="00913E39" w:rsidRDefault="00847F23" w:rsidP="006A336F">
            <w:pPr>
              <w:spacing w:after="0" w:line="240" w:lineRule="auto"/>
              <w:jc w:val="both"/>
              <w:rPr>
                <w:rFonts w:ascii="Garamond" w:hAnsi="Garamond"/>
                <w:sz w:val="20"/>
              </w:rPr>
            </w:pPr>
            <w:r w:rsidRPr="00913E39">
              <w:rPr>
                <w:rFonts w:ascii="Garamond" w:hAnsi="Garamond"/>
                <w:sz w:val="20"/>
              </w:rPr>
              <w:t>Produkti 3.4 Modifikimi i kuadrit ekzistues të ndërveprimit.</w:t>
            </w:r>
          </w:p>
          <w:p w14:paraId="0EBA61C5" w14:textId="77777777" w:rsidR="00847F23" w:rsidRPr="00913E39" w:rsidRDefault="00847F23" w:rsidP="006A336F">
            <w:pPr>
              <w:spacing w:after="0" w:line="240" w:lineRule="auto"/>
              <w:jc w:val="both"/>
              <w:rPr>
                <w:rFonts w:ascii="Garamond" w:hAnsi="Garamond"/>
                <w:sz w:val="20"/>
              </w:rPr>
            </w:pPr>
            <w:r w:rsidRPr="00913E39">
              <w:rPr>
                <w:rFonts w:ascii="Garamond" w:hAnsi="Garamond"/>
                <w:sz w:val="20"/>
              </w:rPr>
              <w:t>Produkt 3.5. Forcimi i kapacitete për stafin e IT në DPT dhe organe/agjenci të tjera publike.</w:t>
            </w:r>
          </w:p>
          <w:p w14:paraId="1F457200" w14:textId="77777777" w:rsidR="00847F23" w:rsidRPr="00913E39" w:rsidRDefault="00847F23" w:rsidP="006A336F">
            <w:pPr>
              <w:spacing w:after="0" w:line="240" w:lineRule="auto"/>
              <w:jc w:val="both"/>
              <w:rPr>
                <w:rFonts w:ascii="Garamond" w:hAnsi="Garamond"/>
                <w:sz w:val="20"/>
              </w:rPr>
            </w:pPr>
            <w:r w:rsidRPr="00913E39">
              <w:rPr>
                <w:rFonts w:ascii="Garamond" w:hAnsi="Garamond"/>
                <w:sz w:val="20"/>
              </w:rPr>
              <w:t>Produkt 3.6. Zhvillimi i një fushate ndërgjegjësimi dhe informimi për taksapaguesit shqiptarë.</w:t>
            </w:r>
          </w:p>
        </w:tc>
      </w:tr>
      <w:tr w:rsidR="00847F23" w:rsidRPr="00913E39" w14:paraId="2E7B5E60" w14:textId="77777777" w:rsidTr="006A336F">
        <w:trPr>
          <w:trHeight w:val="47"/>
        </w:trPr>
        <w:tc>
          <w:tcPr>
            <w:tcW w:w="2263" w:type="dxa"/>
            <w:shd w:val="clear" w:color="auto" w:fill="auto"/>
          </w:tcPr>
          <w:p w14:paraId="31DF046A" w14:textId="4A07B9E1" w:rsidR="00847F23" w:rsidRPr="00913E39" w:rsidRDefault="00847F23" w:rsidP="006D6812">
            <w:pPr>
              <w:spacing w:after="0" w:line="240" w:lineRule="auto"/>
              <w:jc w:val="both"/>
              <w:rPr>
                <w:rFonts w:ascii="Garamond" w:hAnsi="Garamond"/>
                <w:sz w:val="20"/>
              </w:rPr>
            </w:pPr>
            <w:r w:rsidRPr="00913E39">
              <w:rPr>
                <w:rFonts w:ascii="Garamond" w:hAnsi="Garamond"/>
                <w:sz w:val="20"/>
              </w:rPr>
              <w:t xml:space="preserve">Kontributi për </w:t>
            </w:r>
            <w:r w:rsidR="00850FC7" w:rsidRPr="00913E39">
              <w:rPr>
                <w:rFonts w:ascii="Garamond" w:eastAsia="Times New Roman" w:hAnsi="Garamond" w:cs="Times New Roman"/>
                <w:i/>
                <w:sz w:val="20"/>
                <w:szCs w:val="24"/>
              </w:rPr>
              <w:t>rezultatin</w:t>
            </w:r>
            <w:r w:rsidR="00850FC7" w:rsidRPr="00913E39">
              <w:rPr>
                <w:rFonts w:ascii="Garamond" w:hAnsi="Garamond"/>
                <w:sz w:val="20"/>
              </w:rPr>
              <w:t xml:space="preserve"> </w:t>
            </w:r>
            <w:r w:rsidRPr="00913E39">
              <w:rPr>
                <w:rFonts w:ascii="Garamond" w:hAnsi="Garamond"/>
                <w:sz w:val="20"/>
              </w:rPr>
              <w:t xml:space="preserve">4 </w:t>
            </w:r>
          </w:p>
        </w:tc>
        <w:tc>
          <w:tcPr>
            <w:tcW w:w="6797" w:type="dxa"/>
            <w:shd w:val="clear" w:color="auto" w:fill="auto"/>
          </w:tcPr>
          <w:p w14:paraId="53B936DD" w14:textId="77777777" w:rsidR="00847F23" w:rsidRPr="00913E39" w:rsidRDefault="00847F23" w:rsidP="006A336F">
            <w:pPr>
              <w:spacing w:after="0" w:line="240" w:lineRule="auto"/>
              <w:jc w:val="both"/>
              <w:rPr>
                <w:rFonts w:ascii="Garamond" w:hAnsi="Garamond"/>
                <w:sz w:val="20"/>
              </w:rPr>
            </w:pPr>
            <w:r w:rsidRPr="00913E39">
              <w:rPr>
                <w:rFonts w:ascii="Garamond" w:hAnsi="Garamond"/>
                <w:sz w:val="20"/>
              </w:rPr>
              <w:t>Produkt 4.1. Hartimi i rekomandimeve, specifikimeve dhe udhëzimeve teknike.</w:t>
            </w:r>
          </w:p>
          <w:p w14:paraId="037AACC2" w14:textId="77777777" w:rsidR="00847F23" w:rsidRPr="00913E39" w:rsidRDefault="00847F23" w:rsidP="006A336F">
            <w:pPr>
              <w:spacing w:after="0" w:line="240" w:lineRule="auto"/>
              <w:jc w:val="both"/>
              <w:rPr>
                <w:rFonts w:ascii="Garamond" w:hAnsi="Garamond"/>
                <w:sz w:val="20"/>
              </w:rPr>
            </w:pPr>
            <w:r w:rsidRPr="00913E39">
              <w:rPr>
                <w:rFonts w:ascii="Garamond" w:hAnsi="Garamond"/>
                <w:sz w:val="20"/>
              </w:rPr>
              <w:t>Produkti 4.2 Zhvillimi i reformave ligjore dhe rregullatore për të përgatitur terrenin për zbatim.</w:t>
            </w:r>
          </w:p>
          <w:p w14:paraId="1442343E" w14:textId="77777777" w:rsidR="00847F23" w:rsidRPr="00913E39" w:rsidRDefault="00847F23" w:rsidP="006A336F">
            <w:pPr>
              <w:spacing w:after="0" w:line="240" w:lineRule="auto"/>
              <w:jc w:val="both"/>
              <w:rPr>
                <w:rFonts w:ascii="Garamond" w:hAnsi="Garamond"/>
                <w:sz w:val="20"/>
              </w:rPr>
            </w:pPr>
            <w:r w:rsidRPr="00913E39">
              <w:rPr>
                <w:rFonts w:ascii="Garamond" w:hAnsi="Garamond"/>
                <w:sz w:val="20"/>
              </w:rPr>
              <w:t>Produkt 4.3. Krijimi i portalit CbCR, përmirësimi i infrastrukturës ekzistuese të IT-së dhe vendosja e pajisjeve të reja në DPT.</w:t>
            </w:r>
          </w:p>
          <w:p w14:paraId="4ADAF6FB" w14:textId="77777777" w:rsidR="00847F23" w:rsidRPr="00913E39" w:rsidRDefault="00847F23" w:rsidP="006A336F">
            <w:pPr>
              <w:spacing w:after="0" w:line="240" w:lineRule="auto"/>
              <w:jc w:val="both"/>
              <w:rPr>
                <w:rFonts w:ascii="Garamond" w:hAnsi="Garamond"/>
                <w:sz w:val="20"/>
              </w:rPr>
            </w:pPr>
            <w:r w:rsidRPr="00913E39">
              <w:rPr>
                <w:rFonts w:ascii="Garamond" w:hAnsi="Garamond"/>
                <w:sz w:val="20"/>
              </w:rPr>
              <w:t>Produkt 4,4. Forcimi i kapacitete për stafin e IT në DPT dhe organe/agjenci të tjera publike.</w:t>
            </w:r>
          </w:p>
          <w:p w14:paraId="4D41C776" w14:textId="77777777" w:rsidR="00847F23" w:rsidRPr="00913E39" w:rsidRDefault="00847F23" w:rsidP="006A336F">
            <w:pPr>
              <w:spacing w:after="0" w:line="240" w:lineRule="auto"/>
              <w:jc w:val="both"/>
              <w:rPr>
                <w:rFonts w:ascii="Garamond" w:hAnsi="Garamond"/>
                <w:sz w:val="20"/>
              </w:rPr>
            </w:pPr>
            <w:r w:rsidRPr="00913E39">
              <w:rPr>
                <w:rFonts w:ascii="Garamond" w:hAnsi="Garamond"/>
                <w:sz w:val="20"/>
              </w:rPr>
              <w:t>Produkt 4.5. Zhvillimi i një fushate ndërgjegjësimi dhe informimi për taksapaguesit shqiptarë.</w:t>
            </w:r>
          </w:p>
          <w:p w14:paraId="6F8DD042" w14:textId="77777777" w:rsidR="00847F23" w:rsidRPr="00913E39" w:rsidRDefault="00847F23" w:rsidP="006A336F">
            <w:pPr>
              <w:spacing w:after="0" w:line="240" w:lineRule="auto"/>
              <w:jc w:val="both"/>
              <w:rPr>
                <w:rFonts w:ascii="Garamond" w:hAnsi="Garamond"/>
                <w:sz w:val="20"/>
              </w:rPr>
            </w:pPr>
            <w:r w:rsidRPr="00913E39">
              <w:rPr>
                <w:rFonts w:ascii="Garamond" w:hAnsi="Garamond"/>
                <w:sz w:val="20"/>
              </w:rPr>
              <w:t>Produkti 4.6 Krijimi i sistemit të monitorimit dhe vlerësimit për CbCR.</w:t>
            </w:r>
          </w:p>
        </w:tc>
      </w:tr>
    </w:tbl>
    <w:p w14:paraId="4DE06004" w14:textId="77777777" w:rsidR="00847F23" w:rsidRPr="00913E39" w:rsidRDefault="00847F23" w:rsidP="00FC4C60">
      <w:pPr>
        <w:spacing w:after="0" w:line="240" w:lineRule="auto"/>
        <w:ind w:firstLine="284"/>
        <w:jc w:val="both"/>
        <w:rPr>
          <w:rFonts w:ascii="Garamond" w:hAnsi="Garamond"/>
          <w:sz w:val="24"/>
        </w:rPr>
      </w:pPr>
    </w:p>
    <w:p w14:paraId="33D05CCF" w14:textId="4DA9C70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Produktet e mësipërme përputhen drejtpërdrejt me pikat e dobëta dhe nevojat e mëposhtme të identifikuara në analizën SWOT të përshkruar në seksionin 2.7: Kapacitete dhe burime të pamjaftueshme teknike pengojnë integrimin dhe ndërveprimin e suksesshëm të sistemeve kombëtare tatimore; integrimit dhe ndërveprimit të sistemeve kombëtare tatimore i mungon një kuadër ligjor dhe institucional i fuqishëm; Shqipëria përpiqet të mbledhë në mënyrë efektive të ardhurat tatimore dhe të sigurojë përputhjen me ligjet tatimore;</w:t>
      </w:r>
      <w:r w:rsidR="006A336F" w:rsidRPr="00913E39">
        <w:rPr>
          <w:rFonts w:ascii="Garamond" w:hAnsi="Garamond"/>
          <w:sz w:val="24"/>
        </w:rPr>
        <w:t xml:space="preserve"> </w:t>
      </w:r>
      <w:r w:rsidRPr="00913E39">
        <w:rPr>
          <w:rFonts w:ascii="Garamond" w:hAnsi="Garamond"/>
          <w:sz w:val="24"/>
        </w:rPr>
        <w:t xml:space="preserve">Regjistri i Tatimpaguesve kërkon përsosje dhe përditësim; Metodologjitë e menaxhimit të riskut të përmbushjes aktualisht zbatohen ngadalë dhe në mënyrë joefektive; dhe Sistemi aktual i </w:t>
      </w:r>
      <w:r w:rsidRPr="00913E39">
        <w:rPr>
          <w:rFonts w:ascii="Garamond" w:hAnsi="Garamond"/>
          <w:i/>
          <w:sz w:val="24"/>
        </w:rPr>
        <w:t>e-tatime</w:t>
      </w:r>
      <w:r w:rsidRPr="00913E39">
        <w:rPr>
          <w:rFonts w:ascii="Garamond" w:hAnsi="Garamond"/>
          <w:sz w:val="24"/>
        </w:rPr>
        <w:t xml:space="preserve"> ka nevoja funksionale që vazhdojnë, duke përfshirë nevojën për testimin e përdoruesve, automatizimin e proceseve të punës.</w:t>
      </w:r>
    </w:p>
    <w:p w14:paraId="5B85457E" w14:textId="21301BDE" w:rsidR="00847F23" w:rsidRPr="00913E39" w:rsidRDefault="00847F23" w:rsidP="00FC4C60">
      <w:pPr>
        <w:spacing w:after="0" w:line="240" w:lineRule="auto"/>
        <w:ind w:firstLine="284"/>
        <w:jc w:val="both"/>
        <w:rPr>
          <w:rFonts w:ascii="Garamond" w:hAnsi="Garamond"/>
          <w:b/>
          <w:sz w:val="24"/>
        </w:rPr>
      </w:pPr>
      <w:r w:rsidRPr="00913E39">
        <w:rPr>
          <w:rFonts w:ascii="Garamond" w:hAnsi="Garamond"/>
          <w:i/>
          <w:sz w:val="24"/>
        </w:rPr>
        <w:t>Rezultati 5</w:t>
      </w:r>
      <w:r w:rsidR="006A336F" w:rsidRPr="00913E39">
        <w:rPr>
          <w:rFonts w:ascii="Garamond" w:hAnsi="Garamond"/>
          <w:i/>
          <w:sz w:val="24"/>
        </w:rPr>
        <w:t>.</w:t>
      </w:r>
      <w:r w:rsidRPr="00913E39">
        <w:rPr>
          <w:rFonts w:ascii="Garamond" w:hAnsi="Garamond"/>
          <w:i/>
          <w:sz w:val="24"/>
        </w:rPr>
        <w:t xml:space="preserve"> Objektivi specifik</w:t>
      </w:r>
      <w:r w:rsidRPr="00913E39">
        <w:rPr>
          <w:rFonts w:ascii="Garamond" w:hAnsi="Garamond"/>
          <w:b/>
          <w:sz w:val="24"/>
        </w:rPr>
        <w:t xml:space="preserve"> </w:t>
      </w:r>
      <w:r w:rsidRPr="00913E39">
        <w:rPr>
          <w:rFonts w:ascii="Garamond" w:hAnsi="Garamond"/>
          <w:i/>
          <w:sz w:val="24"/>
        </w:rPr>
        <w:t>(</w:t>
      </w:r>
      <w:r w:rsidR="006A336F" w:rsidRPr="00913E39">
        <w:rPr>
          <w:rFonts w:ascii="Garamond" w:hAnsi="Garamond"/>
          <w:i/>
          <w:sz w:val="24"/>
        </w:rPr>
        <w:t>r</w:t>
      </w:r>
      <w:r w:rsidRPr="00913E39">
        <w:rPr>
          <w:rFonts w:ascii="Garamond" w:hAnsi="Garamond"/>
          <w:i/>
          <w:sz w:val="24"/>
        </w:rPr>
        <w:t>ezultati 5)</w:t>
      </w:r>
      <w:r w:rsidRPr="00913E39">
        <w:rPr>
          <w:rFonts w:ascii="Garamond" w:hAnsi="Garamond"/>
          <w:sz w:val="24"/>
        </w:rPr>
        <w:t xml:space="preserve"> i nënfushës së mbështetjes </w:t>
      </w:r>
      <w:r w:rsidR="006A336F" w:rsidRPr="00913E39">
        <w:rPr>
          <w:rFonts w:ascii="Garamond" w:hAnsi="Garamond"/>
          <w:sz w:val="24"/>
        </w:rPr>
        <w:t xml:space="preserve">siguria kibernetike </w:t>
      </w:r>
      <w:r w:rsidRPr="00913E39">
        <w:rPr>
          <w:rFonts w:ascii="Garamond" w:hAnsi="Garamond"/>
          <w:sz w:val="24"/>
        </w:rPr>
        <w:t>është rritja e kapaciteteve për të luftuar kërcënimet kibernetike kundër infrastrukturave kritike të informacionit.</w:t>
      </w:r>
    </w:p>
    <w:p w14:paraId="22C7D9E0" w14:textId="7B99B6AD"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Produktet</w:t>
      </w:r>
      <w:r w:rsidRPr="00913E39">
        <w:rPr>
          <w:rFonts w:ascii="Garamond" w:hAnsi="Garamond"/>
          <w:sz w:val="24"/>
        </w:rPr>
        <w:t xml:space="preserve"> e planifikuara për të arritur ndryshimin e kërkuar nën </w:t>
      </w:r>
      <w:r w:rsidR="006A336F" w:rsidRPr="00913E39">
        <w:rPr>
          <w:rFonts w:ascii="Garamond" w:hAnsi="Garamond"/>
          <w:sz w:val="24"/>
        </w:rPr>
        <w:t xml:space="preserve">këtë nënfushë të mbështetjes </w:t>
      </w:r>
      <w:r w:rsidRPr="00913E39">
        <w:rPr>
          <w:rFonts w:ascii="Garamond" w:hAnsi="Garamond"/>
          <w:sz w:val="24"/>
        </w:rPr>
        <w:t xml:space="preserve">që kontribuojnë në </w:t>
      </w:r>
      <w:r w:rsidR="006A336F" w:rsidRPr="00913E39">
        <w:rPr>
          <w:rFonts w:ascii="Garamond" w:hAnsi="Garamond"/>
          <w:sz w:val="24"/>
        </w:rPr>
        <w:t xml:space="preserve">objektivin specifik </w:t>
      </w:r>
      <w:r w:rsidRPr="00913E39">
        <w:rPr>
          <w:rFonts w:ascii="Garamond" w:hAnsi="Garamond"/>
          <w:sz w:val="24"/>
        </w:rPr>
        <w:t>përkatës (</w:t>
      </w:r>
      <w:r w:rsidR="006A336F" w:rsidRPr="00913E39">
        <w:rPr>
          <w:rFonts w:ascii="Garamond" w:hAnsi="Garamond"/>
          <w:sz w:val="24"/>
        </w:rPr>
        <w:t>r</w:t>
      </w:r>
      <w:r w:rsidRPr="00913E39">
        <w:rPr>
          <w:rFonts w:ascii="Garamond" w:hAnsi="Garamond"/>
          <w:sz w:val="24"/>
        </w:rPr>
        <w:t>ezultati) janë:</w:t>
      </w:r>
    </w:p>
    <w:p w14:paraId="67FE3DD0" w14:textId="43A0AA7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5.1 që kontribuon në </w:t>
      </w:r>
      <w:r w:rsidR="006A336F" w:rsidRPr="00913E39">
        <w:rPr>
          <w:rFonts w:ascii="Garamond" w:hAnsi="Garamond"/>
          <w:sz w:val="24"/>
        </w:rPr>
        <w:t xml:space="preserve">rezultatin </w:t>
      </w:r>
      <w:r w:rsidRPr="00913E39">
        <w:rPr>
          <w:rFonts w:ascii="Garamond" w:hAnsi="Garamond"/>
          <w:sz w:val="24"/>
        </w:rPr>
        <w:t xml:space="preserve">5: Rritja e kapacitetit fizik pritës i Qendrës së të Dhënave (furnizimet) të AKSHI-t u rrit dhe përmirësimi i pajisjeve </w:t>
      </w:r>
      <w:bookmarkStart w:id="34" w:name="_Hlk188820829"/>
      <w:r w:rsidRPr="00913E39">
        <w:rPr>
          <w:rFonts w:ascii="Garamond" w:hAnsi="Garamond"/>
          <w:sz w:val="24"/>
        </w:rPr>
        <w:t>pajisje/</w:t>
      </w:r>
      <w:bookmarkEnd w:id="34"/>
      <w:r w:rsidRPr="00913E39">
        <w:rPr>
          <w:rFonts w:ascii="Garamond" w:hAnsi="Garamond"/>
          <w:sz w:val="24"/>
        </w:rPr>
        <w:t xml:space="preserve">programe përkatëse të </w:t>
      </w:r>
      <w:r w:rsidR="006A336F" w:rsidRPr="00913E39">
        <w:rPr>
          <w:rFonts w:ascii="Garamond" w:hAnsi="Garamond"/>
          <w:sz w:val="24"/>
        </w:rPr>
        <w:t>infrastrukturave të informacionit kritik</w:t>
      </w:r>
      <w:r w:rsidR="00FF164A">
        <w:rPr>
          <w:rFonts w:ascii="Garamond" w:hAnsi="Garamond"/>
          <w:sz w:val="24"/>
        </w:rPr>
        <w:t>.</w:t>
      </w:r>
    </w:p>
    <w:p w14:paraId="1F9653CB" w14:textId="05B9589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5.2 që kontribuon në </w:t>
      </w:r>
      <w:r w:rsidR="006A336F" w:rsidRPr="00913E39">
        <w:rPr>
          <w:rFonts w:ascii="Garamond" w:hAnsi="Garamond"/>
          <w:sz w:val="24"/>
        </w:rPr>
        <w:t xml:space="preserve">rezultatin </w:t>
      </w:r>
      <w:r w:rsidRPr="00913E39">
        <w:rPr>
          <w:rFonts w:ascii="Garamond" w:hAnsi="Garamond"/>
          <w:sz w:val="24"/>
        </w:rPr>
        <w:t>5: Krijimi i platformës së shërbimeve të sigurisë për zbulimin me kujdes ndaj sulmeve të sofistikuara</w:t>
      </w:r>
      <w:r w:rsidR="00FF164A">
        <w:rPr>
          <w:rFonts w:ascii="Garamond" w:hAnsi="Garamond"/>
          <w:sz w:val="24"/>
        </w:rPr>
        <w:t>.</w:t>
      </w:r>
    </w:p>
    <w:p w14:paraId="6519568E" w14:textId="5641D55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5.3 që kontribuon në </w:t>
      </w:r>
      <w:r w:rsidR="006A336F" w:rsidRPr="00913E39">
        <w:rPr>
          <w:rFonts w:ascii="Garamond" w:hAnsi="Garamond"/>
          <w:sz w:val="24"/>
        </w:rPr>
        <w:t xml:space="preserve">rezultatin </w:t>
      </w:r>
      <w:r w:rsidRPr="00913E39">
        <w:rPr>
          <w:rFonts w:ascii="Garamond" w:hAnsi="Garamond"/>
          <w:sz w:val="24"/>
        </w:rPr>
        <w:t>5: Krijimi i platformës së monitorimit të rrjetit të kodifikuar.</w:t>
      </w:r>
    </w:p>
    <w:p w14:paraId="181A6E30" w14:textId="7EFD6E0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5.4 që kontribuon në </w:t>
      </w:r>
      <w:r w:rsidR="006A336F" w:rsidRPr="00913E39">
        <w:rPr>
          <w:rFonts w:ascii="Garamond" w:hAnsi="Garamond"/>
          <w:sz w:val="24"/>
        </w:rPr>
        <w:t xml:space="preserve">rezultatin </w:t>
      </w:r>
      <w:r w:rsidRPr="00913E39">
        <w:rPr>
          <w:rFonts w:ascii="Garamond" w:hAnsi="Garamond"/>
          <w:sz w:val="24"/>
        </w:rPr>
        <w:t>5: Rritja e ndërgjegjësimi kibernetik dhe kapacitetit të analizës parandaluese, si dhe kapaciteteve për përballje kibernetike dhe reagim të organizatave të përfshira të sektorit publik.</w:t>
      </w:r>
    </w:p>
    <w:p w14:paraId="4901F0CB" w14:textId="7BB813A8"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Objektivi specifik (</w:t>
      </w:r>
      <w:r w:rsidR="006A336F" w:rsidRPr="00913E39">
        <w:rPr>
          <w:rFonts w:ascii="Garamond" w:hAnsi="Garamond"/>
          <w:i/>
          <w:sz w:val="24"/>
        </w:rPr>
        <w:t xml:space="preserve">rezultati </w:t>
      </w:r>
      <w:r w:rsidRPr="00913E39">
        <w:rPr>
          <w:rFonts w:ascii="Garamond" w:hAnsi="Garamond"/>
          <w:i/>
          <w:sz w:val="24"/>
        </w:rPr>
        <w:t>6)</w:t>
      </w:r>
      <w:r w:rsidRPr="00913E39">
        <w:rPr>
          <w:rFonts w:ascii="Garamond" w:hAnsi="Garamond"/>
          <w:b/>
          <w:sz w:val="24"/>
        </w:rPr>
        <w:t xml:space="preserve"> </w:t>
      </w:r>
      <w:r w:rsidRPr="00913E39">
        <w:rPr>
          <w:rFonts w:ascii="Garamond" w:hAnsi="Garamond"/>
          <w:sz w:val="24"/>
        </w:rPr>
        <w:t xml:space="preserve">i nënfushës së mbështetjes Lidhja është përmirësimi i </w:t>
      </w:r>
      <w:bookmarkStart w:id="35" w:name="_Hlk188822218"/>
      <w:r w:rsidRPr="00913E39">
        <w:rPr>
          <w:rFonts w:ascii="Garamond" w:hAnsi="Garamond"/>
          <w:sz w:val="24"/>
        </w:rPr>
        <w:t xml:space="preserve">ndërlidhja </w:t>
      </w:r>
      <w:bookmarkEnd w:id="35"/>
      <w:r w:rsidRPr="00913E39">
        <w:rPr>
          <w:rFonts w:ascii="Garamond" w:hAnsi="Garamond"/>
          <w:sz w:val="24"/>
        </w:rPr>
        <w:t>digjitale bazuar në VHCN me fibra optike dhe 5G.</w:t>
      </w:r>
    </w:p>
    <w:p w14:paraId="6A7F6EEA" w14:textId="441D38B5"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Produktet</w:t>
      </w:r>
      <w:r w:rsidRPr="00913E39">
        <w:rPr>
          <w:rFonts w:ascii="Garamond" w:hAnsi="Garamond"/>
          <w:b/>
          <w:sz w:val="24"/>
        </w:rPr>
        <w:t xml:space="preserve"> </w:t>
      </w:r>
      <w:r w:rsidRPr="00913E39">
        <w:rPr>
          <w:rFonts w:ascii="Garamond" w:hAnsi="Garamond"/>
          <w:sz w:val="24"/>
        </w:rPr>
        <w:t>që do të ofrohen nën këtë nënfushë të mbështetjes</w:t>
      </w:r>
      <w:r w:rsidRPr="00913E39">
        <w:rPr>
          <w:rFonts w:ascii="Garamond" w:hAnsi="Garamond"/>
          <w:b/>
          <w:sz w:val="24"/>
        </w:rPr>
        <w:t xml:space="preserve"> </w:t>
      </w:r>
      <w:r w:rsidRPr="00913E39">
        <w:rPr>
          <w:rFonts w:ascii="Garamond" w:hAnsi="Garamond"/>
          <w:sz w:val="24"/>
        </w:rPr>
        <w:t>janë si më poshtë:</w:t>
      </w:r>
    </w:p>
    <w:p w14:paraId="35CEF8AD" w14:textId="33DE1D0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6.1 që kontribuon në </w:t>
      </w:r>
      <w:r w:rsidR="006A336F" w:rsidRPr="00913E39">
        <w:rPr>
          <w:rFonts w:ascii="Garamond" w:hAnsi="Garamond"/>
          <w:sz w:val="24"/>
        </w:rPr>
        <w:t xml:space="preserve">rezultatin </w:t>
      </w:r>
      <w:r w:rsidRPr="00913E39">
        <w:rPr>
          <w:rFonts w:ascii="Garamond" w:hAnsi="Garamond"/>
          <w:sz w:val="24"/>
        </w:rPr>
        <w:t xml:space="preserve">6: Përgatitja e </w:t>
      </w:r>
      <w:r w:rsidR="006A336F" w:rsidRPr="00913E39">
        <w:rPr>
          <w:rFonts w:ascii="Garamond" w:hAnsi="Garamond"/>
          <w:sz w:val="24"/>
        </w:rPr>
        <w:t xml:space="preserve">studimit gjeografik </w:t>
      </w:r>
      <w:r w:rsidRPr="00913E39">
        <w:rPr>
          <w:rFonts w:ascii="Garamond" w:hAnsi="Garamond"/>
          <w:sz w:val="24"/>
        </w:rPr>
        <w:t xml:space="preserve">për rrjetin </w:t>
      </w:r>
      <w:r w:rsidRPr="00913E39">
        <w:rPr>
          <w:rFonts w:ascii="Garamond" w:hAnsi="Garamond"/>
          <w:i/>
          <w:sz w:val="24"/>
        </w:rPr>
        <w:t>broadband</w:t>
      </w:r>
      <w:r w:rsidRPr="00913E39">
        <w:rPr>
          <w:rFonts w:ascii="Garamond" w:hAnsi="Garamond"/>
          <w:sz w:val="24"/>
        </w:rPr>
        <w:t>, VHCN</w:t>
      </w:r>
      <w:r w:rsidR="00521C51" w:rsidRPr="00913E39">
        <w:rPr>
          <w:rFonts w:ascii="Garamond" w:hAnsi="Garamond"/>
          <w:sz w:val="24"/>
        </w:rPr>
        <w:t>;</w:t>
      </w:r>
    </w:p>
    <w:p w14:paraId="6026CD60" w14:textId="6B0BDC3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6.2 që kontribuon në </w:t>
      </w:r>
      <w:r w:rsidR="006A336F" w:rsidRPr="00913E39">
        <w:rPr>
          <w:rFonts w:ascii="Garamond" w:hAnsi="Garamond"/>
          <w:sz w:val="24"/>
        </w:rPr>
        <w:t xml:space="preserve">rezultatin </w:t>
      </w:r>
      <w:r w:rsidRPr="00913E39">
        <w:rPr>
          <w:rFonts w:ascii="Garamond" w:hAnsi="Garamond"/>
          <w:sz w:val="24"/>
        </w:rPr>
        <w:t xml:space="preserve">6: Hartimi i </w:t>
      </w:r>
      <w:r w:rsidR="006A336F" w:rsidRPr="00913E39">
        <w:rPr>
          <w:rFonts w:ascii="Garamond" w:hAnsi="Garamond"/>
          <w:sz w:val="24"/>
        </w:rPr>
        <w:t xml:space="preserve">ligjit për infrastrukturën </w:t>
      </w:r>
      <w:r w:rsidR="006A336F" w:rsidRPr="00913E39">
        <w:rPr>
          <w:rFonts w:ascii="Garamond" w:hAnsi="Garamond"/>
          <w:i/>
          <w:sz w:val="24"/>
        </w:rPr>
        <w:t>gigabit</w:t>
      </w:r>
      <w:r w:rsidR="00521C51" w:rsidRPr="00913E39">
        <w:rPr>
          <w:rFonts w:ascii="Garamond" w:hAnsi="Garamond"/>
          <w:i/>
          <w:sz w:val="24"/>
        </w:rPr>
        <w:t>;</w:t>
      </w:r>
    </w:p>
    <w:p w14:paraId="4BA1D57C" w14:textId="410C524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6.3 që kontribuon në </w:t>
      </w:r>
      <w:r w:rsidR="006A336F" w:rsidRPr="00913E39">
        <w:rPr>
          <w:rFonts w:ascii="Garamond" w:hAnsi="Garamond"/>
          <w:sz w:val="24"/>
        </w:rPr>
        <w:t xml:space="preserve">rezultatin </w:t>
      </w:r>
      <w:r w:rsidRPr="00913E39">
        <w:rPr>
          <w:rFonts w:ascii="Garamond" w:hAnsi="Garamond"/>
          <w:sz w:val="24"/>
        </w:rPr>
        <w:t xml:space="preserve">6: Përgatitja e studimit teknik për rastet e përdorimit 5G në </w:t>
      </w:r>
      <w:bookmarkStart w:id="36" w:name="_Hlk188822290"/>
      <w:r w:rsidRPr="00913E39">
        <w:rPr>
          <w:rFonts w:ascii="Garamond" w:hAnsi="Garamond"/>
          <w:sz w:val="24"/>
        </w:rPr>
        <w:t xml:space="preserve">komunitetet </w:t>
      </w:r>
      <w:r w:rsidRPr="00913E39">
        <w:rPr>
          <w:rFonts w:ascii="Garamond" w:hAnsi="Garamond"/>
          <w:i/>
          <w:sz w:val="24"/>
        </w:rPr>
        <w:t>smart</w:t>
      </w:r>
      <w:bookmarkEnd w:id="36"/>
      <w:r w:rsidR="00521C51" w:rsidRPr="00913E39">
        <w:rPr>
          <w:rFonts w:ascii="Garamond" w:hAnsi="Garamond"/>
          <w:i/>
          <w:sz w:val="24"/>
        </w:rPr>
        <w:t>;</w:t>
      </w:r>
    </w:p>
    <w:p w14:paraId="1A87C852" w14:textId="10BCF9B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 xml:space="preserve">Produkti 6.4 që kontribuon në </w:t>
      </w:r>
      <w:r w:rsidR="006A336F" w:rsidRPr="00913E39">
        <w:rPr>
          <w:rFonts w:ascii="Garamond" w:hAnsi="Garamond"/>
          <w:sz w:val="24"/>
        </w:rPr>
        <w:t xml:space="preserve">rezultatin </w:t>
      </w:r>
      <w:r w:rsidRPr="00913E39">
        <w:rPr>
          <w:rFonts w:ascii="Garamond" w:hAnsi="Garamond"/>
          <w:sz w:val="24"/>
        </w:rPr>
        <w:t>6: Zhvillimi i projektit pilot për rastet e përdorimit 5G</w:t>
      </w:r>
      <w:r w:rsidR="00521C51" w:rsidRPr="00913E39">
        <w:rPr>
          <w:rFonts w:ascii="Garamond" w:hAnsi="Garamond"/>
          <w:sz w:val="24"/>
        </w:rPr>
        <w:t>;</w:t>
      </w:r>
    </w:p>
    <w:p w14:paraId="661CB632" w14:textId="2BBCBA3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Produkti 6.5 që kontribuon në </w:t>
      </w:r>
      <w:r w:rsidR="006A336F" w:rsidRPr="00913E39">
        <w:rPr>
          <w:rFonts w:ascii="Garamond" w:hAnsi="Garamond"/>
          <w:sz w:val="24"/>
        </w:rPr>
        <w:t xml:space="preserve">rezultatin </w:t>
      </w:r>
      <w:r w:rsidRPr="00913E39">
        <w:rPr>
          <w:rFonts w:ascii="Garamond" w:hAnsi="Garamond"/>
          <w:sz w:val="24"/>
        </w:rPr>
        <w:t xml:space="preserve">6: Rritja e ndërgjegjësimit të përdoruesve fundorë dhe palëve përkatëse të interesit për përfitimet e infrastrukturës </w:t>
      </w:r>
      <w:r w:rsidR="006A336F" w:rsidRPr="00913E39">
        <w:rPr>
          <w:rFonts w:ascii="Garamond" w:hAnsi="Garamond"/>
          <w:i/>
          <w:sz w:val="24"/>
        </w:rPr>
        <w:t>gigabit</w:t>
      </w:r>
      <w:r w:rsidRPr="00913E39">
        <w:rPr>
          <w:rFonts w:ascii="Garamond" w:hAnsi="Garamond"/>
          <w:sz w:val="24"/>
        </w:rPr>
        <w:t>/rasteve të përdorimit 5G.</w:t>
      </w:r>
    </w:p>
    <w:p w14:paraId="76869625" w14:textId="154B2BE6"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4.2.2</w:t>
      </w:r>
      <w:r w:rsidR="00693B1A" w:rsidRPr="00913E39">
        <w:rPr>
          <w:rFonts w:ascii="Garamond" w:hAnsi="Garamond"/>
          <w:i/>
          <w:sz w:val="24"/>
        </w:rPr>
        <w:t xml:space="preserve"> </w:t>
      </w:r>
      <w:r w:rsidRPr="00913E39">
        <w:rPr>
          <w:rFonts w:ascii="Garamond" w:hAnsi="Garamond"/>
          <w:i/>
          <w:sz w:val="24"/>
        </w:rPr>
        <w:t xml:space="preserve">Përshkrim i detajuar i çdo fushe të mbështetjes </w:t>
      </w:r>
    </w:p>
    <w:p w14:paraId="243AFE8E"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1: Infrastruktura TIK për shërbime më të mira për shoqërinë</w:t>
      </w:r>
    </w:p>
    <w:p w14:paraId="064463D5" w14:textId="7FDFC408"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6A336F" w:rsidRPr="00913E39">
        <w:rPr>
          <w:rFonts w:ascii="Garamond" w:hAnsi="Garamond"/>
          <w:i/>
          <w:sz w:val="24"/>
        </w:rPr>
        <w:t xml:space="preserve">fusha </w:t>
      </w:r>
      <w:r w:rsidRPr="00913E39">
        <w:rPr>
          <w:rFonts w:ascii="Garamond" w:hAnsi="Garamond"/>
          <w:i/>
          <w:sz w:val="24"/>
        </w:rPr>
        <w:t xml:space="preserve">e mbështetjes 2.1: Digjitalizimi </w:t>
      </w:r>
      <w:r w:rsidR="006A336F" w:rsidRPr="00913E39">
        <w:rPr>
          <w:rFonts w:ascii="Garamond" w:hAnsi="Garamond"/>
          <w:i/>
          <w:sz w:val="24"/>
        </w:rPr>
        <w:t>shëndetësor</w:t>
      </w:r>
    </w:p>
    <w:p w14:paraId="08B6987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Arsyetimi</w:t>
      </w:r>
    </w:p>
    <w:p w14:paraId="60045FB4" w14:textId="0497AF2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Aftësia e qytetarëve dhe ofruesve të kujdesit shëndetësor për të aksesuar dhe ndarë në mënyrë të sigurt të dhënat elektronike shëndetësore (</w:t>
      </w:r>
      <w:r w:rsidR="006A336F" w:rsidRPr="00913E39">
        <w:rPr>
          <w:rFonts w:ascii="Garamond" w:hAnsi="Garamond"/>
          <w:sz w:val="24"/>
        </w:rPr>
        <w:t>“</w:t>
      </w:r>
      <w:r w:rsidRPr="00913E39">
        <w:rPr>
          <w:rFonts w:ascii="Garamond" w:hAnsi="Garamond"/>
          <w:sz w:val="24"/>
        </w:rPr>
        <w:t>EHR</w:t>
      </w:r>
      <w:r w:rsidR="006A336F" w:rsidRPr="00913E39">
        <w:rPr>
          <w:rFonts w:ascii="Garamond" w:hAnsi="Garamond"/>
          <w:sz w:val="24"/>
        </w:rPr>
        <w:t>”</w:t>
      </w:r>
      <w:r w:rsidRPr="00913E39">
        <w:rPr>
          <w:rFonts w:ascii="Garamond" w:hAnsi="Garamond"/>
          <w:sz w:val="24"/>
        </w:rPr>
        <w:t>s), domethënë përmbledhjet e të dhënave të plota mjekësore ose dokumentacionin e ngjashëm të një individi, në formë digjitale, brenda dhe jashtë kufijve, ka një sërë përfitimesh: përmirësimi i cilësisë së kujdesit për qytetarët, ulja e kostos së kujdesit shëndetësor për familjet dhe mbështetja e modernizimit të sistemeve shëndetësore që janë nën presionin e ndryshimeve demografike, rritja e pritshmërive dhe kostove të trajtimit. Për shembull, ndarja e rezultateve të analizave të gjakut në një format digjital midis ekipeve klinike parandalon përsëritjen e testeve të panevojshme dhe të kushtueshme për të njëjtin person. Po kështu, kur pacientët duhet të shohin profesionistë të ndryshëm të shëndetit, ndarja e të dhënave elektronike shëndetësore mund të shmangë përsëritjen e të njëjtit informacion në lidhje me historikun e tyre shëndetësor, duke kursyer kohë për të gjitha palët e përfshira dhe duke përmirësuar cilësinë e kujdesit. Nevojat për kujdesin shëndetësor pritet të rriten më tej në të ardhmen si rezultat i plakjes së popullsisë, përhapjes në rritje të kushteve kronike dhe rritjes së kërkesës për kujdes afatgjatë. Të dhëna nga vende të ndryshme sugjerojnë se deri në 20% të shpenzimeve të kujdesit shëndetësor janë të kota, për shembull sepse pacientët marrin analiza ose trajtime të panevojshme, ose të shmangshme si rezultat i shtrimeve në spital. Teknologjitë digjitale janë zgjidhje të fuqishme për të adresuar këto çështje dhe për të përshtatur sistemet shëndetësore me sfidat e ardhshme. Për shembull, zgjidhjet digjital të lidhura me aplikacionet e shëndetit, ose pajisjet që mbahen me vete, të kombinuara me një sistem që i lejon qytetarët të kenë akses të sigurt në të dhënat e tyre shëndetësore, duhet t</w:t>
      </w:r>
      <w:r w:rsidR="005222A5" w:rsidRPr="00913E39">
        <w:rPr>
          <w:rFonts w:ascii="Garamond" w:hAnsi="Garamond"/>
          <w:sz w:val="24"/>
        </w:rPr>
        <w:t>’</w:t>
      </w:r>
      <w:r w:rsidRPr="00913E39">
        <w:rPr>
          <w:rFonts w:ascii="Garamond" w:hAnsi="Garamond"/>
          <w:sz w:val="24"/>
        </w:rPr>
        <w:t>u mundësojë pacientëve me gjendje kronike, si diabeti ose kanceri, monitorimin e simptomave të tyre në shtëpi dhe ndarjen e tyre në mënyrë të shpejte me ekipet e tyre klinike. Kjo duhet të zvogëlojë numrin e vizitave në një institucion shëndetësor për monitorim. Teknologjitë digjitale mund të ndihmojnë gjithashtu me zbulimin e hershëm të nevojës për një ndryshim në trajtim, duke rezultuar në më pak shtrime në spital për shkak të komplikacioneve. Menaxhimi më i mirë i kushteve kronike në komunitet, krahas uljes së dyfishimit të veprimeve të kujdesit shëndetësor (të tilla si testet) jo vetëm që duhet t</w:t>
      </w:r>
      <w:r w:rsidR="005222A5" w:rsidRPr="00913E39">
        <w:rPr>
          <w:rFonts w:ascii="Garamond" w:hAnsi="Garamond"/>
          <w:sz w:val="24"/>
        </w:rPr>
        <w:t>’</w:t>
      </w:r>
      <w:r w:rsidRPr="00913E39">
        <w:rPr>
          <w:rFonts w:ascii="Garamond" w:hAnsi="Garamond"/>
          <w:sz w:val="24"/>
        </w:rPr>
        <w:t xml:space="preserve">i bëjë sistemet më të qëndrueshme, por edhe të përmirësojë cilësinë e përgjithshme të jetës, cilësinë e kujdesit shëndetësor që u ofrohet qytetarëve dhe të zvogëlojë kostot që lidhen me kujdesin shëndetësor për individët dhe familjet. </w:t>
      </w:r>
    </w:p>
    <w:p w14:paraId="22D85F00" w14:textId="007D331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të mbështetur transformimin digjitale të shëndetit dhe kujdesit, Komisioni miratoi Komunikatën mbi </w:t>
      </w:r>
      <w:r w:rsidR="005222A5" w:rsidRPr="00913E39">
        <w:rPr>
          <w:rFonts w:ascii="Garamond" w:hAnsi="Garamond"/>
          <w:sz w:val="24"/>
        </w:rPr>
        <w:t>‘</w:t>
      </w:r>
      <w:r w:rsidRPr="00913E39">
        <w:rPr>
          <w:rFonts w:ascii="Garamond" w:hAnsi="Garamond"/>
          <w:sz w:val="24"/>
        </w:rPr>
        <w:t>mundësimin e transformimit digjitale të shëndetit dhe kujdesit në tregun e vetëm digjitale: fuqizimi i qytetarëve dhe krijimi i një shoqërie më të shëndetshme</w:t>
      </w:r>
      <w:r w:rsidR="005222A5" w:rsidRPr="00913E39">
        <w:rPr>
          <w:rFonts w:ascii="Garamond" w:hAnsi="Garamond"/>
          <w:sz w:val="24"/>
        </w:rPr>
        <w:t>’</w:t>
      </w:r>
      <w:r w:rsidRPr="00913E39">
        <w:rPr>
          <w:rFonts w:ascii="Garamond" w:hAnsi="Garamond"/>
          <w:sz w:val="24"/>
          <w:vertAlign w:val="superscript"/>
        </w:rPr>
        <w:footnoteReference w:id="59"/>
      </w:r>
      <w:r w:rsidRPr="00913E39">
        <w:rPr>
          <w:rFonts w:ascii="Garamond" w:hAnsi="Garamond"/>
          <w:sz w:val="24"/>
        </w:rPr>
        <w:t xml:space="preserve">. Kjo komunikatë përshtat për sektorin e shëndetësisë objektivat e përcaktuar në Komunikatën </w:t>
      </w:r>
      <w:r w:rsidR="00850FC7" w:rsidRPr="00913E39">
        <w:rPr>
          <w:rFonts w:ascii="Garamond" w:eastAsia="Times New Roman" w:hAnsi="Garamond" w:cs="Times New Roman"/>
          <w:sz w:val="24"/>
          <w:szCs w:val="24"/>
        </w:rPr>
        <w:t>“</w:t>
      </w:r>
      <w:r w:rsidRPr="00913E39">
        <w:rPr>
          <w:rFonts w:ascii="Garamond" w:hAnsi="Garamond"/>
          <w:sz w:val="24"/>
        </w:rPr>
        <w:t>Një Strategji e Tregut Unik Digjitale për Europën</w:t>
      </w:r>
      <w:r w:rsidR="00850FC7" w:rsidRPr="00913E39">
        <w:rPr>
          <w:rFonts w:ascii="Garamond" w:eastAsia="Times New Roman" w:hAnsi="Garamond" w:cs="Times New Roman"/>
          <w:sz w:val="24"/>
          <w:szCs w:val="24"/>
        </w:rPr>
        <w:t>”</w:t>
      </w:r>
      <w:r w:rsidRPr="00913E39">
        <w:rPr>
          <w:rFonts w:ascii="Garamond" w:hAnsi="Garamond"/>
          <w:sz w:val="24"/>
        </w:rPr>
        <w:t xml:space="preserve"> miratuar më 6 maj 2015</w:t>
      </w:r>
      <w:r w:rsidRPr="00913E39">
        <w:rPr>
          <w:rFonts w:ascii="Garamond" w:hAnsi="Garamond"/>
          <w:sz w:val="24"/>
          <w:vertAlign w:val="superscript"/>
        </w:rPr>
        <w:footnoteReference w:id="60"/>
      </w:r>
      <w:r w:rsidRPr="00913E39">
        <w:rPr>
          <w:rFonts w:ascii="Garamond" w:hAnsi="Garamond"/>
          <w:sz w:val="24"/>
        </w:rPr>
        <w:t xml:space="preserve"> dhe Komunikatën </w:t>
      </w:r>
      <w:r w:rsidR="00850FC7" w:rsidRPr="00913E39">
        <w:rPr>
          <w:rFonts w:ascii="Garamond" w:eastAsia="Times New Roman" w:hAnsi="Garamond" w:cs="Times New Roman"/>
          <w:sz w:val="24"/>
          <w:szCs w:val="24"/>
        </w:rPr>
        <w:t>“</w:t>
      </w:r>
      <w:r w:rsidRPr="00913E39">
        <w:rPr>
          <w:rFonts w:ascii="Garamond" w:hAnsi="Garamond"/>
          <w:sz w:val="24"/>
        </w:rPr>
        <w:t>Plani i Veprimit për e</w:t>
      </w:r>
      <w:r w:rsidRPr="00913E39">
        <w:rPr>
          <w:rFonts w:ascii="Garamond" w:hAnsi="Garamond"/>
          <w:i/>
          <w:sz w:val="24"/>
        </w:rPr>
        <w:t>-Qeverisja</w:t>
      </w:r>
      <w:r w:rsidRPr="00913E39">
        <w:rPr>
          <w:rFonts w:ascii="Garamond" w:hAnsi="Garamond"/>
          <w:sz w:val="24"/>
        </w:rPr>
        <w:t xml:space="preserve"> e BE-së </w:t>
      </w:r>
      <w:r w:rsidR="006A336F" w:rsidRPr="00913E39">
        <w:rPr>
          <w:rFonts w:ascii="Garamond" w:hAnsi="Garamond"/>
          <w:sz w:val="24"/>
        </w:rPr>
        <w:t>–</w:t>
      </w:r>
      <w:r w:rsidRPr="00913E39">
        <w:rPr>
          <w:rFonts w:ascii="Garamond" w:hAnsi="Garamond"/>
          <w:sz w:val="24"/>
        </w:rPr>
        <w:t xml:space="preserve"> Përshpejtimi</w:t>
      </w:r>
      <w:r w:rsidR="006A336F" w:rsidRPr="00913E39">
        <w:rPr>
          <w:rFonts w:ascii="Garamond" w:hAnsi="Garamond"/>
          <w:sz w:val="24"/>
        </w:rPr>
        <w:t xml:space="preserve"> </w:t>
      </w:r>
      <w:r w:rsidRPr="00913E39">
        <w:rPr>
          <w:rFonts w:ascii="Garamond" w:hAnsi="Garamond"/>
          <w:sz w:val="24"/>
        </w:rPr>
        <w:t>i Transformimit Digjitale të Qeverisë</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miratuar më 19 prill 2016</w:t>
      </w:r>
      <w:r w:rsidRPr="00913E39">
        <w:rPr>
          <w:rFonts w:ascii="Garamond" w:hAnsi="Garamond"/>
          <w:sz w:val="24"/>
          <w:vertAlign w:val="superscript"/>
        </w:rPr>
        <w:footnoteReference w:id="61"/>
      </w:r>
      <w:r w:rsidRPr="00913E39">
        <w:rPr>
          <w:rFonts w:ascii="Garamond" w:hAnsi="Garamond"/>
          <w:sz w:val="24"/>
        </w:rPr>
        <w:t>. Përvetësimi i zgjidhjeve digjitale për shëndetin dhe kujdesin mbetet i ngadalshëm dhe ndryshon ndjeshëm në shtetet anëtare dhe rajonet</w:t>
      </w:r>
      <w:r w:rsidRPr="00913E39">
        <w:rPr>
          <w:rFonts w:ascii="Garamond" w:hAnsi="Garamond"/>
          <w:sz w:val="24"/>
          <w:vertAlign w:val="superscript"/>
        </w:rPr>
        <w:footnoteReference w:id="62"/>
      </w:r>
      <w:r w:rsidRPr="00913E39">
        <w:rPr>
          <w:rFonts w:ascii="Garamond" w:hAnsi="Garamond"/>
          <w:sz w:val="24"/>
        </w:rPr>
        <w:t xml:space="preserve">. </w:t>
      </w:r>
    </w:p>
    <w:p w14:paraId="61C137F9"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Digjitalizimi i të dhënave shëndetësore dhe krijimi i sistemeve që mundësojnë aksesin e tyre të sigurt nga qytetarët dhe ndarjen e sigurt brenda dhe ndërmjet aktorëve të ndryshëm në sistemin shëndetësor (pacientët, ekipet e tyre klinike në komunitet dhe objektet spitalore) është një hap i rëndësishëm drejt integrimit të teknologjive digjitale në qasjet shëndetësore dhe të kujdesit. Ky integrim kërkon që të dhënat elektronike shëndetësore të jenë të ndërveprueshme në të gjithë Shqipërinë. </w:t>
      </w:r>
    </w:p>
    <w:p w14:paraId="4C8D3568" w14:textId="7E378CE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 xml:space="preserve">Teknologjitë e reja për shëndetin duhet të mbështesin qytetarët që të bëhen agjentë aktivë të shëndetit të tyre. Për këtë qëllim, nevojat e qytetarëve dhe pacientëve duhet të merren parasysh gjatë krijimit të sistemeve të informacionit shëndetësor, duke përfshirë bërjen e këtyre sistemeve më të aksesueshme për përdoruesit, veçanërisht për personat me aftësi të kufizuara, sipas kërkesave të aksesueshmërisë të përcaktuara nga </w:t>
      </w:r>
      <w:r w:rsidR="00D7368E" w:rsidRPr="00913E39">
        <w:rPr>
          <w:rFonts w:ascii="Garamond" w:hAnsi="Garamond"/>
          <w:sz w:val="24"/>
        </w:rPr>
        <w:t>d</w:t>
      </w:r>
      <w:r w:rsidRPr="00913E39">
        <w:rPr>
          <w:rFonts w:ascii="Garamond" w:hAnsi="Garamond"/>
          <w:sz w:val="24"/>
        </w:rPr>
        <w:t>irektiva (BE) 2016/ 2102 e Parlamentit Evropian dhe e Këshillit</w:t>
      </w:r>
      <w:r w:rsidRPr="00913E39">
        <w:rPr>
          <w:rFonts w:ascii="Garamond" w:hAnsi="Garamond"/>
          <w:sz w:val="24"/>
          <w:vertAlign w:val="superscript"/>
        </w:rPr>
        <w:footnoteReference w:id="63"/>
      </w:r>
      <w:r w:rsidRPr="00913E39">
        <w:rPr>
          <w:rFonts w:ascii="Garamond" w:hAnsi="Garamond"/>
          <w:sz w:val="24"/>
        </w:rPr>
        <w:t xml:space="preserve">, sipas rastit. Qëllimi i ndërveprimit në lidhje me të dhënat elektronike shëndetësore është të lejojë përpunimin e informacionit në mënyrë të qëndrueshme ndërmjet atyre sistemeve të informacionit shëndetësor, pavarësisht nga teknologjia, aplikimi ose platforma e tyre në një mënyrë që të mund të interpretohet plotësisht nga marrësi. Mungesa e ndërveprimit në lidhje me të dhënat elektronike shëndetësore çon në ndarje dhe cilësi më të ulët të ofrimit të kujdesit shëndetësor. Komisioni Evropian ka identifikuar tashmë profile specifike </w:t>
      </w:r>
      <w:r w:rsidR="00183149" w:rsidRPr="00913E39">
        <w:rPr>
          <w:rFonts w:ascii="Garamond" w:hAnsi="Garamond"/>
          <w:i/>
          <w:sz w:val="24"/>
        </w:rPr>
        <w:t>“</w:t>
      </w:r>
      <w:r w:rsidRPr="00913E39">
        <w:rPr>
          <w:rFonts w:ascii="Garamond" w:hAnsi="Garamond"/>
          <w:i/>
          <w:sz w:val="24"/>
        </w:rPr>
        <w:t>Integrating the Healthcare Enterprise</w:t>
      </w:r>
      <w:r w:rsidR="00183149" w:rsidRPr="00913E39">
        <w:rPr>
          <w:rFonts w:ascii="Garamond" w:hAnsi="Garamond"/>
          <w:i/>
          <w:sz w:val="24"/>
        </w:rPr>
        <w:t>”</w:t>
      </w:r>
      <w:r w:rsidRPr="00913E39">
        <w:rPr>
          <w:rFonts w:ascii="Garamond" w:hAnsi="Garamond"/>
          <w:sz w:val="24"/>
        </w:rPr>
        <w:t xml:space="preserve"> (IHE) të listuara në </w:t>
      </w:r>
      <w:r w:rsidR="00183149" w:rsidRPr="00913E39">
        <w:rPr>
          <w:rFonts w:ascii="Garamond" w:hAnsi="Garamond"/>
          <w:sz w:val="24"/>
        </w:rPr>
        <w:t xml:space="preserve">aneksin e vendimit </w:t>
      </w:r>
      <w:r w:rsidRPr="00913E39">
        <w:rPr>
          <w:rFonts w:ascii="Garamond" w:hAnsi="Garamond"/>
          <w:sz w:val="24"/>
        </w:rPr>
        <w:t>të Komisionit (BE) 2015/1302</w:t>
      </w:r>
      <w:r w:rsidRPr="00913E39">
        <w:rPr>
          <w:rFonts w:ascii="Garamond" w:hAnsi="Garamond"/>
          <w:sz w:val="24"/>
          <w:vertAlign w:val="superscript"/>
        </w:rPr>
        <w:footnoteReference w:id="64"/>
      </w:r>
      <w:r w:rsidRPr="00913E39">
        <w:rPr>
          <w:rFonts w:ascii="Garamond" w:hAnsi="Garamond"/>
          <w:sz w:val="24"/>
          <w:vertAlign w:val="superscript"/>
        </w:rPr>
        <w:footnoteReference w:id="65"/>
      </w:r>
      <w:r w:rsidRPr="00913E39">
        <w:rPr>
          <w:rFonts w:ascii="Garamond" w:hAnsi="Garamond"/>
          <w:sz w:val="24"/>
        </w:rPr>
        <w:t xml:space="preserve"> me potencialin për të rritur ndërveprimin e shërbimeve dhe aplikacioneve të shëndeti digjital në dobi të qytetarëve dhe profesionistëve të komunitetit të kujdesit shëndetësor, dhe për t</w:t>
      </w:r>
      <w:r w:rsidR="005222A5" w:rsidRPr="00913E39">
        <w:rPr>
          <w:rFonts w:ascii="Garamond" w:hAnsi="Garamond"/>
          <w:sz w:val="24"/>
        </w:rPr>
        <w:t>’</w:t>
      </w:r>
      <w:r w:rsidRPr="00913E39">
        <w:rPr>
          <w:rFonts w:ascii="Garamond" w:hAnsi="Garamond"/>
          <w:sz w:val="24"/>
        </w:rPr>
        <w:t xml:space="preserve">ju referuar në prokurimin publik. Këto profile ofrojnë specifikime të detajuara për shtresa të ndryshme të ndërveprimit. Disa nga këto profile janë përdorur tashmë për të adresuar kërkesat specifike të biznesit </w:t>
      </w:r>
      <w:r w:rsidR="003A14C5" w:rsidRPr="00913E39">
        <w:rPr>
          <w:rFonts w:ascii="Garamond" w:hAnsi="Garamond"/>
          <w:sz w:val="24"/>
        </w:rPr>
        <w:t xml:space="preserve">në infrastrukturën e shërbimit digjitale </w:t>
      </w:r>
      <w:r w:rsidRPr="00913E39">
        <w:rPr>
          <w:rFonts w:ascii="Garamond" w:hAnsi="Garamond"/>
          <w:sz w:val="24"/>
        </w:rPr>
        <w:t>të shëndeti digjital (</w:t>
      </w:r>
      <w:r w:rsidR="00850FC7" w:rsidRPr="00913E39">
        <w:rPr>
          <w:rFonts w:ascii="Garamond" w:hAnsi="Garamond"/>
          <w:sz w:val="24"/>
        </w:rPr>
        <w:t>“</w:t>
      </w:r>
      <w:r w:rsidRPr="00913E39">
        <w:rPr>
          <w:rFonts w:ascii="Garamond" w:hAnsi="Garamond"/>
          <w:sz w:val="24"/>
        </w:rPr>
        <w:t>eHDSI</w:t>
      </w:r>
      <w:r w:rsidR="00850FC7" w:rsidRPr="00913E39">
        <w:rPr>
          <w:rFonts w:ascii="Garamond" w:hAnsi="Garamond"/>
          <w:sz w:val="24"/>
        </w:rPr>
        <w:t>”</w:t>
      </w:r>
      <w:r w:rsidRPr="00913E39">
        <w:rPr>
          <w:rFonts w:ascii="Garamond" w:hAnsi="Garamond"/>
          <w:sz w:val="24"/>
        </w:rPr>
        <w:t xml:space="preserve">). </w:t>
      </w:r>
    </w:p>
    <w:p w14:paraId="6046AA79" w14:textId="695F4F7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Standardet më të larta të mundshme për sigurinë dhe mbrojtjen e të dhënave janë thelbësore për zhvillimin dhe shkëmbimin e të dhënave elektronike shëndetësore. Rregullorja e </w:t>
      </w:r>
      <w:r w:rsidR="003A14C5" w:rsidRPr="00913E39">
        <w:rPr>
          <w:rFonts w:ascii="Garamond" w:hAnsi="Garamond"/>
          <w:sz w:val="24"/>
        </w:rPr>
        <w:t>përgjithshme për mbrojtjen e të dhënave kërk</w:t>
      </w:r>
      <w:r w:rsidRPr="00913E39">
        <w:rPr>
          <w:rFonts w:ascii="Garamond" w:hAnsi="Garamond"/>
          <w:sz w:val="24"/>
        </w:rPr>
        <w:t xml:space="preserve">on që të dhënat e pacientit të mbrohen dhe të sigurohen siç duhet në mënyrë që të sigurohet konfidencialiteti, integriteti dhe disponueshmëria e tyre. Prandaj, sistemet duhet të jenë të sigurta, të besueshme dhe të integrojnë mbrojtjen e të dhënave sipas dizajnit dhe në mënyrë automatike. Përdorimi i mjeteve të sigurta të identifikimit dhe vërtetimit elektronik të parashikuara në </w:t>
      </w:r>
      <w:r w:rsidR="003A14C5" w:rsidRPr="00913E39">
        <w:rPr>
          <w:rFonts w:ascii="Garamond" w:hAnsi="Garamond"/>
          <w:sz w:val="24"/>
        </w:rPr>
        <w:t xml:space="preserve">rregulloren </w:t>
      </w:r>
      <w:r w:rsidRPr="00913E39">
        <w:rPr>
          <w:rFonts w:ascii="Garamond" w:hAnsi="Garamond"/>
          <w:sz w:val="24"/>
        </w:rPr>
        <w:t xml:space="preserve">(BE) </w:t>
      </w:r>
      <w:r w:rsidR="003A14C5" w:rsidRPr="00913E39">
        <w:rPr>
          <w:rFonts w:ascii="Garamond" w:hAnsi="Garamond"/>
          <w:sz w:val="24"/>
        </w:rPr>
        <w:t>nr</w:t>
      </w:r>
      <w:r w:rsidRPr="00913E39">
        <w:rPr>
          <w:rFonts w:ascii="Garamond" w:hAnsi="Garamond"/>
          <w:sz w:val="24"/>
        </w:rPr>
        <w:t xml:space="preserve">. 910/2014 të Parlamentit dhe </w:t>
      </w:r>
      <w:r w:rsidR="003A14C5" w:rsidRPr="00913E39">
        <w:rPr>
          <w:rFonts w:ascii="Garamond" w:hAnsi="Garamond"/>
          <w:sz w:val="24"/>
        </w:rPr>
        <w:t xml:space="preserve">Këshillit </w:t>
      </w:r>
      <w:r w:rsidRPr="00913E39">
        <w:rPr>
          <w:rFonts w:ascii="Garamond" w:hAnsi="Garamond"/>
          <w:sz w:val="24"/>
        </w:rPr>
        <w:t>Evropian</w:t>
      </w:r>
      <w:r w:rsidRPr="00913E39">
        <w:rPr>
          <w:rFonts w:ascii="Garamond" w:hAnsi="Garamond"/>
          <w:sz w:val="24"/>
          <w:vertAlign w:val="superscript"/>
        </w:rPr>
        <w:footnoteReference w:id="66"/>
      </w:r>
      <w:r w:rsidRPr="00913E39">
        <w:rPr>
          <w:rFonts w:ascii="Garamond" w:hAnsi="Garamond"/>
          <w:sz w:val="24"/>
        </w:rPr>
        <w:t xml:space="preserve"> (eIDAS) duhet të rrisë aksesin, sigurinë dhe besimin në sistemet elektronike të të dhënave shëndetësore. Kjo </w:t>
      </w:r>
      <w:r w:rsidR="004C0123" w:rsidRPr="00913E39">
        <w:rPr>
          <w:rFonts w:ascii="Garamond" w:hAnsi="Garamond"/>
          <w:sz w:val="24"/>
        </w:rPr>
        <w:t>r</w:t>
      </w:r>
      <w:r w:rsidRPr="00913E39">
        <w:rPr>
          <w:rFonts w:ascii="Garamond" w:hAnsi="Garamond"/>
          <w:sz w:val="24"/>
        </w:rPr>
        <w:t xml:space="preserve">regullore përcakton kushtet në të cilat mjetet e njohura të identifikimit elektronik, që përfshihen nën një skemë identifikimi elektronik diktuar një Shteti Anëtar, mund të përdoren nga qytetarët për të fituar akses në shërbimet publike </w:t>
      </w:r>
      <w:r w:rsidRPr="00913E39">
        <w:rPr>
          <w:rFonts w:ascii="Garamond" w:hAnsi="Garamond"/>
          <w:i/>
          <w:sz w:val="24"/>
        </w:rPr>
        <w:t>online</w:t>
      </w:r>
      <w:r w:rsidRPr="00913E39">
        <w:rPr>
          <w:rFonts w:ascii="Garamond" w:hAnsi="Garamond"/>
          <w:sz w:val="24"/>
        </w:rPr>
        <w:t xml:space="preserve"> nga jashtë, duke përfshirë aksesin në shërbimet shëndetësore dhe të dhënat shëndetësore. Ajo gjithashtu përcakton rregulla për shërbimet e besimit si nënshkrimet elektronike, vulat elektronike dhe shërbimet e dorëzimit të regjistruar elektronik, për të menaxhuar dhe shkëmbyer në mënyrë të sigurt të dhënat shëndetësore duke minimizuar rrezikun e ndërhyrjeve dhe keqpërdorimeve të mundshme. Sipas </w:t>
      </w:r>
      <w:r w:rsidR="0024225E" w:rsidRPr="00913E39">
        <w:rPr>
          <w:rFonts w:ascii="Garamond" w:hAnsi="Garamond"/>
          <w:sz w:val="24"/>
        </w:rPr>
        <w:t>d</w:t>
      </w:r>
      <w:r w:rsidRPr="00913E39">
        <w:rPr>
          <w:rFonts w:ascii="Garamond" w:hAnsi="Garamond"/>
          <w:sz w:val="24"/>
        </w:rPr>
        <w:t>irektivës (BE) 2016/1148 të Parlamentit dhe Këshillit Evropian</w:t>
      </w:r>
      <w:r w:rsidRPr="00913E39">
        <w:rPr>
          <w:rFonts w:ascii="Garamond" w:hAnsi="Garamond"/>
          <w:sz w:val="24"/>
          <w:vertAlign w:val="superscript"/>
        </w:rPr>
        <w:footnoteReference w:id="67"/>
      </w:r>
      <w:r w:rsidRPr="00913E39">
        <w:rPr>
          <w:rFonts w:ascii="Garamond" w:hAnsi="Garamond"/>
          <w:sz w:val="24"/>
        </w:rPr>
        <w:t xml:space="preserve"> ofruesit e kujdesit shëndetësor që janë identifikuar si operatorë të shërbimeve thelbësore nga Shtetet Anëtare dhe ofruesit e shërbimeve digjitale që janë në objektin e saj, kërkohet të marrin masa teknike dhe organizative të përshtatshme dhe proporcionale për menaxhojnë rreziqet ndaj sigurisë së rrjetit dhe sistemeve të informacionit që ata përdorin në operacionet e tyre të ofrimit të shërbimit. Atyre u kërkohet gjithashtu të njoftojnë për incidentet e sigurisë që kanë një ndikim të rëndësishëm ose thelbësor në vazhdimësinë e shërbimeve që ato u ofrojnë autoriteteve kombëtare kompetente ose ekipeve kombëtare të reagimit ndaj incidenteve të sigurisë kompjuterike (CSIRT). Në veçanti, për sa i përket sigurisë kibernetike për sistemet elektronike të të dhënave shëndetësore, certifikimi i sigurisë kibernetike mund të lejojë </w:t>
      </w:r>
      <w:r w:rsidRPr="00913E39">
        <w:rPr>
          <w:rFonts w:ascii="Garamond" w:hAnsi="Garamond"/>
          <w:sz w:val="24"/>
        </w:rPr>
        <w:lastRenderedPageBreak/>
        <w:t>demonstrimin se kërkesat e sigurisë kibernetike janë përmbushur, sipas kuadrit përkatës të sigurisë kibernetike të Bashkimit</w:t>
      </w:r>
      <w:r w:rsidRPr="00913E39">
        <w:rPr>
          <w:rFonts w:ascii="Garamond" w:hAnsi="Garamond"/>
          <w:sz w:val="24"/>
          <w:vertAlign w:val="superscript"/>
        </w:rPr>
        <w:footnoteReference w:id="68"/>
      </w:r>
      <w:r w:rsidRPr="00913E39">
        <w:rPr>
          <w:rFonts w:ascii="Garamond" w:hAnsi="Garamond"/>
          <w:sz w:val="24"/>
        </w:rPr>
        <w:t xml:space="preserve">. </w:t>
      </w:r>
    </w:p>
    <w:p w14:paraId="1206E00B"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Tendencat kryesore teknologjike globale që ndikojnë në zhvillimin e TIK-ut në sektorin e shëndetësisë</w:t>
      </w:r>
      <w:r w:rsidRPr="00913E39">
        <w:rPr>
          <w:rFonts w:ascii="Garamond" w:hAnsi="Garamond"/>
          <w:i/>
          <w:sz w:val="24"/>
          <w:vertAlign w:val="superscript"/>
        </w:rPr>
        <w:footnoteReference w:id="69"/>
      </w:r>
      <w:r w:rsidRPr="00913E39">
        <w:rPr>
          <w:rFonts w:ascii="Garamond" w:hAnsi="Garamond"/>
          <w:i/>
          <w:sz w:val="24"/>
        </w:rPr>
        <w:t xml:space="preserve"> dhe të gjitha informacionet e paraqitura më sipër janë marrë në konsideratë gjatë përcaktimit të objektivit specifik dhe rezultateve të veprimit në lidhje me këtë nënfushë. </w:t>
      </w:r>
    </w:p>
    <w:p w14:paraId="2CCDB1AE" w14:textId="7D71D5EC" w:rsidR="00847F23" w:rsidRPr="00913E39" w:rsidRDefault="00847F23" w:rsidP="00FC4C60">
      <w:pPr>
        <w:spacing w:after="0" w:line="240" w:lineRule="auto"/>
        <w:ind w:firstLine="284"/>
        <w:jc w:val="both"/>
        <w:rPr>
          <w:rFonts w:ascii="Garamond" w:hAnsi="Garamond"/>
          <w:i/>
          <w:sz w:val="24"/>
        </w:rPr>
      </w:pPr>
      <w:r w:rsidRPr="00913E39">
        <w:rPr>
          <w:rFonts w:ascii="Garamond" w:hAnsi="Garamond"/>
          <w:sz w:val="24"/>
        </w:rPr>
        <w:t>Gatishmëria sociale për të pranuar inovacionet shëndeti digjital është një parametër vendimtar për pranimin dhe suksesin e gjerë. Nuk është e lehtë të parashikohet pranimi nga përdoruesi, sidomos kur këto sisteme përfshijnë monitorim të vazhdueshëm dhe ndërhyrje në veprimtarinë njerëzore në përgjithësi. Çështjet e sigurisë dhe privatësisë duhet të trajtohen paraprakisht dhe angazhimi i përdoruesit në krijimin e këtyre sistemeve është i detyrueshëm për të adresuar skepticizmin dhe shqetësimet. Përdoruesit nuk kanë dijeni dhe besim (d.m.th. pacientë dhe profesionistëve të kujdesit shëndetësor); shumica e njerëzve preferojnë të shohin mjekun e tyre ballë për ballë dhe nuk i besojnë sigurisë së informacionit të ruajtur. Ndarja brenda sistemeve të kujdesit shëndetësor është pengesë kryesore për përdorimin e shëndeti digjital në shkallë të gjerë. Ka sfida të veçanta në lidhje me përpunimin e të dhënave shëndetësore dhe të kujdesit social. Akoma mungojnë të dhëna në shkallë të gjerë për përmirësime të mundshme të proceseve të kujdesit shëndetësor; mungesa e një qasjeje të konsoliduar dhe sistematike për të monitoruar dhe krahasuar miratimin dhe përdorimin e të gjithë spektrit të zgjidhjeve të shëndeti digjital; dhe mungesa e treguesve të miratuar për matjen e suksesit, duke përfshirë periudhën e kohës gjatë së cilës duhet të shikohen kostot/përfitimet dhe krahasueshmëria e sistemeve të ndryshme të zbatuara. Pranimi nga profesionistët e kujdesit shëndetësor është në nivel të ulët. Proceset e krijimit dhe zbatimit të sistemit shëndeti digjital shpesh nuk ia dalin të fitojnë ndaj mjekëve. Gjithashtu</w:t>
      </w:r>
      <w:r w:rsidR="00C002B8" w:rsidRPr="00913E39">
        <w:rPr>
          <w:rFonts w:ascii="Garamond" w:hAnsi="Garamond"/>
          <w:sz w:val="24"/>
        </w:rPr>
        <w:t>,</w:t>
      </w:r>
      <w:r w:rsidRPr="00913E39">
        <w:rPr>
          <w:rFonts w:ascii="Garamond" w:hAnsi="Garamond"/>
          <w:sz w:val="24"/>
        </w:rPr>
        <w:t xml:space="preserve"> një pengesë e rëndësishme është fakti që nuk angazhohen personat n</w:t>
      </w:r>
      <w:r w:rsidR="001749AF" w:rsidRPr="00913E39">
        <w:rPr>
          <w:rFonts w:ascii="Garamond" w:hAnsi="Garamond"/>
          <w:sz w:val="24"/>
        </w:rPr>
        <w:t>ë</w:t>
      </w:r>
      <w:r w:rsidRPr="00913E39">
        <w:rPr>
          <w:rFonts w:ascii="Garamond" w:hAnsi="Garamond"/>
          <w:sz w:val="24"/>
        </w:rPr>
        <w:t xml:space="preserve"> rolet e menaxhimit shëndetësor të ngarkuar për zbatimin e sistemeve të reja. Mundësitë e ofruara nga shëndeti digjital duhet të prezantohen në mënyrë konsensuale. Duhet të jetë e qartë se për kë synohet më së shumti shëndeti digjital dhe për çfarë lloj aktivitetesh apo shërbimesh nuk është i përshtatshëm. Në rastin e mjekëve dhe profesionistëve të tjerë shëndetësorë, duhet të përcaktohet se për çfarë lloj detyrash do të jetë një zgjidhje e dobishme. Për këto arsye</w:t>
      </w:r>
      <w:r w:rsidRPr="00913E39">
        <w:rPr>
          <w:rFonts w:ascii="Garamond" w:hAnsi="Garamond"/>
          <w:i/>
          <w:sz w:val="24"/>
        </w:rPr>
        <w:t>, një studim teknik, një trajnim për menaxhimin e ndryshimeve dhe një fushatë ndërgjegjësimi janë përfshirë në planin e zbatimit për këtë fushë të mbështetjes.</w:t>
      </w:r>
    </w:p>
    <w:p w14:paraId="6A263614" w14:textId="5CDB9E52"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Legjislacioni i zbatueshëm i BE-së: </w:t>
      </w:r>
      <w:r w:rsidRPr="00913E39">
        <w:rPr>
          <w:rFonts w:ascii="Garamond" w:hAnsi="Garamond"/>
          <w:sz w:val="24"/>
        </w:rPr>
        <w:t xml:space="preserve">Programi Operacional sipas nënfushës së mbështetjes shëndeti digjital do të kontribuojë në zbatimin e </w:t>
      </w:r>
      <w:r w:rsidR="00C002B8" w:rsidRPr="00913E39">
        <w:rPr>
          <w:rFonts w:ascii="Garamond" w:hAnsi="Garamond"/>
          <w:sz w:val="24"/>
        </w:rPr>
        <w:t xml:space="preserve">rekomandimit </w:t>
      </w:r>
      <w:r w:rsidRPr="00913E39">
        <w:rPr>
          <w:rFonts w:ascii="Garamond" w:hAnsi="Garamond"/>
          <w:sz w:val="24"/>
        </w:rPr>
        <w:t>të Komisionit (2019) 800 final i datës 6.2.2019 mbi formatin e shkëmbimit të Regjistrave Elektronik</w:t>
      </w:r>
      <w:r w:rsidR="0024225E" w:rsidRPr="00913E39">
        <w:rPr>
          <w:rFonts w:ascii="Garamond" w:hAnsi="Garamond"/>
          <w:sz w:val="24"/>
        </w:rPr>
        <w:t>ë</w:t>
      </w:r>
      <w:r w:rsidRPr="00913E39">
        <w:rPr>
          <w:rFonts w:ascii="Garamond" w:hAnsi="Garamond"/>
          <w:sz w:val="24"/>
        </w:rPr>
        <w:t xml:space="preserve"> Shëndetësor</w:t>
      </w:r>
      <w:r w:rsidR="0024225E" w:rsidRPr="00913E39">
        <w:rPr>
          <w:rFonts w:ascii="Garamond" w:hAnsi="Garamond"/>
          <w:sz w:val="24"/>
        </w:rPr>
        <w:t>ë</w:t>
      </w:r>
      <w:r w:rsidRPr="00913E39">
        <w:rPr>
          <w:rFonts w:ascii="Garamond" w:hAnsi="Garamond"/>
          <w:sz w:val="24"/>
        </w:rPr>
        <w:t xml:space="preserve"> Evropian</w:t>
      </w:r>
      <w:r w:rsidR="0024225E" w:rsidRPr="00913E39">
        <w:rPr>
          <w:rFonts w:ascii="Garamond" w:hAnsi="Garamond"/>
          <w:sz w:val="24"/>
        </w:rPr>
        <w:t>ë</w:t>
      </w:r>
      <w:r w:rsidRPr="00913E39">
        <w:rPr>
          <w:rFonts w:ascii="Garamond" w:hAnsi="Garamond"/>
          <w:sz w:val="24"/>
        </w:rPr>
        <w:t xml:space="preserve"> dhe </w:t>
      </w:r>
      <w:r w:rsidR="00283868" w:rsidRPr="00913E39">
        <w:rPr>
          <w:rFonts w:ascii="Garamond" w:hAnsi="Garamond"/>
          <w:sz w:val="24"/>
          <w:shd w:val="clear" w:color="auto" w:fill="FFFFFF"/>
        </w:rPr>
        <w:t xml:space="preserve">rregullorja </w:t>
      </w:r>
      <w:r w:rsidRPr="00913E39">
        <w:rPr>
          <w:rFonts w:ascii="Garamond" w:hAnsi="Garamond"/>
          <w:sz w:val="24"/>
          <w:shd w:val="clear" w:color="auto" w:fill="FFFFFF"/>
        </w:rPr>
        <w:t>e (BE-s</w:t>
      </w:r>
      <w:r w:rsidR="0024225E" w:rsidRPr="00913E39">
        <w:rPr>
          <w:rFonts w:ascii="Garamond" w:hAnsi="Garamond"/>
          <w:sz w:val="24"/>
          <w:shd w:val="clear" w:color="auto" w:fill="FFFFFF"/>
        </w:rPr>
        <w:t>ë</w:t>
      </w:r>
      <w:r w:rsidRPr="00913E39">
        <w:rPr>
          <w:rFonts w:ascii="Garamond" w:hAnsi="Garamond"/>
          <w:sz w:val="24"/>
          <w:shd w:val="clear" w:color="auto" w:fill="FFFFFF"/>
        </w:rPr>
        <w:t>) 2016/679 për mbrojtjen e personave fizikë në lidhje me përpunimin e të dhënave personale dhe lëvizjen e lirë të këtyre të dhënave</w:t>
      </w:r>
      <w:r w:rsidRPr="00913E39">
        <w:rPr>
          <w:rFonts w:ascii="Garamond" w:hAnsi="Garamond"/>
          <w:sz w:val="24"/>
        </w:rPr>
        <w:t xml:space="preserve"> që shfuqizon </w:t>
      </w:r>
      <w:r w:rsidR="0024225E" w:rsidRPr="00913E39">
        <w:rPr>
          <w:rFonts w:ascii="Garamond" w:hAnsi="Garamond"/>
          <w:sz w:val="24"/>
        </w:rPr>
        <w:t>d</w:t>
      </w:r>
      <w:r w:rsidRPr="00913E39">
        <w:rPr>
          <w:rFonts w:ascii="Garamond" w:hAnsi="Garamond"/>
          <w:sz w:val="24"/>
        </w:rPr>
        <w:t>irektivën 95/46/KE (Rregullorja e Përgjithshme për Mbrojtjen e të Dhënave - GDPR) (OJ L 119, 4.5.2016, f.</w:t>
      </w:r>
      <w:r w:rsidR="0082094B" w:rsidRPr="00913E39">
        <w:rPr>
          <w:rFonts w:ascii="Garamond" w:hAnsi="Garamond"/>
          <w:sz w:val="24"/>
        </w:rPr>
        <w:t xml:space="preserve"> </w:t>
      </w:r>
      <w:r w:rsidRPr="00913E39">
        <w:rPr>
          <w:rFonts w:ascii="Garamond" w:hAnsi="Garamond"/>
          <w:sz w:val="24"/>
        </w:rPr>
        <w:t xml:space="preserve">1). </w:t>
      </w:r>
    </w:p>
    <w:p w14:paraId="56F57D3F" w14:textId="5CFF89E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Legjislacioni tjetër përkatës i BE-së: </w:t>
      </w:r>
      <w:r w:rsidR="0024225E" w:rsidRPr="00913E39">
        <w:rPr>
          <w:rFonts w:ascii="Garamond" w:hAnsi="Garamond"/>
          <w:sz w:val="24"/>
          <w:shd w:val="clear" w:color="auto" w:fill="FFFFFF"/>
        </w:rPr>
        <w:t xml:space="preserve">direktiva </w:t>
      </w:r>
      <w:r w:rsidRPr="00913E39">
        <w:rPr>
          <w:rFonts w:ascii="Garamond" w:hAnsi="Garamond"/>
          <w:sz w:val="24"/>
          <w:shd w:val="clear" w:color="auto" w:fill="FFFFFF"/>
        </w:rPr>
        <w:t>nr. 2011/24/BE e datës 9 mars 2011, mbi të drejtat e pacientëve në kujdesin shëndetësor ndërkufitar</w:t>
      </w:r>
      <w:r w:rsidRPr="00913E39">
        <w:rPr>
          <w:rFonts w:ascii="Garamond" w:hAnsi="Garamond"/>
          <w:sz w:val="24"/>
        </w:rPr>
        <w:t xml:space="preserve"> synon të garantojë lëvizshmërinë e pacientit dhe ofrimin falas të shërbimeve të kujdesit shëndetësor. Direktiva (BE) 2016/2102 e Parlamentit dhe e Këshillit Evropian</w:t>
      </w:r>
      <w:r w:rsidR="00910C6A" w:rsidRPr="00913E39">
        <w:rPr>
          <w:rFonts w:ascii="Garamond" w:hAnsi="Garamond"/>
          <w:sz w:val="24"/>
        </w:rPr>
        <w:t>,</w:t>
      </w:r>
      <w:r w:rsidRPr="00913E39">
        <w:rPr>
          <w:rFonts w:ascii="Garamond" w:hAnsi="Garamond"/>
          <w:sz w:val="24"/>
        </w:rPr>
        <w:t xml:space="preserve"> e </w:t>
      </w:r>
      <w:r w:rsidRPr="00913E39">
        <w:rPr>
          <w:rFonts w:ascii="Garamond" w:hAnsi="Garamond"/>
          <w:sz w:val="24"/>
          <w:shd w:val="clear" w:color="auto" w:fill="FFFFFF"/>
        </w:rPr>
        <w:t>26 tetorit 2016</w:t>
      </w:r>
      <w:r w:rsidR="00910C6A" w:rsidRPr="00913E39">
        <w:rPr>
          <w:rFonts w:ascii="Garamond" w:hAnsi="Garamond"/>
          <w:sz w:val="24"/>
          <w:shd w:val="clear" w:color="auto" w:fill="FFFFFF"/>
        </w:rPr>
        <w:t>,</w:t>
      </w:r>
      <w:r w:rsidRPr="00913E39">
        <w:rPr>
          <w:rFonts w:ascii="Garamond" w:hAnsi="Garamond"/>
          <w:sz w:val="24"/>
        </w:rPr>
        <w:t xml:space="preserve"> mbi aksesin në faqet e internetit dhe aplikacionet celulare të organeve të sektorit publik </w:t>
      </w:r>
      <w:r w:rsidRPr="00913E39">
        <w:rPr>
          <w:rFonts w:ascii="Garamond" w:hAnsi="Garamond"/>
          <w:sz w:val="24"/>
          <w:shd w:val="clear" w:color="auto" w:fill="FFFFFF"/>
        </w:rPr>
        <w:t xml:space="preserve">(OJ L 327, 2.12. 2016, f. 1–15); </w:t>
      </w:r>
      <w:r w:rsidR="0024225E" w:rsidRPr="00913E39">
        <w:rPr>
          <w:rFonts w:ascii="Garamond" w:hAnsi="Garamond"/>
          <w:sz w:val="24"/>
          <w:shd w:val="clear" w:color="auto" w:fill="FFFFFF"/>
        </w:rPr>
        <w:t xml:space="preserve">direktiva </w:t>
      </w:r>
      <w:r w:rsidRPr="00913E39">
        <w:rPr>
          <w:rFonts w:ascii="Garamond" w:hAnsi="Garamond"/>
          <w:sz w:val="24"/>
          <w:shd w:val="clear" w:color="auto" w:fill="FFFFFF"/>
        </w:rPr>
        <w:t>e (BE-së) 2016/1148 e Parlamentit dhe e Këshillit Evropian e datës 6 korrik 2016 lidhur me masat për një nivel të lartë të përbashkët të sigurisë së rrjeteve dhe sistemeve të informacionit në të gjithë Bashkimin Evropian;</w:t>
      </w:r>
      <w:r w:rsidRPr="00913E39">
        <w:rPr>
          <w:rFonts w:ascii="Garamond" w:hAnsi="Garamond"/>
          <w:sz w:val="24"/>
        </w:rPr>
        <w:t xml:space="preserve"> </w:t>
      </w:r>
      <w:r w:rsidR="0024225E" w:rsidRPr="00913E39">
        <w:rPr>
          <w:rFonts w:ascii="Garamond" w:hAnsi="Garamond"/>
          <w:sz w:val="24"/>
        </w:rPr>
        <w:lastRenderedPageBreak/>
        <w:t xml:space="preserve">rregullorja </w:t>
      </w:r>
      <w:r w:rsidRPr="00913E39">
        <w:rPr>
          <w:rFonts w:ascii="Garamond" w:hAnsi="Garamond"/>
          <w:sz w:val="24"/>
        </w:rPr>
        <w:t xml:space="preserve">e (BE-së) </w:t>
      </w:r>
      <w:r w:rsidR="0024225E" w:rsidRPr="00913E39">
        <w:rPr>
          <w:rFonts w:ascii="Garamond" w:hAnsi="Garamond"/>
          <w:sz w:val="24"/>
        </w:rPr>
        <w:t>nr</w:t>
      </w:r>
      <w:r w:rsidRPr="00913E39">
        <w:rPr>
          <w:rFonts w:ascii="Garamond" w:hAnsi="Garamond"/>
          <w:sz w:val="24"/>
        </w:rPr>
        <w:t xml:space="preserve">. 910/2014 e Parlamentit dhe e Këshillit Evropian </w:t>
      </w:r>
      <w:r w:rsidRPr="00913E39">
        <w:rPr>
          <w:rFonts w:ascii="Garamond" w:hAnsi="Garamond"/>
          <w:sz w:val="24"/>
          <w:shd w:val="clear" w:color="auto" w:fill="FFFFFF"/>
        </w:rPr>
        <w:t>mbi identifikimin elektronik dhe shërbimet e sigurisë për transaksionet elektronike në tregun e brendshëm (</w:t>
      </w:r>
      <w:r w:rsidR="006775C2" w:rsidRPr="00913E39">
        <w:rPr>
          <w:rFonts w:ascii="Garamond" w:hAnsi="Garamond"/>
          <w:sz w:val="24"/>
          <w:shd w:val="clear" w:color="auto" w:fill="FFFFFF"/>
        </w:rPr>
        <w:t xml:space="preserve">rregullorja </w:t>
      </w:r>
      <w:r w:rsidRPr="00913E39">
        <w:rPr>
          <w:rFonts w:ascii="Garamond" w:hAnsi="Garamond"/>
          <w:sz w:val="24"/>
          <w:shd w:val="clear" w:color="auto" w:fill="FFFFFF"/>
        </w:rPr>
        <w:t>e IDAS</w:t>
      </w:r>
      <w:r w:rsidR="006775C2" w:rsidRPr="00913E39">
        <w:rPr>
          <w:rFonts w:ascii="Garamond" w:hAnsi="Garamond"/>
          <w:sz w:val="24"/>
          <w:shd w:val="clear" w:color="auto" w:fill="FFFFFF"/>
        </w:rPr>
        <w:t>-it</w:t>
      </w:r>
      <w:r w:rsidRPr="00913E39">
        <w:rPr>
          <w:rFonts w:ascii="Garamond" w:hAnsi="Garamond"/>
          <w:sz w:val="24"/>
          <w:shd w:val="clear" w:color="auto" w:fill="FFFFFF"/>
        </w:rPr>
        <w:t xml:space="preserve">), e miratuar më 23 korrik 2014, </w:t>
      </w:r>
      <w:r w:rsidRPr="00913E39">
        <w:rPr>
          <w:rFonts w:ascii="Garamond" w:hAnsi="Garamond"/>
          <w:sz w:val="24"/>
        </w:rPr>
        <w:t xml:space="preserve">përcakton një kuadër rregullator për të garantuar transaksione elektronike të sigurta dhe pa probleme ndërmjet bizneseve, qytetarëve dhe autoriteteve publike; </w:t>
      </w:r>
      <w:r w:rsidR="0024225E" w:rsidRPr="00913E39">
        <w:rPr>
          <w:rFonts w:ascii="Garamond" w:hAnsi="Garamond"/>
          <w:sz w:val="24"/>
        </w:rPr>
        <w:t xml:space="preserve">vendimi </w:t>
      </w:r>
      <w:r w:rsidRPr="00913E39">
        <w:rPr>
          <w:rFonts w:ascii="Garamond" w:hAnsi="Garamond"/>
          <w:sz w:val="24"/>
        </w:rPr>
        <w:t xml:space="preserve">i Komisionit (BE) 2015/1302 i datës 28 korrik 2015 për identifikimin e profileve </w:t>
      </w:r>
      <w:r w:rsidR="0024225E" w:rsidRPr="00913E39">
        <w:rPr>
          <w:rFonts w:ascii="Garamond" w:hAnsi="Garamond"/>
          <w:sz w:val="24"/>
        </w:rPr>
        <w:t>“</w:t>
      </w:r>
      <w:r w:rsidRPr="00913E39">
        <w:rPr>
          <w:rFonts w:ascii="Garamond" w:hAnsi="Garamond"/>
          <w:sz w:val="24"/>
        </w:rPr>
        <w:t>Integrimi i Ndërmarrjeve Shëndetësore</w:t>
      </w:r>
      <w:r w:rsidR="0024225E" w:rsidRPr="00913E39">
        <w:rPr>
          <w:rFonts w:ascii="Garamond" w:hAnsi="Garamond"/>
          <w:sz w:val="24"/>
        </w:rPr>
        <w:t>”</w:t>
      </w:r>
      <w:r w:rsidRPr="00913E39">
        <w:rPr>
          <w:rFonts w:ascii="Garamond" w:hAnsi="Garamond"/>
          <w:sz w:val="24"/>
        </w:rPr>
        <w:t xml:space="preserve"> për referencë në prokurimin publik.  </w:t>
      </w:r>
    </w:p>
    <w:p w14:paraId="22D2CDE1" w14:textId="7BC28E24"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b/>
          <w:sz w:val="24"/>
        </w:rPr>
        <w:t>Rezultatet:</w:t>
      </w:r>
      <w:r w:rsidRPr="00913E39">
        <w:rPr>
          <w:rFonts w:ascii="Garamond" w:hAnsi="Garamond"/>
          <w:sz w:val="24"/>
        </w:rPr>
        <w:t xml:space="preserve"> Objektivi specifik i nënfushës së </w:t>
      </w:r>
      <w:r w:rsidR="0024225E" w:rsidRPr="00913E39">
        <w:rPr>
          <w:rFonts w:ascii="Garamond" w:hAnsi="Garamond"/>
          <w:sz w:val="24"/>
        </w:rPr>
        <w:t xml:space="preserve">mbështetjes shëndetësia digjitale </w:t>
      </w:r>
      <w:r w:rsidRPr="00913E39">
        <w:rPr>
          <w:rFonts w:ascii="Garamond" w:hAnsi="Garamond"/>
          <w:sz w:val="24"/>
        </w:rPr>
        <w:t xml:space="preserve">është të përmirësojë ofrimin e kujdesit shëndetësor duke </w:t>
      </w:r>
      <w:r w:rsidRPr="00913E39">
        <w:rPr>
          <w:rFonts w:ascii="Garamond" w:hAnsi="Garamond"/>
          <w:sz w:val="24"/>
          <w:shd w:val="clear" w:color="auto" w:fill="FFFFFF"/>
        </w:rPr>
        <w:t>krijuar një rrjet të ri kombëtar të integruar të shëndetit elektronik dhe Sistemin e Informacionit të Radiologjisë</w:t>
      </w:r>
      <w:r w:rsidRPr="00913E39">
        <w:rPr>
          <w:rFonts w:ascii="Garamond" w:hAnsi="Garamond"/>
          <w:sz w:val="24"/>
        </w:rPr>
        <w:t xml:space="preserve">. </w:t>
      </w:r>
    </w:p>
    <w:p w14:paraId="0C30EB1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Përfshirja e popullatës në rrjetin e ri kombëtar të integruar të shëndetit elektronik do të mundësojë diagnostikim më të mirë dhe një mjedis pune më efektiv dhe efikas për personelin e ofruesve të kujdesit shëndetësor që përdor sistemin. Për më tepër, rrjeti i ri kombëtar i integruar të shëndetit elektronik do të ofrojë informacion më gjithëpërfshirës, të saktë dhe në kohë në lidhje me shëndetin duke mundësuar politikëbërje dhe kërkime më të mira në disiplinat e lidhura me shëndetin.</w:t>
      </w:r>
    </w:p>
    <w:p w14:paraId="4BB857C1" w14:textId="34EBEB16"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Tipologjitë e produkteve:</w:t>
      </w:r>
      <w:r w:rsidRPr="00913E39">
        <w:rPr>
          <w:rFonts w:ascii="Garamond" w:hAnsi="Garamond"/>
          <w:b/>
          <w:sz w:val="24"/>
        </w:rPr>
        <w:t xml:space="preserve"> </w:t>
      </w:r>
      <w:r w:rsidRPr="00913E39">
        <w:rPr>
          <w:rFonts w:ascii="Garamond" w:hAnsi="Garamond"/>
          <w:sz w:val="24"/>
        </w:rPr>
        <w:t>Dizajni i detajuar për zgjidhjen e shëndeti digjital, zbatimi i infrastrukturës dhe sistemeve programe, trajnimi, fushatat e ndërgjegjësimit për të informuar popullatën mbi zgjidhjen specifike të shëndeti digjital.</w:t>
      </w:r>
    </w:p>
    <w:p w14:paraId="7A0B64FF" w14:textId="3879D4F7"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Tabela 14</w:t>
      </w:r>
      <w:r w:rsidR="0024225E" w:rsidRPr="00913E39">
        <w:rPr>
          <w:rFonts w:ascii="Garamond" w:hAnsi="Garamond"/>
          <w:sz w:val="24"/>
        </w:rPr>
        <w:t>.</w:t>
      </w:r>
      <w:r w:rsidRPr="00913E39">
        <w:rPr>
          <w:rFonts w:ascii="Garamond" w:hAnsi="Garamond"/>
          <w:sz w:val="24"/>
        </w:rPr>
        <w:t xml:space="preserve"> </w:t>
      </w:r>
      <w:r w:rsidRPr="00913E39">
        <w:rPr>
          <w:rFonts w:ascii="Garamond" w:hAnsi="Garamond"/>
          <w:i/>
          <w:sz w:val="24"/>
        </w:rPr>
        <w:t xml:space="preserve">Shëndeti digjitale, </w:t>
      </w:r>
      <w:r w:rsidR="0024225E" w:rsidRPr="00913E39">
        <w:rPr>
          <w:rFonts w:ascii="Garamond" w:hAnsi="Garamond"/>
          <w:i/>
          <w:sz w:val="24"/>
        </w:rPr>
        <w:t>n</w:t>
      </w:r>
      <w:r w:rsidRPr="00913E39">
        <w:rPr>
          <w:rFonts w:ascii="Garamond" w:hAnsi="Garamond"/>
          <w:i/>
          <w:sz w:val="24"/>
        </w:rPr>
        <w:t>dikimi, rezultati dhe treguesit e rendimentit (përfshirë bazën e referimit dhe synimet)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2"/>
        <w:gridCol w:w="2100"/>
        <w:gridCol w:w="2152"/>
        <w:gridCol w:w="1559"/>
        <w:gridCol w:w="992"/>
        <w:gridCol w:w="999"/>
      </w:tblGrid>
      <w:tr w:rsidR="00847F23" w:rsidRPr="00913E39" w14:paraId="7033F18D" w14:textId="77777777" w:rsidTr="0024225E">
        <w:trPr>
          <w:trHeight w:val="20"/>
          <w:tblHeader/>
        </w:trPr>
        <w:tc>
          <w:tcPr>
            <w:tcW w:w="1272" w:type="dxa"/>
            <w:shd w:val="clear" w:color="auto" w:fill="FFFFFF"/>
            <w:vAlign w:val="center"/>
          </w:tcPr>
          <w:p w14:paraId="222E7B55" w14:textId="77777777" w:rsidR="00847F23" w:rsidRPr="00913E39" w:rsidRDefault="00847F23" w:rsidP="006D6812">
            <w:pPr>
              <w:spacing w:after="0" w:line="240" w:lineRule="auto"/>
              <w:jc w:val="center"/>
              <w:rPr>
                <w:rFonts w:ascii="Garamond" w:hAnsi="Garamond"/>
                <w:b/>
                <w:sz w:val="18"/>
              </w:rPr>
            </w:pPr>
            <w:r w:rsidRPr="00913E39">
              <w:rPr>
                <w:rFonts w:ascii="Garamond" w:hAnsi="Garamond"/>
                <w:b/>
                <w:sz w:val="18"/>
              </w:rPr>
              <w:t>Rezultatet</w:t>
            </w:r>
          </w:p>
        </w:tc>
        <w:tc>
          <w:tcPr>
            <w:tcW w:w="2100" w:type="dxa"/>
            <w:shd w:val="clear" w:color="auto" w:fill="FFFFFF"/>
            <w:vAlign w:val="center"/>
          </w:tcPr>
          <w:p w14:paraId="6C3E268C" w14:textId="77777777" w:rsidR="00847F23" w:rsidRPr="00913E39" w:rsidRDefault="00847F23" w:rsidP="006D6812">
            <w:pPr>
              <w:spacing w:after="0" w:line="240" w:lineRule="auto"/>
              <w:jc w:val="center"/>
              <w:rPr>
                <w:rFonts w:ascii="Garamond" w:hAnsi="Garamond"/>
                <w:b/>
                <w:sz w:val="18"/>
              </w:rPr>
            </w:pPr>
            <w:r w:rsidRPr="00913E39">
              <w:rPr>
                <w:rFonts w:ascii="Garamond" w:hAnsi="Garamond"/>
                <w:b/>
                <w:sz w:val="18"/>
              </w:rPr>
              <w:t>Objektivi</w:t>
            </w:r>
          </w:p>
        </w:tc>
        <w:tc>
          <w:tcPr>
            <w:tcW w:w="2152" w:type="dxa"/>
            <w:shd w:val="clear" w:color="auto" w:fill="FFFFFF"/>
            <w:vAlign w:val="center"/>
          </w:tcPr>
          <w:p w14:paraId="2759AB51" w14:textId="77777777" w:rsidR="00847F23" w:rsidRPr="00913E39" w:rsidRDefault="00847F23" w:rsidP="006D6812">
            <w:pPr>
              <w:spacing w:after="0" w:line="240" w:lineRule="auto"/>
              <w:jc w:val="center"/>
              <w:rPr>
                <w:rFonts w:ascii="Garamond" w:hAnsi="Garamond"/>
                <w:b/>
                <w:sz w:val="18"/>
              </w:rPr>
            </w:pPr>
            <w:r w:rsidRPr="00913E39">
              <w:rPr>
                <w:rFonts w:ascii="Garamond" w:hAnsi="Garamond"/>
                <w:b/>
                <w:sz w:val="18"/>
              </w:rPr>
              <w:t>Treguesi</w:t>
            </w:r>
          </w:p>
        </w:tc>
        <w:tc>
          <w:tcPr>
            <w:tcW w:w="1559" w:type="dxa"/>
            <w:shd w:val="clear" w:color="auto" w:fill="FFFFFF"/>
            <w:vAlign w:val="center"/>
          </w:tcPr>
          <w:p w14:paraId="360E0FFA" w14:textId="77777777" w:rsidR="00847F23" w:rsidRPr="00913E39" w:rsidRDefault="00847F23" w:rsidP="006D6812">
            <w:pPr>
              <w:spacing w:after="0" w:line="240" w:lineRule="auto"/>
              <w:jc w:val="center"/>
              <w:rPr>
                <w:rFonts w:ascii="Garamond" w:hAnsi="Garamond"/>
                <w:b/>
                <w:sz w:val="18"/>
              </w:rPr>
            </w:pPr>
            <w:r w:rsidRPr="00913E39">
              <w:rPr>
                <w:rFonts w:ascii="Garamond" w:hAnsi="Garamond"/>
                <w:b/>
                <w:sz w:val="18"/>
              </w:rPr>
              <w:t>Treguesi kryesor ose</w:t>
            </w:r>
          </w:p>
          <w:p w14:paraId="5487C395" w14:textId="636DFA9E" w:rsidR="00847F23" w:rsidRPr="00913E39" w:rsidRDefault="0024225E" w:rsidP="006D6812">
            <w:pPr>
              <w:spacing w:after="0" w:line="240" w:lineRule="auto"/>
              <w:jc w:val="center"/>
              <w:rPr>
                <w:rFonts w:ascii="Garamond" w:hAnsi="Garamond"/>
                <w:b/>
                <w:sz w:val="18"/>
              </w:rPr>
            </w:pPr>
            <w:r w:rsidRPr="00913E39">
              <w:rPr>
                <w:rFonts w:ascii="Garamond" w:hAnsi="Garamond"/>
                <w:b/>
                <w:sz w:val="18"/>
              </w:rPr>
              <w:t>n</w:t>
            </w:r>
            <w:r w:rsidR="00847F23" w:rsidRPr="00913E39">
              <w:rPr>
                <w:rFonts w:ascii="Garamond" w:hAnsi="Garamond"/>
                <w:b/>
                <w:sz w:val="18"/>
              </w:rPr>
              <w:t>jësia matëse</w:t>
            </w:r>
          </w:p>
        </w:tc>
        <w:tc>
          <w:tcPr>
            <w:tcW w:w="992" w:type="dxa"/>
            <w:shd w:val="clear" w:color="auto" w:fill="FFFFFF"/>
            <w:vAlign w:val="center"/>
          </w:tcPr>
          <w:p w14:paraId="77671C31" w14:textId="77777777" w:rsidR="00847F23" w:rsidRPr="00913E39" w:rsidRDefault="00847F23" w:rsidP="006D6812">
            <w:pPr>
              <w:spacing w:after="0" w:line="240" w:lineRule="auto"/>
              <w:jc w:val="center"/>
              <w:rPr>
                <w:rFonts w:ascii="Garamond" w:hAnsi="Garamond"/>
                <w:b/>
                <w:sz w:val="18"/>
              </w:rPr>
            </w:pPr>
            <w:r w:rsidRPr="00913E39">
              <w:rPr>
                <w:rFonts w:ascii="Garamond" w:hAnsi="Garamond"/>
                <w:b/>
                <w:sz w:val="18"/>
              </w:rPr>
              <w:t>Baza e referimit</w:t>
            </w:r>
          </w:p>
          <w:p w14:paraId="49B187AD" w14:textId="77777777" w:rsidR="00847F23" w:rsidRPr="00913E39" w:rsidRDefault="00847F23" w:rsidP="006D6812">
            <w:pPr>
              <w:spacing w:after="0" w:line="240" w:lineRule="auto"/>
              <w:jc w:val="center"/>
              <w:rPr>
                <w:rFonts w:ascii="Garamond" w:hAnsi="Garamond"/>
                <w:b/>
                <w:sz w:val="18"/>
              </w:rPr>
            </w:pPr>
            <w:r w:rsidRPr="00913E39">
              <w:rPr>
                <w:rFonts w:ascii="Garamond" w:hAnsi="Garamond"/>
                <w:b/>
                <w:sz w:val="18"/>
              </w:rPr>
              <w:t>(2022)</w:t>
            </w:r>
          </w:p>
        </w:tc>
        <w:tc>
          <w:tcPr>
            <w:tcW w:w="999" w:type="dxa"/>
            <w:shd w:val="clear" w:color="auto" w:fill="FFFFFF"/>
            <w:vAlign w:val="center"/>
          </w:tcPr>
          <w:p w14:paraId="3AAEC5B3" w14:textId="77777777" w:rsidR="00847F23" w:rsidRPr="00913E39" w:rsidRDefault="00847F23" w:rsidP="006D6812">
            <w:pPr>
              <w:spacing w:after="0" w:line="240" w:lineRule="auto"/>
              <w:jc w:val="center"/>
              <w:rPr>
                <w:rFonts w:ascii="Garamond" w:hAnsi="Garamond"/>
                <w:b/>
                <w:sz w:val="18"/>
              </w:rPr>
            </w:pPr>
            <w:r w:rsidRPr="00913E39">
              <w:rPr>
                <w:rFonts w:ascii="Garamond" w:hAnsi="Garamond"/>
                <w:b/>
                <w:sz w:val="18"/>
              </w:rPr>
              <w:t>Fokusi</w:t>
            </w:r>
          </w:p>
          <w:p w14:paraId="5DE3334D" w14:textId="77777777" w:rsidR="00847F23" w:rsidRPr="00913E39" w:rsidRDefault="00847F23" w:rsidP="006D6812">
            <w:pPr>
              <w:spacing w:after="0" w:line="240" w:lineRule="auto"/>
              <w:jc w:val="center"/>
              <w:rPr>
                <w:rFonts w:ascii="Garamond" w:hAnsi="Garamond"/>
                <w:b/>
                <w:sz w:val="18"/>
              </w:rPr>
            </w:pPr>
            <w:r w:rsidRPr="00913E39">
              <w:rPr>
                <w:rFonts w:ascii="Garamond" w:hAnsi="Garamond"/>
                <w:b/>
                <w:sz w:val="18"/>
              </w:rPr>
              <w:t>(2032)</w:t>
            </w:r>
          </w:p>
        </w:tc>
      </w:tr>
      <w:tr w:rsidR="00847F23" w:rsidRPr="00913E39" w14:paraId="2F2B6B8D" w14:textId="77777777" w:rsidTr="0024225E">
        <w:trPr>
          <w:trHeight w:val="20"/>
        </w:trPr>
        <w:tc>
          <w:tcPr>
            <w:tcW w:w="1272" w:type="dxa"/>
            <w:shd w:val="clear" w:color="auto" w:fill="auto"/>
          </w:tcPr>
          <w:p w14:paraId="13C6B399"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Ndikimi</w:t>
            </w:r>
          </w:p>
        </w:tc>
        <w:tc>
          <w:tcPr>
            <w:tcW w:w="2100" w:type="dxa"/>
            <w:shd w:val="clear" w:color="auto" w:fill="auto"/>
          </w:tcPr>
          <w:p w14:paraId="48E4B459" w14:textId="63AC859D"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Zbatimi i avancuar i agjendës </w:t>
            </w:r>
            <w:r w:rsidR="0024225E" w:rsidRPr="00913E39">
              <w:rPr>
                <w:rFonts w:ascii="Garamond" w:hAnsi="Garamond"/>
                <w:sz w:val="18"/>
              </w:rPr>
              <w:t>d</w:t>
            </w:r>
            <w:r w:rsidRPr="00913E39">
              <w:rPr>
                <w:rFonts w:ascii="Garamond" w:hAnsi="Garamond"/>
                <w:sz w:val="18"/>
              </w:rPr>
              <w:t>igjitale të Shqipërisë në sektorë të përzgjedhur.</w:t>
            </w:r>
          </w:p>
        </w:tc>
        <w:tc>
          <w:tcPr>
            <w:tcW w:w="2152" w:type="dxa"/>
            <w:shd w:val="clear" w:color="auto" w:fill="auto"/>
          </w:tcPr>
          <w:p w14:paraId="08E783EA" w14:textId="635A3249" w:rsidR="00847F23" w:rsidRPr="00913E39" w:rsidRDefault="00847F23" w:rsidP="006D6812">
            <w:pPr>
              <w:spacing w:after="0" w:line="240" w:lineRule="auto"/>
              <w:rPr>
                <w:rFonts w:ascii="Garamond" w:hAnsi="Garamond"/>
                <w:sz w:val="18"/>
              </w:rPr>
            </w:pPr>
            <w:r w:rsidRPr="00913E39">
              <w:rPr>
                <w:rFonts w:ascii="Garamond" w:hAnsi="Garamond"/>
                <w:sz w:val="18"/>
              </w:rPr>
              <w:t>Indeksi i Eko</w:t>
            </w:r>
            <w:r w:rsidR="0024225E" w:rsidRPr="00913E39">
              <w:rPr>
                <w:rFonts w:ascii="Garamond" w:hAnsi="Garamond"/>
                <w:sz w:val="18"/>
              </w:rPr>
              <w:t>no</w:t>
            </w:r>
            <w:r w:rsidRPr="00913E39">
              <w:rPr>
                <w:rFonts w:ascii="Garamond" w:hAnsi="Garamond"/>
                <w:sz w:val="18"/>
              </w:rPr>
              <w:t>misë Shoqërisë Digjitale në Ballkanin Perëndimor</w:t>
            </w:r>
            <w:r w:rsidRPr="00913E39">
              <w:rPr>
                <w:rFonts w:ascii="Garamond" w:hAnsi="Garamond"/>
                <w:sz w:val="18"/>
                <w:vertAlign w:val="superscript"/>
              </w:rPr>
              <w:footnoteReference w:id="70"/>
            </w:r>
          </w:p>
        </w:tc>
        <w:tc>
          <w:tcPr>
            <w:tcW w:w="1559" w:type="dxa"/>
            <w:shd w:val="clear" w:color="auto" w:fill="auto"/>
          </w:tcPr>
          <w:p w14:paraId="34BC69B9"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Pikët </w:t>
            </w:r>
          </w:p>
        </w:tc>
        <w:tc>
          <w:tcPr>
            <w:tcW w:w="992" w:type="dxa"/>
            <w:shd w:val="clear" w:color="auto" w:fill="auto"/>
          </w:tcPr>
          <w:p w14:paraId="3B309D26"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30.2</w:t>
            </w:r>
          </w:p>
        </w:tc>
        <w:tc>
          <w:tcPr>
            <w:tcW w:w="999" w:type="dxa"/>
            <w:shd w:val="clear" w:color="auto" w:fill="auto"/>
          </w:tcPr>
          <w:p w14:paraId="53098475"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Rritja</w:t>
            </w:r>
          </w:p>
        </w:tc>
      </w:tr>
      <w:tr w:rsidR="00847F23" w:rsidRPr="00913E39" w14:paraId="567793DD" w14:textId="77777777" w:rsidTr="0024225E">
        <w:trPr>
          <w:trHeight w:val="20"/>
        </w:trPr>
        <w:tc>
          <w:tcPr>
            <w:tcW w:w="1272" w:type="dxa"/>
            <w:vMerge w:val="restart"/>
            <w:shd w:val="clear" w:color="auto" w:fill="auto"/>
          </w:tcPr>
          <w:p w14:paraId="2FC9BB0B"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Rezultati 1</w:t>
            </w:r>
          </w:p>
        </w:tc>
        <w:tc>
          <w:tcPr>
            <w:tcW w:w="2100" w:type="dxa"/>
            <w:vMerge w:val="restart"/>
            <w:shd w:val="clear" w:color="auto" w:fill="auto"/>
          </w:tcPr>
          <w:p w14:paraId="69195F06"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Përmirësimi i ofrimit të kujdesit shëndetësor. </w:t>
            </w:r>
          </w:p>
        </w:tc>
        <w:tc>
          <w:tcPr>
            <w:tcW w:w="2152" w:type="dxa"/>
            <w:shd w:val="clear" w:color="auto" w:fill="auto"/>
          </w:tcPr>
          <w:p w14:paraId="0D5F54B5" w14:textId="5AFBD28F" w:rsidR="00847F23" w:rsidRPr="00913E39" w:rsidRDefault="00847F23" w:rsidP="006D6812">
            <w:pPr>
              <w:spacing w:after="0" w:line="240" w:lineRule="auto"/>
              <w:rPr>
                <w:rFonts w:ascii="Garamond" w:hAnsi="Garamond"/>
                <w:sz w:val="18"/>
              </w:rPr>
            </w:pPr>
            <w:r w:rsidRPr="00913E39">
              <w:rPr>
                <w:rFonts w:ascii="Garamond" w:hAnsi="Garamond"/>
                <w:sz w:val="18"/>
              </w:rPr>
              <w:t xml:space="preserve">Popullsia e përfshirë në Regjistrin </w:t>
            </w:r>
            <w:r w:rsidR="0024225E" w:rsidRPr="00913E39">
              <w:rPr>
                <w:rFonts w:ascii="Garamond" w:hAnsi="Garamond"/>
                <w:sz w:val="18"/>
              </w:rPr>
              <w:t>Elektronik Shëndetësor Kombëtar</w:t>
            </w:r>
          </w:p>
        </w:tc>
        <w:tc>
          <w:tcPr>
            <w:tcW w:w="1559" w:type="dxa"/>
            <w:shd w:val="clear" w:color="auto" w:fill="auto"/>
          </w:tcPr>
          <w:p w14:paraId="1D4149F8"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Persona</w:t>
            </w:r>
          </w:p>
        </w:tc>
        <w:tc>
          <w:tcPr>
            <w:tcW w:w="992" w:type="dxa"/>
            <w:shd w:val="clear" w:color="auto" w:fill="auto"/>
          </w:tcPr>
          <w:p w14:paraId="6CBF7AFE" w14:textId="77777777" w:rsidR="00847F23" w:rsidRPr="00913E39" w:rsidRDefault="00847F23" w:rsidP="006D6812">
            <w:pPr>
              <w:spacing w:after="0" w:line="240" w:lineRule="auto"/>
              <w:rPr>
                <w:rFonts w:ascii="Garamond" w:hAnsi="Garamond"/>
                <w:sz w:val="18"/>
              </w:rPr>
            </w:pPr>
            <w:r w:rsidRPr="00913E39">
              <w:rPr>
                <w:rFonts w:ascii="Garamond" w:hAnsi="Garamond"/>
                <w:sz w:val="18"/>
              </w:rPr>
              <w:t>0</w:t>
            </w:r>
          </w:p>
        </w:tc>
        <w:tc>
          <w:tcPr>
            <w:tcW w:w="999" w:type="dxa"/>
            <w:shd w:val="clear" w:color="auto" w:fill="auto"/>
          </w:tcPr>
          <w:p w14:paraId="08DE628E" w14:textId="77777777" w:rsidR="00847F23" w:rsidRPr="00913E39" w:rsidRDefault="00847F23" w:rsidP="006D6812">
            <w:pPr>
              <w:spacing w:after="0" w:line="240" w:lineRule="auto"/>
              <w:rPr>
                <w:rFonts w:ascii="Garamond" w:hAnsi="Garamond"/>
                <w:sz w:val="18"/>
              </w:rPr>
            </w:pPr>
            <w:r w:rsidRPr="00913E39">
              <w:rPr>
                <w:rFonts w:ascii="Garamond" w:hAnsi="Garamond"/>
                <w:sz w:val="18"/>
              </w:rPr>
              <w:t>2 890 000</w:t>
            </w:r>
          </w:p>
        </w:tc>
      </w:tr>
      <w:tr w:rsidR="00847F23" w:rsidRPr="00913E39" w14:paraId="3FC488F3" w14:textId="77777777" w:rsidTr="0024225E">
        <w:trPr>
          <w:trHeight w:val="20"/>
        </w:trPr>
        <w:tc>
          <w:tcPr>
            <w:tcW w:w="1272" w:type="dxa"/>
            <w:vMerge/>
          </w:tcPr>
          <w:p w14:paraId="44705A8E" w14:textId="77777777" w:rsidR="00847F23" w:rsidRPr="00913E39" w:rsidRDefault="00847F23" w:rsidP="006D6812">
            <w:pPr>
              <w:spacing w:after="0" w:line="240" w:lineRule="auto"/>
              <w:jc w:val="both"/>
              <w:rPr>
                <w:rFonts w:ascii="Garamond" w:hAnsi="Garamond"/>
                <w:b/>
                <w:sz w:val="18"/>
              </w:rPr>
            </w:pPr>
          </w:p>
        </w:tc>
        <w:tc>
          <w:tcPr>
            <w:tcW w:w="2100" w:type="dxa"/>
            <w:vMerge/>
          </w:tcPr>
          <w:p w14:paraId="254EC830" w14:textId="77777777" w:rsidR="00847F23" w:rsidRPr="00913E39" w:rsidRDefault="00847F23" w:rsidP="006D6812">
            <w:pPr>
              <w:spacing w:after="0" w:line="240" w:lineRule="auto"/>
              <w:jc w:val="both"/>
              <w:rPr>
                <w:rFonts w:ascii="Garamond" w:hAnsi="Garamond"/>
                <w:sz w:val="18"/>
              </w:rPr>
            </w:pPr>
          </w:p>
        </w:tc>
        <w:tc>
          <w:tcPr>
            <w:tcW w:w="2152" w:type="dxa"/>
            <w:shd w:val="clear" w:color="auto" w:fill="auto"/>
          </w:tcPr>
          <w:p w14:paraId="5A62A1AB" w14:textId="59A0BB39" w:rsidR="00847F23" w:rsidRPr="00913E39" w:rsidRDefault="00847F23" w:rsidP="006D6812">
            <w:pPr>
              <w:spacing w:after="0" w:line="240" w:lineRule="auto"/>
              <w:rPr>
                <w:rFonts w:ascii="Garamond" w:hAnsi="Garamond"/>
                <w:sz w:val="18"/>
              </w:rPr>
            </w:pPr>
            <w:r w:rsidRPr="00913E39">
              <w:rPr>
                <w:rFonts w:ascii="Garamond" w:hAnsi="Garamond"/>
                <w:sz w:val="18"/>
              </w:rPr>
              <w:t>Stafi i ofruesve të kujdesit shëndetësor që përdor sistemin, ndarë sipas gjinisë.</w:t>
            </w:r>
          </w:p>
        </w:tc>
        <w:tc>
          <w:tcPr>
            <w:tcW w:w="1559" w:type="dxa"/>
            <w:shd w:val="clear" w:color="auto" w:fill="auto"/>
          </w:tcPr>
          <w:p w14:paraId="14E0FADC"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Numër</w:t>
            </w:r>
          </w:p>
        </w:tc>
        <w:tc>
          <w:tcPr>
            <w:tcW w:w="992" w:type="dxa"/>
            <w:shd w:val="clear" w:color="auto" w:fill="auto"/>
          </w:tcPr>
          <w:p w14:paraId="16048651"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0</w:t>
            </w:r>
          </w:p>
        </w:tc>
        <w:tc>
          <w:tcPr>
            <w:tcW w:w="999" w:type="dxa"/>
            <w:shd w:val="clear" w:color="auto" w:fill="auto"/>
          </w:tcPr>
          <w:p w14:paraId="46A19456"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10 000</w:t>
            </w:r>
          </w:p>
        </w:tc>
      </w:tr>
      <w:tr w:rsidR="00847F23" w:rsidRPr="00913E39" w14:paraId="7A602AFE" w14:textId="77777777" w:rsidTr="0024225E">
        <w:trPr>
          <w:trHeight w:val="20"/>
        </w:trPr>
        <w:tc>
          <w:tcPr>
            <w:tcW w:w="1272" w:type="dxa"/>
            <w:vMerge/>
          </w:tcPr>
          <w:p w14:paraId="71C6A6B8" w14:textId="77777777" w:rsidR="00847F23" w:rsidRPr="00913E39" w:rsidRDefault="00847F23" w:rsidP="006D6812">
            <w:pPr>
              <w:spacing w:after="0" w:line="240" w:lineRule="auto"/>
              <w:jc w:val="both"/>
              <w:rPr>
                <w:rFonts w:ascii="Garamond" w:hAnsi="Garamond"/>
                <w:b/>
                <w:sz w:val="18"/>
              </w:rPr>
            </w:pPr>
          </w:p>
        </w:tc>
        <w:tc>
          <w:tcPr>
            <w:tcW w:w="2100" w:type="dxa"/>
            <w:vMerge/>
          </w:tcPr>
          <w:p w14:paraId="6CF6D5E1" w14:textId="77777777" w:rsidR="00847F23" w:rsidRPr="00913E39" w:rsidRDefault="00847F23" w:rsidP="006D6812">
            <w:pPr>
              <w:spacing w:after="0" w:line="240" w:lineRule="auto"/>
              <w:jc w:val="both"/>
              <w:rPr>
                <w:rFonts w:ascii="Garamond" w:hAnsi="Garamond"/>
                <w:sz w:val="18"/>
              </w:rPr>
            </w:pPr>
          </w:p>
        </w:tc>
        <w:tc>
          <w:tcPr>
            <w:tcW w:w="2152" w:type="dxa"/>
            <w:shd w:val="clear" w:color="auto" w:fill="auto"/>
          </w:tcPr>
          <w:p w14:paraId="54780E73" w14:textId="77777777" w:rsidR="00847F23" w:rsidRPr="00913E39" w:rsidRDefault="00847F23" w:rsidP="006D6812">
            <w:pPr>
              <w:spacing w:after="0" w:line="240" w:lineRule="auto"/>
              <w:rPr>
                <w:rFonts w:ascii="Garamond" w:hAnsi="Garamond"/>
                <w:sz w:val="18"/>
              </w:rPr>
            </w:pPr>
            <w:r w:rsidRPr="00913E39">
              <w:rPr>
                <w:rFonts w:ascii="Garamond" w:hAnsi="Garamond"/>
                <w:sz w:val="18"/>
              </w:rPr>
              <w:t xml:space="preserve">Politikëbërësit dhe institucionet akademike kanë akses në informacion të përmirësuar në lidhje me shëndetin </w:t>
            </w:r>
          </w:p>
        </w:tc>
        <w:tc>
          <w:tcPr>
            <w:tcW w:w="1559" w:type="dxa"/>
            <w:shd w:val="clear" w:color="auto" w:fill="auto"/>
          </w:tcPr>
          <w:p w14:paraId="1CCF3968"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Numër</w:t>
            </w:r>
          </w:p>
        </w:tc>
        <w:tc>
          <w:tcPr>
            <w:tcW w:w="992" w:type="dxa"/>
            <w:shd w:val="clear" w:color="auto" w:fill="auto"/>
          </w:tcPr>
          <w:p w14:paraId="54DA0646"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0</w:t>
            </w:r>
          </w:p>
        </w:tc>
        <w:tc>
          <w:tcPr>
            <w:tcW w:w="999" w:type="dxa"/>
            <w:shd w:val="clear" w:color="auto" w:fill="auto"/>
          </w:tcPr>
          <w:p w14:paraId="4B2F8DCF"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3</w:t>
            </w:r>
          </w:p>
        </w:tc>
      </w:tr>
      <w:tr w:rsidR="00847F23" w:rsidRPr="00913E39" w14:paraId="27BA0516" w14:textId="77777777" w:rsidTr="0024225E">
        <w:trPr>
          <w:trHeight w:val="20"/>
        </w:trPr>
        <w:tc>
          <w:tcPr>
            <w:tcW w:w="1272" w:type="dxa"/>
            <w:vMerge w:val="restart"/>
            <w:shd w:val="clear" w:color="auto" w:fill="auto"/>
          </w:tcPr>
          <w:p w14:paraId="565E4896" w14:textId="1F095BAF" w:rsidR="00847F23" w:rsidRPr="00913E39" w:rsidRDefault="00847F23" w:rsidP="006D6812">
            <w:pPr>
              <w:spacing w:after="0" w:line="240" w:lineRule="auto"/>
              <w:jc w:val="both"/>
              <w:rPr>
                <w:rFonts w:ascii="Garamond" w:hAnsi="Garamond"/>
                <w:b/>
                <w:sz w:val="18"/>
              </w:rPr>
            </w:pPr>
            <w:r w:rsidRPr="00913E39">
              <w:rPr>
                <w:rFonts w:ascii="Garamond" w:hAnsi="Garamond"/>
                <w:b/>
                <w:sz w:val="18"/>
              </w:rPr>
              <w:t xml:space="preserve">Produktet që kontribuojnë në </w:t>
            </w:r>
            <w:r w:rsidR="0024225E" w:rsidRPr="00913E39">
              <w:rPr>
                <w:rFonts w:ascii="Garamond" w:hAnsi="Garamond"/>
                <w:b/>
                <w:sz w:val="18"/>
              </w:rPr>
              <w:t>r</w:t>
            </w:r>
            <w:r w:rsidRPr="00913E39">
              <w:rPr>
                <w:rFonts w:ascii="Garamond" w:hAnsi="Garamond"/>
                <w:b/>
                <w:sz w:val="18"/>
              </w:rPr>
              <w:t>ezultatin 1</w:t>
            </w:r>
          </w:p>
        </w:tc>
        <w:tc>
          <w:tcPr>
            <w:tcW w:w="2100" w:type="dxa"/>
            <w:shd w:val="clear" w:color="auto" w:fill="auto"/>
          </w:tcPr>
          <w:p w14:paraId="7A137523"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Produkti 1.1 Krijimi i dizajnit të detajuar për sistemin.</w:t>
            </w:r>
          </w:p>
        </w:tc>
        <w:tc>
          <w:tcPr>
            <w:tcW w:w="2152" w:type="dxa"/>
            <w:shd w:val="clear" w:color="auto" w:fill="auto"/>
          </w:tcPr>
          <w:p w14:paraId="5781A6F7" w14:textId="77777777" w:rsidR="00847F23" w:rsidRPr="00913E39" w:rsidRDefault="00847F23" w:rsidP="006D6812">
            <w:pPr>
              <w:spacing w:after="0" w:line="240" w:lineRule="auto"/>
              <w:rPr>
                <w:rFonts w:ascii="Garamond" w:hAnsi="Garamond"/>
                <w:sz w:val="18"/>
              </w:rPr>
            </w:pPr>
            <w:r w:rsidRPr="00913E39">
              <w:rPr>
                <w:rFonts w:ascii="Garamond" w:hAnsi="Garamond"/>
                <w:sz w:val="18"/>
              </w:rPr>
              <w:t>Dizajni i detajuar i sistemit bazuar në studimin teknik duke përfshirë analizën kosto-përfitim.</w:t>
            </w:r>
          </w:p>
        </w:tc>
        <w:tc>
          <w:tcPr>
            <w:tcW w:w="1559" w:type="dxa"/>
            <w:shd w:val="clear" w:color="auto" w:fill="auto"/>
          </w:tcPr>
          <w:p w14:paraId="23EF3743"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Numër </w:t>
            </w:r>
          </w:p>
        </w:tc>
        <w:tc>
          <w:tcPr>
            <w:tcW w:w="992" w:type="dxa"/>
            <w:shd w:val="clear" w:color="auto" w:fill="auto"/>
          </w:tcPr>
          <w:p w14:paraId="2B27BD8A"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0</w:t>
            </w:r>
          </w:p>
        </w:tc>
        <w:tc>
          <w:tcPr>
            <w:tcW w:w="999" w:type="dxa"/>
            <w:shd w:val="clear" w:color="auto" w:fill="auto"/>
          </w:tcPr>
          <w:p w14:paraId="2E9F1374"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1</w:t>
            </w:r>
          </w:p>
        </w:tc>
      </w:tr>
      <w:tr w:rsidR="00847F23" w:rsidRPr="00913E39" w14:paraId="4011FCAE" w14:textId="77777777" w:rsidTr="0024225E">
        <w:trPr>
          <w:trHeight w:val="20"/>
        </w:trPr>
        <w:tc>
          <w:tcPr>
            <w:tcW w:w="1272" w:type="dxa"/>
            <w:vMerge/>
          </w:tcPr>
          <w:p w14:paraId="2661DC75" w14:textId="77777777" w:rsidR="00847F23" w:rsidRPr="00913E39" w:rsidRDefault="00847F23" w:rsidP="006D6812">
            <w:pPr>
              <w:spacing w:after="0" w:line="240" w:lineRule="auto"/>
              <w:jc w:val="both"/>
              <w:rPr>
                <w:rFonts w:ascii="Garamond" w:hAnsi="Garamond"/>
                <w:b/>
                <w:sz w:val="18"/>
              </w:rPr>
            </w:pPr>
          </w:p>
        </w:tc>
        <w:tc>
          <w:tcPr>
            <w:tcW w:w="2100" w:type="dxa"/>
            <w:vMerge w:val="restart"/>
            <w:shd w:val="clear" w:color="auto" w:fill="auto"/>
          </w:tcPr>
          <w:p w14:paraId="13534894" w14:textId="17158B19" w:rsidR="00847F23" w:rsidRPr="00913E39" w:rsidRDefault="00847F23" w:rsidP="006D6812">
            <w:pPr>
              <w:spacing w:after="0" w:line="240" w:lineRule="auto"/>
              <w:rPr>
                <w:rFonts w:ascii="Garamond" w:hAnsi="Garamond"/>
                <w:sz w:val="18"/>
              </w:rPr>
            </w:pPr>
            <w:r w:rsidRPr="00913E39">
              <w:rPr>
                <w:rFonts w:ascii="Garamond" w:hAnsi="Garamond"/>
                <w:sz w:val="18"/>
              </w:rPr>
              <w:t xml:space="preserve">Produkti 1.2 Krijimi i infrastrukturës dhe </w:t>
            </w:r>
            <w:r w:rsidR="0024225E" w:rsidRPr="00913E39">
              <w:rPr>
                <w:rFonts w:ascii="Garamond" w:hAnsi="Garamond"/>
                <w:sz w:val="18"/>
              </w:rPr>
              <w:t xml:space="preserve">sistemeve programe për </w:t>
            </w:r>
            <w:r w:rsidRPr="00913E39">
              <w:rPr>
                <w:rFonts w:ascii="Garamond" w:hAnsi="Garamond"/>
                <w:sz w:val="18"/>
              </w:rPr>
              <w:t>Sistemin Elektronik të të Dhënave Shëndetësore dhe Sistemin e Informacionit Radiologjik.</w:t>
            </w:r>
          </w:p>
        </w:tc>
        <w:tc>
          <w:tcPr>
            <w:tcW w:w="2152" w:type="dxa"/>
            <w:shd w:val="clear" w:color="auto" w:fill="auto"/>
          </w:tcPr>
          <w:p w14:paraId="7D140198" w14:textId="77777777" w:rsidR="00847F23" w:rsidRPr="00913E39" w:rsidRDefault="00847F23" w:rsidP="006D6812">
            <w:pPr>
              <w:spacing w:after="0" w:line="240" w:lineRule="auto"/>
              <w:rPr>
                <w:rFonts w:ascii="Garamond" w:hAnsi="Garamond"/>
                <w:sz w:val="18"/>
              </w:rPr>
            </w:pPr>
            <w:r w:rsidRPr="00913E39">
              <w:rPr>
                <w:rFonts w:ascii="Garamond" w:hAnsi="Garamond"/>
                <w:sz w:val="18"/>
              </w:rPr>
              <w:t xml:space="preserve">Vënia në punë e pajisje që lidh ofruesit e kujdesit shëndetësor me sistemet (stacionet e punës, ruterat, </w:t>
            </w:r>
            <w:r w:rsidRPr="00913E39">
              <w:rPr>
                <w:rFonts w:ascii="Garamond" w:hAnsi="Garamond"/>
                <w:i/>
                <w:sz w:val="18"/>
              </w:rPr>
              <w:t>Middleware</w:t>
            </w:r>
            <w:r w:rsidRPr="00913E39">
              <w:rPr>
                <w:rFonts w:ascii="Garamond" w:hAnsi="Garamond"/>
                <w:sz w:val="18"/>
              </w:rPr>
              <w:t xml:space="preserve"> për pajisjet mjekësore) </w:t>
            </w:r>
          </w:p>
        </w:tc>
        <w:tc>
          <w:tcPr>
            <w:tcW w:w="1559" w:type="dxa"/>
            <w:shd w:val="clear" w:color="auto" w:fill="auto"/>
          </w:tcPr>
          <w:p w14:paraId="038E2E64"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Numër</w:t>
            </w:r>
          </w:p>
        </w:tc>
        <w:tc>
          <w:tcPr>
            <w:tcW w:w="992" w:type="dxa"/>
            <w:shd w:val="clear" w:color="auto" w:fill="auto"/>
          </w:tcPr>
          <w:p w14:paraId="009663B6"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0</w:t>
            </w:r>
          </w:p>
        </w:tc>
        <w:tc>
          <w:tcPr>
            <w:tcW w:w="999" w:type="dxa"/>
            <w:shd w:val="clear" w:color="auto" w:fill="auto"/>
          </w:tcPr>
          <w:p w14:paraId="247BE522"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50</w:t>
            </w:r>
          </w:p>
        </w:tc>
      </w:tr>
      <w:tr w:rsidR="00847F23" w:rsidRPr="00913E39" w14:paraId="190E1335" w14:textId="77777777" w:rsidTr="0024225E">
        <w:trPr>
          <w:trHeight w:val="20"/>
        </w:trPr>
        <w:tc>
          <w:tcPr>
            <w:tcW w:w="1272" w:type="dxa"/>
            <w:vMerge/>
          </w:tcPr>
          <w:p w14:paraId="0D176E73" w14:textId="77777777" w:rsidR="00847F23" w:rsidRPr="00913E39" w:rsidRDefault="00847F23" w:rsidP="006D6812">
            <w:pPr>
              <w:spacing w:after="0" w:line="240" w:lineRule="auto"/>
              <w:jc w:val="both"/>
              <w:rPr>
                <w:rFonts w:ascii="Garamond" w:hAnsi="Garamond"/>
                <w:b/>
                <w:sz w:val="18"/>
              </w:rPr>
            </w:pPr>
          </w:p>
        </w:tc>
        <w:tc>
          <w:tcPr>
            <w:tcW w:w="2100" w:type="dxa"/>
            <w:vMerge/>
          </w:tcPr>
          <w:p w14:paraId="56F4FBA8" w14:textId="77777777" w:rsidR="00847F23" w:rsidRPr="00913E39" w:rsidRDefault="00847F23" w:rsidP="006D6812">
            <w:pPr>
              <w:spacing w:after="0" w:line="240" w:lineRule="auto"/>
              <w:jc w:val="both"/>
              <w:rPr>
                <w:rFonts w:ascii="Garamond" w:hAnsi="Garamond"/>
                <w:sz w:val="18"/>
              </w:rPr>
            </w:pPr>
          </w:p>
        </w:tc>
        <w:tc>
          <w:tcPr>
            <w:tcW w:w="2152" w:type="dxa"/>
            <w:shd w:val="clear" w:color="auto" w:fill="auto"/>
          </w:tcPr>
          <w:p w14:paraId="0F67399F" w14:textId="77777777" w:rsidR="00847F23" w:rsidRPr="00913E39" w:rsidRDefault="00847F23" w:rsidP="006D6812">
            <w:pPr>
              <w:spacing w:after="0" w:line="240" w:lineRule="auto"/>
              <w:rPr>
                <w:rFonts w:ascii="Garamond" w:hAnsi="Garamond"/>
                <w:sz w:val="18"/>
              </w:rPr>
            </w:pPr>
            <w:r w:rsidRPr="00913E39">
              <w:rPr>
                <w:rFonts w:ascii="Garamond" w:hAnsi="Garamond"/>
                <w:sz w:val="18"/>
              </w:rPr>
              <w:t>Instalimi i infrastrukturës qendrore (serverët, ruajtja), rrjetit/sigurisë</w:t>
            </w:r>
          </w:p>
        </w:tc>
        <w:tc>
          <w:tcPr>
            <w:tcW w:w="1559" w:type="dxa"/>
            <w:shd w:val="clear" w:color="auto" w:fill="auto"/>
          </w:tcPr>
          <w:p w14:paraId="061A3739"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Numër </w:t>
            </w:r>
          </w:p>
        </w:tc>
        <w:tc>
          <w:tcPr>
            <w:tcW w:w="992" w:type="dxa"/>
            <w:shd w:val="clear" w:color="auto" w:fill="auto"/>
          </w:tcPr>
          <w:p w14:paraId="36C52A7F"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0</w:t>
            </w:r>
          </w:p>
        </w:tc>
        <w:tc>
          <w:tcPr>
            <w:tcW w:w="999" w:type="dxa"/>
            <w:shd w:val="clear" w:color="auto" w:fill="auto"/>
          </w:tcPr>
          <w:p w14:paraId="44FC2B18"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1</w:t>
            </w:r>
          </w:p>
        </w:tc>
      </w:tr>
      <w:tr w:rsidR="00847F23" w:rsidRPr="00913E39" w14:paraId="615B9B71" w14:textId="77777777" w:rsidTr="0024225E">
        <w:trPr>
          <w:trHeight w:val="20"/>
        </w:trPr>
        <w:tc>
          <w:tcPr>
            <w:tcW w:w="1272" w:type="dxa"/>
            <w:vMerge/>
          </w:tcPr>
          <w:p w14:paraId="4C03A9C7" w14:textId="77777777" w:rsidR="00847F23" w:rsidRPr="00913E39" w:rsidRDefault="00847F23" w:rsidP="006D6812">
            <w:pPr>
              <w:spacing w:after="0" w:line="240" w:lineRule="auto"/>
              <w:jc w:val="both"/>
              <w:rPr>
                <w:rFonts w:ascii="Garamond" w:hAnsi="Garamond"/>
                <w:b/>
                <w:sz w:val="18"/>
              </w:rPr>
            </w:pPr>
          </w:p>
        </w:tc>
        <w:tc>
          <w:tcPr>
            <w:tcW w:w="2100" w:type="dxa"/>
            <w:vMerge/>
          </w:tcPr>
          <w:p w14:paraId="439502BF" w14:textId="77777777" w:rsidR="00847F23" w:rsidRPr="00913E39" w:rsidRDefault="00847F23" w:rsidP="006D6812">
            <w:pPr>
              <w:spacing w:after="0" w:line="240" w:lineRule="auto"/>
              <w:jc w:val="both"/>
              <w:rPr>
                <w:rFonts w:ascii="Garamond" w:hAnsi="Garamond"/>
                <w:sz w:val="18"/>
              </w:rPr>
            </w:pPr>
          </w:p>
        </w:tc>
        <w:tc>
          <w:tcPr>
            <w:tcW w:w="2152" w:type="dxa"/>
            <w:shd w:val="clear" w:color="auto" w:fill="auto"/>
          </w:tcPr>
          <w:p w14:paraId="46972FDB"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Vënia në punë e sistemeve software-ike</w:t>
            </w:r>
          </w:p>
        </w:tc>
        <w:tc>
          <w:tcPr>
            <w:tcW w:w="1559" w:type="dxa"/>
            <w:shd w:val="clear" w:color="auto" w:fill="auto"/>
          </w:tcPr>
          <w:p w14:paraId="3113AF90"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Numër </w:t>
            </w:r>
          </w:p>
        </w:tc>
        <w:tc>
          <w:tcPr>
            <w:tcW w:w="992" w:type="dxa"/>
            <w:shd w:val="clear" w:color="auto" w:fill="auto"/>
          </w:tcPr>
          <w:p w14:paraId="5B42FA55"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0</w:t>
            </w:r>
          </w:p>
        </w:tc>
        <w:tc>
          <w:tcPr>
            <w:tcW w:w="999" w:type="dxa"/>
            <w:shd w:val="clear" w:color="auto" w:fill="auto"/>
          </w:tcPr>
          <w:p w14:paraId="338A729C"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2</w:t>
            </w:r>
          </w:p>
        </w:tc>
      </w:tr>
      <w:tr w:rsidR="00847F23" w:rsidRPr="00913E39" w14:paraId="448F21B5" w14:textId="77777777" w:rsidTr="0024225E">
        <w:trPr>
          <w:trHeight w:val="20"/>
        </w:trPr>
        <w:tc>
          <w:tcPr>
            <w:tcW w:w="1272" w:type="dxa"/>
            <w:vMerge/>
          </w:tcPr>
          <w:p w14:paraId="126736EA" w14:textId="77777777" w:rsidR="00847F23" w:rsidRPr="00913E39" w:rsidRDefault="00847F23" w:rsidP="006D6812">
            <w:pPr>
              <w:spacing w:after="0" w:line="240" w:lineRule="auto"/>
              <w:jc w:val="both"/>
              <w:rPr>
                <w:rFonts w:ascii="Garamond" w:hAnsi="Garamond"/>
                <w:sz w:val="18"/>
              </w:rPr>
            </w:pPr>
          </w:p>
        </w:tc>
        <w:tc>
          <w:tcPr>
            <w:tcW w:w="2100" w:type="dxa"/>
            <w:shd w:val="clear" w:color="auto" w:fill="auto"/>
          </w:tcPr>
          <w:p w14:paraId="0264E1A1" w14:textId="450EF8D4" w:rsidR="00847F23" w:rsidRPr="00913E39" w:rsidRDefault="00847F23" w:rsidP="0024225E">
            <w:pPr>
              <w:spacing w:after="0" w:line="240" w:lineRule="auto"/>
              <w:rPr>
                <w:rFonts w:ascii="Garamond" w:hAnsi="Garamond"/>
                <w:sz w:val="18"/>
              </w:rPr>
            </w:pPr>
            <w:r w:rsidRPr="00913E39">
              <w:rPr>
                <w:rFonts w:ascii="Garamond" w:hAnsi="Garamond"/>
                <w:sz w:val="18"/>
              </w:rPr>
              <w:t xml:space="preserve">Produkti 1.3 Ofruesve të kujdesit shëndetësor u është mundësuar përdorimi i Sistemit të Informacionit Radiologjik dhe Sistemeve Elektronike </w:t>
            </w:r>
            <w:r w:rsidRPr="00913E39">
              <w:rPr>
                <w:rFonts w:ascii="Garamond" w:hAnsi="Garamond"/>
                <w:sz w:val="18"/>
              </w:rPr>
              <w:lastRenderedPageBreak/>
              <w:t>të të Dhënave Shëndetësore.</w:t>
            </w:r>
          </w:p>
        </w:tc>
        <w:tc>
          <w:tcPr>
            <w:tcW w:w="2152" w:type="dxa"/>
            <w:shd w:val="clear" w:color="auto" w:fill="auto"/>
          </w:tcPr>
          <w:p w14:paraId="733086FF" w14:textId="77777777" w:rsidR="00847F23" w:rsidRPr="00913E39" w:rsidRDefault="00847F23" w:rsidP="006D6812">
            <w:pPr>
              <w:spacing w:after="0" w:line="240" w:lineRule="auto"/>
              <w:rPr>
                <w:rFonts w:ascii="Garamond" w:hAnsi="Garamond"/>
                <w:sz w:val="18"/>
              </w:rPr>
            </w:pPr>
            <w:r w:rsidRPr="00913E39">
              <w:rPr>
                <w:rFonts w:ascii="Garamond" w:hAnsi="Garamond"/>
                <w:sz w:val="18"/>
              </w:rPr>
              <w:lastRenderedPageBreak/>
              <w:t>Trajnimi i operatorëve të kujdesit shëndetësor për menaxhimin e ndryshimeve dhe përdorimin e sistemit, të ndarë sipas gjinisë.</w:t>
            </w:r>
          </w:p>
        </w:tc>
        <w:tc>
          <w:tcPr>
            <w:tcW w:w="1559" w:type="dxa"/>
            <w:shd w:val="clear" w:color="auto" w:fill="auto"/>
          </w:tcPr>
          <w:p w14:paraId="27B7D69B"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Numër</w:t>
            </w:r>
          </w:p>
        </w:tc>
        <w:tc>
          <w:tcPr>
            <w:tcW w:w="992" w:type="dxa"/>
            <w:shd w:val="clear" w:color="auto" w:fill="auto"/>
          </w:tcPr>
          <w:p w14:paraId="52B0CD5A"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0</w:t>
            </w:r>
          </w:p>
        </w:tc>
        <w:tc>
          <w:tcPr>
            <w:tcW w:w="999" w:type="dxa"/>
            <w:shd w:val="clear" w:color="auto" w:fill="auto"/>
          </w:tcPr>
          <w:p w14:paraId="63C2D5C0"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10 000</w:t>
            </w:r>
          </w:p>
        </w:tc>
      </w:tr>
      <w:tr w:rsidR="00847F23" w:rsidRPr="00913E39" w14:paraId="2E6A62CE" w14:textId="77777777" w:rsidTr="0024225E">
        <w:trPr>
          <w:trHeight w:val="20"/>
        </w:trPr>
        <w:tc>
          <w:tcPr>
            <w:tcW w:w="1272" w:type="dxa"/>
            <w:vMerge/>
          </w:tcPr>
          <w:p w14:paraId="420CF95E" w14:textId="77777777" w:rsidR="00847F23" w:rsidRPr="00913E39" w:rsidRDefault="00847F23" w:rsidP="006D6812">
            <w:pPr>
              <w:spacing w:after="0" w:line="240" w:lineRule="auto"/>
              <w:jc w:val="both"/>
              <w:rPr>
                <w:rFonts w:ascii="Garamond" w:hAnsi="Garamond"/>
                <w:sz w:val="18"/>
              </w:rPr>
            </w:pPr>
          </w:p>
        </w:tc>
        <w:tc>
          <w:tcPr>
            <w:tcW w:w="2100" w:type="dxa"/>
            <w:shd w:val="clear" w:color="auto" w:fill="auto"/>
          </w:tcPr>
          <w:p w14:paraId="06C7521C" w14:textId="77777777" w:rsidR="00847F23" w:rsidRPr="00913E39" w:rsidRDefault="00847F23" w:rsidP="0024225E">
            <w:pPr>
              <w:spacing w:after="0" w:line="240" w:lineRule="auto"/>
              <w:rPr>
                <w:rFonts w:ascii="Garamond" w:hAnsi="Garamond"/>
                <w:sz w:val="18"/>
              </w:rPr>
            </w:pPr>
            <w:r w:rsidRPr="00913E39">
              <w:rPr>
                <w:rFonts w:ascii="Garamond" w:hAnsi="Garamond"/>
                <w:sz w:val="18"/>
              </w:rPr>
              <w:t>Produkti 1.4 Informimi plotësisht i përfituesve fundorë dhe profesionistëve të kujdesit shëndetësor për përfitimet e sistemit të ri.</w:t>
            </w:r>
          </w:p>
        </w:tc>
        <w:tc>
          <w:tcPr>
            <w:tcW w:w="2152" w:type="dxa"/>
            <w:shd w:val="clear" w:color="auto" w:fill="auto"/>
          </w:tcPr>
          <w:p w14:paraId="27A5B02D" w14:textId="77777777" w:rsidR="00847F23" w:rsidRPr="00913E39" w:rsidRDefault="00847F23" w:rsidP="006D6812">
            <w:pPr>
              <w:spacing w:after="0" w:line="240" w:lineRule="auto"/>
              <w:rPr>
                <w:rFonts w:ascii="Garamond" w:hAnsi="Garamond"/>
                <w:sz w:val="18"/>
              </w:rPr>
            </w:pPr>
            <w:r w:rsidRPr="00913E39">
              <w:rPr>
                <w:rFonts w:ascii="Garamond" w:hAnsi="Garamond"/>
                <w:sz w:val="18"/>
              </w:rPr>
              <w:t>Zhvillimi i një fushate shumëvjeçare ndërgjegjësimi.</w:t>
            </w:r>
          </w:p>
        </w:tc>
        <w:tc>
          <w:tcPr>
            <w:tcW w:w="1559" w:type="dxa"/>
            <w:shd w:val="clear" w:color="auto" w:fill="auto"/>
          </w:tcPr>
          <w:p w14:paraId="1A646413"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Numër </w:t>
            </w:r>
          </w:p>
        </w:tc>
        <w:tc>
          <w:tcPr>
            <w:tcW w:w="992" w:type="dxa"/>
            <w:shd w:val="clear" w:color="auto" w:fill="auto"/>
          </w:tcPr>
          <w:p w14:paraId="185FE972"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0</w:t>
            </w:r>
          </w:p>
        </w:tc>
        <w:tc>
          <w:tcPr>
            <w:tcW w:w="999" w:type="dxa"/>
            <w:shd w:val="clear" w:color="auto" w:fill="auto"/>
          </w:tcPr>
          <w:p w14:paraId="328B8B43"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1</w:t>
            </w:r>
          </w:p>
        </w:tc>
      </w:tr>
    </w:tbl>
    <w:p w14:paraId="425D4E08" w14:textId="77777777" w:rsidR="00847F23" w:rsidRPr="00913E39" w:rsidRDefault="00847F23" w:rsidP="00FC4C60">
      <w:pPr>
        <w:spacing w:after="0" w:line="240" w:lineRule="auto"/>
        <w:ind w:firstLine="284"/>
        <w:jc w:val="both"/>
        <w:rPr>
          <w:rFonts w:ascii="Garamond" w:hAnsi="Garamond"/>
          <w:sz w:val="24"/>
        </w:rPr>
      </w:pPr>
    </w:p>
    <w:p w14:paraId="1087508A"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 xml:space="preserve">Lloji i aktiviteteve </w:t>
      </w:r>
    </w:p>
    <w:p w14:paraId="32298A7C" w14:textId="114C197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përgjithësi, aktivitetet e nënfushës së mbështetjes së shëndetit elektronik do të jenë si më poshtë: </w:t>
      </w:r>
    </w:p>
    <w:p w14:paraId="7EB29467"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Forcimi i kapaciteteve në lidhje me </w:t>
      </w:r>
      <w:r w:rsidRPr="00913E39">
        <w:rPr>
          <w:rFonts w:ascii="Garamond" w:hAnsi="Garamond"/>
          <w:i/>
          <w:sz w:val="24"/>
        </w:rPr>
        <w:t>acquis</w:t>
      </w:r>
      <w:r w:rsidRPr="00913E39">
        <w:rPr>
          <w:rFonts w:ascii="Garamond" w:hAnsi="Garamond"/>
          <w:sz w:val="24"/>
        </w:rPr>
        <w:t xml:space="preserve">, përafrimi dhe harmonizimi ligjor, reformat sektoriale; </w:t>
      </w:r>
    </w:p>
    <w:p w14:paraId="23F4400F"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FORCIMI I KAPACITETEVE: trajnim mbi Sistemin Elektronik të të Dhënave Shëndetësore dhe Sistemin e Informacionit Radiologjik (trajnim i funksionaliteteve të sistemit/menaxhimi i ndryshimeve/aftësi IA dhe BI) </w:t>
      </w:r>
    </w:p>
    <w:p w14:paraId="6C4A570A"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INVESTIME: infrastruktura qendrore (servera, storage), rrjetet/siguria; dy sisteme programe: për Regjistrin Elektronik të Pacientëve dhe sistemin e informacionit radiologjik përkatësisht bazuar në standardet ndërkombëtare në përputhje me standardet e BE-së për standardet e shëndeti digjital (IHE/HL7/CDA, DCOM). </w:t>
      </w:r>
    </w:p>
    <w:p w14:paraId="7AFA016E" w14:textId="1CD8C01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STUDIM TEKNIK: dizajn i detajuar i sistemit, duke përfshirë masat e efi</w:t>
      </w:r>
      <w:r w:rsidR="0024225E" w:rsidRPr="00913E39">
        <w:rPr>
          <w:rFonts w:ascii="Garamond" w:hAnsi="Garamond"/>
          <w:sz w:val="24"/>
        </w:rPr>
        <w:t>ci</w:t>
      </w:r>
      <w:r w:rsidRPr="00913E39">
        <w:rPr>
          <w:rFonts w:ascii="Garamond" w:hAnsi="Garamond"/>
          <w:sz w:val="24"/>
        </w:rPr>
        <w:t>encës së energjisë dhe skemën e menaxhimit të mbetjeve elektronike.</w:t>
      </w:r>
    </w:p>
    <w:p w14:paraId="6415E141"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FUSHATA NDËRGJEGJËSIMI: përgatitja dhe zhvillimi i një fushate ndërgjegjësimi shumëvjeçare drejtuar pacientëve dhe profesionistëve të kujdesit shëndetësor.</w:t>
      </w:r>
    </w:p>
    <w:p w14:paraId="366F640A" w14:textId="77777777" w:rsidR="00847F23" w:rsidRPr="00913E39" w:rsidRDefault="00847F23" w:rsidP="00FC4C60">
      <w:pPr>
        <w:spacing w:after="0" w:line="240" w:lineRule="auto"/>
        <w:ind w:firstLine="284"/>
        <w:jc w:val="both"/>
        <w:rPr>
          <w:rFonts w:ascii="Garamond" w:hAnsi="Garamond"/>
          <w:sz w:val="24"/>
        </w:rPr>
      </w:pPr>
    </w:p>
    <w:p w14:paraId="6A5D9CE9" w14:textId="1C8AEFF6"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Tabela 15</w:t>
      </w:r>
      <w:r w:rsidR="0024225E" w:rsidRPr="00913E39">
        <w:rPr>
          <w:rFonts w:ascii="Garamond" w:hAnsi="Garamond"/>
          <w:i/>
          <w:sz w:val="24"/>
        </w:rPr>
        <w:t>.</w:t>
      </w:r>
      <w:r w:rsidRPr="00913E39">
        <w:rPr>
          <w:rFonts w:ascii="Garamond" w:hAnsi="Garamond"/>
          <w:i/>
          <w:sz w:val="24"/>
        </w:rPr>
        <w:t xml:space="preserve"> Digjitalizimi </w:t>
      </w:r>
      <w:r w:rsidR="0024225E" w:rsidRPr="00913E39">
        <w:rPr>
          <w:rFonts w:ascii="Garamond" w:hAnsi="Garamond"/>
          <w:i/>
          <w:sz w:val="24"/>
        </w:rPr>
        <w:t>shëndetësor</w:t>
      </w:r>
      <w:r w:rsidRPr="00913E39">
        <w:rPr>
          <w:rFonts w:ascii="Garamond" w:hAnsi="Garamond"/>
          <w:i/>
          <w:sz w:val="24"/>
        </w:rPr>
        <w:t xml:space="preserve">, </w:t>
      </w:r>
      <w:r w:rsidR="0024225E" w:rsidRPr="00913E39">
        <w:rPr>
          <w:rFonts w:ascii="Garamond" w:hAnsi="Garamond"/>
          <w:i/>
          <w:sz w:val="24"/>
        </w:rPr>
        <w:t>t</w:t>
      </w:r>
      <w:r w:rsidRPr="00913E39">
        <w:rPr>
          <w:rFonts w:ascii="Garamond" w:hAnsi="Garamond"/>
          <w:i/>
          <w:sz w:val="24"/>
        </w:rPr>
        <w:t>regues i llojit kryesor të aktiviteteve sipas kësaj nënfushe të mbështetjes, i ndarë sipas viteve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2"/>
        <w:gridCol w:w="2264"/>
        <w:gridCol w:w="2279"/>
        <w:gridCol w:w="2279"/>
      </w:tblGrid>
      <w:tr w:rsidR="00847F23" w:rsidRPr="00913E39" w14:paraId="4270A7B3" w14:textId="77777777" w:rsidTr="006D6812">
        <w:trPr>
          <w:trHeight w:val="20"/>
        </w:trPr>
        <w:tc>
          <w:tcPr>
            <w:tcW w:w="2337" w:type="dxa"/>
            <w:shd w:val="clear" w:color="auto" w:fill="auto"/>
          </w:tcPr>
          <w:p w14:paraId="24598936"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2024</w:t>
            </w:r>
          </w:p>
        </w:tc>
        <w:tc>
          <w:tcPr>
            <w:tcW w:w="2337" w:type="dxa"/>
            <w:shd w:val="clear" w:color="auto" w:fill="auto"/>
          </w:tcPr>
          <w:p w14:paraId="19F1AC0B"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2025</w:t>
            </w:r>
          </w:p>
        </w:tc>
        <w:tc>
          <w:tcPr>
            <w:tcW w:w="2338" w:type="dxa"/>
            <w:shd w:val="clear" w:color="auto" w:fill="auto"/>
          </w:tcPr>
          <w:p w14:paraId="6761EA26"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2026</w:t>
            </w:r>
          </w:p>
        </w:tc>
        <w:tc>
          <w:tcPr>
            <w:tcW w:w="2338" w:type="dxa"/>
            <w:shd w:val="clear" w:color="auto" w:fill="auto"/>
          </w:tcPr>
          <w:p w14:paraId="3260B0F0"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2027</w:t>
            </w:r>
          </w:p>
        </w:tc>
      </w:tr>
      <w:tr w:rsidR="00847F23" w:rsidRPr="00913E39" w14:paraId="6BFFED11" w14:textId="77777777" w:rsidTr="006D6812">
        <w:trPr>
          <w:trHeight w:val="20"/>
        </w:trPr>
        <w:tc>
          <w:tcPr>
            <w:tcW w:w="2337" w:type="dxa"/>
            <w:shd w:val="clear" w:color="auto" w:fill="auto"/>
          </w:tcPr>
          <w:p w14:paraId="76DE66ED"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Studim teknik</w:t>
            </w:r>
          </w:p>
        </w:tc>
        <w:tc>
          <w:tcPr>
            <w:tcW w:w="2337" w:type="dxa"/>
            <w:shd w:val="clear" w:color="auto" w:fill="auto"/>
          </w:tcPr>
          <w:p w14:paraId="4D1F7753"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Investim</w:t>
            </w:r>
            <w:r w:rsidRPr="00913E39">
              <w:rPr>
                <w:rFonts w:ascii="Garamond" w:hAnsi="Garamond"/>
                <w:sz w:val="18"/>
                <w:vertAlign w:val="superscript"/>
              </w:rPr>
              <w:footnoteReference w:id="71"/>
            </w:r>
          </w:p>
        </w:tc>
        <w:tc>
          <w:tcPr>
            <w:tcW w:w="2338" w:type="dxa"/>
            <w:shd w:val="clear" w:color="auto" w:fill="auto"/>
          </w:tcPr>
          <w:p w14:paraId="4B319447"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Investim</w:t>
            </w:r>
          </w:p>
          <w:p w14:paraId="48123B90"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Forcim i njohurive</w:t>
            </w:r>
          </w:p>
          <w:p w14:paraId="7E83DFFF"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fushata ndërgjegjësimi</w:t>
            </w:r>
          </w:p>
        </w:tc>
        <w:tc>
          <w:tcPr>
            <w:tcW w:w="2338" w:type="dxa"/>
            <w:shd w:val="clear" w:color="auto" w:fill="auto"/>
          </w:tcPr>
          <w:p w14:paraId="24352DED"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Forcim i njohurive</w:t>
            </w:r>
          </w:p>
          <w:p w14:paraId="272FB358"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Fushata ndërgjegjësimi</w:t>
            </w:r>
          </w:p>
        </w:tc>
      </w:tr>
    </w:tbl>
    <w:p w14:paraId="5436848F" w14:textId="77777777" w:rsidR="00847F23" w:rsidRPr="00913E39" w:rsidRDefault="00847F23" w:rsidP="00FC4C60">
      <w:pPr>
        <w:spacing w:after="0" w:line="240" w:lineRule="auto"/>
        <w:ind w:firstLine="284"/>
        <w:jc w:val="both"/>
        <w:rPr>
          <w:rFonts w:ascii="Garamond" w:hAnsi="Garamond"/>
          <w:b/>
          <w:sz w:val="24"/>
        </w:rPr>
      </w:pPr>
    </w:p>
    <w:p w14:paraId="4A8844A1"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Metodat e ofrimit</w:t>
      </w:r>
    </w:p>
    <w:p w14:paraId="68BDB6C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Metodat e ofrimit që do të merren parasysh për këtë fushë të mbështetjes mund të përfshijnë shërbimet, binjakëzimin, prokurimin e furnizimeve dhe punimeve. </w:t>
      </w:r>
    </w:p>
    <w:p w14:paraId="511A6F93" w14:textId="19246EDC"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Përfituesit fundorë dhe grupet e synuara:</w:t>
      </w:r>
      <w:r w:rsidRPr="00913E39">
        <w:rPr>
          <w:rFonts w:ascii="Garamond" w:hAnsi="Garamond"/>
          <w:sz w:val="24"/>
        </w:rPr>
        <w:t xml:space="preserve"> përfituesit fundorë përfshijnë popullsinë e regjistruar të Shqipërisë që mban një Numër Unik Kombëtar Identifikimi; grupet e synuara janë mjekët (mjekë të familjes, mjekë specialistë etj.), radiologë, teknikë/infermiere imazherie; politikëbërësit që marrin informacion statistikor/administrativ për një politikëbërje më të mirë.</w:t>
      </w:r>
    </w:p>
    <w:p w14:paraId="7E372E78" w14:textId="79B43764"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Kushtet:</w:t>
      </w:r>
      <w:r w:rsidRPr="00913E39">
        <w:rPr>
          <w:rFonts w:ascii="Garamond" w:hAnsi="Garamond"/>
          <w:b/>
          <w:sz w:val="24"/>
        </w:rPr>
        <w:t xml:space="preserve"> </w:t>
      </w:r>
      <w:r w:rsidRPr="00913E39">
        <w:rPr>
          <w:rFonts w:ascii="Garamond" w:hAnsi="Garamond"/>
          <w:sz w:val="24"/>
        </w:rPr>
        <w:t xml:space="preserve">bashkëfinancimi i nënfushës së mbështetjes; </w:t>
      </w:r>
      <w:r w:rsidR="0024225E" w:rsidRPr="00913E39">
        <w:rPr>
          <w:rFonts w:ascii="Garamond" w:hAnsi="Garamond"/>
          <w:sz w:val="24"/>
        </w:rPr>
        <w:t xml:space="preserve">urdhër i ministrit </w:t>
      </w:r>
      <w:r w:rsidRPr="00913E39">
        <w:rPr>
          <w:rFonts w:ascii="Garamond" w:hAnsi="Garamond"/>
          <w:sz w:val="24"/>
        </w:rPr>
        <w:t xml:space="preserve">për përdorimin e sistemit të propozuar dhe vërtetimin e dokumenteve të prodhuara nga sistemi; mirëmbajtja e infrastrukturës së pajisjeve dhe zgjidhjeve të programeve të siguruara nga AKSHI. </w:t>
      </w:r>
    </w:p>
    <w:p w14:paraId="25FEAA28" w14:textId="4608A206"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24225E" w:rsidRPr="00913E39">
        <w:rPr>
          <w:rFonts w:ascii="Garamond" w:hAnsi="Garamond"/>
          <w:i/>
          <w:sz w:val="24"/>
        </w:rPr>
        <w:t>f</w:t>
      </w:r>
      <w:r w:rsidRPr="00913E39">
        <w:rPr>
          <w:rFonts w:ascii="Garamond" w:hAnsi="Garamond"/>
          <w:i/>
          <w:sz w:val="24"/>
        </w:rPr>
        <w:t xml:space="preserve">usha e mbështetjes 1.2: Edukimi </w:t>
      </w:r>
      <w:r w:rsidR="0024225E" w:rsidRPr="00913E39">
        <w:rPr>
          <w:rFonts w:ascii="Garamond" w:hAnsi="Garamond"/>
          <w:i/>
          <w:sz w:val="24"/>
        </w:rPr>
        <w:t>d</w:t>
      </w:r>
      <w:r w:rsidRPr="00913E39">
        <w:rPr>
          <w:rFonts w:ascii="Garamond" w:hAnsi="Garamond"/>
          <w:i/>
          <w:sz w:val="24"/>
        </w:rPr>
        <w:t>igjital</w:t>
      </w:r>
    </w:p>
    <w:p w14:paraId="35D27E0C"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Arsyetimi</w:t>
      </w:r>
    </w:p>
    <w:p w14:paraId="673A7111" w14:textId="4377C02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 xml:space="preserve">Pandemia e COVID-19 ka përshpejtuar më tej prirjen ekzistuese drejt nxënies në internet dhe në format hibrid. Ajo ka zbuluar mënyra të reja dhe me </w:t>
      </w:r>
      <w:r w:rsidRPr="00FF164A">
        <w:rPr>
          <w:rFonts w:ascii="Garamond" w:hAnsi="Garamond"/>
          <w:sz w:val="24"/>
        </w:rPr>
        <w:t>pr</w:t>
      </w:r>
      <w:r w:rsidR="00FF164A" w:rsidRPr="00FF164A">
        <w:rPr>
          <w:rFonts w:ascii="Garamond" w:hAnsi="Garamond"/>
          <w:sz w:val="24"/>
        </w:rPr>
        <w:t>e</w:t>
      </w:r>
      <w:r w:rsidRPr="00FF164A">
        <w:rPr>
          <w:rFonts w:ascii="Garamond" w:hAnsi="Garamond"/>
          <w:sz w:val="24"/>
        </w:rPr>
        <w:t>spektivë</w:t>
      </w:r>
      <w:r w:rsidRPr="00913E39">
        <w:rPr>
          <w:rFonts w:ascii="Garamond" w:hAnsi="Garamond"/>
          <w:sz w:val="24"/>
        </w:rPr>
        <w:t xml:space="preserve"> për studentët dhe mësuesit për të organizuar aktivitetet e tyre të mësimdhënies dhe të nxënies dhe për të ndërvepruar në një mënyrë më personale dhe fleksibël në internet. </w:t>
      </w:r>
    </w:p>
    <w:p w14:paraId="481089C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të njëjtën kohë, përdorimi i teknologjive digjitale për arsimin zbulon sfida dhe pabarazi mes atyre që kanë akses në teknologjitë digjitale dhe atyre që nuk kanë (përfshirë individët me prejardhje të pafavorshme); dhe sfidat që lidhen me kapacitetet digjitale të institucioneve arsimore dhe trajnuese, trajnimin e mësuesve dhe nivelet e përgjithshme të aftësive dhe njohurive digjitale.</w:t>
      </w:r>
    </w:p>
    <w:p w14:paraId="3D830ACF" w14:textId="4AAC75E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të kontekstualizuar më tej këto sfida, sipas studimeve dhe statistikave të fundit: a) mesatarisht më pak se 40% e mësuesve në të gjithë BE-në ndiheshin të gatshëm për të përdorur teknologjitë digjitale në mësimdhënie, me divergjenca midis Shteteve Anëtare të BE-së (OECD, 2018); b) më shumë se një e treta e moshave 13</w:t>
      </w:r>
      <w:r w:rsidR="0024225E" w:rsidRPr="00913E39">
        <w:rPr>
          <w:rFonts w:ascii="Garamond" w:hAnsi="Garamond"/>
          <w:sz w:val="24"/>
        </w:rPr>
        <w:t>–</w:t>
      </w:r>
      <w:r w:rsidRPr="00913E39">
        <w:rPr>
          <w:rFonts w:ascii="Garamond" w:hAnsi="Garamond"/>
          <w:sz w:val="24"/>
        </w:rPr>
        <w:t xml:space="preserve">14 vjeç që morën pjesë në Studimin Ndërkombëtar për Njohuritë Kompjuterike dhe Informacionin (ICILS) në vitin 2018 nuk zotëronin nivelin më fillestar të aftësive digjitale (EC, 2019); c) një e katërta e familjeve me të ardhura të ulëta nuk kanë akses në kompjutera dhe broadband, me luhatje në të gjithë BE-në të prekura nga të ardhurat e familjeve (Eurostat, 2019); dhe d) 95% e të anketuarve të Konsultimit Publik të Planit të Veprimit për Edukimin Digjitale mendojnë se pandemia COVID-19 shënon një pikë kthese për mënyrën se si teknologjia përdoret në arsim dhe trajnim (Plani i Veprimit për Edukimin Digjital të BE-së, Konsultimet Publike, 2020). </w:t>
      </w:r>
    </w:p>
    <w:p w14:paraId="67428DC6"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Këto shifra tregojnë se duke qenë se transformimi digjitale ka ndryshuar shoqërinë dhe ekonominë me një ndikim gjithnjë e më të thellë në jetën e përditshme, dhe veçanërisht në brezin e ri, shumë të prekur nga pandemia dhe implikimet e saj në nxënien dhe mësimdhënien, ekziston një nevojë e madhe për nivele më të larta të kapaciteteve digjitale të sistemeve dhe institucioneve të arsimit dhe trajnimit.</w:t>
      </w:r>
    </w:p>
    <w:p w14:paraId="7F45D851" w14:textId="0AF3E1A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nivel të BE-së, kjo kërkonte një përpjekje më të fortë dhe të koordinuar për të mbështetur sistemet e arsimit dhe trajnimit, duke paraqitur një vizion afatgjatë për rrugën përpara për fushën Evropiane të arsimit digjitale. Në këtë aspekt, </w:t>
      </w:r>
      <w:r w:rsidRPr="00913E39">
        <w:rPr>
          <w:rFonts w:ascii="Garamond" w:hAnsi="Garamond"/>
          <w:b/>
          <w:sz w:val="24"/>
        </w:rPr>
        <w:t>Plani i Veprimit për Digjitalizimin arsimor (2021</w:t>
      </w:r>
      <w:r w:rsidR="00211362" w:rsidRPr="00913E39">
        <w:rPr>
          <w:rFonts w:ascii="Garamond" w:hAnsi="Garamond"/>
          <w:b/>
          <w:sz w:val="24"/>
        </w:rPr>
        <w:t>–</w:t>
      </w:r>
      <w:r w:rsidRPr="00913E39">
        <w:rPr>
          <w:rFonts w:ascii="Garamond" w:hAnsi="Garamond"/>
          <w:b/>
          <w:sz w:val="24"/>
        </w:rPr>
        <w:t>2027)</w:t>
      </w:r>
      <w:r w:rsidRPr="00913E39">
        <w:rPr>
          <w:rFonts w:ascii="Garamond" w:hAnsi="Garamond"/>
          <w:sz w:val="24"/>
        </w:rPr>
        <w:t xml:space="preserve"> është një iniciativë e rinovuar politikash që përcakton një vizion të përbashkët të arsimit digjitale me cilësi të lartë, gjithëpërfshirës dhe të aksesueshëm në Europë dhe synon të mbështesë përshtatjen e sistemeve të arsimit dhe trajnimit të shteteve anëtare në epokën digjitale.</w:t>
      </w:r>
    </w:p>
    <w:p w14:paraId="35889124" w14:textId="1F681C6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nivel kombëtar, </w:t>
      </w:r>
      <w:r w:rsidRPr="00913E39">
        <w:rPr>
          <w:rFonts w:ascii="Garamond" w:hAnsi="Garamond"/>
          <w:b/>
          <w:sz w:val="24"/>
        </w:rPr>
        <w:t>arsimi cilësor kryeson listën e aspiratave për të ardhmen në Shqipëri</w:t>
      </w:r>
      <w:r w:rsidRPr="00913E39">
        <w:rPr>
          <w:rFonts w:ascii="Garamond" w:hAnsi="Garamond"/>
          <w:sz w:val="24"/>
          <w:vertAlign w:val="superscript"/>
        </w:rPr>
        <w:footnoteReference w:id="72"/>
      </w:r>
      <w:r w:rsidRPr="00913E39">
        <w:rPr>
          <w:rFonts w:ascii="Garamond" w:hAnsi="Garamond"/>
          <w:b/>
          <w:sz w:val="24"/>
        </w:rPr>
        <w:t>.</w:t>
      </w:r>
      <w:r w:rsidRPr="00913E39">
        <w:rPr>
          <w:rFonts w:ascii="Garamond" w:hAnsi="Garamond"/>
          <w:sz w:val="24"/>
        </w:rPr>
        <w:t xml:space="preserve"> Është një element thelbësor i cilësisë së jetës për të gjithë; të rinjtë në shkollë, familjet, ata që duan të kenë mundësi për fëmijët e tyre, ata që duan të kenë fëmijë në të ardhmen dhe ata që varen nga brezat e rinj për të formuar të ardhmen e shoqërive të tyre. Përtej inovacionit dhe mundësive ekonomike, arsimi gjithashtu ka rëndësi për angazhimin qytetar dhe respektimin e diversitetit dhe sundimit të ligjit. Me unanimitet mbresëlënës, arsimi cilësor u rendit më i miri në të katër takimet aspiruese të mbajtura në Tiranë si pjesë e Vlerësimit Fillestar të Vlerësimit Shumëdimensional të OECD-së për Ballkanin Perëndimor </w:t>
      </w:r>
      <w:r w:rsidR="009214CB" w:rsidRPr="00913E39">
        <w:rPr>
          <w:rFonts w:ascii="Garamond" w:hAnsi="Garamond"/>
          <w:sz w:val="24"/>
        </w:rPr>
        <w:t>m</w:t>
      </w:r>
      <w:r w:rsidRPr="00913E39">
        <w:rPr>
          <w:rFonts w:ascii="Garamond" w:hAnsi="Garamond"/>
          <w:sz w:val="24"/>
        </w:rPr>
        <w:t xml:space="preserve">ë 2021. Në këto takime morën pjesë përfaqësues nga ministritë dhe agjenci të ndryshme, sektori privat, akademia dhe shoqëria civile, të cilët bënë deklarata me vizion bazuar në eksperiencat e jetës së qytetarëve të ardhshëm. </w:t>
      </w:r>
    </w:p>
    <w:p w14:paraId="5334D357" w14:textId="0099234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Sipas rezultateve të vlerësimit shumëdimensional të OECD (OECD, shkurt 2022)</w:t>
      </w:r>
      <w:r w:rsidRPr="00913E39">
        <w:rPr>
          <w:rFonts w:ascii="Garamond" w:hAnsi="Garamond"/>
          <w:sz w:val="24"/>
          <w:vertAlign w:val="superscript"/>
        </w:rPr>
        <w:footnoteReference w:id="73"/>
      </w:r>
      <w:r w:rsidRPr="00913E39">
        <w:rPr>
          <w:rFonts w:ascii="Garamond" w:hAnsi="Garamond"/>
          <w:sz w:val="24"/>
        </w:rPr>
        <w:t xml:space="preserve"> gjatë dekadës së fundit, Shqipëria ka ndërmarrë hapa të rëndësishëm për të rritur cilësinë dhe rëndësinë e arsimit në të gjitha nivelet. Rezultatet e të nxënit, të matura nga Programi i OECD-së për Vlerësimin Ndërkombëtar të Nxënësve (PISA), janë përmirësuar me shpejtësi, ndërsa Shqipëria është një vend me përmirësimin më të shpejtë. Në shkencë, performanca mesatare e Shqipërisë u rrit veçanërisht shpejt midis 2009 dhe 2015, me 37 pikë (OECD, 2018). Prandaj, rezultatet e të nxënit tani janë të ngjashme me mesataren për të gjitha vendet e Ballkanit Perëndimor. Në vitin 2016, Shqipëria miratoi </w:t>
      </w:r>
      <w:r w:rsidRPr="00913E39">
        <w:rPr>
          <w:rFonts w:ascii="Garamond" w:hAnsi="Garamond"/>
          <w:b/>
          <w:sz w:val="24"/>
        </w:rPr>
        <w:t>Strategjinë e Zhvillimit të Arsimit Parauniversitar për 2014</w:t>
      </w:r>
      <w:r w:rsidR="00211362" w:rsidRPr="00913E39">
        <w:rPr>
          <w:rFonts w:ascii="Garamond" w:hAnsi="Garamond"/>
          <w:b/>
          <w:sz w:val="24"/>
        </w:rPr>
        <w:t>–</w:t>
      </w:r>
      <w:r w:rsidRPr="00913E39">
        <w:rPr>
          <w:rFonts w:ascii="Garamond" w:hAnsi="Garamond"/>
          <w:b/>
          <w:sz w:val="24"/>
        </w:rPr>
        <w:t xml:space="preserve">2020 </w:t>
      </w:r>
      <w:r w:rsidRPr="00913E39">
        <w:rPr>
          <w:rFonts w:ascii="Garamond" w:hAnsi="Garamond"/>
          <w:sz w:val="24"/>
        </w:rPr>
        <w:t xml:space="preserve">(Ministria e Arsimit, Sportit dhe Rinisë 2016). Strategjia përcaktoi katër prioritete kryesore të politikave për arsimin, duke e lidhur secilin prioritet me rezultatet e pritura dhe aktivitetet e </w:t>
      </w:r>
      <w:r w:rsidRPr="00913E39">
        <w:rPr>
          <w:rFonts w:ascii="Garamond" w:hAnsi="Garamond"/>
          <w:sz w:val="24"/>
        </w:rPr>
        <w:lastRenderedPageBreak/>
        <w:t>planifikuara. Vitet e fundit, një ligj i ri për AFP ka inkurajuar angazhimin midis shkollave profesionale dhe sektorit privat, veçanërisht nëpërmjet nxënies në punë. Shqipëria miratoi në vitin 2021 Strategjinë Kombëtare të Arsimit për 2021</w:t>
      </w:r>
      <w:r w:rsidR="00211362" w:rsidRPr="00913E39">
        <w:rPr>
          <w:rFonts w:ascii="Garamond" w:hAnsi="Garamond"/>
          <w:sz w:val="24"/>
        </w:rPr>
        <w:t>–</w:t>
      </w:r>
      <w:r w:rsidRPr="00913E39">
        <w:rPr>
          <w:rFonts w:ascii="Garamond" w:hAnsi="Garamond"/>
          <w:sz w:val="24"/>
        </w:rPr>
        <w:t>2026, e cila integron strategjinë e arsimit parauniversitar dhe strategjinë e arsimit universitar (Ministria e Arsimit dhe UNICEF</w:t>
      </w:r>
      <w:r w:rsidR="0024225E" w:rsidRPr="00913E39">
        <w:rPr>
          <w:rFonts w:ascii="Garamond" w:hAnsi="Garamond"/>
          <w:sz w:val="24"/>
        </w:rPr>
        <w:t>-i</w:t>
      </w:r>
      <w:r w:rsidRPr="00913E39">
        <w:rPr>
          <w:rFonts w:ascii="Garamond" w:hAnsi="Garamond"/>
          <w:sz w:val="24"/>
        </w:rPr>
        <w:t>, 2021). Strategjia i jep rëndësi të madhe gjithëpërfshirjes dhe barazisë në arsim, forcimit të aftësive të mësuesve, zotërimit të njohurive të të mësuarit gjatë gjithë jetës, digjitalizimit të arsimit dhe menaxhimit dhe sigurimit të cilësisë.</w:t>
      </w:r>
    </w:p>
    <w:p w14:paraId="2C9C9277" w14:textId="7DD1665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të mbështetur progresin në forcimin e kompetencave kryesore të nxënësve dhe të të rriturve, Shqipëria duhet të trajtojë një sërë sfidash të rëndësishme të nivelit të rezultateve. Shumë kompani në Shqipëri nuk mund të krijojnë vende pune sepse nuk mund të gjejnë fuqinë punëtore të kualifikuar që nevojitet për t</w:t>
      </w:r>
      <w:r w:rsidR="005222A5" w:rsidRPr="00913E39">
        <w:rPr>
          <w:rFonts w:ascii="Garamond" w:hAnsi="Garamond"/>
          <w:sz w:val="24"/>
        </w:rPr>
        <w:t>’</w:t>
      </w:r>
      <w:r w:rsidRPr="00913E39">
        <w:rPr>
          <w:rFonts w:ascii="Garamond" w:hAnsi="Garamond"/>
          <w:sz w:val="24"/>
        </w:rPr>
        <w:t>i plotësuar ato. 25% e kompanive të anketuara identifikuan një fuqi punëtore me arsim jo mjaftueshëm si një pengesë kryesore (e treta më e madhe) për biznesin (Banka Botërore/BERZH/EIB, 2019).</w:t>
      </w:r>
    </w:p>
    <w:p w14:paraId="0DAB9B4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Megjithëse teknologjia digjitale ofron potencial për Shqipërinë, si në sektorin e TIK-ut ashtu edhe më gjerë, mungesa e aftësive digjitale mund të jetë pengesë e konsiderueshme për zhvillimin. </w:t>
      </w:r>
      <w:bookmarkStart w:id="37" w:name="_Hlk148860255"/>
      <w:r w:rsidRPr="00913E39">
        <w:rPr>
          <w:rFonts w:ascii="Garamond" w:hAnsi="Garamond"/>
          <w:sz w:val="24"/>
        </w:rPr>
        <w:t xml:space="preserve">Në vitin 2019, 21% e shqiptarëve kishin ende aftësi bazë ose mbi nivelin bazë, përqindje kjo e ulët në krahasim me mesataren e BE-së në 56% (Eurostat, 2021). </w:t>
      </w:r>
      <w:bookmarkEnd w:id="37"/>
      <w:r w:rsidRPr="00913E39">
        <w:rPr>
          <w:rFonts w:ascii="Garamond" w:hAnsi="Garamond"/>
          <w:sz w:val="24"/>
        </w:rPr>
        <w:t xml:space="preserve">Edhe pse raporti nxënës/mësues në arsimin fillor, të mesëm dhe të mesëm të lartë në gjuhën shqipe është mjaft i favorshëm, cilësia e mësimdhënies mbetet e pamjaftueshme. Përmirësimi i cilësisë së mësuesve është veçanërisht i rëndësishëm duke pasur parasysh kurrikulën e miratuar së fundmi të bazuar në njohuri. </w:t>
      </w:r>
    </w:p>
    <w:p w14:paraId="0B6FACB0" w14:textId="0DEB3D11"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 xml:space="preserve">Pjesëmarrësit nga Shqipëria zgjodhën transformimin digjitale të sistemit arsimor si një prioritet kyç për të forcuar aftësitë e fuqisë punëtore të ardhshme dhe për të krijuar mundësi të reja në sektorin në zhvillim. </w:t>
      </w:r>
      <w:r w:rsidRPr="00913E39">
        <w:rPr>
          <w:rFonts w:ascii="Garamond" w:hAnsi="Garamond"/>
          <w:sz w:val="24"/>
        </w:rPr>
        <w:t>Në përgjithësi, mjetet digjitale dhe përdorimi i tyre janë bërë një pjesë gjithnjë e më e rëndësishme e arsimimit. Aplikimi i teknologjive digjitale nënkupton përdorimin e kompjuterëve dhe teknologjive për të hyrë në internet, për të marrë dhe shkëmbyer njohuri mes nxënësve dhe mësuesve, për të përdorur mjetet e përpunimit të të dhënave për të nxënit dhe për të matur performancën, dhe për të krijuar rrjete të të nxënit bashkëpunues me qëllim zgjidhjen e problemeve dhe nxitjen e krijimtarisë së nxënësve. Megjithatë, teknologjia digjitale nuk gjeneron rezultate të izoluara, por duhet të plotësohet me mësues të aftë (OECD, 2015). Përdorimi i aftësive digjitale</w:t>
      </w:r>
      <w:r w:rsidR="0024225E" w:rsidRPr="00913E39">
        <w:rPr>
          <w:rFonts w:ascii="Garamond" w:hAnsi="Garamond"/>
          <w:sz w:val="24"/>
        </w:rPr>
        <w:t xml:space="preserve"> </w:t>
      </w:r>
      <w:r w:rsidRPr="00913E39">
        <w:rPr>
          <w:rFonts w:ascii="Garamond" w:hAnsi="Garamond"/>
          <w:sz w:val="24"/>
        </w:rPr>
        <w:t xml:space="preserve">e ofron gjithashtu mundësi rritjeje në sektorët në zhvillim të TIK-ut dhe është një mjet kyç që mund të rrisë produktivitetin në të gjithë sektorët ekonomikë, duke theksuar rëndësinë e përvetësimit të aftësive përkatëse digjitale edhe mes të rriturve. </w:t>
      </w:r>
    </w:p>
    <w:p w14:paraId="56408586" w14:textId="47E9EECB"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 nivelin e arsimit zyrtar, zhvillimi i standardeve të mësuesve për aftësitë digjitale, promovimi dhe mbështetja e përdorimit të standardeve të mësuesve për aftësitë digjitale për të përmirësuar mësimdhënien dhe rritja e trajnimit të mësuesve ishin tr</w:t>
      </w:r>
      <w:r w:rsidR="001B7903" w:rsidRPr="00913E39">
        <w:rPr>
          <w:rFonts w:ascii="Garamond" w:hAnsi="Garamond"/>
          <w:i/>
          <w:sz w:val="24"/>
        </w:rPr>
        <w:t>i</w:t>
      </w:r>
      <w:r w:rsidRPr="00913E39">
        <w:rPr>
          <w:rFonts w:ascii="Garamond" w:hAnsi="Garamond"/>
          <w:i/>
          <w:sz w:val="24"/>
        </w:rPr>
        <w:t xml:space="preserve"> veprimet kryesore prioritare të të mësuarit mes kolegëve. </w:t>
      </w:r>
    </w:p>
    <w:p w14:paraId="044F3841" w14:textId="6271AA7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Prandaj, në përputhje me objektivin e strategjisë ndërsektoriale </w:t>
      </w:r>
      <w:r w:rsidR="00850FC7" w:rsidRPr="00913E39">
        <w:rPr>
          <w:rFonts w:ascii="Garamond" w:hAnsi="Garamond"/>
          <w:b/>
          <w:sz w:val="24"/>
        </w:rPr>
        <w:t>“</w:t>
      </w:r>
      <w:r w:rsidRPr="00913E39">
        <w:rPr>
          <w:rFonts w:ascii="Garamond" w:hAnsi="Garamond"/>
          <w:b/>
          <w:sz w:val="24"/>
        </w:rPr>
        <w:t>Agjenda Digjitale për Shqipërinë 2022</w:t>
      </w:r>
      <w:r w:rsidR="005A65C8" w:rsidRPr="00913E39">
        <w:rPr>
          <w:rFonts w:ascii="Garamond" w:hAnsi="Garamond"/>
          <w:b/>
          <w:sz w:val="24"/>
        </w:rPr>
        <w:t>–</w:t>
      </w:r>
      <w:r w:rsidRPr="00913E39">
        <w:rPr>
          <w:rFonts w:ascii="Garamond" w:hAnsi="Garamond"/>
          <w:b/>
          <w:sz w:val="24"/>
        </w:rPr>
        <w:t>2026</w:t>
      </w:r>
      <w:r w:rsidR="00850FC7" w:rsidRPr="00913E39">
        <w:rPr>
          <w:rFonts w:ascii="Garamond" w:hAnsi="Garamond"/>
          <w:b/>
          <w:sz w:val="24"/>
        </w:rPr>
        <w:t>”</w:t>
      </w:r>
      <w:r w:rsidRPr="00913E39">
        <w:rPr>
          <w:rFonts w:ascii="Garamond" w:hAnsi="Garamond"/>
          <w:sz w:val="24"/>
        </w:rPr>
        <w:t xml:space="preserve"> për të përmirësuar cilësinë e shërbimeve ndaj qytetarëve dhe biznesit në vend, përfshirë aksesin në shërbimet digjitale në fushën e arsimit, </w:t>
      </w:r>
      <w:r w:rsidR="00850FC7" w:rsidRPr="00913E39">
        <w:rPr>
          <w:rFonts w:ascii="Garamond" w:hAnsi="Garamond"/>
          <w:b/>
          <w:sz w:val="24"/>
        </w:rPr>
        <w:t>“</w:t>
      </w:r>
      <w:r w:rsidRPr="00913E39">
        <w:rPr>
          <w:rFonts w:ascii="Garamond" w:hAnsi="Garamond"/>
          <w:b/>
          <w:sz w:val="24"/>
        </w:rPr>
        <w:t>Strategjia Kombëtare e Arsimit 2021</w:t>
      </w:r>
      <w:r w:rsidR="005A65C8" w:rsidRPr="00913E39">
        <w:rPr>
          <w:rFonts w:ascii="Garamond" w:hAnsi="Garamond"/>
          <w:b/>
          <w:sz w:val="24"/>
        </w:rPr>
        <w:t>–</w:t>
      </w:r>
      <w:r w:rsidRPr="00913E39">
        <w:rPr>
          <w:rFonts w:ascii="Garamond" w:hAnsi="Garamond"/>
          <w:b/>
          <w:sz w:val="24"/>
        </w:rPr>
        <w:t>2026</w:t>
      </w:r>
      <w:r w:rsidR="00850FC7" w:rsidRPr="00913E39">
        <w:rPr>
          <w:rFonts w:ascii="Garamond" w:hAnsi="Garamond"/>
          <w:b/>
          <w:sz w:val="24"/>
        </w:rPr>
        <w:t>”</w:t>
      </w:r>
      <w:r w:rsidRPr="00913E39">
        <w:rPr>
          <w:rFonts w:ascii="Garamond" w:hAnsi="Garamond"/>
          <w:sz w:val="24"/>
        </w:rPr>
        <w:t xml:space="preserve"> vuri </w:t>
      </w:r>
      <w:r w:rsidR="0024225E" w:rsidRPr="00913E39">
        <w:rPr>
          <w:rFonts w:ascii="Garamond" w:hAnsi="Garamond"/>
          <w:sz w:val="24"/>
        </w:rPr>
        <w:t xml:space="preserve">nën qëllimi e politikës </w:t>
      </w:r>
      <w:r w:rsidRPr="00913E39">
        <w:rPr>
          <w:rFonts w:ascii="Garamond" w:hAnsi="Garamond"/>
          <w:sz w:val="24"/>
        </w:rPr>
        <w:t xml:space="preserve">A: Arsim parauniversitar cilësor, gjithëpërfshirës dhe i barabartë që krijon kushte që të gjithë nxënësit, pa asnjë dallim, të zhvillojnë njohuri, shkathtësi, qëndrime dhe vlera në pajtim me kërkesat e shoqërisë demokratike, të përballen në mënyrë konstruktive me sfidat e jetës, si dhe të kontribuojnë në ndërtimin e mirëqenies vetjake dhe të shoqërisë. Më konkretisht, </w:t>
      </w:r>
      <w:r w:rsidR="0024225E" w:rsidRPr="00913E39">
        <w:rPr>
          <w:rFonts w:ascii="Garamond" w:hAnsi="Garamond"/>
          <w:sz w:val="24"/>
        </w:rPr>
        <w:t xml:space="preserve">objektivi strategjik </w:t>
      </w:r>
      <w:r w:rsidRPr="00913E39">
        <w:rPr>
          <w:rFonts w:ascii="Garamond" w:hAnsi="Garamond"/>
          <w:sz w:val="24"/>
        </w:rPr>
        <w:t>A5: Zhvillimi i aftësisë digjitale nëpërmjet shfrytëzimit më të mirë të teknologjisë së informacionit dhe komunikimit për mësimdhënie dhe të nxën</w:t>
      </w:r>
      <w:r w:rsidR="0024225E" w:rsidRPr="00913E39">
        <w:rPr>
          <w:rFonts w:ascii="Garamond" w:hAnsi="Garamond"/>
          <w:sz w:val="24"/>
        </w:rPr>
        <w:t>i</w:t>
      </w:r>
      <w:r w:rsidRPr="00913E39">
        <w:rPr>
          <w:rFonts w:ascii="Garamond" w:hAnsi="Garamond"/>
          <w:sz w:val="24"/>
        </w:rPr>
        <w:t xml:space="preserve">e. i. </w:t>
      </w:r>
      <w:r w:rsidR="0024225E" w:rsidRPr="00913E39">
        <w:rPr>
          <w:rFonts w:ascii="Garamond" w:hAnsi="Garamond"/>
          <w:sz w:val="24"/>
        </w:rPr>
        <w:t>k</w:t>
      </w:r>
      <w:r w:rsidRPr="00913E39">
        <w:rPr>
          <w:rFonts w:ascii="Garamond" w:hAnsi="Garamond"/>
          <w:sz w:val="24"/>
        </w:rPr>
        <w:t xml:space="preserve">rijimi i infrastrukturës së përshtatshme për shfrytëzimin e TIK-ut në shkolla dhe mirëmbajtja e saj; ii. </w:t>
      </w:r>
      <w:r w:rsidR="0024225E" w:rsidRPr="00913E39">
        <w:rPr>
          <w:rFonts w:ascii="Garamond" w:hAnsi="Garamond"/>
          <w:sz w:val="24"/>
        </w:rPr>
        <w:t>z</w:t>
      </w:r>
      <w:r w:rsidRPr="00913E39">
        <w:rPr>
          <w:rFonts w:ascii="Garamond" w:hAnsi="Garamond"/>
          <w:sz w:val="24"/>
        </w:rPr>
        <w:t xml:space="preserve">hvillimi i aftësimit digjital nëpërmjet shfrytëzimit të shtuar të TIK-ut në të gjitha lëndët; iii. </w:t>
      </w:r>
      <w:r w:rsidR="0024225E" w:rsidRPr="00913E39">
        <w:rPr>
          <w:rFonts w:ascii="Garamond" w:hAnsi="Garamond"/>
          <w:sz w:val="24"/>
        </w:rPr>
        <w:t>o</w:t>
      </w:r>
      <w:r w:rsidRPr="00913E39">
        <w:rPr>
          <w:rFonts w:ascii="Garamond" w:hAnsi="Garamond"/>
          <w:sz w:val="24"/>
        </w:rPr>
        <w:t xml:space="preserve">frimi i shërbimeve cilësore të TIK-ut për sistemin e arsimit parauniversitar. </w:t>
      </w:r>
    </w:p>
    <w:p w14:paraId="6E2DCF88"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Legjislacioni i zbatueshëm i BE-së:</w:t>
      </w:r>
    </w:p>
    <w:p w14:paraId="6E7F7DE7"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Arsimi është një fushë ku është përjashtuar harmonizimi me direktiva apo akte të tjera të detyrueshme të KE-së.</w:t>
      </w:r>
    </w:p>
    <w:p w14:paraId="2C0DFD88" w14:textId="17C3F5B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Megjithatë, historikisht, BE-ja ka krijuar një kuadër të konsoliduar të politikës së bashkëpunimit për arsimin ndërmjet shteteve anëtare. Ai synohet si një element rregullimi dhe koherence në proceset dhe sistemet arsimore kombëtare përballë kontekstit ekonomik, social dhe kulturor të </w:t>
      </w:r>
      <w:r w:rsidRPr="00913E39">
        <w:rPr>
          <w:rFonts w:ascii="Garamond" w:hAnsi="Garamond"/>
          <w:sz w:val="24"/>
        </w:rPr>
        <w:lastRenderedPageBreak/>
        <w:t>promovuar nga Tregu i Brendshëm dhe nga disa njohuri arsimore të marra nga Komuniteti si pjesë e Traktatit të BE-së. Kjo ide qëndron në zhvillimin e qytetarisë Evropiane, në ofrimin e mundësive për të përmirësuar cilësinë në arsim dhe në trajnimin e të rinjve në tranzicionin dhe integrimin e tyre drejt jetës sociale dhe të punës, nëpërmjet kuadrit të kompetencave kyçe, si një vlerë e shtuar për qëllimet e përgjithshme të arsimit. Motivimi i tij është plotësues dhe orientimi i tij është i orientuar drejt elementeve periferike të sistemeve arsimore, veçanërisht duke përdorur lëvizshmërinë, shkëmbimet (p.sh. ERASMUS), mësimin e gjuhëve Evropiane dhe mekanizma të tjerë të bashkëpunimit kulturor. Në një farë mase, BE-ja promovon Dimensionin Evropian të Arsimit në një mënyrë pothuajse instrumentale, duke i shtyrë aspektet e qëndrimit ballë për ballë E</w:t>
      </w:r>
      <w:r w:rsidR="0030426B" w:rsidRPr="00913E39">
        <w:rPr>
          <w:rFonts w:ascii="Garamond" w:hAnsi="Garamond"/>
          <w:sz w:val="24"/>
        </w:rPr>
        <w:t>v</w:t>
      </w:r>
      <w:r w:rsidRPr="00913E39">
        <w:rPr>
          <w:rFonts w:ascii="Garamond" w:hAnsi="Garamond"/>
          <w:sz w:val="24"/>
        </w:rPr>
        <w:t>ropës në sfondin e veprimit të saj politik dhe integrimit socialo-ekonomik.</w:t>
      </w:r>
    </w:p>
    <w:p w14:paraId="2FC41290" w14:textId="063B4E1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Rëndësi për këtë fushë të mbështetjes është </w:t>
      </w:r>
      <w:r w:rsidRPr="00913E39">
        <w:rPr>
          <w:rFonts w:ascii="Garamond" w:hAnsi="Garamond"/>
          <w:b/>
          <w:sz w:val="24"/>
        </w:rPr>
        <w:t>Plani i Veprimit për Edukimin Digjital (2021</w:t>
      </w:r>
      <w:r w:rsidR="0003243A" w:rsidRPr="00913E39">
        <w:rPr>
          <w:rFonts w:ascii="Garamond" w:hAnsi="Garamond"/>
          <w:b/>
          <w:sz w:val="24"/>
        </w:rPr>
        <w:t>–</w:t>
      </w:r>
      <w:r w:rsidRPr="00913E39">
        <w:rPr>
          <w:rFonts w:ascii="Garamond" w:hAnsi="Garamond"/>
          <w:b/>
          <w:sz w:val="24"/>
        </w:rPr>
        <w:t>2027)</w:t>
      </w:r>
      <w:r w:rsidRPr="00913E39">
        <w:rPr>
          <w:rFonts w:ascii="Garamond" w:hAnsi="Garamond"/>
          <w:sz w:val="24"/>
        </w:rPr>
        <w:t>,</w:t>
      </w:r>
      <w:r w:rsidRPr="00913E39">
        <w:rPr>
          <w:rFonts w:ascii="Garamond" w:hAnsi="Garamond"/>
          <w:sz w:val="24"/>
          <w:vertAlign w:val="superscript"/>
        </w:rPr>
        <w:footnoteReference w:id="74"/>
      </w:r>
      <w:r w:rsidRPr="00913E39">
        <w:rPr>
          <w:rFonts w:ascii="Garamond" w:hAnsi="Garamond"/>
          <w:sz w:val="24"/>
        </w:rPr>
        <w:t xml:space="preserve"> i miratuar më 30 shtator 2020, si një thirrje për bashkëpunim më të madh në nivel Evropian për edukimin digjital me qëllim adresimin e sfidave dhe mundësive të pandemisë COVID-19, dhe për t</w:t>
      </w:r>
      <w:r w:rsidR="005222A5" w:rsidRPr="00913E39">
        <w:rPr>
          <w:rFonts w:ascii="Garamond" w:hAnsi="Garamond"/>
          <w:sz w:val="24"/>
        </w:rPr>
        <w:t>’</w:t>
      </w:r>
      <w:r w:rsidRPr="00913E39">
        <w:rPr>
          <w:rFonts w:ascii="Garamond" w:hAnsi="Garamond"/>
          <w:sz w:val="24"/>
        </w:rPr>
        <w:t xml:space="preserve">i dhënë mundësi arsimi dhe trajnimi komunitetit (mësues, studentë), politikëbërësve, botës akademike dhe studiuesve në nivel kombëtar, të BE-së dhe ndërkombëtar. Nisma kontribuon në prioritetin e Komisionit </w:t>
      </w:r>
      <w:r w:rsidR="0030426B" w:rsidRPr="00913E39">
        <w:rPr>
          <w:rFonts w:ascii="Garamond" w:hAnsi="Garamond"/>
          <w:sz w:val="24"/>
        </w:rPr>
        <w:t>“</w:t>
      </w:r>
      <w:r w:rsidRPr="00913E39">
        <w:rPr>
          <w:rFonts w:ascii="Garamond" w:hAnsi="Garamond"/>
          <w:sz w:val="24"/>
        </w:rPr>
        <w:t>Një Europë e përshtatshme për Epokën Digjitale</w:t>
      </w:r>
      <w:r w:rsidR="0030426B" w:rsidRPr="00913E39">
        <w:rPr>
          <w:rFonts w:ascii="Garamond" w:hAnsi="Garamond"/>
          <w:sz w:val="24"/>
        </w:rPr>
        <w:t>”</w:t>
      </w:r>
      <w:r w:rsidRPr="00913E39">
        <w:rPr>
          <w:rFonts w:ascii="Garamond" w:hAnsi="Garamond"/>
          <w:sz w:val="24"/>
        </w:rPr>
        <w:t xml:space="preserve"> dhe për BE-në e Gjeneratës së ardhshme. Ajo gjithashtu mbështet Instrumentin e Rimëkëmbjes dhe Përballjes, i cili synon të krijojë një Bashkimi Evropian më të gjelbër, më digjitale dhe më sfidues. Plani i Veprimit për Edukimin Digjital është një mundësi kyçe për realizimin e vizionit për arritjen e një </w:t>
      </w:r>
      <w:r w:rsidRPr="00913E39">
        <w:rPr>
          <w:rFonts w:ascii="Garamond" w:hAnsi="Garamond"/>
          <w:b/>
          <w:sz w:val="24"/>
        </w:rPr>
        <w:t>zone Evropiane të arsimit</w:t>
      </w:r>
      <w:r w:rsidRPr="00913E39">
        <w:rPr>
          <w:rFonts w:ascii="Garamond" w:hAnsi="Garamond"/>
          <w:sz w:val="24"/>
        </w:rPr>
        <w:t xml:space="preserve"> deri në vitin 2025. Ai kontribuon në arritjen e qëllimeve të Agjendës Evropiane të Aftësive,</w:t>
      </w:r>
      <w:r w:rsidRPr="00913E39">
        <w:rPr>
          <w:rFonts w:ascii="Garamond" w:hAnsi="Garamond"/>
          <w:sz w:val="24"/>
          <w:vertAlign w:val="superscript"/>
        </w:rPr>
        <w:footnoteReference w:id="75"/>
      </w:r>
      <w:r w:rsidRPr="00913E39">
        <w:rPr>
          <w:rFonts w:ascii="Garamond" w:hAnsi="Garamond"/>
          <w:sz w:val="24"/>
        </w:rPr>
        <w:t xml:space="preserve"> Planit të Veprimit të Shtyllës Sociale Evropiane</w:t>
      </w:r>
      <w:r w:rsidRPr="00913E39">
        <w:rPr>
          <w:rFonts w:ascii="Garamond" w:hAnsi="Garamond"/>
          <w:sz w:val="24"/>
          <w:vertAlign w:val="superscript"/>
        </w:rPr>
        <w:footnoteReference w:id="76"/>
      </w:r>
      <w:r w:rsidRPr="00913E39">
        <w:rPr>
          <w:rFonts w:ascii="Garamond" w:hAnsi="Garamond"/>
          <w:sz w:val="24"/>
        </w:rPr>
        <w:t xml:space="preserve"> dhe </w:t>
      </w:r>
      <w:r w:rsidR="005222A5" w:rsidRPr="00913E39">
        <w:rPr>
          <w:rFonts w:ascii="Garamond" w:hAnsi="Garamond"/>
          <w:sz w:val="24"/>
        </w:rPr>
        <w:t>‘</w:t>
      </w:r>
      <w:r w:rsidRPr="00913E39">
        <w:rPr>
          <w:rFonts w:ascii="Garamond" w:hAnsi="Garamond"/>
          <w:sz w:val="24"/>
        </w:rPr>
        <w:t>Busullës Digjitale 2030: Mënyra Evropiane për Dekadën Digjitale</w:t>
      </w:r>
      <w:r w:rsidR="005222A5" w:rsidRPr="00913E39">
        <w:rPr>
          <w:rFonts w:ascii="Garamond" w:hAnsi="Garamond"/>
          <w:sz w:val="24"/>
        </w:rPr>
        <w:t>’</w:t>
      </w:r>
      <w:r w:rsidRPr="00913E39">
        <w:rPr>
          <w:rFonts w:ascii="Garamond" w:hAnsi="Garamond"/>
          <w:sz w:val="24"/>
        </w:rPr>
        <w:t>.</w:t>
      </w:r>
    </w:p>
    <w:p w14:paraId="1008F515"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Rezultatet</w:t>
      </w:r>
    </w:p>
    <w:p w14:paraId="42AEE724" w14:textId="6051B06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Rezultati (</w:t>
      </w:r>
      <w:r w:rsidR="0030426B" w:rsidRPr="00913E39">
        <w:rPr>
          <w:rFonts w:ascii="Garamond" w:hAnsi="Garamond"/>
          <w:sz w:val="24"/>
        </w:rPr>
        <w:t xml:space="preserve">objektivi specifik) i nënfushës së mbështetjes së arsimit digjitale </w:t>
      </w:r>
      <w:r w:rsidRPr="00913E39">
        <w:rPr>
          <w:rFonts w:ascii="Garamond" w:hAnsi="Garamond"/>
          <w:sz w:val="24"/>
        </w:rPr>
        <w:t xml:space="preserve">është përmirësimi i rezultateve të të nxënit të nxënësve të arsimit parauniversitar duke përdorur mjete dhe sisteme digjitale. </w:t>
      </w:r>
    </w:p>
    <w:p w14:paraId="4AE638FA" w14:textId="6D29496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Më konkretisht, komponenti i </w:t>
      </w:r>
      <w:r w:rsidR="0030426B" w:rsidRPr="00913E39">
        <w:rPr>
          <w:rFonts w:ascii="Garamond" w:hAnsi="Garamond"/>
          <w:sz w:val="24"/>
        </w:rPr>
        <w:t xml:space="preserve">arsimit i programit operacional </w:t>
      </w:r>
      <w:r w:rsidRPr="00913E39">
        <w:rPr>
          <w:rFonts w:ascii="Garamond" w:hAnsi="Garamond"/>
          <w:sz w:val="24"/>
        </w:rPr>
        <w:t xml:space="preserve">– Ekonomia dhe </w:t>
      </w:r>
      <w:r w:rsidR="0030426B" w:rsidRPr="00913E39">
        <w:rPr>
          <w:rFonts w:ascii="Garamond" w:hAnsi="Garamond"/>
          <w:sz w:val="24"/>
        </w:rPr>
        <w:t xml:space="preserve">shoqëria digjitale </w:t>
      </w:r>
      <w:r w:rsidRPr="00913E39">
        <w:rPr>
          <w:rFonts w:ascii="Garamond" w:hAnsi="Garamond"/>
          <w:sz w:val="24"/>
        </w:rPr>
        <w:t xml:space="preserve">synon të përforcojë digjitalizimin e sistemit kombëtar të arsimit, me fokus të veçantë </w:t>
      </w:r>
      <w:r w:rsidR="006775C2" w:rsidRPr="00913E39">
        <w:rPr>
          <w:rFonts w:ascii="Garamond" w:hAnsi="Garamond"/>
          <w:sz w:val="24"/>
        </w:rPr>
        <w:t>arsimin parauniversitar, du</w:t>
      </w:r>
      <w:r w:rsidRPr="00913E39">
        <w:rPr>
          <w:rFonts w:ascii="Garamond" w:hAnsi="Garamond"/>
          <w:sz w:val="24"/>
        </w:rPr>
        <w:t xml:space="preserve">ke mbështetur arritjen e </w:t>
      </w:r>
      <w:r w:rsidR="0030426B" w:rsidRPr="00913E39">
        <w:rPr>
          <w:rFonts w:ascii="Garamond" w:hAnsi="Garamond"/>
          <w:sz w:val="24"/>
        </w:rPr>
        <w:t xml:space="preserve">objektivit strategjik </w:t>
      </w:r>
      <w:r w:rsidRPr="00913E39">
        <w:rPr>
          <w:rFonts w:ascii="Garamond" w:hAnsi="Garamond"/>
          <w:sz w:val="24"/>
        </w:rPr>
        <w:t>A5: Zhvillimi i njohurive digjitale nëpërmjet shfrytëzimit më të mirë të teknologjisë së informacionit dhe komunikimit të Strategjisë Kombëtare të Arsimit 2021</w:t>
      </w:r>
      <w:r w:rsidR="0030426B" w:rsidRPr="00913E39">
        <w:rPr>
          <w:rFonts w:ascii="Garamond" w:hAnsi="Garamond"/>
          <w:sz w:val="24"/>
        </w:rPr>
        <w:t>–</w:t>
      </w:r>
      <w:r w:rsidRPr="00913E39">
        <w:rPr>
          <w:rFonts w:ascii="Garamond" w:hAnsi="Garamond"/>
          <w:sz w:val="24"/>
        </w:rPr>
        <w:t xml:space="preserve">2026, në veçanti </w:t>
      </w:r>
      <w:r w:rsidR="0030426B" w:rsidRPr="00913E39">
        <w:rPr>
          <w:rFonts w:ascii="Garamond" w:hAnsi="Garamond"/>
          <w:sz w:val="24"/>
        </w:rPr>
        <w:t xml:space="preserve">rezultati </w:t>
      </w:r>
      <w:r w:rsidRPr="00913E39">
        <w:rPr>
          <w:rFonts w:ascii="Garamond" w:hAnsi="Garamond"/>
          <w:sz w:val="24"/>
        </w:rPr>
        <w:t>i pritshëm iii. Ofrimi i shërbimeve cilësore të TIK</w:t>
      </w:r>
      <w:r w:rsidR="001F2EE7" w:rsidRPr="00913E39">
        <w:rPr>
          <w:rFonts w:ascii="Garamond" w:hAnsi="Garamond"/>
          <w:sz w:val="24"/>
        </w:rPr>
        <w:t>-ut</w:t>
      </w:r>
      <w:r w:rsidRPr="00913E39">
        <w:rPr>
          <w:rFonts w:ascii="Garamond" w:hAnsi="Garamond"/>
          <w:sz w:val="24"/>
        </w:rPr>
        <w:t xml:space="preserve"> për arsimin parauniversitar, nëpërmjet investimeve specifike dhe asistencës teknike në mbështetje të digjitalizimit të mëtejshëm dhe përdorimit të Sistemit të ri të Menaxhimit të Arsimit Parauniversitar (SMIP). SMIP</w:t>
      </w:r>
      <w:r w:rsidR="005A334C" w:rsidRPr="00913E39">
        <w:rPr>
          <w:rFonts w:ascii="Garamond" w:hAnsi="Garamond"/>
          <w:sz w:val="24"/>
        </w:rPr>
        <w:t>-i</w:t>
      </w:r>
      <w:r w:rsidRPr="00913E39">
        <w:rPr>
          <w:rFonts w:ascii="Garamond" w:hAnsi="Garamond"/>
          <w:sz w:val="24"/>
        </w:rPr>
        <w:t xml:space="preserve"> ka një komponent të integruar që mundëson nxënien në distancë dhe sinkronizimin e të dhënave në kohë reale, duke krijuar mundësinë e komunikimit me sisteme të tjera dhe duke ofruar për herë të parë mundësinë e regjistrimit të nxënësve në klasën e parë, shkollën e mesme të përgjithshme dhe shkollën e mesme profesionale nëpërmjet portalit </w:t>
      </w:r>
      <w:r w:rsidRPr="00913E39">
        <w:rPr>
          <w:rFonts w:ascii="Garamond" w:hAnsi="Garamond"/>
          <w:i/>
          <w:sz w:val="24"/>
        </w:rPr>
        <w:t>e-Albania</w:t>
      </w:r>
      <w:r w:rsidRPr="00913E39">
        <w:rPr>
          <w:rFonts w:ascii="Garamond" w:hAnsi="Garamond"/>
          <w:sz w:val="24"/>
        </w:rPr>
        <w:t>. Në të njëjtën kohë, aktiviteti do të krijojë mundësi në përdorimin e moduleve dhe funksionaliteteve të ndryshme, duke ofruar asistencë teknike për rikrijimin dhe përditësimin e kurrikulave të orientuara te TIK-u për programin e arsimit parauniversitar dhe ndërgjegjësimin për rolin vendimtar të aftësive digjitale për rritjen e performancës arsimore dhe hyrjen me sukses në tregun e punës.</w:t>
      </w:r>
    </w:p>
    <w:p w14:paraId="7D24B40C" w14:textId="0F7393D4"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Tipologjitë e produkteve:</w:t>
      </w:r>
      <w:r w:rsidRPr="00913E39">
        <w:rPr>
          <w:rFonts w:ascii="Garamond" w:hAnsi="Garamond"/>
          <w:b/>
          <w:sz w:val="24"/>
        </w:rPr>
        <w:t xml:space="preserve"> </w:t>
      </w:r>
      <w:r w:rsidR="0030426B" w:rsidRPr="00913E39">
        <w:rPr>
          <w:rFonts w:ascii="Garamond" w:hAnsi="Garamond"/>
          <w:sz w:val="24"/>
        </w:rPr>
        <w:t>a</w:t>
      </w:r>
      <w:r w:rsidRPr="00913E39">
        <w:rPr>
          <w:rFonts w:ascii="Garamond" w:hAnsi="Garamond"/>
          <w:sz w:val="24"/>
        </w:rPr>
        <w:t xml:space="preserve">sistencë teknike për rikrijimin e kurrikulave të orientuara te TIK-u; </w:t>
      </w:r>
      <w:r w:rsidR="001F2EE7" w:rsidRPr="00913E39">
        <w:rPr>
          <w:rFonts w:ascii="Garamond" w:hAnsi="Garamond"/>
          <w:sz w:val="24"/>
        </w:rPr>
        <w:t>f</w:t>
      </w:r>
      <w:r w:rsidRPr="00913E39">
        <w:rPr>
          <w:rFonts w:ascii="Garamond" w:hAnsi="Garamond"/>
          <w:sz w:val="24"/>
        </w:rPr>
        <w:t xml:space="preserve">orcimi i kapaciteteve/trajnimi i mësuesve; </w:t>
      </w:r>
      <w:r w:rsidR="0030426B" w:rsidRPr="00913E39">
        <w:rPr>
          <w:rFonts w:ascii="Garamond" w:hAnsi="Garamond"/>
          <w:sz w:val="24"/>
        </w:rPr>
        <w:t xml:space="preserve">investime në pajisjet </w:t>
      </w:r>
      <w:r w:rsidRPr="00913E39">
        <w:rPr>
          <w:rFonts w:ascii="Garamond" w:hAnsi="Garamond"/>
          <w:sz w:val="24"/>
        </w:rPr>
        <w:t xml:space="preserve">(PC, kompjuterë tabletë, laptopë, server, </w:t>
      </w:r>
      <w:r w:rsidRPr="00913E39">
        <w:rPr>
          <w:rFonts w:ascii="Garamond" w:hAnsi="Garamond"/>
          <w:sz w:val="24"/>
        </w:rPr>
        <w:lastRenderedPageBreak/>
        <w:t xml:space="preserve">pajisje rrjeti, skanera/printera etj.) dhe </w:t>
      </w:r>
      <w:r w:rsidR="0030426B" w:rsidRPr="00913E39">
        <w:rPr>
          <w:rFonts w:ascii="Garamond" w:hAnsi="Garamond"/>
          <w:sz w:val="24"/>
        </w:rPr>
        <w:t>p</w:t>
      </w:r>
      <w:r w:rsidRPr="00913E39">
        <w:rPr>
          <w:rFonts w:ascii="Garamond" w:hAnsi="Garamond"/>
          <w:sz w:val="24"/>
        </w:rPr>
        <w:t>rogramet (p.sh. programe kompjuterike të dedikuara dhe sisteme operative që lidhen me funksionimin e SMIP</w:t>
      </w:r>
      <w:r w:rsidR="000D598C" w:rsidRPr="00913E39">
        <w:rPr>
          <w:rFonts w:ascii="Garamond" w:hAnsi="Garamond"/>
          <w:sz w:val="24"/>
        </w:rPr>
        <w:t>-it</w:t>
      </w:r>
      <w:r w:rsidRPr="00913E39">
        <w:rPr>
          <w:rFonts w:ascii="Garamond" w:hAnsi="Garamond"/>
          <w:sz w:val="24"/>
        </w:rPr>
        <w:t xml:space="preserve"> dhe nevojat përkatëse të arsimit digjitale); dhe fushata ndërgjegjësimi të popullatës. </w:t>
      </w:r>
    </w:p>
    <w:p w14:paraId="041C196A" w14:textId="5201EB90"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Tabela 16</w:t>
      </w:r>
      <w:r w:rsidR="0030426B" w:rsidRPr="00913E39">
        <w:rPr>
          <w:rFonts w:ascii="Garamond" w:hAnsi="Garamond"/>
          <w:i/>
          <w:sz w:val="24"/>
        </w:rPr>
        <w:t>.</w:t>
      </w:r>
      <w:r w:rsidRPr="00913E39">
        <w:rPr>
          <w:rFonts w:ascii="Garamond" w:hAnsi="Garamond"/>
          <w:sz w:val="24"/>
        </w:rPr>
        <w:t xml:space="preserve"> </w:t>
      </w:r>
      <w:r w:rsidRPr="00913E39">
        <w:rPr>
          <w:rFonts w:ascii="Garamond" w:hAnsi="Garamond"/>
          <w:i/>
          <w:sz w:val="24"/>
        </w:rPr>
        <w:t xml:space="preserve">Edukimi digjital, </w:t>
      </w:r>
      <w:r w:rsidR="0030426B" w:rsidRPr="00913E39">
        <w:rPr>
          <w:rFonts w:ascii="Garamond" w:hAnsi="Garamond"/>
          <w:i/>
          <w:sz w:val="24"/>
        </w:rPr>
        <w:t>n</w:t>
      </w:r>
      <w:r w:rsidRPr="00913E39">
        <w:rPr>
          <w:rFonts w:ascii="Garamond" w:hAnsi="Garamond"/>
          <w:i/>
          <w:sz w:val="24"/>
        </w:rPr>
        <w:t>dikimi, rezultati dhe treguesit e produktit (përfshirë bazën e referimit dhe synimet)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9"/>
        <w:gridCol w:w="2652"/>
        <w:gridCol w:w="2173"/>
        <w:gridCol w:w="1114"/>
        <w:gridCol w:w="954"/>
        <w:gridCol w:w="742"/>
      </w:tblGrid>
      <w:tr w:rsidR="00A56912" w:rsidRPr="00913E39" w14:paraId="4CCCC961" w14:textId="77777777" w:rsidTr="006D6812">
        <w:trPr>
          <w:trHeight w:val="20"/>
          <w:tblHeader/>
        </w:trPr>
        <w:tc>
          <w:tcPr>
            <w:tcW w:w="0" w:type="auto"/>
            <w:shd w:val="clear" w:color="auto" w:fill="FFFFFF"/>
          </w:tcPr>
          <w:p w14:paraId="45079E19"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Rezultatet</w:t>
            </w:r>
          </w:p>
        </w:tc>
        <w:tc>
          <w:tcPr>
            <w:tcW w:w="0" w:type="auto"/>
            <w:shd w:val="clear" w:color="auto" w:fill="FFFFFF"/>
          </w:tcPr>
          <w:p w14:paraId="5048ED76"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Objektivi</w:t>
            </w:r>
          </w:p>
        </w:tc>
        <w:tc>
          <w:tcPr>
            <w:tcW w:w="0" w:type="auto"/>
            <w:shd w:val="clear" w:color="auto" w:fill="FFFFFF"/>
          </w:tcPr>
          <w:p w14:paraId="18CAB38B"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Treguesi</w:t>
            </w:r>
          </w:p>
        </w:tc>
        <w:tc>
          <w:tcPr>
            <w:tcW w:w="0" w:type="auto"/>
            <w:shd w:val="clear" w:color="auto" w:fill="FFFFFF"/>
          </w:tcPr>
          <w:p w14:paraId="33568FA6" w14:textId="561ED8A3" w:rsidR="00847F23" w:rsidRPr="00913E39" w:rsidRDefault="00847F23" w:rsidP="006D6812">
            <w:pPr>
              <w:spacing w:after="0" w:line="240" w:lineRule="auto"/>
              <w:jc w:val="both"/>
              <w:rPr>
                <w:rFonts w:ascii="Garamond" w:hAnsi="Garamond"/>
                <w:b/>
                <w:sz w:val="18"/>
              </w:rPr>
            </w:pPr>
            <w:r w:rsidRPr="00913E39">
              <w:rPr>
                <w:rFonts w:ascii="Garamond" w:hAnsi="Garamond"/>
                <w:b/>
                <w:sz w:val="18"/>
              </w:rPr>
              <w:t xml:space="preserve">Treguesi kryesor ose </w:t>
            </w:r>
            <w:r w:rsidR="0003243A" w:rsidRPr="00913E39">
              <w:rPr>
                <w:rFonts w:ascii="Garamond" w:hAnsi="Garamond"/>
                <w:b/>
                <w:sz w:val="18"/>
              </w:rPr>
              <w:t xml:space="preserve">njësia </w:t>
            </w:r>
            <w:r w:rsidRPr="00913E39">
              <w:rPr>
                <w:rFonts w:ascii="Garamond" w:hAnsi="Garamond"/>
                <w:b/>
                <w:sz w:val="18"/>
              </w:rPr>
              <w:t>matëse</w:t>
            </w:r>
          </w:p>
        </w:tc>
        <w:tc>
          <w:tcPr>
            <w:tcW w:w="0" w:type="auto"/>
            <w:shd w:val="clear" w:color="auto" w:fill="FFFFFF"/>
          </w:tcPr>
          <w:p w14:paraId="1AD196F8"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Baza referuese</w:t>
            </w:r>
          </w:p>
        </w:tc>
        <w:tc>
          <w:tcPr>
            <w:tcW w:w="0" w:type="auto"/>
            <w:shd w:val="clear" w:color="auto" w:fill="FFFFFF"/>
          </w:tcPr>
          <w:p w14:paraId="75995C64"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Fokusi</w:t>
            </w:r>
          </w:p>
          <w:p w14:paraId="177A604B"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(2032)</w:t>
            </w:r>
          </w:p>
        </w:tc>
      </w:tr>
      <w:tr w:rsidR="00A56912" w:rsidRPr="00913E39" w14:paraId="23449157" w14:textId="77777777" w:rsidTr="006D6812">
        <w:trPr>
          <w:trHeight w:val="20"/>
        </w:trPr>
        <w:tc>
          <w:tcPr>
            <w:tcW w:w="0" w:type="auto"/>
            <w:shd w:val="clear" w:color="auto" w:fill="auto"/>
          </w:tcPr>
          <w:p w14:paraId="6756678D"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Ndikimi</w:t>
            </w:r>
          </w:p>
        </w:tc>
        <w:tc>
          <w:tcPr>
            <w:tcW w:w="0" w:type="auto"/>
            <w:shd w:val="clear" w:color="auto" w:fill="auto"/>
          </w:tcPr>
          <w:p w14:paraId="78CF79D7" w14:textId="77777777" w:rsidR="00847F23" w:rsidRPr="00913E39" w:rsidRDefault="00847F23" w:rsidP="006D6812">
            <w:pPr>
              <w:spacing w:after="0" w:line="240" w:lineRule="auto"/>
              <w:rPr>
                <w:rFonts w:ascii="Garamond" w:hAnsi="Garamond"/>
                <w:sz w:val="18"/>
              </w:rPr>
            </w:pPr>
            <w:r w:rsidRPr="00913E39">
              <w:rPr>
                <w:rFonts w:ascii="Garamond" w:hAnsi="Garamond"/>
                <w:sz w:val="18"/>
              </w:rPr>
              <w:t>Zbatimi i avancuar i Agjendës Digjitale të Shqipërisë në sektorë të përzgjedhur</w:t>
            </w:r>
            <w:r w:rsidRPr="00913E39">
              <w:rPr>
                <w:rFonts w:ascii="Garamond" w:hAnsi="Garamond"/>
                <w:sz w:val="18"/>
                <w:vertAlign w:val="superscript"/>
              </w:rPr>
              <w:footnoteReference w:id="77"/>
            </w:r>
            <w:r w:rsidRPr="00913E39">
              <w:rPr>
                <w:rFonts w:ascii="Garamond" w:hAnsi="Garamond"/>
                <w:sz w:val="18"/>
              </w:rPr>
              <w:t>.</w:t>
            </w:r>
          </w:p>
        </w:tc>
        <w:tc>
          <w:tcPr>
            <w:tcW w:w="0" w:type="auto"/>
            <w:shd w:val="clear" w:color="auto" w:fill="auto"/>
          </w:tcPr>
          <w:p w14:paraId="4A822358" w14:textId="2EB6E3B5" w:rsidR="00847F23" w:rsidRPr="00913E39" w:rsidRDefault="00847F23" w:rsidP="005F641A">
            <w:pPr>
              <w:spacing w:after="0" w:line="240" w:lineRule="auto"/>
              <w:rPr>
                <w:rFonts w:ascii="Garamond" w:hAnsi="Garamond"/>
                <w:sz w:val="18"/>
              </w:rPr>
            </w:pPr>
            <w:r w:rsidRPr="00913E39">
              <w:rPr>
                <w:rFonts w:ascii="Garamond" w:hAnsi="Garamond"/>
                <w:sz w:val="18"/>
              </w:rPr>
              <w:t>Indeksi i Eko</w:t>
            </w:r>
            <w:r w:rsidR="0030426B" w:rsidRPr="00913E39">
              <w:rPr>
                <w:rFonts w:ascii="Garamond" w:hAnsi="Garamond"/>
                <w:sz w:val="18"/>
              </w:rPr>
              <w:t>n</w:t>
            </w:r>
            <w:r w:rsidRPr="00913E39">
              <w:rPr>
                <w:rFonts w:ascii="Garamond" w:hAnsi="Garamond"/>
                <w:sz w:val="18"/>
              </w:rPr>
              <w:t>omisë Shoqërisë Digjitale në Ballkanin Perëndimor</w:t>
            </w:r>
            <w:r w:rsidRPr="00913E39">
              <w:rPr>
                <w:rFonts w:ascii="Garamond" w:hAnsi="Garamond"/>
                <w:sz w:val="18"/>
                <w:vertAlign w:val="superscript"/>
              </w:rPr>
              <w:footnoteReference w:id="78"/>
            </w:r>
          </w:p>
        </w:tc>
        <w:tc>
          <w:tcPr>
            <w:tcW w:w="0" w:type="auto"/>
            <w:shd w:val="clear" w:color="auto" w:fill="auto"/>
          </w:tcPr>
          <w:p w14:paraId="7D92B2B8"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Pikët</w:t>
            </w:r>
          </w:p>
        </w:tc>
        <w:tc>
          <w:tcPr>
            <w:tcW w:w="0" w:type="auto"/>
            <w:shd w:val="clear" w:color="auto" w:fill="auto"/>
          </w:tcPr>
          <w:p w14:paraId="7FDF2F2E"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shd w:val="clear" w:color="auto" w:fill="FFFFFF"/>
              </w:rPr>
              <w:t>30.2</w:t>
            </w:r>
          </w:p>
        </w:tc>
        <w:tc>
          <w:tcPr>
            <w:tcW w:w="0" w:type="auto"/>
            <w:shd w:val="clear" w:color="auto" w:fill="auto"/>
          </w:tcPr>
          <w:p w14:paraId="3021FF1C"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Rritja</w:t>
            </w:r>
          </w:p>
        </w:tc>
      </w:tr>
      <w:tr w:rsidR="00A56912" w:rsidRPr="00913E39" w14:paraId="06D19F78" w14:textId="77777777" w:rsidTr="006D6812">
        <w:trPr>
          <w:trHeight w:val="20"/>
        </w:trPr>
        <w:tc>
          <w:tcPr>
            <w:tcW w:w="0" w:type="auto"/>
            <w:shd w:val="clear" w:color="auto" w:fill="auto"/>
          </w:tcPr>
          <w:p w14:paraId="18888AFA" w14:textId="77777777" w:rsidR="00847F23" w:rsidRPr="00913E39" w:rsidRDefault="00847F23" w:rsidP="006D6812">
            <w:pPr>
              <w:spacing w:after="0" w:line="240" w:lineRule="auto"/>
              <w:jc w:val="both"/>
              <w:rPr>
                <w:rFonts w:ascii="Garamond" w:hAnsi="Garamond"/>
                <w:b/>
                <w:sz w:val="18"/>
              </w:rPr>
            </w:pPr>
            <w:r w:rsidRPr="00913E39">
              <w:rPr>
                <w:rFonts w:ascii="Garamond" w:hAnsi="Garamond"/>
                <w:b/>
                <w:sz w:val="18"/>
              </w:rPr>
              <w:t>Rezultati 2</w:t>
            </w:r>
          </w:p>
        </w:tc>
        <w:tc>
          <w:tcPr>
            <w:tcW w:w="0" w:type="auto"/>
            <w:shd w:val="clear" w:color="auto" w:fill="auto"/>
          </w:tcPr>
          <w:p w14:paraId="49486087" w14:textId="77777777" w:rsidR="00847F23" w:rsidRPr="00913E39" w:rsidRDefault="00847F23" w:rsidP="006D6812">
            <w:pPr>
              <w:spacing w:after="0" w:line="240" w:lineRule="auto"/>
              <w:rPr>
                <w:rFonts w:ascii="Garamond" w:hAnsi="Garamond"/>
                <w:sz w:val="18"/>
              </w:rPr>
            </w:pPr>
            <w:r w:rsidRPr="00913E39">
              <w:rPr>
                <w:rFonts w:ascii="Garamond" w:hAnsi="Garamond"/>
                <w:sz w:val="18"/>
              </w:rPr>
              <w:t>Përmirësimi i rezultateve të të nxënit të nxënësve të arsimit parauniversitar duke përdorur mjete dhe sisteme digjitale.</w:t>
            </w:r>
          </w:p>
        </w:tc>
        <w:tc>
          <w:tcPr>
            <w:tcW w:w="0" w:type="auto"/>
            <w:shd w:val="clear" w:color="auto" w:fill="auto"/>
          </w:tcPr>
          <w:p w14:paraId="78ABEE5C" w14:textId="77777777" w:rsidR="00847F23" w:rsidRPr="00913E39" w:rsidRDefault="00847F23" w:rsidP="005F641A">
            <w:pPr>
              <w:spacing w:after="0" w:line="240" w:lineRule="auto"/>
              <w:rPr>
                <w:rFonts w:ascii="Garamond" w:hAnsi="Garamond"/>
                <w:sz w:val="18"/>
              </w:rPr>
            </w:pPr>
            <w:r w:rsidRPr="00913E39">
              <w:rPr>
                <w:rFonts w:ascii="Garamond" w:hAnsi="Garamond"/>
                <w:sz w:val="18"/>
              </w:rPr>
              <w:t xml:space="preserve">Përmirësimi i aftësive digjitale të nxënësve në arsimin parauniversitar. </w:t>
            </w:r>
          </w:p>
          <w:p w14:paraId="76E43F06" w14:textId="77777777" w:rsidR="00847F23" w:rsidRPr="00913E39" w:rsidRDefault="00847F23" w:rsidP="005F641A">
            <w:pPr>
              <w:spacing w:after="0" w:line="240" w:lineRule="auto"/>
              <w:rPr>
                <w:rFonts w:ascii="Garamond" w:hAnsi="Garamond"/>
                <w:sz w:val="18"/>
              </w:rPr>
            </w:pPr>
            <w:r w:rsidRPr="00913E39">
              <w:rPr>
                <w:rFonts w:ascii="Garamond" w:hAnsi="Garamond"/>
                <w:sz w:val="18"/>
              </w:rPr>
              <w:t>Përndryshe: RCR71 Përdoruesit vjetorë të ambienteve shkollore të reja ose të modernizuara</w:t>
            </w:r>
            <w:r w:rsidRPr="00913E39">
              <w:rPr>
                <w:rFonts w:ascii="Garamond" w:hAnsi="Garamond"/>
                <w:sz w:val="18"/>
                <w:vertAlign w:val="superscript"/>
              </w:rPr>
              <w:footnoteReference w:id="79"/>
            </w:r>
            <w:r w:rsidRPr="00913E39">
              <w:rPr>
                <w:rFonts w:ascii="Garamond" w:hAnsi="Garamond"/>
                <w:sz w:val="18"/>
              </w:rPr>
              <w:t xml:space="preserve">. </w:t>
            </w:r>
          </w:p>
        </w:tc>
        <w:tc>
          <w:tcPr>
            <w:tcW w:w="0" w:type="auto"/>
            <w:shd w:val="clear" w:color="auto" w:fill="auto"/>
          </w:tcPr>
          <w:p w14:paraId="2D52AFE8"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Numër</w:t>
            </w:r>
          </w:p>
        </w:tc>
        <w:tc>
          <w:tcPr>
            <w:tcW w:w="0" w:type="auto"/>
            <w:shd w:val="clear" w:color="auto" w:fill="auto"/>
          </w:tcPr>
          <w:p w14:paraId="58333251"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TBD</w:t>
            </w:r>
          </w:p>
        </w:tc>
        <w:tc>
          <w:tcPr>
            <w:tcW w:w="0" w:type="auto"/>
            <w:shd w:val="clear" w:color="auto" w:fill="auto"/>
          </w:tcPr>
          <w:p w14:paraId="3F1E41DD"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18 000 </w:t>
            </w:r>
          </w:p>
        </w:tc>
      </w:tr>
      <w:tr w:rsidR="00A56912" w:rsidRPr="00913E39" w14:paraId="3C99806B" w14:textId="77777777" w:rsidTr="006D6812">
        <w:trPr>
          <w:trHeight w:val="20"/>
        </w:trPr>
        <w:tc>
          <w:tcPr>
            <w:tcW w:w="0" w:type="auto"/>
            <w:vMerge w:val="restart"/>
            <w:shd w:val="clear" w:color="auto" w:fill="auto"/>
          </w:tcPr>
          <w:p w14:paraId="32DF6C73" w14:textId="6DE8D35F" w:rsidR="00847F23" w:rsidRPr="00913E39" w:rsidRDefault="00847F23" w:rsidP="006D6812">
            <w:pPr>
              <w:spacing w:after="0" w:line="240" w:lineRule="auto"/>
              <w:jc w:val="both"/>
              <w:rPr>
                <w:rFonts w:ascii="Garamond" w:hAnsi="Garamond"/>
                <w:b/>
                <w:sz w:val="18"/>
              </w:rPr>
            </w:pPr>
            <w:r w:rsidRPr="00913E39">
              <w:rPr>
                <w:rFonts w:ascii="Garamond" w:hAnsi="Garamond"/>
                <w:b/>
                <w:sz w:val="18"/>
              </w:rPr>
              <w:t xml:space="preserve">Produktet që kontribuojnë në </w:t>
            </w:r>
            <w:r w:rsidR="00A30214" w:rsidRPr="00913E39">
              <w:rPr>
                <w:rFonts w:ascii="Garamond" w:hAnsi="Garamond"/>
                <w:b/>
                <w:sz w:val="18"/>
              </w:rPr>
              <w:t xml:space="preserve">rezultatin </w:t>
            </w:r>
            <w:r w:rsidRPr="00913E39">
              <w:rPr>
                <w:rFonts w:ascii="Garamond" w:hAnsi="Garamond"/>
                <w:b/>
                <w:sz w:val="18"/>
              </w:rPr>
              <w:t>2</w:t>
            </w:r>
          </w:p>
        </w:tc>
        <w:tc>
          <w:tcPr>
            <w:tcW w:w="0" w:type="auto"/>
            <w:shd w:val="clear" w:color="auto" w:fill="auto"/>
          </w:tcPr>
          <w:p w14:paraId="405057E9" w14:textId="77777777" w:rsidR="00847F23" w:rsidRPr="00913E39" w:rsidRDefault="00847F23" w:rsidP="006D6812">
            <w:pPr>
              <w:spacing w:after="0" w:line="240" w:lineRule="auto"/>
              <w:rPr>
                <w:rFonts w:ascii="Garamond" w:hAnsi="Garamond"/>
                <w:sz w:val="18"/>
              </w:rPr>
            </w:pPr>
            <w:r w:rsidRPr="00913E39">
              <w:rPr>
                <w:rFonts w:ascii="Garamond" w:hAnsi="Garamond"/>
                <w:sz w:val="18"/>
              </w:rPr>
              <w:t>Produkti 2.1 Përmirësimi i kurrikulave të shkollave të mesme të orientuara drejt TIK (3 vitet e fundit të arsimit parauniversitar).</w:t>
            </w:r>
          </w:p>
        </w:tc>
        <w:tc>
          <w:tcPr>
            <w:tcW w:w="0" w:type="auto"/>
            <w:shd w:val="clear" w:color="auto" w:fill="auto"/>
          </w:tcPr>
          <w:p w14:paraId="65496134" w14:textId="77777777" w:rsidR="00847F23" w:rsidRPr="00913E39" w:rsidRDefault="00847F23" w:rsidP="006D6812">
            <w:pPr>
              <w:spacing w:after="0" w:line="240" w:lineRule="auto"/>
              <w:rPr>
                <w:rFonts w:ascii="Garamond" w:hAnsi="Garamond"/>
                <w:sz w:val="18"/>
              </w:rPr>
            </w:pPr>
            <w:r w:rsidRPr="00913E39">
              <w:rPr>
                <w:rFonts w:ascii="Garamond" w:hAnsi="Garamond"/>
                <w:sz w:val="18"/>
              </w:rPr>
              <w:t>Rikrijimi dhe miratimi i kurrikulave të shkollave të mesme e orientuar drejt TIK-ut.</w:t>
            </w:r>
          </w:p>
        </w:tc>
        <w:tc>
          <w:tcPr>
            <w:tcW w:w="0" w:type="auto"/>
            <w:shd w:val="clear" w:color="auto" w:fill="auto"/>
          </w:tcPr>
          <w:p w14:paraId="4B2306BE"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Numër </w:t>
            </w:r>
          </w:p>
        </w:tc>
        <w:tc>
          <w:tcPr>
            <w:tcW w:w="0" w:type="auto"/>
            <w:shd w:val="clear" w:color="auto" w:fill="auto"/>
          </w:tcPr>
          <w:p w14:paraId="19C694B9"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0</w:t>
            </w:r>
          </w:p>
        </w:tc>
        <w:tc>
          <w:tcPr>
            <w:tcW w:w="0" w:type="auto"/>
            <w:shd w:val="clear" w:color="auto" w:fill="auto"/>
          </w:tcPr>
          <w:p w14:paraId="72442DAF"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3</w:t>
            </w:r>
          </w:p>
        </w:tc>
      </w:tr>
      <w:tr w:rsidR="00A56912" w:rsidRPr="00913E39" w14:paraId="424F6563" w14:textId="77777777" w:rsidTr="006D6812">
        <w:trPr>
          <w:trHeight w:val="20"/>
        </w:trPr>
        <w:tc>
          <w:tcPr>
            <w:tcW w:w="0" w:type="auto"/>
            <w:vMerge/>
            <w:shd w:val="clear" w:color="auto" w:fill="auto"/>
          </w:tcPr>
          <w:p w14:paraId="67E06DCC" w14:textId="77777777" w:rsidR="00847F23" w:rsidRPr="00913E39" w:rsidRDefault="00847F23" w:rsidP="006D6812">
            <w:pPr>
              <w:spacing w:after="0" w:line="240" w:lineRule="auto"/>
              <w:jc w:val="both"/>
              <w:rPr>
                <w:rFonts w:ascii="Garamond" w:hAnsi="Garamond"/>
                <w:sz w:val="18"/>
              </w:rPr>
            </w:pPr>
          </w:p>
        </w:tc>
        <w:tc>
          <w:tcPr>
            <w:tcW w:w="0" w:type="auto"/>
            <w:shd w:val="clear" w:color="auto" w:fill="auto"/>
          </w:tcPr>
          <w:p w14:paraId="27E11EA7"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Produkti 2.2 Forcimi i kapaciteteve të mësuesve për kurrikulat e reja dhe për përdorimin e qëndrueshëm të mjeteve digjitale, parimet e ekonomisë qarkulluese dhe efikasitetin e energjisë.</w:t>
            </w:r>
          </w:p>
        </w:tc>
        <w:tc>
          <w:tcPr>
            <w:tcW w:w="0" w:type="auto"/>
            <w:shd w:val="clear" w:color="auto" w:fill="auto"/>
          </w:tcPr>
          <w:p w14:paraId="0261A398" w14:textId="77777777" w:rsidR="00847F23" w:rsidRPr="00913E39" w:rsidRDefault="00847F23" w:rsidP="006D6812">
            <w:pPr>
              <w:spacing w:after="0" w:line="240" w:lineRule="auto"/>
              <w:jc w:val="both"/>
              <w:rPr>
                <w:rFonts w:ascii="Garamond" w:hAnsi="Garamond"/>
                <w:sz w:val="18"/>
              </w:rPr>
            </w:pPr>
            <w:bookmarkStart w:id="38" w:name="_Hlk148860376"/>
            <w:r w:rsidRPr="00913E39">
              <w:rPr>
                <w:rFonts w:ascii="Garamond" w:hAnsi="Garamond"/>
                <w:sz w:val="18"/>
              </w:rPr>
              <w:t>Trajnimi i mësuesve të TIK-ut nëpërmjet trajnimeve për aftësitë digjitale dhe përdorimit të qëndrueshëm të mjeteve digjitale.</w:t>
            </w:r>
            <w:bookmarkEnd w:id="38"/>
          </w:p>
          <w:p w14:paraId="76CDB729" w14:textId="77777777" w:rsidR="00847F23" w:rsidRPr="00913E39" w:rsidRDefault="00847F23" w:rsidP="006D6812">
            <w:pPr>
              <w:spacing w:after="0" w:line="240" w:lineRule="auto"/>
              <w:jc w:val="both"/>
              <w:rPr>
                <w:rFonts w:ascii="Garamond" w:hAnsi="Garamond"/>
                <w:sz w:val="18"/>
              </w:rPr>
            </w:pPr>
          </w:p>
        </w:tc>
        <w:tc>
          <w:tcPr>
            <w:tcW w:w="0" w:type="auto"/>
            <w:shd w:val="clear" w:color="auto" w:fill="auto"/>
          </w:tcPr>
          <w:p w14:paraId="4CF8A1E6"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Numër</w:t>
            </w:r>
          </w:p>
        </w:tc>
        <w:tc>
          <w:tcPr>
            <w:tcW w:w="0" w:type="auto"/>
            <w:shd w:val="clear" w:color="auto" w:fill="auto"/>
          </w:tcPr>
          <w:p w14:paraId="7967C4A6"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TBD</w:t>
            </w:r>
          </w:p>
        </w:tc>
        <w:tc>
          <w:tcPr>
            <w:tcW w:w="0" w:type="auto"/>
            <w:shd w:val="clear" w:color="auto" w:fill="auto"/>
          </w:tcPr>
          <w:p w14:paraId="1CF01B2E"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5 500</w:t>
            </w:r>
          </w:p>
        </w:tc>
      </w:tr>
      <w:tr w:rsidR="00A56912" w:rsidRPr="00913E39" w14:paraId="506BE172" w14:textId="77777777" w:rsidTr="006D6812">
        <w:trPr>
          <w:trHeight w:val="20"/>
        </w:trPr>
        <w:tc>
          <w:tcPr>
            <w:tcW w:w="0" w:type="auto"/>
            <w:vMerge/>
            <w:shd w:val="clear" w:color="auto" w:fill="auto"/>
          </w:tcPr>
          <w:p w14:paraId="7AF17136" w14:textId="77777777" w:rsidR="00847F23" w:rsidRPr="00913E39" w:rsidRDefault="00847F23" w:rsidP="006D6812">
            <w:pPr>
              <w:spacing w:after="0" w:line="240" w:lineRule="auto"/>
              <w:jc w:val="both"/>
              <w:rPr>
                <w:rFonts w:ascii="Garamond" w:hAnsi="Garamond"/>
                <w:sz w:val="18"/>
              </w:rPr>
            </w:pPr>
          </w:p>
        </w:tc>
        <w:tc>
          <w:tcPr>
            <w:tcW w:w="0" w:type="auto"/>
            <w:shd w:val="clear" w:color="auto" w:fill="auto"/>
          </w:tcPr>
          <w:p w14:paraId="1B911430"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Produkti 2.3 Pajisja e mësuesve të shkollave të mesme me laptop. </w:t>
            </w:r>
          </w:p>
        </w:tc>
        <w:tc>
          <w:tcPr>
            <w:tcW w:w="0" w:type="auto"/>
            <w:shd w:val="clear" w:color="auto" w:fill="auto"/>
          </w:tcPr>
          <w:p w14:paraId="149A8BE7" w14:textId="6CA4FE22" w:rsidR="00847F23" w:rsidRPr="00913E39" w:rsidRDefault="00847F23" w:rsidP="0003243A">
            <w:pPr>
              <w:spacing w:after="0" w:line="240" w:lineRule="auto"/>
              <w:rPr>
                <w:rFonts w:ascii="Garamond" w:hAnsi="Garamond"/>
                <w:sz w:val="18"/>
              </w:rPr>
            </w:pPr>
            <w:r w:rsidRPr="00913E39">
              <w:rPr>
                <w:rFonts w:ascii="Garamond" w:hAnsi="Garamond"/>
                <w:sz w:val="18"/>
              </w:rPr>
              <w:t>Sigurimi i posteve të punës dhe instalimi i laptopëve</w:t>
            </w:r>
          </w:p>
        </w:tc>
        <w:tc>
          <w:tcPr>
            <w:tcW w:w="0" w:type="auto"/>
            <w:shd w:val="clear" w:color="auto" w:fill="auto"/>
          </w:tcPr>
          <w:p w14:paraId="07F5E095"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 xml:space="preserve">Numër </w:t>
            </w:r>
          </w:p>
        </w:tc>
        <w:tc>
          <w:tcPr>
            <w:tcW w:w="0" w:type="auto"/>
            <w:shd w:val="clear" w:color="auto" w:fill="auto"/>
          </w:tcPr>
          <w:p w14:paraId="7EB5686D"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0</w:t>
            </w:r>
          </w:p>
        </w:tc>
        <w:tc>
          <w:tcPr>
            <w:tcW w:w="0" w:type="auto"/>
            <w:shd w:val="clear" w:color="auto" w:fill="auto"/>
          </w:tcPr>
          <w:p w14:paraId="10741590" w14:textId="77777777" w:rsidR="00847F23" w:rsidRPr="00913E39" w:rsidRDefault="00847F23" w:rsidP="006D6812">
            <w:pPr>
              <w:spacing w:after="0" w:line="240" w:lineRule="auto"/>
              <w:jc w:val="both"/>
              <w:rPr>
                <w:rFonts w:ascii="Garamond" w:hAnsi="Garamond"/>
                <w:sz w:val="18"/>
              </w:rPr>
            </w:pPr>
            <w:r w:rsidRPr="00913E39">
              <w:rPr>
                <w:rFonts w:ascii="Garamond" w:hAnsi="Garamond"/>
                <w:sz w:val="18"/>
              </w:rPr>
              <w:t>5 500</w:t>
            </w:r>
          </w:p>
        </w:tc>
      </w:tr>
    </w:tbl>
    <w:p w14:paraId="55B4ABBA" w14:textId="77777777" w:rsidR="00847F23" w:rsidRPr="00913E39" w:rsidRDefault="00847F23" w:rsidP="00FC4C60">
      <w:pPr>
        <w:spacing w:after="0" w:line="240" w:lineRule="auto"/>
        <w:ind w:firstLine="284"/>
        <w:jc w:val="both"/>
        <w:rPr>
          <w:rFonts w:ascii="Garamond" w:hAnsi="Garamond"/>
          <w:sz w:val="24"/>
        </w:rPr>
      </w:pPr>
    </w:p>
    <w:p w14:paraId="0F2CEC32"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 xml:space="preserve">Lloji i aktiviteteve </w:t>
      </w:r>
    </w:p>
    <w:p w14:paraId="496DE3AD" w14:textId="520F5E8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përgjithësi, aktivitetet e nënfushës së mbështetjes të </w:t>
      </w:r>
      <w:r w:rsidR="00211362" w:rsidRPr="00913E39">
        <w:rPr>
          <w:rFonts w:ascii="Garamond" w:hAnsi="Garamond"/>
          <w:sz w:val="24"/>
        </w:rPr>
        <w:t xml:space="preserve">edukimit digjital </w:t>
      </w:r>
      <w:r w:rsidRPr="00913E39">
        <w:rPr>
          <w:rFonts w:ascii="Garamond" w:hAnsi="Garamond"/>
          <w:sz w:val="24"/>
        </w:rPr>
        <w:t xml:space="preserve">do të jenë si më poshtë: </w:t>
      </w:r>
    </w:p>
    <w:p w14:paraId="17C42F74" w14:textId="41D1736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ASISTENCA TEKNIKE: Rishikimi i kurrikulave të </w:t>
      </w:r>
      <w:r w:rsidR="00211362" w:rsidRPr="00913E39">
        <w:rPr>
          <w:rFonts w:ascii="Garamond" w:hAnsi="Garamond"/>
          <w:sz w:val="24"/>
        </w:rPr>
        <w:t>arsimit parauniversitar (gjimnaz</w:t>
      </w:r>
      <w:r w:rsidRPr="00913E39">
        <w:rPr>
          <w:rFonts w:ascii="Garamond" w:hAnsi="Garamond"/>
          <w:sz w:val="24"/>
        </w:rPr>
        <w:t>) dhe hartimi i kurrikulave të reja të orientuara drejt TIK-ut, duke përfshirë të gjitha specifikimet e nevojshme teknike për integrimin e të gjithë komponentëve të kurrikulës së rishikuar në modulet e Sistemit të Menaxhimit të arsimit parauniversitar (SMIP).</w:t>
      </w:r>
    </w:p>
    <w:p w14:paraId="5C5D332E" w14:textId="6478011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FORCIMI I KAPACITETEVE: Trajnim për përdorimin dhe funksionalitetet e</w:t>
      </w:r>
      <w:bookmarkStart w:id="39" w:name="_Hlk137385906"/>
      <w:r w:rsidRPr="00913E39">
        <w:rPr>
          <w:rFonts w:ascii="Garamond" w:hAnsi="Garamond"/>
          <w:sz w:val="24"/>
        </w:rPr>
        <w:t xml:space="preserve"> Sistemit të Menaxhimit të Arsimit Parauniversitar (SMIP)</w:t>
      </w:r>
      <w:bookmarkEnd w:id="39"/>
      <w:r w:rsidRPr="00913E39">
        <w:rPr>
          <w:rFonts w:ascii="Garamond" w:hAnsi="Garamond"/>
          <w:sz w:val="24"/>
        </w:rPr>
        <w:t xml:space="preserve"> dhe integrimin me sistemet dhe bazat e të dhënave përkatëse, si dhe menaxhimin e komunikimit me nxënësit, familjet dhe institucionet shtetërore/</w:t>
      </w:r>
      <w:r w:rsidR="00211362" w:rsidRPr="00913E39">
        <w:rPr>
          <w:rFonts w:ascii="Garamond" w:hAnsi="Garamond"/>
          <w:sz w:val="24"/>
        </w:rPr>
        <w:t xml:space="preserve"> </w:t>
      </w:r>
      <w:r w:rsidRPr="00913E39">
        <w:rPr>
          <w:rFonts w:ascii="Garamond" w:hAnsi="Garamond"/>
          <w:sz w:val="24"/>
        </w:rPr>
        <w:t xml:space="preserve">shkollat. Trajnim mbi aftësitë digjitale dhe TIK për qëllime didaktike dhe përdorimin e qëndrueshëm të mjeteve digjitale, parimet e ekonomisë qarkulluese dhe efiçencën e energjisë. </w:t>
      </w:r>
    </w:p>
    <w:p w14:paraId="7E8154D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INVESTIMI: Shpërndarja e rreth 5500 laptopëve për mësuesit dhe programeve përkatës, si dhe serverët specifikë dhe pajisjet e tjera të IT-së të nevojshme për integrimin e rrjetit, ruajtjen dhe funksionalizimin/mirëmbajtjen. </w:t>
      </w:r>
    </w:p>
    <w:p w14:paraId="42A06983"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sz w:val="24"/>
        </w:rPr>
        <w:t xml:space="preserve">FUSHATË </w:t>
      </w:r>
      <w:bookmarkStart w:id="40" w:name="_Hlk148860486"/>
      <w:r w:rsidRPr="00913E39">
        <w:rPr>
          <w:rFonts w:ascii="Garamond" w:hAnsi="Garamond"/>
          <w:sz w:val="24"/>
        </w:rPr>
        <w:t xml:space="preserve">NDËRGJEGJËSIMI: Fushata promovimi për të informuar në lidhje me përfitimet (dhe rreziqet) e arsimit digjitale dhe përdorimin e qëndrueshëm të pajisjeve digjitale, parimet e qarkullimit, mënyrën e përdorimit të mjeteve digjitale për mbrojtjen e mjedisit etj. </w:t>
      </w:r>
      <w:bookmarkEnd w:id="40"/>
    </w:p>
    <w:p w14:paraId="1EFCA36E" w14:textId="77777777" w:rsidR="00847F23" w:rsidRPr="00913E39" w:rsidRDefault="00847F23" w:rsidP="00FC4C60">
      <w:pPr>
        <w:spacing w:after="0" w:line="240" w:lineRule="auto"/>
        <w:ind w:firstLine="284"/>
        <w:jc w:val="both"/>
        <w:rPr>
          <w:rFonts w:ascii="Garamond" w:hAnsi="Garamond"/>
          <w:i/>
          <w:sz w:val="24"/>
        </w:rPr>
      </w:pPr>
    </w:p>
    <w:p w14:paraId="5D166875" w14:textId="4CF4C009"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Tabela 17</w:t>
      </w:r>
      <w:r w:rsidR="00211362" w:rsidRPr="00913E39">
        <w:rPr>
          <w:rFonts w:ascii="Garamond" w:hAnsi="Garamond"/>
          <w:sz w:val="24"/>
        </w:rPr>
        <w:t>.</w:t>
      </w:r>
      <w:r w:rsidRPr="00913E39">
        <w:rPr>
          <w:rFonts w:ascii="Garamond" w:hAnsi="Garamond"/>
          <w:sz w:val="24"/>
        </w:rPr>
        <w:t xml:space="preserve"> </w:t>
      </w:r>
      <w:r w:rsidRPr="00913E39">
        <w:rPr>
          <w:rFonts w:ascii="Garamond" w:hAnsi="Garamond"/>
          <w:i/>
          <w:sz w:val="24"/>
        </w:rPr>
        <w:t xml:space="preserve">Edukimi digjital, </w:t>
      </w:r>
      <w:r w:rsidR="00211362" w:rsidRPr="00913E39">
        <w:rPr>
          <w:rFonts w:ascii="Garamond" w:hAnsi="Garamond"/>
          <w:i/>
          <w:sz w:val="24"/>
        </w:rPr>
        <w:t>t</w:t>
      </w:r>
      <w:r w:rsidRPr="00913E39">
        <w:rPr>
          <w:rFonts w:ascii="Garamond" w:hAnsi="Garamond"/>
          <w:i/>
          <w:sz w:val="24"/>
        </w:rPr>
        <w:t>regues i llojit kryesor të aktiviteteve sipas kësaj nënfushe të mbështetjes, i ndarë sipas viteve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1"/>
        <w:gridCol w:w="2257"/>
        <w:gridCol w:w="2278"/>
        <w:gridCol w:w="2278"/>
      </w:tblGrid>
      <w:tr w:rsidR="00847F23" w:rsidRPr="00913E39" w14:paraId="313C192B" w14:textId="77777777" w:rsidTr="006D6812">
        <w:trPr>
          <w:trHeight w:val="20"/>
        </w:trPr>
        <w:tc>
          <w:tcPr>
            <w:tcW w:w="2337" w:type="dxa"/>
            <w:shd w:val="clear" w:color="auto" w:fill="auto"/>
            <w:vAlign w:val="center"/>
          </w:tcPr>
          <w:p w14:paraId="3FB244DE" w14:textId="77777777" w:rsidR="00847F23" w:rsidRPr="00913E39" w:rsidRDefault="00847F23" w:rsidP="006D6812">
            <w:pPr>
              <w:spacing w:after="0" w:line="240" w:lineRule="auto"/>
              <w:jc w:val="center"/>
              <w:rPr>
                <w:rFonts w:ascii="Garamond" w:hAnsi="Garamond"/>
                <w:sz w:val="18"/>
              </w:rPr>
            </w:pPr>
            <w:r w:rsidRPr="00913E39">
              <w:rPr>
                <w:rFonts w:ascii="Garamond" w:hAnsi="Garamond"/>
                <w:sz w:val="18"/>
              </w:rPr>
              <w:t>2024</w:t>
            </w:r>
          </w:p>
        </w:tc>
        <w:tc>
          <w:tcPr>
            <w:tcW w:w="2337" w:type="dxa"/>
            <w:shd w:val="clear" w:color="auto" w:fill="auto"/>
            <w:vAlign w:val="center"/>
          </w:tcPr>
          <w:p w14:paraId="3508D5DC" w14:textId="77777777" w:rsidR="00847F23" w:rsidRPr="00913E39" w:rsidRDefault="00847F23" w:rsidP="006D6812">
            <w:pPr>
              <w:spacing w:after="0" w:line="240" w:lineRule="auto"/>
              <w:jc w:val="center"/>
              <w:rPr>
                <w:rFonts w:ascii="Garamond" w:hAnsi="Garamond"/>
                <w:sz w:val="18"/>
              </w:rPr>
            </w:pPr>
            <w:r w:rsidRPr="00913E39">
              <w:rPr>
                <w:rFonts w:ascii="Garamond" w:hAnsi="Garamond"/>
                <w:sz w:val="18"/>
              </w:rPr>
              <w:t>2025</w:t>
            </w:r>
          </w:p>
        </w:tc>
        <w:tc>
          <w:tcPr>
            <w:tcW w:w="2338" w:type="dxa"/>
            <w:shd w:val="clear" w:color="auto" w:fill="auto"/>
            <w:vAlign w:val="center"/>
          </w:tcPr>
          <w:p w14:paraId="2F013144" w14:textId="77777777" w:rsidR="00847F23" w:rsidRPr="00913E39" w:rsidRDefault="00847F23" w:rsidP="006D6812">
            <w:pPr>
              <w:spacing w:after="0" w:line="240" w:lineRule="auto"/>
              <w:jc w:val="center"/>
              <w:rPr>
                <w:rFonts w:ascii="Garamond" w:hAnsi="Garamond"/>
                <w:sz w:val="18"/>
              </w:rPr>
            </w:pPr>
            <w:r w:rsidRPr="00913E39">
              <w:rPr>
                <w:rFonts w:ascii="Garamond" w:hAnsi="Garamond"/>
                <w:sz w:val="18"/>
              </w:rPr>
              <w:t>2026</w:t>
            </w:r>
          </w:p>
        </w:tc>
        <w:tc>
          <w:tcPr>
            <w:tcW w:w="2338" w:type="dxa"/>
            <w:shd w:val="clear" w:color="auto" w:fill="auto"/>
            <w:vAlign w:val="center"/>
          </w:tcPr>
          <w:p w14:paraId="5BCBB719" w14:textId="77777777" w:rsidR="00847F23" w:rsidRPr="00913E39" w:rsidRDefault="00847F23" w:rsidP="006D6812">
            <w:pPr>
              <w:spacing w:after="0" w:line="240" w:lineRule="auto"/>
              <w:jc w:val="center"/>
              <w:rPr>
                <w:rFonts w:ascii="Garamond" w:hAnsi="Garamond"/>
                <w:sz w:val="18"/>
              </w:rPr>
            </w:pPr>
            <w:r w:rsidRPr="00913E39">
              <w:rPr>
                <w:rFonts w:ascii="Garamond" w:hAnsi="Garamond"/>
                <w:sz w:val="18"/>
              </w:rPr>
              <w:t>2027</w:t>
            </w:r>
          </w:p>
        </w:tc>
      </w:tr>
      <w:tr w:rsidR="00847F23" w:rsidRPr="00913E39" w14:paraId="4D56F06F" w14:textId="77777777" w:rsidTr="006D6812">
        <w:trPr>
          <w:trHeight w:val="20"/>
        </w:trPr>
        <w:tc>
          <w:tcPr>
            <w:tcW w:w="2337" w:type="dxa"/>
            <w:shd w:val="clear" w:color="auto" w:fill="auto"/>
            <w:vAlign w:val="center"/>
          </w:tcPr>
          <w:p w14:paraId="699E4D5A" w14:textId="74B4EC95" w:rsidR="00847F23" w:rsidRPr="00913E39" w:rsidRDefault="00847F23" w:rsidP="006D6812">
            <w:pPr>
              <w:spacing w:after="0" w:line="240" w:lineRule="auto"/>
              <w:jc w:val="center"/>
              <w:rPr>
                <w:rFonts w:ascii="Garamond" w:hAnsi="Garamond"/>
                <w:sz w:val="18"/>
              </w:rPr>
            </w:pPr>
            <w:r w:rsidRPr="00913E39">
              <w:rPr>
                <w:rFonts w:ascii="Garamond" w:hAnsi="Garamond"/>
                <w:sz w:val="18"/>
              </w:rPr>
              <w:t xml:space="preserve">Asistencë </w:t>
            </w:r>
            <w:r w:rsidR="0030426B" w:rsidRPr="00913E39">
              <w:rPr>
                <w:rFonts w:ascii="Garamond" w:hAnsi="Garamond"/>
                <w:sz w:val="18"/>
              </w:rPr>
              <w:t>t</w:t>
            </w:r>
            <w:r w:rsidRPr="00913E39">
              <w:rPr>
                <w:rFonts w:ascii="Garamond" w:hAnsi="Garamond"/>
                <w:sz w:val="18"/>
              </w:rPr>
              <w:t>eknike</w:t>
            </w:r>
          </w:p>
        </w:tc>
        <w:tc>
          <w:tcPr>
            <w:tcW w:w="2337" w:type="dxa"/>
            <w:shd w:val="clear" w:color="auto" w:fill="auto"/>
            <w:vAlign w:val="center"/>
          </w:tcPr>
          <w:p w14:paraId="790A6184" w14:textId="77777777" w:rsidR="00847F23" w:rsidRPr="00913E39" w:rsidRDefault="00847F23" w:rsidP="006D6812">
            <w:pPr>
              <w:spacing w:after="0" w:line="240" w:lineRule="auto"/>
              <w:jc w:val="center"/>
              <w:rPr>
                <w:rFonts w:ascii="Garamond" w:hAnsi="Garamond"/>
                <w:sz w:val="18"/>
              </w:rPr>
            </w:pPr>
            <w:r w:rsidRPr="00913E39">
              <w:rPr>
                <w:rFonts w:ascii="Garamond" w:hAnsi="Garamond"/>
                <w:sz w:val="18"/>
              </w:rPr>
              <w:t>Investim</w:t>
            </w:r>
          </w:p>
        </w:tc>
        <w:tc>
          <w:tcPr>
            <w:tcW w:w="2338" w:type="dxa"/>
            <w:shd w:val="clear" w:color="auto" w:fill="auto"/>
            <w:vAlign w:val="center"/>
          </w:tcPr>
          <w:p w14:paraId="1E4BED68" w14:textId="77777777" w:rsidR="00847F23" w:rsidRPr="00913E39" w:rsidRDefault="00847F23" w:rsidP="006D6812">
            <w:pPr>
              <w:spacing w:after="0" w:line="240" w:lineRule="auto"/>
              <w:jc w:val="center"/>
              <w:rPr>
                <w:rFonts w:ascii="Garamond" w:hAnsi="Garamond"/>
                <w:sz w:val="18"/>
              </w:rPr>
            </w:pPr>
            <w:r w:rsidRPr="00913E39">
              <w:rPr>
                <w:rFonts w:ascii="Garamond" w:hAnsi="Garamond"/>
                <w:sz w:val="18"/>
              </w:rPr>
              <w:t>Investim</w:t>
            </w:r>
          </w:p>
          <w:p w14:paraId="61DF6A59" w14:textId="77777777" w:rsidR="00847F23" w:rsidRPr="00913E39" w:rsidRDefault="00847F23" w:rsidP="006D6812">
            <w:pPr>
              <w:spacing w:after="0" w:line="240" w:lineRule="auto"/>
              <w:jc w:val="center"/>
              <w:rPr>
                <w:rFonts w:ascii="Garamond" w:hAnsi="Garamond"/>
                <w:sz w:val="18"/>
              </w:rPr>
            </w:pPr>
            <w:r w:rsidRPr="00913E39">
              <w:rPr>
                <w:rFonts w:ascii="Garamond" w:hAnsi="Garamond"/>
                <w:sz w:val="18"/>
              </w:rPr>
              <w:t>Forcim i njohurive</w:t>
            </w:r>
          </w:p>
          <w:p w14:paraId="52FFC1AE" w14:textId="77777777" w:rsidR="00847F23" w:rsidRPr="00913E39" w:rsidRDefault="00847F23" w:rsidP="006D6812">
            <w:pPr>
              <w:spacing w:after="0" w:line="240" w:lineRule="auto"/>
              <w:jc w:val="center"/>
              <w:rPr>
                <w:rFonts w:ascii="Garamond" w:hAnsi="Garamond"/>
                <w:sz w:val="18"/>
              </w:rPr>
            </w:pPr>
            <w:r w:rsidRPr="00913E39">
              <w:rPr>
                <w:rFonts w:ascii="Garamond" w:hAnsi="Garamond"/>
                <w:sz w:val="18"/>
              </w:rPr>
              <w:t>Fushata ndërgjegjësimi</w:t>
            </w:r>
          </w:p>
        </w:tc>
        <w:tc>
          <w:tcPr>
            <w:tcW w:w="2338" w:type="dxa"/>
            <w:shd w:val="clear" w:color="auto" w:fill="auto"/>
            <w:vAlign w:val="center"/>
          </w:tcPr>
          <w:p w14:paraId="38B618E3" w14:textId="77777777" w:rsidR="00847F23" w:rsidRPr="00913E39" w:rsidRDefault="00847F23" w:rsidP="006D6812">
            <w:pPr>
              <w:spacing w:after="0" w:line="240" w:lineRule="auto"/>
              <w:jc w:val="center"/>
              <w:rPr>
                <w:rFonts w:ascii="Garamond" w:hAnsi="Garamond"/>
                <w:sz w:val="18"/>
              </w:rPr>
            </w:pPr>
            <w:r w:rsidRPr="00913E39">
              <w:rPr>
                <w:rFonts w:ascii="Garamond" w:hAnsi="Garamond"/>
                <w:sz w:val="18"/>
              </w:rPr>
              <w:t>Forcim i njohurive</w:t>
            </w:r>
          </w:p>
          <w:p w14:paraId="3CE58CCA" w14:textId="77777777" w:rsidR="00847F23" w:rsidRPr="00913E39" w:rsidRDefault="00847F23" w:rsidP="006D6812">
            <w:pPr>
              <w:spacing w:after="0" w:line="240" w:lineRule="auto"/>
              <w:jc w:val="center"/>
              <w:rPr>
                <w:rFonts w:ascii="Garamond" w:hAnsi="Garamond"/>
                <w:sz w:val="18"/>
              </w:rPr>
            </w:pPr>
            <w:r w:rsidRPr="00913E39">
              <w:rPr>
                <w:rFonts w:ascii="Garamond" w:hAnsi="Garamond"/>
                <w:sz w:val="18"/>
              </w:rPr>
              <w:t>Fushata ndërgjegjësimi</w:t>
            </w:r>
          </w:p>
        </w:tc>
      </w:tr>
    </w:tbl>
    <w:p w14:paraId="1B529E01" w14:textId="77777777" w:rsidR="00847F23" w:rsidRPr="00913E39" w:rsidRDefault="00847F23" w:rsidP="00FC4C60">
      <w:pPr>
        <w:spacing w:after="0" w:line="240" w:lineRule="auto"/>
        <w:ind w:firstLine="284"/>
        <w:jc w:val="both"/>
        <w:rPr>
          <w:rFonts w:ascii="Garamond" w:hAnsi="Garamond"/>
          <w:b/>
          <w:sz w:val="24"/>
        </w:rPr>
      </w:pPr>
    </w:p>
    <w:p w14:paraId="4B84515F"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Metodat e shpërndarjes</w:t>
      </w:r>
    </w:p>
    <w:p w14:paraId="2E328E84"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Metodat e ofrimit që do të merren parasysh për këtë fushë të mbështetjes mund të përfshijnë projkurimin e shërbimeve dhe furnizimeve.</w:t>
      </w:r>
    </w:p>
    <w:p w14:paraId="64923218" w14:textId="78162906"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Përfituesit fundorë dhe grupet e synuara:</w:t>
      </w:r>
      <w:r w:rsidRPr="00913E39">
        <w:rPr>
          <w:rFonts w:ascii="Garamond" w:hAnsi="Garamond"/>
          <w:sz w:val="24"/>
        </w:rPr>
        <w:t xml:space="preserve"> Ministria e Arsimit, mësuesit e sistemit arsimor parauniversitar (</w:t>
      </w:r>
      <w:r w:rsidR="00211362" w:rsidRPr="00913E39">
        <w:rPr>
          <w:rFonts w:ascii="Garamond" w:hAnsi="Garamond"/>
          <w:sz w:val="24"/>
        </w:rPr>
        <w:t>g</w:t>
      </w:r>
      <w:r w:rsidRPr="00913E39">
        <w:rPr>
          <w:rFonts w:ascii="Garamond" w:hAnsi="Garamond"/>
          <w:sz w:val="24"/>
        </w:rPr>
        <w:t>jimnazi), nxënësit dhe familjet, si dhe popullata në përgjithësi</w:t>
      </w:r>
    </w:p>
    <w:p w14:paraId="5798C23F" w14:textId="3C533C36" w:rsidR="00847F23" w:rsidRPr="00913E39" w:rsidRDefault="00847F23" w:rsidP="00FC4C60">
      <w:pPr>
        <w:spacing w:after="0" w:line="240" w:lineRule="auto"/>
        <w:ind w:firstLine="284"/>
        <w:jc w:val="both"/>
        <w:rPr>
          <w:rFonts w:ascii="Garamond" w:hAnsi="Garamond"/>
          <w:b/>
          <w:sz w:val="24"/>
        </w:rPr>
      </w:pPr>
      <w:r w:rsidRPr="00913E39">
        <w:rPr>
          <w:rFonts w:ascii="Garamond" w:hAnsi="Garamond"/>
          <w:i/>
          <w:sz w:val="24"/>
        </w:rPr>
        <w:t>Kushtet:</w:t>
      </w:r>
      <w:r w:rsidRPr="00913E39">
        <w:rPr>
          <w:rFonts w:ascii="Garamond" w:hAnsi="Garamond"/>
          <w:b/>
          <w:sz w:val="24"/>
        </w:rPr>
        <w:t xml:space="preserve"> </w:t>
      </w:r>
      <w:r w:rsidRPr="00913E39">
        <w:rPr>
          <w:rFonts w:ascii="Garamond" w:hAnsi="Garamond"/>
          <w:sz w:val="24"/>
        </w:rPr>
        <w:t xml:space="preserve">Bashkëfinancimi i nënfushës së mbështetjes; </w:t>
      </w:r>
      <w:r w:rsidR="00211362" w:rsidRPr="00913E39">
        <w:rPr>
          <w:rFonts w:ascii="Garamond" w:hAnsi="Garamond"/>
          <w:sz w:val="24"/>
        </w:rPr>
        <w:t xml:space="preserve">urdhër i ministrit </w:t>
      </w:r>
      <w:r w:rsidRPr="00913E39">
        <w:rPr>
          <w:rFonts w:ascii="Garamond" w:hAnsi="Garamond"/>
          <w:sz w:val="24"/>
        </w:rPr>
        <w:t xml:space="preserve">për përdorimin e sistemit të propozuar dhe vërtetimin e dokumenteve të prodhuara nga sistemi; mirëmbajtja e infrastrukturës së pajisjeve dhe zgjidhjeve të problemeve të programeve të siguruara nga AKSHI. </w:t>
      </w:r>
    </w:p>
    <w:p w14:paraId="0E481B28" w14:textId="12418A58"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211362" w:rsidRPr="00913E39">
        <w:rPr>
          <w:rFonts w:ascii="Garamond" w:hAnsi="Garamond"/>
          <w:i/>
          <w:sz w:val="24"/>
        </w:rPr>
        <w:t>f</w:t>
      </w:r>
      <w:r w:rsidRPr="00913E39">
        <w:rPr>
          <w:rFonts w:ascii="Garamond" w:hAnsi="Garamond"/>
          <w:i/>
          <w:sz w:val="24"/>
        </w:rPr>
        <w:t xml:space="preserve">usha e mbështetjes 2.1: Tatimet </w:t>
      </w:r>
    </w:p>
    <w:p w14:paraId="7F469862"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Arsyetimi</w:t>
      </w:r>
    </w:p>
    <w:p w14:paraId="5250D30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të siguruar që administrata tatimore e Shqipërisë të jetë e përgatitur për anëtarësimin në BE, është thelbësore të krijohen sisteme të ndërlidhura të IT-së me Bashkimin Evropian. Megjithatë, Banka Botërore ka vënë në dukje se Shqipëria përballet me sfida që lidhen me kapacitetin teknik, burimet e kufizuara dhe mungesën e personelit të kualifikuar. Integrimi i sistemit tatimor të Shqipërisë me sistemet e BE-së mund të jetë i vështirë. </w:t>
      </w:r>
      <w:bookmarkStart w:id="41" w:name="_Hlk140592468"/>
      <w:r w:rsidRPr="00913E39">
        <w:rPr>
          <w:rFonts w:ascii="Garamond" w:hAnsi="Garamond"/>
          <w:sz w:val="24"/>
        </w:rPr>
        <w:t>Përpjekjet duhet të fokusohen në përmirësimin e aftësive dhe njohurive të administratës tatimore</w:t>
      </w:r>
      <w:bookmarkEnd w:id="41"/>
      <w:r w:rsidRPr="00913E39">
        <w:rPr>
          <w:rFonts w:ascii="Garamond" w:hAnsi="Garamond"/>
          <w:sz w:val="24"/>
        </w:rPr>
        <w:t xml:space="preserve">, duke përfshirë profilizimin dhe vlerësimin e riskut të tatimpaguesve, dhe kalimin në proceset e dosjeve elektronike. Raporti 2022 për Shqipërinë njeh progresin e bërë në reformimin e kuadrit ligjor dhe institucional të Shqipërisë, por thekson se nevojiten përmirësime të mëtejshme për të respektuar rregullat tatimore të BE-së. </w:t>
      </w:r>
    </w:p>
    <w:p w14:paraId="01BD5F7C" w14:textId="491687A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këtë kontekst, integrimi i sistemeve tatimore shqiptare me sistemet VIES/VIDA të BE-së është thelbësor për komunikimin dhe shkëmbimin efikas të informacionit me shtetet e tjera anëtare të BE-së. Drejtoria e Përgjithshme e Tatimeve (DPT) duhet t</w:t>
      </w:r>
      <w:r w:rsidR="005222A5" w:rsidRPr="00913E39">
        <w:rPr>
          <w:rFonts w:ascii="Garamond" w:hAnsi="Garamond"/>
          <w:sz w:val="24"/>
        </w:rPr>
        <w:t>’</w:t>
      </w:r>
      <w:r w:rsidRPr="00913E39">
        <w:rPr>
          <w:rFonts w:ascii="Garamond" w:hAnsi="Garamond"/>
          <w:sz w:val="24"/>
        </w:rPr>
        <w:t>i japë prioritet zbatimit të një infrastrukture të fuqishme IT, në përputhje me standardet e BE-së. Kjo përfshin krijimin e kanaleve të sigurta të komunikimit për shkëmbimin dhe bashkëpunimin pa probleme për të dhënat. Ndërlidhja dhe ndërveprimi mundësojnë shkëmbimin në kohë reale të informacionit në lidhje me TVSH-në, përmirësojnë bashkëpunimin dhe saktësinë dhe minimizojnë vonesat në marrjen e të dhënave thelbësore si regjistrimet e TVSH-së dhe transaksionet e tatueshme. Qasja në sistemet VIES/VIDA të BE-së i mundëson DPT-së të verifikojë numrat e identifikimit të TVSH-së, të luftojë mashtrimin, të zvogëlojë rrezikun e evazionit fiskal dhe të përmirësojë integritetin e sistemit tatimor. Kjo kontribuon në një qasje të harmonizuar për përmbushje tatimore brenda BE-së dhe siguron një qasje të qëndrueshme nga administrata tatimore. Ndërlidhja mundëson vlerësim më të mirë të riskut, identifikimin e hendekut tatimor dhe përmirësimin e masave të zbatimit të taksave nëpërmjet aksesit në informacion nga shtetet e tjera anëtare të BE-së.</w:t>
      </w:r>
    </w:p>
    <w:p w14:paraId="5904CFA4" w14:textId="46EA684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Sistemi VIES i BE-së (Sistemi i Shkëmbimit të Informacionit të TVSH-së) dhe VIDA (VIES për Ndërveprimin dhe Aplikacionet e Ndarjes së të Dhënave) luajnë një rol kryesor në lehtësimin e shkëmbimit të informacionit të lidhur me TVSH-në ndërmjet shteteve anëtare të BE-së. Këto sisteme janë krijuar posaçërisht për të rritur efikasitetin dhe efektivitetin e administratave tatimore duke ofruar një platformë të centralizuar për ndarjen dhe verifikimin pa probleme të të dhënave të lidhura me TVSH-në. Ndërlidhja/ndërveprimi i sistemeve të IT-së të Drejtorisë së Përgjithshme të Tatimeve në Shqipëri me sistemet VIES/VIDA të BE-së do të ndihmojë departamentet specifike të DPT-së për të rritur efikasitetin operacional. Së pari, duke përqafuar këto ndërlidhje, MFE/DPT do të parashikojë përmbushjen e kërkesave të bashkëpunimit administrativ të BE-së, por gjithashtu do të mundësojë pjesëmarrjen efektive në nismat tatimore ndërshtetërore. Është planifikuar që ky rezultat fillimisht t</w:t>
      </w:r>
      <w:r w:rsidR="005222A5" w:rsidRPr="00913E39">
        <w:rPr>
          <w:rFonts w:ascii="Garamond" w:hAnsi="Garamond"/>
          <w:sz w:val="24"/>
        </w:rPr>
        <w:t>’</w:t>
      </w:r>
      <w:r w:rsidRPr="00913E39">
        <w:rPr>
          <w:rFonts w:ascii="Garamond" w:hAnsi="Garamond"/>
          <w:sz w:val="24"/>
        </w:rPr>
        <w:t xml:space="preserve">i mundësojë DPT-së harmonizimin e akteve nënligjore, procedurat institucionale dhe standardet e informacionit me kërkesat e bashkëpunimit administrativ të BE-së. Sipas specifikimeve të DG TAXUD, përafrimi do të drejtojë gjithashtu integrimin për: Specifikimin </w:t>
      </w:r>
      <w:r w:rsidRPr="00913E39">
        <w:rPr>
          <w:rFonts w:ascii="Garamond" w:hAnsi="Garamond"/>
          <w:sz w:val="24"/>
        </w:rPr>
        <w:lastRenderedPageBreak/>
        <w:t>e Integrimit Teknik, Standardet e Shkëmbimit të të Dhënave, Formatet e Mesazheve, Autentifikimi dhe Sigurinë, Përmbushjen, Testimin dhe proceset e certifikimit. Kjo pajtueshmëri mundëson shkëmbimin e pandërprerë të informacionit dhe bashkëpunimin e DPT-së me autoritetet tatimore të lidhura me Shtetet Anëtare të BE-së, duke rritur transparencën dhe duke nxitur besimin në administratën tatimore. Ndërlidhja lejon që Shqipëria të marrë pjesë aktive në nismat tatimore ndërkufitare të lehtësuara nga sistemet VIES/VIDA të BE-së. Kjo i hap dyert bashkëpunimit të zgjeruar, shkëmbimit të informacionit dhe përpjekjeve të përbashkëta në luftën kundër evazionit fiskal, duke kontribuuar përfundimisht në taksimin më të drejtë dhe rritjen e të ardhurave tatimore. Për më tepër, ndërlidhja bën të mundur që Drejtoria e Përgjithshme e Tatimeve të aksesojë dhe të verifikojë informacionin e lidhur me TVSH-në nga autoritetet e tjera tatimore të Shteteve Anëtare të BE-së, duke ndihmuar kështu në identifikimin e transaksioneve të mundshme të evazionit fiskal ose të mospërmbushjes, duke forcuar në këtë mënyrë efikasitetin e administratës tatimore.</w:t>
      </w:r>
    </w:p>
    <w:p w14:paraId="289EBE3E"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fund të fundit, platforma e centralizuar e ofruar nga sistemet VIES/VIDA të BE-së riorganizon shkëmbimin e të dhënave të lidhura me TVSH-në, duke reduktuar përpjekjet manuale dhe barrën administrative për Drejtorinë e Përgjithshme të Tatimeve, duke synuar për operacione më të lehta, akses më të shpejtë në informacion dhe trajtim më efikas të proceseve që lidhen me TVSH-në.</w:t>
      </w:r>
    </w:p>
    <w:p w14:paraId="6CF51E1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Ndërlidhja nxit standardizimin dhe harmonizimin e të dhënave, duke përmirësuar përpunimin dhe analizën e të dhënave. Kjo mundëson automatizimin e procedurave administrative në lidhje me TVSH-në, duke reduktuar gabimet dhe duke përshpejtuar procesin e punës. Ndërveprimi me sistemet VIES/VIDA të BE-së bën të mundur që Autoriteti Tatimor i Shqipërisë të mësojë nga praktikat më të mira të shteteve të tjera anëtare të BE-së për administrimin e TVSH-së, duke kontribuuar në përmirësimin e vazhdueshëm.</w:t>
      </w:r>
    </w:p>
    <w:p w14:paraId="128F98A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përgjithësi, ndërlidhja e sistemeve të IT-së të Drejtorisë së Përgjithshme të Tatimeve me VIES/VIDA të BE-së do të sigurojë efikasitet më të lartë operacional, përpjekje për pajtueshmëri dhe bashkëpunim me shtetet e tjera anëtare të BE-së. Siguron qasje në kohë në informacion të besueshëm në lidhje me TVSH-në, përmirëson vlerësimin e riskut dhe lehtëson procedurat administrative të thjeshta, duke çuar në një administratë tatimore më efikase dhe efektive në Shqipëri.</w:t>
      </w:r>
    </w:p>
    <w:p w14:paraId="29E0A2FA" w14:textId="1A520BC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Shqipëria është angazhuar të ndërmarrë shkëmbime në lidhje me standardin AEOI nga viti 2020. Shqipëria i filloi shkëmbimet </w:t>
      </w:r>
      <w:r w:rsidR="009214CB" w:rsidRPr="00913E39">
        <w:rPr>
          <w:rFonts w:ascii="Garamond" w:hAnsi="Garamond"/>
          <w:sz w:val="24"/>
        </w:rPr>
        <w:t>m</w:t>
      </w:r>
      <w:r w:rsidRPr="00913E39">
        <w:rPr>
          <w:rFonts w:ascii="Garamond" w:hAnsi="Garamond"/>
          <w:sz w:val="24"/>
        </w:rPr>
        <w:t>ë 2020 në mënyrë joreciproke dhe për këtë arsye iu nënshtrua një vlerësimi sipas metodologjisë për juridiksionet joreciproke. Konfidencialiteti i Shqipërisë dhe masat mbrojtëse të të dhënave janë vlerësuar si të tilla që janë në përputhje me standardin AEOI. Nuk është identifikuar asnjë çështje që konsiderohet se përbën risk të papranueshëm sigurie për të dhënat e shkëmbyera. Nuk janë bërë rekomandime. Që nga viti 2021, Shqipëria dhe autoriteti i saj tatimor (DPT) vazhdojnë të shkëmbejnë informacionin e Standardit të Përbashkët të Raportimit (CRS) mbi baza reciproke, me mbi 80 vende.</w:t>
      </w:r>
    </w:p>
    <w:p w14:paraId="29D915E8" w14:textId="3783B3B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Shkëmbimi i informacionit (</w:t>
      </w:r>
      <w:r w:rsidRPr="00913E39">
        <w:rPr>
          <w:rFonts w:ascii="Garamond" w:hAnsi="Garamond"/>
          <w:i/>
          <w:sz w:val="24"/>
        </w:rPr>
        <w:t xml:space="preserve">Raportimi </w:t>
      </w:r>
      <w:r w:rsidR="007C41EB" w:rsidRPr="00913E39">
        <w:rPr>
          <w:rFonts w:ascii="Garamond" w:hAnsi="Garamond"/>
          <w:i/>
          <w:sz w:val="24"/>
        </w:rPr>
        <w:t>vend për vend</w:t>
      </w:r>
      <w:r w:rsidRPr="00913E39">
        <w:rPr>
          <w:rFonts w:ascii="Garamond" w:hAnsi="Garamond"/>
          <w:sz w:val="24"/>
        </w:rPr>
        <w:t>) është një nga standardet që duhet të përmbushë Shqipëria, si anëtare e kuadrit gjithëpërfshirës të OECD/G20 për BEPS dhe</w:t>
      </w:r>
      <w:r w:rsidR="007C41EB" w:rsidRPr="00913E39">
        <w:rPr>
          <w:rFonts w:ascii="Garamond" w:hAnsi="Garamond"/>
          <w:sz w:val="24"/>
        </w:rPr>
        <w:t>,</w:t>
      </w:r>
      <w:r w:rsidRPr="00913E39">
        <w:rPr>
          <w:rFonts w:ascii="Garamond" w:hAnsi="Garamond"/>
          <w:sz w:val="24"/>
        </w:rPr>
        <w:t xml:space="preserve"> gjithashtu</w:t>
      </w:r>
      <w:r w:rsidR="007C41EB" w:rsidRPr="00913E39">
        <w:rPr>
          <w:rFonts w:ascii="Garamond" w:hAnsi="Garamond"/>
          <w:sz w:val="24"/>
        </w:rPr>
        <w:t>,</w:t>
      </w:r>
      <w:r w:rsidRPr="00913E39">
        <w:rPr>
          <w:rFonts w:ascii="Garamond" w:hAnsi="Garamond"/>
          <w:sz w:val="24"/>
        </w:rPr>
        <w:t xml:space="preserve"> në kuadrin e harmonizimit të acquis (</w:t>
      </w:r>
      <w:r w:rsidR="007C41EB" w:rsidRPr="00913E39">
        <w:rPr>
          <w:rFonts w:ascii="Garamond" w:hAnsi="Garamond"/>
          <w:sz w:val="24"/>
        </w:rPr>
        <w:t>k</w:t>
      </w:r>
      <w:r w:rsidRPr="00913E39">
        <w:rPr>
          <w:rFonts w:ascii="Garamond" w:hAnsi="Garamond"/>
          <w:sz w:val="24"/>
        </w:rPr>
        <w:t xml:space="preserve">apitulli 16 </w:t>
      </w:r>
      <w:r w:rsidR="007C41EB" w:rsidRPr="00913E39">
        <w:rPr>
          <w:rFonts w:ascii="Garamond" w:hAnsi="Garamond"/>
          <w:sz w:val="24"/>
        </w:rPr>
        <w:t>“</w:t>
      </w:r>
      <w:r w:rsidRPr="00913E39">
        <w:rPr>
          <w:rFonts w:ascii="Garamond" w:hAnsi="Garamond"/>
          <w:sz w:val="24"/>
        </w:rPr>
        <w:t>Tatimet</w:t>
      </w:r>
      <w:r w:rsidR="007C41EB" w:rsidRPr="00913E39">
        <w:rPr>
          <w:rFonts w:ascii="Garamond" w:hAnsi="Garamond"/>
          <w:sz w:val="24"/>
        </w:rPr>
        <w:t>”</w:t>
      </w:r>
      <w:r w:rsidRPr="00913E39">
        <w:rPr>
          <w:rFonts w:ascii="Garamond" w:hAnsi="Garamond"/>
          <w:sz w:val="24"/>
        </w:rPr>
        <w:t>). Disponueshmëria e informacionit të saktë dhe në kohë nëpërmjet CbCR</w:t>
      </w:r>
      <w:r w:rsidR="007C41EB" w:rsidRPr="00913E39">
        <w:rPr>
          <w:rFonts w:ascii="Garamond" w:hAnsi="Garamond"/>
          <w:sz w:val="24"/>
        </w:rPr>
        <w:t>-së</w:t>
      </w:r>
      <w:r w:rsidRPr="00913E39">
        <w:rPr>
          <w:rFonts w:ascii="Garamond" w:hAnsi="Garamond"/>
          <w:sz w:val="24"/>
        </w:rPr>
        <w:t xml:space="preserve"> nxit transparencë dhe llogaridhënie më të madhe. DPT</w:t>
      </w:r>
      <w:r w:rsidR="007C41EB" w:rsidRPr="00913E39">
        <w:rPr>
          <w:rFonts w:ascii="Garamond" w:hAnsi="Garamond"/>
          <w:sz w:val="24"/>
        </w:rPr>
        <w:t>-ja</w:t>
      </w:r>
      <w:r w:rsidRPr="00913E39">
        <w:rPr>
          <w:rFonts w:ascii="Garamond" w:hAnsi="Garamond"/>
          <w:sz w:val="24"/>
        </w:rPr>
        <w:t xml:space="preserve"> do të përdorë këto të dhëna për të verifikuar qëndrueshmërinë midis fitimeve të raportuara, taksave të paguara dhe aktiviteteve ekonomike në juridiksione. Rritja e kontrollit dhe transparencës dekurajojnë sjelljet e papajtueshme dhe nxitin transaksionet ndërkombëtare dhe kompanitë shumëkombëshe që të përmbushin detyrimet e tyre tatimore. Prandaj pritet përmirësimi i pajtueshmërisë të kontribuojë në bazë më të gjerë tatimore dhe të ardhura më të larta tatimore për juridiksionin. CbCR do të lehtësojë shkëmbimin e informacionit tatimor ndërmjet administratave tatimore, duke nxitur bashkëpunimin ndërkombëtar për luftën kundër shmangies së taksave dhe erozionit bazë. Duke ndarë informacionin, DPT</w:t>
      </w:r>
      <w:r w:rsidR="007C41EB" w:rsidRPr="00913E39">
        <w:rPr>
          <w:rFonts w:ascii="Garamond" w:hAnsi="Garamond"/>
          <w:sz w:val="24"/>
        </w:rPr>
        <w:t>-ja</w:t>
      </w:r>
      <w:r w:rsidRPr="00913E39">
        <w:rPr>
          <w:rFonts w:ascii="Garamond" w:hAnsi="Garamond"/>
          <w:sz w:val="24"/>
        </w:rPr>
        <w:t xml:space="preserve"> do të shfrytëzojë përvojat dhe njohuritë e homologëve të saj, të cilat mund të kontribuojnë në përdorimin më efikas të burimeve dhe në shmangien e përpjekjeve të përsëritura. Ky bashkëpunim redukton barrën mbi administratat tatimore individuale dhe rrit efikasitetin e përgjithshëm në adresimin e çështjeve tatimore ndërshtetërore. Për më tepër, ai përfshin raportimin e standardizuar të të dhënave financiare dhe </w:t>
      </w:r>
      <w:r w:rsidRPr="00913E39">
        <w:rPr>
          <w:rFonts w:ascii="Garamond" w:hAnsi="Garamond"/>
          <w:sz w:val="24"/>
        </w:rPr>
        <w:lastRenderedPageBreak/>
        <w:t>tatimore. Kjo thjeshton proceset e raportimit si për tatimpaguesit ashtu edhe për DPT-në, duke reduktuar mbingarkesën administrative dhe kostot shoqëruese. Duke automatizuar mbledhjen dhe përpunimin e të dhënave, administratat tatimore mund të çlirojnë burimet, të minimizojnë gabimet dhe të përmirësojnë efikasitetin operacional.</w:t>
      </w:r>
    </w:p>
    <w:p w14:paraId="082A2AE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Zbatimi i CbCR dhe shkëmbimi i informacionit ndërmjet administratave tatimore do të krijojë potencialisht një efekt frenues ndaj atyre që kryejnë evazion të mundshëm fiskal. Rritja e transparencës dhe rreziku i nxjerrjes së të dhënave mund të dekurajojnë sjelljet e papajtueshme, duke çuar në përmirësimin e përmbushjes vullnetare të detyrimeve nga ana e tatimpaguesve. Ndërsa rriten normat e përmbushjes, DPT mund të arrijë nivele më të larta të efikasitetit në mbledhjen e të ardhurave dhe të zvogëlojë nevojën për masa të gjera detyruese.</w:t>
      </w:r>
    </w:p>
    <w:p w14:paraId="54BC3CDA" w14:textId="28AF474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sa i përket vlerësimit të riskut, aksesi në informacion të plotë i jep DPT-së fuqinë për të kryer vlerësime më të sakta. Duke analizuar të dhënat financiare të raportuara nëpërmjet raportimi vend për vend (CbCR), DPT</w:t>
      </w:r>
      <w:r w:rsidR="007C41EB" w:rsidRPr="00913E39">
        <w:rPr>
          <w:rFonts w:ascii="Garamond" w:hAnsi="Garamond"/>
          <w:sz w:val="24"/>
        </w:rPr>
        <w:t>-ja</w:t>
      </w:r>
      <w:r w:rsidRPr="00913E39">
        <w:rPr>
          <w:rFonts w:ascii="Garamond" w:hAnsi="Garamond"/>
          <w:sz w:val="24"/>
        </w:rPr>
        <w:t xml:space="preserve"> do të jetë në gjendje të identifikojë në mënyrë më efikase dhe të shpejtë strategjitë e mundshme të shmangies së taksave dhe fushat e praktikave të mospërmbushjes. Kjo do t</w:t>
      </w:r>
      <w:r w:rsidR="005222A5" w:rsidRPr="00913E39">
        <w:rPr>
          <w:rFonts w:ascii="Garamond" w:hAnsi="Garamond"/>
          <w:sz w:val="24"/>
        </w:rPr>
        <w:t>’</w:t>
      </w:r>
      <w:r w:rsidRPr="00913E39">
        <w:rPr>
          <w:rFonts w:ascii="Garamond" w:hAnsi="Garamond"/>
          <w:sz w:val="24"/>
        </w:rPr>
        <w:t>u mundësojë atyre shpërndarjen e burimeve të tyre të auditimit dhe vlerësimin e rrezikut në mënyrë më efektive, duke synuar me saktësi më të madhe fushat me rrezik të lartë.</w:t>
      </w:r>
    </w:p>
    <w:p w14:paraId="547750BC" w14:textId="4868E57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më tepër, duke i fokusuar auditimet dhe hetimet e tyre në fushat me rrezik të lartë të identifikuara nëpërmjet analizës së të dhënave të Raportimit Vend për Vend, njësitë e DPT-së mund t</w:t>
      </w:r>
      <w:r w:rsidR="005222A5" w:rsidRPr="00913E39">
        <w:rPr>
          <w:rFonts w:ascii="Garamond" w:hAnsi="Garamond"/>
          <w:sz w:val="24"/>
        </w:rPr>
        <w:t>’</w:t>
      </w:r>
      <w:r w:rsidRPr="00913E39">
        <w:rPr>
          <w:rFonts w:ascii="Garamond" w:hAnsi="Garamond"/>
          <w:sz w:val="24"/>
        </w:rPr>
        <w:t>i shpërndajnë burimet e tyre në mënyrë më efikase dhe objektive. Kjo qasje strategjike siguron që burimet të përdoren aty ku janë më të nevojshme, duke përmirësuar efektivitetin e veprimeve të zbatimit. Për të mbështetur këtë iniciativë, do të kryhen aktivitete që adresojnë mungesën e kapaciteteve teknike dhe raportuese dhe infrastrukturës së nevojshme, krahas përafrimit me standardet e BE-së nëpërmjet përafrimit të nevojshëm të akteve nënligjore.</w:t>
      </w:r>
    </w:p>
    <w:p w14:paraId="00611876" w14:textId="21004FD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më tepër, informacioni i detajuar i marrë nëpërmjet sistemit CbCR do t</w:t>
      </w:r>
      <w:r w:rsidR="005222A5" w:rsidRPr="00913E39">
        <w:rPr>
          <w:rFonts w:ascii="Garamond" w:hAnsi="Garamond"/>
          <w:sz w:val="24"/>
        </w:rPr>
        <w:t>’</w:t>
      </w:r>
      <w:r w:rsidRPr="00913E39">
        <w:rPr>
          <w:rFonts w:ascii="Garamond" w:hAnsi="Garamond"/>
          <w:sz w:val="24"/>
        </w:rPr>
        <w:t>i mundësojë DPT-së të identifikojë zona ose transaksione specifike që kërkojnë një shqyrtim më të hollësishëm. Duke i drejtuar përpjekjet e tyre të zbatimit drejt këtyre risqeve të identifikuara, DPT</w:t>
      </w:r>
      <w:r w:rsidR="007C41EB" w:rsidRPr="00913E39">
        <w:rPr>
          <w:rFonts w:ascii="Garamond" w:hAnsi="Garamond"/>
          <w:sz w:val="24"/>
        </w:rPr>
        <w:t>-ja</w:t>
      </w:r>
      <w:r w:rsidRPr="00913E39">
        <w:rPr>
          <w:rFonts w:ascii="Garamond" w:hAnsi="Garamond"/>
          <w:sz w:val="24"/>
        </w:rPr>
        <w:t xml:space="preserve"> mund të rrisë ndjeshëm aftësinë e tyre për të zbuluar praktikat e mospërmbushjes. </w:t>
      </w:r>
    </w:p>
    <w:p w14:paraId="27F42A61" w14:textId="77777777" w:rsidR="00847F23" w:rsidRPr="00913E39" w:rsidRDefault="00847F23" w:rsidP="00FC4C60">
      <w:pPr>
        <w:spacing w:after="0" w:line="240" w:lineRule="auto"/>
        <w:ind w:firstLine="284"/>
        <w:jc w:val="both"/>
        <w:rPr>
          <w:rFonts w:ascii="Garamond" w:hAnsi="Garamond"/>
          <w:sz w:val="24"/>
          <w:u w:val="single"/>
        </w:rPr>
      </w:pPr>
      <w:r w:rsidRPr="00913E39">
        <w:rPr>
          <w:rFonts w:ascii="Garamond" w:hAnsi="Garamond"/>
          <w:b/>
          <w:sz w:val="24"/>
        </w:rPr>
        <w:t>Legjislacioni i zbatueshëm i BE-së:</w:t>
      </w:r>
    </w:p>
    <w:p w14:paraId="5D0A97F7" w14:textId="2CB0DD9D"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VIES (Sistemi i Shkëmbimit të Informacionit të TVSH-së) dhe TVSH-ja në epokën digjitale (ViDA)</w:t>
      </w:r>
      <w:r w:rsidR="007C41EB" w:rsidRPr="00913E39">
        <w:rPr>
          <w:rFonts w:ascii="Garamond" w:hAnsi="Garamond"/>
          <w:i/>
          <w:sz w:val="24"/>
        </w:rPr>
        <w:t>;</w:t>
      </w:r>
    </w:p>
    <w:p w14:paraId="7A74C6F4" w14:textId="6A8669B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Direktiva e TVSH-së (2006/112/KE)</w:t>
      </w:r>
      <w:r w:rsidR="007C41EB" w:rsidRPr="00913E39">
        <w:rPr>
          <w:rFonts w:ascii="Garamond" w:hAnsi="Garamond"/>
          <w:sz w:val="24"/>
        </w:rPr>
        <w:t>;</w:t>
      </w:r>
      <w:r w:rsidRPr="00913E39">
        <w:rPr>
          <w:rFonts w:ascii="Garamond" w:hAnsi="Garamond"/>
          <w:sz w:val="24"/>
        </w:rPr>
        <w:t xml:space="preserve"> </w:t>
      </w:r>
    </w:p>
    <w:p w14:paraId="6D0171E1" w14:textId="3CA17A5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Rregullorja </w:t>
      </w:r>
      <w:r w:rsidR="007C41EB" w:rsidRPr="00913E39">
        <w:rPr>
          <w:rFonts w:ascii="Garamond" w:hAnsi="Garamond"/>
          <w:sz w:val="24"/>
        </w:rPr>
        <w:t>z</w:t>
      </w:r>
      <w:r w:rsidRPr="00913E39">
        <w:rPr>
          <w:rFonts w:ascii="Garamond" w:hAnsi="Garamond"/>
          <w:sz w:val="24"/>
        </w:rPr>
        <w:t>batuese e Këshillit (BE 282/2011)</w:t>
      </w:r>
      <w:r w:rsidR="007C41EB" w:rsidRPr="00913E39">
        <w:rPr>
          <w:rFonts w:ascii="Garamond" w:hAnsi="Garamond"/>
          <w:sz w:val="24"/>
        </w:rPr>
        <w:t>;</w:t>
      </w:r>
    </w:p>
    <w:p w14:paraId="6B7AACA9"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Rregullorja e Këshillit për Bashkëpunimin Administrativ (BE 904/2010). </w:t>
      </w:r>
    </w:p>
    <w:p w14:paraId="5C3ECD33" w14:textId="46783F2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w:t>
      </w:r>
      <w:r w:rsidR="0030426B" w:rsidRPr="00913E39">
        <w:rPr>
          <w:rFonts w:ascii="Garamond" w:hAnsi="Garamond"/>
          <w:sz w:val="24"/>
        </w:rPr>
        <w:t>nënfushën e mbështetjes tatimore,</w:t>
      </w:r>
      <w:r w:rsidRPr="00913E39">
        <w:rPr>
          <w:rFonts w:ascii="Garamond" w:hAnsi="Garamond"/>
          <w:sz w:val="24"/>
        </w:rPr>
        <w:t xml:space="preserve"> Programi Operacional kontribuon në zbatimin e </w:t>
      </w:r>
      <w:r w:rsidRPr="00913E39">
        <w:rPr>
          <w:rFonts w:ascii="Garamond" w:hAnsi="Garamond"/>
          <w:i/>
          <w:sz w:val="24"/>
        </w:rPr>
        <w:t>acquis</w:t>
      </w:r>
      <w:r w:rsidRPr="00913E39">
        <w:rPr>
          <w:rFonts w:ascii="Garamond" w:hAnsi="Garamond"/>
          <w:sz w:val="24"/>
        </w:rPr>
        <w:t xml:space="preserve"> të BE-së, përkatësisht </w:t>
      </w:r>
      <w:r w:rsidR="007C41EB" w:rsidRPr="00913E39">
        <w:rPr>
          <w:rFonts w:ascii="Garamond" w:hAnsi="Garamond"/>
          <w:sz w:val="24"/>
        </w:rPr>
        <w:t>d</w:t>
      </w:r>
      <w:r w:rsidRPr="00913E39">
        <w:rPr>
          <w:rFonts w:ascii="Garamond" w:hAnsi="Garamond"/>
          <w:sz w:val="24"/>
        </w:rPr>
        <w:t xml:space="preserve">irektivën e Këshillit të BE-së 2006/112/KE të datës 28 nëntor 2006 që krijon sistemin e përbashkët të Tatimit mbi Vlerën e Shtuar (TVSH) brenda Bashkimit Evropian. Kjo </w:t>
      </w:r>
      <w:r w:rsidR="00B0033A" w:rsidRPr="00913E39">
        <w:rPr>
          <w:rFonts w:ascii="Garamond" w:hAnsi="Garamond"/>
          <w:sz w:val="24"/>
        </w:rPr>
        <w:t xml:space="preserve">direktivë </w:t>
      </w:r>
      <w:r w:rsidRPr="00913E39">
        <w:rPr>
          <w:rFonts w:ascii="Garamond" w:hAnsi="Garamond"/>
          <w:sz w:val="24"/>
        </w:rPr>
        <w:t>ofron kuadrin ligjor dhe udhëzimet për zbatimin e TVSH-së në Shtetet Anëtare të BE-së. Direktiva përshkruan fushën e TVSH-së, duke përfshirë llojet e transaksioneve dhe aktiviteteve që i nënshtrohen TVSH-së. Ajo vendos rregullat për përcaktimin e shumës së tatueshme, normat e TVSH-së, përjashtimet dhe zbritjet. Përcakton gjithashtu detyrimet e bizneseve në lidhje me regjistrimin e TVSH-së, faturimin, raportimin dhe mbajtjen e kontabilitetit.</w:t>
      </w:r>
    </w:p>
    <w:p w14:paraId="7052F677" w14:textId="15A35C8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Rezultati 3 kontribuon në zbatimin e dispozitave të </w:t>
      </w:r>
      <w:r w:rsidR="00B0033A" w:rsidRPr="00913E39">
        <w:rPr>
          <w:rFonts w:ascii="Garamond" w:hAnsi="Garamond"/>
          <w:sz w:val="24"/>
        </w:rPr>
        <w:t xml:space="preserve">direktivës </w:t>
      </w:r>
      <w:r w:rsidRPr="00913E39">
        <w:rPr>
          <w:rFonts w:ascii="Garamond" w:hAnsi="Garamond"/>
          <w:sz w:val="24"/>
        </w:rPr>
        <w:t>pasi promovon harmonizimin e rregulloreve të TVSH-së në të gjitha Shtetet Anëtare të BE-së për të siguruar qëndrueshmëri dhe për të lehtësuar tregtinë ndërkufitare. Ajo përfshin dispozita për trajtimin e transaksioneve brenda BE-së, duke përfshirë zbatimin e mekanizmit të autolikuidimit (</w:t>
      </w:r>
      <w:r w:rsidRPr="00913E39">
        <w:rPr>
          <w:rFonts w:ascii="Garamond" w:hAnsi="Garamond"/>
          <w:i/>
          <w:sz w:val="24"/>
        </w:rPr>
        <w:t>reverse charge</w:t>
      </w:r>
      <w:r w:rsidRPr="00913E39">
        <w:rPr>
          <w:rFonts w:ascii="Garamond" w:hAnsi="Garamond"/>
          <w:sz w:val="24"/>
        </w:rPr>
        <w:t>) dhe rregullat për përcaktimin e vendit të sigurimit. Legjislacion tjetër i zbatueshëm i BE-së:</w:t>
      </w:r>
    </w:p>
    <w:p w14:paraId="39C6245F" w14:textId="20A12838" w:rsidR="00847F23" w:rsidRPr="00913E39" w:rsidRDefault="00847F23" w:rsidP="00FC4C60">
      <w:pPr>
        <w:spacing w:after="0" w:line="240" w:lineRule="auto"/>
        <w:ind w:firstLine="284"/>
        <w:jc w:val="both"/>
        <w:rPr>
          <w:rFonts w:ascii="Garamond" w:hAnsi="Garamond"/>
          <w:sz w:val="24"/>
          <w:shd w:val="clear" w:color="auto" w:fill="FFFFFF"/>
        </w:rPr>
      </w:pPr>
      <w:r w:rsidRPr="00913E39">
        <w:rPr>
          <w:rFonts w:ascii="Garamond" w:hAnsi="Garamond"/>
          <w:sz w:val="24"/>
        </w:rPr>
        <w:t xml:space="preserve">Rregullorja </w:t>
      </w:r>
      <w:r w:rsidR="00AC3A3A" w:rsidRPr="00913E39">
        <w:rPr>
          <w:rFonts w:ascii="Garamond" w:hAnsi="Garamond"/>
          <w:sz w:val="24"/>
        </w:rPr>
        <w:t xml:space="preserve">zbatuese </w:t>
      </w:r>
      <w:r w:rsidRPr="00913E39">
        <w:rPr>
          <w:rFonts w:ascii="Garamond" w:hAnsi="Garamond"/>
          <w:sz w:val="24"/>
        </w:rPr>
        <w:t xml:space="preserve">e Këshillit (BE) </w:t>
      </w:r>
      <w:r w:rsidR="00AC3A3A" w:rsidRPr="00913E39">
        <w:rPr>
          <w:rFonts w:ascii="Garamond" w:hAnsi="Garamond"/>
          <w:sz w:val="24"/>
        </w:rPr>
        <w:t>nr</w:t>
      </w:r>
      <w:r w:rsidRPr="00913E39">
        <w:rPr>
          <w:rFonts w:ascii="Garamond" w:hAnsi="Garamond"/>
          <w:sz w:val="24"/>
        </w:rPr>
        <w:t xml:space="preserve">. 282/2011 e datës 15 mars 2011 që përcakton masat zbatuese për Direktivën 2006/112/KE mbi sistemin e përbashkët të tatimit mbi vlerën e shtuar; </w:t>
      </w:r>
      <w:r w:rsidR="00AC3A3A" w:rsidRPr="00913E39">
        <w:rPr>
          <w:rFonts w:ascii="Garamond" w:hAnsi="Garamond"/>
          <w:sz w:val="24"/>
          <w:shd w:val="clear" w:color="auto" w:fill="FFFFFF"/>
        </w:rPr>
        <w:t xml:space="preserve">rregullorja </w:t>
      </w:r>
      <w:r w:rsidRPr="00913E39">
        <w:rPr>
          <w:rFonts w:ascii="Garamond" w:hAnsi="Garamond"/>
          <w:sz w:val="24"/>
          <w:shd w:val="clear" w:color="auto" w:fill="FFFFFF"/>
        </w:rPr>
        <w:t xml:space="preserve">e </w:t>
      </w:r>
      <w:r w:rsidR="00283868" w:rsidRPr="00913E39">
        <w:rPr>
          <w:rFonts w:ascii="Garamond" w:hAnsi="Garamond"/>
          <w:sz w:val="24"/>
          <w:shd w:val="clear" w:color="auto" w:fill="FFFFFF"/>
        </w:rPr>
        <w:t xml:space="preserve">Këshillit </w:t>
      </w:r>
      <w:r w:rsidRPr="00913E39">
        <w:rPr>
          <w:rFonts w:ascii="Garamond" w:hAnsi="Garamond"/>
          <w:sz w:val="24"/>
          <w:shd w:val="clear" w:color="auto" w:fill="FFFFFF"/>
        </w:rPr>
        <w:t xml:space="preserve">(BE) </w:t>
      </w:r>
      <w:r w:rsidR="00AC3A3A" w:rsidRPr="00913E39">
        <w:rPr>
          <w:rFonts w:ascii="Garamond" w:hAnsi="Garamond"/>
          <w:sz w:val="24"/>
          <w:shd w:val="clear" w:color="auto" w:fill="FFFFFF"/>
        </w:rPr>
        <w:t>nr</w:t>
      </w:r>
      <w:r w:rsidRPr="00913E39">
        <w:rPr>
          <w:rFonts w:ascii="Garamond" w:hAnsi="Garamond"/>
          <w:sz w:val="24"/>
          <w:shd w:val="clear" w:color="auto" w:fill="FFFFFF"/>
        </w:rPr>
        <w:t xml:space="preserve">. 904/2010 e datës 7 tetor 2010 mbi bashkëpunimin administrativ dhe luftën kundër mashtrimit në fushën e tatimit mbi vlerën e shtuar (rishikuar). </w:t>
      </w:r>
    </w:p>
    <w:p w14:paraId="15345417" w14:textId="65744D59" w:rsidR="00A30214"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 xml:space="preserve">Raportimi Vend pas Vendi (standardi i OECD)/Direktiva e Këshillit të BE-së 2016/881/BE e datës 25 maj 2016 që ndryshon </w:t>
      </w:r>
      <w:r w:rsidR="00B0033A" w:rsidRPr="00913E39">
        <w:rPr>
          <w:rFonts w:ascii="Garamond" w:hAnsi="Garamond"/>
          <w:i/>
          <w:sz w:val="24"/>
        </w:rPr>
        <w:t xml:space="preserve">direktivën </w:t>
      </w:r>
      <w:r w:rsidRPr="00913E39">
        <w:rPr>
          <w:rFonts w:ascii="Garamond" w:hAnsi="Garamond"/>
          <w:i/>
          <w:sz w:val="24"/>
        </w:rPr>
        <w:t>2011/16/BE në lidhje me shkëmbimin e detyrueshëm automatik të informacionit në fushën e tatimeve (DAC4) - akoma e pa harmonizuar.</w:t>
      </w:r>
    </w:p>
    <w:p w14:paraId="016E3525" w14:textId="58BA513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 xml:space="preserve">Rezultati 4 kontribuon në zbatimin e </w:t>
      </w:r>
      <w:r w:rsidRPr="00913E39">
        <w:rPr>
          <w:rFonts w:ascii="Garamond" w:hAnsi="Garamond"/>
          <w:i/>
          <w:sz w:val="24"/>
        </w:rPr>
        <w:t>acquis</w:t>
      </w:r>
      <w:r w:rsidRPr="00913E39">
        <w:rPr>
          <w:rFonts w:ascii="Garamond" w:hAnsi="Garamond"/>
          <w:sz w:val="24"/>
        </w:rPr>
        <w:t xml:space="preserve"> të BE-së, përkatësisht </w:t>
      </w:r>
      <w:r w:rsidR="00B0033A" w:rsidRPr="00913E39">
        <w:rPr>
          <w:rFonts w:ascii="Garamond" w:hAnsi="Garamond"/>
          <w:sz w:val="24"/>
        </w:rPr>
        <w:t xml:space="preserve">direktivën </w:t>
      </w:r>
      <w:r w:rsidRPr="00913E39">
        <w:rPr>
          <w:rFonts w:ascii="Garamond" w:hAnsi="Garamond"/>
          <w:sz w:val="24"/>
        </w:rPr>
        <w:t>e Këshillit të BE-së 2011/16/BE mbi Shkëmbimin e Detyrueshëm Automatik të Informacionit në fushën e Tatimeve, lëshuar nga Bashkimi Evropian për të rritur transparencën tatimore dhe për të luftuar evazionin fiskal. Ai vendos rregulla për shkëmbimin automatik të informacionit ndërmjet shteteve anëtare të BE-së në lidhje me lloje të ndryshme të të dhënave financiare.</w:t>
      </w:r>
    </w:p>
    <w:p w14:paraId="7BF97DBE" w14:textId="529C528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Direktiva mandaton shtetet anëtare të BE-së që të shkëmbejnë automatikisht informacion në lidhje me aspekte të ndryshme financiare, duke përfshirë gjendjen e llogarive bankare, të ardhurat nga interesat, dividentët dhe llojet specifike të politikave të sigurimit. Ky shkëmbim informacioni synon t</w:t>
      </w:r>
      <w:r w:rsidR="005222A5" w:rsidRPr="00913E39">
        <w:rPr>
          <w:rFonts w:ascii="Garamond" w:hAnsi="Garamond"/>
          <w:sz w:val="24"/>
        </w:rPr>
        <w:t>’</w:t>
      </w:r>
      <w:r w:rsidRPr="00913E39">
        <w:rPr>
          <w:rFonts w:ascii="Garamond" w:hAnsi="Garamond"/>
          <w:sz w:val="24"/>
        </w:rPr>
        <w:t xml:space="preserve">u japë autoriteteve tatimore një pasqyrë gjithëpërfshirëse të aktiviteteve financiare dhe aseteve të tatimpaguesve të tyre përtej kufijve kombëtarë. Zbatimi i </w:t>
      </w:r>
      <w:r w:rsidR="007C41EB" w:rsidRPr="00913E39">
        <w:rPr>
          <w:rFonts w:ascii="Garamond" w:hAnsi="Garamond"/>
          <w:sz w:val="24"/>
        </w:rPr>
        <w:t>d</w:t>
      </w:r>
      <w:r w:rsidRPr="00913E39">
        <w:rPr>
          <w:rFonts w:ascii="Garamond" w:hAnsi="Garamond"/>
          <w:sz w:val="24"/>
        </w:rPr>
        <w:t>irektivës së BE-së për Shkëmbimin e Detyrueshëm Automatik të Informacionit në fushën e Tatimeve synon të rrisë përmbushjen tatimore, të dekurajojë evazionin fiskal dhe planifikimin agresiv tatimor dhe të promovojë transparencën në transaksionet financiare ndërkufitare. Kët</w:t>
      </w:r>
      <w:r w:rsidR="00AA29EF" w:rsidRPr="00913E39">
        <w:rPr>
          <w:rFonts w:ascii="Garamond" w:hAnsi="Garamond"/>
          <w:sz w:val="24"/>
        </w:rPr>
        <w:t>a</w:t>
      </w:r>
      <w:r w:rsidRPr="00913E39">
        <w:rPr>
          <w:rFonts w:ascii="Garamond" w:hAnsi="Garamond"/>
          <w:sz w:val="24"/>
        </w:rPr>
        <w:t xml:space="preserve"> objektiva përputhen ngushtë me qëllimet e këtij Programi Operacional. Direktiva përputhet gjithashtu me iniciativat ndërkombëtare si CRS e zhvilluar nga Organizata për Bashkëpunim dhe Zhvillim Ekonomik (OECD). CRS lehtëson shkëmbimin automatik të informacionit të llogarisë financiare në shkallë globale dhe është marrë parasysh gjatë përgatitjes së këtij Programi Operacional.</w:t>
      </w:r>
    </w:p>
    <w:p w14:paraId="2D59CFCC" w14:textId="617E5AA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më tepër, ky rezultat synon të harmonizohet me </w:t>
      </w:r>
      <w:r w:rsidR="007C41EB" w:rsidRPr="00913E39">
        <w:rPr>
          <w:rFonts w:ascii="Garamond" w:hAnsi="Garamond"/>
          <w:sz w:val="24"/>
        </w:rPr>
        <w:t>d</w:t>
      </w:r>
      <w:r w:rsidRPr="00913E39">
        <w:rPr>
          <w:rFonts w:ascii="Garamond" w:hAnsi="Garamond"/>
          <w:sz w:val="24"/>
        </w:rPr>
        <w:t>irektivën BE 2021/2101 të Parlamentit Evropian dhe të Këshillit të datës 24 nëntor 2021, e cila ndryshon</w:t>
      </w:r>
      <w:r w:rsidR="00B0033A" w:rsidRPr="00913E39">
        <w:rPr>
          <w:rFonts w:ascii="Garamond" w:hAnsi="Garamond"/>
          <w:sz w:val="24"/>
        </w:rPr>
        <w:t xml:space="preserve"> direktiv</w:t>
      </w:r>
      <w:r w:rsidRPr="00913E39">
        <w:rPr>
          <w:rFonts w:ascii="Garamond" w:hAnsi="Garamond"/>
          <w:sz w:val="24"/>
        </w:rPr>
        <w:t>ën 2013/34/BE në lidhje me nxjerrjen e informacionit për tatimin mbi të ardhurat nga ndërmarrje dhe degë të caktuara. Ajo thekson rëndësinë e raportimit gjithëpërfshirës publik vend pas vendi për të rritur transparencën e korporatës dhe për të rritur kontrollin publik dhe për të forcuar mbikëqyrjen publike të tatimit mbi të ardhurat të korporatave që paguajnë kompanitë shumëkombëshe të cilat operojnë brenda Bashkimit Evropian.</w:t>
      </w:r>
    </w:p>
    <w:p w14:paraId="6985882B" w14:textId="2DAE6694"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Rezultati (</w:t>
      </w:r>
      <w:r w:rsidR="007C41EB" w:rsidRPr="00913E39">
        <w:rPr>
          <w:rFonts w:ascii="Garamond" w:hAnsi="Garamond"/>
          <w:i/>
          <w:sz w:val="24"/>
        </w:rPr>
        <w:t>o</w:t>
      </w:r>
      <w:r w:rsidRPr="00913E39">
        <w:rPr>
          <w:rFonts w:ascii="Garamond" w:hAnsi="Garamond"/>
          <w:i/>
          <w:sz w:val="24"/>
        </w:rPr>
        <w:t xml:space="preserve">bjektivi specifik): </w:t>
      </w:r>
      <w:r w:rsidR="00AC3A3A" w:rsidRPr="00913E39">
        <w:rPr>
          <w:rFonts w:ascii="Garamond" w:hAnsi="Garamond"/>
          <w:sz w:val="24"/>
        </w:rPr>
        <w:t xml:space="preserve">objektivi </w:t>
      </w:r>
      <w:r w:rsidRPr="00913E39">
        <w:rPr>
          <w:rFonts w:ascii="Garamond" w:hAnsi="Garamond"/>
          <w:sz w:val="24"/>
        </w:rPr>
        <w:t>specifik i kësaj fushe të mbështetjes është integrimi i mëtejshëm/ ndërveprimi i Sistemit Shqiptar të Tatimeve me VIES/VIDA të BE-së, si dhe përmirësimi i kapacitetit të menaxhimit të riskut të autoriteteve kombëtare (veçanërisht DPT) nëpërmjet shkëmbimit më të shpejtë dhe automatik të informacionit me shtetet e tjera anëtare dhe zbatimit të metodave CbCR siç rekomandohet në nivelet e OECD-së dhe BE-së.</w:t>
      </w:r>
    </w:p>
    <w:p w14:paraId="42C5C944" w14:textId="24996273"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 xml:space="preserve">Tipologjitë e produkteve: </w:t>
      </w:r>
      <w:r w:rsidR="00AC3A3A" w:rsidRPr="00913E39">
        <w:rPr>
          <w:rFonts w:ascii="Garamond" w:hAnsi="Garamond"/>
          <w:sz w:val="24"/>
        </w:rPr>
        <w:t>draftlegjislacioni</w:t>
      </w:r>
      <w:r w:rsidRPr="00913E39">
        <w:rPr>
          <w:rFonts w:ascii="Garamond" w:hAnsi="Garamond"/>
          <w:sz w:val="24"/>
        </w:rPr>
        <w:t xml:space="preserve">, studime fizibiliteti. Fushata informuese për sipërmarrjet shqiptare. Mbështetje, trajnim dhe asistencë teknike për stafin e IT-së të DPT-së, duke përfshirë përgatitjen dhe përditësimin e standardeve teknike, udhëzimeve dhe specifikimeve. Blerja e pajisjeve, blerja e programeve të gatshëm dhe/ose rekrutimi i fuqisë punëtore të kualifikuar për projektimin dhe zhvillimin e aplikacioneve të reja të IT-së dhe/ose modifikimin e sistemeve dhe aplikacioneve ekzistuese të IT-së. </w:t>
      </w:r>
    </w:p>
    <w:p w14:paraId="38C701E8" w14:textId="3114B5C4"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Tabela 18</w:t>
      </w:r>
      <w:r w:rsidR="007C41EB" w:rsidRPr="00913E39">
        <w:rPr>
          <w:rFonts w:ascii="Garamond" w:hAnsi="Garamond"/>
          <w:i/>
          <w:sz w:val="24"/>
        </w:rPr>
        <w:t>.</w:t>
      </w:r>
      <w:r w:rsidRPr="00913E39">
        <w:rPr>
          <w:rFonts w:ascii="Garamond" w:hAnsi="Garamond"/>
          <w:i/>
          <w:sz w:val="24"/>
        </w:rPr>
        <w:t xml:space="preserve"> Tatimet, </w:t>
      </w:r>
      <w:r w:rsidR="007C41EB" w:rsidRPr="00913E39">
        <w:rPr>
          <w:rFonts w:ascii="Garamond" w:hAnsi="Garamond"/>
          <w:i/>
          <w:sz w:val="24"/>
        </w:rPr>
        <w:t>n</w:t>
      </w:r>
      <w:r w:rsidRPr="00913E39">
        <w:rPr>
          <w:rFonts w:ascii="Garamond" w:hAnsi="Garamond"/>
          <w:i/>
          <w:sz w:val="24"/>
        </w:rPr>
        <w:t>dikimi, rezultati dhe treguesit e produktit (përfshirë bazën e referimit dhe synimet)</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5" w:type="dxa"/>
          <w:left w:w="15" w:type="dxa"/>
          <w:bottom w:w="15" w:type="dxa"/>
          <w:right w:w="15" w:type="dxa"/>
        </w:tblCellMar>
        <w:tblLook w:val="04A0" w:firstRow="1" w:lastRow="0" w:firstColumn="1" w:lastColumn="0" w:noHBand="0" w:noVBand="1"/>
      </w:tblPr>
      <w:tblGrid>
        <w:gridCol w:w="1213"/>
        <w:gridCol w:w="2076"/>
        <w:gridCol w:w="2479"/>
        <w:gridCol w:w="1420"/>
        <w:gridCol w:w="891"/>
        <w:gridCol w:w="999"/>
      </w:tblGrid>
      <w:tr w:rsidR="00847F23" w:rsidRPr="00913E39" w14:paraId="05ECC3D8" w14:textId="77777777" w:rsidTr="007C41EB">
        <w:trPr>
          <w:trHeight w:val="21"/>
          <w:tblHeader/>
          <w:jc w:val="center"/>
        </w:trPr>
        <w:tc>
          <w:tcPr>
            <w:tcW w:w="676" w:type="pct"/>
            <w:shd w:val="clear" w:color="auto" w:fill="auto"/>
            <w:tcMar>
              <w:top w:w="100" w:type="dxa"/>
              <w:left w:w="100" w:type="dxa"/>
              <w:bottom w:w="100" w:type="dxa"/>
              <w:right w:w="100" w:type="dxa"/>
            </w:tcMar>
            <w:vAlign w:val="center"/>
            <w:hideMark/>
          </w:tcPr>
          <w:p w14:paraId="45A0F0B5" w14:textId="77777777" w:rsidR="00847F23" w:rsidRPr="00913E39" w:rsidRDefault="00847F23" w:rsidP="007C41EB">
            <w:pPr>
              <w:spacing w:after="0" w:line="240" w:lineRule="auto"/>
              <w:jc w:val="center"/>
              <w:rPr>
                <w:rFonts w:ascii="Garamond" w:hAnsi="Garamond"/>
                <w:sz w:val="18"/>
              </w:rPr>
            </w:pPr>
            <w:bookmarkStart w:id="42" w:name="_Hlk137622018"/>
            <w:r w:rsidRPr="00913E39">
              <w:rPr>
                <w:rFonts w:ascii="Garamond" w:hAnsi="Garamond"/>
                <w:b/>
                <w:sz w:val="18"/>
              </w:rPr>
              <w:t>Rezultatet</w:t>
            </w:r>
          </w:p>
        </w:tc>
        <w:tc>
          <w:tcPr>
            <w:tcW w:w="1151" w:type="pct"/>
            <w:shd w:val="clear" w:color="auto" w:fill="auto"/>
            <w:tcMar>
              <w:top w:w="100" w:type="dxa"/>
              <w:left w:w="100" w:type="dxa"/>
              <w:bottom w:w="100" w:type="dxa"/>
              <w:right w:w="100" w:type="dxa"/>
            </w:tcMar>
            <w:vAlign w:val="center"/>
          </w:tcPr>
          <w:p w14:paraId="4A3F17E9" w14:textId="77777777" w:rsidR="00847F23" w:rsidRPr="00913E39" w:rsidRDefault="00847F23" w:rsidP="007C41EB">
            <w:pPr>
              <w:spacing w:after="0" w:line="240" w:lineRule="auto"/>
              <w:jc w:val="center"/>
              <w:rPr>
                <w:rFonts w:ascii="Garamond" w:hAnsi="Garamond"/>
                <w:b/>
                <w:sz w:val="18"/>
              </w:rPr>
            </w:pPr>
            <w:r w:rsidRPr="00913E39">
              <w:rPr>
                <w:rFonts w:ascii="Garamond" w:hAnsi="Garamond"/>
                <w:b/>
                <w:sz w:val="18"/>
              </w:rPr>
              <w:t>Objektivi</w:t>
            </w:r>
          </w:p>
        </w:tc>
        <w:tc>
          <w:tcPr>
            <w:tcW w:w="1373" w:type="pct"/>
            <w:shd w:val="clear" w:color="auto" w:fill="auto"/>
            <w:tcMar>
              <w:top w:w="100" w:type="dxa"/>
              <w:left w:w="100" w:type="dxa"/>
              <w:bottom w:w="100" w:type="dxa"/>
              <w:right w:w="100" w:type="dxa"/>
            </w:tcMar>
            <w:vAlign w:val="center"/>
            <w:hideMark/>
          </w:tcPr>
          <w:p w14:paraId="71851C69" w14:textId="77777777" w:rsidR="00847F23" w:rsidRPr="00913E39" w:rsidRDefault="00847F23" w:rsidP="007C41EB">
            <w:pPr>
              <w:spacing w:after="0" w:line="240" w:lineRule="auto"/>
              <w:jc w:val="center"/>
              <w:rPr>
                <w:rFonts w:ascii="Garamond" w:hAnsi="Garamond"/>
                <w:sz w:val="18"/>
              </w:rPr>
            </w:pPr>
            <w:r w:rsidRPr="00913E39">
              <w:rPr>
                <w:rFonts w:ascii="Garamond" w:hAnsi="Garamond"/>
                <w:b/>
                <w:sz w:val="18"/>
              </w:rPr>
              <w:t>Treguesi</w:t>
            </w:r>
          </w:p>
        </w:tc>
        <w:tc>
          <w:tcPr>
            <w:tcW w:w="790" w:type="pct"/>
            <w:shd w:val="clear" w:color="auto" w:fill="auto"/>
            <w:tcMar>
              <w:top w:w="100" w:type="dxa"/>
              <w:left w:w="100" w:type="dxa"/>
              <w:bottom w:w="100" w:type="dxa"/>
              <w:right w:w="100" w:type="dxa"/>
            </w:tcMar>
            <w:vAlign w:val="center"/>
            <w:hideMark/>
          </w:tcPr>
          <w:p w14:paraId="1A9FCF06" w14:textId="34DCEA1E" w:rsidR="00847F23" w:rsidRPr="00913E39" w:rsidRDefault="00847F23" w:rsidP="007C41EB">
            <w:pPr>
              <w:spacing w:after="0" w:line="240" w:lineRule="auto"/>
              <w:jc w:val="center"/>
              <w:rPr>
                <w:rFonts w:ascii="Garamond" w:hAnsi="Garamond"/>
                <w:sz w:val="18"/>
              </w:rPr>
            </w:pPr>
            <w:r w:rsidRPr="00913E39">
              <w:rPr>
                <w:rFonts w:ascii="Garamond" w:hAnsi="Garamond"/>
                <w:b/>
                <w:sz w:val="18"/>
              </w:rPr>
              <w:t xml:space="preserve">Treguesi kryesor ose </w:t>
            </w:r>
            <w:r w:rsidR="007C41EB" w:rsidRPr="00913E39">
              <w:rPr>
                <w:rFonts w:ascii="Garamond" w:hAnsi="Garamond"/>
                <w:b/>
                <w:sz w:val="18"/>
              </w:rPr>
              <w:t>n</w:t>
            </w:r>
            <w:r w:rsidRPr="00913E39">
              <w:rPr>
                <w:rFonts w:ascii="Garamond" w:hAnsi="Garamond"/>
                <w:b/>
                <w:sz w:val="18"/>
              </w:rPr>
              <w:t>jësia matëse</w:t>
            </w:r>
          </w:p>
        </w:tc>
        <w:tc>
          <w:tcPr>
            <w:tcW w:w="452" w:type="pct"/>
            <w:shd w:val="clear" w:color="auto" w:fill="auto"/>
            <w:tcMar>
              <w:top w:w="100" w:type="dxa"/>
              <w:left w:w="100" w:type="dxa"/>
              <w:bottom w:w="100" w:type="dxa"/>
              <w:right w:w="100" w:type="dxa"/>
            </w:tcMar>
            <w:vAlign w:val="center"/>
            <w:hideMark/>
          </w:tcPr>
          <w:p w14:paraId="7FD5DBCA" w14:textId="77777777" w:rsidR="00847F23" w:rsidRPr="00913E39" w:rsidRDefault="00847F23" w:rsidP="007C41EB">
            <w:pPr>
              <w:spacing w:after="0" w:line="240" w:lineRule="auto"/>
              <w:jc w:val="center"/>
              <w:rPr>
                <w:rFonts w:ascii="Garamond" w:hAnsi="Garamond"/>
                <w:sz w:val="18"/>
              </w:rPr>
            </w:pPr>
            <w:r w:rsidRPr="00913E39">
              <w:rPr>
                <w:rFonts w:ascii="Garamond" w:hAnsi="Garamond"/>
                <w:b/>
                <w:sz w:val="18"/>
              </w:rPr>
              <w:t>Baza referuese</w:t>
            </w:r>
          </w:p>
        </w:tc>
        <w:tc>
          <w:tcPr>
            <w:tcW w:w="558" w:type="pct"/>
            <w:shd w:val="clear" w:color="auto" w:fill="auto"/>
            <w:tcMar>
              <w:top w:w="100" w:type="dxa"/>
              <w:left w:w="100" w:type="dxa"/>
              <w:bottom w:w="100" w:type="dxa"/>
              <w:right w:w="100" w:type="dxa"/>
            </w:tcMar>
            <w:vAlign w:val="center"/>
            <w:hideMark/>
          </w:tcPr>
          <w:p w14:paraId="4A5DC094" w14:textId="77777777" w:rsidR="00847F23" w:rsidRPr="00913E39" w:rsidRDefault="00847F23" w:rsidP="007C41EB">
            <w:pPr>
              <w:spacing w:after="0" w:line="240" w:lineRule="auto"/>
              <w:jc w:val="center"/>
              <w:rPr>
                <w:rFonts w:ascii="Garamond" w:hAnsi="Garamond"/>
                <w:b/>
                <w:sz w:val="18"/>
              </w:rPr>
            </w:pPr>
            <w:r w:rsidRPr="00913E39">
              <w:rPr>
                <w:rFonts w:ascii="Garamond" w:hAnsi="Garamond"/>
                <w:b/>
                <w:sz w:val="18"/>
              </w:rPr>
              <w:t>Fokusi</w:t>
            </w:r>
          </w:p>
          <w:p w14:paraId="09B1D2B3" w14:textId="77777777" w:rsidR="00847F23" w:rsidRPr="00913E39" w:rsidRDefault="00847F23" w:rsidP="007C41EB">
            <w:pPr>
              <w:spacing w:after="0" w:line="240" w:lineRule="auto"/>
              <w:jc w:val="center"/>
              <w:rPr>
                <w:rFonts w:ascii="Garamond" w:hAnsi="Garamond"/>
                <w:b/>
                <w:sz w:val="18"/>
              </w:rPr>
            </w:pPr>
            <w:r w:rsidRPr="00913E39">
              <w:rPr>
                <w:rFonts w:ascii="Garamond" w:hAnsi="Garamond"/>
                <w:b/>
                <w:sz w:val="18"/>
              </w:rPr>
              <w:t>(2032)</w:t>
            </w:r>
          </w:p>
        </w:tc>
      </w:tr>
      <w:tr w:rsidR="00847F23" w:rsidRPr="00913E39" w14:paraId="46DBEEFC" w14:textId="77777777" w:rsidTr="007C41EB">
        <w:trPr>
          <w:trHeight w:val="21"/>
          <w:jc w:val="center"/>
        </w:trPr>
        <w:tc>
          <w:tcPr>
            <w:tcW w:w="676" w:type="pct"/>
            <w:shd w:val="clear" w:color="auto" w:fill="auto"/>
            <w:tcMar>
              <w:top w:w="100" w:type="dxa"/>
              <w:left w:w="100" w:type="dxa"/>
              <w:bottom w:w="100" w:type="dxa"/>
              <w:right w:w="100" w:type="dxa"/>
            </w:tcMar>
            <w:vAlign w:val="center"/>
            <w:hideMark/>
          </w:tcPr>
          <w:p w14:paraId="6721EC64" w14:textId="77777777" w:rsidR="00847F23" w:rsidRPr="00913E39" w:rsidRDefault="00847F23" w:rsidP="007C41EB">
            <w:pPr>
              <w:spacing w:after="0" w:line="240" w:lineRule="auto"/>
              <w:jc w:val="both"/>
              <w:rPr>
                <w:rFonts w:ascii="Garamond" w:hAnsi="Garamond"/>
                <w:sz w:val="18"/>
              </w:rPr>
            </w:pPr>
            <w:r w:rsidRPr="00913E39">
              <w:rPr>
                <w:rFonts w:ascii="Garamond" w:hAnsi="Garamond"/>
                <w:b/>
                <w:sz w:val="18"/>
              </w:rPr>
              <w:t>Ndikimi</w:t>
            </w:r>
          </w:p>
        </w:tc>
        <w:tc>
          <w:tcPr>
            <w:tcW w:w="1151" w:type="pct"/>
            <w:shd w:val="clear" w:color="auto" w:fill="auto"/>
            <w:tcMar>
              <w:top w:w="100" w:type="dxa"/>
              <w:left w:w="100" w:type="dxa"/>
              <w:bottom w:w="100" w:type="dxa"/>
              <w:right w:w="100" w:type="dxa"/>
            </w:tcMar>
            <w:vAlign w:val="center"/>
          </w:tcPr>
          <w:p w14:paraId="1B7697A4" w14:textId="77777777" w:rsidR="00847F23" w:rsidRPr="00913E39" w:rsidRDefault="00847F23" w:rsidP="007C41EB">
            <w:pPr>
              <w:spacing w:after="0" w:line="240" w:lineRule="auto"/>
              <w:rPr>
                <w:rFonts w:ascii="Garamond" w:hAnsi="Garamond"/>
                <w:sz w:val="18"/>
              </w:rPr>
            </w:pPr>
            <w:r w:rsidRPr="00913E39">
              <w:rPr>
                <w:rFonts w:ascii="Garamond" w:hAnsi="Garamond"/>
                <w:sz w:val="18"/>
              </w:rPr>
              <w:t>Zbatimi i avancuar i Agjendës Digjitale të Shqipërisë në sektorë të përzgjedhur.</w:t>
            </w:r>
          </w:p>
        </w:tc>
        <w:tc>
          <w:tcPr>
            <w:tcW w:w="1373" w:type="pct"/>
            <w:shd w:val="clear" w:color="auto" w:fill="auto"/>
            <w:tcMar>
              <w:top w:w="100" w:type="dxa"/>
              <w:left w:w="100" w:type="dxa"/>
              <w:bottom w:w="100" w:type="dxa"/>
              <w:right w:w="100" w:type="dxa"/>
            </w:tcMar>
            <w:vAlign w:val="center"/>
            <w:hideMark/>
          </w:tcPr>
          <w:p w14:paraId="2FA423DA" w14:textId="77777777" w:rsidR="00847F23" w:rsidRPr="00913E39" w:rsidRDefault="00847F23" w:rsidP="007C41EB">
            <w:pPr>
              <w:spacing w:after="0" w:line="240" w:lineRule="auto"/>
              <w:rPr>
                <w:rFonts w:ascii="Garamond" w:hAnsi="Garamond"/>
                <w:sz w:val="18"/>
              </w:rPr>
            </w:pPr>
            <w:r w:rsidRPr="00913E39">
              <w:rPr>
                <w:rFonts w:ascii="Garamond" w:hAnsi="Garamond"/>
                <w:sz w:val="18"/>
              </w:rPr>
              <w:t>Indeksi i Ekoomisë Shoqërisë Digjitale në Ballkanin Perëndimor.</w:t>
            </w:r>
          </w:p>
        </w:tc>
        <w:tc>
          <w:tcPr>
            <w:tcW w:w="790" w:type="pct"/>
            <w:shd w:val="clear" w:color="auto" w:fill="auto"/>
            <w:tcMar>
              <w:top w:w="100" w:type="dxa"/>
              <w:left w:w="100" w:type="dxa"/>
              <w:bottom w:w="100" w:type="dxa"/>
              <w:right w:w="100" w:type="dxa"/>
            </w:tcMar>
            <w:vAlign w:val="center"/>
          </w:tcPr>
          <w:p w14:paraId="470041A7"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Pikët</w:t>
            </w:r>
          </w:p>
        </w:tc>
        <w:tc>
          <w:tcPr>
            <w:tcW w:w="452" w:type="pct"/>
            <w:shd w:val="clear" w:color="auto" w:fill="auto"/>
            <w:tcMar>
              <w:top w:w="100" w:type="dxa"/>
              <w:left w:w="100" w:type="dxa"/>
              <w:bottom w:w="100" w:type="dxa"/>
              <w:right w:w="100" w:type="dxa"/>
            </w:tcMar>
            <w:vAlign w:val="center"/>
          </w:tcPr>
          <w:p w14:paraId="6FE38D3D"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30.2</w:t>
            </w:r>
          </w:p>
        </w:tc>
        <w:tc>
          <w:tcPr>
            <w:tcW w:w="558" w:type="pct"/>
            <w:shd w:val="clear" w:color="auto" w:fill="auto"/>
            <w:tcMar>
              <w:top w:w="100" w:type="dxa"/>
              <w:left w:w="100" w:type="dxa"/>
              <w:bottom w:w="100" w:type="dxa"/>
              <w:right w:w="100" w:type="dxa"/>
            </w:tcMar>
            <w:vAlign w:val="center"/>
          </w:tcPr>
          <w:p w14:paraId="07AE5ABE" w14:textId="688EB0BC" w:rsidR="00847F23" w:rsidRPr="00913E39" w:rsidRDefault="00847F23" w:rsidP="007C41EB">
            <w:pPr>
              <w:spacing w:after="0" w:line="240" w:lineRule="auto"/>
              <w:jc w:val="both"/>
              <w:rPr>
                <w:rFonts w:ascii="Garamond" w:hAnsi="Garamond"/>
                <w:sz w:val="18"/>
              </w:rPr>
            </w:pPr>
            <w:r w:rsidRPr="00913E39">
              <w:rPr>
                <w:rFonts w:ascii="Garamond" w:hAnsi="Garamond"/>
                <w:sz w:val="18"/>
              </w:rPr>
              <w:t>Rritja</w:t>
            </w:r>
          </w:p>
        </w:tc>
      </w:tr>
      <w:tr w:rsidR="00847F23" w:rsidRPr="00913E39" w14:paraId="4BBC605B" w14:textId="77777777" w:rsidTr="00B27420">
        <w:trPr>
          <w:trHeight w:val="20"/>
          <w:jc w:val="center"/>
        </w:trPr>
        <w:tc>
          <w:tcPr>
            <w:tcW w:w="676" w:type="pct"/>
            <w:vMerge w:val="restart"/>
            <w:shd w:val="clear" w:color="auto" w:fill="FFFFFF"/>
            <w:tcMar>
              <w:top w:w="100" w:type="dxa"/>
              <w:left w:w="100" w:type="dxa"/>
              <w:bottom w:w="100" w:type="dxa"/>
              <w:right w:w="100" w:type="dxa"/>
            </w:tcMar>
            <w:vAlign w:val="center"/>
            <w:hideMark/>
          </w:tcPr>
          <w:p w14:paraId="7E6C09B7" w14:textId="77777777" w:rsidR="00847F23" w:rsidRPr="00913E39" w:rsidRDefault="00847F23" w:rsidP="007C41EB">
            <w:pPr>
              <w:spacing w:after="0" w:line="240" w:lineRule="auto"/>
              <w:jc w:val="both"/>
              <w:rPr>
                <w:rFonts w:ascii="Garamond" w:hAnsi="Garamond"/>
                <w:sz w:val="18"/>
              </w:rPr>
            </w:pPr>
            <w:r w:rsidRPr="00913E39">
              <w:rPr>
                <w:rFonts w:ascii="Garamond" w:hAnsi="Garamond"/>
                <w:b/>
                <w:sz w:val="18"/>
              </w:rPr>
              <w:t>Rezultati 3</w:t>
            </w:r>
          </w:p>
        </w:tc>
        <w:tc>
          <w:tcPr>
            <w:tcW w:w="1151" w:type="pct"/>
            <w:vMerge w:val="restart"/>
            <w:shd w:val="clear" w:color="auto" w:fill="FFFFFF"/>
            <w:tcMar>
              <w:top w:w="100" w:type="dxa"/>
              <w:left w:w="100" w:type="dxa"/>
              <w:bottom w:w="100" w:type="dxa"/>
              <w:right w:w="100" w:type="dxa"/>
            </w:tcMar>
            <w:vAlign w:val="center"/>
          </w:tcPr>
          <w:p w14:paraId="11BDBF53" w14:textId="77777777" w:rsidR="00847F23" w:rsidRPr="00913E39" w:rsidRDefault="00847F23" w:rsidP="007C41EB">
            <w:pPr>
              <w:spacing w:after="0" w:line="240" w:lineRule="auto"/>
              <w:rPr>
                <w:rFonts w:ascii="Garamond" w:hAnsi="Garamond"/>
                <w:sz w:val="18"/>
              </w:rPr>
            </w:pPr>
            <w:r w:rsidRPr="00913E39">
              <w:rPr>
                <w:rFonts w:ascii="Garamond" w:hAnsi="Garamond"/>
                <w:sz w:val="18"/>
              </w:rPr>
              <w:t>Arritja e integrimit/ndërveprimit të sistemeve tatimore të Shqipërisë dhe BE-së.</w:t>
            </w:r>
          </w:p>
        </w:tc>
        <w:tc>
          <w:tcPr>
            <w:tcW w:w="1373" w:type="pct"/>
            <w:shd w:val="clear" w:color="auto" w:fill="FFFFFF"/>
            <w:tcMar>
              <w:top w:w="100" w:type="dxa"/>
              <w:left w:w="100" w:type="dxa"/>
              <w:bottom w:w="100" w:type="dxa"/>
              <w:right w:w="100" w:type="dxa"/>
            </w:tcMar>
            <w:vAlign w:val="center"/>
            <w:hideMark/>
          </w:tcPr>
          <w:p w14:paraId="376180C9"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Sistemet e IT-së janë bërë të ndërveprueshme.</w:t>
            </w:r>
          </w:p>
        </w:tc>
        <w:tc>
          <w:tcPr>
            <w:tcW w:w="790" w:type="pct"/>
            <w:shd w:val="clear" w:color="auto" w:fill="FFFFFF"/>
            <w:tcMar>
              <w:top w:w="100" w:type="dxa"/>
              <w:left w:w="100" w:type="dxa"/>
              <w:bottom w:w="100" w:type="dxa"/>
              <w:right w:w="100" w:type="dxa"/>
            </w:tcMar>
            <w:vAlign w:val="center"/>
            <w:hideMark/>
          </w:tcPr>
          <w:p w14:paraId="32966A40"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shd w:val="clear" w:color="auto" w:fill="FFFFFF"/>
            <w:tcMar>
              <w:top w:w="100" w:type="dxa"/>
              <w:left w:w="100" w:type="dxa"/>
              <w:bottom w:w="100" w:type="dxa"/>
              <w:right w:w="100" w:type="dxa"/>
            </w:tcMar>
            <w:vAlign w:val="center"/>
            <w:hideMark/>
          </w:tcPr>
          <w:p w14:paraId="4F76DAD0"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shd w:val="clear" w:color="auto" w:fill="FFFFFF"/>
            <w:tcMar>
              <w:top w:w="100" w:type="dxa"/>
              <w:left w:w="100" w:type="dxa"/>
              <w:bottom w:w="100" w:type="dxa"/>
              <w:right w:w="100" w:type="dxa"/>
            </w:tcMar>
            <w:vAlign w:val="center"/>
            <w:hideMark/>
          </w:tcPr>
          <w:p w14:paraId="1DB534EE"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2</w:t>
            </w:r>
          </w:p>
        </w:tc>
      </w:tr>
      <w:tr w:rsidR="00847F23" w:rsidRPr="00913E39" w14:paraId="1B96E4E0" w14:textId="77777777" w:rsidTr="00B27420">
        <w:trPr>
          <w:trHeight w:val="20"/>
          <w:jc w:val="center"/>
        </w:trPr>
        <w:tc>
          <w:tcPr>
            <w:tcW w:w="676" w:type="pct"/>
            <w:vMerge/>
            <w:shd w:val="clear" w:color="auto" w:fill="FFFFFF"/>
            <w:tcMar>
              <w:top w:w="100" w:type="dxa"/>
              <w:left w:w="100" w:type="dxa"/>
              <w:bottom w:w="100" w:type="dxa"/>
              <w:right w:w="100" w:type="dxa"/>
            </w:tcMar>
            <w:vAlign w:val="center"/>
          </w:tcPr>
          <w:p w14:paraId="14C9715B" w14:textId="77777777" w:rsidR="00847F23" w:rsidRPr="00913E39" w:rsidRDefault="00847F23" w:rsidP="007C41EB">
            <w:pPr>
              <w:spacing w:after="0" w:line="240" w:lineRule="auto"/>
              <w:jc w:val="both"/>
              <w:rPr>
                <w:rFonts w:ascii="Garamond" w:hAnsi="Garamond"/>
                <w:b/>
                <w:sz w:val="18"/>
              </w:rPr>
            </w:pPr>
          </w:p>
        </w:tc>
        <w:tc>
          <w:tcPr>
            <w:tcW w:w="1151" w:type="pct"/>
            <w:vMerge/>
            <w:shd w:val="clear" w:color="auto" w:fill="FFFFFF"/>
            <w:tcMar>
              <w:top w:w="100" w:type="dxa"/>
              <w:left w:w="100" w:type="dxa"/>
              <w:bottom w:w="100" w:type="dxa"/>
              <w:right w:w="100" w:type="dxa"/>
            </w:tcMar>
            <w:vAlign w:val="center"/>
          </w:tcPr>
          <w:p w14:paraId="0F0E71ED" w14:textId="77777777" w:rsidR="00847F23" w:rsidRPr="00913E39" w:rsidRDefault="00847F23" w:rsidP="007C41EB">
            <w:pPr>
              <w:spacing w:after="0" w:line="240" w:lineRule="auto"/>
              <w:rPr>
                <w:rFonts w:ascii="Garamond" w:hAnsi="Garamond"/>
                <w:sz w:val="18"/>
              </w:rPr>
            </w:pPr>
          </w:p>
        </w:tc>
        <w:tc>
          <w:tcPr>
            <w:tcW w:w="1373" w:type="pct"/>
            <w:shd w:val="clear" w:color="auto" w:fill="FFFFFF"/>
            <w:tcMar>
              <w:top w:w="100" w:type="dxa"/>
              <w:left w:w="100" w:type="dxa"/>
              <w:bottom w:w="100" w:type="dxa"/>
              <w:right w:w="100" w:type="dxa"/>
            </w:tcMar>
            <w:vAlign w:val="center"/>
          </w:tcPr>
          <w:p w14:paraId="3835379D"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Janë synuar sipërmarrjet shqiptare</w:t>
            </w:r>
          </w:p>
        </w:tc>
        <w:tc>
          <w:tcPr>
            <w:tcW w:w="790" w:type="pct"/>
            <w:shd w:val="clear" w:color="auto" w:fill="FFFFFF"/>
            <w:tcMar>
              <w:top w:w="100" w:type="dxa"/>
              <w:left w:w="100" w:type="dxa"/>
              <w:bottom w:w="100" w:type="dxa"/>
              <w:right w:w="100" w:type="dxa"/>
            </w:tcMar>
            <w:vAlign w:val="center"/>
          </w:tcPr>
          <w:p w14:paraId="6CA34372"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shd w:val="clear" w:color="auto" w:fill="FFFFFF"/>
            <w:tcMar>
              <w:top w:w="100" w:type="dxa"/>
              <w:left w:w="100" w:type="dxa"/>
              <w:bottom w:w="100" w:type="dxa"/>
              <w:right w:w="100" w:type="dxa"/>
            </w:tcMar>
            <w:vAlign w:val="center"/>
          </w:tcPr>
          <w:p w14:paraId="4E5F5C35"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shd w:val="clear" w:color="auto" w:fill="FFFFFF"/>
            <w:tcMar>
              <w:top w:w="100" w:type="dxa"/>
              <w:left w:w="100" w:type="dxa"/>
              <w:bottom w:w="100" w:type="dxa"/>
              <w:right w:w="100" w:type="dxa"/>
            </w:tcMar>
            <w:vAlign w:val="center"/>
          </w:tcPr>
          <w:p w14:paraId="3B613765"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50 000</w:t>
            </w:r>
          </w:p>
        </w:tc>
      </w:tr>
      <w:tr w:rsidR="00847F23" w:rsidRPr="00913E39" w14:paraId="3F2E0DEC" w14:textId="77777777" w:rsidTr="007C41EB">
        <w:trPr>
          <w:trHeight w:val="21"/>
          <w:jc w:val="center"/>
        </w:trPr>
        <w:tc>
          <w:tcPr>
            <w:tcW w:w="676" w:type="pct"/>
            <w:shd w:val="clear" w:color="auto" w:fill="FFFFFF"/>
            <w:tcMar>
              <w:top w:w="100" w:type="dxa"/>
              <w:left w:w="100" w:type="dxa"/>
              <w:bottom w:w="100" w:type="dxa"/>
              <w:right w:w="100" w:type="dxa"/>
            </w:tcMar>
            <w:vAlign w:val="center"/>
          </w:tcPr>
          <w:p w14:paraId="06D72E49" w14:textId="77777777" w:rsidR="00847F23" w:rsidRPr="00913E39" w:rsidRDefault="00847F23" w:rsidP="007C41EB">
            <w:pPr>
              <w:spacing w:after="0" w:line="240" w:lineRule="auto"/>
              <w:jc w:val="both"/>
              <w:rPr>
                <w:rFonts w:ascii="Garamond" w:hAnsi="Garamond"/>
                <w:b/>
                <w:sz w:val="18"/>
              </w:rPr>
            </w:pPr>
            <w:r w:rsidRPr="00913E39">
              <w:rPr>
                <w:rFonts w:ascii="Garamond" w:hAnsi="Garamond"/>
                <w:b/>
                <w:sz w:val="18"/>
              </w:rPr>
              <w:t>Rezultati 4</w:t>
            </w:r>
          </w:p>
        </w:tc>
        <w:tc>
          <w:tcPr>
            <w:tcW w:w="1151" w:type="pct"/>
            <w:shd w:val="clear" w:color="auto" w:fill="FFFFFF"/>
            <w:tcMar>
              <w:top w:w="100" w:type="dxa"/>
              <w:left w:w="100" w:type="dxa"/>
              <w:bottom w:w="100" w:type="dxa"/>
              <w:right w:w="100" w:type="dxa"/>
            </w:tcMar>
            <w:vAlign w:val="center"/>
          </w:tcPr>
          <w:p w14:paraId="08174FE2" w14:textId="77777777" w:rsidR="00847F23" w:rsidRPr="00913E39" w:rsidRDefault="00847F23" w:rsidP="007C41EB">
            <w:pPr>
              <w:spacing w:after="0" w:line="240" w:lineRule="auto"/>
              <w:rPr>
                <w:rFonts w:ascii="Garamond" w:hAnsi="Garamond"/>
                <w:sz w:val="18"/>
              </w:rPr>
            </w:pPr>
            <w:r w:rsidRPr="00913E39">
              <w:rPr>
                <w:rFonts w:ascii="Garamond" w:hAnsi="Garamond"/>
                <w:sz w:val="18"/>
              </w:rPr>
              <w:t>Miratimi i CbCR dhe krijimi i metodave të shkëmbimit të informacionit.</w:t>
            </w:r>
            <w:r w:rsidR="00693B1A" w:rsidRPr="00913E39">
              <w:rPr>
                <w:rFonts w:ascii="Garamond" w:hAnsi="Garamond"/>
                <w:sz w:val="18"/>
              </w:rPr>
              <w:t xml:space="preserve"> </w:t>
            </w:r>
          </w:p>
        </w:tc>
        <w:tc>
          <w:tcPr>
            <w:tcW w:w="1373" w:type="pct"/>
            <w:shd w:val="clear" w:color="auto" w:fill="FFFFFF"/>
            <w:tcMar>
              <w:top w:w="100" w:type="dxa"/>
              <w:left w:w="100" w:type="dxa"/>
              <w:bottom w:w="100" w:type="dxa"/>
              <w:right w:w="100" w:type="dxa"/>
            </w:tcMar>
            <w:vAlign w:val="center"/>
          </w:tcPr>
          <w:p w14:paraId="01604EC6"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Rastet vjetore të CbCR në vitin e regjimit.</w:t>
            </w:r>
          </w:p>
        </w:tc>
        <w:tc>
          <w:tcPr>
            <w:tcW w:w="790" w:type="pct"/>
            <w:shd w:val="clear" w:color="auto" w:fill="FFFFFF"/>
            <w:tcMar>
              <w:top w:w="100" w:type="dxa"/>
              <w:left w:w="100" w:type="dxa"/>
              <w:bottom w:w="100" w:type="dxa"/>
              <w:right w:w="100" w:type="dxa"/>
            </w:tcMar>
            <w:vAlign w:val="center"/>
          </w:tcPr>
          <w:p w14:paraId="66BAA1D9"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shd w:val="clear" w:color="auto" w:fill="FFFFFF"/>
            <w:tcMar>
              <w:top w:w="100" w:type="dxa"/>
              <w:left w:w="100" w:type="dxa"/>
              <w:bottom w:w="100" w:type="dxa"/>
              <w:right w:w="100" w:type="dxa"/>
            </w:tcMar>
            <w:vAlign w:val="center"/>
          </w:tcPr>
          <w:p w14:paraId="20DFEA36"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shd w:val="clear" w:color="auto" w:fill="FFFFFF"/>
            <w:tcMar>
              <w:top w:w="100" w:type="dxa"/>
              <w:left w:w="100" w:type="dxa"/>
              <w:bottom w:w="100" w:type="dxa"/>
              <w:right w:w="100" w:type="dxa"/>
            </w:tcMar>
            <w:vAlign w:val="center"/>
          </w:tcPr>
          <w:p w14:paraId="4928D988"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250</w:t>
            </w:r>
          </w:p>
        </w:tc>
      </w:tr>
      <w:tr w:rsidR="00847F23" w:rsidRPr="00913E39" w14:paraId="2530B498" w14:textId="77777777" w:rsidTr="00B27420">
        <w:trPr>
          <w:trHeight w:val="20"/>
          <w:jc w:val="center"/>
        </w:trPr>
        <w:tc>
          <w:tcPr>
            <w:tcW w:w="676" w:type="pct"/>
            <w:vMerge w:val="restart"/>
            <w:tcMar>
              <w:top w:w="100" w:type="dxa"/>
              <w:left w:w="100" w:type="dxa"/>
              <w:bottom w:w="100" w:type="dxa"/>
              <w:right w:w="100" w:type="dxa"/>
            </w:tcMar>
            <w:vAlign w:val="center"/>
            <w:hideMark/>
          </w:tcPr>
          <w:p w14:paraId="64D8F691" w14:textId="6DBF7306" w:rsidR="00847F23" w:rsidRPr="00913E39" w:rsidRDefault="00847F23" w:rsidP="007C41EB">
            <w:pPr>
              <w:spacing w:after="0" w:line="240" w:lineRule="auto"/>
              <w:rPr>
                <w:rFonts w:ascii="Garamond" w:hAnsi="Garamond"/>
                <w:sz w:val="18"/>
              </w:rPr>
            </w:pPr>
            <w:r w:rsidRPr="00913E39">
              <w:rPr>
                <w:rFonts w:ascii="Garamond" w:hAnsi="Garamond"/>
                <w:b/>
                <w:sz w:val="18"/>
              </w:rPr>
              <w:t xml:space="preserve">Produktet që kontribuojnë </w:t>
            </w:r>
            <w:r w:rsidRPr="00913E39">
              <w:rPr>
                <w:rFonts w:ascii="Garamond" w:hAnsi="Garamond"/>
                <w:b/>
                <w:sz w:val="18"/>
              </w:rPr>
              <w:lastRenderedPageBreak/>
              <w:t xml:space="preserve">në </w:t>
            </w:r>
            <w:r w:rsidR="00AC3A3A" w:rsidRPr="00913E39">
              <w:rPr>
                <w:rFonts w:ascii="Garamond" w:hAnsi="Garamond"/>
                <w:b/>
                <w:sz w:val="18"/>
              </w:rPr>
              <w:t xml:space="preserve">rezultatin </w:t>
            </w:r>
            <w:r w:rsidRPr="00913E39">
              <w:rPr>
                <w:rFonts w:ascii="Garamond" w:hAnsi="Garamond"/>
                <w:b/>
                <w:sz w:val="18"/>
              </w:rPr>
              <w:t xml:space="preserve">3 </w:t>
            </w:r>
          </w:p>
          <w:p w14:paraId="7277FEBA" w14:textId="77777777" w:rsidR="00847F23" w:rsidRPr="00913E39" w:rsidRDefault="00847F23" w:rsidP="007C41EB">
            <w:pPr>
              <w:spacing w:after="0" w:line="240" w:lineRule="auto"/>
              <w:rPr>
                <w:rFonts w:ascii="Garamond" w:hAnsi="Garamond"/>
                <w:sz w:val="18"/>
              </w:rPr>
            </w:pPr>
            <w:r w:rsidRPr="00913E39">
              <w:rPr>
                <w:rFonts w:ascii="Garamond" w:hAnsi="Garamond"/>
                <w:sz w:val="18"/>
              </w:rPr>
              <w:t xml:space="preserve"> </w:t>
            </w:r>
          </w:p>
          <w:p w14:paraId="00740E8D" w14:textId="77777777" w:rsidR="00847F23" w:rsidRPr="00913E39" w:rsidRDefault="00847F23" w:rsidP="007C41EB">
            <w:pPr>
              <w:spacing w:after="0" w:line="240" w:lineRule="auto"/>
              <w:rPr>
                <w:rFonts w:ascii="Garamond" w:hAnsi="Garamond"/>
                <w:sz w:val="18"/>
              </w:rPr>
            </w:pPr>
          </w:p>
        </w:tc>
        <w:tc>
          <w:tcPr>
            <w:tcW w:w="1151" w:type="pct"/>
            <w:tcMar>
              <w:top w:w="100" w:type="dxa"/>
              <w:left w:w="100" w:type="dxa"/>
              <w:bottom w:w="100" w:type="dxa"/>
              <w:right w:w="100" w:type="dxa"/>
            </w:tcMar>
            <w:vAlign w:val="center"/>
          </w:tcPr>
          <w:p w14:paraId="7F5ED6C4" w14:textId="77777777" w:rsidR="00847F23" w:rsidRPr="00913E39" w:rsidRDefault="00847F23" w:rsidP="007C41EB">
            <w:pPr>
              <w:spacing w:after="0" w:line="240" w:lineRule="auto"/>
              <w:rPr>
                <w:rFonts w:ascii="Garamond" w:hAnsi="Garamond"/>
                <w:sz w:val="18"/>
              </w:rPr>
            </w:pPr>
            <w:r w:rsidRPr="00913E39">
              <w:rPr>
                <w:rFonts w:ascii="Garamond" w:hAnsi="Garamond"/>
                <w:sz w:val="18"/>
              </w:rPr>
              <w:lastRenderedPageBreak/>
              <w:t xml:space="preserve">Produkti 3.1 Hartimi i rekomandimeve, </w:t>
            </w:r>
            <w:r w:rsidRPr="00913E39">
              <w:rPr>
                <w:rFonts w:ascii="Garamond" w:hAnsi="Garamond"/>
                <w:sz w:val="18"/>
              </w:rPr>
              <w:lastRenderedPageBreak/>
              <w:t xml:space="preserve">specifikimeve dhe udhëzimeve teknike. </w:t>
            </w:r>
          </w:p>
        </w:tc>
        <w:tc>
          <w:tcPr>
            <w:tcW w:w="1373" w:type="pct"/>
            <w:tcMar>
              <w:top w:w="100" w:type="dxa"/>
              <w:left w:w="100" w:type="dxa"/>
              <w:bottom w:w="100" w:type="dxa"/>
              <w:right w:w="100" w:type="dxa"/>
            </w:tcMar>
            <w:vAlign w:val="center"/>
            <w:hideMark/>
          </w:tcPr>
          <w:p w14:paraId="74620919"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lastRenderedPageBreak/>
              <w:t>Studimi i fizibilitetit bazuar në skenarin e vlerësuar AS-IS.</w:t>
            </w:r>
          </w:p>
        </w:tc>
        <w:tc>
          <w:tcPr>
            <w:tcW w:w="790" w:type="pct"/>
            <w:tcMar>
              <w:top w:w="100" w:type="dxa"/>
              <w:left w:w="100" w:type="dxa"/>
              <w:bottom w:w="100" w:type="dxa"/>
              <w:right w:w="100" w:type="dxa"/>
            </w:tcMar>
            <w:vAlign w:val="center"/>
            <w:hideMark/>
          </w:tcPr>
          <w:p w14:paraId="7003FF09"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tcMar>
              <w:top w:w="100" w:type="dxa"/>
              <w:left w:w="100" w:type="dxa"/>
              <w:bottom w:w="100" w:type="dxa"/>
              <w:right w:w="100" w:type="dxa"/>
            </w:tcMar>
            <w:vAlign w:val="center"/>
            <w:hideMark/>
          </w:tcPr>
          <w:p w14:paraId="645BFF51"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tcMar>
              <w:top w:w="100" w:type="dxa"/>
              <w:left w:w="100" w:type="dxa"/>
              <w:bottom w:w="100" w:type="dxa"/>
              <w:right w:w="100" w:type="dxa"/>
            </w:tcMar>
            <w:vAlign w:val="center"/>
            <w:hideMark/>
          </w:tcPr>
          <w:p w14:paraId="385EBACA"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1</w:t>
            </w:r>
          </w:p>
        </w:tc>
      </w:tr>
      <w:tr w:rsidR="00847F23" w:rsidRPr="00913E39" w14:paraId="5CE0B39F" w14:textId="77777777" w:rsidTr="00B27420">
        <w:trPr>
          <w:trHeight w:val="20"/>
          <w:jc w:val="center"/>
        </w:trPr>
        <w:tc>
          <w:tcPr>
            <w:tcW w:w="676" w:type="pct"/>
            <w:vMerge/>
            <w:tcMar>
              <w:top w:w="100" w:type="dxa"/>
              <w:left w:w="100" w:type="dxa"/>
              <w:bottom w:w="100" w:type="dxa"/>
              <w:right w:w="100" w:type="dxa"/>
            </w:tcMar>
            <w:vAlign w:val="center"/>
            <w:hideMark/>
          </w:tcPr>
          <w:p w14:paraId="588D038F" w14:textId="77777777" w:rsidR="00847F23" w:rsidRPr="00913E39" w:rsidRDefault="00847F23" w:rsidP="007C41EB">
            <w:pPr>
              <w:spacing w:after="0" w:line="240" w:lineRule="auto"/>
              <w:rPr>
                <w:rFonts w:ascii="Garamond" w:hAnsi="Garamond"/>
                <w:sz w:val="18"/>
              </w:rPr>
            </w:pPr>
          </w:p>
        </w:tc>
        <w:tc>
          <w:tcPr>
            <w:tcW w:w="1151" w:type="pct"/>
            <w:tcMar>
              <w:top w:w="100" w:type="dxa"/>
              <w:left w:w="100" w:type="dxa"/>
              <w:bottom w:w="100" w:type="dxa"/>
              <w:right w:w="100" w:type="dxa"/>
            </w:tcMar>
            <w:vAlign w:val="center"/>
          </w:tcPr>
          <w:p w14:paraId="34CE64B5" w14:textId="77777777" w:rsidR="00847F23" w:rsidRPr="00913E39" w:rsidRDefault="00847F23" w:rsidP="007C41EB">
            <w:pPr>
              <w:spacing w:after="0" w:line="240" w:lineRule="auto"/>
              <w:rPr>
                <w:rFonts w:ascii="Garamond" w:hAnsi="Garamond"/>
                <w:sz w:val="18"/>
              </w:rPr>
            </w:pPr>
            <w:r w:rsidRPr="00913E39">
              <w:rPr>
                <w:rFonts w:ascii="Garamond" w:hAnsi="Garamond"/>
                <w:sz w:val="18"/>
              </w:rPr>
              <w:t>Produkti 3.2 Zhvillimi i reformave ligjore dhe rregullatore për të përgatitur terrenin për zbatim.</w:t>
            </w:r>
          </w:p>
        </w:tc>
        <w:tc>
          <w:tcPr>
            <w:tcW w:w="1373" w:type="pct"/>
            <w:tcMar>
              <w:top w:w="100" w:type="dxa"/>
              <w:left w:w="100" w:type="dxa"/>
              <w:bottom w:w="100" w:type="dxa"/>
              <w:right w:w="100" w:type="dxa"/>
            </w:tcMar>
            <w:vAlign w:val="center"/>
            <w:hideMark/>
          </w:tcPr>
          <w:p w14:paraId="6CFA52D6" w14:textId="77777777" w:rsidR="00847F23" w:rsidRPr="00913E39" w:rsidRDefault="00847F23" w:rsidP="007C41EB">
            <w:pPr>
              <w:spacing w:after="0" w:line="240" w:lineRule="auto"/>
              <w:rPr>
                <w:rFonts w:ascii="Garamond" w:hAnsi="Garamond"/>
                <w:sz w:val="18"/>
              </w:rPr>
            </w:pPr>
            <w:r w:rsidRPr="00913E39">
              <w:rPr>
                <w:rFonts w:ascii="Garamond" w:hAnsi="Garamond"/>
                <w:sz w:val="18"/>
              </w:rPr>
              <w:t>Hartimi i ligjeve/akteve nënligjore.</w:t>
            </w:r>
          </w:p>
        </w:tc>
        <w:tc>
          <w:tcPr>
            <w:tcW w:w="790" w:type="pct"/>
            <w:tcMar>
              <w:top w:w="100" w:type="dxa"/>
              <w:left w:w="100" w:type="dxa"/>
              <w:bottom w:w="100" w:type="dxa"/>
              <w:right w:w="100" w:type="dxa"/>
            </w:tcMar>
            <w:vAlign w:val="center"/>
            <w:hideMark/>
          </w:tcPr>
          <w:p w14:paraId="5A48C8D6"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tcMar>
              <w:top w:w="100" w:type="dxa"/>
              <w:left w:w="100" w:type="dxa"/>
              <w:bottom w:w="100" w:type="dxa"/>
              <w:right w:w="100" w:type="dxa"/>
            </w:tcMar>
            <w:vAlign w:val="center"/>
            <w:hideMark/>
          </w:tcPr>
          <w:p w14:paraId="354DA591"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tcMar>
              <w:top w:w="100" w:type="dxa"/>
              <w:left w:w="100" w:type="dxa"/>
              <w:bottom w:w="100" w:type="dxa"/>
              <w:right w:w="100" w:type="dxa"/>
            </w:tcMar>
            <w:vAlign w:val="center"/>
            <w:hideMark/>
          </w:tcPr>
          <w:p w14:paraId="7ED56DC2"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4</w:t>
            </w:r>
          </w:p>
        </w:tc>
      </w:tr>
      <w:tr w:rsidR="00847F23" w:rsidRPr="00913E39" w14:paraId="0B36605A" w14:textId="77777777" w:rsidTr="00B27420">
        <w:trPr>
          <w:trHeight w:val="20"/>
          <w:jc w:val="center"/>
        </w:trPr>
        <w:tc>
          <w:tcPr>
            <w:tcW w:w="676" w:type="pct"/>
            <w:vMerge/>
            <w:tcMar>
              <w:top w:w="100" w:type="dxa"/>
              <w:left w:w="100" w:type="dxa"/>
              <w:bottom w:w="100" w:type="dxa"/>
              <w:right w:w="100" w:type="dxa"/>
            </w:tcMar>
            <w:vAlign w:val="center"/>
            <w:hideMark/>
          </w:tcPr>
          <w:p w14:paraId="3357B640" w14:textId="77777777" w:rsidR="00847F23" w:rsidRPr="00913E39" w:rsidRDefault="00847F23" w:rsidP="007C41EB">
            <w:pPr>
              <w:spacing w:after="0" w:line="240" w:lineRule="auto"/>
              <w:rPr>
                <w:rFonts w:ascii="Garamond" w:hAnsi="Garamond"/>
                <w:sz w:val="18"/>
              </w:rPr>
            </w:pPr>
          </w:p>
        </w:tc>
        <w:tc>
          <w:tcPr>
            <w:tcW w:w="1151" w:type="pct"/>
            <w:tcMar>
              <w:top w:w="100" w:type="dxa"/>
              <w:left w:w="100" w:type="dxa"/>
              <w:bottom w:w="100" w:type="dxa"/>
              <w:right w:w="100" w:type="dxa"/>
            </w:tcMar>
            <w:vAlign w:val="center"/>
          </w:tcPr>
          <w:p w14:paraId="46F786C6" w14:textId="77777777" w:rsidR="00847F23" w:rsidRPr="00913E39" w:rsidRDefault="00847F23" w:rsidP="007C41EB">
            <w:pPr>
              <w:spacing w:after="0" w:line="240" w:lineRule="auto"/>
              <w:rPr>
                <w:rFonts w:ascii="Garamond" w:hAnsi="Garamond"/>
                <w:sz w:val="18"/>
              </w:rPr>
            </w:pPr>
            <w:r w:rsidRPr="00913E39">
              <w:rPr>
                <w:rFonts w:ascii="Garamond" w:hAnsi="Garamond"/>
                <w:sz w:val="18"/>
              </w:rPr>
              <w:t>Produkti 3.3 Përmirësimi i infrastrukturës ekzistuese të IT-së dhe krijimi i një pajisjeje të re në DPT.</w:t>
            </w:r>
          </w:p>
        </w:tc>
        <w:tc>
          <w:tcPr>
            <w:tcW w:w="1373" w:type="pct"/>
            <w:tcMar>
              <w:top w:w="100" w:type="dxa"/>
              <w:left w:w="100" w:type="dxa"/>
              <w:bottom w:w="100" w:type="dxa"/>
              <w:right w:w="100" w:type="dxa"/>
            </w:tcMar>
            <w:vAlign w:val="center"/>
            <w:hideMark/>
          </w:tcPr>
          <w:p w14:paraId="20FA2562" w14:textId="77777777" w:rsidR="00847F23" w:rsidRPr="00913E39" w:rsidRDefault="00847F23" w:rsidP="007C41EB">
            <w:pPr>
              <w:spacing w:after="0" w:line="240" w:lineRule="auto"/>
              <w:rPr>
                <w:rFonts w:ascii="Garamond" w:hAnsi="Garamond"/>
                <w:sz w:val="18"/>
              </w:rPr>
            </w:pPr>
          </w:p>
          <w:p w14:paraId="3778F712" w14:textId="77777777" w:rsidR="00847F23" w:rsidRPr="00913E39" w:rsidRDefault="00847F23" w:rsidP="007C41EB">
            <w:pPr>
              <w:spacing w:after="0" w:line="240" w:lineRule="auto"/>
              <w:rPr>
                <w:rFonts w:ascii="Garamond" w:hAnsi="Garamond"/>
                <w:sz w:val="18"/>
              </w:rPr>
            </w:pPr>
            <w:r w:rsidRPr="00913E39">
              <w:rPr>
                <w:rFonts w:ascii="Garamond" w:hAnsi="Garamond"/>
                <w:sz w:val="18"/>
              </w:rPr>
              <w:t>Instalimi i sistemit.</w:t>
            </w:r>
          </w:p>
        </w:tc>
        <w:tc>
          <w:tcPr>
            <w:tcW w:w="790" w:type="pct"/>
            <w:tcMar>
              <w:top w:w="100" w:type="dxa"/>
              <w:left w:w="100" w:type="dxa"/>
              <w:bottom w:w="100" w:type="dxa"/>
              <w:right w:w="100" w:type="dxa"/>
            </w:tcMar>
            <w:vAlign w:val="center"/>
            <w:hideMark/>
          </w:tcPr>
          <w:p w14:paraId="36AB388B"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tcMar>
              <w:top w:w="100" w:type="dxa"/>
              <w:left w:w="100" w:type="dxa"/>
              <w:bottom w:w="100" w:type="dxa"/>
              <w:right w:w="100" w:type="dxa"/>
            </w:tcMar>
            <w:vAlign w:val="center"/>
            <w:hideMark/>
          </w:tcPr>
          <w:p w14:paraId="61A4FF84"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tcMar>
              <w:top w:w="100" w:type="dxa"/>
              <w:left w:w="100" w:type="dxa"/>
              <w:bottom w:w="100" w:type="dxa"/>
              <w:right w:w="100" w:type="dxa"/>
            </w:tcMar>
            <w:vAlign w:val="center"/>
            <w:hideMark/>
          </w:tcPr>
          <w:p w14:paraId="11EB4EB0"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1</w:t>
            </w:r>
          </w:p>
        </w:tc>
      </w:tr>
      <w:tr w:rsidR="00A56912" w:rsidRPr="00913E39" w14:paraId="4485CD68" w14:textId="77777777" w:rsidTr="00460531">
        <w:trPr>
          <w:trHeight w:val="20"/>
          <w:jc w:val="center"/>
        </w:trPr>
        <w:tc>
          <w:tcPr>
            <w:tcW w:w="676" w:type="pct"/>
            <w:vMerge/>
            <w:tcMar>
              <w:top w:w="100" w:type="dxa"/>
              <w:left w:w="100" w:type="dxa"/>
              <w:bottom w:w="100" w:type="dxa"/>
              <w:right w:w="100" w:type="dxa"/>
            </w:tcMar>
            <w:vAlign w:val="center"/>
            <w:hideMark/>
          </w:tcPr>
          <w:p w14:paraId="401B08D4" w14:textId="77777777" w:rsidR="00847F23" w:rsidRPr="00913E39" w:rsidRDefault="00847F23" w:rsidP="007C41EB">
            <w:pPr>
              <w:spacing w:after="0" w:line="240" w:lineRule="auto"/>
              <w:rPr>
                <w:rFonts w:ascii="Garamond" w:hAnsi="Garamond"/>
                <w:sz w:val="18"/>
              </w:rPr>
            </w:pPr>
          </w:p>
        </w:tc>
        <w:tc>
          <w:tcPr>
            <w:tcW w:w="1151" w:type="pct"/>
            <w:tcMar>
              <w:top w:w="100" w:type="dxa"/>
              <w:left w:w="100" w:type="dxa"/>
              <w:bottom w:w="100" w:type="dxa"/>
              <w:right w:w="100" w:type="dxa"/>
            </w:tcMar>
            <w:vAlign w:val="center"/>
          </w:tcPr>
          <w:p w14:paraId="682E8654" w14:textId="77777777" w:rsidR="00847F23" w:rsidRPr="00913E39" w:rsidRDefault="00847F23" w:rsidP="007C41EB">
            <w:pPr>
              <w:spacing w:after="0" w:line="240" w:lineRule="auto"/>
              <w:rPr>
                <w:rFonts w:ascii="Garamond" w:hAnsi="Garamond"/>
                <w:sz w:val="18"/>
              </w:rPr>
            </w:pPr>
            <w:r w:rsidRPr="00913E39">
              <w:rPr>
                <w:rFonts w:ascii="Garamond" w:hAnsi="Garamond"/>
                <w:sz w:val="18"/>
              </w:rPr>
              <w:t>Produkti 3.4 Modifikimi i kuadrit ekzistues të ndërveprimit.</w:t>
            </w:r>
          </w:p>
        </w:tc>
        <w:tc>
          <w:tcPr>
            <w:tcW w:w="1373" w:type="pct"/>
            <w:tcMar>
              <w:top w:w="100" w:type="dxa"/>
              <w:left w:w="100" w:type="dxa"/>
              <w:bottom w:w="100" w:type="dxa"/>
              <w:right w:w="100" w:type="dxa"/>
            </w:tcMar>
            <w:vAlign w:val="center"/>
            <w:hideMark/>
          </w:tcPr>
          <w:p w14:paraId="5BE43222" w14:textId="77777777" w:rsidR="00847F23" w:rsidRPr="00913E39" w:rsidRDefault="00847F23" w:rsidP="007C41EB">
            <w:pPr>
              <w:spacing w:after="0" w:line="240" w:lineRule="auto"/>
              <w:rPr>
                <w:rFonts w:ascii="Garamond" w:hAnsi="Garamond"/>
                <w:sz w:val="18"/>
              </w:rPr>
            </w:pPr>
            <w:r w:rsidRPr="00913E39">
              <w:rPr>
                <w:rFonts w:ascii="Garamond" w:hAnsi="Garamond"/>
                <w:sz w:val="18"/>
              </w:rPr>
              <w:t>Instalimi ose rikonfigurimi i zgjidhjeve sëprogrameve.</w:t>
            </w:r>
          </w:p>
        </w:tc>
        <w:tc>
          <w:tcPr>
            <w:tcW w:w="790" w:type="pct"/>
            <w:tcMar>
              <w:top w:w="100" w:type="dxa"/>
              <w:left w:w="100" w:type="dxa"/>
              <w:bottom w:w="100" w:type="dxa"/>
              <w:right w:w="100" w:type="dxa"/>
            </w:tcMar>
            <w:vAlign w:val="center"/>
            <w:hideMark/>
          </w:tcPr>
          <w:p w14:paraId="5C643896"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tcMar>
              <w:top w:w="100" w:type="dxa"/>
              <w:left w:w="100" w:type="dxa"/>
              <w:bottom w:w="100" w:type="dxa"/>
              <w:right w:w="100" w:type="dxa"/>
            </w:tcMar>
            <w:vAlign w:val="center"/>
            <w:hideMark/>
          </w:tcPr>
          <w:p w14:paraId="0BDBC476"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tcMar>
              <w:top w:w="100" w:type="dxa"/>
              <w:left w:w="100" w:type="dxa"/>
              <w:bottom w:w="100" w:type="dxa"/>
              <w:right w:w="100" w:type="dxa"/>
            </w:tcMar>
            <w:vAlign w:val="center"/>
            <w:hideMark/>
          </w:tcPr>
          <w:p w14:paraId="090CA0E9"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1</w:t>
            </w:r>
          </w:p>
        </w:tc>
      </w:tr>
      <w:tr w:rsidR="00847F23" w:rsidRPr="00913E39" w14:paraId="03D88D28" w14:textId="77777777" w:rsidTr="00B27420">
        <w:trPr>
          <w:trHeight w:val="20"/>
          <w:jc w:val="center"/>
        </w:trPr>
        <w:tc>
          <w:tcPr>
            <w:tcW w:w="676" w:type="pct"/>
            <w:vMerge/>
            <w:tcMar>
              <w:top w:w="100" w:type="dxa"/>
              <w:left w:w="100" w:type="dxa"/>
              <w:bottom w:w="100" w:type="dxa"/>
              <w:right w:w="100" w:type="dxa"/>
            </w:tcMar>
            <w:vAlign w:val="center"/>
            <w:hideMark/>
          </w:tcPr>
          <w:p w14:paraId="5C25E28D" w14:textId="77777777" w:rsidR="00847F23" w:rsidRPr="00913E39" w:rsidRDefault="00847F23" w:rsidP="007C41EB">
            <w:pPr>
              <w:spacing w:after="0" w:line="240" w:lineRule="auto"/>
              <w:rPr>
                <w:rFonts w:ascii="Garamond" w:hAnsi="Garamond"/>
                <w:sz w:val="18"/>
              </w:rPr>
            </w:pPr>
          </w:p>
        </w:tc>
        <w:tc>
          <w:tcPr>
            <w:tcW w:w="1151" w:type="pct"/>
            <w:tcMar>
              <w:top w:w="100" w:type="dxa"/>
              <w:left w:w="100" w:type="dxa"/>
              <w:bottom w:w="100" w:type="dxa"/>
              <w:right w:w="100" w:type="dxa"/>
            </w:tcMar>
            <w:vAlign w:val="center"/>
          </w:tcPr>
          <w:p w14:paraId="347117E9" w14:textId="77777777" w:rsidR="00847F23" w:rsidRPr="00913E39" w:rsidRDefault="00847F23" w:rsidP="007C41EB">
            <w:pPr>
              <w:spacing w:after="0" w:line="240" w:lineRule="auto"/>
              <w:rPr>
                <w:rFonts w:ascii="Garamond" w:hAnsi="Garamond"/>
                <w:sz w:val="18"/>
              </w:rPr>
            </w:pPr>
            <w:r w:rsidRPr="00913E39">
              <w:rPr>
                <w:rFonts w:ascii="Garamond" w:hAnsi="Garamond"/>
                <w:sz w:val="18"/>
              </w:rPr>
              <w:t>Produkti 3.5 Forcimi i kapacitete për stafin e IT në DPT dhe organeve/agjencive të tjera publike.</w:t>
            </w:r>
          </w:p>
        </w:tc>
        <w:tc>
          <w:tcPr>
            <w:tcW w:w="1373" w:type="pct"/>
            <w:tcMar>
              <w:top w:w="100" w:type="dxa"/>
              <w:left w:w="100" w:type="dxa"/>
              <w:bottom w:w="100" w:type="dxa"/>
              <w:right w:w="100" w:type="dxa"/>
            </w:tcMar>
            <w:vAlign w:val="center"/>
            <w:hideMark/>
          </w:tcPr>
          <w:p w14:paraId="71AF1391" w14:textId="47392090" w:rsidR="00847F23" w:rsidRPr="00913E39" w:rsidRDefault="00847F23" w:rsidP="007C41EB">
            <w:pPr>
              <w:spacing w:after="0" w:line="240" w:lineRule="auto"/>
              <w:jc w:val="both"/>
              <w:rPr>
                <w:rFonts w:ascii="Garamond" w:hAnsi="Garamond"/>
                <w:sz w:val="18"/>
              </w:rPr>
            </w:pPr>
            <w:r w:rsidRPr="00913E39">
              <w:rPr>
                <w:rFonts w:ascii="Garamond" w:hAnsi="Garamond"/>
                <w:sz w:val="18"/>
              </w:rPr>
              <w:t>Pjesëmarrësit në trajnime të ndarë sipas gjinisë/</w:t>
            </w:r>
            <w:r w:rsidR="007C41EB" w:rsidRPr="00913E39">
              <w:rPr>
                <w:rFonts w:ascii="Garamond" w:hAnsi="Garamond"/>
                <w:sz w:val="18"/>
              </w:rPr>
              <w:t xml:space="preserve"> </w:t>
            </w:r>
            <w:r w:rsidRPr="00913E39">
              <w:rPr>
                <w:rFonts w:ascii="Garamond" w:hAnsi="Garamond"/>
                <w:sz w:val="18"/>
              </w:rPr>
              <w:t>moshës/</w:t>
            </w:r>
            <w:r w:rsidR="007C41EB" w:rsidRPr="00913E39">
              <w:rPr>
                <w:rFonts w:ascii="Garamond" w:hAnsi="Garamond"/>
                <w:sz w:val="18"/>
              </w:rPr>
              <w:t xml:space="preserve"> </w:t>
            </w:r>
            <w:r w:rsidRPr="00913E39">
              <w:rPr>
                <w:rFonts w:ascii="Garamond" w:hAnsi="Garamond"/>
                <w:sz w:val="18"/>
              </w:rPr>
              <w:t>punëdhënësit</w:t>
            </w:r>
          </w:p>
        </w:tc>
        <w:tc>
          <w:tcPr>
            <w:tcW w:w="790" w:type="pct"/>
            <w:tcMar>
              <w:top w:w="100" w:type="dxa"/>
              <w:left w:w="100" w:type="dxa"/>
              <w:bottom w:w="100" w:type="dxa"/>
              <w:right w:w="100" w:type="dxa"/>
            </w:tcMar>
            <w:vAlign w:val="center"/>
            <w:hideMark/>
          </w:tcPr>
          <w:p w14:paraId="648E9E48"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tcMar>
              <w:top w:w="100" w:type="dxa"/>
              <w:left w:w="100" w:type="dxa"/>
              <w:bottom w:w="100" w:type="dxa"/>
              <w:right w:w="100" w:type="dxa"/>
            </w:tcMar>
            <w:vAlign w:val="center"/>
            <w:hideMark/>
          </w:tcPr>
          <w:p w14:paraId="4E5B0CB1"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tcMar>
              <w:top w:w="100" w:type="dxa"/>
              <w:left w:w="100" w:type="dxa"/>
              <w:bottom w:w="100" w:type="dxa"/>
              <w:right w:w="100" w:type="dxa"/>
            </w:tcMar>
            <w:vAlign w:val="center"/>
            <w:hideMark/>
          </w:tcPr>
          <w:p w14:paraId="1602C8A8"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30</w:t>
            </w:r>
          </w:p>
        </w:tc>
      </w:tr>
      <w:tr w:rsidR="00847F23" w:rsidRPr="00913E39" w14:paraId="2BE8A911" w14:textId="77777777" w:rsidTr="00B27420">
        <w:trPr>
          <w:trHeight w:val="20"/>
          <w:jc w:val="center"/>
        </w:trPr>
        <w:tc>
          <w:tcPr>
            <w:tcW w:w="676" w:type="pct"/>
            <w:vMerge/>
            <w:tcMar>
              <w:top w:w="100" w:type="dxa"/>
              <w:left w:w="100" w:type="dxa"/>
              <w:bottom w:w="100" w:type="dxa"/>
              <w:right w:w="100" w:type="dxa"/>
            </w:tcMar>
            <w:vAlign w:val="center"/>
          </w:tcPr>
          <w:p w14:paraId="25ABECE2" w14:textId="77777777" w:rsidR="00847F23" w:rsidRPr="00913E39" w:rsidRDefault="00847F23" w:rsidP="007C41EB">
            <w:pPr>
              <w:spacing w:after="0" w:line="240" w:lineRule="auto"/>
              <w:rPr>
                <w:rFonts w:ascii="Garamond" w:hAnsi="Garamond"/>
                <w:b/>
                <w:sz w:val="18"/>
              </w:rPr>
            </w:pPr>
          </w:p>
        </w:tc>
        <w:tc>
          <w:tcPr>
            <w:tcW w:w="1151" w:type="pct"/>
            <w:tcMar>
              <w:top w:w="100" w:type="dxa"/>
              <w:left w:w="100" w:type="dxa"/>
              <w:bottom w:w="100" w:type="dxa"/>
              <w:right w:w="100" w:type="dxa"/>
            </w:tcMar>
            <w:vAlign w:val="center"/>
          </w:tcPr>
          <w:p w14:paraId="4FAB5A2A" w14:textId="77777777" w:rsidR="00847F23" w:rsidRPr="00913E39" w:rsidRDefault="00847F23" w:rsidP="007C41EB">
            <w:pPr>
              <w:spacing w:after="0" w:line="240" w:lineRule="auto"/>
              <w:rPr>
                <w:rFonts w:ascii="Garamond" w:hAnsi="Garamond"/>
                <w:sz w:val="18"/>
              </w:rPr>
            </w:pPr>
            <w:r w:rsidRPr="00913E39">
              <w:rPr>
                <w:rFonts w:ascii="Garamond" w:hAnsi="Garamond"/>
                <w:sz w:val="18"/>
              </w:rPr>
              <w:t>Produkti 3.6 Zhvillimi i një fushate ndërgjegjësimi dhe informimi për taksapaguesit shqiptarë.</w:t>
            </w:r>
          </w:p>
        </w:tc>
        <w:tc>
          <w:tcPr>
            <w:tcW w:w="1373" w:type="pct"/>
            <w:tcMar>
              <w:top w:w="100" w:type="dxa"/>
              <w:left w:w="100" w:type="dxa"/>
              <w:bottom w:w="100" w:type="dxa"/>
              <w:right w:w="100" w:type="dxa"/>
            </w:tcMar>
            <w:vAlign w:val="center"/>
          </w:tcPr>
          <w:p w14:paraId="7BAEE2B5"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 taksapaguesve shqiptarë të kontaktuar.</w:t>
            </w:r>
          </w:p>
        </w:tc>
        <w:tc>
          <w:tcPr>
            <w:tcW w:w="790" w:type="pct"/>
            <w:tcMar>
              <w:top w:w="100" w:type="dxa"/>
              <w:left w:w="100" w:type="dxa"/>
              <w:bottom w:w="100" w:type="dxa"/>
              <w:right w:w="100" w:type="dxa"/>
            </w:tcMar>
            <w:vAlign w:val="center"/>
          </w:tcPr>
          <w:p w14:paraId="7F3C37B4"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tcMar>
              <w:top w:w="100" w:type="dxa"/>
              <w:left w:w="100" w:type="dxa"/>
              <w:bottom w:w="100" w:type="dxa"/>
              <w:right w:w="100" w:type="dxa"/>
            </w:tcMar>
            <w:vAlign w:val="center"/>
          </w:tcPr>
          <w:p w14:paraId="443201A1"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tcMar>
              <w:top w:w="100" w:type="dxa"/>
              <w:left w:w="100" w:type="dxa"/>
              <w:bottom w:w="100" w:type="dxa"/>
              <w:right w:w="100" w:type="dxa"/>
            </w:tcMar>
            <w:vAlign w:val="center"/>
          </w:tcPr>
          <w:p w14:paraId="4D756676"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50 000</w:t>
            </w:r>
          </w:p>
        </w:tc>
      </w:tr>
      <w:tr w:rsidR="00847F23" w:rsidRPr="00913E39" w14:paraId="0830882F" w14:textId="77777777" w:rsidTr="00B27420">
        <w:trPr>
          <w:trHeight w:val="20"/>
          <w:jc w:val="center"/>
        </w:trPr>
        <w:tc>
          <w:tcPr>
            <w:tcW w:w="676" w:type="pct"/>
            <w:vMerge w:val="restart"/>
            <w:tcMar>
              <w:top w:w="100" w:type="dxa"/>
              <w:left w:w="100" w:type="dxa"/>
              <w:bottom w:w="100" w:type="dxa"/>
              <w:right w:w="100" w:type="dxa"/>
            </w:tcMar>
            <w:vAlign w:val="center"/>
          </w:tcPr>
          <w:p w14:paraId="17AAAFBE" w14:textId="77777777" w:rsidR="00847F23" w:rsidRPr="00913E39" w:rsidRDefault="00847F23" w:rsidP="007C41EB">
            <w:pPr>
              <w:spacing w:after="0" w:line="240" w:lineRule="auto"/>
              <w:rPr>
                <w:rFonts w:ascii="Garamond" w:hAnsi="Garamond"/>
                <w:b/>
                <w:sz w:val="18"/>
              </w:rPr>
            </w:pPr>
          </w:p>
          <w:p w14:paraId="0A24D934" w14:textId="4AF54EDB" w:rsidR="00847F23" w:rsidRPr="00913E39" w:rsidRDefault="00847F23" w:rsidP="007C41EB">
            <w:pPr>
              <w:spacing w:after="0" w:line="240" w:lineRule="auto"/>
              <w:rPr>
                <w:rFonts w:ascii="Garamond" w:hAnsi="Garamond"/>
                <w:b/>
                <w:sz w:val="18"/>
              </w:rPr>
            </w:pPr>
            <w:r w:rsidRPr="00913E39">
              <w:rPr>
                <w:rFonts w:ascii="Garamond" w:hAnsi="Garamond"/>
                <w:b/>
                <w:sz w:val="18"/>
              </w:rPr>
              <w:t xml:space="preserve">Produktet që kontribuojnë në </w:t>
            </w:r>
            <w:r w:rsidR="00AC3A3A" w:rsidRPr="00913E39">
              <w:rPr>
                <w:rFonts w:ascii="Garamond" w:hAnsi="Garamond"/>
                <w:b/>
                <w:sz w:val="18"/>
              </w:rPr>
              <w:t xml:space="preserve">rezultatin </w:t>
            </w:r>
            <w:r w:rsidRPr="00913E39">
              <w:rPr>
                <w:rFonts w:ascii="Garamond" w:hAnsi="Garamond"/>
                <w:b/>
                <w:sz w:val="18"/>
              </w:rPr>
              <w:t>4</w:t>
            </w:r>
          </w:p>
          <w:p w14:paraId="42AD56D0" w14:textId="77777777" w:rsidR="00847F23" w:rsidRPr="00913E39" w:rsidRDefault="00847F23" w:rsidP="007C41EB">
            <w:pPr>
              <w:spacing w:after="0" w:line="240" w:lineRule="auto"/>
              <w:rPr>
                <w:rFonts w:ascii="Garamond" w:hAnsi="Garamond"/>
                <w:b/>
                <w:sz w:val="18"/>
              </w:rPr>
            </w:pPr>
          </w:p>
          <w:p w14:paraId="0EE848E0" w14:textId="77777777" w:rsidR="00847F23" w:rsidRPr="00913E39" w:rsidRDefault="00847F23" w:rsidP="007C41EB">
            <w:pPr>
              <w:spacing w:after="0" w:line="240" w:lineRule="auto"/>
              <w:rPr>
                <w:rFonts w:ascii="Garamond" w:hAnsi="Garamond"/>
                <w:b/>
                <w:sz w:val="18"/>
              </w:rPr>
            </w:pPr>
          </w:p>
          <w:p w14:paraId="00406EA7" w14:textId="77777777" w:rsidR="00847F23" w:rsidRPr="00913E39" w:rsidRDefault="00847F23" w:rsidP="007C41EB">
            <w:pPr>
              <w:spacing w:after="0" w:line="240" w:lineRule="auto"/>
              <w:rPr>
                <w:rFonts w:ascii="Garamond" w:hAnsi="Garamond"/>
                <w:sz w:val="18"/>
              </w:rPr>
            </w:pPr>
          </w:p>
          <w:p w14:paraId="42E1B5C3" w14:textId="77777777" w:rsidR="00847F23" w:rsidRPr="00913E39" w:rsidRDefault="00847F23" w:rsidP="007C41EB">
            <w:pPr>
              <w:spacing w:after="0" w:line="240" w:lineRule="auto"/>
              <w:rPr>
                <w:rFonts w:ascii="Garamond" w:hAnsi="Garamond"/>
                <w:b/>
                <w:sz w:val="18"/>
              </w:rPr>
            </w:pPr>
          </w:p>
        </w:tc>
        <w:tc>
          <w:tcPr>
            <w:tcW w:w="1151" w:type="pct"/>
            <w:tcMar>
              <w:top w:w="100" w:type="dxa"/>
              <w:left w:w="100" w:type="dxa"/>
              <w:bottom w:w="100" w:type="dxa"/>
              <w:right w:w="100" w:type="dxa"/>
            </w:tcMar>
            <w:vAlign w:val="center"/>
          </w:tcPr>
          <w:p w14:paraId="6806E36A" w14:textId="77777777" w:rsidR="00847F23" w:rsidRPr="00913E39" w:rsidRDefault="00847F23" w:rsidP="007C41EB">
            <w:pPr>
              <w:spacing w:after="0" w:line="240" w:lineRule="auto"/>
              <w:rPr>
                <w:rFonts w:ascii="Garamond" w:hAnsi="Garamond"/>
                <w:sz w:val="18"/>
              </w:rPr>
            </w:pPr>
            <w:r w:rsidRPr="00913E39">
              <w:rPr>
                <w:rFonts w:ascii="Garamond" w:hAnsi="Garamond"/>
                <w:sz w:val="18"/>
              </w:rPr>
              <w:t xml:space="preserve">Produkti 4.1 Hartimi i rekomandimeve, specifikimeve dhe udhëzimeve teknike. </w:t>
            </w:r>
          </w:p>
        </w:tc>
        <w:tc>
          <w:tcPr>
            <w:tcW w:w="1373" w:type="pct"/>
            <w:tcMar>
              <w:top w:w="100" w:type="dxa"/>
              <w:left w:w="100" w:type="dxa"/>
              <w:bottom w:w="100" w:type="dxa"/>
              <w:right w:w="100" w:type="dxa"/>
            </w:tcMar>
            <w:vAlign w:val="center"/>
          </w:tcPr>
          <w:p w14:paraId="6B4F3F1C"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Studimi i fizibilitetit bazuar në skenarin e vlerësuar AS-IS.</w:t>
            </w:r>
          </w:p>
        </w:tc>
        <w:tc>
          <w:tcPr>
            <w:tcW w:w="790" w:type="pct"/>
            <w:tcMar>
              <w:top w:w="100" w:type="dxa"/>
              <w:left w:w="100" w:type="dxa"/>
              <w:bottom w:w="100" w:type="dxa"/>
              <w:right w:w="100" w:type="dxa"/>
            </w:tcMar>
            <w:vAlign w:val="center"/>
          </w:tcPr>
          <w:p w14:paraId="5A34FAB3"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tcMar>
              <w:top w:w="100" w:type="dxa"/>
              <w:left w:w="100" w:type="dxa"/>
              <w:bottom w:w="100" w:type="dxa"/>
              <w:right w:w="100" w:type="dxa"/>
            </w:tcMar>
            <w:vAlign w:val="center"/>
          </w:tcPr>
          <w:p w14:paraId="3D8283AA"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tcMar>
              <w:top w:w="100" w:type="dxa"/>
              <w:left w:w="100" w:type="dxa"/>
              <w:bottom w:w="100" w:type="dxa"/>
              <w:right w:w="100" w:type="dxa"/>
            </w:tcMar>
            <w:vAlign w:val="center"/>
          </w:tcPr>
          <w:p w14:paraId="5301D40B"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1</w:t>
            </w:r>
          </w:p>
        </w:tc>
      </w:tr>
      <w:tr w:rsidR="00847F23" w:rsidRPr="00913E39" w14:paraId="31273594" w14:textId="77777777" w:rsidTr="00B27420">
        <w:trPr>
          <w:trHeight w:val="20"/>
          <w:jc w:val="center"/>
        </w:trPr>
        <w:tc>
          <w:tcPr>
            <w:tcW w:w="676" w:type="pct"/>
            <w:vMerge/>
            <w:tcMar>
              <w:top w:w="100" w:type="dxa"/>
              <w:left w:w="100" w:type="dxa"/>
              <w:bottom w:w="100" w:type="dxa"/>
              <w:right w:w="100" w:type="dxa"/>
            </w:tcMar>
            <w:vAlign w:val="center"/>
          </w:tcPr>
          <w:p w14:paraId="48E532EA" w14:textId="77777777" w:rsidR="00847F23" w:rsidRPr="00913E39" w:rsidRDefault="00847F23" w:rsidP="007C41EB">
            <w:pPr>
              <w:spacing w:after="0" w:line="240" w:lineRule="auto"/>
              <w:rPr>
                <w:rFonts w:ascii="Garamond" w:hAnsi="Garamond"/>
                <w:b/>
                <w:sz w:val="18"/>
              </w:rPr>
            </w:pPr>
          </w:p>
        </w:tc>
        <w:tc>
          <w:tcPr>
            <w:tcW w:w="1151" w:type="pct"/>
            <w:tcMar>
              <w:top w:w="100" w:type="dxa"/>
              <w:left w:w="100" w:type="dxa"/>
              <w:bottom w:w="100" w:type="dxa"/>
              <w:right w:w="100" w:type="dxa"/>
            </w:tcMar>
            <w:vAlign w:val="center"/>
          </w:tcPr>
          <w:p w14:paraId="1BDF0B8F" w14:textId="77777777" w:rsidR="00847F23" w:rsidRPr="00913E39" w:rsidRDefault="00847F23" w:rsidP="007C41EB">
            <w:pPr>
              <w:spacing w:after="0" w:line="240" w:lineRule="auto"/>
              <w:rPr>
                <w:rFonts w:ascii="Garamond" w:hAnsi="Garamond"/>
                <w:sz w:val="18"/>
              </w:rPr>
            </w:pPr>
            <w:r w:rsidRPr="00913E39">
              <w:rPr>
                <w:rFonts w:ascii="Garamond" w:hAnsi="Garamond"/>
                <w:sz w:val="18"/>
              </w:rPr>
              <w:t>Produkti 4.2 Zhvillimi i reformave ligjore dhe rregullatore për të përgatitur terrenin për zbatim.</w:t>
            </w:r>
          </w:p>
        </w:tc>
        <w:tc>
          <w:tcPr>
            <w:tcW w:w="1373" w:type="pct"/>
            <w:tcMar>
              <w:top w:w="100" w:type="dxa"/>
              <w:left w:w="100" w:type="dxa"/>
              <w:bottom w:w="100" w:type="dxa"/>
              <w:right w:w="100" w:type="dxa"/>
            </w:tcMar>
            <w:vAlign w:val="center"/>
          </w:tcPr>
          <w:p w14:paraId="56CB2A8A"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Hartimi i ligjeve/akteve nënligjore.</w:t>
            </w:r>
          </w:p>
        </w:tc>
        <w:tc>
          <w:tcPr>
            <w:tcW w:w="790" w:type="pct"/>
            <w:tcMar>
              <w:top w:w="100" w:type="dxa"/>
              <w:left w:w="100" w:type="dxa"/>
              <w:bottom w:w="100" w:type="dxa"/>
              <w:right w:w="100" w:type="dxa"/>
            </w:tcMar>
            <w:vAlign w:val="center"/>
          </w:tcPr>
          <w:p w14:paraId="4B2BD5CF"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tcMar>
              <w:top w:w="100" w:type="dxa"/>
              <w:left w:w="100" w:type="dxa"/>
              <w:bottom w:w="100" w:type="dxa"/>
              <w:right w:w="100" w:type="dxa"/>
            </w:tcMar>
            <w:vAlign w:val="center"/>
          </w:tcPr>
          <w:p w14:paraId="6BB652B1"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tcMar>
              <w:top w:w="100" w:type="dxa"/>
              <w:left w:w="100" w:type="dxa"/>
              <w:bottom w:w="100" w:type="dxa"/>
              <w:right w:w="100" w:type="dxa"/>
            </w:tcMar>
            <w:vAlign w:val="center"/>
          </w:tcPr>
          <w:p w14:paraId="4C8F511A"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2</w:t>
            </w:r>
          </w:p>
        </w:tc>
      </w:tr>
      <w:tr w:rsidR="00847F23" w:rsidRPr="00913E39" w14:paraId="182F82C1" w14:textId="77777777" w:rsidTr="00B27420">
        <w:trPr>
          <w:trHeight w:val="20"/>
          <w:jc w:val="center"/>
        </w:trPr>
        <w:tc>
          <w:tcPr>
            <w:tcW w:w="676" w:type="pct"/>
            <w:vMerge/>
            <w:tcMar>
              <w:top w:w="100" w:type="dxa"/>
              <w:left w:w="100" w:type="dxa"/>
              <w:bottom w:w="100" w:type="dxa"/>
              <w:right w:w="100" w:type="dxa"/>
            </w:tcMar>
            <w:vAlign w:val="center"/>
          </w:tcPr>
          <w:p w14:paraId="483F2E28" w14:textId="77777777" w:rsidR="00847F23" w:rsidRPr="00913E39" w:rsidRDefault="00847F23" w:rsidP="007C41EB">
            <w:pPr>
              <w:spacing w:after="0" w:line="240" w:lineRule="auto"/>
              <w:rPr>
                <w:rFonts w:ascii="Garamond" w:hAnsi="Garamond"/>
                <w:b/>
                <w:sz w:val="18"/>
              </w:rPr>
            </w:pPr>
          </w:p>
        </w:tc>
        <w:tc>
          <w:tcPr>
            <w:tcW w:w="1151" w:type="pct"/>
            <w:tcMar>
              <w:top w:w="100" w:type="dxa"/>
              <w:left w:w="100" w:type="dxa"/>
              <w:bottom w:w="100" w:type="dxa"/>
              <w:right w:w="100" w:type="dxa"/>
            </w:tcMar>
            <w:vAlign w:val="center"/>
          </w:tcPr>
          <w:p w14:paraId="3ADA81A2" w14:textId="77777777" w:rsidR="00847F23" w:rsidRPr="00913E39" w:rsidRDefault="00847F23" w:rsidP="007C41EB">
            <w:pPr>
              <w:spacing w:after="0" w:line="240" w:lineRule="auto"/>
              <w:rPr>
                <w:rFonts w:ascii="Garamond" w:hAnsi="Garamond"/>
                <w:sz w:val="18"/>
              </w:rPr>
            </w:pPr>
            <w:r w:rsidRPr="00913E39">
              <w:rPr>
                <w:rFonts w:ascii="Garamond" w:hAnsi="Garamond"/>
                <w:sz w:val="18"/>
              </w:rPr>
              <w:t>Produkti 4.3 Krijimi i portalit CbCR, përmirësimi i infrastrukturës ekzistuese të IT-së dhe vendosja e pajisjeve të reja në DPT.</w:t>
            </w:r>
          </w:p>
        </w:tc>
        <w:tc>
          <w:tcPr>
            <w:tcW w:w="1373" w:type="pct"/>
            <w:tcMar>
              <w:top w:w="100" w:type="dxa"/>
              <w:left w:w="100" w:type="dxa"/>
              <w:bottom w:w="100" w:type="dxa"/>
              <w:right w:w="100" w:type="dxa"/>
            </w:tcMar>
            <w:vAlign w:val="center"/>
          </w:tcPr>
          <w:p w14:paraId="6BABFA2B" w14:textId="77777777" w:rsidR="00847F23" w:rsidRPr="00913E39" w:rsidRDefault="00847F23" w:rsidP="007C41EB">
            <w:pPr>
              <w:spacing w:after="0" w:line="240" w:lineRule="auto"/>
              <w:rPr>
                <w:rFonts w:ascii="Garamond" w:hAnsi="Garamond"/>
                <w:sz w:val="18"/>
              </w:rPr>
            </w:pPr>
            <w:r w:rsidRPr="00913E39">
              <w:rPr>
                <w:rFonts w:ascii="Garamond" w:hAnsi="Garamond"/>
                <w:sz w:val="18"/>
              </w:rPr>
              <w:t>Instalimi i sistemit.</w:t>
            </w:r>
          </w:p>
        </w:tc>
        <w:tc>
          <w:tcPr>
            <w:tcW w:w="790" w:type="pct"/>
            <w:tcMar>
              <w:top w:w="100" w:type="dxa"/>
              <w:left w:w="100" w:type="dxa"/>
              <w:bottom w:w="100" w:type="dxa"/>
              <w:right w:w="100" w:type="dxa"/>
            </w:tcMar>
            <w:vAlign w:val="center"/>
          </w:tcPr>
          <w:p w14:paraId="3FA9270D"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tcMar>
              <w:top w:w="100" w:type="dxa"/>
              <w:left w:w="100" w:type="dxa"/>
              <w:bottom w:w="100" w:type="dxa"/>
              <w:right w:w="100" w:type="dxa"/>
            </w:tcMar>
            <w:vAlign w:val="center"/>
          </w:tcPr>
          <w:p w14:paraId="574BF90F"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tcMar>
              <w:top w:w="100" w:type="dxa"/>
              <w:left w:w="100" w:type="dxa"/>
              <w:bottom w:w="100" w:type="dxa"/>
              <w:right w:w="100" w:type="dxa"/>
            </w:tcMar>
            <w:vAlign w:val="center"/>
          </w:tcPr>
          <w:p w14:paraId="189E9E67"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1</w:t>
            </w:r>
          </w:p>
        </w:tc>
      </w:tr>
      <w:tr w:rsidR="00847F23" w:rsidRPr="00913E39" w14:paraId="78BD5AA5" w14:textId="77777777" w:rsidTr="00B27420">
        <w:trPr>
          <w:trHeight w:val="20"/>
          <w:jc w:val="center"/>
        </w:trPr>
        <w:tc>
          <w:tcPr>
            <w:tcW w:w="676" w:type="pct"/>
            <w:vMerge/>
            <w:tcMar>
              <w:top w:w="100" w:type="dxa"/>
              <w:left w:w="100" w:type="dxa"/>
              <w:bottom w:w="100" w:type="dxa"/>
              <w:right w:w="100" w:type="dxa"/>
            </w:tcMar>
            <w:vAlign w:val="center"/>
          </w:tcPr>
          <w:p w14:paraId="71B7D577" w14:textId="77777777" w:rsidR="00847F23" w:rsidRPr="00913E39" w:rsidRDefault="00847F23" w:rsidP="007C41EB">
            <w:pPr>
              <w:spacing w:after="0" w:line="240" w:lineRule="auto"/>
              <w:rPr>
                <w:rFonts w:ascii="Garamond" w:hAnsi="Garamond"/>
                <w:b/>
                <w:sz w:val="18"/>
              </w:rPr>
            </w:pPr>
          </w:p>
        </w:tc>
        <w:tc>
          <w:tcPr>
            <w:tcW w:w="1151" w:type="pct"/>
            <w:tcMar>
              <w:top w:w="100" w:type="dxa"/>
              <w:left w:w="100" w:type="dxa"/>
              <w:bottom w:w="100" w:type="dxa"/>
              <w:right w:w="100" w:type="dxa"/>
            </w:tcMar>
            <w:vAlign w:val="center"/>
          </w:tcPr>
          <w:p w14:paraId="34852EA4" w14:textId="77777777" w:rsidR="00847F23" w:rsidRPr="00913E39" w:rsidRDefault="00847F23" w:rsidP="007C41EB">
            <w:pPr>
              <w:spacing w:after="0" w:line="240" w:lineRule="auto"/>
              <w:rPr>
                <w:rFonts w:ascii="Garamond" w:hAnsi="Garamond"/>
                <w:sz w:val="18"/>
              </w:rPr>
            </w:pPr>
            <w:r w:rsidRPr="00913E39">
              <w:rPr>
                <w:rFonts w:ascii="Garamond" w:hAnsi="Garamond"/>
                <w:sz w:val="18"/>
              </w:rPr>
              <w:t>Produkti 4.4 Trajnimi i stafit të IT-së në DPT-të dhe organet/agjencitë e tjera publike.</w:t>
            </w:r>
          </w:p>
        </w:tc>
        <w:tc>
          <w:tcPr>
            <w:tcW w:w="1373" w:type="pct"/>
            <w:tcMar>
              <w:top w:w="100" w:type="dxa"/>
              <w:left w:w="100" w:type="dxa"/>
              <w:bottom w:w="100" w:type="dxa"/>
              <w:right w:w="100" w:type="dxa"/>
            </w:tcMar>
            <w:vAlign w:val="center"/>
          </w:tcPr>
          <w:p w14:paraId="745B1F85" w14:textId="77777777" w:rsidR="00847F23" w:rsidRPr="00913E39" w:rsidRDefault="00847F23" w:rsidP="007C41EB">
            <w:pPr>
              <w:spacing w:after="0" w:line="240" w:lineRule="auto"/>
              <w:rPr>
                <w:rFonts w:ascii="Garamond" w:hAnsi="Garamond"/>
                <w:sz w:val="18"/>
              </w:rPr>
            </w:pPr>
            <w:r w:rsidRPr="00913E39">
              <w:rPr>
                <w:rFonts w:ascii="Garamond" w:hAnsi="Garamond"/>
                <w:sz w:val="18"/>
              </w:rPr>
              <w:t>Trajnimi i stafit i ndarë sipas gjinisë/moshës/punëdhënësit</w:t>
            </w:r>
          </w:p>
        </w:tc>
        <w:tc>
          <w:tcPr>
            <w:tcW w:w="790" w:type="pct"/>
            <w:tcMar>
              <w:top w:w="100" w:type="dxa"/>
              <w:left w:w="100" w:type="dxa"/>
              <w:bottom w:w="100" w:type="dxa"/>
              <w:right w:w="100" w:type="dxa"/>
            </w:tcMar>
            <w:vAlign w:val="center"/>
          </w:tcPr>
          <w:p w14:paraId="66D51844"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tcMar>
              <w:top w:w="100" w:type="dxa"/>
              <w:left w:w="100" w:type="dxa"/>
              <w:bottom w:w="100" w:type="dxa"/>
              <w:right w:w="100" w:type="dxa"/>
            </w:tcMar>
            <w:vAlign w:val="center"/>
          </w:tcPr>
          <w:p w14:paraId="1810D8B9"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tcMar>
              <w:top w:w="100" w:type="dxa"/>
              <w:left w:w="100" w:type="dxa"/>
              <w:bottom w:w="100" w:type="dxa"/>
              <w:right w:w="100" w:type="dxa"/>
            </w:tcMar>
            <w:vAlign w:val="center"/>
          </w:tcPr>
          <w:p w14:paraId="5956F9E3"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30</w:t>
            </w:r>
          </w:p>
        </w:tc>
      </w:tr>
      <w:tr w:rsidR="00847F23" w:rsidRPr="00913E39" w14:paraId="0F2D4746" w14:textId="77777777" w:rsidTr="00B27420">
        <w:trPr>
          <w:trHeight w:val="20"/>
          <w:jc w:val="center"/>
        </w:trPr>
        <w:tc>
          <w:tcPr>
            <w:tcW w:w="676" w:type="pct"/>
            <w:vMerge/>
            <w:tcMar>
              <w:top w:w="100" w:type="dxa"/>
              <w:left w:w="100" w:type="dxa"/>
              <w:bottom w:w="100" w:type="dxa"/>
              <w:right w:w="100" w:type="dxa"/>
            </w:tcMar>
            <w:vAlign w:val="center"/>
            <w:hideMark/>
          </w:tcPr>
          <w:p w14:paraId="134B5C56" w14:textId="77777777" w:rsidR="00847F23" w:rsidRPr="00913E39" w:rsidRDefault="00847F23" w:rsidP="007C41EB">
            <w:pPr>
              <w:spacing w:after="0" w:line="240" w:lineRule="auto"/>
              <w:rPr>
                <w:rFonts w:ascii="Garamond" w:hAnsi="Garamond"/>
                <w:sz w:val="18"/>
              </w:rPr>
            </w:pPr>
          </w:p>
        </w:tc>
        <w:tc>
          <w:tcPr>
            <w:tcW w:w="1151" w:type="pct"/>
            <w:tcMar>
              <w:top w:w="100" w:type="dxa"/>
              <w:left w:w="100" w:type="dxa"/>
              <w:bottom w:w="100" w:type="dxa"/>
              <w:right w:w="100" w:type="dxa"/>
            </w:tcMar>
            <w:vAlign w:val="center"/>
          </w:tcPr>
          <w:p w14:paraId="4D221467" w14:textId="77777777" w:rsidR="00847F23" w:rsidRPr="00913E39" w:rsidRDefault="00847F23" w:rsidP="007C41EB">
            <w:pPr>
              <w:spacing w:after="0" w:line="240" w:lineRule="auto"/>
              <w:rPr>
                <w:rFonts w:ascii="Garamond" w:hAnsi="Garamond"/>
                <w:sz w:val="18"/>
              </w:rPr>
            </w:pPr>
            <w:r w:rsidRPr="00913E39">
              <w:rPr>
                <w:rFonts w:ascii="Garamond" w:hAnsi="Garamond"/>
                <w:sz w:val="18"/>
              </w:rPr>
              <w:t>Produkti 4.5 Zhvillimi i një fushate ndërgjegjësimi dhe informimi për ndërmarrjet shqiptare.</w:t>
            </w:r>
          </w:p>
        </w:tc>
        <w:tc>
          <w:tcPr>
            <w:tcW w:w="1373" w:type="pct"/>
            <w:tcMar>
              <w:top w:w="100" w:type="dxa"/>
              <w:left w:w="100" w:type="dxa"/>
              <w:bottom w:w="100" w:type="dxa"/>
              <w:right w:w="100" w:type="dxa"/>
            </w:tcMar>
            <w:vAlign w:val="center"/>
            <w:hideMark/>
          </w:tcPr>
          <w:p w14:paraId="2F757FFF" w14:textId="77777777" w:rsidR="00847F23" w:rsidRPr="00913E39" w:rsidRDefault="00847F23" w:rsidP="007C41EB">
            <w:pPr>
              <w:spacing w:after="0" w:line="240" w:lineRule="auto"/>
              <w:rPr>
                <w:rFonts w:ascii="Garamond" w:hAnsi="Garamond"/>
                <w:sz w:val="18"/>
              </w:rPr>
            </w:pPr>
            <w:r w:rsidRPr="00913E39">
              <w:rPr>
                <w:rFonts w:ascii="Garamond" w:hAnsi="Garamond"/>
                <w:sz w:val="18"/>
              </w:rPr>
              <w:t># ndërmarrjeve shqiptare të kontaktuara.</w:t>
            </w:r>
          </w:p>
        </w:tc>
        <w:tc>
          <w:tcPr>
            <w:tcW w:w="790" w:type="pct"/>
            <w:tcMar>
              <w:top w:w="100" w:type="dxa"/>
              <w:left w:w="100" w:type="dxa"/>
              <w:bottom w:w="100" w:type="dxa"/>
              <w:right w:w="100" w:type="dxa"/>
            </w:tcMar>
            <w:vAlign w:val="center"/>
            <w:hideMark/>
          </w:tcPr>
          <w:p w14:paraId="49BC258A"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tcMar>
              <w:top w:w="100" w:type="dxa"/>
              <w:left w:w="100" w:type="dxa"/>
              <w:bottom w:w="100" w:type="dxa"/>
              <w:right w:w="100" w:type="dxa"/>
            </w:tcMar>
            <w:vAlign w:val="center"/>
            <w:hideMark/>
          </w:tcPr>
          <w:p w14:paraId="51F8F90C"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tcMar>
              <w:top w:w="100" w:type="dxa"/>
              <w:left w:w="100" w:type="dxa"/>
              <w:bottom w:w="100" w:type="dxa"/>
              <w:right w:w="100" w:type="dxa"/>
            </w:tcMar>
            <w:vAlign w:val="center"/>
            <w:hideMark/>
          </w:tcPr>
          <w:p w14:paraId="57771A00"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250</w:t>
            </w:r>
          </w:p>
        </w:tc>
      </w:tr>
      <w:tr w:rsidR="00847F23" w:rsidRPr="00913E39" w14:paraId="0AD28ABD" w14:textId="77777777" w:rsidTr="007C41EB">
        <w:trPr>
          <w:trHeight w:val="20"/>
          <w:jc w:val="center"/>
        </w:trPr>
        <w:tc>
          <w:tcPr>
            <w:tcW w:w="676" w:type="pct"/>
            <w:vMerge/>
            <w:tcMar>
              <w:top w:w="100" w:type="dxa"/>
              <w:left w:w="100" w:type="dxa"/>
              <w:bottom w:w="100" w:type="dxa"/>
              <w:right w:w="100" w:type="dxa"/>
            </w:tcMar>
            <w:vAlign w:val="center"/>
          </w:tcPr>
          <w:p w14:paraId="5713F0AA" w14:textId="77777777" w:rsidR="00847F23" w:rsidRPr="00913E39" w:rsidRDefault="00847F23" w:rsidP="007C41EB">
            <w:pPr>
              <w:spacing w:after="0" w:line="240" w:lineRule="auto"/>
              <w:rPr>
                <w:rFonts w:ascii="Garamond" w:hAnsi="Garamond"/>
                <w:b/>
                <w:sz w:val="18"/>
              </w:rPr>
            </w:pPr>
          </w:p>
        </w:tc>
        <w:tc>
          <w:tcPr>
            <w:tcW w:w="1151" w:type="pct"/>
            <w:tcMar>
              <w:top w:w="100" w:type="dxa"/>
              <w:left w:w="100" w:type="dxa"/>
              <w:bottom w:w="100" w:type="dxa"/>
              <w:right w:w="100" w:type="dxa"/>
            </w:tcMar>
            <w:vAlign w:val="center"/>
          </w:tcPr>
          <w:p w14:paraId="3304985A" w14:textId="77777777" w:rsidR="00847F23" w:rsidRPr="00913E39" w:rsidRDefault="00847F23" w:rsidP="007C41EB">
            <w:pPr>
              <w:spacing w:after="0" w:line="240" w:lineRule="auto"/>
              <w:rPr>
                <w:rFonts w:ascii="Garamond" w:hAnsi="Garamond"/>
                <w:sz w:val="18"/>
              </w:rPr>
            </w:pPr>
            <w:r w:rsidRPr="00913E39">
              <w:rPr>
                <w:rFonts w:ascii="Garamond" w:hAnsi="Garamond"/>
                <w:sz w:val="18"/>
              </w:rPr>
              <w:t>Produkti 4.6 Krijimi i sistemit të monitorimit dhe vlerësimit për CbCR.</w:t>
            </w:r>
          </w:p>
        </w:tc>
        <w:tc>
          <w:tcPr>
            <w:tcW w:w="1373" w:type="pct"/>
            <w:tcMar>
              <w:top w:w="100" w:type="dxa"/>
              <w:left w:w="100" w:type="dxa"/>
              <w:bottom w:w="100" w:type="dxa"/>
              <w:right w:w="100" w:type="dxa"/>
            </w:tcMar>
            <w:vAlign w:val="center"/>
          </w:tcPr>
          <w:p w14:paraId="5255926E" w14:textId="77777777" w:rsidR="00847F23" w:rsidRPr="00913E39" w:rsidRDefault="00847F23" w:rsidP="007C41EB">
            <w:pPr>
              <w:spacing w:after="0" w:line="240" w:lineRule="auto"/>
              <w:rPr>
                <w:rFonts w:ascii="Garamond" w:hAnsi="Garamond"/>
                <w:sz w:val="18"/>
              </w:rPr>
            </w:pPr>
            <w:r w:rsidRPr="00913E39">
              <w:rPr>
                <w:rFonts w:ascii="Garamond" w:hAnsi="Garamond"/>
                <w:sz w:val="18"/>
              </w:rPr>
              <w:t>Krijimi i sistemit të monitorimit dhe vlerësimit për CbCR.</w:t>
            </w:r>
          </w:p>
        </w:tc>
        <w:tc>
          <w:tcPr>
            <w:tcW w:w="790" w:type="pct"/>
            <w:tcMar>
              <w:top w:w="100" w:type="dxa"/>
              <w:left w:w="100" w:type="dxa"/>
              <w:bottom w:w="100" w:type="dxa"/>
              <w:right w:w="100" w:type="dxa"/>
            </w:tcMar>
            <w:vAlign w:val="center"/>
          </w:tcPr>
          <w:p w14:paraId="37DF68B8"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Numër</w:t>
            </w:r>
          </w:p>
        </w:tc>
        <w:tc>
          <w:tcPr>
            <w:tcW w:w="452" w:type="pct"/>
            <w:tcMar>
              <w:top w:w="100" w:type="dxa"/>
              <w:left w:w="100" w:type="dxa"/>
              <w:bottom w:w="100" w:type="dxa"/>
              <w:right w:w="100" w:type="dxa"/>
            </w:tcMar>
            <w:vAlign w:val="center"/>
          </w:tcPr>
          <w:p w14:paraId="10C11DC2"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0</w:t>
            </w:r>
          </w:p>
        </w:tc>
        <w:tc>
          <w:tcPr>
            <w:tcW w:w="558" w:type="pct"/>
            <w:tcMar>
              <w:top w:w="100" w:type="dxa"/>
              <w:left w:w="100" w:type="dxa"/>
              <w:bottom w:w="100" w:type="dxa"/>
              <w:right w:w="100" w:type="dxa"/>
            </w:tcMar>
            <w:vAlign w:val="center"/>
          </w:tcPr>
          <w:p w14:paraId="5B9F56D2" w14:textId="77777777" w:rsidR="00847F23" w:rsidRPr="00913E39" w:rsidRDefault="00847F23" w:rsidP="007C41EB">
            <w:pPr>
              <w:spacing w:after="0" w:line="240" w:lineRule="auto"/>
              <w:jc w:val="both"/>
              <w:rPr>
                <w:rFonts w:ascii="Garamond" w:hAnsi="Garamond"/>
                <w:sz w:val="18"/>
              </w:rPr>
            </w:pPr>
            <w:r w:rsidRPr="00913E39">
              <w:rPr>
                <w:rFonts w:ascii="Garamond" w:hAnsi="Garamond"/>
                <w:sz w:val="18"/>
              </w:rPr>
              <w:t>1</w:t>
            </w:r>
          </w:p>
        </w:tc>
      </w:tr>
      <w:bookmarkEnd w:id="42"/>
    </w:tbl>
    <w:p w14:paraId="4A211CF9" w14:textId="77777777" w:rsidR="00847F23" w:rsidRPr="00913E39" w:rsidRDefault="00847F23" w:rsidP="00FC4C60">
      <w:pPr>
        <w:spacing w:after="0" w:line="240" w:lineRule="auto"/>
        <w:ind w:firstLine="284"/>
        <w:jc w:val="both"/>
        <w:rPr>
          <w:rFonts w:ascii="Garamond" w:hAnsi="Garamond"/>
          <w:b/>
          <w:sz w:val="24"/>
        </w:rPr>
      </w:pPr>
    </w:p>
    <w:p w14:paraId="73614BA7"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Lloji i aktiviteteve</w:t>
      </w:r>
    </w:p>
    <w:p w14:paraId="76A045A4" w14:textId="00627EA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përgjithësi, aktivitetet e </w:t>
      </w:r>
      <w:r w:rsidR="00022847" w:rsidRPr="00913E39">
        <w:rPr>
          <w:rFonts w:ascii="Garamond" w:hAnsi="Garamond"/>
          <w:sz w:val="24"/>
        </w:rPr>
        <w:t xml:space="preserve">fushës së mbështetjes për tatimet do të </w:t>
      </w:r>
      <w:r w:rsidRPr="00913E39">
        <w:rPr>
          <w:rFonts w:ascii="Garamond" w:hAnsi="Garamond"/>
          <w:sz w:val="24"/>
        </w:rPr>
        <w:t xml:space="preserve">jenë si më poshtë: </w:t>
      </w:r>
    </w:p>
    <w:p w14:paraId="7D9CAE11" w14:textId="273F8A8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1</w:t>
      </w:r>
      <w:r w:rsidR="00022847" w:rsidRPr="00913E39">
        <w:rPr>
          <w:rFonts w:ascii="Garamond" w:hAnsi="Garamond"/>
          <w:sz w:val="24"/>
        </w:rPr>
        <w:t>.</w:t>
      </w:r>
      <w:r w:rsidRPr="00913E39">
        <w:rPr>
          <w:rFonts w:ascii="Garamond" w:hAnsi="Garamond"/>
          <w:sz w:val="24"/>
        </w:rPr>
        <w:t xml:space="preserve"> Forcimi i kapaciteteve në lidhje me </w:t>
      </w:r>
      <w:r w:rsidRPr="00913E39">
        <w:rPr>
          <w:rFonts w:ascii="Garamond" w:hAnsi="Garamond"/>
          <w:i/>
          <w:sz w:val="24"/>
        </w:rPr>
        <w:t>acquis</w:t>
      </w:r>
      <w:r w:rsidRPr="00913E39">
        <w:rPr>
          <w:rFonts w:ascii="Garamond" w:hAnsi="Garamond"/>
          <w:sz w:val="24"/>
        </w:rPr>
        <w:t xml:space="preserve">, përafrimi dhe harmonizimi ligjor, reformat sektoriale; </w:t>
      </w:r>
    </w:p>
    <w:p w14:paraId="7ECECE5D" w14:textId="7DC5338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2</w:t>
      </w:r>
      <w:r w:rsidR="00022847" w:rsidRPr="00913E39">
        <w:rPr>
          <w:rFonts w:ascii="Garamond" w:hAnsi="Garamond"/>
          <w:sz w:val="24"/>
        </w:rPr>
        <w:t>.</w:t>
      </w:r>
      <w:r w:rsidRPr="00913E39">
        <w:rPr>
          <w:rFonts w:ascii="Garamond" w:hAnsi="Garamond"/>
          <w:sz w:val="24"/>
        </w:rPr>
        <w:t xml:space="preserve"> Aktivitete të tjera:</w:t>
      </w:r>
    </w:p>
    <w:p w14:paraId="5ECFC04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FORCIMI I KAPACITETEVE: Forcimi i kapaciteteve dhe trajnimi i punonjësve të Drejtorisë së Përgjithshme të Tatimeve për përdorimin dhe mirëmbajtjen e sistemeve të integruara të IT-së.</w:t>
      </w:r>
    </w:p>
    <w:p w14:paraId="6310D67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INVESTIMI: Sigurimi dhe instalimi i pajisjeve dhe programeve (në përputhje me projektligjin e ri që përfshin menaxhimin e mbetjeve elektronike, i parashikuar të miratohet së shpejti dhe të hyjë në fuqi nga janari 2025.</w:t>
      </w:r>
    </w:p>
    <w:p w14:paraId="180139B4"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STUDIMI TEKNIK: Vlerësim, studim fizibiliteti, specifikime teknike.</w:t>
      </w:r>
    </w:p>
    <w:p w14:paraId="020F5C07"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FUSHATA NDËRGJEGJËSIMI: Fushata informuese për bizneset mbi detyrimet e raportimit, kërkesat për të dhëna dhe procedurat e dorëzimit.</w:t>
      </w:r>
    </w:p>
    <w:p w14:paraId="224A1D69" w14:textId="45669401"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Tabela 19</w:t>
      </w:r>
      <w:r w:rsidR="00022847" w:rsidRPr="00913E39">
        <w:rPr>
          <w:rFonts w:ascii="Garamond" w:hAnsi="Garamond"/>
          <w:sz w:val="24"/>
        </w:rPr>
        <w:t>.</w:t>
      </w:r>
      <w:r w:rsidRPr="00913E39">
        <w:rPr>
          <w:rFonts w:ascii="Garamond" w:hAnsi="Garamond"/>
          <w:sz w:val="24"/>
        </w:rPr>
        <w:t xml:space="preserve"> </w:t>
      </w:r>
      <w:r w:rsidRPr="00913E39">
        <w:rPr>
          <w:rFonts w:ascii="Garamond" w:hAnsi="Garamond"/>
          <w:i/>
          <w:sz w:val="24"/>
        </w:rPr>
        <w:t xml:space="preserve">Tatimet, </w:t>
      </w:r>
      <w:r w:rsidR="00022847" w:rsidRPr="00913E39">
        <w:rPr>
          <w:rFonts w:ascii="Garamond" w:hAnsi="Garamond"/>
          <w:i/>
          <w:sz w:val="24"/>
        </w:rPr>
        <w:t>t</w:t>
      </w:r>
      <w:r w:rsidRPr="00913E39">
        <w:rPr>
          <w:rFonts w:ascii="Garamond" w:hAnsi="Garamond"/>
          <w:i/>
          <w:sz w:val="24"/>
        </w:rPr>
        <w:t>regues i llojit kryesor të aktiviteteve sipas kësaj nënfushe të mbështetjes, i ndarë sipas viteve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9"/>
        <w:gridCol w:w="1979"/>
        <w:gridCol w:w="2498"/>
        <w:gridCol w:w="2308"/>
      </w:tblGrid>
      <w:tr w:rsidR="00847F23" w:rsidRPr="00913E39" w14:paraId="135F9934" w14:textId="77777777" w:rsidTr="00B27420">
        <w:trPr>
          <w:tblHeader/>
        </w:trPr>
        <w:tc>
          <w:tcPr>
            <w:tcW w:w="1333" w:type="pct"/>
            <w:shd w:val="clear" w:color="auto" w:fill="auto"/>
          </w:tcPr>
          <w:p w14:paraId="105706B6" w14:textId="77777777" w:rsidR="00847F23" w:rsidRPr="00913E39" w:rsidRDefault="00847F23" w:rsidP="00460531">
            <w:pPr>
              <w:spacing w:after="0" w:line="240" w:lineRule="auto"/>
              <w:jc w:val="center"/>
              <w:rPr>
                <w:rFonts w:ascii="Garamond" w:hAnsi="Garamond"/>
                <w:b/>
                <w:sz w:val="20"/>
              </w:rPr>
            </w:pPr>
            <w:r w:rsidRPr="00913E39">
              <w:rPr>
                <w:rFonts w:ascii="Garamond" w:hAnsi="Garamond"/>
                <w:b/>
                <w:sz w:val="20"/>
              </w:rPr>
              <w:t>2024</w:t>
            </w:r>
          </w:p>
        </w:tc>
        <w:tc>
          <w:tcPr>
            <w:tcW w:w="1162" w:type="pct"/>
            <w:shd w:val="clear" w:color="auto" w:fill="auto"/>
          </w:tcPr>
          <w:p w14:paraId="75A93C1F" w14:textId="77777777" w:rsidR="00847F23" w:rsidRPr="00913E39" w:rsidRDefault="00847F23" w:rsidP="00460531">
            <w:pPr>
              <w:spacing w:after="0" w:line="240" w:lineRule="auto"/>
              <w:jc w:val="center"/>
              <w:rPr>
                <w:rFonts w:ascii="Garamond" w:hAnsi="Garamond"/>
                <w:b/>
                <w:sz w:val="20"/>
              </w:rPr>
            </w:pPr>
            <w:r w:rsidRPr="00913E39">
              <w:rPr>
                <w:rFonts w:ascii="Garamond" w:hAnsi="Garamond"/>
                <w:b/>
                <w:sz w:val="20"/>
              </w:rPr>
              <w:t>2025</w:t>
            </w:r>
          </w:p>
        </w:tc>
        <w:tc>
          <w:tcPr>
            <w:tcW w:w="1162" w:type="pct"/>
            <w:shd w:val="clear" w:color="auto" w:fill="auto"/>
          </w:tcPr>
          <w:p w14:paraId="78746074" w14:textId="77777777" w:rsidR="00847F23" w:rsidRPr="00913E39" w:rsidRDefault="00847F23" w:rsidP="00460531">
            <w:pPr>
              <w:spacing w:after="0" w:line="240" w:lineRule="auto"/>
              <w:jc w:val="center"/>
              <w:rPr>
                <w:rFonts w:ascii="Garamond" w:hAnsi="Garamond"/>
                <w:b/>
                <w:sz w:val="20"/>
              </w:rPr>
            </w:pPr>
            <w:r w:rsidRPr="00913E39">
              <w:rPr>
                <w:rFonts w:ascii="Garamond" w:hAnsi="Garamond"/>
                <w:b/>
                <w:sz w:val="20"/>
              </w:rPr>
              <w:t>2026</w:t>
            </w:r>
          </w:p>
        </w:tc>
        <w:tc>
          <w:tcPr>
            <w:tcW w:w="1343" w:type="pct"/>
            <w:shd w:val="clear" w:color="auto" w:fill="auto"/>
          </w:tcPr>
          <w:p w14:paraId="23A53143" w14:textId="77777777" w:rsidR="00847F23" w:rsidRPr="00913E39" w:rsidRDefault="00847F23" w:rsidP="00460531">
            <w:pPr>
              <w:spacing w:after="0" w:line="240" w:lineRule="auto"/>
              <w:jc w:val="center"/>
              <w:rPr>
                <w:rFonts w:ascii="Garamond" w:hAnsi="Garamond"/>
                <w:b/>
                <w:sz w:val="20"/>
              </w:rPr>
            </w:pPr>
            <w:r w:rsidRPr="00913E39">
              <w:rPr>
                <w:rFonts w:ascii="Garamond" w:hAnsi="Garamond"/>
                <w:b/>
                <w:sz w:val="20"/>
              </w:rPr>
              <w:t>2027</w:t>
            </w:r>
          </w:p>
        </w:tc>
      </w:tr>
      <w:tr w:rsidR="00847F23" w:rsidRPr="00913E39" w14:paraId="39325EBD" w14:textId="77777777" w:rsidTr="00B27420">
        <w:tc>
          <w:tcPr>
            <w:tcW w:w="1333" w:type="pct"/>
            <w:shd w:val="clear" w:color="auto" w:fill="auto"/>
          </w:tcPr>
          <w:p w14:paraId="55852CC4" w14:textId="77777777" w:rsidR="00847F23" w:rsidRPr="00913E39" w:rsidRDefault="00847F23" w:rsidP="006D6812">
            <w:pPr>
              <w:spacing w:after="0" w:line="240" w:lineRule="auto"/>
              <w:rPr>
                <w:rFonts w:ascii="Garamond" w:hAnsi="Garamond"/>
                <w:sz w:val="20"/>
              </w:rPr>
            </w:pPr>
            <w:r w:rsidRPr="00913E39">
              <w:rPr>
                <w:rFonts w:ascii="Garamond" w:hAnsi="Garamond"/>
                <w:sz w:val="20"/>
              </w:rPr>
              <w:t>Vlerësim, studim fizibiliteti, specifikime teknike.</w:t>
            </w:r>
          </w:p>
        </w:tc>
        <w:tc>
          <w:tcPr>
            <w:tcW w:w="1162" w:type="pct"/>
            <w:shd w:val="clear" w:color="auto" w:fill="auto"/>
          </w:tcPr>
          <w:p w14:paraId="711342FA" w14:textId="77777777" w:rsidR="00847F23" w:rsidRPr="00913E39" w:rsidRDefault="00847F23" w:rsidP="006D6812">
            <w:pPr>
              <w:spacing w:after="0" w:line="240" w:lineRule="auto"/>
              <w:rPr>
                <w:rFonts w:ascii="Garamond" w:hAnsi="Garamond"/>
                <w:sz w:val="20"/>
              </w:rPr>
            </w:pPr>
            <w:r w:rsidRPr="00913E39">
              <w:rPr>
                <w:rFonts w:ascii="Garamond" w:hAnsi="Garamond"/>
                <w:sz w:val="20"/>
              </w:rPr>
              <w:t xml:space="preserve">Përafrimi dhe harmonizimi ligjor i lidhur me </w:t>
            </w:r>
            <w:r w:rsidRPr="00913E39">
              <w:rPr>
                <w:rFonts w:ascii="Garamond" w:hAnsi="Garamond"/>
                <w:i/>
                <w:sz w:val="20"/>
              </w:rPr>
              <w:t>acquis</w:t>
            </w:r>
            <w:r w:rsidRPr="00913E39">
              <w:rPr>
                <w:rFonts w:ascii="Garamond" w:hAnsi="Garamond"/>
                <w:sz w:val="20"/>
              </w:rPr>
              <w:t xml:space="preserve"> të BE-së.</w:t>
            </w:r>
          </w:p>
          <w:p w14:paraId="0AFD609E" w14:textId="77777777" w:rsidR="00847F23" w:rsidRPr="00913E39" w:rsidRDefault="00847F23" w:rsidP="006D6812">
            <w:pPr>
              <w:spacing w:after="0" w:line="240" w:lineRule="auto"/>
              <w:rPr>
                <w:rFonts w:ascii="Garamond" w:hAnsi="Garamond"/>
                <w:sz w:val="20"/>
              </w:rPr>
            </w:pPr>
          </w:p>
        </w:tc>
        <w:tc>
          <w:tcPr>
            <w:tcW w:w="1162" w:type="pct"/>
            <w:shd w:val="clear" w:color="auto" w:fill="auto"/>
          </w:tcPr>
          <w:p w14:paraId="3570412D" w14:textId="77777777" w:rsidR="00847F23" w:rsidRPr="00913E39" w:rsidRDefault="00847F23" w:rsidP="006D6812">
            <w:pPr>
              <w:spacing w:after="0" w:line="240" w:lineRule="auto"/>
              <w:rPr>
                <w:rFonts w:ascii="Garamond" w:hAnsi="Garamond"/>
                <w:sz w:val="20"/>
              </w:rPr>
            </w:pPr>
            <w:r w:rsidRPr="00913E39">
              <w:rPr>
                <w:rFonts w:ascii="Garamond" w:hAnsi="Garamond"/>
                <w:sz w:val="20"/>
              </w:rPr>
              <w:t>Sigurimi instalimi dhe testimi i pajisjeve dhe programeprogrameprograme.</w:t>
            </w:r>
          </w:p>
          <w:p w14:paraId="2E812288" w14:textId="77777777" w:rsidR="00847F23" w:rsidRPr="00913E39" w:rsidRDefault="00847F23" w:rsidP="006D6812">
            <w:pPr>
              <w:spacing w:after="0" w:line="240" w:lineRule="auto"/>
              <w:rPr>
                <w:rFonts w:ascii="Garamond" w:hAnsi="Garamond"/>
                <w:sz w:val="20"/>
              </w:rPr>
            </w:pPr>
            <w:r w:rsidRPr="00913E39">
              <w:rPr>
                <w:rFonts w:ascii="Garamond" w:hAnsi="Garamond"/>
                <w:sz w:val="20"/>
              </w:rPr>
              <w:t>Fushata informuese për bizneset mbi detyrimet e raportimit, kërkesat për të dhëna dhe procedurat e dorëzimit.</w:t>
            </w:r>
          </w:p>
          <w:p w14:paraId="2B168450" w14:textId="77777777" w:rsidR="00847F23" w:rsidRPr="00913E39" w:rsidRDefault="00847F23" w:rsidP="006D6812">
            <w:pPr>
              <w:spacing w:after="0" w:line="240" w:lineRule="auto"/>
              <w:rPr>
                <w:rFonts w:ascii="Garamond" w:hAnsi="Garamond"/>
                <w:sz w:val="20"/>
              </w:rPr>
            </w:pPr>
            <w:r w:rsidRPr="00913E39">
              <w:rPr>
                <w:rFonts w:ascii="Garamond" w:hAnsi="Garamond"/>
                <w:sz w:val="20"/>
              </w:rPr>
              <w:t>Forcimi i kapaciteteve dhe trajnimi i punonjësve të Drejtorisë së Përgjithshme të Tatimeve për përdorimin dhe mirëmbajtjen e sistemeve të integruara të IT-së.</w:t>
            </w:r>
          </w:p>
        </w:tc>
        <w:tc>
          <w:tcPr>
            <w:tcW w:w="1343" w:type="pct"/>
            <w:shd w:val="clear" w:color="auto" w:fill="auto"/>
          </w:tcPr>
          <w:p w14:paraId="19DEC0CA" w14:textId="77777777" w:rsidR="00847F23" w:rsidRPr="00913E39" w:rsidRDefault="00847F23" w:rsidP="006D6812">
            <w:pPr>
              <w:spacing w:after="0" w:line="240" w:lineRule="auto"/>
              <w:rPr>
                <w:rFonts w:ascii="Garamond" w:hAnsi="Garamond"/>
                <w:sz w:val="20"/>
              </w:rPr>
            </w:pPr>
            <w:r w:rsidRPr="00913E39">
              <w:rPr>
                <w:rFonts w:ascii="Garamond" w:hAnsi="Garamond"/>
                <w:sz w:val="20"/>
              </w:rPr>
              <w:t>Fushata informuese për bizneset mbi detyrimet e raportimit, kërkesat për të dhëna dhe procedurat e dorëzimit.</w:t>
            </w:r>
          </w:p>
          <w:p w14:paraId="1196C30D" w14:textId="347D6FFB" w:rsidR="00847F23" w:rsidRPr="00913E39" w:rsidRDefault="00847F23" w:rsidP="006D6812">
            <w:pPr>
              <w:spacing w:after="0" w:line="240" w:lineRule="auto"/>
              <w:rPr>
                <w:rFonts w:ascii="Garamond" w:hAnsi="Garamond"/>
                <w:sz w:val="20"/>
              </w:rPr>
            </w:pPr>
            <w:r w:rsidRPr="00913E39">
              <w:rPr>
                <w:rFonts w:ascii="Garamond" w:hAnsi="Garamond"/>
                <w:sz w:val="20"/>
              </w:rPr>
              <w:t xml:space="preserve">Kryerja e raportimit të </w:t>
            </w:r>
            <w:r w:rsidR="00022847" w:rsidRPr="00913E39">
              <w:rPr>
                <w:rFonts w:ascii="Garamond" w:hAnsi="Garamond"/>
                <w:sz w:val="20"/>
              </w:rPr>
              <w:t>parë vend për vend.</w:t>
            </w:r>
          </w:p>
          <w:p w14:paraId="5FC59001" w14:textId="77777777" w:rsidR="00847F23" w:rsidRPr="00913E39" w:rsidRDefault="00847F23" w:rsidP="006D6812">
            <w:pPr>
              <w:spacing w:after="0" w:line="240" w:lineRule="auto"/>
              <w:rPr>
                <w:rFonts w:ascii="Garamond" w:hAnsi="Garamond"/>
                <w:sz w:val="20"/>
              </w:rPr>
            </w:pPr>
          </w:p>
        </w:tc>
      </w:tr>
    </w:tbl>
    <w:p w14:paraId="5C695379" w14:textId="77777777" w:rsidR="00847F23" w:rsidRPr="00913E39" w:rsidRDefault="00847F23" w:rsidP="00FC4C60">
      <w:pPr>
        <w:spacing w:after="0" w:line="240" w:lineRule="auto"/>
        <w:ind w:firstLine="284"/>
        <w:jc w:val="both"/>
        <w:rPr>
          <w:rFonts w:ascii="Garamond" w:hAnsi="Garamond"/>
          <w:b/>
          <w:sz w:val="24"/>
        </w:rPr>
      </w:pPr>
    </w:p>
    <w:p w14:paraId="4FB4287D"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 xml:space="preserve">Përshkrimi i aktiviteteve të pranueshme </w:t>
      </w:r>
    </w:p>
    <w:p w14:paraId="4D8233F4" w14:textId="6CEEC3F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Aktivitetet e mëposhtme janë planifikuar në mënyrë demonstrative për t</w:t>
      </w:r>
      <w:r w:rsidR="005222A5" w:rsidRPr="00913E39">
        <w:rPr>
          <w:rFonts w:ascii="Garamond" w:hAnsi="Garamond"/>
          <w:sz w:val="24"/>
        </w:rPr>
        <w:t>’</w:t>
      </w:r>
      <w:r w:rsidRPr="00913E39">
        <w:rPr>
          <w:rFonts w:ascii="Garamond" w:hAnsi="Garamond"/>
          <w:sz w:val="24"/>
        </w:rPr>
        <w:t xml:space="preserve">u zbatuar dhe për të kontribuar në dhënien e rezultateve në këtë fushë të mbështetjes: </w:t>
      </w:r>
    </w:p>
    <w:p w14:paraId="170FEABD"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Ndërlidhja dhe ndërveprimi i sistemeve IT të DPT-së me sistemet VIES/VIDA të BE-së</w:t>
      </w:r>
    </w:p>
    <w:p w14:paraId="58AD18FE"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Kryerja e një vlerësimi gjithëpërfshirës të sistemeve ekzistuese të IT-së brenda Drejtorisë së Përgjithshme të Tatimeve dhe veprimtaria e saj me AKSHI-n për të identifikuar boshllëqet dhe fushat që kërkojnë përmirësim ose integrim me sistemet e BE-së.</w:t>
      </w:r>
    </w:p>
    <w:p w14:paraId="03A4BB4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Përkufizimi dhe krijimi i protokolleve të përcaktimit të të dhënave dhe rregullave të përcaktimit për të siguruar shkëmbim të saktë dhe të qëndrueshëm të të dhënave midis sistemeve të Drejtorisë së Përgjithshme të Tatimeve dhe sistemeve të BE-së. Kjo do të përfshijë përafrimin e fushave, formateve dhe kodeve të të dhënave për të lehtësuar ndarjen pa problem të informacionit.</w:t>
      </w:r>
    </w:p>
    <w:p w14:paraId="61B1D8C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Përgatitja e standardeve dhe specifikimeve teknike të mandatuara nga Bashkimi Evropian për ndërlidhjen dhe ndërveprimin, duke marrë parasysh gjithashtu kërkesat teknike, shpërndarjen e burimeve dhe çdo përmirësim të nevojshëm të infrastrukturës.</w:t>
      </w:r>
    </w:p>
    <w:p w14:paraId="7ED539E7" w14:textId="354303A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Zhvillimi dhe </w:t>
      </w:r>
      <w:r w:rsidR="00022847" w:rsidRPr="00913E39">
        <w:rPr>
          <w:rFonts w:ascii="Garamond" w:hAnsi="Garamond"/>
          <w:sz w:val="24"/>
        </w:rPr>
        <w:t>integrimi i sistemit –</w:t>
      </w:r>
      <w:r w:rsidRPr="00913E39">
        <w:rPr>
          <w:rFonts w:ascii="Garamond" w:hAnsi="Garamond"/>
          <w:sz w:val="24"/>
        </w:rPr>
        <w:t xml:space="preserve"> zhvillimi</w:t>
      </w:r>
      <w:r w:rsidR="00022847" w:rsidRPr="00913E39">
        <w:rPr>
          <w:rFonts w:ascii="Garamond" w:hAnsi="Garamond"/>
          <w:sz w:val="24"/>
        </w:rPr>
        <w:t xml:space="preserve"> </w:t>
      </w:r>
      <w:r w:rsidRPr="00913E39">
        <w:rPr>
          <w:rFonts w:ascii="Garamond" w:hAnsi="Garamond"/>
          <w:sz w:val="24"/>
        </w:rPr>
        <w:t>dhe modifikimi i sistemeve IT të Drejtorisë së Përgjithshme të Tatimeve për të kombinuar funksionalitetet dhe ndërfaqet e nevojshme për integrim të pandërprerë me sistemet VIES/VIDA të BE-së.</w:t>
      </w:r>
    </w:p>
    <w:p w14:paraId="551B524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Ofrimi i trajnimeve dhe rritja e kapaciteteve të stafit të DPT për përdorimin dhe mirëmbajtjen e sistemeve të integruara të IT. Kjo do të sigurojë që punonjësit të jenë të aftë në përdorimin e funksionaliteteve dhe protokolleve të reja që lidhen me ndërlidhjen dhe ndërveprimin me sistemet e BE-së.</w:t>
      </w:r>
    </w:p>
    <w:p w14:paraId="1430FF5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Krijimi i mekanizmave për monitorimin dhe mirëmbajtjen e vazhdueshme të sistemeve të integruara për të identifikuar dhe adresuar çdo problem apo mospërputhje. Përditësimet e rregullta dhe mirëmbajtja e sistemit do të jenë thelbësore për të siguruar procesin e qetë dhe të pandërprerë të të dhënave ndërmjet Drejtorisë së Përgjithshme të Tatimeve dhe sistemeve të BE-së.</w:t>
      </w:r>
    </w:p>
    <w:p w14:paraId="36C1266B" w14:textId="05F1A6B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Sigurimi dhe testimi i pajisjeve dhe programeve. Blerja e pajisjeve të nevojshme për të mbajtur aplikacionet VIES/VIDA siç specifikohet nga kërkesat e DG TAXUD, të cilat përfshijnë, por jo </w:t>
      </w:r>
      <w:r w:rsidRPr="00913E39">
        <w:rPr>
          <w:rFonts w:ascii="Garamond" w:hAnsi="Garamond"/>
          <w:sz w:val="24"/>
        </w:rPr>
        <w:lastRenderedPageBreak/>
        <w:t xml:space="preserve">vetëm: - </w:t>
      </w:r>
      <w:r w:rsidR="00022847" w:rsidRPr="00913E39">
        <w:rPr>
          <w:rFonts w:ascii="Garamond" w:hAnsi="Garamond"/>
          <w:sz w:val="24"/>
        </w:rPr>
        <w:t>g</w:t>
      </w:r>
      <w:r w:rsidRPr="00913E39">
        <w:rPr>
          <w:rFonts w:ascii="Garamond" w:hAnsi="Garamond"/>
          <w:sz w:val="24"/>
        </w:rPr>
        <w:t xml:space="preserve">rupin e serverave që presin aplikacionin (testimi, funksionimi, baza e të dhënave, aplikacioni etj.); - </w:t>
      </w:r>
      <w:r w:rsidRPr="00913E39">
        <w:rPr>
          <w:rFonts w:ascii="Garamond" w:hAnsi="Garamond"/>
          <w:i/>
          <w:sz w:val="24"/>
        </w:rPr>
        <w:t>Enterprise Storage Solutions</w:t>
      </w:r>
      <w:r w:rsidRPr="00913E39">
        <w:rPr>
          <w:rFonts w:ascii="Garamond" w:hAnsi="Garamond"/>
          <w:sz w:val="24"/>
        </w:rPr>
        <w:t xml:space="preserve">; </w:t>
      </w:r>
      <w:r w:rsidR="00022847" w:rsidRPr="00913E39">
        <w:rPr>
          <w:rFonts w:ascii="Garamond" w:hAnsi="Garamond"/>
          <w:sz w:val="24"/>
        </w:rPr>
        <w:t>l</w:t>
      </w:r>
      <w:r w:rsidRPr="00913E39">
        <w:rPr>
          <w:rFonts w:ascii="Garamond" w:hAnsi="Garamond"/>
          <w:sz w:val="24"/>
        </w:rPr>
        <w:t xml:space="preserve">icencat e programit (nëse nevojitet); </w:t>
      </w:r>
      <w:r w:rsidR="00022847" w:rsidRPr="00913E39">
        <w:rPr>
          <w:rFonts w:ascii="Garamond" w:hAnsi="Garamond"/>
          <w:sz w:val="24"/>
        </w:rPr>
        <w:t>z</w:t>
      </w:r>
      <w:r w:rsidRPr="00913E39">
        <w:rPr>
          <w:rFonts w:ascii="Garamond" w:hAnsi="Garamond"/>
          <w:sz w:val="24"/>
        </w:rPr>
        <w:t>gjidhje standar</w:t>
      </w:r>
      <w:r w:rsidR="00022847" w:rsidRPr="00913E39">
        <w:rPr>
          <w:rFonts w:ascii="Garamond" w:hAnsi="Garamond"/>
          <w:sz w:val="24"/>
        </w:rPr>
        <w:t>d</w:t>
      </w:r>
      <w:r w:rsidRPr="00913E39">
        <w:rPr>
          <w:rFonts w:ascii="Garamond" w:hAnsi="Garamond"/>
          <w:sz w:val="24"/>
        </w:rPr>
        <w:t>e e programeve</w:t>
      </w:r>
    </w:p>
    <w:p w14:paraId="2AEBA0FA" w14:textId="3DE6615F"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Forcimi i njohurive do të ndërmerret për të trajnuar stafin e DPT-së që të kuptojë protokollet e të dhënave dhe të menaxhojë në mënyrë efektive proceset e raportimit dhe shkëmbimit të të dhënave. Për më tepër, mund të kërkohet asistencë teknike afatshkurtër për të ndihmuar në zhvillimin e procedurave të brendshme dhe përshkrimeve të punës për rolet e reja që dalin nga ky aktivitet. Mbështetja do të ofrohet për sa i përket përafrimit ligjor me </w:t>
      </w:r>
      <w:r w:rsidR="00022847" w:rsidRPr="00913E39">
        <w:rPr>
          <w:rFonts w:ascii="Garamond" w:hAnsi="Garamond"/>
          <w:sz w:val="24"/>
        </w:rPr>
        <w:t>d</w:t>
      </w:r>
      <w:r w:rsidRPr="00913E39">
        <w:rPr>
          <w:rFonts w:ascii="Garamond" w:hAnsi="Garamond"/>
          <w:sz w:val="24"/>
        </w:rPr>
        <w:t>irektivën e Këshillit të BE-së 2006/112/KE të datës 28 nëntor 2006, e cila krijon sistemin e përbashkët të tatimit mbi vlerën e shtuar (TVSH) brenda Bashkimit Evropian.</w:t>
      </w:r>
    </w:p>
    <w:p w14:paraId="2C8B62F3" w14:textId="70D81D4B"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 xml:space="preserve">Raportimi </w:t>
      </w:r>
      <w:r w:rsidR="00C7273C" w:rsidRPr="00913E39">
        <w:rPr>
          <w:rFonts w:ascii="Garamond" w:hAnsi="Garamond"/>
          <w:i/>
          <w:sz w:val="24"/>
        </w:rPr>
        <w:t xml:space="preserve">vend për vend </w:t>
      </w:r>
    </w:p>
    <w:p w14:paraId="7A5FCCB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Përafrimi i kuadrit ligjor dhe rregullator për të bashkërenduar kërkesat e CbCR-së. Kjo përfshin rishikimin, vlerësimin e mangësive dhe përgatitjen e ligjeve dhe akteve nënligjore të përafruara me standardet ndërkombëtare të përcaktuara nga OECD/BE.</w:t>
      </w:r>
    </w:p>
    <w:p w14:paraId="483E1493"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Zbatimi i një sistemi për monitorimin e përmbushjes së detyrimeve të CbCR dhe kryerja e vlerësimeve të riskut bazuar në informacionin e raportuar. Zhvillimi i mekanizmave dhe procedurave institucionale për adresimin e mospërmbusjes, duke përfshirë auditimet, hetimet dhe penalitetet.</w:t>
      </w:r>
    </w:p>
    <w:p w14:paraId="10A821F3"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Përgatitja e një fushate informuese për bizneset duke ofruar udhëzime dhe orientime të qarta në lidhje me detyrimet e raportimit, kërkesat e të dhënave dhe procedurat e dorëzimit.</w:t>
      </w:r>
    </w:p>
    <w:p w14:paraId="1D2B12E3"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Përcaktimi i objekt-raportit tëCbCR-së, krijimi i modeleve të raportimit dhe përcaktimi i periudhës së raportimit. Zhvillimi i mekanizmave dhe procedurave për mbledhjen dhe vleftësimin e të dhënave të kërkuara financiare dhe tatimore. </w:t>
      </w:r>
    </w:p>
    <w:p w14:paraId="18805D5E"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Përgatitja e standardeve dhe specifikimeve teknike për sistemet e IT- të afta për të marrë, përpunuar dhe shkëmbyer të dhëna CbCR duke marrë parasysh gjithashtu kërkesat teknike, shpërndarjen e burimeve dhe çdo përmirësim të nevojshëm të infrastrukturës. Kjo përfshin garantimin e sigurisë, konfidencialitetit dhe integritetit të të dhënave gjatë transmetimit dhe ruajtjes. Përafrimi i sistemeve të IT-së me skemën XML të OECD-së dhe kërkesat e formatimit për të dhënat CbCR.</w:t>
      </w:r>
    </w:p>
    <w:p w14:paraId="0F8A9CE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Sigurimi dhe instalimi i pajisjeve dhe programeve:</w:t>
      </w:r>
    </w:p>
    <w:p w14:paraId="53B1A414"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Blerja e pajisjeve të nevojshme për të mbajtur aplikacionet CBC siç specifikohet nga kërkesat e OECD-së, të cilat përfshijnë, por jo vetëm:</w:t>
      </w:r>
    </w:p>
    <w:p w14:paraId="60F07785" w14:textId="5A5125A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Grupin e serverëve për të pritur aplikacionin (testimi, funksionimi, baza e të dhënave, aplikacioni etj.)</w:t>
      </w:r>
    </w:p>
    <w:p w14:paraId="04260482"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 xml:space="preserve">Enterprise Storage Solutions </w:t>
      </w:r>
    </w:p>
    <w:p w14:paraId="4187A4E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Licencat e programeve, nëse nuk mbështeten nga AKSHI</w:t>
      </w:r>
    </w:p>
    <w:p w14:paraId="0BCD0151"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Zgjidhje standarde e programeve.</w:t>
      </w:r>
    </w:p>
    <w:p w14:paraId="52B82F08"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Metodat e ofrimit</w:t>
      </w:r>
    </w:p>
    <w:p w14:paraId="7EF11EFE" w14:textId="63A2097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Binjakëzimet, kontratat e shërbimit dhe sigurimit do të konsiderohen si metoda të mundshme të ofrimit.</w:t>
      </w:r>
    </w:p>
    <w:p w14:paraId="033EF55B"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 xml:space="preserve">Përfituesit fundorë dhe grupet e synuara: </w:t>
      </w:r>
    </w:p>
    <w:p w14:paraId="215759EF"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Drejtoria e Përgjithshme e Tatimeve; Agjencia Kombëtare për Shoqërinë e Informacionit; tatimpaguesit.</w:t>
      </w:r>
    </w:p>
    <w:p w14:paraId="2F21F04E"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Kushtet:</w:t>
      </w:r>
    </w:p>
    <w:p w14:paraId="440CBFF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Sigurimi i bashkëfinancimit të qeverisë. </w:t>
      </w:r>
    </w:p>
    <w:p w14:paraId="382C781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Ministria e Financave dhe Ekonomisë ka miratuar alokimin e buxhetit për Programin Buxhetor Afatmesëm, i cili përfshin planet e mirëmbajtjes. </w:t>
      </w:r>
    </w:p>
    <w:p w14:paraId="1D06CCCA" w14:textId="75E94B6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DPT</w:t>
      </w:r>
      <w:r w:rsidR="00557A82" w:rsidRPr="00913E39">
        <w:rPr>
          <w:rFonts w:ascii="Garamond" w:hAnsi="Garamond"/>
          <w:sz w:val="24"/>
        </w:rPr>
        <w:t>-ja</w:t>
      </w:r>
      <w:r w:rsidRPr="00913E39">
        <w:rPr>
          <w:rFonts w:ascii="Garamond" w:hAnsi="Garamond"/>
          <w:sz w:val="24"/>
        </w:rPr>
        <w:t xml:space="preserve"> dhe AKSHI janë të përkushtuara për të zgjeruar stafin e tyre dhe për të parandaluar lëvizjen e punonjësve të trajnuar dhe të specializuar. </w:t>
      </w:r>
    </w:p>
    <w:p w14:paraId="28EB2618" w14:textId="081F6A82" w:rsidR="00847F23" w:rsidRPr="00913E39" w:rsidRDefault="00847F23" w:rsidP="00FC4C60">
      <w:pPr>
        <w:spacing w:after="0" w:line="240" w:lineRule="auto"/>
        <w:ind w:firstLine="284"/>
        <w:jc w:val="both"/>
        <w:rPr>
          <w:rFonts w:ascii="Garamond" w:hAnsi="Garamond"/>
          <w:b/>
          <w:sz w:val="24"/>
        </w:rPr>
      </w:pPr>
      <w:r w:rsidRPr="00913E39">
        <w:rPr>
          <w:rFonts w:ascii="Garamond" w:hAnsi="Garamond"/>
          <w:sz w:val="24"/>
        </w:rPr>
        <w:t>DPT</w:t>
      </w:r>
      <w:r w:rsidR="00557A82" w:rsidRPr="00913E39">
        <w:rPr>
          <w:rFonts w:ascii="Garamond" w:hAnsi="Garamond"/>
          <w:sz w:val="24"/>
        </w:rPr>
        <w:t>-ja</w:t>
      </w:r>
      <w:r w:rsidRPr="00913E39">
        <w:rPr>
          <w:rFonts w:ascii="Garamond" w:hAnsi="Garamond"/>
          <w:sz w:val="24"/>
        </w:rPr>
        <w:t xml:space="preserve"> dhe AKSHI përfshijnë rregullisht stafin e tyre në përcaktimin e funksionaliteteve, kryerjen e testeve të pranimit të përdoruesve dhe sigurimin e përdorimit të rregullt të sistemit.</w:t>
      </w:r>
    </w:p>
    <w:p w14:paraId="60212FD9" w14:textId="4736BCE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Janë miratuar Strategjia Afatmesme e të Ardhurave (SAMA) 2022</w:t>
      </w:r>
      <w:r w:rsidR="00557A82" w:rsidRPr="00913E39">
        <w:rPr>
          <w:rFonts w:ascii="Garamond" w:hAnsi="Garamond"/>
          <w:sz w:val="24"/>
        </w:rPr>
        <w:t>–</w:t>
      </w:r>
      <w:r w:rsidRPr="00913E39">
        <w:rPr>
          <w:rFonts w:ascii="Garamond" w:hAnsi="Garamond"/>
          <w:sz w:val="24"/>
        </w:rPr>
        <w:t>2026 dhe Strategjia Sektoriale për Menaxhimin e Financave Publike 2023</w:t>
      </w:r>
      <w:r w:rsidR="00557A82" w:rsidRPr="00913E39">
        <w:rPr>
          <w:rFonts w:ascii="Garamond" w:hAnsi="Garamond"/>
          <w:sz w:val="24"/>
        </w:rPr>
        <w:t>–</w:t>
      </w:r>
      <w:r w:rsidRPr="00913E39">
        <w:rPr>
          <w:rFonts w:ascii="Garamond" w:hAnsi="Garamond"/>
          <w:sz w:val="24"/>
        </w:rPr>
        <w:t>2030.</w:t>
      </w:r>
    </w:p>
    <w:p w14:paraId="74357C75" w14:textId="1653B124"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lastRenderedPageBreak/>
        <w:t>Nën</w:t>
      </w:r>
      <w:r w:rsidR="0003243A" w:rsidRPr="00913E39">
        <w:rPr>
          <w:rFonts w:ascii="Garamond" w:hAnsi="Garamond"/>
          <w:i/>
          <w:sz w:val="24"/>
        </w:rPr>
        <w:t>f</w:t>
      </w:r>
      <w:r w:rsidRPr="00913E39">
        <w:rPr>
          <w:rFonts w:ascii="Garamond" w:hAnsi="Garamond"/>
          <w:i/>
          <w:sz w:val="24"/>
        </w:rPr>
        <w:t>usha e mbështetjes 2.2: Siguria kibernetike</w:t>
      </w:r>
    </w:p>
    <w:p w14:paraId="42F49289"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Arsyetimi</w:t>
      </w:r>
    </w:p>
    <w:p w14:paraId="3BA65954" w14:textId="2507F17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Që nga viti 2022, Shqipëria ka qenë në shënjestër të sulmeve kibernetike të sponsorizuara nga shteti iranian, të cilat kanë prekur rëndë infrastrukturën kritike publike dhe private të vendit sipas Byrosë Federale të Hetimit të SHBA-së (FBI &amp; CISA). Hakerët kanë arritur të depërtojnë në serverët e qeverisë shqiptare, duke nxjerrë të dhëna, duke përdorur </w:t>
      </w:r>
      <w:r w:rsidRPr="00913E39">
        <w:rPr>
          <w:rFonts w:ascii="Garamond" w:hAnsi="Garamond"/>
          <w:i/>
          <w:sz w:val="24"/>
        </w:rPr>
        <w:t>ransomware</w:t>
      </w:r>
      <w:r w:rsidRPr="00913E39">
        <w:rPr>
          <w:rFonts w:ascii="Garamond" w:hAnsi="Garamond"/>
          <w:sz w:val="24"/>
        </w:rPr>
        <w:t xml:space="preserve"> dhe, më 16 korrik 2022, kanë kryer një sulm shkatërrues të tipit </w:t>
      </w:r>
      <w:r w:rsidR="00850FC7" w:rsidRPr="00913E39">
        <w:rPr>
          <w:rFonts w:ascii="Garamond" w:hAnsi="Garamond"/>
          <w:sz w:val="24"/>
        </w:rPr>
        <w:t>“</w:t>
      </w:r>
      <w:r w:rsidRPr="00913E39">
        <w:rPr>
          <w:rFonts w:ascii="Garamond" w:hAnsi="Garamond"/>
          <w:sz w:val="24"/>
        </w:rPr>
        <w:t>wiper</w:t>
      </w:r>
      <w:r w:rsidR="00850FC7" w:rsidRPr="00913E39">
        <w:rPr>
          <w:rFonts w:ascii="Garamond" w:hAnsi="Garamond"/>
          <w:sz w:val="24"/>
        </w:rPr>
        <w:t>”</w:t>
      </w:r>
      <w:r w:rsidRPr="00913E39">
        <w:rPr>
          <w:rFonts w:ascii="Garamond" w:hAnsi="Garamond"/>
          <w:sz w:val="24"/>
        </w:rPr>
        <w:t xml:space="preserve">, duke fshirë të dhënat publike përmes </w:t>
      </w:r>
      <w:r w:rsidRPr="00913E39">
        <w:rPr>
          <w:rFonts w:ascii="Garamond" w:hAnsi="Garamond"/>
          <w:i/>
          <w:sz w:val="24"/>
        </w:rPr>
        <w:t>malware</w:t>
      </w:r>
      <w:r w:rsidRPr="00913E39">
        <w:rPr>
          <w:rFonts w:ascii="Garamond" w:hAnsi="Garamond"/>
          <w:sz w:val="24"/>
        </w:rPr>
        <w:t xml:space="preserve">-ve të dedikuara për fshirje. Si pasojë, institucionet qeveritare u detyruan të bllokojnë infrastrukturën e tyre për të parandaluar veprimtaritë dashakeqe, të cilat synonin të ndërprisnin shërbime të rëndësishme </w:t>
      </w:r>
      <w:r w:rsidRPr="00913E39">
        <w:rPr>
          <w:rFonts w:ascii="Garamond" w:hAnsi="Garamond"/>
          <w:i/>
          <w:sz w:val="24"/>
        </w:rPr>
        <w:t>online</w:t>
      </w:r>
      <w:r w:rsidRPr="00913E39">
        <w:rPr>
          <w:rFonts w:ascii="Garamond" w:hAnsi="Garamond"/>
          <w:sz w:val="24"/>
        </w:rPr>
        <w:t>, përfshirë regjistrimin e lindjeve, martesave dhe vdekjeve.</w:t>
      </w:r>
    </w:p>
    <w:p w14:paraId="77BDB0E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Me fillimin e luftës së agresionit të Rusisë kundër Ukrainës, dhe në përgjithësi me klimën e paqëndrueshmërisë në rritje që karakterizon marrëdhëniet ndërkombëtare, sulmet kibernetike ndaj institucioneve qeveritare janë bërë edhe më të përhapura, megjithëse shumë rrallë zënë titujt e lajmeve, për një sërë arsyesh. Për më tepër, ndodh gjithnjë e më e shpeshtë që infrastruktura kritike sektorët bankar dhe financiarë, energjia, uji, transporti, madje edhe ofruesit e shërbimeve shëndetësore, përfshirë bizneset e mëdha, ndërmarrjet e vogla dhe individët, po përballen me shkelje të rënda të sigurisë.</w:t>
      </w:r>
    </w:p>
    <w:p w14:paraId="43384909" w14:textId="056F72D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raportin e tij të dhjetë mbi panoramën e kërcënimeve globale dhe ndaj BE-së, ENISA (2022) identifikoi tetë burime kryesore të kërcënimit duke përfshirë </w:t>
      </w:r>
      <w:r w:rsidRPr="00913E39">
        <w:rPr>
          <w:rFonts w:ascii="Garamond" w:hAnsi="Garamond"/>
          <w:i/>
          <w:sz w:val="24"/>
        </w:rPr>
        <w:t>ransomware, malware</w:t>
      </w:r>
      <w:r w:rsidRPr="00913E39">
        <w:rPr>
          <w:rFonts w:ascii="Garamond" w:hAnsi="Garamond"/>
          <w:sz w:val="24"/>
        </w:rPr>
        <w:t>, manipulimin social, rrjedhjet e të dhënave, sulmet për mohimin e shërbimit (DDoS), kërcënimet e tjera në internet, sulmet ndaj zinxhirit të sigurimit</w:t>
      </w:r>
      <w:r w:rsidR="001E7BC5" w:rsidRPr="00913E39">
        <w:rPr>
          <w:rFonts w:ascii="Garamond" w:hAnsi="Garamond"/>
          <w:sz w:val="24"/>
        </w:rPr>
        <w:t>,</w:t>
      </w:r>
      <w:r w:rsidRPr="00913E39">
        <w:rPr>
          <w:rFonts w:ascii="Garamond" w:hAnsi="Garamond"/>
          <w:sz w:val="24"/>
        </w:rPr>
        <w:t xml:space="preserve"> si dhe dezinformimin/misinformimin.</w:t>
      </w:r>
      <w:r w:rsidRPr="00913E39">
        <w:rPr>
          <w:rFonts w:ascii="Garamond" w:hAnsi="Garamond"/>
          <w:sz w:val="24"/>
          <w:vertAlign w:val="superscript"/>
        </w:rPr>
        <w:footnoteReference w:id="80"/>
      </w:r>
      <w:r w:rsidRPr="00913E39">
        <w:rPr>
          <w:rFonts w:ascii="Garamond" w:hAnsi="Garamond"/>
          <w:sz w:val="24"/>
        </w:rPr>
        <w:t xml:space="preserve">. </w:t>
      </w:r>
    </w:p>
    <w:p w14:paraId="6156C43F" w14:textId="315E676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Megjithatë, për shkak të sofistikimit në rritje të aktorëve keqdashës, si dhe kompleksitetit në rritje të sistemeve dhe rrjeteve moderne të IT-së, do të ishte gabim të adoptohej një qasje </w:t>
      </w:r>
      <w:r w:rsidR="00850FC7" w:rsidRPr="00913E39">
        <w:rPr>
          <w:rFonts w:ascii="Garamond" w:eastAsia="Times New Roman" w:hAnsi="Garamond" w:cs="Times New Roman"/>
          <w:sz w:val="24"/>
          <w:szCs w:val="24"/>
        </w:rPr>
        <w:t>“</w:t>
      </w:r>
      <w:r w:rsidRPr="00913E39">
        <w:rPr>
          <w:rFonts w:ascii="Garamond" w:hAnsi="Garamond"/>
          <w:sz w:val="24"/>
        </w:rPr>
        <w:t>mendje të ngushtë</w:t>
      </w:r>
      <w:r w:rsidR="00850FC7" w:rsidRPr="00913E39">
        <w:rPr>
          <w:rFonts w:ascii="Garamond" w:eastAsia="Times New Roman" w:hAnsi="Garamond" w:cs="Times New Roman"/>
          <w:sz w:val="24"/>
          <w:szCs w:val="24"/>
        </w:rPr>
        <w:t>”</w:t>
      </w:r>
      <w:r w:rsidRPr="00913E39">
        <w:rPr>
          <w:rFonts w:ascii="Garamond" w:hAnsi="Garamond"/>
          <w:sz w:val="24"/>
        </w:rPr>
        <w:t xml:space="preserve"> për sigurinë kibernetike, bazuar vetëm në investimet gjithnjë në rritje në sistemet e mbrojtjes së IT-së, që rrezikojnë të vjetrohen përpara se të adoptohen gjerësisht nga organizatat. Në fakt, në këtë fushë më shumë se kudo tjetër, faktori njerëzor luan një rol vendimtar, si në nivelin individual – ku përdoruesit, si pika më e dobët ndaj sulmeve dashakeqe, duhet të rrisin ndërgjegjësimin dhe kuptimin e rreziqeve të mundshme – ashtu edhe si pjesë e një sistemi më të gjerë të qeverisjes së sigurisë kibernetike, i cili përfshin një komunitet të vetëm interesi me aktorë të ndryshëm publikë dhe privatë</w:t>
      </w:r>
      <w:r w:rsidR="009F7315">
        <w:rPr>
          <w:rFonts w:ascii="Garamond" w:hAnsi="Garamond"/>
          <w:sz w:val="24"/>
        </w:rPr>
        <w:t>.</w:t>
      </w:r>
    </w:p>
    <w:p w14:paraId="58B386E4" w14:textId="54311F6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Shqipëria është në procesin e punës drejt krijimit të një komuniteti të tillë </w:t>
      </w:r>
      <w:r w:rsidR="00A846B0" w:rsidRPr="00913E39">
        <w:rPr>
          <w:rFonts w:ascii="Garamond" w:hAnsi="Garamond"/>
          <w:sz w:val="24"/>
        </w:rPr>
        <w:t>–</w:t>
      </w:r>
      <w:r w:rsidRPr="00913E39">
        <w:rPr>
          <w:rFonts w:ascii="Garamond" w:hAnsi="Garamond"/>
          <w:sz w:val="24"/>
        </w:rPr>
        <w:t xml:space="preserve"> të</w:t>
      </w:r>
      <w:r w:rsidR="00A846B0" w:rsidRPr="00913E39">
        <w:rPr>
          <w:rFonts w:ascii="Garamond" w:hAnsi="Garamond"/>
          <w:sz w:val="24"/>
        </w:rPr>
        <w:t xml:space="preserve"> </w:t>
      </w:r>
      <w:r w:rsidRPr="00913E39">
        <w:rPr>
          <w:rFonts w:ascii="Garamond" w:hAnsi="Garamond"/>
          <w:sz w:val="24"/>
        </w:rPr>
        <w:t xml:space="preserve">përqendruar në AKCESK, Autoriteti Kombëtar për </w:t>
      </w:r>
      <w:r w:rsidR="001E7BC5" w:rsidRPr="00913E39">
        <w:rPr>
          <w:rFonts w:ascii="Garamond" w:hAnsi="Garamond"/>
          <w:sz w:val="24"/>
        </w:rPr>
        <w:t>C</w:t>
      </w:r>
      <w:r w:rsidRPr="00913E39">
        <w:rPr>
          <w:rFonts w:ascii="Garamond" w:hAnsi="Garamond"/>
          <w:sz w:val="24"/>
        </w:rPr>
        <w:t xml:space="preserve">ertifikimin Elektronik dhe Sigurinë Kibernetike, ku AKSHI është krahu i tij operacional, përfshirë edhe rolin e luajtur si autoritet qeveritar për sigurinë kibernetike, që ofron një portal kombëtar të </w:t>
      </w:r>
      <w:r w:rsidRPr="00913E39">
        <w:rPr>
          <w:rFonts w:ascii="Garamond" w:hAnsi="Garamond"/>
          <w:i/>
          <w:sz w:val="24"/>
        </w:rPr>
        <w:t>e-shërbime</w:t>
      </w:r>
      <w:r w:rsidRPr="00913E39">
        <w:rPr>
          <w:rFonts w:ascii="Garamond" w:hAnsi="Garamond"/>
          <w:sz w:val="24"/>
        </w:rPr>
        <w:t xml:space="preserve"> për qytetarët dhe administron qendrën e të dhënave shtetërore.</w:t>
      </w:r>
    </w:p>
    <w:p w14:paraId="7A4AC924" w14:textId="044A4D39"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Legjislacioni i zbatueshëm i BE-së:</w:t>
      </w:r>
      <w:r w:rsidRPr="00913E39">
        <w:rPr>
          <w:rFonts w:ascii="Garamond" w:hAnsi="Garamond"/>
          <w:b/>
          <w:sz w:val="24"/>
        </w:rPr>
        <w:t xml:space="preserve"> </w:t>
      </w:r>
      <w:r w:rsidR="002E6408" w:rsidRPr="00913E39">
        <w:rPr>
          <w:rFonts w:ascii="Garamond" w:hAnsi="Garamond"/>
          <w:sz w:val="24"/>
        </w:rPr>
        <w:t>r</w:t>
      </w:r>
      <w:r w:rsidRPr="00913E39">
        <w:rPr>
          <w:rFonts w:ascii="Garamond" w:hAnsi="Garamond"/>
          <w:sz w:val="24"/>
        </w:rPr>
        <w:t xml:space="preserve">regullorja (BE) 2019/881 e Parlamentit Evropian dhe e Këshillit e datës 17 prill 2019 mbi ENISA (Agjencia e Bashkimit Evropian për Sigurinë Kibernetike) dhe për certifikimin e sigurisë kibernetike të teknologjisë së informacionit dhe komunikimit dhe që shfuqizon </w:t>
      </w:r>
      <w:r w:rsidR="00283868" w:rsidRPr="00913E39">
        <w:rPr>
          <w:rFonts w:ascii="Garamond" w:hAnsi="Garamond"/>
          <w:sz w:val="24"/>
        </w:rPr>
        <w:t>rregullor</w:t>
      </w:r>
      <w:r w:rsidRPr="00913E39">
        <w:rPr>
          <w:rFonts w:ascii="Garamond" w:hAnsi="Garamond"/>
          <w:sz w:val="24"/>
        </w:rPr>
        <w:t>en (BE) nr. 526/2013 (</w:t>
      </w:r>
      <w:r w:rsidR="00DC54CE" w:rsidRPr="00913E39">
        <w:rPr>
          <w:rFonts w:ascii="Garamond" w:hAnsi="Garamond"/>
          <w:sz w:val="24"/>
        </w:rPr>
        <w:t>l</w:t>
      </w:r>
      <w:r w:rsidRPr="00913E39">
        <w:rPr>
          <w:rFonts w:ascii="Garamond" w:hAnsi="Garamond"/>
          <w:sz w:val="24"/>
        </w:rPr>
        <w:t>igji për sigurinë kibernetike)</w:t>
      </w:r>
      <w:r w:rsidRPr="00913E39">
        <w:rPr>
          <w:rFonts w:ascii="Garamond" w:hAnsi="Garamond"/>
          <w:sz w:val="24"/>
          <w:vertAlign w:val="superscript"/>
        </w:rPr>
        <w:footnoteReference w:id="81"/>
      </w:r>
      <w:r w:rsidR="00DC54CE" w:rsidRPr="00913E39">
        <w:rPr>
          <w:rFonts w:ascii="Garamond" w:hAnsi="Garamond"/>
          <w:sz w:val="24"/>
        </w:rPr>
        <w:t>,</w:t>
      </w:r>
      <w:r w:rsidRPr="00913E39">
        <w:rPr>
          <w:rFonts w:ascii="Garamond" w:hAnsi="Garamond"/>
          <w:sz w:val="24"/>
        </w:rPr>
        <w:t xml:space="preserve"> e cila krijon kuadrin për krijimin e skemës së certifikimit të sigurisë kibernetike të teknologjisë së informacionit dhe komunikimit me qëllim sigurimin e një niveli adekuat të sigurisë kibernetike për produktet, shërbimet dhe proceset e TIK-ut në BE, si dhe për qëllimin e shmangies së fragmentimit të tregut të brendshëm në lidhje me skemat e certifikimit të sigurisë kibernetike në Bashkimin Evropian. Kjo nuk cenon kompetencat e Shteteve Anëtare në lidhje me aktivitetet për sigurinë publike, mbrojtjen, sigurinë kombëtare dhe aktivitetet e shtetit në fushat e legjislacionit penal.</w:t>
      </w:r>
    </w:p>
    <w:p w14:paraId="221374FF" w14:textId="01D7584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Më 18 prill 2023, Komisioni propozoi një ndryshim objektiv të Aktit të BE-së për Sigurinë Kibernetike. Ndryshimi i propozuar do të mundësojë miratimin e ardhshëm të skemave Evropiane të certifikimit për </w:t>
      </w:r>
      <w:r w:rsidR="005222A5" w:rsidRPr="00913E39">
        <w:rPr>
          <w:rFonts w:ascii="Garamond" w:hAnsi="Garamond"/>
          <w:sz w:val="24"/>
        </w:rPr>
        <w:t>‘</w:t>
      </w:r>
      <w:r w:rsidRPr="00913E39">
        <w:rPr>
          <w:rFonts w:ascii="Garamond" w:hAnsi="Garamond"/>
          <w:sz w:val="24"/>
        </w:rPr>
        <w:t>shërbimet e menaxhuara të sigurisë</w:t>
      </w:r>
      <w:r w:rsidR="005222A5" w:rsidRPr="00913E39">
        <w:rPr>
          <w:rFonts w:ascii="Garamond" w:hAnsi="Garamond"/>
          <w:sz w:val="24"/>
        </w:rPr>
        <w:t>’</w:t>
      </w:r>
      <w:r w:rsidRPr="00913E39">
        <w:rPr>
          <w:rFonts w:ascii="Garamond" w:hAnsi="Garamond"/>
          <w:sz w:val="24"/>
        </w:rPr>
        <w:t xml:space="preserve"> që mbulojnë fusha të tilla si reagimi ndaj incidentit, testimi i depërtimit, auditimet e sigurisë dhe konsulenca. Certifikimi është çelësi për të </w:t>
      </w:r>
      <w:r w:rsidRPr="00913E39">
        <w:rPr>
          <w:rFonts w:ascii="Garamond" w:hAnsi="Garamond"/>
          <w:sz w:val="24"/>
        </w:rPr>
        <w:lastRenderedPageBreak/>
        <w:t>siguruar nivel të lartë të cilësisë dhe besueshmërisë së këtyre shërbimeve tepër jetike dhe të ndjeshme të sigurisë kibernetike, të cilat ndihmojnë kompanitë dhe organizatat për të parandaluar, zbuluar, reaguar ndaj incidenteve ose për t</w:t>
      </w:r>
      <w:r w:rsidR="005222A5" w:rsidRPr="00913E39">
        <w:rPr>
          <w:rFonts w:ascii="Garamond" w:hAnsi="Garamond"/>
          <w:sz w:val="24"/>
        </w:rPr>
        <w:t>’</w:t>
      </w:r>
      <w:r w:rsidRPr="00913E39">
        <w:rPr>
          <w:rFonts w:ascii="Garamond" w:hAnsi="Garamond"/>
          <w:sz w:val="24"/>
        </w:rPr>
        <w:t>u rikuperuar nga incidentet. </w:t>
      </w:r>
    </w:p>
    <w:p w14:paraId="5F7C2B7C" w14:textId="4CF6ED0F"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Rezultati 5 (</w:t>
      </w:r>
      <w:r w:rsidR="002E6408" w:rsidRPr="00913E39">
        <w:rPr>
          <w:rFonts w:ascii="Garamond" w:hAnsi="Garamond"/>
          <w:i/>
          <w:sz w:val="24"/>
        </w:rPr>
        <w:t>o</w:t>
      </w:r>
      <w:r w:rsidRPr="00913E39">
        <w:rPr>
          <w:rFonts w:ascii="Garamond" w:hAnsi="Garamond"/>
          <w:i/>
          <w:sz w:val="24"/>
        </w:rPr>
        <w:t>bjektivi specifik):</w:t>
      </w:r>
      <w:r w:rsidRPr="00913E39">
        <w:rPr>
          <w:rFonts w:ascii="Garamond" w:hAnsi="Garamond"/>
          <w:b/>
          <w:sz w:val="24"/>
        </w:rPr>
        <w:t xml:space="preserve"> </w:t>
      </w:r>
      <w:r w:rsidR="002E6408" w:rsidRPr="00913E39">
        <w:rPr>
          <w:rFonts w:ascii="Garamond" w:hAnsi="Garamond"/>
          <w:sz w:val="24"/>
        </w:rPr>
        <w:t>o</w:t>
      </w:r>
      <w:r w:rsidRPr="00913E39">
        <w:rPr>
          <w:rFonts w:ascii="Garamond" w:hAnsi="Garamond"/>
          <w:sz w:val="24"/>
        </w:rPr>
        <w:t>bjektivi specifik i kësaj nënfushe mbështetjeje është rritja e kapaciteteve për të luftuar kërcënimet e inteligjencës kibernetike ndaj infrastrukturave kritike të informacionit, përkatësisht sulmet e sofistikuara që synojnë ekosistemin digjitale të qeverisë shqiptare (</w:t>
      </w:r>
      <w:r w:rsidRPr="00913E39">
        <w:rPr>
          <w:rFonts w:ascii="Garamond" w:hAnsi="Garamond"/>
          <w:i/>
          <w:sz w:val="24"/>
        </w:rPr>
        <w:t>e-shërbime</w:t>
      </w:r>
      <w:r w:rsidRPr="00913E39">
        <w:rPr>
          <w:rFonts w:ascii="Garamond" w:hAnsi="Garamond"/>
          <w:sz w:val="24"/>
        </w:rPr>
        <w:t>). Meqenëse kapaciteti hostues i institucionit pothuajse ka arritur kufirin maksimal, shumë sisteme qeveritare aktualisht nuk janë të hostuara në qendrën e të dhënave qeveritare. Kjo mund të çojë në mungesën e masave për sigurinë e tyre ose ekspozimin e tyre ndaj faktorëve të jashtëm, të cilët mund të përbëjnë një kërcënim për ekosistemin digjital të qeverisë shqiptare. Për këtë arsye, është e domosdoshme të zgjerohet kapaciteti hostues brenda ndërtesës ekzistuese të institucionit, në mënyrë që të gjitha sistemet qeveritare të mbrohen brenda qendrës së të dhënave qeveritare dhe t</w:t>
      </w:r>
      <w:r w:rsidR="005222A5" w:rsidRPr="00913E39">
        <w:rPr>
          <w:rFonts w:ascii="Garamond" w:hAnsi="Garamond"/>
          <w:sz w:val="24"/>
        </w:rPr>
        <w:t>’</w:t>
      </w:r>
      <w:r w:rsidRPr="00913E39">
        <w:rPr>
          <w:rFonts w:ascii="Garamond" w:hAnsi="Garamond"/>
          <w:sz w:val="24"/>
        </w:rPr>
        <w:t xml:space="preserve">u nënshtrohen të njëjtave politika sigurie. Ato duhet të monitorohen edhe nga pajisjet e sigurisë së institucionit Meqenëse hapësirat ekzistuese janë të përshtatshme dhe nuk ka nevojë për punime civile për ndërtimin e tyre. Projekti përfshin transformimin e kësaj </w:t>
      </w:r>
      <w:r w:rsidR="002E6408" w:rsidRPr="00913E39">
        <w:rPr>
          <w:rFonts w:ascii="Garamond" w:hAnsi="Garamond"/>
          <w:sz w:val="24"/>
        </w:rPr>
        <w:t>hapësire</w:t>
      </w:r>
      <w:r w:rsidRPr="00913E39">
        <w:rPr>
          <w:rFonts w:ascii="Garamond" w:hAnsi="Garamond"/>
          <w:sz w:val="24"/>
        </w:rPr>
        <w:t xml:space="preserve"> ekzistues në një dhomë serveri të duhur.</w:t>
      </w:r>
    </w:p>
    <w:p w14:paraId="399D0D83" w14:textId="60D9F4C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Një pjesë e sistemeve qeveritare në infrastrukturat kritike aktualisht përdorin pajisje </w:t>
      </w:r>
      <w:r w:rsidR="005222A5" w:rsidRPr="00913E39">
        <w:rPr>
          <w:rFonts w:ascii="Garamond" w:hAnsi="Garamond"/>
          <w:sz w:val="24"/>
        </w:rPr>
        <w:t>‘</w:t>
      </w:r>
      <w:r w:rsidRPr="00913E39">
        <w:rPr>
          <w:rFonts w:ascii="Garamond" w:hAnsi="Garamond"/>
          <w:sz w:val="24"/>
        </w:rPr>
        <w:t>Fundi i mirëmbajtjes</w:t>
      </w:r>
      <w:r w:rsidR="005222A5" w:rsidRPr="00913E39">
        <w:rPr>
          <w:rFonts w:ascii="Garamond" w:hAnsi="Garamond"/>
          <w:sz w:val="24"/>
        </w:rPr>
        <w:t>’</w:t>
      </w:r>
      <w:r w:rsidRPr="00913E39">
        <w:rPr>
          <w:rFonts w:ascii="Garamond" w:hAnsi="Garamond"/>
          <w:sz w:val="24"/>
        </w:rPr>
        <w:t xml:space="preserve"> (</w:t>
      </w:r>
      <w:r w:rsidR="005222A5" w:rsidRPr="00913E39">
        <w:rPr>
          <w:rFonts w:ascii="Garamond" w:hAnsi="Garamond"/>
          <w:sz w:val="24"/>
        </w:rPr>
        <w:t>‘</w:t>
      </w:r>
      <w:r w:rsidRPr="00913E39">
        <w:rPr>
          <w:rFonts w:ascii="Garamond" w:hAnsi="Garamond"/>
          <w:i/>
          <w:sz w:val="24"/>
        </w:rPr>
        <w:t>End of Maintenance</w:t>
      </w:r>
      <w:r w:rsidR="005222A5" w:rsidRPr="00913E39">
        <w:rPr>
          <w:rFonts w:ascii="Garamond" w:hAnsi="Garamond"/>
          <w:i/>
          <w:sz w:val="24"/>
        </w:rPr>
        <w:t>’</w:t>
      </w:r>
      <w:r w:rsidRPr="00913E39">
        <w:rPr>
          <w:rFonts w:ascii="Garamond" w:hAnsi="Garamond"/>
          <w:sz w:val="24"/>
        </w:rPr>
        <w:t xml:space="preserve">) ose/dhe </w:t>
      </w:r>
      <w:r w:rsidR="005222A5" w:rsidRPr="00913E39">
        <w:rPr>
          <w:rFonts w:ascii="Garamond" w:hAnsi="Garamond"/>
          <w:sz w:val="24"/>
        </w:rPr>
        <w:t>‘</w:t>
      </w:r>
      <w:r w:rsidRPr="00913E39">
        <w:rPr>
          <w:rFonts w:ascii="Garamond" w:hAnsi="Garamond"/>
          <w:sz w:val="24"/>
        </w:rPr>
        <w:t>Fundi i jetës</w:t>
      </w:r>
      <w:r w:rsidR="005222A5" w:rsidRPr="00913E39">
        <w:rPr>
          <w:rFonts w:ascii="Garamond" w:hAnsi="Garamond"/>
          <w:sz w:val="24"/>
        </w:rPr>
        <w:t>’</w:t>
      </w:r>
      <w:r w:rsidRPr="00913E39">
        <w:rPr>
          <w:rFonts w:ascii="Garamond" w:hAnsi="Garamond"/>
          <w:sz w:val="24"/>
        </w:rPr>
        <w:t xml:space="preserve"> (</w:t>
      </w:r>
      <w:r w:rsidRPr="00913E39">
        <w:rPr>
          <w:rFonts w:ascii="Garamond" w:hAnsi="Garamond"/>
          <w:i/>
          <w:sz w:val="24"/>
        </w:rPr>
        <w:t>End of Life</w:t>
      </w:r>
      <w:r w:rsidRPr="00913E39">
        <w:rPr>
          <w:rFonts w:ascii="Garamond" w:hAnsi="Garamond"/>
          <w:sz w:val="24"/>
        </w:rPr>
        <w:t>). Kjo ka krijuar nevojën për t</w:t>
      </w:r>
      <w:r w:rsidR="005222A5" w:rsidRPr="00913E39">
        <w:rPr>
          <w:rFonts w:ascii="Garamond" w:hAnsi="Garamond"/>
          <w:sz w:val="24"/>
        </w:rPr>
        <w:t>’</w:t>
      </w:r>
      <w:r w:rsidRPr="00913E39">
        <w:rPr>
          <w:rFonts w:ascii="Garamond" w:hAnsi="Garamond"/>
          <w:sz w:val="24"/>
        </w:rPr>
        <w:t>u përmirësuar me infrastruktura më të reja që nuk janë të prekshme nga shfrytëzimet ose sulmet e mundshme kibernetike.</w:t>
      </w:r>
    </w:p>
    <w:p w14:paraId="591C2FC8"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raportin e tij të njëmbëdhjetë mbi panoramën e kërcënimeve globale dhe ndaj BE-së (2023), Agjencia e Bashkimit Evropian për Sigurinë Kibernetike (ENISA) identifikoi tetë burime kryesore të kërcënimit, të cilat përfshijnë viruset, manipulime sociale, kërcënime ndaj të dhënave, kërcënime ndaj disponueshmërisë: Mohimi I shërbimit: Kërcënime të brendshme; manipulim i informacionit; (ENISA, tetor 2023)</w:t>
      </w:r>
    </w:p>
    <w:p w14:paraId="2961F9A7"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shkak të natyrës në rritje dhe gjithnjë e më të sofistikuar të sulmeve kibernetike, si dhe mungesës së një platforme të aftë për të zbuluar këto sulme, është e nevojshme të blihet një licencë për një platformë </w:t>
      </w:r>
      <w:r w:rsidRPr="00913E39">
        <w:rPr>
          <w:rFonts w:ascii="Garamond" w:hAnsi="Garamond"/>
          <w:i/>
          <w:sz w:val="24"/>
        </w:rPr>
        <w:t>Threat Intelligence</w:t>
      </w:r>
      <w:r w:rsidRPr="00913E39">
        <w:rPr>
          <w:rFonts w:ascii="Garamond" w:hAnsi="Garamond"/>
          <w:sz w:val="24"/>
        </w:rPr>
        <w:t xml:space="preserve"> dhe </w:t>
      </w:r>
      <w:r w:rsidRPr="00913E39">
        <w:rPr>
          <w:rFonts w:ascii="Garamond" w:hAnsi="Garamond"/>
          <w:i/>
          <w:sz w:val="24"/>
        </w:rPr>
        <w:t>Dark Web</w:t>
      </w:r>
      <w:r w:rsidRPr="00913E39">
        <w:rPr>
          <w:rFonts w:ascii="Garamond" w:hAnsi="Garamond"/>
          <w:sz w:val="24"/>
        </w:rPr>
        <w:t>. Përdorimi i këtyre platformave plotëson nevojën për zbulimin e hershëm të sulmeve të sofistikuara kibernetike, duke mundësuar në këtë mënyrë masat e nevojshme për parandalimin dhe shmangien e tyre. Për më tepër, përdorimi i këtyre platformave ndihmon në mbrojtjen paraprake duke identifikuar kërcënimet e mundshme përpara se ato të shfaqen. Këto platforma ofrojnë të dhëna thelbësore në kohë reale për natyrën e kërcënimeve, origjinën e tyre dhe ndikimin e mundshëm. Ky informacion përshpejton ndjeshëm përpjekjet për reagim ndaj incidentit dhe ndihmon në marrjen e vendimeve të informuara për të zbutur risqet në mënyrë efektive. Në përgjithësi, këto platforma i ofrojnë organizatës sonë njohuri të vlefshme, zbulim të hershëm të kërcënimit dhe rritje të ndërgjegjësimit për situatën, duke forcuar kështu pozitën e sigurisë, duke mundësuar mbrojtjen paraprake dhe duke përmirësuar aftësitë e reagimit ndaj incidentit.</w:t>
      </w:r>
    </w:p>
    <w:p w14:paraId="2EB3480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Tipologjitë e produkteve:</w:t>
      </w:r>
      <w:r w:rsidRPr="00913E39">
        <w:rPr>
          <w:rFonts w:ascii="Garamond" w:hAnsi="Garamond"/>
          <w:sz w:val="24"/>
        </w:rPr>
        <w:t xml:space="preserve"> investimi në Pajisje (shtuar në Qendrën e të Dhënave) dhe Programe (p.sh., zgjidhje të sigurisë kibernetike për </w:t>
      </w:r>
      <w:r w:rsidRPr="00913E39">
        <w:rPr>
          <w:rFonts w:ascii="Garamond" w:hAnsi="Garamond"/>
          <w:i/>
          <w:sz w:val="24"/>
        </w:rPr>
        <w:t>Threat Intelligence</w:t>
      </w:r>
      <w:r w:rsidRPr="00913E39">
        <w:rPr>
          <w:rFonts w:ascii="Garamond" w:hAnsi="Garamond"/>
          <w:sz w:val="24"/>
        </w:rPr>
        <w:t>) për AKSHIN; asistencë teknike dhe rritja e kapaciteteve të stafit të IT-së si në AKSHI ashtu edhe në organe/agjenci të ndryshme qeveritare që përdorin qendrën e të dhënave të AKSHI-it; seanca ndërgjegjësimi dhe trajnimi të stafit të shërbimit dhe administrativ të organeve/agjencive qeveritare të lidhura.</w:t>
      </w:r>
    </w:p>
    <w:p w14:paraId="2EDEC52E" w14:textId="77777777" w:rsidR="00847F23" w:rsidRPr="00913E39" w:rsidRDefault="00847F23" w:rsidP="00FC4C60">
      <w:pPr>
        <w:spacing w:after="0" w:line="240" w:lineRule="auto"/>
        <w:ind w:firstLine="284"/>
        <w:jc w:val="both"/>
        <w:rPr>
          <w:rFonts w:ascii="Garamond" w:hAnsi="Garamond"/>
          <w:sz w:val="24"/>
        </w:rPr>
      </w:pPr>
    </w:p>
    <w:p w14:paraId="333F35A0" w14:textId="78D84983" w:rsidR="00847F23" w:rsidRPr="00913E39" w:rsidRDefault="00847F23" w:rsidP="00FC4C60">
      <w:pPr>
        <w:spacing w:after="0" w:line="240" w:lineRule="auto"/>
        <w:ind w:firstLine="284"/>
        <w:rPr>
          <w:rFonts w:ascii="Garamond" w:hAnsi="Garamond"/>
          <w:i/>
          <w:sz w:val="24"/>
        </w:rPr>
      </w:pPr>
      <w:r w:rsidRPr="00913E39">
        <w:rPr>
          <w:rFonts w:ascii="Garamond" w:hAnsi="Garamond"/>
          <w:i/>
          <w:sz w:val="24"/>
        </w:rPr>
        <w:t>Tabela 20</w:t>
      </w:r>
      <w:r w:rsidR="002E6408" w:rsidRPr="00913E39">
        <w:rPr>
          <w:rFonts w:ascii="Garamond" w:hAnsi="Garamond"/>
          <w:sz w:val="24"/>
        </w:rPr>
        <w:t>.</w:t>
      </w:r>
      <w:r w:rsidRPr="00913E39">
        <w:rPr>
          <w:rFonts w:ascii="Garamond" w:hAnsi="Garamond"/>
          <w:sz w:val="24"/>
        </w:rPr>
        <w:t xml:space="preserve"> </w:t>
      </w:r>
      <w:r w:rsidRPr="00913E39">
        <w:rPr>
          <w:rFonts w:ascii="Garamond" w:hAnsi="Garamond"/>
          <w:i/>
          <w:sz w:val="24"/>
        </w:rPr>
        <w:t xml:space="preserve">Siguria kibernetike, </w:t>
      </w:r>
      <w:r w:rsidR="002E6408" w:rsidRPr="00913E39">
        <w:rPr>
          <w:rFonts w:ascii="Garamond" w:hAnsi="Garamond"/>
          <w:i/>
          <w:sz w:val="24"/>
        </w:rPr>
        <w:t>n</w:t>
      </w:r>
      <w:r w:rsidRPr="00913E39">
        <w:rPr>
          <w:rFonts w:ascii="Garamond" w:hAnsi="Garamond"/>
          <w:i/>
          <w:sz w:val="24"/>
        </w:rPr>
        <w:t>dikimi, rezultati dhe treguesit e produktit (përfshirë bazën e referimit dhe synimet)</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356"/>
        <w:gridCol w:w="1516"/>
        <w:gridCol w:w="1990"/>
        <w:gridCol w:w="1507"/>
        <w:gridCol w:w="760"/>
        <w:gridCol w:w="1949"/>
      </w:tblGrid>
      <w:tr w:rsidR="00847F23" w:rsidRPr="00913E39" w14:paraId="61FF2A32" w14:textId="77777777" w:rsidTr="00773853">
        <w:trPr>
          <w:trHeight w:val="20"/>
        </w:trPr>
        <w:tc>
          <w:tcPr>
            <w:tcW w:w="749" w:type="pct"/>
            <w:tcMar>
              <w:top w:w="100" w:type="dxa"/>
              <w:left w:w="100" w:type="dxa"/>
              <w:bottom w:w="100" w:type="dxa"/>
              <w:right w:w="100" w:type="dxa"/>
            </w:tcMar>
            <w:hideMark/>
          </w:tcPr>
          <w:p w14:paraId="1AF912A5" w14:textId="77777777" w:rsidR="00847F23" w:rsidRPr="00913E39" w:rsidRDefault="00847F23" w:rsidP="00773853">
            <w:pPr>
              <w:spacing w:after="0" w:line="240" w:lineRule="auto"/>
              <w:rPr>
                <w:rFonts w:ascii="Garamond" w:hAnsi="Garamond"/>
                <w:sz w:val="20"/>
              </w:rPr>
            </w:pPr>
            <w:r w:rsidRPr="00913E39">
              <w:rPr>
                <w:rFonts w:ascii="Garamond" w:hAnsi="Garamond"/>
                <w:b/>
                <w:sz w:val="20"/>
              </w:rPr>
              <w:t>Rezultatet</w:t>
            </w:r>
          </w:p>
        </w:tc>
        <w:tc>
          <w:tcPr>
            <w:tcW w:w="837" w:type="pct"/>
            <w:tcMar>
              <w:top w:w="15" w:type="dxa"/>
              <w:left w:w="15" w:type="dxa"/>
              <w:bottom w:w="15" w:type="dxa"/>
              <w:right w:w="15" w:type="dxa"/>
            </w:tcMar>
            <w:hideMark/>
          </w:tcPr>
          <w:p w14:paraId="604CFD69" w14:textId="77777777" w:rsidR="00847F23" w:rsidRPr="00913E39" w:rsidRDefault="00847F23" w:rsidP="00773853">
            <w:pPr>
              <w:spacing w:after="0" w:line="240" w:lineRule="auto"/>
              <w:rPr>
                <w:rFonts w:ascii="Garamond" w:hAnsi="Garamond"/>
                <w:b/>
                <w:sz w:val="20"/>
              </w:rPr>
            </w:pPr>
            <w:r w:rsidRPr="00913E39">
              <w:rPr>
                <w:rFonts w:ascii="Garamond" w:hAnsi="Garamond"/>
                <w:b/>
                <w:sz w:val="20"/>
              </w:rPr>
              <w:t>Objektivi</w:t>
            </w:r>
          </w:p>
        </w:tc>
        <w:tc>
          <w:tcPr>
            <w:tcW w:w="1098" w:type="pct"/>
            <w:tcMar>
              <w:top w:w="100" w:type="dxa"/>
              <w:left w:w="100" w:type="dxa"/>
              <w:bottom w:w="100" w:type="dxa"/>
              <w:right w:w="100" w:type="dxa"/>
            </w:tcMar>
            <w:hideMark/>
          </w:tcPr>
          <w:p w14:paraId="04A28B33" w14:textId="77777777" w:rsidR="00847F23" w:rsidRPr="00913E39" w:rsidRDefault="00847F23" w:rsidP="00773853">
            <w:pPr>
              <w:spacing w:after="0" w:line="240" w:lineRule="auto"/>
              <w:rPr>
                <w:rFonts w:ascii="Garamond" w:hAnsi="Garamond"/>
                <w:sz w:val="20"/>
              </w:rPr>
            </w:pPr>
            <w:r w:rsidRPr="00913E39">
              <w:rPr>
                <w:rFonts w:ascii="Garamond" w:hAnsi="Garamond"/>
                <w:b/>
                <w:sz w:val="20"/>
              </w:rPr>
              <w:t>Treguesi</w:t>
            </w:r>
          </w:p>
        </w:tc>
        <w:tc>
          <w:tcPr>
            <w:tcW w:w="832" w:type="pct"/>
            <w:tcMar>
              <w:top w:w="100" w:type="dxa"/>
              <w:left w:w="100" w:type="dxa"/>
              <w:bottom w:w="100" w:type="dxa"/>
              <w:right w:w="100" w:type="dxa"/>
            </w:tcMar>
            <w:hideMark/>
          </w:tcPr>
          <w:p w14:paraId="6AC2E623" w14:textId="77777777" w:rsidR="00847F23" w:rsidRPr="00913E39" w:rsidRDefault="00847F23" w:rsidP="00773853">
            <w:pPr>
              <w:spacing w:after="0" w:line="240" w:lineRule="auto"/>
              <w:jc w:val="both"/>
              <w:rPr>
                <w:rFonts w:ascii="Garamond" w:hAnsi="Garamond"/>
                <w:b/>
                <w:sz w:val="20"/>
              </w:rPr>
            </w:pPr>
            <w:r w:rsidRPr="00913E39">
              <w:rPr>
                <w:rFonts w:ascii="Garamond" w:hAnsi="Garamond"/>
                <w:b/>
                <w:sz w:val="20"/>
              </w:rPr>
              <w:t>Treguesi kryesor ose</w:t>
            </w:r>
          </w:p>
          <w:p w14:paraId="5203B8E9" w14:textId="77777777" w:rsidR="00847F23" w:rsidRPr="00913E39" w:rsidRDefault="00847F23" w:rsidP="00773853">
            <w:pPr>
              <w:spacing w:after="0" w:line="240" w:lineRule="auto"/>
              <w:rPr>
                <w:rFonts w:ascii="Garamond" w:hAnsi="Garamond"/>
                <w:sz w:val="20"/>
              </w:rPr>
            </w:pPr>
            <w:r w:rsidRPr="00913E39">
              <w:rPr>
                <w:rFonts w:ascii="Garamond" w:hAnsi="Garamond"/>
                <w:b/>
                <w:sz w:val="20"/>
              </w:rPr>
              <w:t xml:space="preserve">Njësia matëse </w:t>
            </w:r>
          </w:p>
        </w:tc>
        <w:tc>
          <w:tcPr>
            <w:tcW w:w="409" w:type="pct"/>
            <w:tcMar>
              <w:top w:w="15" w:type="dxa"/>
              <w:left w:w="15" w:type="dxa"/>
              <w:bottom w:w="15" w:type="dxa"/>
              <w:right w:w="15" w:type="dxa"/>
            </w:tcMar>
            <w:hideMark/>
          </w:tcPr>
          <w:p w14:paraId="73D9A792" w14:textId="77777777" w:rsidR="00847F23" w:rsidRPr="00913E39" w:rsidRDefault="00847F23" w:rsidP="00773853">
            <w:pPr>
              <w:spacing w:after="0" w:line="240" w:lineRule="auto"/>
              <w:rPr>
                <w:rFonts w:ascii="Garamond" w:hAnsi="Garamond"/>
                <w:b/>
                <w:sz w:val="20"/>
              </w:rPr>
            </w:pPr>
            <w:r w:rsidRPr="00913E39">
              <w:rPr>
                <w:rFonts w:ascii="Garamond" w:hAnsi="Garamond"/>
                <w:b/>
                <w:sz w:val="20"/>
              </w:rPr>
              <w:t>Baza e referimit</w:t>
            </w:r>
          </w:p>
          <w:p w14:paraId="7FFE7F93" w14:textId="77777777" w:rsidR="00847F23" w:rsidRPr="00913E39" w:rsidRDefault="00847F23" w:rsidP="00773853">
            <w:pPr>
              <w:spacing w:after="0" w:line="240" w:lineRule="auto"/>
              <w:rPr>
                <w:rFonts w:ascii="Garamond" w:hAnsi="Garamond"/>
                <w:b/>
                <w:sz w:val="20"/>
              </w:rPr>
            </w:pPr>
            <w:r w:rsidRPr="00913E39">
              <w:rPr>
                <w:rFonts w:ascii="Garamond" w:hAnsi="Garamond"/>
                <w:b/>
                <w:sz w:val="20"/>
              </w:rPr>
              <w:t>(2022)</w:t>
            </w:r>
          </w:p>
        </w:tc>
        <w:tc>
          <w:tcPr>
            <w:tcW w:w="1075" w:type="pct"/>
            <w:tcMar>
              <w:top w:w="100" w:type="dxa"/>
              <w:left w:w="100" w:type="dxa"/>
              <w:bottom w:w="100" w:type="dxa"/>
              <w:right w:w="100" w:type="dxa"/>
            </w:tcMar>
            <w:hideMark/>
          </w:tcPr>
          <w:p w14:paraId="61712E33" w14:textId="77777777" w:rsidR="00847F23" w:rsidRPr="00913E39" w:rsidRDefault="00847F23" w:rsidP="00773853">
            <w:pPr>
              <w:spacing w:after="0" w:line="240" w:lineRule="auto"/>
              <w:rPr>
                <w:rFonts w:ascii="Garamond" w:hAnsi="Garamond"/>
                <w:b/>
                <w:sz w:val="20"/>
              </w:rPr>
            </w:pPr>
            <w:r w:rsidRPr="00913E39">
              <w:rPr>
                <w:rFonts w:ascii="Garamond" w:hAnsi="Garamond"/>
                <w:b/>
                <w:sz w:val="20"/>
              </w:rPr>
              <w:t>Fokusi</w:t>
            </w:r>
          </w:p>
          <w:p w14:paraId="4E0647D9" w14:textId="77777777" w:rsidR="00847F23" w:rsidRPr="00913E39" w:rsidRDefault="00847F23" w:rsidP="00773853">
            <w:pPr>
              <w:spacing w:after="0" w:line="240" w:lineRule="auto"/>
              <w:rPr>
                <w:rFonts w:ascii="Garamond" w:hAnsi="Garamond"/>
                <w:sz w:val="20"/>
              </w:rPr>
            </w:pPr>
            <w:r w:rsidRPr="00913E39">
              <w:rPr>
                <w:rFonts w:ascii="Garamond" w:hAnsi="Garamond"/>
                <w:b/>
                <w:sz w:val="20"/>
              </w:rPr>
              <w:t>(2032)</w:t>
            </w:r>
          </w:p>
        </w:tc>
      </w:tr>
      <w:tr w:rsidR="00847F23" w:rsidRPr="00913E39" w14:paraId="112866FB" w14:textId="77777777" w:rsidTr="00773853">
        <w:trPr>
          <w:trHeight w:val="20"/>
        </w:trPr>
        <w:tc>
          <w:tcPr>
            <w:tcW w:w="749" w:type="pct"/>
            <w:tcMar>
              <w:top w:w="100" w:type="dxa"/>
              <w:left w:w="100" w:type="dxa"/>
              <w:bottom w:w="100" w:type="dxa"/>
              <w:right w:w="100" w:type="dxa"/>
            </w:tcMar>
            <w:hideMark/>
          </w:tcPr>
          <w:p w14:paraId="15029C41" w14:textId="77777777" w:rsidR="00847F23" w:rsidRPr="00913E39" w:rsidRDefault="00847F23" w:rsidP="00773853">
            <w:pPr>
              <w:spacing w:after="0" w:line="240" w:lineRule="auto"/>
              <w:rPr>
                <w:rFonts w:ascii="Garamond" w:hAnsi="Garamond"/>
                <w:b/>
                <w:sz w:val="20"/>
              </w:rPr>
            </w:pPr>
            <w:r w:rsidRPr="00913E39">
              <w:rPr>
                <w:rFonts w:ascii="Garamond" w:hAnsi="Garamond"/>
                <w:b/>
                <w:sz w:val="20"/>
              </w:rPr>
              <w:t>Ndikimi</w:t>
            </w:r>
          </w:p>
        </w:tc>
        <w:tc>
          <w:tcPr>
            <w:tcW w:w="837" w:type="pct"/>
            <w:tcMar>
              <w:top w:w="15" w:type="dxa"/>
              <w:left w:w="15" w:type="dxa"/>
              <w:bottom w:w="15" w:type="dxa"/>
              <w:right w:w="15" w:type="dxa"/>
            </w:tcMar>
            <w:hideMark/>
          </w:tcPr>
          <w:p w14:paraId="20312628" w14:textId="4202F108" w:rsidR="00847F23" w:rsidRPr="00913E39" w:rsidRDefault="00847F23" w:rsidP="00773853">
            <w:pPr>
              <w:spacing w:after="0" w:line="240" w:lineRule="auto"/>
              <w:rPr>
                <w:rFonts w:ascii="Garamond" w:hAnsi="Garamond"/>
                <w:sz w:val="20"/>
              </w:rPr>
            </w:pPr>
            <w:r w:rsidRPr="00913E39">
              <w:rPr>
                <w:rFonts w:ascii="Garamond" w:hAnsi="Garamond"/>
                <w:sz w:val="20"/>
              </w:rPr>
              <w:t xml:space="preserve">Zbatimi i avancuar i Agjendës Digjitale të Shqipërisë në </w:t>
            </w:r>
            <w:r w:rsidRPr="00913E39">
              <w:rPr>
                <w:rFonts w:ascii="Garamond" w:hAnsi="Garamond"/>
                <w:sz w:val="20"/>
              </w:rPr>
              <w:lastRenderedPageBreak/>
              <w:t>sektorë të përzgjedhur.</w:t>
            </w:r>
          </w:p>
        </w:tc>
        <w:tc>
          <w:tcPr>
            <w:tcW w:w="1098" w:type="pct"/>
            <w:tcMar>
              <w:top w:w="100" w:type="dxa"/>
              <w:left w:w="100" w:type="dxa"/>
              <w:bottom w:w="100" w:type="dxa"/>
              <w:right w:w="100" w:type="dxa"/>
            </w:tcMar>
          </w:tcPr>
          <w:p w14:paraId="18919D62" w14:textId="77777777" w:rsidR="00847F23" w:rsidRPr="00913E39" w:rsidRDefault="00847F23" w:rsidP="00773853">
            <w:pPr>
              <w:spacing w:after="0" w:line="240" w:lineRule="auto"/>
              <w:rPr>
                <w:rFonts w:ascii="Garamond" w:hAnsi="Garamond"/>
                <w:sz w:val="20"/>
              </w:rPr>
            </w:pPr>
            <w:r w:rsidRPr="00913E39">
              <w:rPr>
                <w:rFonts w:ascii="Garamond" w:hAnsi="Garamond"/>
                <w:sz w:val="20"/>
              </w:rPr>
              <w:lastRenderedPageBreak/>
              <w:t>Indeksi i Ekonomisë së Shoqërisë Digjitale në Ballkanin Perëndimor.</w:t>
            </w:r>
          </w:p>
        </w:tc>
        <w:tc>
          <w:tcPr>
            <w:tcW w:w="832" w:type="pct"/>
            <w:tcMar>
              <w:top w:w="100" w:type="dxa"/>
              <w:left w:w="100" w:type="dxa"/>
              <w:bottom w:w="100" w:type="dxa"/>
              <w:right w:w="100" w:type="dxa"/>
            </w:tcMar>
          </w:tcPr>
          <w:p w14:paraId="254F6BB4" w14:textId="77777777" w:rsidR="00847F23" w:rsidRPr="00913E39" w:rsidRDefault="00847F23" w:rsidP="00773853">
            <w:pPr>
              <w:spacing w:after="0" w:line="240" w:lineRule="auto"/>
              <w:rPr>
                <w:rFonts w:ascii="Garamond" w:hAnsi="Garamond"/>
                <w:sz w:val="20"/>
              </w:rPr>
            </w:pPr>
            <w:r w:rsidRPr="00913E39">
              <w:rPr>
                <w:rFonts w:ascii="Garamond" w:hAnsi="Garamond"/>
                <w:sz w:val="20"/>
              </w:rPr>
              <w:t>Pikët</w:t>
            </w:r>
          </w:p>
        </w:tc>
        <w:tc>
          <w:tcPr>
            <w:tcW w:w="409" w:type="pct"/>
            <w:tcMar>
              <w:top w:w="15" w:type="dxa"/>
              <w:left w:w="15" w:type="dxa"/>
              <w:bottom w:w="15" w:type="dxa"/>
              <w:right w:w="15" w:type="dxa"/>
            </w:tcMar>
          </w:tcPr>
          <w:p w14:paraId="72E3AD95" w14:textId="77777777" w:rsidR="00847F23" w:rsidRPr="00913E39" w:rsidRDefault="00847F23" w:rsidP="00773853">
            <w:pPr>
              <w:spacing w:after="0" w:line="240" w:lineRule="auto"/>
              <w:rPr>
                <w:rFonts w:ascii="Garamond" w:hAnsi="Garamond"/>
                <w:sz w:val="20"/>
              </w:rPr>
            </w:pPr>
            <w:r w:rsidRPr="00913E39">
              <w:rPr>
                <w:rFonts w:ascii="Garamond" w:hAnsi="Garamond"/>
                <w:sz w:val="20"/>
              </w:rPr>
              <w:t>30.2</w:t>
            </w:r>
          </w:p>
        </w:tc>
        <w:tc>
          <w:tcPr>
            <w:tcW w:w="1075" w:type="pct"/>
            <w:tcMar>
              <w:top w:w="100" w:type="dxa"/>
              <w:left w:w="100" w:type="dxa"/>
              <w:bottom w:w="100" w:type="dxa"/>
              <w:right w:w="100" w:type="dxa"/>
            </w:tcMar>
          </w:tcPr>
          <w:p w14:paraId="23871B20" w14:textId="77777777" w:rsidR="00847F23" w:rsidRPr="00913E39" w:rsidRDefault="00847F23" w:rsidP="00773853">
            <w:pPr>
              <w:spacing w:after="0" w:line="240" w:lineRule="auto"/>
              <w:rPr>
                <w:rFonts w:ascii="Garamond" w:hAnsi="Garamond"/>
                <w:sz w:val="20"/>
              </w:rPr>
            </w:pPr>
            <w:r w:rsidRPr="00913E39">
              <w:rPr>
                <w:rFonts w:ascii="Garamond" w:hAnsi="Garamond"/>
                <w:sz w:val="20"/>
              </w:rPr>
              <w:t>Rritja</w:t>
            </w:r>
          </w:p>
        </w:tc>
      </w:tr>
      <w:tr w:rsidR="00847F23" w:rsidRPr="00913E39" w14:paraId="7B143809" w14:textId="77777777" w:rsidTr="00773853">
        <w:trPr>
          <w:trHeight w:val="20"/>
        </w:trPr>
        <w:tc>
          <w:tcPr>
            <w:tcW w:w="749" w:type="pct"/>
            <w:tcMar>
              <w:top w:w="100" w:type="dxa"/>
              <w:left w:w="100" w:type="dxa"/>
              <w:bottom w:w="100" w:type="dxa"/>
              <w:right w:w="100" w:type="dxa"/>
            </w:tcMar>
            <w:hideMark/>
          </w:tcPr>
          <w:p w14:paraId="5603622E" w14:textId="77777777" w:rsidR="00847F23" w:rsidRPr="00913E39" w:rsidRDefault="00847F23" w:rsidP="00773853">
            <w:pPr>
              <w:spacing w:after="0" w:line="240" w:lineRule="auto"/>
              <w:rPr>
                <w:rFonts w:ascii="Garamond" w:hAnsi="Garamond"/>
                <w:b/>
                <w:sz w:val="20"/>
              </w:rPr>
            </w:pPr>
            <w:r w:rsidRPr="00913E39">
              <w:rPr>
                <w:rFonts w:ascii="Garamond" w:hAnsi="Garamond"/>
                <w:b/>
                <w:sz w:val="20"/>
              </w:rPr>
              <w:t>Rezultati 5</w:t>
            </w:r>
          </w:p>
        </w:tc>
        <w:tc>
          <w:tcPr>
            <w:tcW w:w="837" w:type="pct"/>
            <w:tcMar>
              <w:top w:w="15" w:type="dxa"/>
              <w:left w:w="15" w:type="dxa"/>
              <w:bottom w:w="15" w:type="dxa"/>
              <w:right w:w="15" w:type="dxa"/>
            </w:tcMar>
          </w:tcPr>
          <w:p w14:paraId="0761156E" w14:textId="05E58658" w:rsidR="00847F23" w:rsidRPr="00913E39" w:rsidRDefault="00847F23" w:rsidP="00E06606">
            <w:pPr>
              <w:spacing w:after="0" w:line="240" w:lineRule="auto"/>
              <w:rPr>
                <w:rFonts w:ascii="Garamond" w:hAnsi="Garamond"/>
                <w:sz w:val="20"/>
              </w:rPr>
            </w:pPr>
            <w:r w:rsidRPr="00913E39">
              <w:rPr>
                <w:rFonts w:ascii="Garamond" w:hAnsi="Garamond"/>
                <w:sz w:val="20"/>
              </w:rPr>
              <w:t xml:space="preserve">Rritja e kapaciteteve të aftësive të përgjithshme të mbrojtjes kibernetike, kundër sulmeve të sofistikuara që synojnë ekosistemin digjitale të qeverisë shqiptare </w:t>
            </w:r>
            <w:r w:rsidRPr="00913E39">
              <w:rPr>
                <w:rFonts w:ascii="Garamond" w:hAnsi="Garamond"/>
                <w:i/>
                <w:sz w:val="20"/>
              </w:rPr>
              <w:t>(e-shërbime)</w:t>
            </w:r>
          </w:p>
        </w:tc>
        <w:tc>
          <w:tcPr>
            <w:tcW w:w="1098" w:type="pct"/>
            <w:tcMar>
              <w:top w:w="100" w:type="dxa"/>
              <w:left w:w="100" w:type="dxa"/>
              <w:bottom w:w="100" w:type="dxa"/>
              <w:right w:w="100" w:type="dxa"/>
            </w:tcMar>
            <w:hideMark/>
          </w:tcPr>
          <w:p w14:paraId="327FD66F" w14:textId="77777777" w:rsidR="00847F23" w:rsidRPr="00913E39" w:rsidRDefault="00847F23" w:rsidP="00773853">
            <w:pPr>
              <w:spacing w:after="0" w:line="240" w:lineRule="auto"/>
              <w:rPr>
                <w:rFonts w:ascii="Garamond" w:hAnsi="Garamond"/>
                <w:sz w:val="20"/>
              </w:rPr>
            </w:pPr>
            <w:r w:rsidRPr="00913E39">
              <w:rPr>
                <w:rFonts w:ascii="Garamond" w:hAnsi="Garamond"/>
                <w:sz w:val="20"/>
              </w:rPr>
              <w:t xml:space="preserve">Numri i sulmeve kibernetike të suksesshme. </w:t>
            </w:r>
          </w:p>
          <w:p w14:paraId="6D522003" w14:textId="77777777" w:rsidR="00847F23" w:rsidRPr="00913E39" w:rsidRDefault="00693B1A" w:rsidP="00773853">
            <w:pPr>
              <w:spacing w:after="0" w:line="240" w:lineRule="auto"/>
              <w:rPr>
                <w:rFonts w:ascii="Garamond" w:hAnsi="Garamond"/>
                <w:sz w:val="20"/>
              </w:rPr>
            </w:pPr>
            <w:r w:rsidRPr="00913E39">
              <w:rPr>
                <w:rFonts w:ascii="Garamond" w:hAnsi="Garamond"/>
                <w:sz w:val="20"/>
              </w:rPr>
              <w:t xml:space="preserve"> </w:t>
            </w:r>
          </w:p>
        </w:tc>
        <w:tc>
          <w:tcPr>
            <w:tcW w:w="832" w:type="pct"/>
            <w:tcMar>
              <w:top w:w="100" w:type="dxa"/>
              <w:left w:w="100" w:type="dxa"/>
              <w:bottom w:w="100" w:type="dxa"/>
              <w:right w:w="100" w:type="dxa"/>
            </w:tcMar>
            <w:hideMark/>
          </w:tcPr>
          <w:p w14:paraId="02A2FC12" w14:textId="77777777" w:rsidR="00847F23" w:rsidRPr="00913E39" w:rsidRDefault="00847F23" w:rsidP="00773853">
            <w:pPr>
              <w:spacing w:after="0" w:line="240" w:lineRule="auto"/>
              <w:rPr>
                <w:rFonts w:ascii="Garamond" w:hAnsi="Garamond"/>
                <w:sz w:val="20"/>
              </w:rPr>
            </w:pPr>
            <w:r w:rsidRPr="00913E39">
              <w:rPr>
                <w:rFonts w:ascii="Garamond" w:hAnsi="Garamond"/>
                <w:sz w:val="20"/>
              </w:rPr>
              <w:t>Numri</w:t>
            </w:r>
          </w:p>
          <w:p w14:paraId="41ACDE16" w14:textId="77777777" w:rsidR="00847F23" w:rsidRPr="00913E39" w:rsidRDefault="00847F23" w:rsidP="00773853">
            <w:pPr>
              <w:spacing w:after="0" w:line="240" w:lineRule="auto"/>
              <w:rPr>
                <w:rFonts w:ascii="Garamond" w:hAnsi="Garamond"/>
                <w:sz w:val="20"/>
              </w:rPr>
            </w:pPr>
            <w:r w:rsidRPr="00913E39">
              <w:rPr>
                <w:rFonts w:ascii="Garamond" w:hAnsi="Garamond"/>
                <w:sz w:val="20"/>
              </w:rPr>
              <w:t xml:space="preserve">(Optimal) </w:t>
            </w:r>
          </w:p>
        </w:tc>
        <w:tc>
          <w:tcPr>
            <w:tcW w:w="409" w:type="pct"/>
            <w:tcMar>
              <w:top w:w="15" w:type="dxa"/>
              <w:left w:w="15" w:type="dxa"/>
              <w:bottom w:w="15" w:type="dxa"/>
              <w:right w:w="15" w:type="dxa"/>
            </w:tcMar>
            <w:hideMark/>
          </w:tcPr>
          <w:p w14:paraId="1FD0B788" w14:textId="77777777" w:rsidR="00847F23" w:rsidRPr="00913E39" w:rsidRDefault="00847F23" w:rsidP="00773853">
            <w:pPr>
              <w:spacing w:after="0" w:line="240" w:lineRule="auto"/>
              <w:rPr>
                <w:rFonts w:ascii="Garamond" w:hAnsi="Garamond"/>
                <w:sz w:val="20"/>
              </w:rPr>
            </w:pPr>
            <w:r w:rsidRPr="00913E39">
              <w:rPr>
                <w:rFonts w:ascii="Garamond" w:hAnsi="Garamond"/>
                <w:sz w:val="20"/>
              </w:rPr>
              <w:t>1</w:t>
            </w:r>
          </w:p>
        </w:tc>
        <w:tc>
          <w:tcPr>
            <w:tcW w:w="1075" w:type="pct"/>
            <w:tcMar>
              <w:top w:w="100" w:type="dxa"/>
              <w:left w:w="100" w:type="dxa"/>
              <w:bottom w:w="100" w:type="dxa"/>
              <w:right w:w="100" w:type="dxa"/>
            </w:tcMar>
            <w:hideMark/>
          </w:tcPr>
          <w:p w14:paraId="251D961A" w14:textId="77777777" w:rsidR="00847F23" w:rsidRPr="00913E39" w:rsidRDefault="00847F23" w:rsidP="00773853">
            <w:pPr>
              <w:spacing w:after="0" w:line="240" w:lineRule="auto"/>
              <w:rPr>
                <w:rFonts w:ascii="Garamond" w:hAnsi="Garamond"/>
                <w:sz w:val="20"/>
              </w:rPr>
            </w:pPr>
            <w:r w:rsidRPr="00913E39">
              <w:rPr>
                <w:rFonts w:ascii="Garamond" w:hAnsi="Garamond"/>
                <w:sz w:val="20"/>
              </w:rPr>
              <w:t>0</w:t>
            </w:r>
          </w:p>
        </w:tc>
      </w:tr>
      <w:tr w:rsidR="00847F23" w:rsidRPr="00913E39" w14:paraId="42D45A07" w14:textId="77777777" w:rsidTr="00773853">
        <w:trPr>
          <w:trHeight w:val="20"/>
        </w:trPr>
        <w:tc>
          <w:tcPr>
            <w:tcW w:w="749" w:type="pct"/>
            <w:vMerge w:val="restart"/>
            <w:tcMar>
              <w:top w:w="100" w:type="dxa"/>
              <w:left w:w="100" w:type="dxa"/>
              <w:bottom w:w="100" w:type="dxa"/>
              <w:right w:w="100" w:type="dxa"/>
            </w:tcMar>
          </w:tcPr>
          <w:p w14:paraId="51B6B43E" w14:textId="54CA49AE" w:rsidR="00847F23" w:rsidRPr="00913E39" w:rsidRDefault="00847F23" w:rsidP="00773853">
            <w:pPr>
              <w:spacing w:after="0" w:line="240" w:lineRule="auto"/>
              <w:rPr>
                <w:rFonts w:ascii="Garamond" w:hAnsi="Garamond"/>
                <w:b/>
                <w:sz w:val="20"/>
              </w:rPr>
            </w:pPr>
            <w:r w:rsidRPr="00913E39">
              <w:rPr>
                <w:rFonts w:ascii="Garamond" w:hAnsi="Garamond"/>
                <w:b/>
                <w:sz w:val="20"/>
              </w:rPr>
              <w:t xml:space="preserve">Produktet që kontribuojnë në </w:t>
            </w:r>
            <w:r w:rsidR="002E6408" w:rsidRPr="00913E39">
              <w:rPr>
                <w:rFonts w:ascii="Garamond" w:hAnsi="Garamond"/>
                <w:b/>
                <w:sz w:val="20"/>
              </w:rPr>
              <w:t xml:space="preserve">rezultatin </w:t>
            </w:r>
            <w:r w:rsidRPr="00913E39">
              <w:rPr>
                <w:rFonts w:ascii="Garamond" w:hAnsi="Garamond"/>
                <w:b/>
                <w:sz w:val="20"/>
              </w:rPr>
              <w:t>5</w:t>
            </w:r>
          </w:p>
          <w:p w14:paraId="692D9BD7" w14:textId="77777777" w:rsidR="00847F23" w:rsidRPr="00913E39" w:rsidRDefault="00847F23" w:rsidP="00773853">
            <w:pPr>
              <w:spacing w:after="0" w:line="240" w:lineRule="auto"/>
              <w:rPr>
                <w:rFonts w:ascii="Garamond" w:hAnsi="Garamond"/>
                <w:b/>
                <w:sz w:val="20"/>
              </w:rPr>
            </w:pPr>
          </w:p>
        </w:tc>
        <w:tc>
          <w:tcPr>
            <w:tcW w:w="837" w:type="pct"/>
            <w:vMerge w:val="restart"/>
            <w:tcMar>
              <w:top w:w="15" w:type="dxa"/>
              <w:left w:w="15" w:type="dxa"/>
              <w:bottom w:w="15" w:type="dxa"/>
              <w:right w:w="15" w:type="dxa"/>
            </w:tcMar>
          </w:tcPr>
          <w:p w14:paraId="1627D278" w14:textId="515F878E" w:rsidR="00847F23" w:rsidRPr="00913E39" w:rsidRDefault="00847F23" w:rsidP="00E06606">
            <w:pPr>
              <w:spacing w:after="0" w:line="240" w:lineRule="auto"/>
              <w:rPr>
                <w:rFonts w:ascii="Garamond" w:hAnsi="Garamond"/>
                <w:sz w:val="20"/>
              </w:rPr>
            </w:pPr>
            <w:r w:rsidRPr="00913E39">
              <w:rPr>
                <w:rFonts w:ascii="Garamond" w:hAnsi="Garamond"/>
                <w:sz w:val="20"/>
              </w:rPr>
              <w:t>Produkti 5.1 Rritja e kapacitetit fizik hostues të Qendrës së të Dhënave (pajisje) të AKSHI-it dhe përmirësimi i pajisjeve /programeve të lidhura me Infrastrukturat kritike të Informacionit.</w:t>
            </w:r>
          </w:p>
        </w:tc>
        <w:tc>
          <w:tcPr>
            <w:tcW w:w="1098" w:type="pct"/>
            <w:tcMar>
              <w:top w:w="100" w:type="dxa"/>
              <w:left w:w="100" w:type="dxa"/>
              <w:bottom w:w="100" w:type="dxa"/>
              <w:right w:w="100" w:type="dxa"/>
            </w:tcMar>
          </w:tcPr>
          <w:p w14:paraId="10C20224" w14:textId="77777777" w:rsidR="00847F23" w:rsidRPr="00913E39" w:rsidRDefault="00847F23" w:rsidP="00773853">
            <w:pPr>
              <w:spacing w:after="0" w:line="240" w:lineRule="auto"/>
              <w:rPr>
                <w:rFonts w:ascii="Garamond" w:hAnsi="Garamond"/>
                <w:sz w:val="20"/>
              </w:rPr>
            </w:pPr>
            <w:r w:rsidRPr="00913E39">
              <w:rPr>
                <w:rFonts w:ascii="Garamond" w:hAnsi="Garamond"/>
                <w:sz w:val="20"/>
              </w:rPr>
              <w:t>Numri i sistemeve dhe infrastrukturave qeveritare të vendosura në Qendrën e të Dhënave të AKSHI-it.</w:t>
            </w:r>
          </w:p>
        </w:tc>
        <w:tc>
          <w:tcPr>
            <w:tcW w:w="832" w:type="pct"/>
            <w:tcMar>
              <w:top w:w="100" w:type="dxa"/>
              <w:left w:w="100" w:type="dxa"/>
              <w:bottom w:w="100" w:type="dxa"/>
              <w:right w:w="100" w:type="dxa"/>
            </w:tcMar>
          </w:tcPr>
          <w:p w14:paraId="7DD8C98F" w14:textId="77777777" w:rsidR="00847F23" w:rsidRPr="00913E39" w:rsidRDefault="00847F23" w:rsidP="00773853">
            <w:pPr>
              <w:spacing w:after="0" w:line="240" w:lineRule="auto"/>
              <w:rPr>
                <w:rFonts w:ascii="Garamond" w:hAnsi="Garamond"/>
                <w:sz w:val="20"/>
              </w:rPr>
            </w:pPr>
            <w:r w:rsidRPr="00913E39">
              <w:rPr>
                <w:rFonts w:ascii="Garamond" w:hAnsi="Garamond"/>
                <w:sz w:val="20"/>
              </w:rPr>
              <w:t>Numër</w:t>
            </w:r>
          </w:p>
          <w:p w14:paraId="00B972C8" w14:textId="77777777" w:rsidR="00847F23" w:rsidRPr="00913E39" w:rsidRDefault="00847F23" w:rsidP="00773853">
            <w:pPr>
              <w:spacing w:after="0" w:line="240" w:lineRule="auto"/>
              <w:rPr>
                <w:rFonts w:ascii="Garamond" w:hAnsi="Garamond"/>
                <w:sz w:val="20"/>
              </w:rPr>
            </w:pPr>
          </w:p>
          <w:p w14:paraId="657511A2" w14:textId="77777777" w:rsidR="00847F23" w:rsidRPr="00913E39" w:rsidRDefault="00847F23" w:rsidP="00773853">
            <w:pPr>
              <w:spacing w:after="0" w:line="240" w:lineRule="auto"/>
              <w:rPr>
                <w:rFonts w:ascii="Garamond" w:hAnsi="Garamond"/>
                <w:sz w:val="20"/>
              </w:rPr>
            </w:pPr>
          </w:p>
          <w:p w14:paraId="57326FC8" w14:textId="77777777" w:rsidR="00847F23" w:rsidRPr="00913E39" w:rsidRDefault="00847F23" w:rsidP="00773853">
            <w:pPr>
              <w:spacing w:after="0" w:line="240" w:lineRule="auto"/>
              <w:rPr>
                <w:rFonts w:ascii="Garamond" w:hAnsi="Garamond"/>
                <w:sz w:val="20"/>
              </w:rPr>
            </w:pPr>
          </w:p>
        </w:tc>
        <w:tc>
          <w:tcPr>
            <w:tcW w:w="409" w:type="pct"/>
            <w:tcMar>
              <w:top w:w="15" w:type="dxa"/>
              <w:left w:w="15" w:type="dxa"/>
              <w:bottom w:w="15" w:type="dxa"/>
              <w:right w:w="15" w:type="dxa"/>
            </w:tcMar>
          </w:tcPr>
          <w:p w14:paraId="44F74198" w14:textId="77777777" w:rsidR="00847F23" w:rsidRPr="00913E39" w:rsidRDefault="00847F23" w:rsidP="00773853">
            <w:pPr>
              <w:spacing w:after="0" w:line="240" w:lineRule="auto"/>
              <w:rPr>
                <w:rFonts w:ascii="Garamond" w:hAnsi="Garamond"/>
                <w:sz w:val="20"/>
              </w:rPr>
            </w:pPr>
            <w:r w:rsidRPr="00913E39">
              <w:rPr>
                <w:rFonts w:ascii="Garamond" w:hAnsi="Garamond"/>
                <w:sz w:val="20"/>
              </w:rPr>
              <w:t>250</w:t>
            </w:r>
          </w:p>
          <w:p w14:paraId="5C9C3A4F" w14:textId="77777777" w:rsidR="00847F23" w:rsidRPr="00913E39" w:rsidRDefault="00847F23" w:rsidP="00773853">
            <w:pPr>
              <w:spacing w:after="0" w:line="240" w:lineRule="auto"/>
              <w:rPr>
                <w:rFonts w:ascii="Garamond" w:hAnsi="Garamond"/>
                <w:sz w:val="20"/>
              </w:rPr>
            </w:pPr>
          </w:p>
          <w:p w14:paraId="7075DD96" w14:textId="77777777" w:rsidR="00847F23" w:rsidRPr="00913E39" w:rsidRDefault="00847F23" w:rsidP="00773853">
            <w:pPr>
              <w:spacing w:after="0" w:line="240" w:lineRule="auto"/>
              <w:rPr>
                <w:rFonts w:ascii="Garamond" w:hAnsi="Garamond"/>
                <w:sz w:val="20"/>
              </w:rPr>
            </w:pPr>
          </w:p>
          <w:p w14:paraId="74C2AB1D" w14:textId="77777777" w:rsidR="00847F23" w:rsidRPr="00913E39" w:rsidRDefault="00847F23" w:rsidP="00773853">
            <w:pPr>
              <w:spacing w:after="0" w:line="240" w:lineRule="auto"/>
              <w:rPr>
                <w:rFonts w:ascii="Garamond" w:hAnsi="Garamond"/>
                <w:sz w:val="20"/>
              </w:rPr>
            </w:pPr>
          </w:p>
          <w:p w14:paraId="6B2B7FD4" w14:textId="77777777" w:rsidR="00847F23" w:rsidRPr="00913E39" w:rsidRDefault="00847F23" w:rsidP="00773853">
            <w:pPr>
              <w:spacing w:after="0" w:line="240" w:lineRule="auto"/>
              <w:rPr>
                <w:rFonts w:ascii="Garamond" w:hAnsi="Garamond"/>
                <w:sz w:val="20"/>
              </w:rPr>
            </w:pPr>
          </w:p>
          <w:p w14:paraId="7ED3D170" w14:textId="77777777" w:rsidR="00847F23" w:rsidRPr="00913E39" w:rsidRDefault="00847F23" w:rsidP="00773853">
            <w:pPr>
              <w:spacing w:after="0" w:line="240" w:lineRule="auto"/>
              <w:rPr>
                <w:rFonts w:ascii="Garamond" w:hAnsi="Garamond"/>
                <w:sz w:val="20"/>
              </w:rPr>
            </w:pPr>
          </w:p>
        </w:tc>
        <w:tc>
          <w:tcPr>
            <w:tcW w:w="1075" w:type="pct"/>
            <w:tcMar>
              <w:top w:w="100" w:type="dxa"/>
              <w:left w:w="100" w:type="dxa"/>
              <w:bottom w:w="100" w:type="dxa"/>
              <w:right w:w="100" w:type="dxa"/>
            </w:tcMar>
          </w:tcPr>
          <w:p w14:paraId="1F16A568" w14:textId="77777777" w:rsidR="00847F23" w:rsidRPr="00913E39" w:rsidRDefault="00847F23" w:rsidP="00773853">
            <w:pPr>
              <w:spacing w:after="0" w:line="240" w:lineRule="auto"/>
              <w:rPr>
                <w:rFonts w:ascii="Garamond" w:hAnsi="Garamond"/>
                <w:sz w:val="20"/>
              </w:rPr>
            </w:pPr>
            <w:r w:rsidRPr="00913E39">
              <w:rPr>
                <w:rFonts w:ascii="Garamond" w:hAnsi="Garamond"/>
                <w:sz w:val="20"/>
              </w:rPr>
              <w:t>300</w:t>
            </w:r>
          </w:p>
        </w:tc>
      </w:tr>
      <w:tr w:rsidR="00847F23" w:rsidRPr="00913E39" w14:paraId="5849BA37" w14:textId="77777777" w:rsidTr="00773853">
        <w:trPr>
          <w:trHeight w:val="20"/>
        </w:trPr>
        <w:tc>
          <w:tcPr>
            <w:tcW w:w="749" w:type="pct"/>
            <w:vMerge/>
            <w:tcMar>
              <w:top w:w="100" w:type="dxa"/>
              <w:left w:w="100" w:type="dxa"/>
              <w:bottom w:w="100" w:type="dxa"/>
              <w:right w:w="100" w:type="dxa"/>
            </w:tcMar>
          </w:tcPr>
          <w:p w14:paraId="678E90D0" w14:textId="77777777" w:rsidR="00847F23" w:rsidRPr="00913E39" w:rsidRDefault="00847F23" w:rsidP="00773853">
            <w:pPr>
              <w:spacing w:after="0" w:line="240" w:lineRule="auto"/>
              <w:rPr>
                <w:rFonts w:ascii="Garamond" w:hAnsi="Garamond"/>
                <w:b/>
                <w:sz w:val="20"/>
              </w:rPr>
            </w:pPr>
          </w:p>
        </w:tc>
        <w:tc>
          <w:tcPr>
            <w:tcW w:w="837" w:type="pct"/>
            <w:vMerge/>
            <w:tcMar>
              <w:top w:w="15" w:type="dxa"/>
              <w:left w:w="15" w:type="dxa"/>
              <w:bottom w:w="15" w:type="dxa"/>
              <w:right w:w="15" w:type="dxa"/>
            </w:tcMar>
          </w:tcPr>
          <w:p w14:paraId="63566655" w14:textId="77777777" w:rsidR="00847F23" w:rsidRPr="00913E39" w:rsidRDefault="00847F23" w:rsidP="00773853">
            <w:pPr>
              <w:spacing w:after="0" w:line="240" w:lineRule="auto"/>
              <w:rPr>
                <w:rFonts w:ascii="Garamond" w:hAnsi="Garamond"/>
                <w:sz w:val="20"/>
              </w:rPr>
            </w:pPr>
          </w:p>
        </w:tc>
        <w:tc>
          <w:tcPr>
            <w:tcW w:w="1098" w:type="pct"/>
            <w:tcMar>
              <w:top w:w="100" w:type="dxa"/>
              <w:left w:w="100" w:type="dxa"/>
              <w:bottom w:w="100" w:type="dxa"/>
              <w:right w:w="100" w:type="dxa"/>
            </w:tcMar>
          </w:tcPr>
          <w:p w14:paraId="04A0C4DE" w14:textId="77777777" w:rsidR="00847F23" w:rsidRPr="00913E39" w:rsidRDefault="00847F23" w:rsidP="00773853">
            <w:pPr>
              <w:spacing w:after="0" w:line="240" w:lineRule="auto"/>
              <w:rPr>
                <w:rFonts w:ascii="Garamond" w:hAnsi="Garamond"/>
                <w:sz w:val="20"/>
              </w:rPr>
            </w:pPr>
            <w:r w:rsidRPr="00913E39">
              <w:rPr>
                <w:rFonts w:ascii="Garamond" w:hAnsi="Garamond"/>
                <w:sz w:val="20"/>
              </w:rPr>
              <w:t>Numri i serverëve të përmirësuar në Infrastrukturat kritike të Informacionit</w:t>
            </w:r>
          </w:p>
        </w:tc>
        <w:tc>
          <w:tcPr>
            <w:tcW w:w="832" w:type="pct"/>
            <w:tcMar>
              <w:top w:w="100" w:type="dxa"/>
              <w:left w:w="100" w:type="dxa"/>
              <w:bottom w:w="100" w:type="dxa"/>
              <w:right w:w="100" w:type="dxa"/>
            </w:tcMar>
          </w:tcPr>
          <w:p w14:paraId="26AD2109" w14:textId="77777777" w:rsidR="00847F23" w:rsidRPr="00913E39" w:rsidRDefault="00847F23" w:rsidP="00773853">
            <w:pPr>
              <w:spacing w:after="0" w:line="240" w:lineRule="auto"/>
              <w:rPr>
                <w:rFonts w:ascii="Garamond" w:hAnsi="Garamond"/>
                <w:sz w:val="20"/>
              </w:rPr>
            </w:pPr>
            <w:r w:rsidRPr="00913E39">
              <w:rPr>
                <w:rFonts w:ascii="Garamond" w:hAnsi="Garamond"/>
                <w:sz w:val="20"/>
              </w:rPr>
              <w:t>Numër</w:t>
            </w:r>
          </w:p>
        </w:tc>
        <w:tc>
          <w:tcPr>
            <w:tcW w:w="409" w:type="pct"/>
            <w:tcMar>
              <w:top w:w="15" w:type="dxa"/>
              <w:left w:w="15" w:type="dxa"/>
              <w:bottom w:w="15" w:type="dxa"/>
              <w:right w:w="15" w:type="dxa"/>
            </w:tcMar>
          </w:tcPr>
          <w:p w14:paraId="5AD92C70" w14:textId="77777777" w:rsidR="00847F23" w:rsidRPr="00913E39" w:rsidRDefault="00847F23" w:rsidP="00773853">
            <w:pPr>
              <w:spacing w:after="0" w:line="240" w:lineRule="auto"/>
              <w:rPr>
                <w:rFonts w:ascii="Garamond" w:hAnsi="Garamond"/>
                <w:sz w:val="20"/>
              </w:rPr>
            </w:pPr>
            <w:r w:rsidRPr="00913E39">
              <w:rPr>
                <w:rFonts w:ascii="Garamond" w:hAnsi="Garamond"/>
                <w:sz w:val="20"/>
              </w:rPr>
              <w:t>0</w:t>
            </w:r>
          </w:p>
        </w:tc>
        <w:tc>
          <w:tcPr>
            <w:tcW w:w="1075" w:type="pct"/>
            <w:tcMar>
              <w:top w:w="100" w:type="dxa"/>
              <w:left w:w="100" w:type="dxa"/>
              <w:bottom w:w="100" w:type="dxa"/>
              <w:right w:w="100" w:type="dxa"/>
            </w:tcMar>
          </w:tcPr>
          <w:p w14:paraId="588A9A2E" w14:textId="77777777" w:rsidR="00847F23" w:rsidRPr="00913E39" w:rsidRDefault="00847F23" w:rsidP="00773853">
            <w:pPr>
              <w:spacing w:after="0" w:line="240" w:lineRule="auto"/>
              <w:rPr>
                <w:rFonts w:ascii="Garamond" w:hAnsi="Garamond"/>
                <w:sz w:val="20"/>
              </w:rPr>
            </w:pPr>
            <w:r w:rsidRPr="00913E39">
              <w:rPr>
                <w:rFonts w:ascii="Garamond" w:hAnsi="Garamond"/>
                <w:sz w:val="20"/>
              </w:rPr>
              <w:t>70</w:t>
            </w:r>
          </w:p>
        </w:tc>
      </w:tr>
      <w:tr w:rsidR="00847F23" w:rsidRPr="00913E39" w14:paraId="5E0B1EA2" w14:textId="77777777" w:rsidTr="00773853">
        <w:trPr>
          <w:trHeight w:val="20"/>
        </w:trPr>
        <w:tc>
          <w:tcPr>
            <w:tcW w:w="749" w:type="pct"/>
            <w:vMerge w:val="restart"/>
            <w:tcMar>
              <w:top w:w="100" w:type="dxa"/>
              <w:left w:w="100" w:type="dxa"/>
              <w:bottom w:w="100" w:type="dxa"/>
              <w:right w:w="100" w:type="dxa"/>
            </w:tcMar>
            <w:hideMark/>
          </w:tcPr>
          <w:p w14:paraId="1F79B237" w14:textId="77777777" w:rsidR="00847F23" w:rsidRPr="00913E39" w:rsidRDefault="00847F23" w:rsidP="00773853">
            <w:pPr>
              <w:spacing w:after="0" w:line="240" w:lineRule="auto"/>
              <w:rPr>
                <w:rFonts w:ascii="Garamond" w:hAnsi="Garamond"/>
                <w:b/>
                <w:sz w:val="20"/>
              </w:rPr>
            </w:pPr>
          </w:p>
        </w:tc>
        <w:tc>
          <w:tcPr>
            <w:tcW w:w="837" w:type="pct"/>
            <w:vMerge w:val="restart"/>
            <w:tcMar>
              <w:top w:w="15" w:type="dxa"/>
              <w:left w:w="15" w:type="dxa"/>
              <w:bottom w:w="15" w:type="dxa"/>
              <w:right w:w="15" w:type="dxa"/>
            </w:tcMar>
          </w:tcPr>
          <w:p w14:paraId="1AB6A07B" w14:textId="77777777" w:rsidR="00847F23" w:rsidRPr="00913E39" w:rsidRDefault="00847F23" w:rsidP="00773853">
            <w:pPr>
              <w:spacing w:after="0" w:line="240" w:lineRule="auto"/>
              <w:rPr>
                <w:rFonts w:ascii="Garamond" w:hAnsi="Garamond"/>
                <w:sz w:val="20"/>
              </w:rPr>
            </w:pPr>
            <w:r w:rsidRPr="00913E39">
              <w:rPr>
                <w:rFonts w:ascii="Garamond" w:hAnsi="Garamond"/>
                <w:sz w:val="20"/>
              </w:rPr>
              <w:t>Produkti 5.2. Krijimi i platformës Threat Intelligence për zbulimin paraprak ndaj sulmeve të sofistikuara.</w:t>
            </w:r>
          </w:p>
          <w:p w14:paraId="6B374082" w14:textId="77777777" w:rsidR="00847F23" w:rsidRPr="00913E39" w:rsidRDefault="00847F23" w:rsidP="00773853">
            <w:pPr>
              <w:spacing w:after="0" w:line="240" w:lineRule="auto"/>
              <w:rPr>
                <w:rFonts w:ascii="Garamond" w:hAnsi="Garamond"/>
                <w:sz w:val="20"/>
              </w:rPr>
            </w:pPr>
          </w:p>
          <w:p w14:paraId="41B2B369" w14:textId="77777777" w:rsidR="00847F23" w:rsidRPr="00913E39" w:rsidRDefault="00847F23" w:rsidP="00773853">
            <w:pPr>
              <w:spacing w:after="0" w:line="240" w:lineRule="auto"/>
              <w:rPr>
                <w:rFonts w:ascii="Garamond" w:hAnsi="Garamond"/>
                <w:sz w:val="20"/>
              </w:rPr>
            </w:pPr>
          </w:p>
        </w:tc>
        <w:tc>
          <w:tcPr>
            <w:tcW w:w="1098" w:type="pct"/>
            <w:tcMar>
              <w:top w:w="100" w:type="dxa"/>
              <w:left w:w="100" w:type="dxa"/>
              <w:bottom w:w="100" w:type="dxa"/>
              <w:right w:w="100" w:type="dxa"/>
            </w:tcMar>
          </w:tcPr>
          <w:p w14:paraId="7F99AA78" w14:textId="77777777" w:rsidR="00847F23" w:rsidRPr="00913E39" w:rsidRDefault="00847F23" w:rsidP="00773853">
            <w:pPr>
              <w:spacing w:after="0" w:line="240" w:lineRule="auto"/>
              <w:rPr>
                <w:rFonts w:ascii="Garamond" w:hAnsi="Garamond"/>
                <w:sz w:val="20"/>
              </w:rPr>
            </w:pPr>
            <w:r w:rsidRPr="00913E39">
              <w:rPr>
                <w:rFonts w:ascii="Garamond" w:hAnsi="Garamond"/>
                <w:sz w:val="20"/>
              </w:rPr>
              <w:t>Numri i viruseve /çelësave të gatshëm të përmirësuar në Infrastrukturën Kryesore të Informacionit.</w:t>
            </w:r>
          </w:p>
        </w:tc>
        <w:tc>
          <w:tcPr>
            <w:tcW w:w="832" w:type="pct"/>
            <w:tcMar>
              <w:top w:w="100" w:type="dxa"/>
              <w:left w:w="100" w:type="dxa"/>
              <w:bottom w:w="100" w:type="dxa"/>
              <w:right w:w="100" w:type="dxa"/>
            </w:tcMar>
          </w:tcPr>
          <w:p w14:paraId="452DA9F1" w14:textId="77777777" w:rsidR="00847F23" w:rsidRPr="00913E39" w:rsidRDefault="00847F23" w:rsidP="00773853">
            <w:pPr>
              <w:spacing w:after="0" w:line="240" w:lineRule="auto"/>
              <w:rPr>
                <w:rFonts w:ascii="Garamond" w:hAnsi="Garamond"/>
                <w:sz w:val="20"/>
              </w:rPr>
            </w:pPr>
            <w:r w:rsidRPr="00913E39">
              <w:rPr>
                <w:rFonts w:ascii="Garamond" w:hAnsi="Garamond"/>
                <w:sz w:val="20"/>
              </w:rPr>
              <w:t>Numër</w:t>
            </w:r>
          </w:p>
        </w:tc>
        <w:tc>
          <w:tcPr>
            <w:tcW w:w="409" w:type="pct"/>
            <w:tcMar>
              <w:top w:w="15" w:type="dxa"/>
              <w:left w:w="15" w:type="dxa"/>
              <w:bottom w:w="15" w:type="dxa"/>
              <w:right w:w="15" w:type="dxa"/>
            </w:tcMar>
          </w:tcPr>
          <w:p w14:paraId="03DD4F35" w14:textId="77777777" w:rsidR="00847F23" w:rsidRPr="00913E39" w:rsidRDefault="00847F23" w:rsidP="00773853">
            <w:pPr>
              <w:spacing w:after="0" w:line="240" w:lineRule="auto"/>
              <w:rPr>
                <w:rFonts w:ascii="Garamond" w:hAnsi="Garamond"/>
                <w:sz w:val="20"/>
              </w:rPr>
            </w:pPr>
            <w:r w:rsidRPr="00913E39">
              <w:rPr>
                <w:rFonts w:ascii="Garamond" w:hAnsi="Garamond"/>
                <w:sz w:val="20"/>
              </w:rPr>
              <w:t>0</w:t>
            </w:r>
          </w:p>
        </w:tc>
        <w:tc>
          <w:tcPr>
            <w:tcW w:w="1075" w:type="pct"/>
            <w:tcMar>
              <w:top w:w="100" w:type="dxa"/>
              <w:left w:w="100" w:type="dxa"/>
              <w:bottom w:w="100" w:type="dxa"/>
              <w:right w:w="100" w:type="dxa"/>
            </w:tcMar>
          </w:tcPr>
          <w:p w14:paraId="5C3450C3" w14:textId="77777777" w:rsidR="00847F23" w:rsidRPr="00913E39" w:rsidRDefault="00847F23" w:rsidP="00773853">
            <w:pPr>
              <w:spacing w:after="0" w:line="240" w:lineRule="auto"/>
              <w:rPr>
                <w:rFonts w:ascii="Garamond" w:hAnsi="Garamond"/>
                <w:sz w:val="20"/>
              </w:rPr>
            </w:pPr>
            <w:r w:rsidRPr="00913E39">
              <w:rPr>
                <w:rFonts w:ascii="Garamond" w:hAnsi="Garamond"/>
                <w:sz w:val="20"/>
              </w:rPr>
              <w:t>25</w:t>
            </w:r>
          </w:p>
        </w:tc>
      </w:tr>
      <w:tr w:rsidR="00847F23" w:rsidRPr="00913E39" w14:paraId="436FC8DA" w14:textId="77777777" w:rsidTr="00773853">
        <w:trPr>
          <w:trHeight w:val="20"/>
        </w:trPr>
        <w:tc>
          <w:tcPr>
            <w:tcW w:w="749" w:type="pct"/>
            <w:vMerge/>
            <w:tcMar>
              <w:top w:w="100" w:type="dxa"/>
              <w:left w:w="100" w:type="dxa"/>
              <w:bottom w:w="100" w:type="dxa"/>
              <w:right w:w="100" w:type="dxa"/>
            </w:tcMar>
          </w:tcPr>
          <w:p w14:paraId="6BA305DD" w14:textId="77777777" w:rsidR="00847F23" w:rsidRPr="00913E39" w:rsidRDefault="00847F23" w:rsidP="00773853">
            <w:pPr>
              <w:spacing w:after="0" w:line="240" w:lineRule="auto"/>
              <w:rPr>
                <w:rFonts w:ascii="Garamond" w:hAnsi="Garamond"/>
                <w:b/>
                <w:sz w:val="20"/>
              </w:rPr>
            </w:pPr>
          </w:p>
        </w:tc>
        <w:tc>
          <w:tcPr>
            <w:tcW w:w="837" w:type="pct"/>
            <w:vMerge/>
            <w:tcMar>
              <w:top w:w="15" w:type="dxa"/>
              <w:left w:w="15" w:type="dxa"/>
              <w:bottom w:w="15" w:type="dxa"/>
              <w:right w:w="15" w:type="dxa"/>
            </w:tcMar>
          </w:tcPr>
          <w:p w14:paraId="6824E765" w14:textId="77777777" w:rsidR="00847F23" w:rsidRPr="00913E39" w:rsidRDefault="00847F23" w:rsidP="00773853">
            <w:pPr>
              <w:spacing w:after="0" w:line="240" w:lineRule="auto"/>
              <w:rPr>
                <w:rFonts w:ascii="Garamond" w:hAnsi="Garamond"/>
                <w:sz w:val="20"/>
              </w:rPr>
            </w:pPr>
          </w:p>
        </w:tc>
        <w:tc>
          <w:tcPr>
            <w:tcW w:w="1098" w:type="pct"/>
            <w:tcMar>
              <w:top w:w="100" w:type="dxa"/>
              <w:left w:w="100" w:type="dxa"/>
              <w:bottom w:w="100" w:type="dxa"/>
              <w:right w:w="100" w:type="dxa"/>
            </w:tcMar>
          </w:tcPr>
          <w:p w14:paraId="6ACDEE1F" w14:textId="77777777" w:rsidR="00847F23" w:rsidRPr="00913E39" w:rsidRDefault="00847F23" w:rsidP="00773853">
            <w:pPr>
              <w:spacing w:after="0" w:line="240" w:lineRule="auto"/>
              <w:rPr>
                <w:rFonts w:ascii="Garamond" w:hAnsi="Garamond"/>
                <w:sz w:val="20"/>
              </w:rPr>
            </w:pPr>
            <w:r w:rsidRPr="00913E39">
              <w:rPr>
                <w:rFonts w:ascii="Garamond" w:hAnsi="Garamond"/>
                <w:sz w:val="20"/>
              </w:rPr>
              <w:t>Krijimi i platformës së Threat Intelligence.</w:t>
            </w:r>
          </w:p>
        </w:tc>
        <w:tc>
          <w:tcPr>
            <w:tcW w:w="832" w:type="pct"/>
            <w:tcMar>
              <w:top w:w="100" w:type="dxa"/>
              <w:left w:w="100" w:type="dxa"/>
              <w:bottom w:w="100" w:type="dxa"/>
              <w:right w:w="100" w:type="dxa"/>
            </w:tcMar>
          </w:tcPr>
          <w:p w14:paraId="793512B2" w14:textId="77777777" w:rsidR="00847F23" w:rsidRPr="00913E39" w:rsidRDefault="00847F23" w:rsidP="00773853">
            <w:pPr>
              <w:spacing w:after="0" w:line="240" w:lineRule="auto"/>
              <w:rPr>
                <w:rFonts w:ascii="Garamond" w:hAnsi="Garamond"/>
                <w:sz w:val="20"/>
              </w:rPr>
            </w:pPr>
            <w:r w:rsidRPr="00913E39">
              <w:rPr>
                <w:rFonts w:ascii="Garamond" w:hAnsi="Garamond"/>
                <w:sz w:val="20"/>
              </w:rPr>
              <w:t>Numër</w:t>
            </w:r>
          </w:p>
        </w:tc>
        <w:tc>
          <w:tcPr>
            <w:tcW w:w="409" w:type="pct"/>
            <w:tcMar>
              <w:top w:w="15" w:type="dxa"/>
              <w:left w:w="15" w:type="dxa"/>
              <w:bottom w:w="15" w:type="dxa"/>
              <w:right w:w="15" w:type="dxa"/>
            </w:tcMar>
          </w:tcPr>
          <w:p w14:paraId="041B2530" w14:textId="77777777" w:rsidR="00847F23" w:rsidRPr="00913E39" w:rsidRDefault="00847F23" w:rsidP="00773853">
            <w:pPr>
              <w:spacing w:after="0" w:line="240" w:lineRule="auto"/>
              <w:rPr>
                <w:rFonts w:ascii="Garamond" w:hAnsi="Garamond"/>
                <w:sz w:val="20"/>
              </w:rPr>
            </w:pPr>
            <w:r w:rsidRPr="00913E39">
              <w:rPr>
                <w:rFonts w:ascii="Garamond" w:hAnsi="Garamond"/>
                <w:sz w:val="20"/>
              </w:rPr>
              <w:t>0</w:t>
            </w:r>
          </w:p>
        </w:tc>
        <w:tc>
          <w:tcPr>
            <w:tcW w:w="1075" w:type="pct"/>
            <w:tcMar>
              <w:top w:w="100" w:type="dxa"/>
              <w:left w:w="100" w:type="dxa"/>
              <w:bottom w:w="100" w:type="dxa"/>
              <w:right w:w="100" w:type="dxa"/>
            </w:tcMar>
          </w:tcPr>
          <w:p w14:paraId="206E52EB" w14:textId="77777777" w:rsidR="00847F23" w:rsidRPr="00913E39" w:rsidRDefault="00847F23" w:rsidP="00773853">
            <w:pPr>
              <w:spacing w:after="0" w:line="240" w:lineRule="auto"/>
              <w:rPr>
                <w:rFonts w:ascii="Garamond" w:hAnsi="Garamond"/>
                <w:sz w:val="20"/>
              </w:rPr>
            </w:pPr>
            <w:r w:rsidRPr="00913E39">
              <w:rPr>
                <w:rFonts w:ascii="Garamond" w:hAnsi="Garamond"/>
                <w:sz w:val="20"/>
              </w:rPr>
              <w:t>1</w:t>
            </w:r>
          </w:p>
        </w:tc>
      </w:tr>
      <w:tr w:rsidR="00847F23" w:rsidRPr="00913E39" w14:paraId="550EA4E1" w14:textId="77777777" w:rsidTr="00773853">
        <w:trPr>
          <w:trHeight w:val="20"/>
        </w:trPr>
        <w:tc>
          <w:tcPr>
            <w:tcW w:w="749" w:type="pct"/>
            <w:tcMar>
              <w:top w:w="100" w:type="dxa"/>
              <w:left w:w="100" w:type="dxa"/>
              <w:bottom w:w="100" w:type="dxa"/>
              <w:right w:w="100" w:type="dxa"/>
            </w:tcMar>
          </w:tcPr>
          <w:p w14:paraId="327937FA" w14:textId="77777777" w:rsidR="00847F23" w:rsidRPr="00913E39" w:rsidRDefault="00847F23" w:rsidP="00773853">
            <w:pPr>
              <w:spacing w:after="0" w:line="240" w:lineRule="auto"/>
              <w:rPr>
                <w:rFonts w:ascii="Garamond" w:hAnsi="Garamond"/>
                <w:b/>
                <w:sz w:val="20"/>
              </w:rPr>
            </w:pPr>
          </w:p>
        </w:tc>
        <w:tc>
          <w:tcPr>
            <w:tcW w:w="837" w:type="pct"/>
            <w:tcMar>
              <w:top w:w="15" w:type="dxa"/>
              <w:left w:w="15" w:type="dxa"/>
              <w:bottom w:w="15" w:type="dxa"/>
              <w:right w:w="15" w:type="dxa"/>
            </w:tcMar>
          </w:tcPr>
          <w:p w14:paraId="6F65310F" w14:textId="77777777" w:rsidR="00847F23" w:rsidRPr="00913E39" w:rsidRDefault="00847F23" w:rsidP="00773853">
            <w:pPr>
              <w:spacing w:after="0" w:line="240" w:lineRule="auto"/>
              <w:rPr>
                <w:rFonts w:ascii="Garamond" w:hAnsi="Garamond"/>
                <w:sz w:val="20"/>
              </w:rPr>
            </w:pPr>
            <w:r w:rsidRPr="00913E39">
              <w:rPr>
                <w:rFonts w:ascii="Garamond" w:hAnsi="Garamond"/>
                <w:sz w:val="20"/>
              </w:rPr>
              <w:t>Produkti 5.3 Krijimi i platformës së monitorimit të Dark Web.</w:t>
            </w:r>
          </w:p>
        </w:tc>
        <w:tc>
          <w:tcPr>
            <w:tcW w:w="1098" w:type="pct"/>
            <w:tcMar>
              <w:top w:w="100" w:type="dxa"/>
              <w:left w:w="100" w:type="dxa"/>
              <w:bottom w:w="100" w:type="dxa"/>
              <w:right w:w="100" w:type="dxa"/>
            </w:tcMar>
          </w:tcPr>
          <w:p w14:paraId="1817F1FB" w14:textId="77777777" w:rsidR="00847F23" w:rsidRPr="00913E39" w:rsidRDefault="00847F23" w:rsidP="00773853">
            <w:pPr>
              <w:spacing w:after="0" w:line="240" w:lineRule="auto"/>
              <w:rPr>
                <w:rFonts w:ascii="Garamond" w:hAnsi="Garamond"/>
                <w:sz w:val="20"/>
              </w:rPr>
            </w:pPr>
            <w:r w:rsidRPr="00913E39">
              <w:rPr>
                <w:rFonts w:ascii="Garamond" w:hAnsi="Garamond"/>
                <w:sz w:val="20"/>
              </w:rPr>
              <w:t>Krijimi i platformës së monitorimit të Dark Web</w:t>
            </w:r>
          </w:p>
        </w:tc>
        <w:tc>
          <w:tcPr>
            <w:tcW w:w="832" w:type="pct"/>
            <w:tcMar>
              <w:top w:w="100" w:type="dxa"/>
              <w:left w:w="100" w:type="dxa"/>
              <w:bottom w:w="100" w:type="dxa"/>
              <w:right w:w="100" w:type="dxa"/>
            </w:tcMar>
          </w:tcPr>
          <w:p w14:paraId="69AAE274" w14:textId="77777777" w:rsidR="00847F23" w:rsidRPr="00913E39" w:rsidRDefault="00847F23" w:rsidP="00773853">
            <w:pPr>
              <w:spacing w:after="0" w:line="240" w:lineRule="auto"/>
              <w:rPr>
                <w:rFonts w:ascii="Garamond" w:hAnsi="Garamond"/>
                <w:sz w:val="20"/>
              </w:rPr>
            </w:pPr>
            <w:r w:rsidRPr="00913E39">
              <w:rPr>
                <w:rFonts w:ascii="Garamond" w:hAnsi="Garamond"/>
                <w:sz w:val="20"/>
              </w:rPr>
              <w:t xml:space="preserve">Numër </w:t>
            </w:r>
          </w:p>
        </w:tc>
        <w:tc>
          <w:tcPr>
            <w:tcW w:w="409" w:type="pct"/>
            <w:tcMar>
              <w:top w:w="15" w:type="dxa"/>
              <w:left w:w="15" w:type="dxa"/>
              <w:bottom w:w="15" w:type="dxa"/>
              <w:right w:w="15" w:type="dxa"/>
            </w:tcMar>
          </w:tcPr>
          <w:p w14:paraId="5BBE65CA" w14:textId="77777777" w:rsidR="00847F23" w:rsidRPr="00913E39" w:rsidRDefault="00847F23" w:rsidP="00773853">
            <w:pPr>
              <w:spacing w:after="0" w:line="240" w:lineRule="auto"/>
              <w:rPr>
                <w:rFonts w:ascii="Garamond" w:hAnsi="Garamond"/>
                <w:sz w:val="20"/>
              </w:rPr>
            </w:pPr>
            <w:r w:rsidRPr="00913E39">
              <w:rPr>
                <w:rFonts w:ascii="Garamond" w:hAnsi="Garamond"/>
                <w:sz w:val="20"/>
              </w:rPr>
              <w:t>0</w:t>
            </w:r>
          </w:p>
        </w:tc>
        <w:tc>
          <w:tcPr>
            <w:tcW w:w="1075" w:type="pct"/>
            <w:tcMar>
              <w:top w:w="100" w:type="dxa"/>
              <w:left w:w="100" w:type="dxa"/>
              <w:bottom w:w="100" w:type="dxa"/>
              <w:right w:w="100" w:type="dxa"/>
            </w:tcMar>
          </w:tcPr>
          <w:p w14:paraId="3253D492" w14:textId="77777777" w:rsidR="00847F23" w:rsidRPr="00913E39" w:rsidRDefault="00847F23" w:rsidP="00773853">
            <w:pPr>
              <w:spacing w:after="0" w:line="240" w:lineRule="auto"/>
              <w:rPr>
                <w:rFonts w:ascii="Garamond" w:hAnsi="Garamond"/>
                <w:sz w:val="20"/>
              </w:rPr>
            </w:pPr>
            <w:r w:rsidRPr="00913E39">
              <w:rPr>
                <w:rFonts w:ascii="Garamond" w:hAnsi="Garamond"/>
                <w:sz w:val="20"/>
              </w:rPr>
              <w:t>1</w:t>
            </w:r>
          </w:p>
        </w:tc>
      </w:tr>
      <w:tr w:rsidR="00847F23" w:rsidRPr="00913E39" w14:paraId="72AC2C14" w14:textId="77777777" w:rsidTr="00773853">
        <w:trPr>
          <w:trHeight w:val="20"/>
        </w:trPr>
        <w:tc>
          <w:tcPr>
            <w:tcW w:w="749" w:type="pct"/>
            <w:tcMar>
              <w:top w:w="100" w:type="dxa"/>
              <w:left w:w="100" w:type="dxa"/>
              <w:bottom w:w="100" w:type="dxa"/>
              <w:right w:w="100" w:type="dxa"/>
            </w:tcMar>
            <w:hideMark/>
          </w:tcPr>
          <w:p w14:paraId="2DD81C4A" w14:textId="77777777" w:rsidR="00847F23" w:rsidRPr="00913E39" w:rsidRDefault="00847F23" w:rsidP="00773853">
            <w:pPr>
              <w:spacing w:after="0" w:line="240" w:lineRule="auto"/>
              <w:rPr>
                <w:rFonts w:ascii="Garamond" w:hAnsi="Garamond"/>
                <w:b/>
                <w:sz w:val="20"/>
              </w:rPr>
            </w:pPr>
          </w:p>
        </w:tc>
        <w:tc>
          <w:tcPr>
            <w:tcW w:w="837" w:type="pct"/>
            <w:tcMar>
              <w:top w:w="15" w:type="dxa"/>
              <w:left w:w="15" w:type="dxa"/>
              <w:bottom w:w="15" w:type="dxa"/>
              <w:right w:w="15" w:type="dxa"/>
            </w:tcMar>
          </w:tcPr>
          <w:p w14:paraId="6B9907A2" w14:textId="58E02528" w:rsidR="00847F23" w:rsidRPr="00913E39" w:rsidRDefault="00847F23" w:rsidP="00E06606">
            <w:pPr>
              <w:spacing w:after="0" w:line="240" w:lineRule="auto"/>
              <w:rPr>
                <w:rFonts w:ascii="Garamond" w:hAnsi="Garamond"/>
                <w:sz w:val="20"/>
              </w:rPr>
            </w:pPr>
            <w:r w:rsidRPr="00913E39">
              <w:rPr>
                <w:rFonts w:ascii="Garamond" w:hAnsi="Garamond"/>
                <w:sz w:val="20"/>
              </w:rPr>
              <w:t>Produkti 5.4 Rritja e ndërgjegjësimit kibernetik dhe kapacitetit analitik parandalues, si dhe kapaciteteve të përballjes kibernetike dhe reagimit të organizatave të përfshira të sektorit publik.</w:t>
            </w:r>
          </w:p>
        </w:tc>
        <w:tc>
          <w:tcPr>
            <w:tcW w:w="1098" w:type="pct"/>
            <w:tcMar>
              <w:top w:w="100" w:type="dxa"/>
              <w:left w:w="100" w:type="dxa"/>
              <w:bottom w:w="100" w:type="dxa"/>
              <w:right w:w="100" w:type="dxa"/>
            </w:tcMar>
            <w:hideMark/>
          </w:tcPr>
          <w:p w14:paraId="68C6BE58" w14:textId="77777777" w:rsidR="00847F23" w:rsidRPr="00913E39" w:rsidRDefault="00847F23" w:rsidP="00773853">
            <w:pPr>
              <w:spacing w:after="0" w:line="240" w:lineRule="auto"/>
              <w:rPr>
                <w:rFonts w:ascii="Garamond" w:hAnsi="Garamond"/>
                <w:sz w:val="20"/>
              </w:rPr>
            </w:pPr>
            <w:r w:rsidRPr="00913E39">
              <w:rPr>
                <w:rFonts w:ascii="Garamond" w:hAnsi="Garamond"/>
                <w:sz w:val="20"/>
              </w:rPr>
              <w:t>Trajnimi i individëve për menaxhimin dhe ndërgjegjësimin për sigurinë kibernetike nga sektori publik shqiptar (të ndarë sipas gjinisë, moshës dhe punëdhënësit).</w:t>
            </w:r>
            <w:r w:rsidR="00693B1A" w:rsidRPr="00913E39">
              <w:rPr>
                <w:rFonts w:ascii="Garamond" w:hAnsi="Garamond"/>
                <w:sz w:val="20"/>
              </w:rPr>
              <w:t xml:space="preserve"> </w:t>
            </w:r>
          </w:p>
        </w:tc>
        <w:tc>
          <w:tcPr>
            <w:tcW w:w="832" w:type="pct"/>
            <w:tcMar>
              <w:top w:w="100" w:type="dxa"/>
              <w:left w:w="100" w:type="dxa"/>
              <w:bottom w:w="100" w:type="dxa"/>
              <w:right w:w="100" w:type="dxa"/>
            </w:tcMar>
            <w:hideMark/>
          </w:tcPr>
          <w:p w14:paraId="2B8136C6" w14:textId="77777777" w:rsidR="00847F23" w:rsidRPr="00913E39" w:rsidRDefault="00847F23" w:rsidP="00773853">
            <w:pPr>
              <w:spacing w:after="0" w:line="240" w:lineRule="auto"/>
              <w:rPr>
                <w:rFonts w:ascii="Garamond" w:hAnsi="Garamond"/>
                <w:sz w:val="20"/>
              </w:rPr>
            </w:pPr>
            <w:r w:rsidRPr="00913E39">
              <w:rPr>
                <w:rFonts w:ascii="Garamond" w:hAnsi="Garamond"/>
                <w:sz w:val="20"/>
              </w:rPr>
              <w:t xml:space="preserve">Numër </w:t>
            </w:r>
          </w:p>
        </w:tc>
        <w:tc>
          <w:tcPr>
            <w:tcW w:w="409" w:type="pct"/>
            <w:tcMar>
              <w:top w:w="15" w:type="dxa"/>
              <w:left w:w="15" w:type="dxa"/>
              <w:bottom w:w="15" w:type="dxa"/>
              <w:right w:w="15" w:type="dxa"/>
            </w:tcMar>
          </w:tcPr>
          <w:p w14:paraId="171F06A0" w14:textId="77777777" w:rsidR="00847F23" w:rsidRPr="00913E39" w:rsidRDefault="00847F23" w:rsidP="00773853">
            <w:pPr>
              <w:spacing w:after="0" w:line="240" w:lineRule="auto"/>
              <w:rPr>
                <w:rFonts w:ascii="Garamond" w:hAnsi="Garamond"/>
                <w:sz w:val="20"/>
              </w:rPr>
            </w:pPr>
            <w:r w:rsidRPr="00913E39">
              <w:rPr>
                <w:rFonts w:ascii="Garamond" w:hAnsi="Garamond"/>
                <w:sz w:val="20"/>
              </w:rPr>
              <w:t>0</w:t>
            </w:r>
          </w:p>
        </w:tc>
        <w:tc>
          <w:tcPr>
            <w:tcW w:w="1075" w:type="pct"/>
            <w:tcMar>
              <w:top w:w="100" w:type="dxa"/>
              <w:left w:w="100" w:type="dxa"/>
              <w:bottom w:w="100" w:type="dxa"/>
              <w:right w:w="100" w:type="dxa"/>
            </w:tcMar>
            <w:hideMark/>
          </w:tcPr>
          <w:p w14:paraId="1C4DE08C" w14:textId="77777777" w:rsidR="00847F23" w:rsidRPr="00913E39" w:rsidRDefault="00847F23" w:rsidP="00773853">
            <w:pPr>
              <w:spacing w:after="0" w:line="240" w:lineRule="auto"/>
              <w:rPr>
                <w:rFonts w:ascii="Garamond" w:hAnsi="Garamond"/>
                <w:sz w:val="20"/>
              </w:rPr>
            </w:pPr>
            <w:r w:rsidRPr="00913E39">
              <w:rPr>
                <w:rFonts w:ascii="Garamond" w:hAnsi="Garamond"/>
                <w:sz w:val="20"/>
              </w:rPr>
              <w:t>400</w:t>
            </w:r>
          </w:p>
        </w:tc>
      </w:tr>
    </w:tbl>
    <w:p w14:paraId="5223F79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w:t>
      </w:r>
    </w:p>
    <w:p w14:paraId="48DD8311"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 xml:space="preserve">Lloji i aktiviteteve </w:t>
      </w:r>
    </w:p>
    <w:p w14:paraId="74F9F3A5" w14:textId="306E4C6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përgjithësi, aktivitetet e nënfushës së mbështetjes </w:t>
      </w:r>
      <w:r w:rsidR="0030426B" w:rsidRPr="00913E39">
        <w:rPr>
          <w:rFonts w:ascii="Garamond" w:hAnsi="Garamond"/>
          <w:sz w:val="24"/>
        </w:rPr>
        <w:t xml:space="preserve">siguria kibernetike </w:t>
      </w:r>
      <w:r w:rsidRPr="00913E39">
        <w:rPr>
          <w:rFonts w:ascii="Garamond" w:hAnsi="Garamond"/>
          <w:sz w:val="24"/>
        </w:rPr>
        <w:t xml:space="preserve">do të jenë si më poshtë: </w:t>
      </w:r>
    </w:p>
    <w:p w14:paraId="3405044B" w14:textId="77777777" w:rsidR="00847F23" w:rsidRPr="00913E39" w:rsidRDefault="00847F23" w:rsidP="00FC4C60">
      <w:pPr>
        <w:spacing w:after="0" w:line="240" w:lineRule="auto"/>
        <w:ind w:firstLine="284"/>
        <w:jc w:val="both"/>
        <w:rPr>
          <w:rFonts w:ascii="Garamond" w:hAnsi="Garamond"/>
          <w:sz w:val="24"/>
        </w:rPr>
      </w:pPr>
      <w:bookmarkStart w:id="44" w:name="_Hlk149911471"/>
      <w:r w:rsidRPr="00913E39">
        <w:rPr>
          <w:rFonts w:ascii="Garamond" w:hAnsi="Garamond"/>
          <w:sz w:val="24"/>
        </w:rPr>
        <w:lastRenderedPageBreak/>
        <w:t xml:space="preserve">FORCIMI I KAPACITETEVE: trajnim ndërgjegjësues mbi çështje kibernetike, modeli - trajnimi i trajnerëve. </w:t>
      </w:r>
    </w:p>
    <w:p w14:paraId="3F8274C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INVESTIMI: infrastruktura qendrore (serverat, ruajtja), rrjeti/siguria, platforma e inteligjencës kibernetike.</w:t>
      </w:r>
    </w:p>
    <w:bookmarkEnd w:id="44"/>
    <w:p w14:paraId="0AC60335" w14:textId="7E20EFA3"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 xml:space="preserve">Tabela 21. Siguria kibernetike, </w:t>
      </w:r>
      <w:r w:rsidR="0030426B" w:rsidRPr="00913E39">
        <w:rPr>
          <w:rFonts w:ascii="Garamond" w:hAnsi="Garamond"/>
          <w:i/>
          <w:sz w:val="24"/>
        </w:rPr>
        <w:t>t</w:t>
      </w:r>
      <w:r w:rsidRPr="00913E39">
        <w:rPr>
          <w:rFonts w:ascii="Garamond" w:hAnsi="Garamond"/>
          <w:i/>
          <w:sz w:val="24"/>
        </w:rPr>
        <w:t>regues i llojit kryesor të aktiviteteve sipas kësaj nënfushe të mbështetjes, i ndarë sipas viteve</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75"/>
        <w:gridCol w:w="1655"/>
        <w:gridCol w:w="3517"/>
        <w:gridCol w:w="3331"/>
      </w:tblGrid>
      <w:tr w:rsidR="00847F23" w:rsidRPr="00913E39" w14:paraId="74DACF5D" w14:textId="77777777" w:rsidTr="00773853">
        <w:trPr>
          <w:trHeight w:val="20"/>
        </w:trPr>
        <w:tc>
          <w:tcPr>
            <w:tcW w:w="0" w:type="auto"/>
            <w:tcMar>
              <w:top w:w="100" w:type="dxa"/>
              <w:left w:w="100" w:type="dxa"/>
              <w:bottom w:w="100" w:type="dxa"/>
              <w:right w:w="100" w:type="dxa"/>
            </w:tcMar>
            <w:hideMark/>
          </w:tcPr>
          <w:p w14:paraId="6975BBBA" w14:textId="77777777" w:rsidR="00847F23" w:rsidRPr="00913E39" w:rsidRDefault="00847F23" w:rsidP="00773853">
            <w:pPr>
              <w:spacing w:after="0" w:line="240" w:lineRule="auto"/>
              <w:jc w:val="both"/>
              <w:rPr>
                <w:rFonts w:ascii="Garamond" w:hAnsi="Garamond"/>
                <w:b/>
                <w:sz w:val="20"/>
              </w:rPr>
            </w:pPr>
            <w:r w:rsidRPr="00913E39">
              <w:rPr>
                <w:rFonts w:ascii="Garamond" w:hAnsi="Garamond"/>
                <w:b/>
                <w:sz w:val="20"/>
              </w:rPr>
              <w:t>2024</w:t>
            </w:r>
          </w:p>
        </w:tc>
        <w:tc>
          <w:tcPr>
            <w:tcW w:w="0" w:type="auto"/>
            <w:tcMar>
              <w:top w:w="100" w:type="dxa"/>
              <w:left w:w="100" w:type="dxa"/>
              <w:bottom w:w="100" w:type="dxa"/>
              <w:right w:w="100" w:type="dxa"/>
            </w:tcMar>
            <w:hideMark/>
          </w:tcPr>
          <w:p w14:paraId="64AFC69B" w14:textId="77777777" w:rsidR="00847F23" w:rsidRPr="00913E39" w:rsidRDefault="00847F23" w:rsidP="00773853">
            <w:pPr>
              <w:spacing w:after="0" w:line="240" w:lineRule="auto"/>
              <w:jc w:val="both"/>
              <w:rPr>
                <w:rFonts w:ascii="Garamond" w:hAnsi="Garamond"/>
                <w:b/>
                <w:sz w:val="20"/>
              </w:rPr>
            </w:pPr>
            <w:r w:rsidRPr="00913E39">
              <w:rPr>
                <w:rFonts w:ascii="Garamond" w:hAnsi="Garamond"/>
                <w:b/>
                <w:sz w:val="20"/>
              </w:rPr>
              <w:t>2025</w:t>
            </w:r>
          </w:p>
        </w:tc>
        <w:tc>
          <w:tcPr>
            <w:tcW w:w="0" w:type="auto"/>
            <w:tcMar>
              <w:top w:w="100" w:type="dxa"/>
              <w:left w:w="100" w:type="dxa"/>
              <w:bottom w:w="100" w:type="dxa"/>
              <w:right w:w="100" w:type="dxa"/>
            </w:tcMar>
            <w:hideMark/>
          </w:tcPr>
          <w:p w14:paraId="466301B3" w14:textId="77777777" w:rsidR="00847F23" w:rsidRPr="00913E39" w:rsidRDefault="00847F23" w:rsidP="00773853">
            <w:pPr>
              <w:spacing w:after="0" w:line="240" w:lineRule="auto"/>
              <w:jc w:val="both"/>
              <w:rPr>
                <w:rFonts w:ascii="Garamond" w:hAnsi="Garamond"/>
                <w:b/>
                <w:sz w:val="20"/>
              </w:rPr>
            </w:pPr>
            <w:r w:rsidRPr="00913E39">
              <w:rPr>
                <w:rFonts w:ascii="Garamond" w:hAnsi="Garamond"/>
                <w:b/>
                <w:sz w:val="20"/>
              </w:rPr>
              <w:t>2026</w:t>
            </w:r>
          </w:p>
        </w:tc>
        <w:tc>
          <w:tcPr>
            <w:tcW w:w="0" w:type="auto"/>
            <w:tcMar>
              <w:top w:w="100" w:type="dxa"/>
              <w:left w:w="100" w:type="dxa"/>
              <w:bottom w:w="100" w:type="dxa"/>
              <w:right w:w="100" w:type="dxa"/>
            </w:tcMar>
            <w:hideMark/>
          </w:tcPr>
          <w:p w14:paraId="5F44FE40" w14:textId="77777777" w:rsidR="00847F23" w:rsidRPr="00913E39" w:rsidRDefault="00847F23" w:rsidP="00773853">
            <w:pPr>
              <w:spacing w:after="0" w:line="240" w:lineRule="auto"/>
              <w:jc w:val="both"/>
              <w:rPr>
                <w:rFonts w:ascii="Garamond" w:hAnsi="Garamond"/>
                <w:b/>
                <w:sz w:val="20"/>
              </w:rPr>
            </w:pPr>
            <w:r w:rsidRPr="00913E39">
              <w:rPr>
                <w:rFonts w:ascii="Garamond" w:hAnsi="Garamond"/>
                <w:b/>
                <w:sz w:val="20"/>
              </w:rPr>
              <w:t>2027</w:t>
            </w:r>
          </w:p>
        </w:tc>
      </w:tr>
      <w:tr w:rsidR="00847F23" w:rsidRPr="00913E39" w14:paraId="10697A47" w14:textId="77777777" w:rsidTr="0030426B">
        <w:trPr>
          <w:trHeight w:val="18"/>
        </w:trPr>
        <w:tc>
          <w:tcPr>
            <w:tcW w:w="0" w:type="auto"/>
            <w:tcMar>
              <w:top w:w="100" w:type="dxa"/>
              <w:left w:w="100" w:type="dxa"/>
              <w:bottom w:w="100" w:type="dxa"/>
              <w:right w:w="100" w:type="dxa"/>
            </w:tcMar>
          </w:tcPr>
          <w:p w14:paraId="09521521" w14:textId="77777777" w:rsidR="00847F23" w:rsidRPr="00913E39" w:rsidRDefault="00847F23" w:rsidP="00773853">
            <w:pPr>
              <w:spacing w:after="0" w:line="240" w:lineRule="auto"/>
              <w:jc w:val="both"/>
              <w:rPr>
                <w:rFonts w:ascii="Garamond" w:hAnsi="Garamond"/>
                <w:sz w:val="20"/>
              </w:rPr>
            </w:pPr>
            <w:bookmarkStart w:id="45" w:name="_Hlk137562129"/>
            <w:bookmarkEnd w:id="45"/>
            <w:r w:rsidRPr="00913E39">
              <w:rPr>
                <w:rFonts w:ascii="Garamond" w:hAnsi="Garamond"/>
                <w:sz w:val="20"/>
              </w:rPr>
              <w:t>-</w:t>
            </w:r>
          </w:p>
        </w:tc>
        <w:tc>
          <w:tcPr>
            <w:tcW w:w="0" w:type="auto"/>
            <w:tcMar>
              <w:top w:w="100" w:type="dxa"/>
              <w:left w:w="100" w:type="dxa"/>
              <w:bottom w:w="100" w:type="dxa"/>
              <w:right w:w="100" w:type="dxa"/>
            </w:tcMar>
            <w:hideMark/>
          </w:tcPr>
          <w:p w14:paraId="2D014DA9" w14:textId="77777777" w:rsidR="00847F23" w:rsidRPr="00913E39" w:rsidRDefault="00847F23" w:rsidP="00773853">
            <w:pPr>
              <w:spacing w:after="0" w:line="240" w:lineRule="auto"/>
              <w:jc w:val="both"/>
              <w:rPr>
                <w:rFonts w:ascii="Garamond" w:hAnsi="Garamond"/>
                <w:sz w:val="20"/>
              </w:rPr>
            </w:pPr>
            <w:bookmarkStart w:id="46" w:name="_Hlk137562446"/>
            <w:r w:rsidRPr="00913E39">
              <w:rPr>
                <w:rFonts w:ascii="Garamond" w:hAnsi="Garamond"/>
                <w:sz w:val="20"/>
              </w:rPr>
              <w:t>Investime në IT</w:t>
            </w:r>
          </w:p>
          <w:p w14:paraId="260D087D" w14:textId="77777777" w:rsidR="00847F23" w:rsidRPr="00913E39" w:rsidRDefault="00847F23" w:rsidP="00773853">
            <w:pPr>
              <w:spacing w:after="0" w:line="240" w:lineRule="auto"/>
              <w:jc w:val="both"/>
              <w:rPr>
                <w:rFonts w:ascii="Garamond" w:hAnsi="Garamond"/>
                <w:sz w:val="20"/>
              </w:rPr>
            </w:pPr>
            <w:r w:rsidRPr="00913E39">
              <w:rPr>
                <w:rFonts w:ascii="Garamond" w:hAnsi="Garamond"/>
                <w:sz w:val="20"/>
              </w:rPr>
              <w:t xml:space="preserve">Forcimi i kapaciteteve </w:t>
            </w:r>
            <w:bookmarkEnd w:id="46"/>
          </w:p>
        </w:tc>
        <w:tc>
          <w:tcPr>
            <w:tcW w:w="0" w:type="auto"/>
            <w:tcMar>
              <w:top w:w="100" w:type="dxa"/>
              <w:left w:w="100" w:type="dxa"/>
              <w:bottom w:w="100" w:type="dxa"/>
              <w:right w:w="100" w:type="dxa"/>
            </w:tcMar>
            <w:hideMark/>
          </w:tcPr>
          <w:p w14:paraId="5D0B70CF" w14:textId="26631304" w:rsidR="00847F23" w:rsidRPr="00913E39" w:rsidRDefault="00847F23" w:rsidP="00773853">
            <w:pPr>
              <w:spacing w:after="0" w:line="240" w:lineRule="auto"/>
              <w:jc w:val="both"/>
              <w:rPr>
                <w:rFonts w:ascii="Garamond" w:hAnsi="Garamond"/>
                <w:sz w:val="20"/>
              </w:rPr>
            </w:pPr>
            <w:r w:rsidRPr="00913E39">
              <w:rPr>
                <w:rFonts w:ascii="Garamond" w:hAnsi="Garamond"/>
                <w:sz w:val="20"/>
              </w:rPr>
              <w:t xml:space="preserve">Forcimi i kapaciteteve, përfshirë </w:t>
            </w:r>
            <w:r w:rsidR="0030426B" w:rsidRPr="00913E39">
              <w:rPr>
                <w:rFonts w:ascii="Garamond" w:hAnsi="Garamond"/>
                <w:sz w:val="20"/>
              </w:rPr>
              <w:t xml:space="preserve">trajnimin </w:t>
            </w:r>
            <w:r w:rsidRPr="00913E39">
              <w:rPr>
                <w:rFonts w:ascii="Garamond" w:hAnsi="Garamond"/>
                <w:sz w:val="20"/>
              </w:rPr>
              <w:t xml:space="preserve">e </w:t>
            </w:r>
            <w:r w:rsidR="0030426B" w:rsidRPr="00913E39">
              <w:rPr>
                <w:rFonts w:ascii="Garamond" w:hAnsi="Garamond"/>
                <w:sz w:val="20"/>
              </w:rPr>
              <w:t>instruktorëve</w:t>
            </w:r>
          </w:p>
        </w:tc>
        <w:tc>
          <w:tcPr>
            <w:tcW w:w="0" w:type="auto"/>
            <w:tcMar>
              <w:top w:w="100" w:type="dxa"/>
              <w:left w:w="100" w:type="dxa"/>
              <w:bottom w:w="100" w:type="dxa"/>
              <w:right w:w="100" w:type="dxa"/>
            </w:tcMar>
            <w:hideMark/>
          </w:tcPr>
          <w:p w14:paraId="1AF3A764" w14:textId="1D67DB18" w:rsidR="00847F23" w:rsidRPr="00913E39" w:rsidRDefault="00847F23" w:rsidP="00773853">
            <w:pPr>
              <w:spacing w:after="0" w:line="240" w:lineRule="auto"/>
              <w:jc w:val="both"/>
              <w:rPr>
                <w:rFonts w:ascii="Garamond" w:hAnsi="Garamond"/>
                <w:sz w:val="20"/>
              </w:rPr>
            </w:pPr>
            <w:r w:rsidRPr="00913E39">
              <w:rPr>
                <w:rFonts w:ascii="Garamond" w:hAnsi="Garamond"/>
                <w:sz w:val="20"/>
              </w:rPr>
              <w:t xml:space="preserve">Forcimi i kapaciteteve, përfshirë </w:t>
            </w:r>
            <w:r w:rsidR="0030426B" w:rsidRPr="00913E39">
              <w:rPr>
                <w:rFonts w:ascii="Garamond" w:hAnsi="Garamond"/>
                <w:sz w:val="20"/>
              </w:rPr>
              <w:t>trajnimin e trajnerëve</w:t>
            </w:r>
          </w:p>
        </w:tc>
      </w:tr>
    </w:tbl>
    <w:p w14:paraId="3984AC31" w14:textId="77777777" w:rsidR="00847F23" w:rsidRPr="00913E39" w:rsidRDefault="00847F23" w:rsidP="00FC4C60">
      <w:pPr>
        <w:spacing w:after="0" w:line="240" w:lineRule="auto"/>
        <w:ind w:firstLine="284"/>
        <w:jc w:val="both"/>
        <w:rPr>
          <w:rFonts w:ascii="Garamond" w:hAnsi="Garamond"/>
          <w:sz w:val="24"/>
        </w:rPr>
      </w:pPr>
    </w:p>
    <w:p w14:paraId="31CEA8B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Metodat e ofrimit</w:t>
      </w:r>
    </w:p>
    <w:p w14:paraId="602A86C9" w14:textId="1422EF2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Metodat e ofrimit që do të merren parasysh për këtë fushë të mbështetjes mund të përfshijnë shërbimet dhe prokurimin e pajisjeve</w:t>
      </w:r>
      <w:r w:rsidR="00606E39" w:rsidRPr="00913E39">
        <w:rPr>
          <w:rFonts w:ascii="Garamond" w:hAnsi="Garamond"/>
          <w:sz w:val="24"/>
        </w:rPr>
        <w:t>,</w:t>
      </w:r>
      <w:r w:rsidRPr="00913E39">
        <w:rPr>
          <w:rFonts w:ascii="Garamond" w:hAnsi="Garamond"/>
          <w:sz w:val="24"/>
        </w:rPr>
        <w:t xml:space="preserve"> si edhe kontratat e binjakëzimit.</w:t>
      </w:r>
    </w:p>
    <w:p w14:paraId="5A81A9DB" w14:textId="29FE4FD1"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Përfituesit fundorë dhe grupet e synuara:</w:t>
      </w:r>
      <w:r w:rsidRPr="00913E39">
        <w:rPr>
          <w:rFonts w:ascii="Garamond" w:hAnsi="Garamond"/>
          <w:b/>
          <w:sz w:val="24"/>
        </w:rPr>
        <w:t xml:space="preserve"> </w:t>
      </w:r>
      <w:bookmarkStart w:id="47" w:name="_Hlk149911296"/>
      <w:r w:rsidRPr="00913E39">
        <w:rPr>
          <w:rFonts w:ascii="Garamond" w:hAnsi="Garamond"/>
          <w:sz w:val="24"/>
        </w:rPr>
        <w:t xml:space="preserve">përfituesit fundorë përfshijnë AKCESK, dhe AKSHI, grupet e synuara përfshijnë të gjitha organizatat e sektorit publik (p.sh. </w:t>
      </w:r>
      <w:r w:rsidR="0030426B" w:rsidRPr="00913E39">
        <w:rPr>
          <w:rFonts w:ascii="Garamond" w:hAnsi="Garamond"/>
          <w:sz w:val="24"/>
        </w:rPr>
        <w:t xml:space="preserve">ministritë, agjencitë publike, policinë e shtetit, gjykatat civile, ushtrinë </w:t>
      </w:r>
      <w:r w:rsidRPr="00913E39">
        <w:rPr>
          <w:rFonts w:ascii="Garamond" w:hAnsi="Garamond"/>
          <w:sz w:val="24"/>
        </w:rPr>
        <w:t>etj.)</w:t>
      </w:r>
      <w:r w:rsidR="00E06606" w:rsidRPr="00913E39">
        <w:rPr>
          <w:rFonts w:ascii="Garamond" w:hAnsi="Garamond"/>
          <w:sz w:val="24"/>
        </w:rPr>
        <w:t>,</w:t>
      </w:r>
      <w:r w:rsidRPr="00913E39">
        <w:rPr>
          <w:rFonts w:ascii="Garamond" w:hAnsi="Garamond"/>
          <w:sz w:val="24"/>
        </w:rPr>
        <w:t xml:space="preserve"> që marrin pjesë në rrjetin e qeverisjes së sigurisë kibernetike.</w:t>
      </w:r>
    </w:p>
    <w:bookmarkEnd w:id="47"/>
    <w:p w14:paraId="3B5E126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Kushtet:</w:t>
      </w:r>
      <w:r w:rsidRPr="00913E39">
        <w:rPr>
          <w:rFonts w:ascii="Garamond" w:hAnsi="Garamond"/>
          <w:b/>
          <w:sz w:val="24"/>
        </w:rPr>
        <w:t xml:space="preserve"> </w:t>
      </w:r>
      <w:r w:rsidRPr="00913E39">
        <w:rPr>
          <w:rFonts w:ascii="Garamond" w:hAnsi="Garamond"/>
          <w:sz w:val="24"/>
        </w:rPr>
        <w:t xml:space="preserve">Bashkëfinancim i fushës së mbështetjes; memorandumi i mirëkuptimit i hartuar dhe ndarë nga AKCESK për krijimin e rrjetit të qeverisjes së sigurisë kibernetike; prokurimi publik i zgjidhjeve së pajisjeve dhe programeve. </w:t>
      </w:r>
    </w:p>
    <w:p w14:paraId="22F5873D" w14:textId="5383BF03"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Nën</w:t>
      </w:r>
      <w:r w:rsidR="0030426B" w:rsidRPr="00913E39">
        <w:rPr>
          <w:rFonts w:ascii="Garamond" w:hAnsi="Garamond"/>
          <w:i/>
          <w:sz w:val="24"/>
        </w:rPr>
        <w:t>f</w:t>
      </w:r>
      <w:r w:rsidRPr="00913E39">
        <w:rPr>
          <w:rFonts w:ascii="Garamond" w:hAnsi="Garamond"/>
          <w:i/>
          <w:sz w:val="24"/>
        </w:rPr>
        <w:t>usha e mbështetjes 2.3: Ndërlidhja digjitale</w:t>
      </w:r>
    </w:p>
    <w:p w14:paraId="4051E60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Arsyetimi</w:t>
      </w:r>
    </w:p>
    <w:p w14:paraId="20F1B312" w14:textId="1D31CD6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Infrastruktura digjitale dhe ndërlidhja digjitale konsiderohen si parakusht për zhvillimin e mëtejshëm të ekonomisë digjitale. Është thelbësore të sigurohet akses në </w:t>
      </w:r>
      <w:r w:rsidRPr="00913E39">
        <w:rPr>
          <w:rFonts w:ascii="Garamond" w:hAnsi="Garamond"/>
          <w:i/>
          <w:sz w:val="24"/>
        </w:rPr>
        <w:t>e-shërbime, e-qeverisje, e-shëndet,</w:t>
      </w:r>
      <w:r w:rsidRPr="00913E39">
        <w:rPr>
          <w:rFonts w:ascii="Garamond" w:hAnsi="Garamond"/>
          <w:sz w:val="24"/>
        </w:rPr>
        <w:t xml:space="preserve"> për ofrimin e shërbimeve ndërvepruese, ofrimin e shërbimeve ndërkufitare etj. Siç u tregua gjatë krizës së pandemisë COVID-19, ndërlidhja digjitale është një domosdoshmëri jetike për qytetarët dhe bizneset. </w:t>
      </w:r>
    </w:p>
    <w:p w14:paraId="736F72EE" w14:textId="34F5F9F4"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Zhvillimi në rrjetet e telekomunikacionit si pjesë e ekosistemit TIK ka ndikim në industri dhe fusha të ndryshme të ekonomisë. Ai lidhet me transformimin digjital dhe përfshin ndër të tjera </w:t>
      </w:r>
      <w:bookmarkStart w:id="48" w:name="_Hlk188907162"/>
      <w:r w:rsidR="0030426B" w:rsidRPr="00913E39">
        <w:rPr>
          <w:rFonts w:ascii="Garamond" w:hAnsi="Garamond"/>
          <w:sz w:val="24"/>
        </w:rPr>
        <w:t>internetin e gjërave</w:t>
      </w:r>
      <w:bookmarkEnd w:id="48"/>
      <w:r w:rsidR="0030426B" w:rsidRPr="00913E39">
        <w:rPr>
          <w:rFonts w:ascii="Garamond" w:hAnsi="Garamond"/>
          <w:sz w:val="24"/>
        </w:rPr>
        <w:t xml:space="preserve"> </w:t>
      </w:r>
      <w:r w:rsidRPr="00913E39">
        <w:rPr>
          <w:rFonts w:ascii="Garamond" w:hAnsi="Garamond"/>
          <w:sz w:val="24"/>
        </w:rPr>
        <w:t xml:space="preserve">(IoT), 5G, </w:t>
      </w:r>
      <w:r w:rsidR="0030426B" w:rsidRPr="00913E39">
        <w:rPr>
          <w:rFonts w:ascii="Garamond" w:hAnsi="Garamond"/>
          <w:sz w:val="24"/>
        </w:rPr>
        <w:t>inteligjencën artificiale</w:t>
      </w:r>
      <w:r w:rsidRPr="00913E39">
        <w:rPr>
          <w:rFonts w:ascii="Garamond" w:hAnsi="Garamond"/>
          <w:sz w:val="24"/>
        </w:rPr>
        <w:t xml:space="preserve">, </w:t>
      </w:r>
      <w:r w:rsidRPr="00913E39">
        <w:rPr>
          <w:rFonts w:ascii="Garamond" w:hAnsi="Garamond"/>
          <w:i/>
          <w:sz w:val="24"/>
        </w:rPr>
        <w:t>Big Data, Cloud Computing</w:t>
      </w:r>
      <w:r w:rsidRPr="00913E39">
        <w:rPr>
          <w:rFonts w:ascii="Garamond" w:hAnsi="Garamond"/>
          <w:sz w:val="24"/>
        </w:rPr>
        <w:t xml:space="preserve"> të ashtuquajturin Revolucioni i 4-të Industrial, qytetet me përdorues</w:t>
      </w:r>
      <w:r w:rsidR="0030426B" w:rsidRPr="00913E39">
        <w:rPr>
          <w:rFonts w:ascii="Garamond" w:hAnsi="Garamond"/>
          <w:sz w:val="24"/>
        </w:rPr>
        <w:t xml:space="preserve"> </w:t>
      </w:r>
      <w:r w:rsidRPr="00913E39">
        <w:rPr>
          <w:rFonts w:ascii="Garamond" w:hAnsi="Garamond"/>
          <w:sz w:val="24"/>
        </w:rPr>
        <w:t xml:space="preserve">digjital, </w:t>
      </w:r>
      <w:r w:rsidR="0030426B" w:rsidRPr="00913E39">
        <w:rPr>
          <w:rFonts w:ascii="Garamond" w:hAnsi="Garamond"/>
          <w:sz w:val="24"/>
        </w:rPr>
        <w:t xml:space="preserve">sistemet digjitale të transportit, </w:t>
      </w:r>
      <w:r w:rsidRPr="00913E39">
        <w:rPr>
          <w:rFonts w:ascii="Garamond" w:hAnsi="Garamond"/>
          <w:sz w:val="24"/>
        </w:rPr>
        <w:t xml:space="preserve">aplikacionet digjitale për industrinë vertikale etj. TIK ka një potencial të madh për të përshpejtuar përparimin njerëzor, për të adresuar ndarjen digjitale dhe për të zhvilluar ekonominë digjitale/ekonominë e bazuar në njohuri. </w:t>
      </w:r>
    </w:p>
    <w:p w14:paraId="159919E9" w14:textId="5B82D78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Vëllimi i komunikimit të të dhënave nëpërmjet rrjeteve të telekomunikacionit fiks dhe celular është rritur me shpejtësi për shkak të përdorimit masiv të teknologjive TIK, aplikacioneve të reja, shërbimeve të ofruara nëpërmjet teknologjive digjitale</w:t>
      </w:r>
      <w:r w:rsidRPr="00913E39">
        <w:rPr>
          <w:rFonts w:ascii="Garamond" w:hAnsi="Garamond"/>
          <w:sz w:val="24"/>
          <w:vertAlign w:val="superscript"/>
        </w:rPr>
        <w:footnoteReference w:id="82"/>
      </w:r>
      <w:r w:rsidRPr="00913E39">
        <w:rPr>
          <w:rFonts w:ascii="Garamond" w:hAnsi="Garamond"/>
          <w:sz w:val="24"/>
        </w:rPr>
        <w:t xml:space="preserve">. Domosdoshmëria për më shumë rrjete me gjerësi brezi dhe me kapacitet shumë të lartë bazuar në 5G fikse dhe pa kabull është evidente për të mbështetur transformimin digjital dhe agjendën e gjelbër. </w:t>
      </w:r>
    </w:p>
    <w:p w14:paraId="2D83C674" w14:textId="19811AD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Duke marrë parasysh se në komponentin e lidhjes digjitale, programi përfshin asistencë teknike për harmonizimin me </w:t>
      </w:r>
      <w:r w:rsidRPr="00913E39">
        <w:rPr>
          <w:rFonts w:ascii="Garamond" w:hAnsi="Garamond"/>
          <w:i/>
          <w:sz w:val="24"/>
        </w:rPr>
        <w:t>acquis</w:t>
      </w:r>
      <w:r w:rsidRPr="00913E39">
        <w:rPr>
          <w:rFonts w:ascii="Garamond" w:hAnsi="Garamond"/>
          <w:sz w:val="24"/>
        </w:rPr>
        <w:t xml:space="preserve"> të fundit të BE-së dhe studim për rastet e përdorimit të 5G, këto aktivitete nuk duket se janë problematike nga pikëpamja mjedisore. Megjithatë, duke pasur parasysh risqet e mundshme mjedisore dhe mundësinë për të integruar shqetësimet mjedisore dhe klimatike në lidhje me menaxhimin e mbetjeve elektronike dhe efic</w:t>
      </w:r>
      <w:r w:rsidR="0030426B" w:rsidRPr="00913E39">
        <w:rPr>
          <w:rFonts w:ascii="Garamond" w:hAnsi="Garamond"/>
          <w:sz w:val="24"/>
        </w:rPr>
        <w:t>i</w:t>
      </w:r>
      <w:r w:rsidRPr="00913E39">
        <w:rPr>
          <w:rFonts w:ascii="Garamond" w:hAnsi="Garamond"/>
          <w:sz w:val="24"/>
        </w:rPr>
        <w:t>encën e energjisë, zhvillimi i lidhj</w:t>
      </w:r>
      <w:r w:rsidR="0030426B" w:rsidRPr="00913E39">
        <w:rPr>
          <w:rFonts w:ascii="Garamond" w:hAnsi="Garamond"/>
          <w:sz w:val="24"/>
        </w:rPr>
        <w:t>e</w:t>
      </w:r>
      <w:r w:rsidRPr="00913E39">
        <w:rPr>
          <w:rFonts w:ascii="Garamond" w:hAnsi="Garamond"/>
          <w:sz w:val="24"/>
        </w:rPr>
        <w:t>t digjitale do të bazohet në politikat përkatëse, legjislacionin për mbetje elektronike dhe efi</w:t>
      </w:r>
      <w:r w:rsidR="0030426B" w:rsidRPr="00913E39">
        <w:rPr>
          <w:rFonts w:ascii="Garamond" w:hAnsi="Garamond"/>
          <w:sz w:val="24"/>
        </w:rPr>
        <w:t>ci</w:t>
      </w:r>
      <w:r w:rsidRPr="00913E39">
        <w:rPr>
          <w:rFonts w:ascii="Garamond" w:hAnsi="Garamond"/>
          <w:sz w:val="24"/>
        </w:rPr>
        <w:t>encën e energjisë.</w:t>
      </w:r>
    </w:p>
    <w:p w14:paraId="33611C92" w14:textId="694215A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Në Shqipëri, numri total i abonentëve </w:t>
      </w:r>
      <w:r w:rsidRPr="00913E39">
        <w:rPr>
          <w:rFonts w:ascii="Garamond" w:hAnsi="Garamond"/>
          <w:i/>
          <w:sz w:val="24"/>
        </w:rPr>
        <w:t>broadband</w:t>
      </w:r>
      <w:r w:rsidRPr="00913E39">
        <w:rPr>
          <w:rFonts w:ascii="Garamond" w:hAnsi="Garamond"/>
          <w:sz w:val="24"/>
        </w:rPr>
        <w:t xml:space="preserve"> fiks në vitin 2022 ishte 582,110 me një rritje prej 4% krahasuar me një vit më parë dhe rreth 14% krahasuar me vitin 2020. Rreth 49% e totalit </w:t>
      </w:r>
      <w:r w:rsidRPr="00913E39">
        <w:rPr>
          <w:rFonts w:ascii="Garamond" w:hAnsi="Garamond"/>
          <w:sz w:val="24"/>
        </w:rPr>
        <w:lastRenderedPageBreak/>
        <w:t xml:space="preserve">të abonentëve </w:t>
      </w:r>
      <w:r w:rsidRPr="00913E39">
        <w:rPr>
          <w:rFonts w:ascii="Garamond" w:hAnsi="Garamond"/>
          <w:i/>
          <w:sz w:val="24"/>
        </w:rPr>
        <w:t>broadband</w:t>
      </w:r>
      <w:r w:rsidRPr="00913E39">
        <w:rPr>
          <w:rFonts w:ascii="Garamond" w:hAnsi="Garamond"/>
          <w:sz w:val="24"/>
        </w:rPr>
        <w:t xml:space="preserve"> fiks kanë akses në internet deri në 30 Mbps, 39% e tyre kanë akses në internet nga 30 deri në 100 Mbps, ndërsa 12% e tyre kanë akses në internet nga 100 Mbps në 1 Gbps. Sipas raporteve vjetore të AKEP</w:t>
      </w:r>
      <w:r w:rsidR="0030426B" w:rsidRPr="00913E39">
        <w:rPr>
          <w:rFonts w:ascii="Garamond" w:hAnsi="Garamond"/>
          <w:sz w:val="24"/>
        </w:rPr>
        <w:t>-it</w:t>
      </w:r>
      <w:r w:rsidRPr="00913E39">
        <w:rPr>
          <w:rFonts w:ascii="Garamond" w:hAnsi="Garamond"/>
          <w:sz w:val="24"/>
        </w:rPr>
        <w:t xml:space="preserve"> në Shqipëri, vëllimi i komunikimit të të dhënave në rrjetet celulare dhe fikse të internetit është rritur 10-15 herë gjatë dhjetë viteve të fundit dhe tr</w:t>
      </w:r>
      <w:r w:rsidR="001B7903" w:rsidRPr="00913E39">
        <w:rPr>
          <w:rFonts w:ascii="Garamond" w:hAnsi="Garamond"/>
          <w:sz w:val="24"/>
        </w:rPr>
        <w:t>i</w:t>
      </w:r>
      <w:r w:rsidRPr="00913E39">
        <w:rPr>
          <w:rFonts w:ascii="Garamond" w:hAnsi="Garamond"/>
          <w:sz w:val="24"/>
        </w:rPr>
        <w:t xml:space="preserve"> herë gjatë </w:t>
      </w:r>
      <w:r w:rsidR="001B7903" w:rsidRPr="00913E39">
        <w:rPr>
          <w:rFonts w:ascii="Garamond" w:hAnsi="Garamond"/>
          <w:sz w:val="24"/>
        </w:rPr>
        <w:t>tre</w:t>
      </w:r>
      <w:r w:rsidRPr="00913E39">
        <w:rPr>
          <w:rFonts w:ascii="Garamond" w:hAnsi="Garamond"/>
          <w:sz w:val="24"/>
        </w:rPr>
        <w:t xml:space="preserve"> viteve të fundit. </w:t>
      </w:r>
    </w:p>
    <w:p w14:paraId="2F91CB0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Megjithatë, lidhur me zhvillimin e </w:t>
      </w:r>
      <w:r w:rsidRPr="00913E39">
        <w:rPr>
          <w:rFonts w:ascii="Garamond" w:hAnsi="Garamond"/>
          <w:i/>
          <w:sz w:val="24"/>
        </w:rPr>
        <w:t>broadband</w:t>
      </w:r>
      <w:r w:rsidRPr="00913E39">
        <w:rPr>
          <w:rFonts w:ascii="Garamond" w:hAnsi="Garamond"/>
          <w:sz w:val="24"/>
        </w:rPr>
        <w:t xml:space="preserve">, në veçanti rrjete fikse, mbetet një ndarje digjitale ndërmjet zonave urbane dhe rurale. Sipas Raportit të KE-së 2022 dhe të dhënave të fundit të AKEP-it vetëm 20% e numrit të përgjithshëm të lidhjeve </w:t>
      </w:r>
      <w:r w:rsidRPr="00913E39">
        <w:rPr>
          <w:rFonts w:ascii="Garamond" w:hAnsi="Garamond"/>
          <w:i/>
          <w:sz w:val="24"/>
        </w:rPr>
        <w:t>broadband</w:t>
      </w:r>
      <w:r w:rsidRPr="00913E39">
        <w:rPr>
          <w:rFonts w:ascii="Garamond" w:hAnsi="Garamond"/>
          <w:sz w:val="24"/>
        </w:rPr>
        <w:t xml:space="preserve"> fikse janë në zonat rurale ndërsa popullsia rurale është rreth 40%. </w:t>
      </w:r>
    </w:p>
    <w:p w14:paraId="0725C786" w14:textId="0289C40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dhjetor 2018</w:t>
      </w:r>
      <w:r w:rsidR="00A846B0" w:rsidRPr="00913E39">
        <w:rPr>
          <w:rFonts w:ascii="Garamond" w:hAnsi="Garamond"/>
          <w:sz w:val="24"/>
        </w:rPr>
        <w:t>,</w:t>
      </w:r>
      <w:r w:rsidRPr="00913E39">
        <w:rPr>
          <w:rFonts w:ascii="Garamond" w:hAnsi="Garamond"/>
          <w:sz w:val="24"/>
        </w:rPr>
        <w:t xml:space="preserve"> Komisioni Evropian miratoi </w:t>
      </w:r>
      <w:r w:rsidR="0030426B" w:rsidRPr="00913E39">
        <w:rPr>
          <w:rFonts w:ascii="Garamond" w:hAnsi="Garamond"/>
          <w:sz w:val="24"/>
        </w:rPr>
        <w:t xml:space="preserve">direktivën </w:t>
      </w:r>
      <w:r w:rsidRPr="00913E39">
        <w:rPr>
          <w:rFonts w:ascii="Garamond" w:hAnsi="Garamond"/>
          <w:sz w:val="24"/>
        </w:rPr>
        <w:t>2018/1972/BE (Kodi Evropian i Komunikimeve Elektronike – KEKE). Kodi përcaktoi rrjetet me kapacitet shumë të lartë si një objektiv strategjik. Ai përfshin masa për të inkurajuar investimet në rrjete me kapacitet shumë të lartë, rregulla të reja për spektrin e frekuencave dhe rrjetet celulare 5G, ndryshime në regjimin e shërbimit universal, rregulla për mbrojtjen e konsumatorëve, numërimin dhe komunikimet emergjente. Bazuar në Planin Kombëtar të Integrimit Evropian 2023</w:t>
      </w:r>
      <w:r w:rsidR="0030426B" w:rsidRPr="00913E39">
        <w:rPr>
          <w:rFonts w:ascii="Garamond" w:hAnsi="Garamond"/>
          <w:sz w:val="24"/>
        </w:rPr>
        <w:t>–</w:t>
      </w:r>
      <w:r w:rsidRPr="00913E39">
        <w:rPr>
          <w:rFonts w:ascii="Garamond" w:hAnsi="Garamond"/>
          <w:sz w:val="24"/>
        </w:rPr>
        <w:t xml:space="preserve">2025, ligji i ri për komunikimet elektronike i hartuar sipas KEKE pritet të miratohet brenda vitit 2023. Kodi përfshin masa për të inkurajuar investimet në rrjete me kapacitet shumë të lartë, rregulla të reja për spektrin e frekuencave dhe rrjetet celulare 5G, ndryshime në regjimin e shërbimit universal, rregulla për mbrojtjen e konsumatorëve, numërimin dhe komunikimet emergjente. Studimi gjeografik për rrjetet </w:t>
      </w:r>
      <w:r w:rsidRPr="00913E39">
        <w:rPr>
          <w:rFonts w:ascii="Garamond" w:hAnsi="Garamond"/>
          <w:i/>
          <w:sz w:val="24"/>
        </w:rPr>
        <w:t>broadband</w:t>
      </w:r>
      <w:r w:rsidRPr="00913E39">
        <w:rPr>
          <w:rFonts w:ascii="Garamond" w:hAnsi="Garamond"/>
          <w:sz w:val="24"/>
        </w:rPr>
        <w:t xml:space="preserve"> përfshirë </w:t>
      </w:r>
      <w:r w:rsidR="006A4408" w:rsidRPr="00913E39">
        <w:rPr>
          <w:rFonts w:ascii="Garamond" w:hAnsi="Garamond"/>
          <w:sz w:val="24"/>
        </w:rPr>
        <w:t xml:space="preserve">rrjetet me kapacitet shumë të lartë është </w:t>
      </w:r>
      <w:r w:rsidRPr="00913E39">
        <w:rPr>
          <w:rFonts w:ascii="Garamond" w:hAnsi="Garamond"/>
          <w:sz w:val="24"/>
        </w:rPr>
        <w:t>parashikuar si një dispozitë specifike e KEKE</w:t>
      </w:r>
      <w:r w:rsidR="006A4408" w:rsidRPr="00913E39">
        <w:rPr>
          <w:rFonts w:ascii="Garamond" w:hAnsi="Garamond"/>
          <w:sz w:val="24"/>
        </w:rPr>
        <w:t>-së</w:t>
      </w:r>
      <w:r w:rsidRPr="00913E39">
        <w:rPr>
          <w:rFonts w:ascii="Garamond" w:hAnsi="Garamond"/>
          <w:sz w:val="24"/>
        </w:rPr>
        <w:t xml:space="preserve">. </w:t>
      </w:r>
    </w:p>
    <w:p w14:paraId="4F641135" w14:textId="482A7C4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Direktiva për uljen e kostos me </w:t>
      </w:r>
      <w:r w:rsidRPr="00913E39">
        <w:rPr>
          <w:rFonts w:ascii="Garamond" w:hAnsi="Garamond"/>
          <w:i/>
          <w:sz w:val="24"/>
        </w:rPr>
        <w:t>Broadband</w:t>
      </w:r>
      <w:r w:rsidRPr="00913E39">
        <w:rPr>
          <w:rFonts w:ascii="Garamond" w:hAnsi="Garamond"/>
          <w:sz w:val="24"/>
        </w:rPr>
        <w:t xml:space="preserve"> (BCRD) është një pjesë tjetër e rëndësishme e legjislacionit të BE-së që lidhet me zhvillimin e infrastrukturës digjitale. Ligji </w:t>
      </w:r>
      <w:r w:rsidR="00E82EF2" w:rsidRPr="00913E39">
        <w:rPr>
          <w:rFonts w:ascii="Garamond" w:hAnsi="Garamond"/>
          <w:sz w:val="24"/>
        </w:rPr>
        <w:t>s</w:t>
      </w:r>
      <w:r w:rsidRPr="00913E39">
        <w:rPr>
          <w:rFonts w:ascii="Garamond" w:hAnsi="Garamond"/>
          <w:sz w:val="24"/>
        </w:rPr>
        <w:t xml:space="preserve">hqiptar nr. 120/2016 </w:t>
      </w:r>
      <w:r w:rsidR="00850FC7" w:rsidRPr="00913E39">
        <w:rPr>
          <w:rFonts w:ascii="Garamond" w:hAnsi="Garamond"/>
          <w:sz w:val="24"/>
        </w:rPr>
        <w:t>“</w:t>
      </w:r>
      <w:r w:rsidRPr="00913E39">
        <w:rPr>
          <w:rFonts w:ascii="Garamond" w:hAnsi="Garamond"/>
          <w:sz w:val="24"/>
        </w:rPr>
        <w:t xml:space="preserve">Për rrjetet e komunikimit elektronik me shpejtësi të lartë dhe sigurimin e </w:t>
      </w:r>
      <w:r w:rsidR="00B800EC" w:rsidRPr="00913E39">
        <w:rPr>
          <w:rFonts w:ascii="Garamond" w:hAnsi="Garamond"/>
          <w:sz w:val="24"/>
        </w:rPr>
        <w:t>s</w:t>
      </w:r>
      <w:r w:rsidRPr="00913E39">
        <w:rPr>
          <w:rFonts w:ascii="Garamond" w:hAnsi="Garamond"/>
          <w:sz w:val="24"/>
        </w:rPr>
        <w:t>ë drejtës së kalimit</w:t>
      </w:r>
      <w:r w:rsidR="00850FC7" w:rsidRPr="00913E39">
        <w:rPr>
          <w:rFonts w:ascii="Garamond" w:hAnsi="Garamond"/>
          <w:sz w:val="24"/>
        </w:rPr>
        <w:t>”</w:t>
      </w:r>
      <w:r w:rsidRPr="00913E39">
        <w:rPr>
          <w:rFonts w:ascii="Garamond" w:hAnsi="Garamond"/>
          <w:sz w:val="24"/>
        </w:rPr>
        <w:t xml:space="preserve">, ka ndryshuar BCRD-në. Ky ligj synon të ulë koston e rrjeteve me </w:t>
      </w:r>
      <w:r w:rsidRPr="00913E39">
        <w:rPr>
          <w:rFonts w:ascii="Garamond" w:hAnsi="Garamond"/>
          <w:i/>
          <w:sz w:val="24"/>
        </w:rPr>
        <w:t>broadband</w:t>
      </w:r>
      <w:r w:rsidRPr="00913E39">
        <w:rPr>
          <w:rFonts w:ascii="Garamond" w:hAnsi="Garamond"/>
          <w:sz w:val="24"/>
        </w:rPr>
        <w:t xml:space="preserve"> nëpërmjet përdorimit të përbashkët të infrastrukturës fizike ekzistuese dhe koordinimit të punimeve civile. Zhvillimi i infrastrukturës </w:t>
      </w:r>
      <w:r w:rsidRPr="00913E39">
        <w:rPr>
          <w:rFonts w:ascii="Garamond" w:hAnsi="Garamond"/>
          <w:i/>
          <w:sz w:val="24"/>
        </w:rPr>
        <w:t>broadband</w:t>
      </w:r>
      <w:r w:rsidRPr="00913E39">
        <w:rPr>
          <w:rFonts w:ascii="Garamond" w:hAnsi="Garamond"/>
          <w:sz w:val="24"/>
        </w:rPr>
        <w:t xml:space="preserve"> dhe </w:t>
      </w:r>
      <w:r w:rsidRPr="00913E39">
        <w:rPr>
          <w:rFonts w:ascii="Garamond" w:hAnsi="Garamond"/>
          <w:i/>
          <w:sz w:val="24"/>
        </w:rPr>
        <w:t>gigabit</w:t>
      </w:r>
      <w:r w:rsidRPr="00913E39">
        <w:rPr>
          <w:rFonts w:ascii="Garamond" w:hAnsi="Garamond"/>
          <w:sz w:val="24"/>
        </w:rPr>
        <w:t xml:space="preserve"> digjitale kërkon investime të mëdha dhe krijimin e sinergjisë midis të gjitha projekteve të infrastrukturës dhe projekteve që lidhen me digjitalizimin në nivel qendror dhe lokal.</w:t>
      </w:r>
    </w:p>
    <w:p w14:paraId="4CF4FA91" w14:textId="0ADA794C" w:rsidR="00847F23" w:rsidRPr="00913E39" w:rsidRDefault="00847F23" w:rsidP="00FC4C60">
      <w:pPr>
        <w:spacing w:after="0" w:line="240" w:lineRule="auto"/>
        <w:ind w:firstLine="284"/>
        <w:jc w:val="both"/>
        <w:rPr>
          <w:rFonts w:ascii="Garamond" w:hAnsi="Garamond"/>
          <w:sz w:val="24"/>
          <w:bdr w:val="none" w:sz="0" w:space="0" w:color="auto" w:frame="1"/>
        </w:rPr>
      </w:pPr>
      <w:r w:rsidRPr="00913E39">
        <w:rPr>
          <w:rFonts w:ascii="Garamond" w:hAnsi="Garamond"/>
          <w:sz w:val="24"/>
          <w:bdr w:val="none" w:sz="0" w:space="0" w:color="auto" w:frame="1"/>
        </w:rPr>
        <w:t xml:space="preserve">Përqindja e familjeve që kanë akses në shpejtësinë e internetit 30 Mbps është rritur nga 58.1% </w:t>
      </w:r>
      <w:r w:rsidR="009214CB" w:rsidRPr="00913E39">
        <w:rPr>
          <w:rFonts w:ascii="Garamond" w:hAnsi="Garamond"/>
          <w:sz w:val="24"/>
          <w:bdr w:val="none" w:sz="0" w:space="0" w:color="auto" w:frame="1"/>
        </w:rPr>
        <w:t>m</w:t>
      </w:r>
      <w:r w:rsidRPr="00913E39">
        <w:rPr>
          <w:rFonts w:ascii="Garamond" w:hAnsi="Garamond"/>
          <w:sz w:val="24"/>
          <w:bdr w:val="none" w:sz="0" w:space="0" w:color="auto" w:frame="1"/>
        </w:rPr>
        <w:t xml:space="preserve">ë 2013 në 90.1% </w:t>
      </w:r>
      <w:r w:rsidR="009214CB" w:rsidRPr="00913E39">
        <w:rPr>
          <w:rFonts w:ascii="Garamond" w:hAnsi="Garamond"/>
          <w:sz w:val="24"/>
          <w:bdr w:val="none" w:sz="0" w:space="0" w:color="auto" w:frame="1"/>
        </w:rPr>
        <w:t>m</w:t>
      </w:r>
      <w:r w:rsidRPr="00913E39">
        <w:rPr>
          <w:rFonts w:ascii="Garamond" w:hAnsi="Garamond"/>
          <w:sz w:val="24"/>
          <w:bdr w:val="none" w:sz="0" w:space="0" w:color="auto" w:frame="1"/>
        </w:rPr>
        <w:t>ë 2021. Megjithatë, duke pasur parasysh nevojën e shtuar të bizneseve dhe njerëzve për lidhje fikse dhe celulare me kapacitet shumë të lartë, ofrimi i vetëm 30 Mbps nuk është më i mjaftueshëm për të ardhmen. Gjithashtu</w:t>
      </w:r>
      <w:r w:rsidR="00AA29EF" w:rsidRPr="00913E39">
        <w:rPr>
          <w:rFonts w:ascii="Garamond" w:hAnsi="Garamond"/>
          <w:sz w:val="24"/>
          <w:bdr w:val="none" w:sz="0" w:space="0" w:color="auto" w:frame="1"/>
        </w:rPr>
        <w:t>,</w:t>
      </w:r>
      <w:r w:rsidRPr="00913E39">
        <w:rPr>
          <w:rFonts w:ascii="Garamond" w:hAnsi="Garamond"/>
          <w:sz w:val="24"/>
          <w:bdr w:val="none" w:sz="0" w:space="0" w:color="auto" w:frame="1"/>
        </w:rPr>
        <w:t xml:space="preserve"> nuk përputhet me objektivat e </w:t>
      </w:r>
      <w:r w:rsidR="00AA29EF" w:rsidRPr="00913E39">
        <w:rPr>
          <w:rFonts w:ascii="Garamond" w:hAnsi="Garamond"/>
          <w:sz w:val="24"/>
          <w:bdr w:val="none" w:sz="0" w:space="0" w:color="auto" w:frame="1"/>
        </w:rPr>
        <w:t>rinj</w:t>
      </w:r>
      <w:r w:rsidRPr="00913E39">
        <w:rPr>
          <w:rFonts w:ascii="Garamond" w:hAnsi="Garamond"/>
          <w:sz w:val="24"/>
          <w:bdr w:val="none" w:sz="0" w:space="0" w:color="auto" w:frame="1"/>
        </w:rPr>
        <w:t xml:space="preserve"> të përcaktuar në </w:t>
      </w:r>
      <w:r w:rsidR="000F02F6" w:rsidRPr="00913E39">
        <w:rPr>
          <w:rFonts w:ascii="Garamond" w:hAnsi="Garamond"/>
          <w:b/>
          <w:sz w:val="24"/>
          <w:bdr w:val="none" w:sz="0" w:space="0" w:color="auto" w:frame="1"/>
        </w:rPr>
        <w:t>d</w:t>
      </w:r>
      <w:r w:rsidRPr="00913E39">
        <w:rPr>
          <w:rFonts w:ascii="Garamond" w:hAnsi="Garamond"/>
          <w:b/>
          <w:sz w:val="24"/>
          <w:bdr w:val="none" w:sz="0" w:space="0" w:color="auto" w:frame="1"/>
        </w:rPr>
        <w:t xml:space="preserve">irektivën (BE) 2018/1972 (Kodi Evropian i Komunikimeve Elektronike </w:t>
      </w:r>
      <w:r w:rsidR="003878FE" w:rsidRPr="00913E39">
        <w:rPr>
          <w:rFonts w:ascii="Garamond" w:hAnsi="Garamond"/>
          <w:b/>
          <w:sz w:val="24"/>
          <w:bdr w:val="none" w:sz="0" w:space="0" w:color="auto" w:frame="1"/>
        </w:rPr>
        <w:t>–</w:t>
      </w:r>
      <w:r w:rsidRPr="00913E39">
        <w:rPr>
          <w:rFonts w:ascii="Garamond" w:hAnsi="Garamond"/>
          <w:b/>
          <w:sz w:val="24"/>
          <w:bdr w:val="none" w:sz="0" w:space="0" w:color="auto" w:frame="1"/>
        </w:rPr>
        <w:t xml:space="preserve"> </w:t>
      </w:r>
      <w:r w:rsidR="003878FE" w:rsidRPr="00913E39">
        <w:rPr>
          <w:rFonts w:ascii="Garamond" w:hAnsi="Garamond"/>
          <w:b/>
          <w:sz w:val="24"/>
          <w:bdr w:val="none" w:sz="0" w:space="0" w:color="auto" w:frame="1"/>
        </w:rPr>
        <w:t>“</w:t>
      </w:r>
      <w:r w:rsidRPr="00913E39">
        <w:rPr>
          <w:rFonts w:ascii="Garamond" w:hAnsi="Garamond"/>
          <w:b/>
          <w:sz w:val="24"/>
          <w:bdr w:val="none" w:sz="0" w:space="0" w:color="auto" w:frame="1"/>
        </w:rPr>
        <w:t>Kodi</w:t>
      </w:r>
      <w:r w:rsidR="003878FE" w:rsidRPr="00913E39">
        <w:rPr>
          <w:rFonts w:ascii="Garamond" w:hAnsi="Garamond"/>
          <w:b/>
          <w:sz w:val="24"/>
          <w:bdr w:val="none" w:sz="0" w:space="0" w:color="auto" w:frame="1"/>
        </w:rPr>
        <w:t>”</w:t>
      </w:r>
      <w:r w:rsidRPr="00913E39">
        <w:rPr>
          <w:rFonts w:ascii="Garamond" w:hAnsi="Garamond"/>
          <w:b/>
          <w:sz w:val="24"/>
          <w:bdr w:val="none" w:sz="0" w:space="0" w:color="auto" w:frame="1"/>
        </w:rPr>
        <w:t>)</w:t>
      </w:r>
      <w:r w:rsidRPr="00913E39">
        <w:rPr>
          <w:rFonts w:ascii="Garamond" w:hAnsi="Garamond"/>
          <w:sz w:val="24"/>
          <w:bdr w:val="none" w:sz="0" w:space="0" w:color="auto" w:frame="1"/>
        </w:rPr>
        <w:t xml:space="preserve"> për sigurimin e lidhjes dhe disponueshmërisë së përhapur të rrjeteve me kapacitet shumë të lartë (VHCN). Për më tepër, Këshilli, në </w:t>
      </w:r>
      <w:r w:rsidR="00AA29EF" w:rsidRPr="00913E39">
        <w:rPr>
          <w:rFonts w:ascii="Garamond" w:hAnsi="Garamond"/>
          <w:sz w:val="24"/>
          <w:bdr w:val="none" w:sz="0" w:space="0" w:color="auto" w:frame="1"/>
        </w:rPr>
        <w:t>konkluzionet e tij mbi formimin e së ardhmes digji</w:t>
      </w:r>
      <w:r w:rsidRPr="00913E39">
        <w:rPr>
          <w:rFonts w:ascii="Garamond" w:hAnsi="Garamond"/>
          <w:sz w:val="24"/>
          <w:bdr w:val="none" w:sz="0" w:space="0" w:color="auto" w:frame="1"/>
        </w:rPr>
        <w:t>tale të E</w:t>
      </w:r>
      <w:r w:rsidR="009214CB" w:rsidRPr="00913E39">
        <w:rPr>
          <w:rFonts w:ascii="Garamond" w:hAnsi="Garamond"/>
          <w:sz w:val="24"/>
          <w:bdr w:val="none" w:sz="0" w:space="0" w:color="auto" w:frame="1"/>
        </w:rPr>
        <w:t>v</w:t>
      </w:r>
      <w:r w:rsidRPr="00913E39">
        <w:rPr>
          <w:rFonts w:ascii="Garamond" w:hAnsi="Garamond"/>
          <w:sz w:val="24"/>
          <w:bdr w:val="none" w:sz="0" w:space="0" w:color="auto" w:frame="1"/>
        </w:rPr>
        <w:t xml:space="preserve">ropës, më 9 qershor 2020, theksoi se pandemia COVID-19 tregoi nevojën në rritje për lidhje të shpejtë dhe kudo. Ai bëri thirrje për një paketë masash shtesë për të mbështetur nevojat aktuale dhe në zhvillim të vendosjes së rrjetit, duke përfshirë rritjen e masave të parashikuara nga BCRD. </w:t>
      </w:r>
    </w:p>
    <w:p w14:paraId="6D3D5E1F" w14:textId="673F0DF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bdr w:val="none" w:sz="0" w:space="0" w:color="auto" w:frame="1"/>
        </w:rPr>
        <w:t xml:space="preserve">Prandaj, Komisioni në </w:t>
      </w:r>
      <w:r w:rsidRPr="00913E39">
        <w:rPr>
          <w:rFonts w:ascii="Garamond" w:hAnsi="Garamond"/>
          <w:b/>
          <w:sz w:val="24"/>
          <w:bdr w:val="none" w:sz="0" w:space="0" w:color="auto" w:frame="1"/>
        </w:rPr>
        <w:t xml:space="preserve">Komunikatën e tij </w:t>
      </w:r>
      <w:r w:rsidR="009214CB" w:rsidRPr="00913E39">
        <w:rPr>
          <w:rFonts w:ascii="Garamond" w:hAnsi="Garamond"/>
          <w:b/>
          <w:sz w:val="24"/>
          <w:bdr w:val="none" w:sz="0" w:space="0" w:color="auto" w:frame="1"/>
        </w:rPr>
        <w:t>“</w:t>
      </w:r>
      <w:r w:rsidRPr="00913E39">
        <w:rPr>
          <w:rFonts w:ascii="Garamond" w:hAnsi="Garamond"/>
          <w:b/>
          <w:sz w:val="24"/>
          <w:bdr w:val="none" w:sz="0" w:space="0" w:color="auto" w:frame="1"/>
        </w:rPr>
        <w:t>Busulla digjitale 2030:</w:t>
      </w:r>
      <w:r w:rsidRPr="00913E39">
        <w:rPr>
          <w:rFonts w:ascii="Garamond" w:hAnsi="Garamond"/>
          <w:sz w:val="24"/>
          <w:bdr w:val="none" w:sz="0" w:space="0" w:color="auto" w:frame="1"/>
        </w:rPr>
        <w:t xml:space="preserve"> </w:t>
      </w:r>
      <w:r w:rsidRPr="00913E39">
        <w:rPr>
          <w:rFonts w:ascii="Garamond" w:hAnsi="Garamond"/>
          <w:b/>
          <w:sz w:val="24"/>
          <w:bdr w:val="none" w:sz="0" w:space="0" w:color="auto" w:frame="1"/>
        </w:rPr>
        <w:t xml:space="preserve">Mënyra </w:t>
      </w:r>
      <w:r w:rsidR="009214CB" w:rsidRPr="00913E39">
        <w:rPr>
          <w:rFonts w:ascii="Garamond" w:hAnsi="Garamond"/>
          <w:b/>
          <w:sz w:val="24"/>
          <w:bdr w:val="none" w:sz="0" w:space="0" w:color="auto" w:frame="1"/>
        </w:rPr>
        <w:t>e</w:t>
      </w:r>
      <w:r w:rsidRPr="00913E39">
        <w:rPr>
          <w:rFonts w:ascii="Garamond" w:hAnsi="Garamond"/>
          <w:b/>
          <w:sz w:val="24"/>
          <w:bdr w:val="none" w:sz="0" w:space="0" w:color="auto" w:frame="1"/>
        </w:rPr>
        <w:t>vropiane për dekadën digjitale</w:t>
      </w:r>
      <w:r w:rsidR="009214CB" w:rsidRPr="00913E39">
        <w:rPr>
          <w:rFonts w:ascii="Garamond" w:hAnsi="Garamond"/>
          <w:b/>
          <w:sz w:val="24"/>
          <w:bdr w:val="none" w:sz="0" w:space="0" w:color="auto" w:frame="1"/>
        </w:rPr>
        <w:t>”</w:t>
      </w:r>
      <w:r w:rsidRPr="00913E39">
        <w:rPr>
          <w:rFonts w:ascii="Garamond" w:hAnsi="Garamond"/>
          <w:sz w:val="24"/>
          <w:bdr w:val="none" w:sz="0" w:space="0" w:color="auto" w:frame="1"/>
        </w:rPr>
        <w:t xml:space="preserve">, vendosi objektiva të përditësuar për vitin 2030 që korrespondojnë më mirë me nevojat e pritshme të lidhjes në të ardhmen. Në kuadër të Busullës Digjitale, pritet që të gjitha familjet Evropiane të mbulohen nga një rrjet </w:t>
      </w:r>
      <w:r w:rsidR="009214CB" w:rsidRPr="00913E39">
        <w:rPr>
          <w:rFonts w:ascii="Garamond" w:hAnsi="Garamond"/>
          <w:i/>
          <w:sz w:val="24"/>
          <w:bdr w:val="none" w:sz="0" w:space="0" w:color="auto" w:frame="1"/>
        </w:rPr>
        <w:t>gigabit</w:t>
      </w:r>
      <w:r w:rsidRPr="00913E39">
        <w:rPr>
          <w:rFonts w:ascii="Garamond" w:hAnsi="Garamond"/>
          <w:sz w:val="24"/>
          <w:bdr w:val="none" w:sz="0" w:space="0" w:color="auto" w:frame="1"/>
        </w:rPr>
        <w:t xml:space="preserve">, me të gjitha zonat e populluara të mbuluara nga 5G. Kjo kërkohet pasi familjet do të rrisin përdorimin e teknologjive të rrjetit të gjeneratës së ardhshme (5G/6G) duke reflektuar nevojat e tyre në rritje për lidhjet me kapacitet shumë të lartë. Deri në fund të kësaj dekade, veçoritë dhe aftësitë e reja të komunikimit digjital si media me saktësi të lartë, media holografike dhe shqisat digjitale mbi rrjete, pritet të ofrojnë një perspektivë krejtësisht të re për një shoqëri të mundësuar në aspektin digjital, duke mbështetur nevojën për lidhjet </w:t>
      </w:r>
      <w:r w:rsidRPr="00913E39">
        <w:rPr>
          <w:rFonts w:ascii="Garamond" w:hAnsi="Garamond"/>
          <w:i/>
          <w:sz w:val="24"/>
          <w:bdr w:val="none" w:sz="0" w:space="0" w:color="auto" w:frame="1"/>
        </w:rPr>
        <w:t>gigabit</w:t>
      </w:r>
      <w:r w:rsidRPr="00913E39">
        <w:rPr>
          <w:rFonts w:ascii="Garamond" w:hAnsi="Garamond"/>
          <w:sz w:val="24"/>
          <w:bdr w:val="none" w:sz="0" w:space="0" w:color="auto" w:frame="1"/>
        </w:rPr>
        <w:t xml:space="preserve">. Përpara fundit të dekadës, bizneset do të kenë nevojë për lidhje të dedikuara </w:t>
      </w:r>
      <w:r w:rsidRPr="00913E39">
        <w:rPr>
          <w:rFonts w:ascii="Garamond" w:hAnsi="Garamond"/>
          <w:i/>
          <w:sz w:val="24"/>
          <w:bdr w:val="none" w:sz="0" w:space="0" w:color="auto" w:frame="1"/>
        </w:rPr>
        <w:t>Gigabit</w:t>
      </w:r>
      <w:r w:rsidRPr="00913E39">
        <w:rPr>
          <w:rFonts w:ascii="Garamond" w:hAnsi="Garamond"/>
          <w:sz w:val="24"/>
          <w:bdr w:val="none" w:sz="0" w:space="0" w:color="auto" w:frame="1"/>
        </w:rPr>
        <w:t xml:space="preserve"> dhe infrastruktura të dhënash për </w:t>
      </w:r>
      <w:r w:rsidRPr="00913E39">
        <w:rPr>
          <w:rFonts w:ascii="Garamond" w:hAnsi="Garamond"/>
          <w:i/>
          <w:sz w:val="24"/>
          <w:bdr w:val="none" w:sz="0" w:space="0" w:color="auto" w:frame="1"/>
        </w:rPr>
        <w:t>cloud computing</w:t>
      </w:r>
      <w:r w:rsidRPr="00913E39">
        <w:rPr>
          <w:rFonts w:ascii="Garamond" w:hAnsi="Garamond"/>
          <w:sz w:val="24"/>
          <w:bdr w:val="none" w:sz="0" w:space="0" w:color="auto" w:frame="1"/>
        </w:rPr>
        <w:t xml:space="preserve"> dhe përpunimin e të dhënave, në të njëjtën mënyrë si shkollat dhe spitalet do ta kërkojnë këtë për </w:t>
      </w:r>
      <w:r w:rsidRPr="00913E39">
        <w:rPr>
          <w:rFonts w:ascii="Garamond" w:hAnsi="Garamond"/>
          <w:i/>
          <w:sz w:val="24"/>
          <w:bdr w:val="none" w:sz="0" w:space="0" w:color="auto" w:frame="1"/>
        </w:rPr>
        <w:t>e-education</w:t>
      </w:r>
      <w:r w:rsidRPr="00913E39">
        <w:rPr>
          <w:rFonts w:ascii="Garamond" w:hAnsi="Garamond"/>
          <w:sz w:val="24"/>
          <w:bdr w:val="none" w:sz="0" w:space="0" w:color="auto" w:frame="1"/>
        </w:rPr>
        <w:t xml:space="preserve"> dhe shëndeti digjital. Qendra Informatike me Performancë të Lartë (HPC) do të kërkojë lidhje terabit për të lejuar përpunimin e të dhënave në kohë reale. </w:t>
      </w:r>
    </w:p>
    <w:p w14:paraId="6650B61C" w14:textId="1D15C54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Objektivi i përgjithshëm i IPA III është të kontribuojë në rimëkëmbjen afatgjatë të Ballkanit Perëndimor - i mbështetur nga një tranzicion i gjelbër dhe digjital - duke çuar në një rritje të qëndrueshme ekonomike. Një nga objektivat specifik</w:t>
      </w:r>
      <w:r w:rsidR="00AA29EF" w:rsidRPr="00913E39">
        <w:rPr>
          <w:rFonts w:ascii="Garamond" w:hAnsi="Garamond"/>
          <w:sz w:val="24"/>
        </w:rPr>
        <w:t>ë</w:t>
      </w:r>
      <w:r w:rsidRPr="00913E39">
        <w:rPr>
          <w:rFonts w:ascii="Garamond" w:hAnsi="Garamond"/>
          <w:sz w:val="24"/>
        </w:rPr>
        <w:t xml:space="preserve"> të Programit IPA III është rritja e zhvillimit socialo-ekonomik, duke përfshirë nëpërmjet rritjes së kolektivitetit dhe zhvillimit rajonal, zhvillimit bujqësor dhe rural dhe politikave sociale dhe të punësimit, përforcimit të mbrojtjes së mjedisit, rritjes së rezistencës ndaj ndryshimeve klimatike, përshpejtimit të zhvendosjes drejt një ekonomie me karbon të ulët dhe zhvillimit të ekonomisë dhe shoqërisë digjitale. </w:t>
      </w:r>
    </w:p>
    <w:p w14:paraId="41672AE9"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Zhvillimi i infrastrukturës digjitale/</w:t>
      </w:r>
      <w:r w:rsidRPr="00913E39">
        <w:rPr>
          <w:rFonts w:ascii="Garamond" w:hAnsi="Garamond"/>
          <w:i/>
          <w:sz w:val="24"/>
        </w:rPr>
        <w:t>broadband</w:t>
      </w:r>
      <w:r w:rsidRPr="00913E39">
        <w:rPr>
          <w:rFonts w:ascii="Garamond" w:hAnsi="Garamond"/>
          <w:sz w:val="24"/>
        </w:rPr>
        <w:t xml:space="preserve"> është një nga prioritetet kryesore në dokumentet strategjike në Shqipëri. Strategjia Kombëtare për Zhvillim dhe Integrim, SKZHI 2030, Strategjia e Agjendës Digjitale dhe Programi i Reformës Ekonomike.</w:t>
      </w:r>
    </w:p>
    <w:p w14:paraId="2DE60536" w14:textId="52F49C0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Programi i Reformës Ekonomike Shqiptare (PRE) 2023</w:t>
      </w:r>
      <w:r w:rsidR="00E82EF2" w:rsidRPr="00913E39">
        <w:rPr>
          <w:rFonts w:ascii="Garamond" w:hAnsi="Garamond"/>
          <w:sz w:val="24"/>
        </w:rPr>
        <w:t>–</w:t>
      </w:r>
      <w:r w:rsidRPr="00913E39">
        <w:rPr>
          <w:rFonts w:ascii="Garamond" w:hAnsi="Garamond"/>
          <w:sz w:val="24"/>
        </w:rPr>
        <w:t xml:space="preserve">2025, </w:t>
      </w:r>
      <w:r w:rsidR="00E82EF2" w:rsidRPr="00913E39">
        <w:rPr>
          <w:rFonts w:ascii="Garamond" w:hAnsi="Garamond"/>
          <w:sz w:val="24"/>
        </w:rPr>
        <w:t>m</w:t>
      </w:r>
      <w:r w:rsidRPr="00913E39">
        <w:rPr>
          <w:rFonts w:ascii="Garamond" w:hAnsi="Garamond"/>
          <w:sz w:val="24"/>
        </w:rPr>
        <w:t xml:space="preserve">asa e reformës #12, njeh nevojën për zhvillimin e mëtejshëm të infrastrukturës </w:t>
      </w:r>
      <w:r w:rsidRPr="00913E39">
        <w:rPr>
          <w:rFonts w:ascii="Garamond" w:hAnsi="Garamond"/>
          <w:i/>
          <w:sz w:val="24"/>
        </w:rPr>
        <w:t>broadband</w:t>
      </w:r>
      <w:r w:rsidRPr="00913E39">
        <w:rPr>
          <w:rFonts w:ascii="Garamond" w:hAnsi="Garamond"/>
          <w:sz w:val="24"/>
        </w:rPr>
        <w:t xml:space="preserve"> për zhvillimin socialo-ekonomik. PRE 2021</w:t>
      </w:r>
      <w:r w:rsidR="00E82EF2" w:rsidRPr="00913E39">
        <w:rPr>
          <w:rFonts w:ascii="Garamond" w:hAnsi="Garamond"/>
          <w:sz w:val="24"/>
        </w:rPr>
        <w:t>–</w:t>
      </w:r>
      <w:r w:rsidRPr="00913E39">
        <w:rPr>
          <w:rFonts w:ascii="Garamond" w:hAnsi="Garamond"/>
          <w:sz w:val="24"/>
        </w:rPr>
        <w:t xml:space="preserve">2023 planifikon </w:t>
      </w:r>
      <w:r w:rsidR="00E82EF2" w:rsidRPr="00913E39">
        <w:rPr>
          <w:rFonts w:ascii="Garamond" w:hAnsi="Garamond"/>
          <w:sz w:val="24"/>
        </w:rPr>
        <w:t xml:space="preserve">masën e reformës </w:t>
      </w:r>
      <w:r w:rsidRPr="00913E39">
        <w:rPr>
          <w:rFonts w:ascii="Garamond" w:hAnsi="Garamond"/>
          <w:sz w:val="24"/>
        </w:rPr>
        <w:t xml:space="preserve">#12 </w:t>
      </w:r>
      <w:r w:rsidR="00850FC7" w:rsidRPr="00913E39">
        <w:rPr>
          <w:rFonts w:ascii="Garamond" w:eastAsia="Times New Roman" w:hAnsi="Garamond" w:cs="Times New Roman"/>
          <w:sz w:val="24"/>
          <w:szCs w:val="24"/>
        </w:rPr>
        <w:t>“</w:t>
      </w:r>
      <w:r w:rsidRPr="00913E39">
        <w:rPr>
          <w:rFonts w:ascii="Garamond" w:hAnsi="Garamond"/>
          <w:sz w:val="24"/>
        </w:rPr>
        <w:t xml:space="preserve">Zhvillimi i infrastrukturës </w:t>
      </w:r>
      <w:r w:rsidRPr="00913E39">
        <w:rPr>
          <w:rFonts w:ascii="Garamond" w:hAnsi="Garamond"/>
          <w:i/>
          <w:sz w:val="24"/>
        </w:rPr>
        <w:t>broadband</w:t>
      </w:r>
      <w:r w:rsidRPr="00913E39">
        <w:rPr>
          <w:rFonts w:ascii="Garamond" w:hAnsi="Garamond"/>
          <w:sz w:val="24"/>
        </w:rPr>
        <w:t xml:space="preserve"> për ekonominë digjitale</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w:t>
      </w:r>
    </w:p>
    <w:p w14:paraId="6C62B6EA" w14:textId="7B612A8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Plani Kombëtar për Zhvillimin e Qëndrueshëm të Infrastrukturës Digjitale, </w:t>
      </w:r>
      <w:r w:rsidRPr="00913E39">
        <w:rPr>
          <w:rFonts w:ascii="Garamond" w:hAnsi="Garamond"/>
          <w:i/>
          <w:sz w:val="24"/>
        </w:rPr>
        <w:t>Broadband</w:t>
      </w:r>
      <w:r w:rsidRPr="00913E39">
        <w:rPr>
          <w:rFonts w:ascii="Garamond" w:hAnsi="Garamond"/>
          <w:sz w:val="24"/>
        </w:rPr>
        <w:t xml:space="preserve"> 2020</w:t>
      </w:r>
      <w:r w:rsidR="00E82EF2" w:rsidRPr="00913E39">
        <w:rPr>
          <w:rFonts w:ascii="Garamond" w:hAnsi="Garamond"/>
          <w:sz w:val="24"/>
        </w:rPr>
        <w:t>–</w:t>
      </w:r>
      <w:r w:rsidRPr="00913E39">
        <w:rPr>
          <w:rFonts w:ascii="Garamond" w:hAnsi="Garamond"/>
          <w:sz w:val="24"/>
        </w:rPr>
        <w:t xml:space="preserve">2025 (NBP) miratuar me </w:t>
      </w:r>
      <w:r w:rsidR="00E82EF2" w:rsidRPr="00913E39">
        <w:rPr>
          <w:rFonts w:ascii="Garamond" w:hAnsi="Garamond"/>
          <w:sz w:val="24"/>
        </w:rPr>
        <w:t>v</w:t>
      </w:r>
      <w:r w:rsidRPr="00913E39">
        <w:rPr>
          <w:rFonts w:ascii="Garamond" w:hAnsi="Garamond"/>
          <w:sz w:val="24"/>
        </w:rPr>
        <w:t>endimin e Këshillit të Ministrave nr</w:t>
      </w:r>
      <w:r w:rsidR="00E82EF2" w:rsidRPr="00913E39">
        <w:rPr>
          <w:rFonts w:ascii="Garamond" w:hAnsi="Garamond"/>
          <w:sz w:val="24"/>
        </w:rPr>
        <w:t>.</w:t>
      </w:r>
      <w:r w:rsidRPr="00913E39">
        <w:rPr>
          <w:rFonts w:ascii="Garamond" w:hAnsi="Garamond"/>
          <w:sz w:val="24"/>
        </w:rPr>
        <w:t xml:space="preserve"> 434</w:t>
      </w:r>
      <w:r w:rsidR="000F02F6" w:rsidRPr="00913E39">
        <w:rPr>
          <w:rFonts w:ascii="Garamond" w:hAnsi="Garamond"/>
          <w:sz w:val="24"/>
        </w:rPr>
        <w:t>,</w:t>
      </w:r>
      <w:r w:rsidRPr="00913E39">
        <w:rPr>
          <w:rFonts w:ascii="Garamond" w:hAnsi="Garamond"/>
          <w:sz w:val="24"/>
        </w:rPr>
        <w:t xml:space="preserve"> datë 3.6.2020. Plani ka përcaktuar objektivat për të rritur shtrirjen e </w:t>
      </w:r>
      <w:r w:rsidRPr="00913E39">
        <w:rPr>
          <w:rFonts w:ascii="Garamond" w:hAnsi="Garamond"/>
          <w:i/>
          <w:sz w:val="24"/>
        </w:rPr>
        <w:t>broadband</w:t>
      </w:r>
      <w:r w:rsidRPr="00913E39">
        <w:rPr>
          <w:rFonts w:ascii="Garamond" w:hAnsi="Garamond"/>
          <w:sz w:val="24"/>
        </w:rPr>
        <w:t xml:space="preserve">. Zhvillimi i infrastrukturës </w:t>
      </w:r>
      <w:r w:rsidRPr="00913E39">
        <w:rPr>
          <w:rFonts w:ascii="Garamond" w:hAnsi="Garamond"/>
          <w:i/>
          <w:sz w:val="24"/>
        </w:rPr>
        <w:t>broadband</w:t>
      </w:r>
      <w:r w:rsidRPr="00913E39">
        <w:rPr>
          <w:rFonts w:ascii="Garamond" w:hAnsi="Garamond"/>
          <w:sz w:val="24"/>
        </w:rPr>
        <w:t xml:space="preserve"> dhe </w:t>
      </w:r>
      <w:r w:rsidRPr="00913E39">
        <w:rPr>
          <w:rFonts w:ascii="Garamond" w:hAnsi="Garamond"/>
          <w:i/>
          <w:sz w:val="24"/>
        </w:rPr>
        <w:t>gigabit</w:t>
      </w:r>
      <w:r w:rsidRPr="00913E39">
        <w:rPr>
          <w:rFonts w:ascii="Garamond" w:hAnsi="Garamond"/>
          <w:sz w:val="24"/>
        </w:rPr>
        <w:t xml:space="preserve"> digjitale kërkon investime të mëdha dhe krijimin e sinergjisë midis të gjitha projekteve të infrastrukturës dhe projekteve që lidhen me digjitalizimin në nivel qendror dhe lokal.</w:t>
      </w:r>
    </w:p>
    <w:p w14:paraId="22102818" w14:textId="7660D1E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prill 2022, Shqipëria iu bashkua Deklaratës për të Ardhmen e Internetit</w:t>
      </w:r>
      <w:r w:rsidRPr="00913E39">
        <w:rPr>
          <w:rFonts w:ascii="Garamond" w:hAnsi="Garamond"/>
          <w:sz w:val="24"/>
          <w:vertAlign w:val="superscript"/>
        </w:rPr>
        <w:footnoteReference w:id="83"/>
      </w:r>
      <w:r w:rsidRPr="00913E39">
        <w:rPr>
          <w:rFonts w:ascii="Garamond" w:hAnsi="Garamond"/>
          <w:sz w:val="24"/>
        </w:rPr>
        <w:t xml:space="preserve">. Parimet e </w:t>
      </w:r>
      <w:r w:rsidR="000F02F6" w:rsidRPr="00913E39">
        <w:rPr>
          <w:rFonts w:ascii="Garamond" w:hAnsi="Garamond"/>
          <w:sz w:val="24"/>
        </w:rPr>
        <w:t>d</w:t>
      </w:r>
      <w:r w:rsidRPr="00913E39">
        <w:rPr>
          <w:rFonts w:ascii="Garamond" w:hAnsi="Garamond"/>
          <w:sz w:val="24"/>
        </w:rPr>
        <w:t xml:space="preserve">eklaratës përfshijnë angazhimin: </w:t>
      </w:r>
    </w:p>
    <w:p w14:paraId="60DEE893" w14:textId="2E421D1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të mbrojtur të drejtat e njeriut dhe liritë themelore të të gjithë njerëzve</w:t>
      </w:r>
      <w:r w:rsidR="004D049A" w:rsidRPr="00913E39">
        <w:rPr>
          <w:rFonts w:ascii="Garamond" w:hAnsi="Garamond"/>
          <w:sz w:val="24"/>
        </w:rPr>
        <w:t>;</w:t>
      </w:r>
      <w:r w:rsidRPr="00913E39">
        <w:rPr>
          <w:rFonts w:ascii="Garamond" w:hAnsi="Garamond"/>
          <w:sz w:val="24"/>
        </w:rPr>
        <w:t xml:space="preserve"> </w:t>
      </w:r>
    </w:p>
    <w:p w14:paraId="628D30A8" w14:textId="181F46F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të promovuar një internet global që avancon qarkullimin e lirë të informacionit</w:t>
      </w:r>
      <w:r w:rsidR="004D049A" w:rsidRPr="00913E39">
        <w:rPr>
          <w:rFonts w:ascii="Garamond" w:hAnsi="Garamond"/>
          <w:sz w:val="24"/>
        </w:rPr>
        <w:t>;</w:t>
      </w:r>
    </w:p>
    <w:p w14:paraId="5D909464" w14:textId="2757CE8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të avancuar lidhjen gjithëpërfshirse dhe të përballueshme në mënyrë që të gjithë njerëzit të mund të përfitojnë nga ekonomia digjitale</w:t>
      </w:r>
      <w:r w:rsidR="004D049A" w:rsidRPr="00913E39">
        <w:rPr>
          <w:rFonts w:ascii="Garamond" w:hAnsi="Garamond"/>
          <w:sz w:val="24"/>
        </w:rPr>
        <w:t>;</w:t>
      </w:r>
    </w:p>
    <w:p w14:paraId="0E99A7BC"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të promovuar besimin në ekosistemin digjital global, duke përfshirë mbrojtjen e privatësisë; dhe</w:t>
      </w:r>
    </w:p>
    <w:p w14:paraId="37C47DE3"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të mbrojtur dhe forcuar qasjen me shumë palë të interesuara për qeverisjen që e ruan funksionimin e internetit për të mirën e të gjithëve.</w:t>
      </w:r>
    </w:p>
    <w:p w14:paraId="081E35D9" w14:textId="0A54937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Zhvillimi i Infrastrukturës </w:t>
      </w:r>
      <w:r w:rsidRPr="00913E39">
        <w:rPr>
          <w:rFonts w:ascii="Garamond" w:hAnsi="Garamond"/>
          <w:i/>
          <w:sz w:val="24"/>
        </w:rPr>
        <w:t>broadband</w:t>
      </w:r>
      <w:r w:rsidRPr="00913E39">
        <w:rPr>
          <w:rFonts w:ascii="Garamond" w:hAnsi="Garamond"/>
          <w:sz w:val="24"/>
        </w:rPr>
        <w:t xml:space="preserve"> është një nga synimet e rëndësishme për zhvillimin socialo-ekonomik. Infrastruktura digjitale dhe digjitalizimi janë pjesë e dokumenteve përkatëse strategjike rajonale. Për më tepër, Infrastruktura digjitale, zhvillimi dhe shtrirja e infrastrukturës kombëtare </w:t>
      </w:r>
      <w:r w:rsidRPr="00913E39">
        <w:rPr>
          <w:rFonts w:ascii="Garamond" w:hAnsi="Garamond"/>
          <w:i/>
          <w:sz w:val="24"/>
        </w:rPr>
        <w:t>broadband</w:t>
      </w:r>
      <w:r w:rsidRPr="00913E39">
        <w:rPr>
          <w:rFonts w:ascii="Garamond" w:hAnsi="Garamond"/>
          <w:sz w:val="24"/>
        </w:rPr>
        <w:t xml:space="preserve"> në gjashtë vendet e Ballkanit Perëndimor është një nga pikat kryesore të Planit Ekonomik dhe të Investimeve për Ballkanin Perëndimor të miratuar nga Komisioni Evropian më 6 tetor 2020</w:t>
      </w:r>
      <w:r w:rsidRPr="00913E39">
        <w:rPr>
          <w:rFonts w:ascii="Garamond" w:hAnsi="Garamond"/>
          <w:sz w:val="24"/>
          <w:vertAlign w:val="superscript"/>
        </w:rPr>
        <w:footnoteReference w:id="84"/>
      </w:r>
      <w:r w:rsidRPr="00913E39">
        <w:rPr>
          <w:rFonts w:ascii="Garamond" w:hAnsi="Garamond"/>
          <w:sz w:val="24"/>
        </w:rPr>
        <w:t xml:space="preserve">. Ky plan ka nënvizuar se nevoja për investime për rrjete </w:t>
      </w:r>
      <w:r w:rsidRPr="00913E39">
        <w:rPr>
          <w:rFonts w:ascii="Garamond" w:hAnsi="Garamond"/>
          <w:i/>
          <w:sz w:val="24"/>
        </w:rPr>
        <w:t>broadband</w:t>
      </w:r>
      <w:r w:rsidRPr="00913E39">
        <w:rPr>
          <w:rFonts w:ascii="Garamond" w:hAnsi="Garamond"/>
          <w:sz w:val="24"/>
        </w:rPr>
        <w:t xml:space="preserve"> në Ballkanin Perëndimor është rreth 3.6 miliardë euro. Marrëveshja e Gjelbër Evropiane vlerëson se </w:t>
      </w:r>
      <w:r w:rsidR="00850FC7" w:rsidRPr="00913E39">
        <w:rPr>
          <w:rFonts w:ascii="Garamond" w:eastAsia="Times New Roman" w:hAnsi="Garamond" w:cs="Times New Roman"/>
          <w:sz w:val="24"/>
          <w:szCs w:val="24"/>
        </w:rPr>
        <w:t>“</w:t>
      </w:r>
      <w:r w:rsidRPr="00913E39">
        <w:rPr>
          <w:rFonts w:ascii="Garamond" w:hAnsi="Garamond"/>
          <w:sz w:val="24"/>
        </w:rPr>
        <w:t>teknologjitë digjitale janë një mundësi kritike për arritjen e qëllimeve të qëndrueshmërisë së Marrëveshjes së Gjelbër në shumë sektorë të ndryshëm</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w:t>
      </w:r>
    </w:p>
    <w:p w14:paraId="0A048B2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Zhvillimi i infrastrukturës </w:t>
      </w:r>
      <w:r w:rsidRPr="00913E39">
        <w:rPr>
          <w:rFonts w:ascii="Garamond" w:hAnsi="Garamond"/>
          <w:i/>
          <w:sz w:val="24"/>
        </w:rPr>
        <w:t>broadband</w:t>
      </w:r>
      <w:r w:rsidRPr="00913E39">
        <w:rPr>
          <w:rFonts w:ascii="Garamond" w:hAnsi="Garamond"/>
          <w:sz w:val="24"/>
        </w:rPr>
        <w:t xml:space="preserve"> po ec paralelisht me një zhvillim të rëndësishëm në </w:t>
      </w:r>
      <w:r w:rsidRPr="00913E39">
        <w:rPr>
          <w:rFonts w:ascii="Garamond" w:hAnsi="Garamond"/>
          <w:i/>
          <w:sz w:val="24"/>
        </w:rPr>
        <w:t>e-government, e-services,</w:t>
      </w:r>
      <w:r w:rsidRPr="00913E39">
        <w:rPr>
          <w:rFonts w:ascii="Garamond" w:hAnsi="Garamond"/>
          <w:sz w:val="24"/>
        </w:rPr>
        <w:t xml:space="preserve"> digjitalizimin e sistemeve TIK në administratën publike që janë një komponent i rëndësishëm për ekosistemin e TIK-ut dhe ekonominë digjitale. Kjo pjesë e investimit lidhet me aspektin e kërkesës së </w:t>
      </w:r>
      <w:r w:rsidRPr="00913E39">
        <w:rPr>
          <w:rFonts w:ascii="Garamond" w:hAnsi="Garamond"/>
          <w:i/>
          <w:sz w:val="24"/>
        </w:rPr>
        <w:t>broadband</w:t>
      </w:r>
      <w:r w:rsidRPr="00913E39">
        <w:rPr>
          <w:rFonts w:ascii="Garamond" w:hAnsi="Garamond"/>
          <w:sz w:val="24"/>
        </w:rPr>
        <w:t xml:space="preserve">. Gjatë dhe pas krizës COVID-19, janë të rëndësishme nevojat për lidhjet digjitale për trajtim të barabartë/mosdiskriminim/ adresim të nevojave – për lidhjen digjitale, aftësitë digjitale dhe lidhjet e besueshme. </w:t>
      </w:r>
    </w:p>
    <w:p w14:paraId="6B5ABE97"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Tendenca kryesore globale dhe zhvillimet në transformimin digjital që ndikojnë në sektorin e TIK-ut, veçanërisht kërkesa për më shumë lidhje me brez të gjerë/të sigurt dhe me performancë të lartë, si edhe i gjithë informacioni i paraqitur më sipër është marrë në konsideratë gjatë përcaktimit të objektivit specifik dhe produkteve të veprimit për lidhjen digjitale bazuar në rrjetet me kapacitet shumë të lartë. </w:t>
      </w:r>
    </w:p>
    <w:p w14:paraId="134E90E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Rrjetet 5G janë standardet e telekomunikacionit të ardhshëm të propozuara përtej standardit aktual 4G/LTE. Rrjetet 5G nuk do të jenë vetëm një evolucion i gjeneratave aktuale të rrjeteve celulare, por karakterizohen si një revolucion në fushën e TIK-ut që do të mundësojë shërbime të rëndësishme shumë efikase, tepër të besueshme, të sigurta dhe me më pak vonesë.</w:t>
      </w:r>
    </w:p>
    <w:p w14:paraId="4818E27A" w14:textId="549B4F7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5G do të jetë një komponent thelbësor i infrastrukturës kombëtare shqiptare. 5G nuk është thjesht një zgjerim i rrjeteve ekzistuese të telekomunikacionit, por më tepër një rrjet i integruar që mbështet kërkesat gjithnjë në rritje të të dhënave dhe mundëson përvoja të reja të konsumatorëve bazuar në lidhjen e pandërprerë dhe kudo. Përveç avantazheve që lidhen me përvojat e reja dhe të përmirësuara të konsumatorëve, 5G do të përmirësojë edhe cilësinë e jetës së përdoruesve të saj. 5G konsiderohet si një nga shtyllat për arritjen e objektivave kombëtar</w:t>
      </w:r>
      <w:r w:rsidR="00AA29EF" w:rsidRPr="00913E39">
        <w:rPr>
          <w:rFonts w:ascii="Garamond" w:hAnsi="Garamond"/>
          <w:sz w:val="24"/>
        </w:rPr>
        <w:t>ë</w:t>
      </w:r>
      <w:r w:rsidRPr="00913E39">
        <w:rPr>
          <w:rFonts w:ascii="Garamond" w:hAnsi="Garamond"/>
          <w:sz w:val="24"/>
        </w:rPr>
        <w:t xml:space="preserve"> të </w:t>
      </w:r>
      <w:r w:rsidRPr="00913E39">
        <w:rPr>
          <w:rFonts w:ascii="Garamond" w:hAnsi="Garamond"/>
          <w:i/>
          <w:sz w:val="24"/>
        </w:rPr>
        <w:t>broadband</w:t>
      </w:r>
      <w:r w:rsidRPr="00913E39">
        <w:rPr>
          <w:rFonts w:ascii="Garamond" w:hAnsi="Garamond"/>
          <w:sz w:val="24"/>
        </w:rPr>
        <w:t xml:space="preserve"> dhe Strategjisë Kombëtare për Zhvillim dhe Integrim 2030.</w:t>
      </w:r>
    </w:p>
    <w:p w14:paraId="7DB53AE2" w14:textId="0C8B386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Ndërsa katër gjeneratat e para të rrjeteve pa kabll</w:t>
      </w:r>
      <w:r w:rsidR="004D049A" w:rsidRPr="00913E39">
        <w:rPr>
          <w:rFonts w:ascii="Garamond" w:hAnsi="Garamond"/>
          <w:sz w:val="24"/>
        </w:rPr>
        <w:t>o</w:t>
      </w:r>
      <w:r w:rsidRPr="00913E39">
        <w:rPr>
          <w:rFonts w:ascii="Garamond" w:hAnsi="Garamond"/>
          <w:sz w:val="24"/>
        </w:rPr>
        <w:t xml:space="preserve"> i shërbyen më së shumti nevojave tona të komunikimit dhe përmbajtjes digjitale, rrjetet 5G do t</w:t>
      </w:r>
      <w:r w:rsidR="005222A5" w:rsidRPr="00913E39">
        <w:rPr>
          <w:rFonts w:ascii="Garamond" w:hAnsi="Garamond"/>
          <w:sz w:val="24"/>
        </w:rPr>
        <w:t>’</w:t>
      </w:r>
      <w:r w:rsidRPr="00913E39">
        <w:rPr>
          <w:rFonts w:ascii="Garamond" w:hAnsi="Garamond"/>
          <w:sz w:val="24"/>
        </w:rPr>
        <w:t>i shërbejnë nevojave më të ndryshme të ekonomisë, duke integruar industritë fizike me botën digjitale. Qeveria vlerëson se rrjetet 5G janë të rëndësishme për të mundësuar valën e ardhshme të produktivitetit dhe inovacionit të biznesit në sektorë të ndryshëm të ekonomisë shqiptare.</w:t>
      </w:r>
    </w:p>
    <w:p w14:paraId="2CA0E4C4" w14:textId="2CB45CF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shtator 2016, Komisioni Evropian publikoi Planin e Veprimit 5G për E</w:t>
      </w:r>
      <w:r w:rsidR="005B13DD" w:rsidRPr="00913E39">
        <w:rPr>
          <w:rFonts w:ascii="Garamond" w:hAnsi="Garamond"/>
          <w:sz w:val="24"/>
        </w:rPr>
        <w:t>v</w:t>
      </w:r>
      <w:r w:rsidRPr="00913E39">
        <w:rPr>
          <w:rFonts w:ascii="Garamond" w:hAnsi="Garamond"/>
          <w:sz w:val="24"/>
        </w:rPr>
        <w:t xml:space="preserve">ropën, për të nxitur përhapjen e rrjeteve të telekomunikacionit të gjeneratës së 5-të (5G) në të gjithë BE-në. Komisioni theksoi nevojën për një qasje të koordinuar për të siguruar vendosjen e shpejtë të teknologjisë 5G në të gjithë Bashkimin. </w:t>
      </w:r>
    </w:p>
    <w:p w14:paraId="33750600" w14:textId="484B11A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Shqipëria, si vend kandidat për anëtarësim në BE, është e detyruar të harmonizojë politikat e saj kombëtare për zhvillimin e komunikimeve elektronike me politikat e BE-së, të cilat do të harmonizohen me objektivat strategjikë të nismës së BE-së 2010 për Agjendën Digjitale për E</w:t>
      </w:r>
      <w:r w:rsidR="005B13DD" w:rsidRPr="00913E39">
        <w:rPr>
          <w:rFonts w:ascii="Garamond" w:hAnsi="Garamond"/>
          <w:sz w:val="24"/>
        </w:rPr>
        <w:t>v</w:t>
      </w:r>
      <w:r w:rsidRPr="00913E39">
        <w:rPr>
          <w:rFonts w:ascii="Garamond" w:hAnsi="Garamond"/>
          <w:sz w:val="24"/>
        </w:rPr>
        <w:t xml:space="preserve">ropën, si një strategji ombrellë për zhvillimin e shoqërisë së informacionit dhe Strategjinë e BE-së 2016 drejt një shoqërie </w:t>
      </w:r>
      <w:r w:rsidR="005B13DD" w:rsidRPr="00913E39">
        <w:rPr>
          <w:rFonts w:ascii="Garamond" w:hAnsi="Garamond"/>
          <w:sz w:val="24"/>
        </w:rPr>
        <w:t xml:space="preserve">evropiane </w:t>
      </w:r>
      <w:r w:rsidR="005B13DD" w:rsidRPr="00913E39">
        <w:rPr>
          <w:rFonts w:ascii="Garamond" w:hAnsi="Garamond"/>
          <w:i/>
          <w:sz w:val="24"/>
        </w:rPr>
        <w:t>gigabit</w:t>
      </w:r>
      <w:r w:rsidR="005B13DD" w:rsidRPr="00913E39">
        <w:rPr>
          <w:rFonts w:ascii="Garamond" w:hAnsi="Garamond"/>
          <w:sz w:val="24"/>
        </w:rPr>
        <w:t xml:space="preserve"> </w:t>
      </w:r>
      <w:r w:rsidRPr="00913E39">
        <w:rPr>
          <w:rFonts w:ascii="Garamond" w:hAnsi="Garamond"/>
          <w:sz w:val="24"/>
        </w:rPr>
        <w:t>për 2025.</w:t>
      </w:r>
    </w:p>
    <w:p w14:paraId="2B73FCD3" w14:textId="1F92546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Memorandumi i Mirëkuptimit </w:t>
      </w:r>
      <w:r w:rsidR="00850FC7" w:rsidRPr="00913E39">
        <w:rPr>
          <w:rFonts w:ascii="Garamond" w:hAnsi="Garamond"/>
          <w:sz w:val="24"/>
        </w:rPr>
        <w:t>“</w:t>
      </w:r>
      <w:r w:rsidR="00A540A4" w:rsidRPr="00913E39">
        <w:rPr>
          <w:rFonts w:ascii="Garamond" w:hAnsi="Garamond"/>
          <w:sz w:val="24"/>
        </w:rPr>
        <w:t xml:space="preserve">Mbi </w:t>
      </w:r>
      <w:r w:rsidRPr="00913E39">
        <w:rPr>
          <w:rFonts w:ascii="Garamond" w:hAnsi="Garamond"/>
          <w:sz w:val="24"/>
        </w:rPr>
        <w:t>5G për transformimin digjitale të Ballkanit Perëndimor</w:t>
      </w:r>
      <w:r w:rsidR="00850FC7" w:rsidRPr="00913E39">
        <w:rPr>
          <w:rFonts w:ascii="Garamond" w:hAnsi="Garamond"/>
          <w:sz w:val="24"/>
        </w:rPr>
        <w:t>”</w:t>
      </w:r>
      <w:r w:rsidRPr="00913E39">
        <w:rPr>
          <w:rFonts w:ascii="Garamond" w:hAnsi="Garamond"/>
          <w:sz w:val="24"/>
        </w:rPr>
        <w:t xml:space="preserve"> u nënshkrua gjatë Samitit të tretë Digjital të Ballkanit Perëndimor më 2 nëntor 2020, në Tiranë. Nëpërmjet këtij Memorandumi Mirëkuptimi, Ballkani Perëndimor u angazhua:</w:t>
      </w:r>
    </w:p>
    <w:p w14:paraId="1BB707CA"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të punuar mbi bazën e përpjekjeve më të mira, duke miratuar politika të reja, masa rregullatore dhe teknike që lehtësojnë barrën administrative, lehtësojnë dhe mbështesin iniciativat private, stimulojnë investimet, sigurojnë një mjedis konkurrues të qëndrueshëm, forcojnë bashkëpunimin në rajon, heqin barrierat e panevojshme dhe promovojnë praktikat më të mira.</w:t>
      </w:r>
    </w:p>
    <w:p w14:paraId="57B2A1C1"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të bashkëpunuar për të adresuar çdo problem të ndërhyrjes në brezat e radiofrekuencave, veçanërisht për zbatimin e 5G.</w:t>
      </w:r>
    </w:p>
    <w:p w14:paraId="7AF44CFD"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 të punuar me synimin për të qenë pjesë e korridoreve 5G të BE-së dhe rrugëve të transportit për të mbështetur zhvillimin e industrive në zhvillim. </w:t>
      </w:r>
    </w:p>
    <w:p w14:paraId="093A8AFD" w14:textId="0C2FE87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Një përparësi kryesore në zhvillimin e rrjeteve 5G është përdorimi i sigurt, dhe i besueshëm i aksesit në internet </w:t>
      </w:r>
      <w:r w:rsidRPr="00913E39">
        <w:rPr>
          <w:rFonts w:ascii="Garamond" w:hAnsi="Garamond"/>
          <w:i/>
          <w:sz w:val="24"/>
        </w:rPr>
        <w:t>broadband</w:t>
      </w:r>
      <w:r w:rsidRPr="00913E39">
        <w:rPr>
          <w:rFonts w:ascii="Garamond" w:hAnsi="Garamond"/>
          <w:sz w:val="24"/>
        </w:rPr>
        <w:t>, i cili duhet të jetë pa kërcënime kibernetike. Tendencat e zhvillimit në telekomunikacion, zhvillimet e pritshme si kalimi në rrjetet e gjeneratës 5G, pritet të sjellin ndryshime të rëndësishme në komunikim me prezantimin e aplikacioneve/modeleve të reja të komunikimit që lidhen me industrinë (transportin, energjinë, shëndetësinë etj.), me institucionet publike, komunikimet ndërmjet pajisjeve (</w:t>
      </w:r>
      <w:r w:rsidRPr="00913E39">
        <w:rPr>
          <w:rFonts w:ascii="Garamond" w:hAnsi="Garamond"/>
          <w:i/>
          <w:sz w:val="24"/>
        </w:rPr>
        <w:t>Internet of Things</w:t>
      </w:r>
      <w:r w:rsidRPr="00913E39">
        <w:rPr>
          <w:rFonts w:ascii="Garamond" w:hAnsi="Garamond"/>
          <w:sz w:val="24"/>
        </w:rPr>
        <w:t xml:space="preserve"> (IoT), komunikimet masive të makinave (mMMC) etj. Këto zhvillime po shoqërohen në nivel global duke shtuar vëmendjen ndaj çështjeve të sigurisë së komunikimeve në </w:t>
      </w:r>
      <w:r w:rsidR="00A540A4" w:rsidRPr="00913E39">
        <w:rPr>
          <w:rFonts w:ascii="Garamond" w:hAnsi="Garamond"/>
          <w:sz w:val="24"/>
        </w:rPr>
        <w:t xml:space="preserve">rrjetet </w:t>
      </w:r>
      <w:r w:rsidRPr="00913E39">
        <w:rPr>
          <w:rFonts w:ascii="Garamond" w:hAnsi="Garamond"/>
          <w:sz w:val="24"/>
        </w:rPr>
        <w:t>5G.</w:t>
      </w:r>
    </w:p>
    <w:p w14:paraId="25F2AFCD" w14:textId="24F66E22" w:rsidR="00847F23" w:rsidRPr="00913E39" w:rsidRDefault="00847F23" w:rsidP="00FC4C60">
      <w:pPr>
        <w:spacing w:after="0" w:line="240" w:lineRule="auto"/>
        <w:ind w:firstLine="284"/>
        <w:jc w:val="both"/>
        <w:rPr>
          <w:rFonts w:ascii="Garamond" w:hAnsi="Garamond"/>
          <w:b/>
          <w:sz w:val="24"/>
        </w:rPr>
      </w:pPr>
      <w:r w:rsidRPr="00913E39">
        <w:rPr>
          <w:rFonts w:ascii="Garamond" w:hAnsi="Garamond"/>
          <w:sz w:val="24"/>
        </w:rPr>
        <w:t>Komisioni Evropian</w:t>
      </w:r>
      <w:r w:rsidRPr="00913E39">
        <w:rPr>
          <w:rFonts w:ascii="Garamond" w:hAnsi="Garamond"/>
          <w:sz w:val="24"/>
          <w:vertAlign w:val="superscript"/>
        </w:rPr>
        <w:footnoteReference w:id="85"/>
      </w:r>
      <w:r w:rsidRPr="00913E39">
        <w:rPr>
          <w:rFonts w:ascii="Garamond" w:hAnsi="Garamond"/>
          <w:sz w:val="24"/>
        </w:rPr>
        <w:t xml:space="preserve"> ka krijuar një projekt të dedikuar dhe mbështetës për të krijuar një sërë rastesh të përdorimit të praktikave të mira 5G, të cilat mund të ripërdoren si standarde për aplikacionet e reja. Për të promovuar rastet e përdorimit të praktikave të mira 5G, në planin e zbatimit për këtë </w:t>
      </w:r>
      <w:r w:rsidR="00A540A4" w:rsidRPr="00913E39">
        <w:rPr>
          <w:rFonts w:ascii="Garamond" w:hAnsi="Garamond"/>
          <w:sz w:val="24"/>
        </w:rPr>
        <w:t xml:space="preserve">nënfushë mbështetjeje </w:t>
      </w:r>
      <w:r w:rsidRPr="00913E39">
        <w:rPr>
          <w:rFonts w:ascii="Garamond" w:hAnsi="Garamond"/>
          <w:sz w:val="24"/>
        </w:rPr>
        <w:t>janë përfshirë në një studim teknik, trajnim dhe një fushatë ndërgjegjësimi</w:t>
      </w:r>
      <w:r w:rsidRPr="00913E39">
        <w:rPr>
          <w:rFonts w:ascii="Garamond" w:hAnsi="Garamond"/>
          <w:b/>
          <w:sz w:val="24"/>
        </w:rPr>
        <w:t>.</w:t>
      </w:r>
    </w:p>
    <w:p w14:paraId="6A4F2589" w14:textId="77777777" w:rsidR="00847F23" w:rsidRPr="00913E39" w:rsidRDefault="00847F23" w:rsidP="00FC4C60">
      <w:pPr>
        <w:spacing w:after="0" w:line="240" w:lineRule="auto"/>
        <w:ind w:firstLine="284"/>
        <w:jc w:val="both"/>
        <w:rPr>
          <w:rFonts w:ascii="Garamond" w:hAnsi="Garamond"/>
          <w:b/>
          <w:sz w:val="24"/>
          <w:bdr w:val="none" w:sz="0" w:space="0" w:color="auto" w:frame="1"/>
        </w:rPr>
      </w:pPr>
      <w:r w:rsidRPr="00913E39">
        <w:rPr>
          <w:rFonts w:ascii="Garamond" w:hAnsi="Garamond"/>
          <w:b/>
          <w:sz w:val="24"/>
          <w:bdr w:val="none" w:sz="0" w:space="0" w:color="auto" w:frame="1"/>
        </w:rPr>
        <w:t xml:space="preserve">Legjislacioni i zbatueshëm i BE-së: </w:t>
      </w:r>
    </w:p>
    <w:p w14:paraId="795FDF58" w14:textId="5386507A" w:rsidR="00847F23" w:rsidRPr="00913E39" w:rsidRDefault="00847F23" w:rsidP="00FC4C60">
      <w:pPr>
        <w:spacing w:after="0" w:line="240" w:lineRule="auto"/>
        <w:ind w:firstLine="284"/>
        <w:jc w:val="both"/>
        <w:rPr>
          <w:rFonts w:ascii="Garamond" w:hAnsi="Garamond"/>
          <w:sz w:val="24"/>
          <w:bdr w:val="none" w:sz="0" w:space="0" w:color="auto" w:frame="1"/>
        </w:rPr>
      </w:pPr>
      <w:r w:rsidRPr="00913E39">
        <w:rPr>
          <w:rFonts w:ascii="Garamond" w:hAnsi="Garamond"/>
          <w:sz w:val="24"/>
          <w:bdr w:val="none" w:sz="0" w:space="0" w:color="auto" w:frame="1"/>
        </w:rPr>
        <w:t xml:space="preserve">Direktiva e Uljes së Kostot me </w:t>
      </w:r>
      <w:r w:rsidR="00750152" w:rsidRPr="00913E39">
        <w:rPr>
          <w:rFonts w:ascii="Garamond" w:hAnsi="Garamond"/>
          <w:sz w:val="24"/>
          <w:bdr w:val="none" w:sz="0" w:space="0" w:color="auto" w:frame="1"/>
        </w:rPr>
        <w:t>broadband</w:t>
      </w:r>
      <w:r w:rsidRPr="00913E39">
        <w:rPr>
          <w:rFonts w:ascii="Garamond" w:hAnsi="Garamond"/>
          <w:sz w:val="24"/>
          <w:bdr w:val="none" w:sz="0" w:space="0" w:color="auto" w:frame="1"/>
        </w:rPr>
        <w:t>/</w:t>
      </w:r>
      <w:r w:rsidR="00750152" w:rsidRPr="00913E39">
        <w:rPr>
          <w:rFonts w:ascii="Garamond" w:hAnsi="Garamond"/>
          <w:sz w:val="24"/>
          <w:bdr w:val="none" w:sz="0" w:space="0" w:color="auto" w:frame="1"/>
        </w:rPr>
        <w:t xml:space="preserve">ligji për infrastrukturën </w:t>
      </w:r>
      <w:r w:rsidR="00750152" w:rsidRPr="00913E39">
        <w:rPr>
          <w:rFonts w:ascii="Garamond" w:hAnsi="Garamond"/>
          <w:i/>
          <w:sz w:val="24"/>
          <w:bdr w:val="none" w:sz="0" w:space="0" w:color="auto" w:frame="1"/>
        </w:rPr>
        <w:t>gigabit</w:t>
      </w:r>
      <w:r w:rsidRPr="00913E39">
        <w:rPr>
          <w:rFonts w:ascii="Garamond" w:hAnsi="Garamond"/>
          <w:sz w:val="24"/>
          <w:bdr w:val="none" w:sz="0" w:space="0" w:color="auto" w:frame="1"/>
        </w:rPr>
        <w:t>; </w:t>
      </w:r>
    </w:p>
    <w:p w14:paraId="6E08265B" w14:textId="2BC30E2E" w:rsidR="00847F23" w:rsidRPr="00913E39" w:rsidRDefault="00847F23" w:rsidP="00FC4C60">
      <w:pPr>
        <w:spacing w:after="0" w:line="240" w:lineRule="auto"/>
        <w:ind w:firstLine="284"/>
        <w:jc w:val="both"/>
        <w:rPr>
          <w:rFonts w:ascii="Garamond" w:hAnsi="Garamond"/>
          <w:sz w:val="24"/>
          <w:bdr w:val="none" w:sz="0" w:space="0" w:color="auto" w:frame="1"/>
        </w:rPr>
      </w:pPr>
      <w:r w:rsidRPr="00913E39">
        <w:rPr>
          <w:rFonts w:ascii="Garamond" w:hAnsi="Garamond"/>
          <w:sz w:val="24"/>
          <w:bdr w:val="none" w:sz="0" w:space="0" w:color="auto" w:frame="1"/>
        </w:rPr>
        <w:lastRenderedPageBreak/>
        <w:t>Direktiva (BE) 2018/1972 (Kodi Evropian i Komunikimeve Elektronike</w:t>
      </w:r>
      <w:r w:rsidR="00460531" w:rsidRPr="00913E39">
        <w:rPr>
          <w:rFonts w:ascii="Garamond" w:hAnsi="Garamond"/>
          <w:sz w:val="24"/>
          <w:bdr w:val="none" w:sz="0" w:space="0" w:color="auto" w:frame="1"/>
        </w:rPr>
        <w:t>)</w:t>
      </w:r>
      <w:r w:rsidRPr="00913E39">
        <w:rPr>
          <w:rFonts w:ascii="Garamond" w:hAnsi="Garamond"/>
          <w:sz w:val="24"/>
          <w:bdr w:val="none" w:sz="0" w:space="0" w:color="auto" w:frame="1"/>
        </w:rPr>
        <w:t>;</w:t>
      </w:r>
    </w:p>
    <w:p w14:paraId="49B466C5" w14:textId="77777777" w:rsidR="00847F23" w:rsidRPr="00913E39" w:rsidRDefault="00847F23" w:rsidP="00FC4C60">
      <w:pPr>
        <w:spacing w:after="0" w:line="240" w:lineRule="auto"/>
        <w:ind w:firstLine="284"/>
        <w:jc w:val="both"/>
        <w:rPr>
          <w:rFonts w:ascii="Garamond" w:hAnsi="Garamond"/>
          <w:sz w:val="24"/>
          <w:bdr w:val="none" w:sz="0" w:space="0" w:color="auto" w:frame="1"/>
        </w:rPr>
      </w:pPr>
      <w:r w:rsidRPr="00913E39">
        <w:rPr>
          <w:rFonts w:ascii="Garamond" w:hAnsi="Garamond"/>
          <w:sz w:val="24"/>
          <w:bdr w:val="none" w:sz="0" w:space="0" w:color="auto" w:frame="1"/>
        </w:rPr>
        <w:t>Paketa 5G e BE-së;</w:t>
      </w:r>
    </w:p>
    <w:p w14:paraId="28D77B32" w14:textId="77777777" w:rsidR="00847F23" w:rsidRPr="00913E39" w:rsidRDefault="00847F23" w:rsidP="00FC4C60">
      <w:pPr>
        <w:spacing w:after="0" w:line="240" w:lineRule="auto"/>
        <w:ind w:firstLine="284"/>
        <w:jc w:val="both"/>
        <w:rPr>
          <w:rFonts w:ascii="Garamond" w:hAnsi="Garamond"/>
          <w:sz w:val="24"/>
          <w:bdr w:val="none" w:sz="0" w:space="0" w:color="auto" w:frame="1"/>
        </w:rPr>
      </w:pPr>
      <w:r w:rsidRPr="00913E39">
        <w:rPr>
          <w:rFonts w:ascii="Garamond" w:hAnsi="Garamond"/>
          <w:sz w:val="24"/>
          <w:bdr w:val="none" w:sz="0" w:space="0" w:color="auto" w:frame="1"/>
        </w:rPr>
        <w:t>Komunikata COM/2021/118: Busulla digjitale 2030: Mënyra Evropiane për Dekadën Digjitale. Dokumenti përfundimtar;</w:t>
      </w:r>
    </w:p>
    <w:p w14:paraId="6D9DE8A8" w14:textId="77777777" w:rsidR="00847F23" w:rsidRPr="00913E39" w:rsidRDefault="00847F23" w:rsidP="00FC4C60">
      <w:pPr>
        <w:spacing w:after="0" w:line="240" w:lineRule="auto"/>
        <w:ind w:firstLine="284"/>
        <w:jc w:val="both"/>
        <w:rPr>
          <w:rFonts w:ascii="Garamond" w:hAnsi="Garamond"/>
          <w:sz w:val="24"/>
          <w:bdr w:val="none" w:sz="0" w:space="0" w:color="auto" w:frame="1"/>
        </w:rPr>
      </w:pPr>
      <w:r w:rsidRPr="00913E39">
        <w:rPr>
          <w:rFonts w:ascii="Garamond" w:hAnsi="Garamond"/>
          <w:sz w:val="24"/>
          <w:bdr w:val="none" w:sz="0" w:space="0" w:color="auto" w:frame="1"/>
        </w:rPr>
        <w:t xml:space="preserve">Rekomandimi i Komisionit (BE) 2020/1307 i datës 18 shtator 2020; </w:t>
      </w:r>
    </w:p>
    <w:p w14:paraId="5DF35769" w14:textId="449756BD" w:rsidR="00847F23" w:rsidRPr="00913E39" w:rsidRDefault="00847F23" w:rsidP="00FC4C60">
      <w:pPr>
        <w:spacing w:after="0" w:line="240" w:lineRule="auto"/>
        <w:ind w:firstLine="284"/>
        <w:jc w:val="both"/>
        <w:rPr>
          <w:rFonts w:ascii="Garamond" w:hAnsi="Garamond"/>
          <w:sz w:val="24"/>
          <w:bdr w:val="none" w:sz="0" w:space="0" w:color="auto" w:frame="1"/>
        </w:rPr>
      </w:pPr>
      <w:r w:rsidRPr="00913E39">
        <w:rPr>
          <w:rFonts w:ascii="Garamond" w:hAnsi="Garamond"/>
          <w:sz w:val="24"/>
          <w:bdr w:val="none" w:sz="0" w:space="0" w:color="auto" w:frame="1"/>
        </w:rPr>
        <w:t xml:space="preserve">Komunikata e vitit 2020 mbi </w:t>
      </w:r>
      <w:r w:rsidR="00A86F52" w:rsidRPr="00913E39">
        <w:rPr>
          <w:rFonts w:ascii="Garamond" w:hAnsi="Garamond"/>
          <w:sz w:val="24"/>
          <w:bdr w:val="none" w:sz="0" w:space="0" w:color="auto" w:frame="1"/>
        </w:rPr>
        <w:t>“</w:t>
      </w:r>
      <w:r w:rsidRPr="00913E39">
        <w:rPr>
          <w:rFonts w:ascii="Garamond" w:hAnsi="Garamond"/>
          <w:sz w:val="24"/>
          <w:bdr w:val="none" w:sz="0" w:space="0" w:color="auto" w:frame="1"/>
        </w:rPr>
        <w:t>Formimin e së ardhmes digjitale të E</w:t>
      </w:r>
      <w:r w:rsidR="00A86F52" w:rsidRPr="00913E39">
        <w:rPr>
          <w:rFonts w:ascii="Garamond" w:hAnsi="Garamond"/>
          <w:sz w:val="24"/>
          <w:bdr w:val="none" w:sz="0" w:space="0" w:color="auto" w:frame="1"/>
        </w:rPr>
        <w:t>v</w:t>
      </w:r>
      <w:r w:rsidRPr="00913E39">
        <w:rPr>
          <w:rFonts w:ascii="Garamond" w:hAnsi="Garamond"/>
          <w:sz w:val="24"/>
          <w:bdr w:val="none" w:sz="0" w:space="0" w:color="auto" w:frame="1"/>
        </w:rPr>
        <w:t>ropës</w:t>
      </w:r>
      <w:r w:rsidR="00A86F52" w:rsidRPr="00913E39">
        <w:rPr>
          <w:rFonts w:ascii="Garamond" w:hAnsi="Garamond"/>
          <w:sz w:val="24"/>
          <w:bdr w:val="none" w:sz="0" w:space="0" w:color="auto" w:frame="1"/>
        </w:rPr>
        <w:t>”</w:t>
      </w:r>
      <w:r w:rsidRPr="00913E39">
        <w:rPr>
          <w:rFonts w:ascii="Garamond" w:hAnsi="Garamond"/>
          <w:sz w:val="24"/>
          <w:bdr w:val="none" w:sz="0" w:space="0" w:color="auto" w:frame="1"/>
        </w:rPr>
        <w:t xml:space="preserve"> vlerësoi se, vetëm për infrastrukturën dhe rrjetet digjitale, BE ka një hendek investimi prej 65 miliardë euro në vit. Në funksion të kësaj, Komisioni njoftoi një rishikim të BCRD. Një pjesë e madhe e kostove të vendosjes së rrjetit mund t</w:t>
      </w:r>
      <w:r w:rsidR="005222A5" w:rsidRPr="00913E39">
        <w:rPr>
          <w:rFonts w:ascii="Garamond" w:hAnsi="Garamond"/>
          <w:sz w:val="24"/>
          <w:bdr w:val="none" w:sz="0" w:space="0" w:color="auto" w:frame="1"/>
        </w:rPr>
        <w:t>’</w:t>
      </w:r>
      <w:r w:rsidRPr="00913E39">
        <w:rPr>
          <w:rFonts w:ascii="Garamond" w:hAnsi="Garamond"/>
          <w:sz w:val="24"/>
          <w:bdr w:val="none" w:sz="0" w:space="0" w:color="auto" w:frame="1"/>
        </w:rPr>
        <w:t>i atribuohet: i) mungesës së efi</w:t>
      </w:r>
      <w:r w:rsidR="000F02F6" w:rsidRPr="00913E39">
        <w:rPr>
          <w:rFonts w:ascii="Garamond" w:hAnsi="Garamond"/>
          <w:sz w:val="24"/>
          <w:bdr w:val="none" w:sz="0" w:space="0" w:color="auto" w:frame="1"/>
        </w:rPr>
        <w:t>ci</w:t>
      </w:r>
      <w:r w:rsidRPr="00913E39">
        <w:rPr>
          <w:rFonts w:ascii="Garamond" w:hAnsi="Garamond"/>
          <w:sz w:val="24"/>
          <w:bdr w:val="none" w:sz="0" w:space="0" w:color="auto" w:frame="1"/>
        </w:rPr>
        <w:t xml:space="preserve">encës në procesin e shpërndarjes në lidhje me përdorimin e infrastrukturës ekzistuese pasive (të tilla si kanale, kabinete dhe instalimet e antenave); ii) vështirësi në koordinimin e punimeve civile; iii) procedura të lodhshme administrative për dhënien e lejeve; dhe iv) pengesat në vendosjen e infrastrukturës fizike të inkorporuar. Për të lehtësuar dhe nxitur përhapjen e rrjetit, Komisioni propozoi </w:t>
      </w:r>
      <w:r w:rsidR="00B0033A" w:rsidRPr="00913E39">
        <w:rPr>
          <w:rFonts w:ascii="Garamond" w:hAnsi="Garamond"/>
          <w:sz w:val="24"/>
          <w:bdr w:val="none" w:sz="0" w:space="0" w:color="auto" w:frame="1"/>
        </w:rPr>
        <w:t xml:space="preserve">direktivën për uljen e kostos </w:t>
      </w:r>
      <w:r w:rsidRPr="00913E39">
        <w:rPr>
          <w:rFonts w:ascii="Garamond" w:hAnsi="Garamond"/>
          <w:sz w:val="24"/>
          <w:bdr w:val="none" w:sz="0" w:space="0" w:color="auto" w:frame="1"/>
        </w:rPr>
        <w:t xml:space="preserve">me </w:t>
      </w:r>
      <w:r w:rsidRPr="00913E39">
        <w:rPr>
          <w:rFonts w:ascii="Garamond" w:hAnsi="Garamond"/>
          <w:i/>
          <w:sz w:val="24"/>
          <w:bdr w:val="none" w:sz="0" w:space="0" w:color="auto" w:frame="1"/>
        </w:rPr>
        <w:t>Broadband</w:t>
      </w:r>
      <w:r w:rsidRPr="00913E39">
        <w:rPr>
          <w:rFonts w:ascii="Garamond" w:hAnsi="Garamond"/>
          <w:sz w:val="24"/>
          <w:bdr w:val="none" w:sz="0" w:space="0" w:color="auto" w:frame="1"/>
        </w:rPr>
        <w:t xml:space="preserve"> </w:t>
      </w:r>
      <w:r w:rsidR="003878FE" w:rsidRPr="00913E39">
        <w:rPr>
          <w:rFonts w:ascii="Garamond" w:hAnsi="Garamond"/>
          <w:sz w:val="24"/>
          <w:bdr w:val="none" w:sz="0" w:space="0" w:color="auto" w:frame="1"/>
        </w:rPr>
        <w:t>m</w:t>
      </w:r>
      <w:r w:rsidRPr="00913E39">
        <w:rPr>
          <w:rFonts w:ascii="Garamond" w:hAnsi="Garamond"/>
          <w:sz w:val="24"/>
          <w:bdr w:val="none" w:sz="0" w:space="0" w:color="auto" w:frame="1"/>
        </w:rPr>
        <w:t xml:space="preserve">ë 2013 me masa të harmonizuara për të ulur koston e vendosjes së rrjeteve të komunikimeve elektronike me shpejtësi të lartë. Ndërkohë, objektivat e agjendës digjitale mbi të cilat bazohej BCRD janë përmbushur kryesisht, por ato gjithashtu janë vjetruar. </w:t>
      </w:r>
      <w:r w:rsidRPr="00913E39">
        <w:rPr>
          <w:rFonts w:ascii="Garamond" w:hAnsi="Garamond"/>
          <w:sz w:val="24"/>
        </w:rPr>
        <w:t xml:space="preserve">Programi Operacional, nënfusha e </w:t>
      </w:r>
      <w:r w:rsidR="003878FE" w:rsidRPr="00913E39">
        <w:rPr>
          <w:rFonts w:ascii="Garamond" w:hAnsi="Garamond"/>
          <w:sz w:val="24"/>
        </w:rPr>
        <w:t>mbështetjes së lidhjes digjitale</w:t>
      </w:r>
      <w:r w:rsidRPr="00913E39">
        <w:rPr>
          <w:rFonts w:ascii="Garamond" w:hAnsi="Garamond"/>
          <w:sz w:val="24"/>
        </w:rPr>
        <w:t xml:space="preserve"> do të kontribuojë në zbatimin e </w:t>
      </w:r>
      <w:r w:rsidRPr="00913E39">
        <w:rPr>
          <w:rFonts w:ascii="Garamond" w:hAnsi="Garamond"/>
          <w:i/>
          <w:sz w:val="24"/>
        </w:rPr>
        <w:t>acquis</w:t>
      </w:r>
      <w:r w:rsidRPr="00913E39">
        <w:rPr>
          <w:rFonts w:ascii="Garamond" w:hAnsi="Garamond"/>
          <w:sz w:val="24"/>
        </w:rPr>
        <w:t xml:space="preserve">-së të fundit përkatëse të BE-së. </w:t>
      </w:r>
      <w:r w:rsidRPr="00913E39">
        <w:rPr>
          <w:rFonts w:ascii="Garamond" w:hAnsi="Garamond"/>
          <w:b/>
          <w:sz w:val="24"/>
          <w:bdr w:val="none" w:sz="0" w:space="0" w:color="auto" w:frame="1"/>
        </w:rPr>
        <w:t xml:space="preserve">Ligji për </w:t>
      </w:r>
      <w:r w:rsidR="003878FE" w:rsidRPr="00913E39">
        <w:rPr>
          <w:rFonts w:ascii="Garamond" w:hAnsi="Garamond"/>
          <w:b/>
          <w:sz w:val="24"/>
          <w:bdr w:val="none" w:sz="0" w:space="0" w:color="auto" w:frame="1"/>
        </w:rPr>
        <w:t xml:space="preserve">infrastrukturën </w:t>
      </w:r>
      <w:r w:rsidR="003878FE" w:rsidRPr="00913E39">
        <w:rPr>
          <w:rFonts w:ascii="Garamond" w:hAnsi="Garamond"/>
          <w:b/>
          <w:i/>
          <w:sz w:val="24"/>
          <w:bdr w:val="none" w:sz="0" w:space="0" w:color="auto" w:frame="1"/>
        </w:rPr>
        <w:t>gigabit</w:t>
      </w:r>
      <w:r w:rsidR="003878FE" w:rsidRPr="00913E39">
        <w:rPr>
          <w:rFonts w:ascii="Garamond" w:hAnsi="Garamond"/>
          <w:sz w:val="24"/>
          <w:bdr w:val="none" w:sz="0" w:space="0" w:color="auto" w:frame="1"/>
        </w:rPr>
        <w:t xml:space="preserve"> i </w:t>
      </w:r>
      <w:r w:rsidRPr="00913E39">
        <w:rPr>
          <w:rFonts w:ascii="Garamond" w:hAnsi="Garamond"/>
          <w:sz w:val="24"/>
          <w:bdr w:val="none" w:sz="0" w:space="0" w:color="auto" w:frame="1"/>
        </w:rPr>
        <w:t xml:space="preserve">propozuar në mars 2023, synon të adresojë mangësitë e </w:t>
      </w:r>
      <w:r w:rsidR="00B0033A" w:rsidRPr="00913E39">
        <w:rPr>
          <w:rFonts w:ascii="Garamond" w:hAnsi="Garamond"/>
          <w:sz w:val="24"/>
          <w:bdr w:val="none" w:sz="0" w:space="0" w:color="auto" w:frame="1"/>
        </w:rPr>
        <w:t xml:space="preserve">direktivës për uljen e kostos </w:t>
      </w:r>
      <w:r w:rsidRPr="00913E39">
        <w:rPr>
          <w:rFonts w:ascii="Garamond" w:hAnsi="Garamond"/>
          <w:sz w:val="24"/>
          <w:bdr w:val="none" w:sz="0" w:space="0" w:color="auto" w:frame="1"/>
        </w:rPr>
        <w:t xml:space="preserve">me </w:t>
      </w:r>
      <w:r w:rsidRPr="00913E39">
        <w:rPr>
          <w:rFonts w:ascii="Garamond" w:hAnsi="Garamond"/>
          <w:i/>
          <w:sz w:val="24"/>
          <w:bdr w:val="none" w:sz="0" w:space="0" w:color="auto" w:frame="1"/>
        </w:rPr>
        <w:t>broadband</w:t>
      </w:r>
      <w:r w:rsidRPr="00913E39">
        <w:rPr>
          <w:rFonts w:ascii="Garamond" w:hAnsi="Garamond"/>
          <w:sz w:val="24"/>
          <w:bdr w:val="none" w:sz="0" w:space="0" w:color="auto" w:frame="1"/>
        </w:rPr>
        <w:t xml:space="preserve"> 2014 dhe të kontribuojë në vendosjen me kosto efektive dhe në kohë të </w:t>
      </w:r>
      <w:r w:rsidR="004E78DB" w:rsidRPr="00913E39">
        <w:rPr>
          <w:rFonts w:ascii="Garamond" w:hAnsi="Garamond"/>
          <w:sz w:val="24"/>
          <w:bdr w:val="none" w:sz="0" w:space="0" w:color="auto" w:frame="1"/>
        </w:rPr>
        <w:t xml:space="preserve">rrjetit me kapacitet shumë të lartë </w:t>
      </w:r>
      <w:r w:rsidRPr="00913E39">
        <w:rPr>
          <w:rFonts w:ascii="Garamond" w:hAnsi="Garamond"/>
          <w:sz w:val="24"/>
          <w:bdr w:val="none" w:sz="0" w:space="0" w:color="auto" w:frame="1"/>
        </w:rPr>
        <w:t xml:space="preserve">(VHCN) që është i nevojshëm për të përmbushur nevojat në rritje të BE-së për lidhje. Duke pasur parasysh përparimet e shpejta në teknologjitë digjitale, nevojiten investime të konsiderueshme në rrjet për të vazhduar me kërkesat në rritje të </w:t>
      </w:r>
      <w:r w:rsidRPr="00913E39">
        <w:rPr>
          <w:rFonts w:ascii="Garamond" w:hAnsi="Garamond"/>
          <w:i/>
          <w:sz w:val="24"/>
          <w:bdr w:val="none" w:sz="0" w:space="0" w:color="auto" w:frame="1"/>
        </w:rPr>
        <w:t>broadband</w:t>
      </w:r>
      <w:r w:rsidRPr="00913E39">
        <w:rPr>
          <w:rFonts w:ascii="Garamond" w:hAnsi="Garamond"/>
          <w:sz w:val="24"/>
          <w:bdr w:val="none" w:sz="0" w:space="0" w:color="auto" w:frame="1"/>
        </w:rPr>
        <w:t xml:space="preserve">. </w:t>
      </w:r>
    </w:p>
    <w:p w14:paraId="5B6D4404" w14:textId="7DFF9286"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Objektivi</w:t>
      </w:r>
      <w:r w:rsidR="000F02F6" w:rsidRPr="00913E39">
        <w:rPr>
          <w:rFonts w:ascii="Garamond" w:hAnsi="Garamond"/>
          <w:b/>
          <w:sz w:val="24"/>
        </w:rPr>
        <w:t xml:space="preserve"> </w:t>
      </w:r>
      <w:r w:rsidRPr="00913E39">
        <w:rPr>
          <w:rFonts w:ascii="Garamond" w:hAnsi="Garamond"/>
          <w:b/>
          <w:sz w:val="24"/>
        </w:rPr>
        <w:t xml:space="preserve">i përgjithshëm </w:t>
      </w:r>
      <w:r w:rsidRPr="00913E39">
        <w:rPr>
          <w:rFonts w:ascii="Garamond" w:hAnsi="Garamond"/>
          <w:i/>
          <w:sz w:val="24"/>
        </w:rPr>
        <w:t>(</w:t>
      </w:r>
      <w:r w:rsidR="004E78DB" w:rsidRPr="00913E39">
        <w:rPr>
          <w:rFonts w:ascii="Garamond" w:hAnsi="Garamond"/>
          <w:i/>
          <w:sz w:val="24"/>
        </w:rPr>
        <w:t>ndikimi</w:t>
      </w:r>
      <w:r w:rsidRPr="00913E39">
        <w:rPr>
          <w:rFonts w:ascii="Garamond" w:hAnsi="Garamond"/>
          <w:i/>
          <w:sz w:val="24"/>
        </w:rPr>
        <w:t>):</w:t>
      </w:r>
      <w:r w:rsidRPr="00913E39">
        <w:rPr>
          <w:rFonts w:ascii="Garamond" w:hAnsi="Garamond"/>
          <w:sz w:val="24"/>
        </w:rPr>
        <w:t> </w:t>
      </w:r>
      <w:r w:rsidR="004E78DB" w:rsidRPr="00913E39">
        <w:rPr>
          <w:rFonts w:ascii="Garamond" w:hAnsi="Garamond"/>
          <w:sz w:val="24"/>
        </w:rPr>
        <w:t>t</w:t>
      </w:r>
      <w:r w:rsidRPr="00913E39">
        <w:rPr>
          <w:rFonts w:ascii="Garamond" w:hAnsi="Garamond"/>
          <w:sz w:val="24"/>
        </w:rPr>
        <w:t xml:space="preserve">ë promovojë transformimin digjital nëpërmjet përmirësimit mjedisit ligjor dhe rregullator për infrastrukturën </w:t>
      </w:r>
      <w:r w:rsidRPr="00913E39">
        <w:rPr>
          <w:rFonts w:ascii="Garamond" w:hAnsi="Garamond"/>
          <w:i/>
          <w:sz w:val="24"/>
        </w:rPr>
        <w:t>gigabit</w:t>
      </w:r>
      <w:r w:rsidRPr="00913E39">
        <w:rPr>
          <w:rFonts w:ascii="Garamond" w:hAnsi="Garamond"/>
          <w:sz w:val="24"/>
        </w:rPr>
        <w:t xml:space="preserve">, duke rritur qëndrueshmërinë dhe besimin për një lidhje më të mirë digjitale dhe duke nxitur inovacionin dhe agjendën e gjelbër në ndërtimin e infrastrukturës digjitale dhe 5G. </w:t>
      </w:r>
    </w:p>
    <w:p w14:paraId="09D72460" w14:textId="1E3AF44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Objektivi specifik </w:t>
      </w:r>
      <w:r w:rsidRPr="00913E39">
        <w:rPr>
          <w:rFonts w:ascii="Garamond" w:hAnsi="Garamond"/>
          <w:i/>
          <w:sz w:val="24"/>
        </w:rPr>
        <w:t>(</w:t>
      </w:r>
      <w:r w:rsidR="004E78DB" w:rsidRPr="00913E39">
        <w:rPr>
          <w:rFonts w:ascii="Garamond" w:hAnsi="Garamond"/>
          <w:i/>
          <w:sz w:val="24"/>
        </w:rPr>
        <w:t>rezultati</w:t>
      </w:r>
      <w:r w:rsidRPr="00913E39">
        <w:rPr>
          <w:rFonts w:ascii="Garamond" w:hAnsi="Garamond"/>
          <w:i/>
          <w:sz w:val="24"/>
        </w:rPr>
        <w:t xml:space="preserve">): </w:t>
      </w:r>
      <w:r w:rsidR="004E78DB" w:rsidRPr="00913E39">
        <w:rPr>
          <w:rFonts w:ascii="Garamond" w:hAnsi="Garamond"/>
          <w:sz w:val="24"/>
        </w:rPr>
        <w:t>p</w:t>
      </w:r>
      <w:r w:rsidRPr="00913E39">
        <w:rPr>
          <w:rFonts w:ascii="Garamond" w:hAnsi="Garamond"/>
          <w:sz w:val="24"/>
        </w:rPr>
        <w:t>ërmirësimi i lidhjes digjitale e bazuar në VHCN me fibër optike dhe 5G</w:t>
      </w:r>
    </w:p>
    <w:p w14:paraId="1D9B1EF7" w14:textId="584B9405"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 xml:space="preserve">Produktet </w:t>
      </w:r>
      <w:r w:rsidRPr="00913E39">
        <w:rPr>
          <w:rFonts w:ascii="Garamond" w:hAnsi="Garamond"/>
          <w:sz w:val="24"/>
        </w:rPr>
        <w:t xml:space="preserve">që do të ofrohen nën këtë </w:t>
      </w:r>
      <w:r w:rsidRPr="00913E39">
        <w:rPr>
          <w:rFonts w:ascii="Garamond" w:hAnsi="Garamond"/>
          <w:b/>
          <w:sz w:val="24"/>
        </w:rPr>
        <w:t xml:space="preserve">nënfushë të mbështetjes </w:t>
      </w:r>
      <w:r w:rsidRPr="00913E39">
        <w:rPr>
          <w:rFonts w:ascii="Garamond" w:hAnsi="Garamond"/>
          <w:sz w:val="24"/>
        </w:rPr>
        <w:t xml:space="preserve">janë si më poshtë: </w:t>
      </w:r>
      <w:r w:rsidR="004E78DB" w:rsidRPr="00913E39">
        <w:rPr>
          <w:rFonts w:ascii="Garamond" w:hAnsi="Garamond"/>
          <w:sz w:val="24"/>
        </w:rPr>
        <w:t>n</w:t>
      </w:r>
      <w:r w:rsidRPr="00913E39">
        <w:rPr>
          <w:rFonts w:ascii="Garamond" w:hAnsi="Garamond"/>
          <w:sz w:val="24"/>
        </w:rPr>
        <w:t xml:space="preserve">dërlidhja digjitale me rrjete me kapacitet shumë të lartë (VHCN)/infrastruktura </w:t>
      </w:r>
      <w:r w:rsidRPr="00913E39">
        <w:rPr>
          <w:rFonts w:ascii="Garamond" w:hAnsi="Garamond"/>
          <w:i/>
          <w:sz w:val="24"/>
        </w:rPr>
        <w:t>gigabit</w:t>
      </w:r>
      <w:r w:rsidRPr="00913E39">
        <w:rPr>
          <w:rFonts w:ascii="Garamond" w:hAnsi="Garamond"/>
          <w:sz w:val="24"/>
        </w:rPr>
        <w:t xml:space="preserve"> me FO dhe 5G, duke kontribuuar në </w:t>
      </w:r>
      <w:r w:rsidR="004E78DB" w:rsidRPr="00913E39">
        <w:rPr>
          <w:rFonts w:ascii="Garamond" w:hAnsi="Garamond"/>
          <w:sz w:val="24"/>
        </w:rPr>
        <w:t>objektivat specifik</w:t>
      </w:r>
      <w:r w:rsidR="00AA29EF" w:rsidRPr="00913E39">
        <w:rPr>
          <w:rFonts w:ascii="Garamond" w:hAnsi="Garamond"/>
          <w:sz w:val="24"/>
        </w:rPr>
        <w:t>ë</w:t>
      </w:r>
      <w:r w:rsidR="004E78DB" w:rsidRPr="00913E39">
        <w:rPr>
          <w:rFonts w:ascii="Garamond" w:hAnsi="Garamond"/>
          <w:sz w:val="24"/>
        </w:rPr>
        <w:t xml:space="preserve"> (rezultati</w:t>
      </w:r>
      <w:r w:rsidRPr="00913E39">
        <w:rPr>
          <w:rFonts w:ascii="Garamond" w:hAnsi="Garamond"/>
          <w:sz w:val="24"/>
        </w:rPr>
        <w:t>) përkatëse</w:t>
      </w:r>
      <w:r w:rsidR="00AA29EF" w:rsidRPr="00913E39">
        <w:rPr>
          <w:rFonts w:ascii="Garamond" w:hAnsi="Garamond"/>
          <w:sz w:val="24"/>
        </w:rPr>
        <w:t>,</w:t>
      </w:r>
      <w:r w:rsidRPr="00913E39">
        <w:rPr>
          <w:rFonts w:ascii="Garamond" w:hAnsi="Garamond"/>
          <w:sz w:val="24"/>
        </w:rPr>
        <w:t xml:space="preserve"> janë: </w:t>
      </w:r>
    </w:p>
    <w:p w14:paraId="62FFA406" w14:textId="4458869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Studimi </w:t>
      </w:r>
      <w:r w:rsidR="004E78DB" w:rsidRPr="00913E39">
        <w:rPr>
          <w:rFonts w:ascii="Garamond" w:hAnsi="Garamond"/>
          <w:sz w:val="24"/>
        </w:rPr>
        <w:t xml:space="preserve">gjeografik </w:t>
      </w:r>
      <w:r w:rsidRPr="00913E39">
        <w:rPr>
          <w:rFonts w:ascii="Garamond" w:hAnsi="Garamond"/>
          <w:sz w:val="24"/>
        </w:rPr>
        <w:t xml:space="preserve">për rrjetin </w:t>
      </w:r>
      <w:r w:rsidRPr="00913E39">
        <w:rPr>
          <w:rFonts w:ascii="Garamond" w:hAnsi="Garamond"/>
          <w:i/>
          <w:sz w:val="24"/>
        </w:rPr>
        <w:t>broadband</w:t>
      </w:r>
      <w:r w:rsidRPr="00913E39">
        <w:rPr>
          <w:rFonts w:ascii="Garamond" w:hAnsi="Garamond"/>
          <w:sz w:val="24"/>
        </w:rPr>
        <w:t>, VHCN</w:t>
      </w:r>
    </w:p>
    <w:p w14:paraId="04446029" w14:textId="43FEAE7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Hartimi i </w:t>
      </w:r>
      <w:r w:rsidR="004E78DB" w:rsidRPr="00913E39">
        <w:rPr>
          <w:rFonts w:ascii="Garamond" w:hAnsi="Garamond"/>
          <w:sz w:val="24"/>
        </w:rPr>
        <w:t xml:space="preserve">ligjit </w:t>
      </w:r>
      <w:r w:rsidRPr="00913E39">
        <w:rPr>
          <w:rFonts w:ascii="Garamond" w:hAnsi="Garamond"/>
          <w:sz w:val="24"/>
        </w:rPr>
        <w:t xml:space="preserve">për </w:t>
      </w:r>
      <w:r w:rsidR="004E78DB" w:rsidRPr="00913E39">
        <w:rPr>
          <w:rFonts w:ascii="Garamond" w:hAnsi="Garamond"/>
          <w:sz w:val="24"/>
        </w:rPr>
        <w:t xml:space="preserve">infrastrukturën </w:t>
      </w:r>
      <w:r w:rsidR="004E78DB" w:rsidRPr="00913E39">
        <w:rPr>
          <w:rFonts w:ascii="Garamond" w:hAnsi="Garamond"/>
          <w:i/>
          <w:sz w:val="24"/>
        </w:rPr>
        <w:t>gigabit</w:t>
      </w:r>
      <w:r w:rsidRPr="00913E39">
        <w:rPr>
          <w:rFonts w:ascii="Garamond" w:hAnsi="Garamond"/>
          <w:sz w:val="24"/>
        </w:rPr>
        <w:t>.</w:t>
      </w:r>
    </w:p>
    <w:p w14:paraId="4E29C089"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Përgatitja e studimit teknik për rastet e përdorimit të 5G në komunitetet digjitale.</w:t>
      </w:r>
    </w:p>
    <w:p w14:paraId="32CC3817"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Zhvillimi i projektit pilot për rastet e përdorimit 5G.</w:t>
      </w:r>
    </w:p>
    <w:p w14:paraId="5F90888B" w14:textId="2D3EF0E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Rrjedhimisht, për komponentët: </w:t>
      </w:r>
      <w:r w:rsidR="004E78DB" w:rsidRPr="00913E39">
        <w:rPr>
          <w:rFonts w:ascii="Garamond" w:hAnsi="Garamond"/>
          <w:b/>
          <w:sz w:val="24"/>
        </w:rPr>
        <w:t xml:space="preserve">komponenti </w:t>
      </w:r>
      <w:r w:rsidRPr="00913E39">
        <w:rPr>
          <w:rFonts w:ascii="Garamond" w:hAnsi="Garamond"/>
          <w:b/>
          <w:sz w:val="24"/>
        </w:rPr>
        <w:t>1</w:t>
      </w:r>
      <w:r w:rsidRPr="00913E39">
        <w:rPr>
          <w:rFonts w:ascii="Garamond" w:hAnsi="Garamond"/>
          <w:sz w:val="24"/>
        </w:rPr>
        <w:t xml:space="preserve">: </w:t>
      </w:r>
      <w:r w:rsidR="004E78DB" w:rsidRPr="00913E39">
        <w:rPr>
          <w:rFonts w:ascii="Garamond" w:hAnsi="Garamond"/>
          <w:sz w:val="24"/>
        </w:rPr>
        <w:t xml:space="preserve">ligji </w:t>
      </w:r>
      <w:r w:rsidRPr="00913E39">
        <w:rPr>
          <w:rFonts w:ascii="Garamond" w:hAnsi="Garamond"/>
          <w:sz w:val="24"/>
        </w:rPr>
        <w:t xml:space="preserve">për </w:t>
      </w:r>
      <w:r w:rsidR="004E78DB" w:rsidRPr="00913E39">
        <w:rPr>
          <w:rFonts w:ascii="Garamond" w:hAnsi="Garamond"/>
          <w:sz w:val="24"/>
        </w:rPr>
        <w:t xml:space="preserve">infrastrukturën </w:t>
      </w:r>
      <w:r w:rsidR="004E78DB" w:rsidRPr="00913E39">
        <w:rPr>
          <w:rFonts w:ascii="Garamond" w:hAnsi="Garamond"/>
          <w:i/>
          <w:sz w:val="24"/>
        </w:rPr>
        <w:t>gigabit</w:t>
      </w:r>
      <w:r w:rsidR="004E78DB" w:rsidRPr="00913E39">
        <w:rPr>
          <w:rFonts w:ascii="Garamond" w:hAnsi="Garamond"/>
          <w:sz w:val="24"/>
        </w:rPr>
        <w:t xml:space="preserve"> </w:t>
      </w:r>
      <w:r w:rsidRPr="00913E39">
        <w:rPr>
          <w:rFonts w:ascii="Garamond" w:hAnsi="Garamond"/>
          <w:sz w:val="24"/>
        </w:rPr>
        <w:t xml:space="preserve">dhe masat zbatuese të tij </w:t>
      </w:r>
      <w:r w:rsidR="004E78DB" w:rsidRPr="00913E39">
        <w:rPr>
          <w:rFonts w:ascii="Garamond" w:hAnsi="Garamond"/>
          <w:b/>
          <w:sz w:val="24"/>
        </w:rPr>
        <w:t xml:space="preserve">komponenti </w:t>
      </w:r>
      <w:r w:rsidRPr="00913E39">
        <w:rPr>
          <w:rFonts w:ascii="Garamond" w:hAnsi="Garamond"/>
          <w:b/>
          <w:sz w:val="24"/>
        </w:rPr>
        <w:t>2:</w:t>
      </w:r>
      <w:r w:rsidRPr="00913E39">
        <w:rPr>
          <w:rFonts w:ascii="Garamond" w:hAnsi="Garamond"/>
          <w:sz w:val="24"/>
        </w:rPr>
        <w:t xml:space="preserve"> </w:t>
      </w:r>
      <w:r w:rsidR="004E78DB" w:rsidRPr="00913E39">
        <w:rPr>
          <w:rFonts w:ascii="Garamond" w:hAnsi="Garamond"/>
          <w:sz w:val="24"/>
        </w:rPr>
        <w:t>z</w:t>
      </w:r>
      <w:r w:rsidRPr="00913E39">
        <w:rPr>
          <w:rFonts w:ascii="Garamond" w:hAnsi="Garamond"/>
          <w:sz w:val="24"/>
        </w:rPr>
        <w:t xml:space="preserve">batimi i rasteve të përdorimit të 5G për komunitetin digjital, aktivitetet e parashikuara në Programin Operacional synojnë: </w:t>
      </w:r>
    </w:p>
    <w:p w14:paraId="46D3338F"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të përmirësojnë</w:t>
      </w:r>
      <w:r w:rsidRPr="00913E39">
        <w:rPr>
          <w:rFonts w:ascii="Garamond" w:hAnsi="Garamond"/>
          <w:sz w:val="24"/>
        </w:rPr>
        <w:t xml:space="preserve"> aktet ligjore dhe rregullatore, duke hartuar aktet ligjore dhe rregulloret përkatëse për zhvillimin e infrastrukturës </w:t>
      </w:r>
      <w:r w:rsidRPr="00913E39">
        <w:rPr>
          <w:rFonts w:ascii="Garamond" w:hAnsi="Garamond"/>
          <w:i/>
          <w:sz w:val="24"/>
        </w:rPr>
        <w:t>gigabit</w:t>
      </w:r>
      <w:r w:rsidRPr="00913E39">
        <w:rPr>
          <w:rFonts w:ascii="Garamond" w:hAnsi="Garamond"/>
          <w:sz w:val="24"/>
        </w:rPr>
        <w:t xml:space="preserve"> në përputhje me </w:t>
      </w:r>
      <w:r w:rsidRPr="00913E39">
        <w:rPr>
          <w:rFonts w:ascii="Garamond" w:hAnsi="Garamond"/>
          <w:i/>
          <w:sz w:val="24"/>
        </w:rPr>
        <w:t>acquis</w:t>
      </w:r>
      <w:r w:rsidRPr="00913E39">
        <w:rPr>
          <w:rFonts w:ascii="Garamond" w:hAnsi="Garamond"/>
          <w:sz w:val="24"/>
        </w:rPr>
        <w:t xml:space="preserve"> përkatëse të BE-së</w:t>
      </w:r>
      <w:r w:rsidRPr="00913E39">
        <w:rPr>
          <w:rFonts w:ascii="Garamond" w:hAnsi="Garamond"/>
          <w:sz w:val="24"/>
          <w:vertAlign w:val="superscript"/>
        </w:rPr>
        <w:footnoteReference w:id="86"/>
      </w:r>
      <w:r w:rsidRPr="00913E39">
        <w:rPr>
          <w:rFonts w:ascii="Garamond" w:hAnsi="Garamond"/>
          <w:sz w:val="24"/>
        </w:rPr>
        <w:t>;</w:t>
      </w:r>
    </w:p>
    <w:p w14:paraId="2F6DC07A"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të zhvillojnë</w:t>
      </w:r>
      <w:r w:rsidRPr="00913E39">
        <w:rPr>
          <w:rFonts w:ascii="Garamond" w:hAnsi="Garamond"/>
          <w:sz w:val="24"/>
        </w:rPr>
        <w:t xml:space="preserve"> më tej infrastrukturën digjitale, rrjetet dhe shërbimet e së ardhmes, bazuar në një rrjet komunikimi të hapur, global, të ndërveprueshëm, të besueshëm dhe të sigurt, ku respektohen të drejtat e njeriut, vlerat demokratike dhe drejtësia;</w:t>
      </w:r>
    </w:p>
    <w:p w14:paraId="207DE5C2" w14:textId="084BE15B"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të sigurojnë</w:t>
      </w:r>
      <w:r w:rsidRPr="00913E39">
        <w:rPr>
          <w:rFonts w:ascii="Garamond" w:hAnsi="Garamond"/>
          <w:sz w:val="24"/>
        </w:rPr>
        <w:t xml:space="preserve"> rritjen e kapaciteteve për autoritetet përkatëse përgjegjëse për zbatimin e kuadrit ligjor dhe rregullator të infrastrukturës </w:t>
      </w:r>
      <w:r w:rsidRPr="00913E39">
        <w:rPr>
          <w:rFonts w:ascii="Garamond" w:hAnsi="Garamond"/>
          <w:i/>
          <w:sz w:val="24"/>
        </w:rPr>
        <w:t>gigabit</w:t>
      </w:r>
      <w:r w:rsidRPr="00913E39">
        <w:rPr>
          <w:rFonts w:ascii="Garamond" w:hAnsi="Garamond"/>
          <w:sz w:val="24"/>
        </w:rPr>
        <w:t xml:space="preserve"> në nivel qendror dhe lokal për të sjellë lidhjen </w:t>
      </w:r>
      <w:r w:rsidRPr="00913E39">
        <w:rPr>
          <w:rFonts w:ascii="Garamond" w:hAnsi="Garamond"/>
          <w:i/>
          <w:sz w:val="24"/>
        </w:rPr>
        <w:t>broadband</w:t>
      </w:r>
      <w:r w:rsidRPr="00913E39">
        <w:rPr>
          <w:rFonts w:ascii="Garamond" w:hAnsi="Garamond"/>
          <w:sz w:val="24"/>
        </w:rPr>
        <w:t xml:space="preserve"> për të gjithë qytetarët, me theks në tejkalimin e hendekut digjital midis zonave urbane dhe rurale dhe arritjen e objektivave të</w:t>
      </w:r>
      <w:hyperlink r:id="rId41" w:tgtFrame="_blank" w:history="1">
        <w:r w:rsidR="00511AEA" w:rsidRPr="00913E39">
          <w:rPr>
            <w:rFonts w:ascii="Garamond" w:hAnsi="Garamond"/>
            <w:sz w:val="24"/>
            <w:u w:val="single"/>
          </w:rPr>
          <w:t xml:space="preserve"> </w:t>
        </w:r>
        <w:r w:rsidRPr="00913E39">
          <w:rPr>
            <w:rFonts w:ascii="Garamond" w:hAnsi="Garamond"/>
            <w:sz w:val="24"/>
            <w:u w:val="single"/>
          </w:rPr>
          <w:t>Shoqërisë Gigabit</w:t>
        </w:r>
      </w:hyperlink>
      <w:r w:rsidR="00107B9B" w:rsidRPr="00913E39">
        <w:rPr>
          <w:rFonts w:ascii="Garamond" w:hAnsi="Garamond"/>
          <w:sz w:val="24"/>
        </w:rPr>
        <w:t>;</w:t>
      </w:r>
    </w:p>
    <w:p w14:paraId="18E40A5D"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të ideojnë</w:t>
      </w:r>
      <w:r w:rsidRPr="00913E39">
        <w:rPr>
          <w:rFonts w:ascii="Garamond" w:hAnsi="Garamond"/>
          <w:sz w:val="24"/>
        </w:rPr>
        <w:t xml:space="preserve"> </w:t>
      </w:r>
      <w:r w:rsidRPr="00913E39">
        <w:rPr>
          <w:rFonts w:ascii="Garamond" w:hAnsi="Garamond"/>
          <w:i/>
          <w:sz w:val="24"/>
        </w:rPr>
        <w:t>dhe të zhvillojnë</w:t>
      </w:r>
      <w:r w:rsidRPr="00913E39">
        <w:rPr>
          <w:rFonts w:ascii="Garamond" w:hAnsi="Garamond"/>
          <w:sz w:val="24"/>
        </w:rPr>
        <w:t xml:space="preserve"> rastet e përdorimit të 5G për komunitetin digjital nëpërmjet rrjeteve të sigurta dhe elastike 5G bazuar në përvojat e Paketës 5G të BE-së dhe parimet e agjendës së gjelbër. </w:t>
      </w:r>
    </w:p>
    <w:p w14:paraId="7F6E3ED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Tipologjitë e produkteve:</w:t>
      </w:r>
    </w:p>
    <w:p w14:paraId="436CB822" w14:textId="008330F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lastRenderedPageBreak/>
        <w:t>MIE-së do t</w:t>
      </w:r>
      <w:r w:rsidR="005222A5" w:rsidRPr="00913E39">
        <w:rPr>
          <w:rFonts w:ascii="Garamond" w:hAnsi="Garamond"/>
          <w:sz w:val="24"/>
        </w:rPr>
        <w:t>’</w:t>
      </w:r>
      <w:r w:rsidRPr="00913E39">
        <w:rPr>
          <w:rFonts w:ascii="Garamond" w:hAnsi="Garamond"/>
          <w:sz w:val="24"/>
        </w:rPr>
        <w:t xml:space="preserve">i ofrohet asistencë teknike për të kryer studimet e vlerësimit për </w:t>
      </w:r>
      <w:r w:rsidRPr="00913E39">
        <w:rPr>
          <w:rFonts w:ascii="Garamond" w:hAnsi="Garamond"/>
          <w:i/>
          <w:sz w:val="24"/>
        </w:rPr>
        <w:t>broadband</w:t>
      </w:r>
      <w:r w:rsidRPr="00913E39">
        <w:rPr>
          <w:rFonts w:ascii="Garamond" w:hAnsi="Garamond"/>
          <w:sz w:val="24"/>
        </w:rPr>
        <w:t xml:space="preserve">, legjislacionin për infrastrukturën </w:t>
      </w:r>
      <w:r w:rsidRPr="00913E39">
        <w:rPr>
          <w:rFonts w:ascii="Garamond" w:hAnsi="Garamond"/>
          <w:i/>
          <w:sz w:val="24"/>
        </w:rPr>
        <w:t>gigabit</w:t>
      </w:r>
      <w:r w:rsidRPr="00913E39">
        <w:rPr>
          <w:rFonts w:ascii="Garamond" w:hAnsi="Garamond"/>
          <w:sz w:val="24"/>
        </w:rPr>
        <w:t xml:space="preserve">, me qëllim rishikimin e kuadrit ligjor dhe rregullator ekzistues për infrastrukturën </w:t>
      </w:r>
      <w:r w:rsidRPr="00913E39">
        <w:rPr>
          <w:rFonts w:ascii="Garamond" w:hAnsi="Garamond"/>
          <w:i/>
          <w:sz w:val="24"/>
        </w:rPr>
        <w:t>gigabit</w:t>
      </w:r>
      <w:r w:rsidRPr="00913E39">
        <w:rPr>
          <w:rFonts w:ascii="Garamond" w:hAnsi="Garamond"/>
          <w:sz w:val="24"/>
        </w:rPr>
        <w:t xml:space="preserve">, për të adresuar pengesat, për të harmonizuar ligjin për </w:t>
      </w:r>
      <w:r w:rsidRPr="00913E39">
        <w:rPr>
          <w:rFonts w:ascii="Garamond" w:hAnsi="Garamond"/>
          <w:i/>
          <w:sz w:val="24"/>
        </w:rPr>
        <w:t>broadband</w:t>
      </w:r>
      <w:r w:rsidRPr="00913E39">
        <w:rPr>
          <w:rFonts w:ascii="Garamond" w:hAnsi="Garamond"/>
          <w:sz w:val="24"/>
          <w:vertAlign w:val="superscript"/>
        </w:rPr>
        <w:footnoteReference w:id="87"/>
      </w:r>
      <w:r w:rsidRPr="00913E39">
        <w:rPr>
          <w:rFonts w:ascii="Garamond" w:hAnsi="Garamond"/>
          <w:sz w:val="24"/>
        </w:rPr>
        <w:t xml:space="preserve"> me ligjin e ri për komunikimin elektronik</w:t>
      </w:r>
      <w:r w:rsidRPr="00913E39">
        <w:rPr>
          <w:rFonts w:ascii="Garamond" w:hAnsi="Garamond"/>
          <w:sz w:val="24"/>
          <w:vertAlign w:val="superscript"/>
        </w:rPr>
        <w:footnoteReference w:id="88"/>
      </w:r>
      <w:r w:rsidRPr="00913E39">
        <w:rPr>
          <w:rFonts w:ascii="Garamond" w:hAnsi="Garamond"/>
          <w:sz w:val="24"/>
        </w:rPr>
        <w:t xml:space="preserve"> në mënyrë që të promovohet vendosja e infrastrukturës </w:t>
      </w:r>
      <w:r w:rsidRPr="00913E39">
        <w:rPr>
          <w:rFonts w:ascii="Garamond" w:hAnsi="Garamond"/>
          <w:i/>
          <w:sz w:val="24"/>
        </w:rPr>
        <w:t>gigabit</w:t>
      </w:r>
      <w:r w:rsidRPr="00913E39">
        <w:rPr>
          <w:rFonts w:ascii="Garamond" w:hAnsi="Garamond"/>
          <w:sz w:val="24"/>
        </w:rPr>
        <w:t xml:space="preserve"> bazuar në praktikën e BE-së. </w:t>
      </w:r>
    </w:p>
    <w:p w14:paraId="3CE0D2E2" w14:textId="628AF00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Asistenca teknike do të mbështesë MIE</w:t>
      </w:r>
      <w:r w:rsidR="000F02F6" w:rsidRPr="00913E39">
        <w:rPr>
          <w:rFonts w:ascii="Garamond" w:hAnsi="Garamond"/>
          <w:sz w:val="24"/>
        </w:rPr>
        <w:t>-n</w:t>
      </w:r>
      <w:r w:rsidRPr="00913E39">
        <w:rPr>
          <w:rFonts w:ascii="Garamond" w:hAnsi="Garamond"/>
          <w:sz w:val="24"/>
        </w:rPr>
        <w:t xml:space="preserve"> dhe AKEP</w:t>
      </w:r>
      <w:r w:rsidR="000F02F6" w:rsidRPr="00913E39">
        <w:rPr>
          <w:rFonts w:ascii="Garamond" w:hAnsi="Garamond"/>
          <w:sz w:val="24"/>
        </w:rPr>
        <w:t>-in</w:t>
      </w:r>
      <w:r w:rsidRPr="00913E39">
        <w:rPr>
          <w:rFonts w:ascii="Garamond" w:hAnsi="Garamond"/>
          <w:sz w:val="24"/>
        </w:rPr>
        <w:t xml:space="preserve"> për të kryer studimin gjeografik për infrastrukturën </w:t>
      </w:r>
      <w:r w:rsidRPr="00913E39">
        <w:rPr>
          <w:rFonts w:ascii="Garamond" w:hAnsi="Garamond"/>
          <w:i/>
          <w:sz w:val="24"/>
        </w:rPr>
        <w:t>broadband</w:t>
      </w:r>
      <w:r w:rsidRPr="00913E39">
        <w:rPr>
          <w:rFonts w:ascii="Garamond" w:hAnsi="Garamond"/>
          <w:sz w:val="24"/>
        </w:rPr>
        <w:t>, duke përfshirë rrjetet me kapacitet shumë të lartë (VHCN) dhe për të kryer një studim teknik për rastet e përdorimit të 5G në komunitetet digjitale, i cili përfshin edhe aspektet mjedisore dhe klimatike: menaxhimi i mbetjeve elektronike në zonë, mundësitë për ekonominë qarkore, ripërdorimi dhe riparimi, si dhe masat për efic</w:t>
      </w:r>
      <w:r w:rsidR="00511AEA" w:rsidRPr="00913E39">
        <w:rPr>
          <w:rFonts w:ascii="Garamond" w:hAnsi="Garamond"/>
          <w:sz w:val="24"/>
        </w:rPr>
        <w:t>i</w:t>
      </w:r>
      <w:r w:rsidRPr="00913E39">
        <w:rPr>
          <w:rFonts w:ascii="Garamond" w:hAnsi="Garamond"/>
          <w:sz w:val="24"/>
        </w:rPr>
        <w:t xml:space="preserve">encën e energjisë. </w:t>
      </w:r>
    </w:p>
    <w:p w14:paraId="1806FC79" w14:textId="69AFC10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Në kuadër të kësaj asistence teknike kërkohet rritja e kapaciteteve të aktorëve përkatës, stafit të MIE</w:t>
      </w:r>
      <w:r w:rsidR="00511AEA" w:rsidRPr="00913E39">
        <w:rPr>
          <w:rFonts w:ascii="Garamond" w:hAnsi="Garamond"/>
          <w:sz w:val="24"/>
        </w:rPr>
        <w:t>-s</w:t>
      </w:r>
      <w:r w:rsidRPr="00913E39">
        <w:rPr>
          <w:rFonts w:ascii="Garamond" w:hAnsi="Garamond"/>
          <w:sz w:val="24"/>
        </w:rPr>
        <w:t xml:space="preserve"> dhe AKEP-it, si dhe të institucioneve të tjera të lidhura me zbatimin e rregulloreve të reja për infrastrukturën </w:t>
      </w:r>
      <w:r w:rsidRPr="00913E39">
        <w:rPr>
          <w:rFonts w:ascii="Garamond" w:hAnsi="Garamond"/>
          <w:i/>
          <w:sz w:val="24"/>
        </w:rPr>
        <w:t>gigabit</w:t>
      </w:r>
      <w:r w:rsidRPr="00913E39">
        <w:rPr>
          <w:rFonts w:ascii="Garamond" w:hAnsi="Garamond"/>
          <w:sz w:val="24"/>
        </w:rPr>
        <w:t>.</w:t>
      </w:r>
    </w:p>
    <w:p w14:paraId="5F1075A9" w14:textId="7651998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Përveç asistencës teknike, angazhimi dhe aktivitetet e ndërgjegjësimit do të kryhen për të shfaqur gjetjet dhe për të inkurajuar palët përkatëse të interesuara siç janë autoritetet e planifikimit të territorit, bashkitë që të adoptojnë përpjekjet e tyre për nevojat e zhvillimit të mëtejshëm të lidhjes digjitale bazuar në VHCN (të paktën një Konferencë Kombëtare mbi Ligjin për </w:t>
      </w:r>
      <w:r w:rsidR="000F02F6" w:rsidRPr="00913E39">
        <w:rPr>
          <w:rFonts w:ascii="Garamond" w:hAnsi="Garamond"/>
          <w:sz w:val="24"/>
        </w:rPr>
        <w:t xml:space="preserve">Infrastrukturën </w:t>
      </w:r>
      <w:r w:rsidR="000F02F6" w:rsidRPr="00913E39">
        <w:rPr>
          <w:rFonts w:ascii="Garamond" w:hAnsi="Garamond"/>
          <w:i/>
          <w:sz w:val="24"/>
        </w:rPr>
        <w:t>Gigabit</w:t>
      </w:r>
      <w:r w:rsidR="000F02F6" w:rsidRPr="00913E39">
        <w:rPr>
          <w:rFonts w:ascii="Garamond" w:hAnsi="Garamond"/>
          <w:sz w:val="24"/>
        </w:rPr>
        <w:t xml:space="preserve"> </w:t>
      </w:r>
      <w:r w:rsidRPr="00913E39">
        <w:rPr>
          <w:rFonts w:ascii="Garamond" w:hAnsi="Garamond"/>
          <w:sz w:val="24"/>
        </w:rPr>
        <w:t>dhe 3 seminare).</w:t>
      </w:r>
    </w:p>
    <w:p w14:paraId="157ECE15" w14:textId="77777777" w:rsidR="00847F23" w:rsidRPr="00913E39" w:rsidRDefault="00847F23" w:rsidP="00FC4C60">
      <w:pPr>
        <w:spacing w:after="0" w:line="240" w:lineRule="auto"/>
        <w:ind w:firstLine="284"/>
        <w:jc w:val="both"/>
        <w:rPr>
          <w:rFonts w:ascii="Garamond" w:hAnsi="Garamond"/>
          <w:sz w:val="24"/>
        </w:rPr>
      </w:pPr>
    </w:p>
    <w:p w14:paraId="3CB4AE81" w14:textId="44AF4FB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Tabela 22</w:t>
      </w:r>
      <w:r w:rsidR="00511AEA" w:rsidRPr="00913E39">
        <w:rPr>
          <w:rFonts w:ascii="Garamond" w:hAnsi="Garamond"/>
          <w:i/>
          <w:sz w:val="24"/>
        </w:rPr>
        <w:t>.</w:t>
      </w:r>
      <w:r w:rsidRPr="00913E39">
        <w:rPr>
          <w:rFonts w:ascii="Garamond" w:hAnsi="Garamond"/>
          <w:i/>
          <w:sz w:val="24"/>
        </w:rPr>
        <w:t xml:space="preserve"> Ndërlidhja digjitale, </w:t>
      </w:r>
      <w:r w:rsidR="00511AEA" w:rsidRPr="00913E39">
        <w:rPr>
          <w:rFonts w:ascii="Garamond" w:hAnsi="Garamond"/>
          <w:i/>
          <w:sz w:val="24"/>
        </w:rPr>
        <w:t>n</w:t>
      </w:r>
      <w:r w:rsidRPr="00913E39">
        <w:rPr>
          <w:rFonts w:ascii="Garamond" w:hAnsi="Garamond"/>
          <w:i/>
          <w:sz w:val="24"/>
        </w:rPr>
        <w:t>dikimi, rezultati dhe treguesit e produktit (përfshirë bazën e referimit dhe synimet)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8"/>
        <w:gridCol w:w="2131"/>
        <w:gridCol w:w="2227"/>
        <w:gridCol w:w="1419"/>
        <w:gridCol w:w="993"/>
        <w:gridCol w:w="996"/>
      </w:tblGrid>
      <w:tr w:rsidR="00847F23" w:rsidRPr="00913E39" w14:paraId="53EF3936" w14:textId="77777777" w:rsidTr="000F02F6">
        <w:trPr>
          <w:trHeight w:val="20"/>
        </w:trPr>
        <w:tc>
          <w:tcPr>
            <w:tcW w:w="7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77183"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Rezultatet</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EAA8F3"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Objektivi</w:t>
            </w:r>
          </w:p>
        </w:tc>
        <w:tc>
          <w:tcPr>
            <w:tcW w:w="12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603D95"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Treguesi</w:t>
            </w: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2745A9"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Treguesi kryesor ose Njësia matëse</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4BA837A4"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Baza e referimit</w:t>
            </w:r>
          </w:p>
          <w:p w14:paraId="0F6B60DA"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(2022)</w:t>
            </w:r>
          </w:p>
        </w:tc>
        <w:tc>
          <w:tcPr>
            <w:tcW w:w="5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6F4F9B"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Fokusi</w:t>
            </w:r>
          </w:p>
          <w:p w14:paraId="3A4DC0EE"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(2032)</w:t>
            </w:r>
          </w:p>
        </w:tc>
      </w:tr>
      <w:tr w:rsidR="00847F23" w:rsidRPr="00913E39" w14:paraId="291A51D9" w14:textId="77777777" w:rsidTr="000F02F6">
        <w:trPr>
          <w:trHeight w:val="20"/>
        </w:trPr>
        <w:tc>
          <w:tcPr>
            <w:tcW w:w="721" w:type="pct"/>
            <w:tcBorders>
              <w:top w:val="single" w:sz="4" w:space="0" w:color="auto"/>
              <w:left w:val="single" w:sz="4" w:space="0" w:color="auto"/>
              <w:bottom w:val="single" w:sz="4" w:space="0" w:color="auto"/>
              <w:right w:val="single" w:sz="4" w:space="0" w:color="auto"/>
            </w:tcBorders>
            <w:shd w:val="clear" w:color="auto" w:fill="auto"/>
            <w:hideMark/>
          </w:tcPr>
          <w:p w14:paraId="1B72A2CA" w14:textId="77777777" w:rsidR="00847F23" w:rsidRPr="00913E39" w:rsidRDefault="00847F23" w:rsidP="004F525C">
            <w:pPr>
              <w:spacing w:after="0" w:line="240" w:lineRule="auto"/>
              <w:jc w:val="both"/>
              <w:rPr>
                <w:rFonts w:ascii="Garamond" w:hAnsi="Garamond"/>
                <w:b/>
                <w:sz w:val="20"/>
              </w:rPr>
            </w:pPr>
            <w:r w:rsidRPr="00913E39">
              <w:rPr>
                <w:rFonts w:ascii="Garamond" w:hAnsi="Garamond"/>
                <w:b/>
                <w:sz w:val="20"/>
              </w:rPr>
              <w:t>Ndikimi</w:t>
            </w:r>
          </w:p>
        </w:tc>
        <w:tc>
          <w:tcPr>
            <w:tcW w:w="1174" w:type="pct"/>
            <w:tcBorders>
              <w:top w:val="single" w:sz="4" w:space="0" w:color="auto"/>
              <w:left w:val="single" w:sz="4" w:space="0" w:color="auto"/>
              <w:bottom w:val="single" w:sz="4" w:space="0" w:color="auto"/>
              <w:right w:val="single" w:sz="4" w:space="0" w:color="auto"/>
            </w:tcBorders>
            <w:shd w:val="clear" w:color="auto" w:fill="auto"/>
            <w:hideMark/>
          </w:tcPr>
          <w:p w14:paraId="17DBCE84" w14:textId="77777777" w:rsidR="00847F23" w:rsidRPr="00913E39" w:rsidRDefault="00847F23" w:rsidP="004F525C">
            <w:pPr>
              <w:spacing w:after="0" w:line="240" w:lineRule="auto"/>
              <w:rPr>
                <w:rFonts w:ascii="Garamond" w:hAnsi="Garamond"/>
                <w:sz w:val="20"/>
              </w:rPr>
            </w:pPr>
            <w:r w:rsidRPr="00913E39">
              <w:rPr>
                <w:rFonts w:ascii="Garamond" w:hAnsi="Garamond"/>
                <w:sz w:val="20"/>
              </w:rPr>
              <w:t>Zbatimi i avancuar i Agjendës Digjitale të Shqipërisë në sektorë të përzgjedhur.</w:t>
            </w: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668E5B18"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Indeksi i Ekonomisë Shoqërisë Digjitale në Ballkanin Perëndimor</w:t>
            </w:r>
            <w:r w:rsidRPr="00913E39">
              <w:rPr>
                <w:rFonts w:ascii="Garamond" w:hAnsi="Garamond"/>
                <w:sz w:val="20"/>
                <w:vertAlign w:val="superscript"/>
              </w:rPr>
              <w:footnoteReference w:id="89"/>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7E4989F2"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Pikët </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63E0E22"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30.2</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75B12D0D"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Rritja</w:t>
            </w:r>
          </w:p>
        </w:tc>
      </w:tr>
      <w:tr w:rsidR="00847F23" w:rsidRPr="00913E39" w14:paraId="75F9B239" w14:textId="77777777" w:rsidTr="000F02F6">
        <w:trPr>
          <w:trHeight w:val="20"/>
        </w:trPr>
        <w:tc>
          <w:tcPr>
            <w:tcW w:w="72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1C2AAB3" w14:textId="77777777" w:rsidR="00847F23" w:rsidRPr="00913E39" w:rsidRDefault="00847F23" w:rsidP="004F525C">
            <w:pPr>
              <w:spacing w:after="0" w:line="240" w:lineRule="auto"/>
              <w:jc w:val="both"/>
              <w:rPr>
                <w:rFonts w:ascii="Garamond" w:hAnsi="Garamond"/>
                <w:b/>
                <w:sz w:val="20"/>
              </w:rPr>
            </w:pPr>
            <w:r w:rsidRPr="00913E39">
              <w:rPr>
                <w:rFonts w:ascii="Garamond" w:hAnsi="Garamond"/>
                <w:b/>
                <w:sz w:val="20"/>
              </w:rPr>
              <w:t>Rezultati 6</w:t>
            </w:r>
          </w:p>
        </w:tc>
        <w:tc>
          <w:tcPr>
            <w:tcW w:w="1174" w:type="pct"/>
            <w:vMerge w:val="restart"/>
            <w:tcBorders>
              <w:top w:val="single" w:sz="4" w:space="0" w:color="auto"/>
              <w:left w:val="single" w:sz="4" w:space="0" w:color="auto"/>
              <w:bottom w:val="single" w:sz="4" w:space="0" w:color="auto"/>
              <w:right w:val="single" w:sz="4" w:space="0" w:color="auto"/>
            </w:tcBorders>
            <w:shd w:val="clear" w:color="auto" w:fill="auto"/>
          </w:tcPr>
          <w:p w14:paraId="541B900F" w14:textId="4BA26FE3" w:rsidR="00847F23" w:rsidRPr="00913E39" w:rsidRDefault="00847F23" w:rsidP="004F525C">
            <w:pPr>
              <w:spacing w:after="0" w:line="240" w:lineRule="auto"/>
              <w:rPr>
                <w:rFonts w:ascii="Garamond" w:hAnsi="Garamond"/>
                <w:sz w:val="20"/>
              </w:rPr>
            </w:pPr>
            <w:r w:rsidRPr="00913E39">
              <w:rPr>
                <w:rFonts w:ascii="Garamond" w:hAnsi="Garamond"/>
                <w:sz w:val="20"/>
              </w:rPr>
              <w:t xml:space="preserve">Përmirësimi i lidhjes digjitale me rrjete me kapacitet shumë të lartë (VHCN)/ infrastrukturë </w:t>
            </w:r>
            <w:r w:rsidR="000F02F6" w:rsidRPr="00913E39">
              <w:rPr>
                <w:rFonts w:ascii="Garamond" w:hAnsi="Garamond"/>
                <w:i/>
                <w:sz w:val="20"/>
              </w:rPr>
              <w:t>gigabit</w:t>
            </w:r>
            <w:r w:rsidR="000F02F6" w:rsidRPr="00913E39">
              <w:rPr>
                <w:rFonts w:ascii="Garamond" w:hAnsi="Garamond"/>
                <w:sz w:val="20"/>
              </w:rPr>
              <w:t xml:space="preserve"> </w:t>
            </w:r>
            <w:r w:rsidRPr="00913E39">
              <w:rPr>
                <w:rFonts w:ascii="Garamond" w:hAnsi="Garamond"/>
                <w:sz w:val="20"/>
              </w:rPr>
              <w:t xml:space="preserve">me FO dhe 5G. </w:t>
            </w:r>
          </w:p>
          <w:p w14:paraId="4072732E" w14:textId="77777777" w:rsidR="00847F23" w:rsidRPr="00913E39" w:rsidRDefault="00847F23" w:rsidP="004F525C">
            <w:pPr>
              <w:spacing w:after="0" w:line="240" w:lineRule="auto"/>
              <w:rPr>
                <w:rFonts w:ascii="Garamond" w:hAnsi="Garamond"/>
                <w:sz w:val="20"/>
              </w:rPr>
            </w:pPr>
          </w:p>
          <w:p w14:paraId="01B97C7D" w14:textId="77777777" w:rsidR="00847F23" w:rsidRPr="00913E39" w:rsidRDefault="00847F23" w:rsidP="004F525C">
            <w:pPr>
              <w:spacing w:after="0" w:line="240" w:lineRule="auto"/>
              <w:rPr>
                <w:rFonts w:ascii="Garamond" w:hAnsi="Garamond"/>
                <w:sz w:val="20"/>
              </w:rPr>
            </w:pPr>
          </w:p>
          <w:p w14:paraId="43E9738B" w14:textId="77777777" w:rsidR="00847F23" w:rsidRPr="00913E39" w:rsidRDefault="00847F23" w:rsidP="004F525C">
            <w:pPr>
              <w:spacing w:after="0" w:line="240" w:lineRule="auto"/>
              <w:rPr>
                <w:rFonts w:ascii="Garamond" w:hAnsi="Garamond"/>
                <w:sz w:val="20"/>
              </w:rPr>
            </w:pP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6E0274CF"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 popullsisë së mbuluar me rrjetin VHCN </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6F482DD2" w14:textId="77777777" w:rsidR="00847F23" w:rsidRPr="00913E39" w:rsidRDefault="00847F23" w:rsidP="004F525C">
            <w:pPr>
              <w:spacing w:after="0" w:line="240" w:lineRule="auto"/>
              <w:jc w:val="center"/>
              <w:rPr>
                <w:rFonts w:ascii="Garamond" w:hAnsi="Garamond"/>
                <w:sz w:val="20"/>
              </w:rPr>
            </w:pPr>
            <w:r w:rsidRPr="00913E39">
              <w:rPr>
                <w:rFonts w:ascii="Garamond" w:hAnsi="Garamond"/>
                <w:sz w:val="20"/>
              </w:rPr>
              <w:t>%</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3F12BE9C"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60%</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4D27411C"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80%</w:t>
            </w:r>
          </w:p>
        </w:tc>
      </w:tr>
      <w:tr w:rsidR="00847F23" w:rsidRPr="00913E39" w14:paraId="3589CE5C" w14:textId="77777777" w:rsidTr="000F02F6">
        <w:trPr>
          <w:trHeight w:val="20"/>
        </w:trPr>
        <w:tc>
          <w:tcPr>
            <w:tcW w:w="72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3739DC" w14:textId="77777777" w:rsidR="00847F23" w:rsidRPr="00913E39" w:rsidRDefault="00847F23" w:rsidP="004F525C">
            <w:pPr>
              <w:spacing w:after="0" w:line="240" w:lineRule="auto"/>
              <w:jc w:val="both"/>
              <w:rPr>
                <w:rFonts w:ascii="Garamond" w:hAnsi="Garamond"/>
                <w:b/>
                <w:sz w:val="20"/>
              </w:rPr>
            </w:pPr>
          </w:p>
        </w:tc>
        <w:tc>
          <w:tcPr>
            <w:tcW w:w="11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B357DA" w14:textId="77777777" w:rsidR="00847F23" w:rsidRPr="00913E39" w:rsidRDefault="00847F23" w:rsidP="004F525C">
            <w:pPr>
              <w:spacing w:after="0" w:line="240" w:lineRule="auto"/>
              <w:jc w:val="both"/>
              <w:rPr>
                <w:rFonts w:ascii="Garamond" w:hAnsi="Garamond"/>
                <w:sz w:val="20"/>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6B95636C" w14:textId="663CF57B" w:rsidR="00847F23" w:rsidRPr="00913E39" w:rsidRDefault="00847F23" w:rsidP="000F02F6">
            <w:pPr>
              <w:spacing w:after="0" w:line="240" w:lineRule="auto"/>
              <w:jc w:val="both"/>
              <w:rPr>
                <w:rFonts w:ascii="Garamond" w:hAnsi="Garamond"/>
                <w:sz w:val="20"/>
              </w:rPr>
            </w:pPr>
            <w:r w:rsidRPr="00913E39">
              <w:rPr>
                <w:rFonts w:ascii="Garamond" w:hAnsi="Garamond"/>
                <w:sz w:val="20"/>
              </w:rPr>
              <w:t>Popullsia me mbulim 5G</w:t>
            </w:r>
          </w:p>
        </w:tc>
        <w:tc>
          <w:tcPr>
            <w:tcW w:w="782" w:type="pct"/>
            <w:tcBorders>
              <w:top w:val="single" w:sz="4" w:space="0" w:color="auto"/>
              <w:left w:val="single" w:sz="4" w:space="0" w:color="auto"/>
              <w:bottom w:val="single" w:sz="4" w:space="0" w:color="auto"/>
              <w:right w:val="single" w:sz="4" w:space="0" w:color="auto"/>
            </w:tcBorders>
            <w:shd w:val="clear" w:color="auto" w:fill="auto"/>
          </w:tcPr>
          <w:p w14:paraId="5D14167A" w14:textId="77777777" w:rsidR="00847F23" w:rsidRPr="00913E39" w:rsidRDefault="00847F23" w:rsidP="004F525C">
            <w:pPr>
              <w:spacing w:after="0" w:line="240" w:lineRule="auto"/>
              <w:jc w:val="center"/>
              <w:rPr>
                <w:rFonts w:ascii="Garamond" w:hAnsi="Garamond"/>
                <w:sz w:val="20"/>
              </w:rPr>
            </w:pPr>
            <w:r w:rsidRPr="00913E39">
              <w:rPr>
                <w:rFonts w:ascii="Garamond" w:hAnsi="Garamond"/>
                <w:sz w:val="20"/>
              </w:rPr>
              <w:t>%</w:t>
            </w:r>
          </w:p>
          <w:p w14:paraId="66AF240E" w14:textId="77777777" w:rsidR="00847F23" w:rsidRPr="00913E39" w:rsidRDefault="00847F23" w:rsidP="004F525C">
            <w:pPr>
              <w:spacing w:after="0" w:line="240" w:lineRule="auto"/>
              <w:jc w:val="center"/>
              <w:rPr>
                <w:rFonts w:ascii="Garamond" w:hAnsi="Garamond"/>
                <w:sz w:val="20"/>
              </w:rPr>
            </w:pP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8070FD7"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N/A</w:t>
            </w:r>
          </w:p>
        </w:tc>
        <w:tc>
          <w:tcPr>
            <w:tcW w:w="549" w:type="pct"/>
            <w:tcBorders>
              <w:top w:val="single" w:sz="4" w:space="0" w:color="auto"/>
              <w:left w:val="single" w:sz="4" w:space="0" w:color="auto"/>
              <w:bottom w:val="single" w:sz="4" w:space="0" w:color="auto"/>
              <w:right w:val="single" w:sz="4" w:space="0" w:color="auto"/>
            </w:tcBorders>
            <w:shd w:val="clear" w:color="auto" w:fill="auto"/>
          </w:tcPr>
          <w:p w14:paraId="71F79461"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50%</w:t>
            </w:r>
          </w:p>
          <w:p w14:paraId="42042EF2" w14:textId="77777777" w:rsidR="00847F23" w:rsidRPr="00913E39" w:rsidRDefault="00847F23" w:rsidP="004F525C">
            <w:pPr>
              <w:spacing w:after="0" w:line="240" w:lineRule="auto"/>
              <w:jc w:val="both"/>
              <w:rPr>
                <w:rFonts w:ascii="Garamond" w:hAnsi="Garamond"/>
                <w:sz w:val="20"/>
              </w:rPr>
            </w:pPr>
          </w:p>
        </w:tc>
      </w:tr>
      <w:tr w:rsidR="00847F23" w:rsidRPr="00913E39" w14:paraId="6832A706" w14:textId="77777777" w:rsidTr="000F02F6">
        <w:trPr>
          <w:trHeight w:val="20"/>
        </w:trPr>
        <w:tc>
          <w:tcPr>
            <w:tcW w:w="72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BE6E1A" w14:textId="77777777" w:rsidR="00847F23" w:rsidRPr="00913E39" w:rsidRDefault="00847F23" w:rsidP="004F525C">
            <w:pPr>
              <w:spacing w:after="0" w:line="240" w:lineRule="auto"/>
              <w:jc w:val="both"/>
              <w:rPr>
                <w:rFonts w:ascii="Garamond" w:hAnsi="Garamond"/>
                <w:b/>
                <w:sz w:val="20"/>
              </w:rPr>
            </w:pPr>
          </w:p>
        </w:tc>
        <w:tc>
          <w:tcPr>
            <w:tcW w:w="11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928448" w14:textId="77777777" w:rsidR="00847F23" w:rsidRPr="00913E39" w:rsidRDefault="00847F23" w:rsidP="004F525C">
            <w:pPr>
              <w:spacing w:after="0" w:line="240" w:lineRule="auto"/>
              <w:jc w:val="both"/>
              <w:rPr>
                <w:rFonts w:ascii="Garamond" w:hAnsi="Garamond"/>
                <w:sz w:val="20"/>
              </w:rPr>
            </w:pP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35E997C6" w14:textId="626785D5" w:rsidR="00847F23" w:rsidRPr="00913E39" w:rsidRDefault="00847F23" w:rsidP="004F525C">
            <w:pPr>
              <w:spacing w:after="0" w:line="240" w:lineRule="auto"/>
              <w:rPr>
                <w:rFonts w:ascii="Garamond" w:hAnsi="Garamond"/>
                <w:sz w:val="20"/>
              </w:rPr>
            </w:pPr>
            <w:r w:rsidRPr="00913E39">
              <w:rPr>
                <w:rFonts w:ascii="Garamond" w:hAnsi="Garamond"/>
                <w:sz w:val="20"/>
              </w:rPr>
              <w:t xml:space="preserve">Lidhje fikse </w:t>
            </w:r>
            <w:r w:rsidR="000F02F6" w:rsidRPr="00913E39">
              <w:rPr>
                <w:rFonts w:ascii="Garamond" w:hAnsi="Garamond"/>
                <w:sz w:val="20"/>
              </w:rPr>
              <w:t xml:space="preserve">broadband </w:t>
            </w:r>
            <w:r w:rsidRPr="00913E39">
              <w:rPr>
                <w:rFonts w:ascii="Garamond" w:hAnsi="Garamond"/>
                <w:sz w:val="20"/>
              </w:rPr>
              <w:t>me &gt; 100 Mbit</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5D705AB3" w14:textId="77777777" w:rsidR="00847F23" w:rsidRPr="00913E39" w:rsidRDefault="00847F23" w:rsidP="004F525C">
            <w:pPr>
              <w:spacing w:after="0" w:line="240" w:lineRule="auto"/>
              <w:jc w:val="center"/>
              <w:rPr>
                <w:rFonts w:ascii="Garamond" w:hAnsi="Garamond"/>
                <w:sz w:val="20"/>
              </w:rPr>
            </w:pPr>
            <w:r w:rsidRPr="00913E39">
              <w:rPr>
                <w:rFonts w:ascii="Garamond" w:hAnsi="Garamond"/>
                <w:sz w:val="20"/>
              </w:rPr>
              <w:t>%</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3A5461B7"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12%</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52357768"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50%</w:t>
            </w:r>
          </w:p>
        </w:tc>
      </w:tr>
      <w:tr w:rsidR="00847F23" w:rsidRPr="00913E39" w14:paraId="42EFA882" w14:textId="77777777" w:rsidTr="000F02F6">
        <w:trPr>
          <w:trHeight w:val="20"/>
        </w:trPr>
        <w:tc>
          <w:tcPr>
            <w:tcW w:w="72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3E6DA3" w14:textId="77777777" w:rsidR="00847F23" w:rsidRPr="00913E39" w:rsidRDefault="00847F23" w:rsidP="004F525C">
            <w:pPr>
              <w:spacing w:after="0" w:line="240" w:lineRule="auto"/>
              <w:jc w:val="both"/>
              <w:rPr>
                <w:rFonts w:ascii="Garamond" w:hAnsi="Garamond"/>
                <w:b/>
                <w:sz w:val="20"/>
              </w:rPr>
            </w:pPr>
          </w:p>
        </w:tc>
        <w:tc>
          <w:tcPr>
            <w:tcW w:w="11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010BF6" w14:textId="77777777" w:rsidR="00847F23" w:rsidRPr="00913E39" w:rsidRDefault="00847F23" w:rsidP="004F525C">
            <w:pPr>
              <w:spacing w:after="0" w:line="240" w:lineRule="auto"/>
              <w:jc w:val="both"/>
              <w:rPr>
                <w:rFonts w:ascii="Garamond" w:hAnsi="Garamond"/>
                <w:sz w:val="20"/>
              </w:rPr>
            </w:pP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6B34BF0C" w14:textId="343DDA79"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Lidhje </w:t>
            </w:r>
            <w:r w:rsidR="000F02F6" w:rsidRPr="00913E39">
              <w:rPr>
                <w:rFonts w:ascii="Garamond" w:hAnsi="Garamond"/>
                <w:sz w:val="20"/>
              </w:rPr>
              <w:t xml:space="preserve">broadband </w:t>
            </w:r>
            <w:r w:rsidRPr="00913E39">
              <w:rPr>
                <w:rFonts w:ascii="Garamond" w:hAnsi="Garamond"/>
                <w:sz w:val="20"/>
              </w:rPr>
              <w:t>1 Gbit</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619211AA" w14:textId="77777777" w:rsidR="00847F23" w:rsidRPr="00913E39" w:rsidRDefault="00847F23" w:rsidP="004F525C">
            <w:pPr>
              <w:spacing w:after="0" w:line="240" w:lineRule="auto"/>
              <w:jc w:val="center"/>
              <w:rPr>
                <w:rFonts w:ascii="Garamond" w:hAnsi="Garamond"/>
                <w:sz w:val="20"/>
              </w:rPr>
            </w:pPr>
            <w:r w:rsidRPr="00913E39">
              <w:rPr>
                <w:rFonts w:ascii="Garamond" w:hAnsi="Garamond"/>
                <w:sz w:val="20"/>
              </w:rPr>
              <w:t>%</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3BBC8C96"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&lt;1%</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4B6A2A90"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10%</w:t>
            </w:r>
          </w:p>
        </w:tc>
      </w:tr>
      <w:tr w:rsidR="00847F23" w:rsidRPr="00913E39" w14:paraId="3D2CC762" w14:textId="77777777" w:rsidTr="000F02F6">
        <w:trPr>
          <w:trHeight w:val="20"/>
        </w:trPr>
        <w:tc>
          <w:tcPr>
            <w:tcW w:w="721" w:type="pct"/>
            <w:vMerge w:val="restart"/>
            <w:tcBorders>
              <w:top w:val="single" w:sz="4" w:space="0" w:color="auto"/>
              <w:left w:val="single" w:sz="4" w:space="0" w:color="auto"/>
              <w:right w:val="single" w:sz="4" w:space="0" w:color="auto"/>
            </w:tcBorders>
            <w:shd w:val="clear" w:color="auto" w:fill="auto"/>
            <w:hideMark/>
          </w:tcPr>
          <w:p w14:paraId="7F206707" w14:textId="03BB9A9A" w:rsidR="00847F23" w:rsidRPr="00913E39" w:rsidRDefault="00847F23" w:rsidP="004F525C">
            <w:pPr>
              <w:spacing w:after="0" w:line="240" w:lineRule="auto"/>
              <w:jc w:val="both"/>
              <w:rPr>
                <w:rFonts w:ascii="Garamond" w:hAnsi="Garamond"/>
                <w:b/>
                <w:sz w:val="20"/>
              </w:rPr>
            </w:pPr>
            <w:r w:rsidRPr="00913E39">
              <w:rPr>
                <w:rFonts w:ascii="Garamond" w:hAnsi="Garamond"/>
                <w:b/>
                <w:sz w:val="20"/>
              </w:rPr>
              <w:t xml:space="preserve">Produktet që kontribuojnë në </w:t>
            </w:r>
            <w:r w:rsidR="000F02F6" w:rsidRPr="00913E39">
              <w:rPr>
                <w:rFonts w:ascii="Garamond" w:hAnsi="Garamond"/>
                <w:b/>
                <w:sz w:val="20"/>
              </w:rPr>
              <w:t xml:space="preserve">rezultatin </w:t>
            </w:r>
            <w:r w:rsidRPr="00913E39">
              <w:rPr>
                <w:rFonts w:ascii="Garamond" w:hAnsi="Garamond"/>
                <w:b/>
                <w:sz w:val="20"/>
              </w:rPr>
              <w:t>6</w:t>
            </w:r>
          </w:p>
          <w:p w14:paraId="191D75A6" w14:textId="77777777" w:rsidR="00847F23" w:rsidRPr="00913E39" w:rsidRDefault="00847F23" w:rsidP="004F525C">
            <w:pPr>
              <w:spacing w:after="0" w:line="240" w:lineRule="auto"/>
              <w:jc w:val="both"/>
              <w:rPr>
                <w:rFonts w:ascii="Garamond" w:hAnsi="Garamond"/>
                <w:b/>
                <w:sz w:val="20"/>
              </w:rPr>
            </w:pPr>
          </w:p>
          <w:p w14:paraId="1A372FC2" w14:textId="77777777" w:rsidR="00847F23" w:rsidRPr="00913E39" w:rsidRDefault="00847F23" w:rsidP="004F525C">
            <w:pPr>
              <w:spacing w:after="0" w:line="240" w:lineRule="auto"/>
              <w:jc w:val="both"/>
              <w:rPr>
                <w:rFonts w:ascii="Garamond" w:hAnsi="Garamond"/>
                <w:b/>
                <w:sz w:val="20"/>
              </w:rPr>
            </w:pPr>
          </w:p>
        </w:tc>
        <w:tc>
          <w:tcPr>
            <w:tcW w:w="117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22FDFC5" w14:textId="1BFD51E6" w:rsidR="00847F23" w:rsidRPr="00913E39" w:rsidRDefault="00847F23" w:rsidP="004F525C">
            <w:pPr>
              <w:spacing w:after="0" w:line="240" w:lineRule="auto"/>
              <w:rPr>
                <w:rFonts w:ascii="Garamond" w:hAnsi="Garamond"/>
                <w:sz w:val="20"/>
              </w:rPr>
            </w:pPr>
            <w:r w:rsidRPr="00913E39">
              <w:rPr>
                <w:rFonts w:ascii="Garamond" w:hAnsi="Garamond"/>
                <w:sz w:val="20"/>
              </w:rPr>
              <w:t xml:space="preserve">Produkti 6.1 Përgatitja e </w:t>
            </w:r>
            <w:r w:rsidR="000F02F6" w:rsidRPr="00913E39">
              <w:rPr>
                <w:rFonts w:ascii="Garamond" w:hAnsi="Garamond"/>
                <w:sz w:val="20"/>
              </w:rPr>
              <w:t xml:space="preserve">studimit gjeografik </w:t>
            </w:r>
            <w:r w:rsidRPr="00913E39">
              <w:rPr>
                <w:rFonts w:ascii="Garamond" w:hAnsi="Garamond"/>
                <w:sz w:val="20"/>
              </w:rPr>
              <w:t xml:space="preserve">për rrjetin </w:t>
            </w:r>
            <w:r w:rsidR="000F02F6" w:rsidRPr="00913E39">
              <w:rPr>
                <w:rFonts w:ascii="Garamond" w:hAnsi="Garamond"/>
                <w:i/>
                <w:sz w:val="20"/>
              </w:rPr>
              <w:t>broadband</w:t>
            </w:r>
            <w:r w:rsidRPr="00913E39">
              <w:rPr>
                <w:rFonts w:ascii="Garamond" w:hAnsi="Garamond"/>
                <w:sz w:val="20"/>
              </w:rPr>
              <w:t>, VHCN</w:t>
            </w: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11A86E8C" w14:textId="1CE6B194" w:rsidR="00847F23" w:rsidRPr="00913E39" w:rsidRDefault="00847F23" w:rsidP="004F525C">
            <w:pPr>
              <w:spacing w:after="0" w:line="240" w:lineRule="auto"/>
              <w:rPr>
                <w:rFonts w:ascii="Garamond" w:hAnsi="Garamond"/>
                <w:sz w:val="20"/>
              </w:rPr>
            </w:pPr>
            <w:r w:rsidRPr="00913E39">
              <w:rPr>
                <w:rFonts w:ascii="Garamond" w:hAnsi="Garamond"/>
                <w:sz w:val="20"/>
              </w:rPr>
              <w:t xml:space="preserve">Përgatitja e metodologjisë për përgatitjen e sondazhit periodik gjeografik për </w:t>
            </w:r>
            <w:r w:rsidR="000F02F6" w:rsidRPr="00913E39">
              <w:rPr>
                <w:rFonts w:ascii="Garamond" w:hAnsi="Garamond"/>
                <w:sz w:val="20"/>
              </w:rPr>
              <w:t>broadband</w:t>
            </w:r>
            <w:r w:rsidRPr="00913E39">
              <w:rPr>
                <w:rFonts w:ascii="Garamond" w:hAnsi="Garamond"/>
                <w:sz w:val="20"/>
              </w:rPr>
              <w:t>, VHCN</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05A5AC82"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Numër </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3FD79AD1"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4D5B287B"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1</w:t>
            </w:r>
          </w:p>
        </w:tc>
      </w:tr>
      <w:tr w:rsidR="00847F23" w:rsidRPr="00913E39" w14:paraId="2D1F1126" w14:textId="77777777" w:rsidTr="000F02F6">
        <w:trPr>
          <w:trHeight w:val="20"/>
        </w:trPr>
        <w:tc>
          <w:tcPr>
            <w:tcW w:w="721" w:type="pct"/>
            <w:vMerge/>
            <w:tcBorders>
              <w:left w:val="single" w:sz="4" w:space="0" w:color="auto"/>
              <w:right w:val="single" w:sz="4" w:space="0" w:color="auto"/>
            </w:tcBorders>
            <w:shd w:val="clear" w:color="auto" w:fill="auto"/>
            <w:vAlign w:val="center"/>
            <w:hideMark/>
          </w:tcPr>
          <w:p w14:paraId="79E9C620" w14:textId="77777777" w:rsidR="00847F23" w:rsidRPr="00913E39" w:rsidRDefault="00847F23" w:rsidP="004F525C">
            <w:pPr>
              <w:spacing w:after="0" w:line="240" w:lineRule="auto"/>
              <w:jc w:val="both"/>
              <w:rPr>
                <w:rFonts w:ascii="Garamond" w:hAnsi="Garamond"/>
                <w:b/>
                <w:sz w:val="20"/>
              </w:rPr>
            </w:pPr>
          </w:p>
        </w:tc>
        <w:tc>
          <w:tcPr>
            <w:tcW w:w="11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62BD6D" w14:textId="77777777" w:rsidR="00847F23" w:rsidRPr="00913E39" w:rsidRDefault="00847F23" w:rsidP="004F525C">
            <w:pPr>
              <w:spacing w:after="0" w:line="240" w:lineRule="auto"/>
              <w:rPr>
                <w:rFonts w:ascii="Garamond" w:hAnsi="Garamond"/>
                <w:sz w:val="20"/>
              </w:rPr>
            </w:pP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1F09C58F" w14:textId="77777777" w:rsidR="00847F23" w:rsidRPr="00913E39" w:rsidRDefault="00847F23" w:rsidP="004F525C">
            <w:pPr>
              <w:spacing w:after="0" w:line="240" w:lineRule="auto"/>
              <w:rPr>
                <w:rFonts w:ascii="Garamond" w:hAnsi="Garamond"/>
                <w:sz w:val="20"/>
              </w:rPr>
            </w:pPr>
            <w:r w:rsidRPr="00913E39">
              <w:rPr>
                <w:rFonts w:ascii="Garamond" w:hAnsi="Garamond"/>
                <w:sz w:val="20"/>
              </w:rPr>
              <w:t>#Pjesëmarrës të trajnuar për procesin e vrojtimit gjeografik, të ndarë sipas gjinisë, moshës dhe punëdhënësit</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54ECB2F3"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Numër</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1799F05E"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07A702B2"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100</w:t>
            </w:r>
          </w:p>
        </w:tc>
      </w:tr>
      <w:tr w:rsidR="00847F23" w:rsidRPr="00913E39" w14:paraId="4D355FA9" w14:textId="77777777" w:rsidTr="000F02F6">
        <w:trPr>
          <w:trHeight w:val="20"/>
        </w:trPr>
        <w:tc>
          <w:tcPr>
            <w:tcW w:w="721" w:type="pct"/>
            <w:vMerge/>
            <w:tcBorders>
              <w:left w:val="single" w:sz="4" w:space="0" w:color="auto"/>
              <w:right w:val="single" w:sz="4" w:space="0" w:color="auto"/>
            </w:tcBorders>
            <w:shd w:val="clear" w:color="auto" w:fill="auto"/>
            <w:vAlign w:val="center"/>
            <w:hideMark/>
          </w:tcPr>
          <w:p w14:paraId="1BE1B846" w14:textId="77777777" w:rsidR="00847F23" w:rsidRPr="00913E39" w:rsidRDefault="00847F23" w:rsidP="004F525C">
            <w:pPr>
              <w:spacing w:after="0" w:line="240" w:lineRule="auto"/>
              <w:jc w:val="both"/>
              <w:rPr>
                <w:rFonts w:ascii="Garamond" w:hAnsi="Garamond"/>
                <w:b/>
                <w:sz w:val="20"/>
              </w:rPr>
            </w:pPr>
          </w:p>
        </w:tc>
        <w:tc>
          <w:tcPr>
            <w:tcW w:w="11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670443" w14:textId="77777777" w:rsidR="00847F23" w:rsidRPr="00913E39" w:rsidRDefault="00847F23" w:rsidP="004F525C">
            <w:pPr>
              <w:spacing w:after="0" w:line="240" w:lineRule="auto"/>
              <w:rPr>
                <w:rFonts w:ascii="Garamond" w:hAnsi="Garamond"/>
                <w:sz w:val="20"/>
              </w:rPr>
            </w:pP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341B45F9"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 Takimet e zhvilluara</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15582DD0"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Numër </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72E23B8F"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6C13C339"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3</w:t>
            </w:r>
          </w:p>
        </w:tc>
      </w:tr>
      <w:tr w:rsidR="00847F23" w:rsidRPr="00913E39" w14:paraId="1D4698FC" w14:textId="77777777" w:rsidTr="000F02F6">
        <w:trPr>
          <w:trHeight w:val="20"/>
        </w:trPr>
        <w:tc>
          <w:tcPr>
            <w:tcW w:w="721" w:type="pct"/>
            <w:vMerge/>
            <w:tcBorders>
              <w:left w:val="single" w:sz="4" w:space="0" w:color="auto"/>
              <w:right w:val="single" w:sz="4" w:space="0" w:color="auto"/>
            </w:tcBorders>
            <w:shd w:val="clear" w:color="auto" w:fill="auto"/>
            <w:vAlign w:val="center"/>
            <w:hideMark/>
          </w:tcPr>
          <w:p w14:paraId="13A3BD46" w14:textId="77777777" w:rsidR="00847F23" w:rsidRPr="00913E39" w:rsidRDefault="00847F23" w:rsidP="004F525C">
            <w:pPr>
              <w:spacing w:after="0" w:line="240" w:lineRule="auto"/>
              <w:jc w:val="both"/>
              <w:rPr>
                <w:rFonts w:ascii="Garamond" w:hAnsi="Garamond"/>
                <w:b/>
                <w:sz w:val="20"/>
              </w:rPr>
            </w:pPr>
          </w:p>
        </w:tc>
        <w:tc>
          <w:tcPr>
            <w:tcW w:w="11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A0E8F8" w14:textId="77777777" w:rsidR="00847F23" w:rsidRPr="00913E39" w:rsidRDefault="00847F23" w:rsidP="004F525C">
            <w:pPr>
              <w:spacing w:after="0" w:line="240" w:lineRule="auto"/>
              <w:rPr>
                <w:rFonts w:ascii="Garamond" w:hAnsi="Garamond"/>
                <w:sz w:val="20"/>
              </w:rPr>
            </w:pP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371630F6" w14:textId="4C2B083D"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Përgatitja e studimit mbi </w:t>
            </w:r>
            <w:r w:rsidR="000F02F6" w:rsidRPr="00913E39">
              <w:rPr>
                <w:rFonts w:ascii="Garamond" w:hAnsi="Garamond"/>
                <w:sz w:val="20"/>
              </w:rPr>
              <w:t xml:space="preserve">studimin gjeografik </w:t>
            </w:r>
            <w:r w:rsidRPr="00913E39">
              <w:rPr>
                <w:rFonts w:ascii="Garamond" w:hAnsi="Garamond"/>
                <w:sz w:val="20"/>
              </w:rPr>
              <w:t xml:space="preserve">për rrjetin </w:t>
            </w:r>
            <w:r w:rsidR="000F02F6" w:rsidRPr="00913E39">
              <w:rPr>
                <w:rFonts w:ascii="Garamond" w:hAnsi="Garamond"/>
                <w:i/>
                <w:sz w:val="20"/>
              </w:rPr>
              <w:t>broadband</w:t>
            </w:r>
            <w:r w:rsidRPr="00913E39">
              <w:rPr>
                <w:rFonts w:ascii="Garamond" w:hAnsi="Garamond"/>
                <w:sz w:val="20"/>
              </w:rPr>
              <w:t>, VHCN</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6961100D"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Numër</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4BB1B5E3"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7B9BA645"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1</w:t>
            </w:r>
          </w:p>
        </w:tc>
      </w:tr>
      <w:tr w:rsidR="00847F23" w:rsidRPr="00913E39" w14:paraId="25925009" w14:textId="77777777" w:rsidTr="000F02F6">
        <w:trPr>
          <w:trHeight w:val="20"/>
        </w:trPr>
        <w:tc>
          <w:tcPr>
            <w:tcW w:w="721" w:type="pct"/>
            <w:vMerge/>
            <w:tcBorders>
              <w:left w:val="single" w:sz="4" w:space="0" w:color="auto"/>
              <w:right w:val="single" w:sz="4" w:space="0" w:color="auto"/>
            </w:tcBorders>
            <w:shd w:val="clear" w:color="auto" w:fill="auto"/>
            <w:hideMark/>
          </w:tcPr>
          <w:p w14:paraId="3867AF06" w14:textId="77777777" w:rsidR="00847F23" w:rsidRPr="00913E39" w:rsidRDefault="00847F23" w:rsidP="004F525C">
            <w:pPr>
              <w:spacing w:after="0" w:line="240" w:lineRule="auto"/>
              <w:jc w:val="both"/>
              <w:rPr>
                <w:rFonts w:ascii="Garamond" w:hAnsi="Garamond"/>
                <w:b/>
                <w:sz w:val="20"/>
              </w:rPr>
            </w:pPr>
          </w:p>
        </w:tc>
        <w:tc>
          <w:tcPr>
            <w:tcW w:w="117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CB24AD9" w14:textId="7BD0DF69" w:rsidR="00847F23" w:rsidRPr="00913E39" w:rsidRDefault="00847F23" w:rsidP="004F525C">
            <w:pPr>
              <w:spacing w:after="0" w:line="240" w:lineRule="auto"/>
              <w:rPr>
                <w:rFonts w:ascii="Garamond" w:hAnsi="Garamond"/>
                <w:sz w:val="20"/>
              </w:rPr>
            </w:pPr>
            <w:r w:rsidRPr="00913E39">
              <w:rPr>
                <w:rFonts w:ascii="Garamond" w:hAnsi="Garamond"/>
                <w:sz w:val="20"/>
              </w:rPr>
              <w:t xml:space="preserve">Produkti 6.2 Hartimi i </w:t>
            </w:r>
            <w:r w:rsidR="000F02F6" w:rsidRPr="00913E39">
              <w:rPr>
                <w:rFonts w:ascii="Garamond" w:hAnsi="Garamond"/>
                <w:sz w:val="20"/>
              </w:rPr>
              <w:t xml:space="preserve">ligjit për infrastrukturën </w:t>
            </w:r>
            <w:r w:rsidR="000F02F6" w:rsidRPr="00913E39">
              <w:rPr>
                <w:rFonts w:ascii="Garamond" w:hAnsi="Garamond"/>
                <w:i/>
                <w:sz w:val="20"/>
              </w:rPr>
              <w:t>gigabit</w:t>
            </w: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5EEE6695" w14:textId="40C87BAA"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Përgatitja e Studimit mbështetës, Raportit të Vlerësimit të Ndikimit (RIA), </w:t>
            </w:r>
            <w:r w:rsidR="000F02F6" w:rsidRPr="00913E39">
              <w:rPr>
                <w:rFonts w:ascii="Garamond" w:hAnsi="Garamond"/>
                <w:sz w:val="20"/>
              </w:rPr>
              <w:t>st</w:t>
            </w:r>
            <w:r w:rsidRPr="00913E39">
              <w:rPr>
                <w:rFonts w:ascii="Garamond" w:hAnsi="Garamond"/>
                <w:sz w:val="20"/>
              </w:rPr>
              <w:t xml:space="preserve">udimit mbi </w:t>
            </w:r>
            <w:r w:rsidRPr="00913E39">
              <w:rPr>
                <w:rFonts w:ascii="Garamond" w:hAnsi="Garamond"/>
                <w:sz w:val="20"/>
              </w:rPr>
              <w:lastRenderedPageBreak/>
              <w:t>shqetësimet mjedisore dhe klimatike</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7AE256CA"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lastRenderedPageBreak/>
              <w:t>Numër</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58287C77"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243BCF74"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3</w:t>
            </w:r>
          </w:p>
        </w:tc>
      </w:tr>
      <w:tr w:rsidR="00847F23" w:rsidRPr="00913E39" w14:paraId="376BA3A0" w14:textId="77777777" w:rsidTr="000F02F6">
        <w:trPr>
          <w:trHeight w:val="20"/>
        </w:trPr>
        <w:tc>
          <w:tcPr>
            <w:tcW w:w="721" w:type="pct"/>
            <w:vMerge/>
            <w:tcBorders>
              <w:left w:val="single" w:sz="4" w:space="0" w:color="auto"/>
              <w:right w:val="single" w:sz="4" w:space="0" w:color="auto"/>
            </w:tcBorders>
            <w:shd w:val="clear" w:color="auto" w:fill="auto"/>
            <w:vAlign w:val="center"/>
            <w:hideMark/>
          </w:tcPr>
          <w:p w14:paraId="79153A44" w14:textId="77777777" w:rsidR="00847F23" w:rsidRPr="00913E39" w:rsidRDefault="00847F23" w:rsidP="004F525C">
            <w:pPr>
              <w:spacing w:after="0" w:line="240" w:lineRule="auto"/>
              <w:jc w:val="both"/>
              <w:rPr>
                <w:rFonts w:ascii="Garamond" w:hAnsi="Garamond"/>
                <w:b/>
                <w:sz w:val="20"/>
              </w:rPr>
            </w:pPr>
          </w:p>
        </w:tc>
        <w:tc>
          <w:tcPr>
            <w:tcW w:w="11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692A1B" w14:textId="77777777" w:rsidR="00847F23" w:rsidRPr="00913E39" w:rsidRDefault="00847F23" w:rsidP="004F525C">
            <w:pPr>
              <w:spacing w:after="0" w:line="240" w:lineRule="auto"/>
              <w:jc w:val="both"/>
              <w:rPr>
                <w:rFonts w:ascii="Garamond" w:hAnsi="Garamond"/>
                <w:sz w:val="20"/>
              </w:rPr>
            </w:pP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63811AC2"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Miratimi i akteve ligjore </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6AEC7338"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Numër </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0C0D1705"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6D38CF0A"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1</w:t>
            </w:r>
          </w:p>
        </w:tc>
      </w:tr>
      <w:tr w:rsidR="00847F23" w:rsidRPr="00913E39" w14:paraId="4D87C392" w14:textId="77777777" w:rsidTr="000F02F6">
        <w:trPr>
          <w:trHeight w:val="20"/>
        </w:trPr>
        <w:tc>
          <w:tcPr>
            <w:tcW w:w="721" w:type="pct"/>
            <w:vMerge/>
            <w:tcBorders>
              <w:left w:val="single" w:sz="4" w:space="0" w:color="auto"/>
              <w:right w:val="single" w:sz="4" w:space="0" w:color="auto"/>
            </w:tcBorders>
            <w:shd w:val="clear" w:color="auto" w:fill="auto"/>
            <w:vAlign w:val="center"/>
            <w:hideMark/>
          </w:tcPr>
          <w:p w14:paraId="377107AB" w14:textId="77777777" w:rsidR="00847F23" w:rsidRPr="00913E39" w:rsidRDefault="00847F23" w:rsidP="004F525C">
            <w:pPr>
              <w:spacing w:after="0" w:line="240" w:lineRule="auto"/>
              <w:jc w:val="both"/>
              <w:rPr>
                <w:rFonts w:ascii="Garamond" w:hAnsi="Garamond"/>
                <w:b/>
                <w:sz w:val="20"/>
              </w:rPr>
            </w:pPr>
          </w:p>
        </w:tc>
        <w:tc>
          <w:tcPr>
            <w:tcW w:w="11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3FFD19" w14:textId="77777777" w:rsidR="00847F23" w:rsidRPr="00913E39" w:rsidRDefault="00847F23" w:rsidP="004F525C">
            <w:pPr>
              <w:spacing w:after="0" w:line="240" w:lineRule="auto"/>
              <w:jc w:val="both"/>
              <w:rPr>
                <w:rFonts w:ascii="Garamond" w:hAnsi="Garamond"/>
                <w:sz w:val="20"/>
              </w:rPr>
            </w:pP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5FDD509E"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Takimet e zhvilluara</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486AA181"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Numër</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3DC29F1D"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6E5EFFC9"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3</w:t>
            </w:r>
          </w:p>
        </w:tc>
      </w:tr>
      <w:tr w:rsidR="00847F23" w:rsidRPr="00913E39" w14:paraId="1AB19BDB" w14:textId="77777777" w:rsidTr="000F02F6">
        <w:trPr>
          <w:trHeight w:val="20"/>
        </w:trPr>
        <w:tc>
          <w:tcPr>
            <w:tcW w:w="721" w:type="pct"/>
            <w:vMerge/>
            <w:tcBorders>
              <w:left w:val="single" w:sz="4" w:space="0" w:color="auto"/>
              <w:right w:val="single" w:sz="4" w:space="0" w:color="auto"/>
            </w:tcBorders>
            <w:shd w:val="clear" w:color="auto" w:fill="auto"/>
            <w:vAlign w:val="center"/>
            <w:hideMark/>
          </w:tcPr>
          <w:p w14:paraId="6C669420" w14:textId="77777777" w:rsidR="00847F23" w:rsidRPr="00913E39" w:rsidRDefault="00847F23" w:rsidP="004F525C">
            <w:pPr>
              <w:spacing w:after="0" w:line="240" w:lineRule="auto"/>
              <w:jc w:val="both"/>
              <w:rPr>
                <w:rFonts w:ascii="Garamond" w:hAnsi="Garamond"/>
                <w:b/>
                <w:sz w:val="20"/>
              </w:rPr>
            </w:pPr>
          </w:p>
        </w:tc>
        <w:tc>
          <w:tcPr>
            <w:tcW w:w="11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4D7288" w14:textId="77777777" w:rsidR="00847F23" w:rsidRPr="00913E39" w:rsidRDefault="00847F23" w:rsidP="004F525C">
            <w:pPr>
              <w:spacing w:after="0" w:line="240" w:lineRule="auto"/>
              <w:jc w:val="both"/>
              <w:rPr>
                <w:rFonts w:ascii="Garamond" w:hAnsi="Garamond"/>
                <w:sz w:val="20"/>
              </w:rPr>
            </w:pP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542F9C41"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Pjesëmarrësit e trajnuar për kuadrin ligjor dhe rregullator të rishikuar për ligjin për infrastrukturën gigabit të ndarë sipas gjinisë, moshës dhe punëdhënësit</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418A4314"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Numër </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703C2B75"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4F5C157F"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150</w:t>
            </w:r>
          </w:p>
        </w:tc>
      </w:tr>
      <w:tr w:rsidR="00847F23" w:rsidRPr="00913E39" w14:paraId="07ECE4FA" w14:textId="77777777" w:rsidTr="000F02F6">
        <w:trPr>
          <w:trHeight w:val="20"/>
        </w:trPr>
        <w:tc>
          <w:tcPr>
            <w:tcW w:w="721" w:type="pct"/>
            <w:vMerge/>
            <w:tcBorders>
              <w:left w:val="single" w:sz="4" w:space="0" w:color="auto"/>
              <w:right w:val="single" w:sz="4" w:space="0" w:color="auto"/>
            </w:tcBorders>
            <w:shd w:val="clear" w:color="auto" w:fill="auto"/>
            <w:hideMark/>
          </w:tcPr>
          <w:p w14:paraId="2AB4D78F" w14:textId="77777777" w:rsidR="00847F23" w:rsidRPr="00913E39" w:rsidRDefault="00847F23" w:rsidP="004F525C">
            <w:pPr>
              <w:spacing w:after="0" w:line="240" w:lineRule="auto"/>
              <w:jc w:val="both"/>
              <w:rPr>
                <w:rFonts w:ascii="Garamond" w:hAnsi="Garamond"/>
                <w:b/>
                <w:sz w:val="20"/>
              </w:rPr>
            </w:pPr>
          </w:p>
        </w:tc>
        <w:tc>
          <w:tcPr>
            <w:tcW w:w="1174" w:type="pct"/>
            <w:tcBorders>
              <w:top w:val="single" w:sz="4" w:space="0" w:color="auto"/>
              <w:left w:val="single" w:sz="4" w:space="0" w:color="auto"/>
              <w:bottom w:val="single" w:sz="4" w:space="0" w:color="auto"/>
              <w:right w:val="single" w:sz="4" w:space="0" w:color="auto"/>
            </w:tcBorders>
            <w:shd w:val="clear" w:color="auto" w:fill="auto"/>
            <w:hideMark/>
          </w:tcPr>
          <w:p w14:paraId="76BE48DC" w14:textId="08D9864A" w:rsidR="00847F23" w:rsidRPr="00913E39" w:rsidRDefault="00847F23" w:rsidP="004F525C">
            <w:pPr>
              <w:spacing w:after="0" w:line="240" w:lineRule="auto"/>
              <w:rPr>
                <w:rFonts w:ascii="Garamond" w:hAnsi="Garamond"/>
                <w:sz w:val="20"/>
              </w:rPr>
            </w:pPr>
            <w:r w:rsidRPr="00913E39">
              <w:rPr>
                <w:rFonts w:ascii="Garamond" w:hAnsi="Garamond"/>
                <w:sz w:val="20"/>
              </w:rPr>
              <w:t>Produkti 6.3</w:t>
            </w:r>
            <w:r w:rsidR="000F02F6" w:rsidRPr="00913E39">
              <w:rPr>
                <w:rFonts w:ascii="Garamond" w:hAnsi="Garamond"/>
                <w:sz w:val="20"/>
              </w:rPr>
              <w:t>.</w:t>
            </w:r>
            <w:r w:rsidRPr="00913E39">
              <w:rPr>
                <w:rFonts w:ascii="Garamond" w:hAnsi="Garamond"/>
                <w:sz w:val="20"/>
              </w:rPr>
              <w:t xml:space="preserve"> Përgatitja e studimit teknik për rastet e përdorimit të 5G në komunitetet digjitale.</w:t>
            </w: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7CFE1DCC" w14:textId="4F0633E1" w:rsidR="00847F23" w:rsidRPr="00913E39" w:rsidRDefault="00847F23" w:rsidP="004F525C">
            <w:pPr>
              <w:spacing w:after="0" w:line="240" w:lineRule="auto"/>
              <w:rPr>
                <w:rFonts w:ascii="Garamond" w:hAnsi="Garamond"/>
                <w:sz w:val="20"/>
              </w:rPr>
            </w:pPr>
            <w:r w:rsidRPr="00913E39">
              <w:rPr>
                <w:rFonts w:ascii="Garamond" w:hAnsi="Garamond"/>
                <w:sz w:val="20"/>
              </w:rPr>
              <w:t>Faza 1</w:t>
            </w:r>
            <w:r w:rsidR="000F02F6" w:rsidRPr="00913E39">
              <w:rPr>
                <w:rFonts w:ascii="Garamond" w:hAnsi="Garamond"/>
                <w:sz w:val="20"/>
              </w:rPr>
              <w:t>.</w:t>
            </w:r>
            <w:r w:rsidRPr="00913E39">
              <w:rPr>
                <w:rFonts w:ascii="Garamond" w:hAnsi="Garamond"/>
                <w:sz w:val="20"/>
              </w:rPr>
              <w:t xml:space="preserve"> Identifikimi i rastit të përdorimit</w:t>
            </w:r>
            <w:r w:rsidR="000F02F6" w:rsidRPr="00913E39">
              <w:rPr>
                <w:rFonts w:ascii="Garamond" w:hAnsi="Garamond"/>
                <w:sz w:val="20"/>
              </w:rPr>
              <w:t>.</w:t>
            </w:r>
          </w:p>
          <w:p w14:paraId="3BCA214E" w14:textId="3C010C37" w:rsidR="00847F23" w:rsidRPr="00913E39" w:rsidRDefault="00847F23" w:rsidP="004F525C">
            <w:pPr>
              <w:spacing w:after="0" w:line="240" w:lineRule="auto"/>
              <w:rPr>
                <w:rFonts w:ascii="Garamond" w:hAnsi="Garamond"/>
                <w:sz w:val="20"/>
              </w:rPr>
            </w:pPr>
            <w:r w:rsidRPr="00913E39">
              <w:rPr>
                <w:rFonts w:ascii="Garamond" w:hAnsi="Garamond"/>
                <w:sz w:val="20"/>
              </w:rPr>
              <w:t>Faza 2</w:t>
            </w:r>
            <w:r w:rsidR="000F02F6" w:rsidRPr="00913E39">
              <w:rPr>
                <w:rFonts w:ascii="Garamond" w:hAnsi="Garamond"/>
                <w:sz w:val="20"/>
              </w:rPr>
              <w:t>.</w:t>
            </w:r>
            <w:r w:rsidRPr="00913E39">
              <w:rPr>
                <w:rFonts w:ascii="Garamond" w:hAnsi="Garamond"/>
                <w:sz w:val="20"/>
              </w:rPr>
              <w:t xml:space="preserve"> Projektimi për të hapur rrugën për zbatimin e rasteve të përdorimit</w:t>
            </w:r>
            <w:r w:rsidR="000F02F6" w:rsidRPr="00913E39">
              <w:rPr>
                <w:rFonts w:ascii="Garamond" w:hAnsi="Garamond"/>
                <w:sz w:val="20"/>
              </w:rPr>
              <w:t>.</w:t>
            </w:r>
            <w:r w:rsidRPr="00913E39">
              <w:rPr>
                <w:rFonts w:ascii="Garamond" w:hAnsi="Garamond"/>
                <w:sz w:val="20"/>
              </w:rPr>
              <w:t xml:space="preserve"> </w:t>
            </w:r>
          </w:p>
          <w:p w14:paraId="546C9376" w14:textId="68DFDD1E" w:rsidR="00847F23" w:rsidRPr="00913E39" w:rsidRDefault="00847F23" w:rsidP="004F525C">
            <w:pPr>
              <w:spacing w:after="0" w:line="240" w:lineRule="auto"/>
              <w:rPr>
                <w:rFonts w:ascii="Garamond" w:hAnsi="Garamond"/>
                <w:sz w:val="20"/>
              </w:rPr>
            </w:pPr>
            <w:r w:rsidRPr="00913E39">
              <w:rPr>
                <w:rFonts w:ascii="Garamond" w:hAnsi="Garamond"/>
                <w:sz w:val="20"/>
              </w:rPr>
              <w:t>Faza 3</w:t>
            </w:r>
            <w:r w:rsidR="000F02F6" w:rsidRPr="00913E39">
              <w:rPr>
                <w:rFonts w:ascii="Garamond" w:hAnsi="Garamond"/>
                <w:sz w:val="20"/>
              </w:rPr>
              <w:t>.</w:t>
            </w:r>
            <w:r w:rsidRPr="00913E39">
              <w:rPr>
                <w:rFonts w:ascii="Garamond" w:hAnsi="Garamond"/>
                <w:sz w:val="20"/>
              </w:rPr>
              <w:t xml:space="preserve"> Konceptimi i rasteve të përdorimit bazuar në demonstrime dhe simulime</w:t>
            </w:r>
            <w:r w:rsidR="000F02F6" w:rsidRPr="00913E39">
              <w:rPr>
                <w:rFonts w:ascii="Garamond" w:hAnsi="Garamond"/>
                <w:sz w:val="20"/>
              </w:rPr>
              <w:t>.</w:t>
            </w:r>
            <w:r w:rsidRPr="00913E39">
              <w:rPr>
                <w:rFonts w:ascii="Garamond" w:hAnsi="Garamond"/>
                <w:sz w:val="20"/>
              </w:rPr>
              <w:t xml:space="preserve"> </w:t>
            </w:r>
          </w:p>
          <w:p w14:paraId="1F85BE47" w14:textId="2FFB194C" w:rsidR="00847F23" w:rsidRPr="00913E39" w:rsidRDefault="00847F23" w:rsidP="00511AEA">
            <w:pPr>
              <w:spacing w:after="0" w:line="240" w:lineRule="auto"/>
              <w:rPr>
                <w:rFonts w:ascii="Garamond" w:hAnsi="Garamond"/>
                <w:sz w:val="20"/>
              </w:rPr>
            </w:pPr>
            <w:r w:rsidRPr="00913E39">
              <w:rPr>
                <w:rFonts w:ascii="Garamond" w:hAnsi="Garamond"/>
                <w:sz w:val="20"/>
              </w:rPr>
              <w:t>Faza 4</w:t>
            </w:r>
            <w:r w:rsidR="000F02F6" w:rsidRPr="00913E39">
              <w:rPr>
                <w:rFonts w:ascii="Garamond" w:hAnsi="Garamond"/>
                <w:sz w:val="20"/>
              </w:rPr>
              <w:t>.</w:t>
            </w:r>
            <w:r w:rsidRPr="00913E39">
              <w:rPr>
                <w:rFonts w:ascii="Garamond" w:hAnsi="Garamond"/>
                <w:sz w:val="20"/>
              </w:rPr>
              <w:t xml:space="preserve"> Ofrimi i provës së konceptit, ndërveprueshmërisë dhe testimit pilot.</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68E168BB"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Numër</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2A7BBDF4"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68330252"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1</w:t>
            </w:r>
          </w:p>
        </w:tc>
      </w:tr>
      <w:tr w:rsidR="00847F23" w:rsidRPr="00913E39" w14:paraId="6E433D13" w14:textId="77777777" w:rsidTr="000F02F6">
        <w:trPr>
          <w:trHeight w:val="20"/>
        </w:trPr>
        <w:tc>
          <w:tcPr>
            <w:tcW w:w="721" w:type="pct"/>
            <w:vMerge/>
            <w:tcBorders>
              <w:left w:val="single" w:sz="4" w:space="0" w:color="auto"/>
              <w:right w:val="single" w:sz="4" w:space="0" w:color="auto"/>
            </w:tcBorders>
            <w:shd w:val="clear" w:color="auto" w:fill="auto"/>
            <w:hideMark/>
          </w:tcPr>
          <w:p w14:paraId="2618EE7D" w14:textId="77777777" w:rsidR="00847F23" w:rsidRPr="00913E39" w:rsidRDefault="00847F23" w:rsidP="004F525C">
            <w:pPr>
              <w:spacing w:after="0" w:line="240" w:lineRule="auto"/>
              <w:jc w:val="both"/>
              <w:rPr>
                <w:rFonts w:ascii="Garamond" w:hAnsi="Garamond"/>
                <w:b/>
                <w:sz w:val="20"/>
              </w:rPr>
            </w:pPr>
          </w:p>
        </w:tc>
        <w:tc>
          <w:tcPr>
            <w:tcW w:w="1174" w:type="pct"/>
            <w:tcBorders>
              <w:top w:val="single" w:sz="4" w:space="0" w:color="auto"/>
              <w:left w:val="single" w:sz="4" w:space="0" w:color="auto"/>
              <w:bottom w:val="single" w:sz="4" w:space="0" w:color="auto"/>
              <w:right w:val="single" w:sz="4" w:space="0" w:color="auto"/>
            </w:tcBorders>
            <w:shd w:val="clear" w:color="auto" w:fill="auto"/>
            <w:hideMark/>
          </w:tcPr>
          <w:p w14:paraId="2581F692" w14:textId="6F32A508" w:rsidR="00847F23" w:rsidRPr="00913E39" w:rsidRDefault="00847F23" w:rsidP="004F525C">
            <w:pPr>
              <w:spacing w:after="0" w:line="240" w:lineRule="auto"/>
              <w:rPr>
                <w:rFonts w:ascii="Garamond" w:hAnsi="Garamond"/>
                <w:sz w:val="20"/>
              </w:rPr>
            </w:pPr>
            <w:r w:rsidRPr="00913E39">
              <w:rPr>
                <w:rFonts w:ascii="Garamond" w:hAnsi="Garamond"/>
                <w:sz w:val="20"/>
              </w:rPr>
              <w:t>Produkti 6.4</w:t>
            </w:r>
            <w:r w:rsidR="000F02F6" w:rsidRPr="00913E39">
              <w:rPr>
                <w:rFonts w:ascii="Garamond" w:hAnsi="Garamond"/>
                <w:sz w:val="20"/>
              </w:rPr>
              <w:t>.</w:t>
            </w:r>
            <w:r w:rsidRPr="00913E39">
              <w:rPr>
                <w:rFonts w:ascii="Garamond" w:hAnsi="Garamond"/>
                <w:sz w:val="20"/>
              </w:rPr>
              <w:t xml:space="preserve"> Zhvillimi i projektit pilot</w:t>
            </w:r>
            <w:r w:rsidRPr="00913E39">
              <w:rPr>
                <w:rFonts w:ascii="Garamond" w:hAnsi="Garamond"/>
                <w:sz w:val="20"/>
                <w:vertAlign w:val="superscript"/>
              </w:rPr>
              <w:footnoteReference w:id="90"/>
            </w:r>
            <w:r w:rsidRPr="00913E39">
              <w:rPr>
                <w:rFonts w:ascii="Garamond" w:hAnsi="Garamond"/>
                <w:sz w:val="20"/>
              </w:rPr>
              <w:t xml:space="preserve"> për rastet e përdorimit 5G.</w:t>
            </w: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05DD0B9F" w14:textId="77777777" w:rsidR="00847F23" w:rsidRPr="00913E39" w:rsidRDefault="00847F23" w:rsidP="004F525C">
            <w:pPr>
              <w:spacing w:after="0" w:line="240" w:lineRule="auto"/>
              <w:rPr>
                <w:rFonts w:ascii="Garamond" w:hAnsi="Garamond"/>
                <w:sz w:val="20"/>
              </w:rPr>
            </w:pPr>
            <w:r w:rsidRPr="00913E39">
              <w:rPr>
                <w:rFonts w:ascii="Garamond" w:hAnsi="Garamond"/>
                <w:sz w:val="20"/>
              </w:rPr>
              <w:t>Projekt pilot</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0C13784E"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Numër </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1FAFBE3"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749E0C1A"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1</w:t>
            </w:r>
          </w:p>
        </w:tc>
      </w:tr>
      <w:tr w:rsidR="00847F23" w:rsidRPr="00913E39" w14:paraId="29FB5584" w14:textId="77777777" w:rsidTr="000F02F6">
        <w:trPr>
          <w:trHeight w:val="20"/>
        </w:trPr>
        <w:tc>
          <w:tcPr>
            <w:tcW w:w="721" w:type="pct"/>
            <w:vMerge/>
            <w:tcBorders>
              <w:left w:val="single" w:sz="4" w:space="0" w:color="auto"/>
              <w:right w:val="single" w:sz="4" w:space="0" w:color="auto"/>
            </w:tcBorders>
            <w:shd w:val="clear" w:color="auto" w:fill="auto"/>
            <w:hideMark/>
          </w:tcPr>
          <w:p w14:paraId="248AF704" w14:textId="77777777" w:rsidR="00847F23" w:rsidRPr="00913E39" w:rsidRDefault="00847F23" w:rsidP="004F525C">
            <w:pPr>
              <w:spacing w:after="0" w:line="240" w:lineRule="auto"/>
              <w:jc w:val="both"/>
              <w:rPr>
                <w:rFonts w:ascii="Garamond" w:hAnsi="Garamond"/>
                <w:b/>
                <w:sz w:val="20"/>
              </w:rPr>
            </w:pPr>
          </w:p>
        </w:tc>
        <w:tc>
          <w:tcPr>
            <w:tcW w:w="1174" w:type="pct"/>
            <w:tcBorders>
              <w:top w:val="single" w:sz="4" w:space="0" w:color="auto"/>
              <w:left w:val="single" w:sz="4" w:space="0" w:color="auto"/>
              <w:bottom w:val="single" w:sz="4" w:space="0" w:color="auto"/>
              <w:right w:val="single" w:sz="4" w:space="0" w:color="auto"/>
            </w:tcBorders>
            <w:shd w:val="clear" w:color="auto" w:fill="auto"/>
            <w:hideMark/>
          </w:tcPr>
          <w:p w14:paraId="02332AB3" w14:textId="571B469B" w:rsidR="00847F23" w:rsidRPr="00913E39" w:rsidRDefault="00847F23" w:rsidP="004F525C">
            <w:pPr>
              <w:spacing w:after="0" w:line="240" w:lineRule="auto"/>
              <w:rPr>
                <w:rFonts w:ascii="Garamond" w:hAnsi="Garamond"/>
                <w:sz w:val="20"/>
              </w:rPr>
            </w:pPr>
            <w:r w:rsidRPr="00913E39">
              <w:rPr>
                <w:rFonts w:ascii="Garamond" w:hAnsi="Garamond"/>
                <w:sz w:val="20"/>
              </w:rPr>
              <w:t xml:space="preserve">Produkti 6.5 Informimi i plotë i përdoruesve fundor dhe palëve përkatëse të interesuara për përfitimet e infrastrukturës </w:t>
            </w:r>
            <w:r w:rsidR="000F02F6" w:rsidRPr="00913E39">
              <w:rPr>
                <w:rFonts w:ascii="Garamond" w:hAnsi="Garamond"/>
                <w:sz w:val="20"/>
              </w:rPr>
              <w:t>gigabit</w:t>
            </w:r>
            <w:r w:rsidRPr="00913E39">
              <w:rPr>
                <w:rFonts w:ascii="Garamond" w:hAnsi="Garamond"/>
                <w:sz w:val="20"/>
              </w:rPr>
              <w:t>/raste të përdorimit 5G.</w:t>
            </w:r>
          </w:p>
        </w:tc>
        <w:tc>
          <w:tcPr>
            <w:tcW w:w="1227" w:type="pct"/>
            <w:tcBorders>
              <w:top w:val="single" w:sz="4" w:space="0" w:color="auto"/>
              <w:left w:val="single" w:sz="4" w:space="0" w:color="auto"/>
              <w:bottom w:val="single" w:sz="4" w:space="0" w:color="auto"/>
              <w:right w:val="single" w:sz="4" w:space="0" w:color="auto"/>
            </w:tcBorders>
            <w:shd w:val="clear" w:color="auto" w:fill="auto"/>
            <w:hideMark/>
          </w:tcPr>
          <w:p w14:paraId="7FF9CB1F"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Zhvillimi i një fushate shumëvjeçare ndërgjegjësimi.</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14:paraId="2CF26A03"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Numër </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AD9C855"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hideMark/>
          </w:tcPr>
          <w:p w14:paraId="3FE75D84"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1</w:t>
            </w:r>
          </w:p>
        </w:tc>
      </w:tr>
      <w:tr w:rsidR="00847F23" w:rsidRPr="00913E39" w14:paraId="72EA08A8" w14:textId="77777777" w:rsidTr="000F02F6">
        <w:trPr>
          <w:trHeight w:val="20"/>
        </w:trPr>
        <w:tc>
          <w:tcPr>
            <w:tcW w:w="721" w:type="pct"/>
            <w:tcBorders>
              <w:left w:val="single" w:sz="4" w:space="0" w:color="auto"/>
              <w:bottom w:val="single" w:sz="4" w:space="0" w:color="auto"/>
              <w:right w:val="single" w:sz="4" w:space="0" w:color="auto"/>
            </w:tcBorders>
            <w:shd w:val="clear" w:color="auto" w:fill="auto"/>
          </w:tcPr>
          <w:p w14:paraId="2A0C6426" w14:textId="77777777" w:rsidR="00847F23" w:rsidRPr="00913E39" w:rsidRDefault="00847F23" w:rsidP="004F525C">
            <w:pPr>
              <w:spacing w:after="0" w:line="240" w:lineRule="auto"/>
              <w:jc w:val="both"/>
              <w:rPr>
                <w:rFonts w:ascii="Garamond" w:hAnsi="Garamond"/>
                <w:b/>
                <w:sz w:val="20"/>
              </w:rPr>
            </w:pPr>
          </w:p>
        </w:tc>
        <w:tc>
          <w:tcPr>
            <w:tcW w:w="1174" w:type="pct"/>
            <w:tcBorders>
              <w:top w:val="single" w:sz="4" w:space="0" w:color="auto"/>
              <w:left w:val="single" w:sz="4" w:space="0" w:color="auto"/>
              <w:bottom w:val="single" w:sz="4" w:space="0" w:color="auto"/>
              <w:right w:val="single" w:sz="4" w:space="0" w:color="auto"/>
            </w:tcBorders>
            <w:shd w:val="clear" w:color="auto" w:fill="auto"/>
          </w:tcPr>
          <w:p w14:paraId="386ACC50" w14:textId="77777777" w:rsidR="00847F23" w:rsidRPr="00913E39" w:rsidRDefault="00847F23" w:rsidP="004F525C">
            <w:pPr>
              <w:spacing w:after="0" w:line="240" w:lineRule="auto"/>
              <w:rPr>
                <w:rFonts w:ascii="Garamond" w:hAnsi="Garamond"/>
                <w:sz w:val="20"/>
              </w:rPr>
            </w:pPr>
          </w:p>
        </w:tc>
        <w:tc>
          <w:tcPr>
            <w:tcW w:w="1227" w:type="pct"/>
            <w:tcBorders>
              <w:top w:val="single" w:sz="4" w:space="0" w:color="auto"/>
              <w:left w:val="single" w:sz="4" w:space="0" w:color="auto"/>
              <w:bottom w:val="single" w:sz="4" w:space="0" w:color="auto"/>
              <w:right w:val="single" w:sz="4" w:space="0" w:color="auto"/>
            </w:tcBorders>
            <w:shd w:val="clear" w:color="auto" w:fill="auto"/>
          </w:tcPr>
          <w:p w14:paraId="742CEFFA"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Zhvillimi i konferencës kombëtare</w:t>
            </w:r>
          </w:p>
        </w:tc>
        <w:tc>
          <w:tcPr>
            <w:tcW w:w="782" w:type="pct"/>
            <w:tcBorders>
              <w:top w:val="single" w:sz="4" w:space="0" w:color="auto"/>
              <w:left w:val="single" w:sz="4" w:space="0" w:color="auto"/>
              <w:bottom w:val="single" w:sz="4" w:space="0" w:color="auto"/>
              <w:right w:val="single" w:sz="4" w:space="0" w:color="auto"/>
            </w:tcBorders>
            <w:shd w:val="clear" w:color="auto" w:fill="auto"/>
          </w:tcPr>
          <w:p w14:paraId="7AFF3EA1"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Numër </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2D12AD96"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tcPr>
          <w:p w14:paraId="409A1A26"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1</w:t>
            </w:r>
          </w:p>
        </w:tc>
      </w:tr>
    </w:tbl>
    <w:p w14:paraId="175B019B" w14:textId="77777777" w:rsidR="00847F23" w:rsidRPr="00913E39" w:rsidRDefault="00847F23" w:rsidP="00FC4C60">
      <w:pPr>
        <w:spacing w:after="0" w:line="240" w:lineRule="auto"/>
        <w:ind w:firstLine="284"/>
        <w:jc w:val="both"/>
        <w:rPr>
          <w:rFonts w:ascii="Garamond" w:hAnsi="Garamond"/>
          <w:sz w:val="24"/>
        </w:rPr>
      </w:pPr>
    </w:p>
    <w:p w14:paraId="1959526E"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 xml:space="preserve">Lloji i aktiviteteve </w:t>
      </w:r>
    </w:p>
    <w:p w14:paraId="12BC0581" w14:textId="67869D97" w:rsidR="00847F23" w:rsidRPr="00913E39" w:rsidRDefault="00847F23" w:rsidP="00FC4C60">
      <w:pPr>
        <w:spacing w:after="0" w:line="240" w:lineRule="auto"/>
        <w:ind w:firstLine="284"/>
        <w:jc w:val="both"/>
        <w:rPr>
          <w:rFonts w:ascii="Garamond" w:hAnsi="Garamond"/>
          <w:sz w:val="24"/>
        </w:rPr>
      </w:pPr>
      <w:bookmarkStart w:id="49" w:name="_Hlk148861192"/>
      <w:r w:rsidRPr="00913E39">
        <w:rPr>
          <w:rFonts w:ascii="Garamond" w:hAnsi="Garamond"/>
          <w:sz w:val="24"/>
        </w:rPr>
        <w:t xml:space="preserve">Në përgjithësi, aktivitetet e nënfushës së mbështetjes </w:t>
      </w:r>
      <w:r w:rsidR="008220D1" w:rsidRPr="00913E39">
        <w:rPr>
          <w:rFonts w:ascii="Garamond" w:hAnsi="Garamond"/>
          <w:sz w:val="24"/>
        </w:rPr>
        <w:t xml:space="preserve">ndërlidhja </w:t>
      </w:r>
      <w:r w:rsidRPr="00913E39">
        <w:rPr>
          <w:rFonts w:ascii="Garamond" w:hAnsi="Garamond"/>
          <w:sz w:val="24"/>
        </w:rPr>
        <w:t xml:space="preserve">digjitale do të jenë si më poshtë: </w:t>
      </w:r>
    </w:p>
    <w:bookmarkEnd w:id="49"/>
    <w:p w14:paraId="522BDA89"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Forcimi i kapaciteteve në lidhje me </w:t>
      </w:r>
      <w:r w:rsidRPr="00913E39">
        <w:rPr>
          <w:rFonts w:ascii="Garamond" w:hAnsi="Garamond"/>
          <w:i/>
          <w:sz w:val="24"/>
        </w:rPr>
        <w:t>acquis</w:t>
      </w:r>
      <w:r w:rsidRPr="00913E39">
        <w:rPr>
          <w:rFonts w:ascii="Garamond" w:hAnsi="Garamond"/>
          <w:sz w:val="24"/>
        </w:rPr>
        <w:t xml:space="preserve">, përafrimi dhe harmonizimi ligjor, reformat sektoriale, forcimi i kapaciteteve, trajnimi, fushata ndërgjegjësimi për të informuar popullsinë rastet e përdorimit të infrastrukturës </w:t>
      </w:r>
      <w:r w:rsidRPr="00913E39">
        <w:rPr>
          <w:rFonts w:ascii="Garamond" w:hAnsi="Garamond"/>
          <w:i/>
          <w:sz w:val="24"/>
        </w:rPr>
        <w:t>gigabit</w:t>
      </w:r>
      <w:r w:rsidRPr="00913E39">
        <w:rPr>
          <w:rFonts w:ascii="Garamond" w:hAnsi="Garamond"/>
          <w:sz w:val="24"/>
        </w:rPr>
        <w:t xml:space="preserve">/5G nga komuniteti digjital, </w:t>
      </w:r>
    </w:p>
    <w:p w14:paraId="776BAE34"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Aktivitete të tjera (studime teknike mbi rastet e përdorimit të VHCN dhe 5G, projekt pilot i pranueshëm 5G që zbaton rastet e përdorimit të 5G për komunitetin digjital); </w:t>
      </w:r>
    </w:p>
    <w:p w14:paraId="79070B6E" w14:textId="31C4F4E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FORCIMI I KAPACITETEVE: trajnim mbi </w:t>
      </w:r>
      <w:r w:rsidR="00511AEA" w:rsidRPr="00913E39">
        <w:rPr>
          <w:rFonts w:ascii="Garamond" w:hAnsi="Garamond"/>
          <w:sz w:val="24"/>
        </w:rPr>
        <w:t xml:space="preserve">ligjin për infrastrukturën </w:t>
      </w:r>
      <w:r w:rsidR="00511AEA" w:rsidRPr="00913E39">
        <w:rPr>
          <w:rFonts w:ascii="Garamond" w:hAnsi="Garamond"/>
          <w:i/>
          <w:sz w:val="24"/>
        </w:rPr>
        <w:t>gigabit</w:t>
      </w:r>
      <w:r w:rsidRPr="00913E39">
        <w:rPr>
          <w:rFonts w:ascii="Garamond" w:hAnsi="Garamond"/>
          <w:sz w:val="24"/>
        </w:rPr>
        <w:t xml:space="preserve">, 5G, studim gjeografik për </w:t>
      </w:r>
      <w:r w:rsidRPr="00913E39">
        <w:rPr>
          <w:rFonts w:ascii="Garamond" w:hAnsi="Garamond"/>
          <w:i/>
          <w:sz w:val="24"/>
        </w:rPr>
        <w:t>broadband</w:t>
      </w:r>
      <w:r w:rsidRPr="00913E39">
        <w:rPr>
          <w:rFonts w:ascii="Garamond" w:hAnsi="Garamond"/>
          <w:sz w:val="24"/>
        </w:rPr>
        <w:t xml:space="preserve"> /VHCN (metodologjia, trajnimi i funksioneve të sistemit atlas/menaxhimi i ndryshimeve/aftësitë e autoriteteve publike) </w:t>
      </w:r>
    </w:p>
    <w:p w14:paraId="1E4E759F" w14:textId="160F3D0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STUDIMI TEKNIK 1: Përgatitja e </w:t>
      </w:r>
      <w:r w:rsidR="000F02F6" w:rsidRPr="00913E39">
        <w:rPr>
          <w:rFonts w:ascii="Garamond" w:hAnsi="Garamond"/>
          <w:sz w:val="24"/>
        </w:rPr>
        <w:t xml:space="preserve">studimit gjeografik </w:t>
      </w:r>
      <w:r w:rsidRPr="00913E39">
        <w:rPr>
          <w:rFonts w:ascii="Garamond" w:hAnsi="Garamond"/>
          <w:sz w:val="24"/>
        </w:rPr>
        <w:t xml:space="preserve">për rrjetin </w:t>
      </w:r>
      <w:r w:rsidRPr="00913E39">
        <w:rPr>
          <w:rFonts w:ascii="Garamond" w:hAnsi="Garamond"/>
          <w:i/>
          <w:sz w:val="24"/>
        </w:rPr>
        <w:t>broadband</w:t>
      </w:r>
      <w:r w:rsidRPr="00913E39">
        <w:rPr>
          <w:rFonts w:ascii="Garamond" w:hAnsi="Garamond"/>
          <w:sz w:val="24"/>
        </w:rPr>
        <w:t xml:space="preserve">, VHCN </w:t>
      </w:r>
    </w:p>
    <w:p w14:paraId="43031593" w14:textId="17D7F24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STUDIMI TEKNIK 2: Rastet e përdorimit të 5G për komunitetin </w:t>
      </w:r>
      <w:r w:rsidRPr="00913E39">
        <w:rPr>
          <w:rFonts w:ascii="Garamond" w:hAnsi="Garamond"/>
          <w:i/>
          <w:sz w:val="24"/>
        </w:rPr>
        <w:t>smart</w:t>
      </w:r>
      <w:r w:rsidRPr="00913E39">
        <w:rPr>
          <w:rFonts w:ascii="Garamond" w:hAnsi="Garamond"/>
          <w:sz w:val="24"/>
        </w:rPr>
        <w:t xml:space="preserve"> përfshirë aspektet mjedisore dhe klimatike: menaxhimi i mbetjeve elektronike në zonë, mundësitë për ekonomi qarkulluese, ripërdorim dhe riparim, si dhe masa për efi</w:t>
      </w:r>
      <w:r w:rsidR="00042B57" w:rsidRPr="00913E39">
        <w:rPr>
          <w:rFonts w:ascii="Garamond" w:hAnsi="Garamond"/>
          <w:sz w:val="24"/>
        </w:rPr>
        <w:t>ci</w:t>
      </w:r>
      <w:r w:rsidRPr="00913E39">
        <w:rPr>
          <w:rFonts w:ascii="Garamond" w:hAnsi="Garamond"/>
          <w:sz w:val="24"/>
        </w:rPr>
        <w:t xml:space="preserve">encën e energjisë; </w:t>
      </w:r>
    </w:p>
    <w:p w14:paraId="685F86CF" w14:textId="4495D3B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INVESTIMI: Projekt pilot i pranueshëm për zbatimin e rasteve të përdorimit 5G në komunitetin digjital (shëndeti digjital, </w:t>
      </w:r>
      <w:r w:rsidRPr="00913E39">
        <w:rPr>
          <w:rFonts w:ascii="Garamond" w:hAnsi="Garamond"/>
          <w:i/>
          <w:sz w:val="24"/>
        </w:rPr>
        <w:t>e-education</w:t>
      </w:r>
      <w:r w:rsidRPr="00913E39">
        <w:rPr>
          <w:rFonts w:ascii="Garamond" w:hAnsi="Garamond"/>
          <w:sz w:val="24"/>
        </w:rPr>
        <w:t xml:space="preserve">, transporti, shërbimet publike elektronike). </w:t>
      </w:r>
      <w:r w:rsidRPr="00913E39">
        <w:rPr>
          <w:rFonts w:ascii="Garamond" w:hAnsi="Garamond"/>
          <w:sz w:val="24"/>
        </w:rPr>
        <w:lastRenderedPageBreak/>
        <w:t xml:space="preserve">Propozimi është dhënë në </w:t>
      </w:r>
      <w:r w:rsidR="00042B57" w:rsidRPr="00913E39">
        <w:rPr>
          <w:rFonts w:ascii="Garamond" w:hAnsi="Garamond"/>
          <w:sz w:val="24"/>
        </w:rPr>
        <w:t>a</w:t>
      </w:r>
      <w:r w:rsidRPr="00913E39">
        <w:rPr>
          <w:rFonts w:ascii="Garamond" w:hAnsi="Garamond"/>
          <w:sz w:val="24"/>
        </w:rPr>
        <w:t>neksin e kësaj fushe mbështetjeje. Projekti pilot synon të promovojë vendosjen e 5G dhe anën e kërkesës bazuar në modelin e BE-së për 5G për komunitetin smart</w:t>
      </w:r>
      <w:r w:rsidRPr="00913E39">
        <w:rPr>
          <w:rFonts w:ascii="Garamond" w:hAnsi="Garamond"/>
          <w:sz w:val="24"/>
          <w:vertAlign w:val="superscript"/>
        </w:rPr>
        <w:footnoteReference w:id="91"/>
      </w:r>
      <w:r w:rsidRPr="00913E39">
        <w:rPr>
          <w:rFonts w:ascii="Garamond" w:hAnsi="Garamond"/>
          <w:sz w:val="24"/>
        </w:rPr>
        <w:t xml:space="preserve">. </w:t>
      </w:r>
    </w:p>
    <w:p w14:paraId="33C3AE4F" w14:textId="3757503B"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Tabela 23</w:t>
      </w:r>
      <w:r w:rsidR="00042B57" w:rsidRPr="00913E39">
        <w:rPr>
          <w:rFonts w:ascii="Garamond" w:hAnsi="Garamond"/>
          <w:i/>
          <w:sz w:val="24"/>
        </w:rPr>
        <w:t>.</w:t>
      </w:r>
      <w:r w:rsidRPr="00913E39">
        <w:rPr>
          <w:rFonts w:ascii="Garamond" w:hAnsi="Garamond"/>
          <w:i/>
          <w:sz w:val="24"/>
        </w:rPr>
        <w:t xml:space="preserve"> Ndërlidhja digjitale, </w:t>
      </w:r>
      <w:r w:rsidR="00042B57" w:rsidRPr="00913E39">
        <w:rPr>
          <w:rFonts w:ascii="Garamond" w:hAnsi="Garamond"/>
          <w:i/>
          <w:sz w:val="24"/>
        </w:rPr>
        <w:t>t</w:t>
      </w:r>
      <w:r w:rsidRPr="00913E39">
        <w:rPr>
          <w:rFonts w:ascii="Garamond" w:hAnsi="Garamond"/>
          <w:i/>
          <w:sz w:val="24"/>
        </w:rPr>
        <w:t>regues i llojit kryesor të aktiviteteve sipas kësaj nënfushe të mbështetjes, i ndarë sipas viteve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5"/>
        <w:gridCol w:w="2265"/>
        <w:gridCol w:w="2282"/>
        <w:gridCol w:w="2262"/>
      </w:tblGrid>
      <w:tr w:rsidR="00847F23" w:rsidRPr="00913E39" w14:paraId="4B67539D" w14:textId="77777777" w:rsidTr="00B27420">
        <w:trPr>
          <w:tblHeader/>
        </w:trPr>
        <w:tc>
          <w:tcPr>
            <w:tcW w:w="2337" w:type="dxa"/>
            <w:tcBorders>
              <w:top w:val="single" w:sz="4" w:space="0" w:color="auto"/>
              <w:left w:val="single" w:sz="4" w:space="0" w:color="auto"/>
              <w:bottom w:val="single" w:sz="4" w:space="0" w:color="auto"/>
              <w:right w:val="single" w:sz="4" w:space="0" w:color="auto"/>
            </w:tcBorders>
            <w:shd w:val="clear" w:color="auto" w:fill="auto"/>
            <w:hideMark/>
          </w:tcPr>
          <w:p w14:paraId="7502D0E2" w14:textId="77777777" w:rsidR="00847F23" w:rsidRPr="00913E39" w:rsidRDefault="00847F23" w:rsidP="004F525C">
            <w:pPr>
              <w:spacing w:after="0" w:line="240" w:lineRule="auto"/>
              <w:jc w:val="both"/>
              <w:rPr>
                <w:rFonts w:ascii="Garamond" w:hAnsi="Garamond"/>
                <w:b/>
                <w:sz w:val="20"/>
              </w:rPr>
            </w:pPr>
            <w:r w:rsidRPr="00913E39">
              <w:rPr>
                <w:rFonts w:ascii="Garamond" w:hAnsi="Garamond"/>
                <w:b/>
                <w:sz w:val="20"/>
              </w:rPr>
              <w:t>2024</w:t>
            </w:r>
          </w:p>
        </w:tc>
        <w:tc>
          <w:tcPr>
            <w:tcW w:w="2337" w:type="dxa"/>
            <w:tcBorders>
              <w:top w:val="single" w:sz="4" w:space="0" w:color="auto"/>
              <w:left w:val="single" w:sz="4" w:space="0" w:color="auto"/>
              <w:bottom w:val="single" w:sz="4" w:space="0" w:color="auto"/>
              <w:right w:val="single" w:sz="4" w:space="0" w:color="auto"/>
            </w:tcBorders>
            <w:shd w:val="clear" w:color="auto" w:fill="auto"/>
            <w:hideMark/>
          </w:tcPr>
          <w:p w14:paraId="0814532F" w14:textId="77777777" w:rsidR="00847F23" w:rsidRPr="00913E39" w:rsidRDefault="00847F23" w:rsidP="004F525C">
            <w:pPr>
              <w:spacing w:after="0" w:line="240" w:lineRule="auto"/>
              <w:jc w:val="both"/>
              <w:rPr>
                <w:rFonts w:ascii="Garamond" w:hAnsi="Garamond"/>
                <w:b/>
                <w:sz w:val="20"/>
              </w:rPr>
            </w:pPr>
            <w:r w:rsidRPr="00913E39">
              <w:rPr>
                <w:rFonts w:ascii="Garamond" w:hAnsi="Garamond"/>
                <w:b/>
                <w:sz w:val="20"/>
              </w:rPr>
              <w:t>2025</w:t>
            </w:r>
          </w:p>
        </w:tc>
        <w:tc>
          <w:tcPr>
            <w:tcW w:w="2338" w:type="dxa"/>
            <w:tcBorders>
              <w:top w:val="single" w:sz="4" w:space="0" w:color="auto"/>
              <w:left w:val="single" w:sz="4" w:space="0" w:color="auto"/>
              <w:bottom w:val="single" w:sz="4" w:space="0" w:color="auto"/>
              <w:right w:val="single" w:sz="4" w:space="0" w:color="auto"/>
            </w:tcBorders>
            <w:shd w:val="clear" w:color="auto" w:fill="auto"/>
            <w:hideMark/>
          </w:tcPr>
          <w:p w14:paraId="0EC7E6E7" w14:textId="77777777" w:rsidR="00847F23" w:rsidRPr="00913E39" w:rsidRDefault="00847F23" w:rsidP="004F525C">
            <w:pPr>
              <w:spacing w:after="0" w:line="240" w:lineRule="auto"/>
              <w:jc w:val="both"/>
              <w:rPr>
                <w:rFonts w:ascii="Garamond" w:hAnsi="Garamond"/>
                <w:b/>
                <w:sz w:val="20"/>
              </w:rPr>
            </w:pPr>
            <w:r w:rsidRPr="00913E39">
              <w:rPr>
                <w:rFonts w:ascii="Garamond" w:hAnsi="Garamond"/>
                <w:b/>
                <w:sz w:val="20"/>
              </w:rPr>
              <w:t>2026</w:t>
            </w:r>
          </w:p>
        </w:tc>
        <w:tc>
          <w:tcPr>
            <w:tcW w:w="2338" w:type="dxa"/>
            <w:tcBorders>
              <w:top w:val="single" w:sz="4" w:space="0" w:color="auto"/>
              <w:left w:val="single" w:sz="4" w:space="0" w:color="auto"/>
              <w:bottom w:val="single" w:sz="4" w:space="0" w:color="auto"/>
              <w:right w:val="single" w:sz="4" w:space="0" w:color="auto"/>
            </w:tcBorders>
            <w:shd w:val="clear" w:color="auto" w:fill="auto"/>
            <w:hideMark/>
          </w:tcPr>
          <w:p w14:paraId="25F1E192" w14:textId="77777777" w:rsidR="00847F23" w:rsidRPr="00913E39" w:rsidRDefault="00847F23" w:rsidP="004F525C">
            <w:pPr>
              <w:spacing w:after="0" w:line="240" w:lineRule="auto"/>
              <w:jc w:val="both"/>
              <w:rPr>
                <w:rFonts w:ascii="Garamond" w:hAnsi="Garamond"/>
                <w:b/>
                <w:sz w:val="20"/>
              </w:rPr>
            </w:pPr>
            <w:r w:rsidRPr="00913E39">
              <w:rPr>
                <w:rFonts w:ascii="Garamond" w:hAnsi="Garamond"/>
                <w:b/>
                <w:sz w:val="20"/>
              </w:rPr>
              <w:t>2027</w:t>
            </w:r>
          </w:p>
        </w:tc>
      </w:tr>
      <w:tr w:rsidR="00847F23" w:rsidRPr="00913E39" w14:paraId="06AB2D40" w14:textId="77777777" w:rsidTr="00B27420">
        <w:tc>
          <w:tcPr>
            <w:tcW w:w="2337" w:type="dxa"/>
            <w:tcBorders>
              <w:top w:val="single" w:sz="4" w:space="0" w:color="auto"/>
              <w:left w:val="single" w:sz="4" w:space="0" w:color="auto"/>
              <w:bottom w:val="single" w:sz="4" w:space="0" w:color="auto"/>
              <w:right w:val="single" w:sz="4" w:space="0" w:color="auto"/>
            </w:tcBorders>
            <w:shd w:val="clear" w:color="auto" w:fill="auto"/>
            <w:hideMark/>
          </w:tcPr>
          <w:p w14:paraId="55FF8301" w14:textId="1C259885" w:rsidR="00847F23" w:rsidRPr="00913E39" w:rsidRDefault="00847F23" w:rsidP="004F525C">
            <w:pPr>
              <w:spacing w:after="0" w:line="240" w:lineRule="auto"/>
              <w:rPr>
                <w:rFonts w:ascii="Garamond" w:hAnsi="Garamond"/>
                <w:sz w:val="20"/>
              </w:rPr>
            </w:pPr>
            <w:r w:rsidRPr="00913E39">
              <w:rPr>
                <w:rFonts w:ascii="Garamond" w:hAnsi="Garamond"/>
                <w:sz w:val="20"/>
              </w:rPr>
              <w:t xml:space="preserve">Vlerësimi i ndikimit (RIA) Ligji për </w:t>
            </w:r>
            <w:r w:rsidR="000F02F6" w:rsidRPr="00913E39">
              <w:rPr>
                <w:rFonts w:ascii="Garamond" w:hAnsi="Garamond"/>
                <w:sz w:val="20"/>
              </w:rPr>
              <w:t xml:space="preserve">infrastrukturën </w:t>
            </w:r>
            <w:r w:rsidR="000F02F6" w:rsidRPr="00913E39">
              <w:rPr>
                <w:rFonts w:ascii="Garamond" w:hAnsi="Garamond"/>
                <w:i/>
                <w:sz w:val="20"/>
              </w:rPr>
              <w:t>gigabit</w:t>
            </w:r>
            <w:r w:rsidR="000F02F6" w:rsidRPr="00913E39">
              <w:rPr>
                <w:rFonts w:ascii="Garamond" w:hAnsi="Garamond"/>
                <w:sz w:val="20"/>
              </w:rPr>
              <w:t xml:space="preserve"> </w:t>
            </w:r>
          </w:p>
          <w:p w14:paraId="46519674" w14:textId="157C1AD0"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Studimi </w:t>
            </w:r>
            <w:r w:rsidR="000F02F6" w:rsidRPr="00913E39">
              <w:rPr>
                <w:rFonts w:ascii="Garamond" w:hAnsi="Garamond"/>
                <w:sz w:val="20"/>
              </w:rPr>
              <w:t xml:space="preserve">teknik rastet e përdorimit </w:t>
            </w:r>
            <w:r w:rsidRPr="00913E39">
              <w:rPr>
                <w:rFonts w:ascii="Garamond" w:hAnsi="Garamond"/>
                <w:sz w:val="20"/>
              </w:rPr>
              <w:t>të 5G</w:t>
            </w:r>
          </w:p>
        </w:tc>
        <w:tc>
          <w:tcPr>
            <w:tcW w:w="2337" w:type="dxa"/>
            <w:tcBorders>
              <w:top w:val="single" w:sz="4" w:space="0" w:color="auto"/>
              <w:left w:val="single" w:sz="4" w:space="0" w:color="auto"/>
              <w:bottom w:val="single" w:sz="4" w:space="0" w:color="auto"/>
              <w:right w:val="single" w:sz="4" w:space="0" w:color="auto"/>
            </w:tcBorders>
            <w:shd w:val="clear" w:color="auto" w:fill="auto"/>
            <w:hideMark/>
          </w:tcPr>
          <w:p w14:paraId="4305B8DB" w14:textId="592FF3B4" w:rsidR="00847F23" w:rsidRPr="00913E39" w:rsidRDefault="00847F23" w:rsidP="004F525C">
            <w:pPr>
              <w:spacing w:after="0" w:line="240" w:lineRule="auto"/>
              <w:rPr>
                <w:rFonts w:ascii="Garamond" w:hAnsi="Garamond"/>
                <w:sz w:val="20"/>
              </w:rPr>
            </w:pPr>
            <w:r w:rsidRPr="00913E39">
              <w:rPr>
                <w:rFonts w:ascii="Garamond" w:hAnsi="Garamond"/>
                <w:sz w:val="20"/>
              </w:rPr>
              <w:t xml:space="preserve">Ligji për </w:t>
            </w:r>
            <w:r w:rsidR="000F02F6" w:rsidRPr="00913E39">
              <w:rPr>
                <w:rFonts w:ascii="Garamond" w:hAnsi="Garamond"/>
                <w:sz w:val="20"/>
              </w:rPr>
              <w:t xml:space="preserve">infrastrukturën </w:t>
            </w:r>
            <w:r w:rsidR="000F02F6" w:rsidRPr="00913E39">
              <w:rPr>
                <w:rFonts w:ascii="Garamond" w:hAnsi="Garamond"/>
                <w:i/>
                <w:sz w:val="20"/>
              </w:rPr>
              <w:t>gigabit</w:t>
            </w:r>
          </w:p>
          <w:p w14:paraId="4D9185CB"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Forcim i kapaciteteve</w:t>
            </w:r>
          </w:p>
          <w:p w14:paraId="62C6AD96"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Fushata ndërgjegjësimi</w:t>
            </w:r>
          </w:p>
        </w:tc>
        <w:tc>
          <w:tcPr>
            <w:tcW w:w="2338" w:type="dxa"/>
            <w:tcBorders>
              <w:top w:val="single" w:sz="4" w:space="0" w:color="auto"/>
              <w:left w:val="single" w:sz="4" w:space="0" w:color="auto"/>
              <w:bottom w:val="single" w:sz="4" w:space="0" w:color="auto"/>
              <w:right w:val="single" w:sz="4" w:space="0" w:color="auto"/>
            </w:tcBorders>
            <w:shd w:val="clear" w:color="auto" w:fill="auto"/>
            <w:hideMark/>
          </w:tcPr>
          <w:p w14:paraId="7AFE4275" w14:textId="0332193E" w:rsidR="00847F23" w:rsidRPr="00913E39" w:rsidRDefault="00847F23" w:rsidP="004F525C">
            <w:pPr>
              <w:spacing w:after="0" w:line="240" w:lineRule="auto"/>
              <w:rPr>
                <w:rFonts w:ascii="Garamond" w:hAnsi="Garamond"/>
                <w:sz w:val="20"/>
              </w:rPr>
            </w:pPr>
            <w:r w:rsidRPr="00913E39">
              <w:rPr>
                <w:rFonts w:ascii="Garamond" w:hAnsi="Garamond"/>
                <w:sz w:val="20"/>
              </w:rPr>
              <w:t xml:space="preserve">Studim teknik - </w:t>
            </w:r>
            <w:r w:rsidR="000F02F6" w:rsidRPr="00913E39">
              <w:rPr>
                <w:rFonts w:ascii="Garamond" w:hAnsi="Garamond"/>
                <w:sz w:val="20"/>
              </w:rPr>
              <w:t xml:space="preserve">studim gjeografik për </w:t>
            </w:r>
            <w:r w:rsidRPr="00913E39">
              <w:rPr>
                <w:rFonts w:ascii="Garamond" w:hAnsi="Garamond"/>
                <w:i/>
                <w:sz w:val="20"/>
              </w:rPr>
              <w:t>broadband</w:t>
            </w:r>
            <w:r w:rsidRPr="00913E39">
              <w:rPr>
                <w:rFonts w:ascii="Garamond" w:hAnsi="Garamond"/>
                <w:sz w:val="20"/>
              </w:rPr>
              <w:t>/VHCN</w:t>
            </w:r>
          </w:p>
          <w:p w14:paraId="07488316"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Forcim i kapaciteteve</w:t>
            </w:r>
          </w:p>
          <w:p w14:paraId="03D98AC8"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Fushata ndërgjegjësimi</w:t>
            </w:r>
          </w:p>
          <w:p w14:paraId="4BADDF71"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Projekt pilot për rastet e përdorimit të 5G në komunitetet digjitale</w:t>
            </w:r>
          </w:p>
        </w:tc>
        <w:tc>
          <w:tcPr>
            <w:tcW w:w="2338" w:type="dxa"/>
            <w:tcBorders>
              <w:top w:val="single" w:sz="4" w:space="0" w:color="auto"/>
              <w:left w:val="single" w:sz="4" w:space="0" w:color="auto"/>
              <w:bottom w:val="single" w:sz="4" w:space="0" w:color="auto"/>
              <w:right w:val="single" w:sz="4" w:space="0" w:color="auto"/>
            </w:tcBorders>
            <w:shd w:val="clear" w:color="auto" w:fill="auto"/>
          </w:tcPr>
          <w:p w14:paraId="6861C226"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Forcim i kapaciteteve</w:t>
            </w:r>
          </w:p>
          <w:p w14:paraId="09620C51"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Fushata ndërgjegjësimi</w:t>
            </w:r>
          </w:p>
          <w:p w14:paraId="117F311B" w14:textId="77777777" w:rsidR="00847F23" w:rsidRPr="00913E39" w:rsidRDefault="00847F23" w:rsidP="004F525C">
            <w:pPr>
              <w:spacing w:after="0" w:line="240" w:lineRule="auto"/>
              <w:jc w:val="both"/>
              <w:rPr>
                <w:rFonts w:ascii="Garamond" w:hAnsi="Garamond"/>
                <w:sz w:val="20"/>
              </w:rPr>
            </w:pPr>
          </w:p>
          <w:p w14:paraId="578B9CB1" w14:textId="77777777" w:rsidR="00847F23" w:rsidRPr="00913E39" w:rsidRDefault="00847F23" w:rsidP="004F525C">
            <w:pPr>
              <w:spacing w:after="0" w:line="240" w:lineRule="auto"/>
              <w:jc w:val="both"/>
              <w:rPr>
                <w:rFonts w:ascii="Garamond" w:hAnsi="Garamond"/>
                <w:sz w:val="20"/>
              </w:rPr>
            </w:pPr>
            <w:r w:rsidRPr="00913E39">
              <w:rPr>
                <w:rFonts w:ascii="Garamond" w:hAnsi="Garamond"/>
                <w:sz w:val="20"/>
              </w:rPr>
              <w:t xml:space="preserve">Projekt pilot për rastet e përdorimit të 5G në komunitetet digjitale </w:t>
            </w:r>
          </w:p>
          <w:p w14:paraId="220721DF" w14:textId="77777777" w:rsidR="00847F23" w:rsidRPr="00913E39" w:rsidRDefault="00847F23" w:rsidP="004F525C">
            <w:pPr>
              <w:spacing w:after="0" w:line="240" w:lineRule="auto"/>
              <w:jc w:val="both"/>
              <w:rPr>
                <w:rFonts w:ascii="Garamond" w:hAnsi="Garamond"/>
                <w:sz w:val="20"/>
              </w:rPr>
            </w:pPr>
          </w:p>
        </w:tc>
      </w:tr>
    </w:tbl>
    <w:p w14:paraId="61D9B219" w14:textId="77777777" w:rsidR="00042B57" w:rsidRPr="00913E39" w:rsidRDefault="00042B57" w:rsidP="00FC4C60">
      <w:pPr>
        <w:spacing w:after="0" w:line="240" w:lineRule="auto"/>
        <w:ind w:firstLine="284"/>
        <w:jc w:val="both"/>
        <w:rPr>
          <w:rFonts w:ascii="Garamond" w:hAnsi="Garamond"/>
          <w:b/>
          <w:sz w:val="24"/>
        </w:rPr>
      </w:pPr>
    </w:p>
    <w:p w14:paraId="6FF39D6E" w14:textId="42E838D9"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Metodat e ofrimit</w:t>
      </w:r>
    </w:p>
    <w:p w14:paraId="6FEB731A" w14:textId="1B3C64D6"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Metodat e ofrimit që do të merren parasysh për këtë fushë të mbështetjes mund të përfshijnë shërbimet dhe prokurimin e furnizimeve</w:t>
      </w:r>
      <w:r w:rsidR="00606E39" w:rsidRPr="00913E39">
        <w:rPr>
          <w:rFonts w:ascii="Garamond" w:hAnsi="Garamond"/>
          <w:sz w:val="24"/>
        </w:rPr>
        <w:t>,</w:t>
      </w:r>
      <w:r w:rsidRPr="00913E39">
        <w:rPr>
          <w:rFonts w:ascii="Garamond" w:hAnsi="Garamond"/>
          <w:sz w:val="24"/>
        </w:rPr>
        <w:t xml:space="preserve"> si edhe kontratat e binjakëzimit.</w:t>
      </w:r>
    </w:p>
    <w:p w14:paraId="36ABAD3F" w14:textId="137E3188"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Përfituesit fundorë dhe grupet e synuara</w:t>
      </w:r>
      <w:r w:rsidRPr="00913E39">
        <w:rPr>
          <w:rFonts w:ascii="Garamond" w:hAnsi="Garamond"/>
          <w:sz w:val="24"/>
        </w:rPr>
        <w:t xml:space="preserve">: politikëbërësit publikë, organi rregullator dhe përdoruesit fundorë përfshijnë bizneset dhe qytetarët që përfitojnë nga ndërlidhja digjitale më e mirë bazuar në </w:t>
      </w:r>
      <w:r w:rsidR="00042B57" w:rsidRPr="00913E39">
        <w:rPr>
          <w:rFonts w:ascii="Garamond" w:hAnsi="Garamond"/>
          <w:sz w:val="24"/>
        </w:rPr>
        <w:t xml:space="preserve">rrjetet me kapacitet shumë të lartë fiks </w:t>
      </w:r>
      <w:r w:rsidRPr="00913E39">
        <w:rPr>
          <w:rFonts w:ascii="Garamond" w:hAnsi="Garamond"/>
          <w:sz w:val="24"/>
        </w:rPr>
        <w:t>dhe 5G.</w:t>
      </w:r>
    </w:p>
    <w:p w14:paraId="73222D04"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 xml:space="preserve">Kushtet: </w:t>
      </w:r>
      <w:r w:rsidRPr="00913E39">
        <w:rPr>
          <w:rFonts w:ascii="Garamond" w:hAnsi="Garamond"/>
          <w:sz w:val="24"/>
        </w:rPr>
        <w:t xml:space="preserve">bashkëfinancim i fushës së mbështetjes. </w:t>
      </w:r>
    </w:p>
    <w:p w14:paraId="0125D836"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Fusha e mbështetjes: Asistencë teknike</w:t>
      </w:r>
    </w:p>
    <w:p w14:paraId="23E43682"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 xml:space="preserve">Arsyetimi </w:t>
      </w:r>
    </w:p>
    <w:p w14:paraId="050BD71F" w14:textId="5F8FCBC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Ndërhyrja me </w:t>
      </w:r>
      <w:r w:rsidR="00850FC7" w:rsidRPr="00913E39">
        <w:rPr>
          <w:rFonts w:ascii="Garamond" w:eastAsia="Times New Roman" w:hAnsi="Garamond" w:cs="Times New Roman"/>
          <w:bCs/>
          <w:sz w:val="24"/>
          <w:szCs w:val="24"/>
        </w:rPr>
        <w:t>“</w:t>
      </w:r>
      <w:r w:rsidRPr="00913E39">
        <w:rPr>
          <w:rFonts w:ascii="Garamond" w:hAnsi="Garamond"/>
          <w:sz w:val="24"/>
        </w:rPr>
        <w:t>Asistencë teknike</w:t>
      </w:r>
      <w:r w:rsidR="00850FC7" w:rsidRPr="00913E39">
        <w:rPr>
          <w:rFonts w:ascii="Garamond" w:eastAsia="Times New Roman" w:hAnsi="Garamond" w:cs="Times New Roman"/>
          <w:bCs/>
          <w:sz w:val="24"/>
          <w:szCs w:val="24"/>
        </w:rPr>
        <w:t>”</w:t>
      </w:r>
      <w:r w:rsidRPr="00913E39">
        <w:rPr>
          <w:rFonts w:ascii="Garamond" w:hAnsi="Garamond"/>
          <w:sz w:val="24"/>
        </w:rPr>
        <w:t xml:space="preserve"> do të mbështesë </w:t>
      </w:r>
      <w:r w:rsidR="000F02F6" w:rsidRPr="00913E39">
        <w:rPr>
          <w:rFonts w:ascii="Garamond" w:hAnsi="Garamond"/>
          <w:sz w:val="24"/>
        </w:rPr>
        <w:t>autoritetin menaxhues</w:t>
      </w:r>
      <w:r w:rsidRPr="00913E39">
        <w:rPr>
          <w:rFonts w:ascii="Garamond" w:hAnsi="Garamond"/>
          <w:sz w:val="24"/>
        </w:rPr>
        <w:t>, Organin e Ndërmjetëm të Menaxhimit Financiar dhe subjektet e tjera në sistemin e menaxhimit dhe kontrollit për zbatimin e Programit Operacional (PO), si dhe partnerët dhe marrësit fundorë të PO-së, sipas rastit. Duhet theksuar se Programet Operacionale Shumëvjeçare IPA III 2024</w:t>
      </w:r>
      <w:r w:rsidR="00042B57" w:rsidRPr="00913E39">
        <w:rPr>
          <w:rFonts w:ascii="Garamond" w:hAnsi="Garamond"/>
          <w:sz w:val="24"/>
        </w:rPr>
        <w:t>–</w:t>
      </w:r>
      <w:r w:rsidRPr="00913E39">
        <w:rPr>
          <w:rFonts w:ascii="Garamond" w:hAnsi="Garamond"/>
          <w:sz w:val="24"/>
        </w:rPr>
        <w:t xml:space="preserve">2027 janë PO-të e para të zbatuara në Shqipëri. Në këtë kontekst, kapaciteti institucional për zbatimin efektiv dhe efikas të aktiviteteve, monitorimin dhe kontrollin e Programit është një nga faktorët më të rëndësishëm që duhet marrë në konsideratë. Për këtë arsye, fondet e asistencës teknike do të përdoren për të mbështetur strukturat dhe autoritetet e përcaktuara, si dhe partnerët dhe përfituesit fundorë të PO-së, në zbatimin efektiv të aktiviteteve që lidhen me menaxhimin, monitorimin, vlerësimin dhe kontrollin e PO-së, nëpërmjet asistencës në përgatitjen e dokumentacionit teknik të nevojshëm për zbatimin e programit, mbështetjes për hartimin dhe zbatimin e aktiviteteve të komunikimit dhe vizibilitetit, përgatitjes së raporteve të vlerësimit, monitorimit të vazhdueshëm të rezultateve të PO-së, dhe mbështetjes në kontrollet administrative dhe auditimet teknike në terren. Kjo përfshin gjithashtu një gamë të gjerë aktivitetesh për ngritjen e kapaciteteve për të siguruar kompetencat e stafit, si dhe futjen e dispozitave për të ofruar kompensim shtesë për pagat e stafit të përzgjedhur për të parandaluar lëvizjen e stafit dhe për të krijuar një mjedis të qëndrueshëm pune që është rezistent ndaj ndryshimeve. Përqindja e parashikuar për shtesat do të jetë 12.9 % e buxhetit total me </w:t>
      </w:r>
      <w:r w:rsidR="00850FC7" w:rsidRPr="00913E39">
        <w:rPr>
          <w:rFonts w:ascii="Garamond" w:hAnsi="Garamond"/>
          <w:sz w:val="24"/>
        </w:rPr>
        <w:t>“</w:t>
      </w:r>
      <w:r w:rsidRPr="00913E39">
        <w:rPr>
          <w:rFonts w:ascii="Garamond" w:hAnsi="Garamond"/>
          <w:sz w:val="24"/>
        </w:rPr>
        <w:t>Asistencë teknike</w:t>
      </w:r>
      <w:r w:rsidR="00850FC7" w:rsidRPr="00913E39">
        <w:rPr>
          <w:rFonts w:ascii="Garamond" w:hAnsi="Garamond"/>
          <w:sz w:val="24"/>
        </w:rPr>
        <w:t>”</w:t>
      </w:r>
      <w:r w:rsidRPr="00913E39">
        <w:rPr>
          <w:rFonts w:ascii="Garamond" w:hAnsi="Garamond"/>
          <w:sz w:val="24"/>
        </w:rPr>
        <w:t>.</w:t>
      </w:r>
    </w:p>
    <w:p w14:paraId="32488097" w14:textId="52BDF077" w:rsidR="00847F23" w:rsidRPr="000248B5" w:rsidRDefault="00847F23" w:rsidP="00FC4C60">
      <w:pPr>
        <w:spacing w:after="0" w:line="240" w:lineRule="auto"/>
        <w:ind w:firstLine="284"/>
        <w:jc w:val="both"/>
        <w:rPr>
          <w:rFonts w:ascii="Garamond" w:hAnsi="Garamond"/>
          <w:color w:val="FF0000"/>
          <w:sz w:val="24"/>
        </w:rPr>
      </w:pPr>
      <w:r w:rsidRPr="000248B5">
        <w:rPr>
          <w:rFonts w:ascii="Garamond" w:hAnsi="Garamond"/>
          <w:color w:val="FF0000"/>
          <w:sz w:val="24"/>
        </w:rPr>
        <w:t>Subjekte të ndryshme do të përfshihen në zbatimin e PO Shoqëria dhe Ekonomia Digjitale dhe do të kryejnë një sërë detyrash. Mbështetje do t</w:t>
      </w:r>
      <w:r w:rsidR="005222A5" w:rsidRPr="000248B5">
        <w:rPr>
          <w:rFonts w:ascii="Garamond" w:hAnsi="Garamond"/>
          <w:color w:val="FF0000"/>
          <w:sz w:val="24"/>
        </w:rPr>
        <w:t>’</w:t>
      </w:r>
      <w:r w:rsidRPr="000248B5">
        <w:rPr>
          <w:rFonts w:ascii="Garamond" w:hAnsi="Garamond"/>
          <w:color w:val="FF0000"/>
          <w:sz w:val="24"/>
        </w:rPr>
        <w:t>i ofrohet Autoritetit Menaxhues, Organeve të Ndërmjetme dhe strukturave të tjera për të garantuar funksionimin normal dhe zbatimin efikas dhe efektiv të PO-së. Kjo mbështetje gjithëpërfshirëse synon të sigurojë zbatim efikas, monitorim të ngushtë, vlerësim efektiv, vizibilitet më të mirë, komunikim të qartë, procese të mirëdokumentuara dhe nxënie të vazhdueshme.</w:t>
      </w:r>
    </w:p>
    <w:p w14:paraId="2279E528"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Për të vlerësuar efikasitetin dhe efektivitetin e PO-së Ekonomia dhe Shoqëria Digjitale, Autoriteti Menaxhues do të krijojë një sistem të brendshëm monitorimi. Ky sistem do të lejojë monitorimin e rregullt të progresit të zbatimit dhe do të sigurojë mbledhjen sistematike dhe në kohë të të dhënave për treguesit përkatës. Përveç kësaj, të dhënat e mbledhura do të mbështesin përgatitjen e raporteve vjetore dhe do të ofrojnë njohuri të vlefshme për performancën e programit.</w:t>
      </w:r>
    </w:p>
    <w:p w14:paraId="3958E585"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lastRenderedPageBreak/>
        <w:t>Legjislacioni i zbatueshëm i BE-së:</w:t>
      </w:r>
    </w:p>
    <w:p w14:paraId="2269E111"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Ndërhyrjet sipas kësaj OS-je nuk janë pjesë e </w:t>
      </w:r>
      <w:r w:rsidRPr="00913E39">
        <w:rPr>
          <w:rFonts w:ascii="Garamond" w:hAnsi="Garamond"/>
          <w:i/>
          <w:sz w:val="24"/>
        </w:rPr>
        <w:t>acquis</w:t>
      </w:r>
      <w:r w:rsidRPr="00913E39">
        <w:rPr>
          <w:rFonts w:ascii="Garamond" w:hAnsi="Garamond"/>
          <w:sz w:val="24"/>
        </w:rPr>
        <w:t xml:space="preserve"> të BE-së. </w:t>
      </w:r>
    </w:p>
    <w:p w14:paraId="52EC1EBE" w14:textId="31C104EE"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Rezultati (</w:t>
      </w:r>
      <w:r w:rsidR="00042B57" w:rsidRPr="00913E39">
        <w:rPr>
          <w:rFonts w:ascii="Garamond" w:hAnsi="Garamond"/>
          <w:b/>
          <w:sz w:val="24"/>
        </w:rPr>
        <w:t>o</w:t>
      </w:r>
      <w:r w:rsidRPr="00913E39">
        <w:rPr>
          <w:rFonts w:ascii="Garamond" w:hAnsi="Garamond"/>
          <w:b/>
          <w:sz w:val="24"/>
        </w:rPr>
        <w:t>bjektivi specifik):</w:t>
      </w:r>
    </w:p>
    <w:p w14:paraId="4764497F" w14:textId="534D0BB5"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Forcimi i kapaciteteve të </w:t>
      </w:r>
      <w:r w:rsidR="000F02F6" w:rsidRPr="00913E39">
        <w:rPr>
          <w:rFonts w:ascii="Garamond" w:hAnsi="Garamond"/>
          <w:sz w:val="24"/>
        </w:rPr>
        <w:t>autoritetit menaxhues</w:t>
      </w:r>
      <w:r w:rsidRPr="00913E39">
        <w:rPr>
          <w:rFonts w:ascii="Garamond" w:hAnsi="Garamond"/>
          <w:sz w:val="24"/>
        </w:rPr>
        <w:t xml:space="preserve">, Organit të Ndërmjetëm për Menaxhimin Financiar dhe Partnerëve dhe përfituesve fundorë për zbatimin efikas të Programit Operacional. </w:t>
      </w:r>
    </w:p>
    <w:p w14:paraId="6D646B3F"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 xml:space="preserve">Tipologjitë e produkteve: </w:t>
      </w:r>
    </w:p>
    <w:p w14:paraId="40732F1F" w14:textId="3E254393"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Aktivitete për rritjen e kapaciteteve (trajnim, instruktazh, mbështetje në punë, vizita studimore), aktivitete promocionale dhe komunikimi, monitorim dhe vlerësim, përgatitje e dokumentacionit teknik për tenderët, menaxhimin e verifikimeve etj.</w:t>
      </w:r>
    </w:p>
    <w:p w14:paraId="1DE38D02" w14:textId="369E41D5"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Tabela 24</w:t>
      </w:r>
      <w:r w:rsidR="00042B57" w:rsidRPr="00913E39">
        <w:rPr>
          <w:rFonts w:ascii="Garamond" w:hAnsi="Garamond"/>
          <w:i/>
          <w:sz w:val="24"/>
        </w:rPr>
        <w:t>.</w:t>
      </w:r>
      <w:r w:rsidRPr="00913E39">
        <w:rPr>
          <w:rFonts w:ascii="Garamond" w:hAnsi="Garamond"/>
          <w:i/>
          <w:sz w:val="24"/>
        </w:rPr>
        <w:t xml:space="preserve"> Asistencë teknike, </w:t>
      </w:r>
      <w:r w:rsidR="00042B57" w:rsidRPr="00913E39">
        <w:rPr>
          <w:rFonts w:ascii="Garamond" w:hAnsi="Garamond"/>
          <w:i/>
          <w:sz w:val="24"/>
        </w:rPr>
        <w:t>n</w:t>
      </w:r>
      <w:r w:rsidRPr="00913E39">
        <w:rPr>
          <w:rFonts w:ascii="Garamond" w:hAnsi="Garamond"/>
          <w:i/>
          <w:sz w:val="24"/>
        </w:rPr>
        <w:t>dikimi, rezultati dhe treguesit e produktit (përfshirë bazën e referimit dhe synimet)</w:t>
      </w:r>
    </w:p>
    <w:tbl>
      <w:tblPr>
        <w:tblpPr w:leftFromText="180" w:rightFromText="180" w:vertAnchor="text" w:tblpX="-95" w:tblpY="1"/>
        <w:tblOverlap w:val="never"/>
        <w:tblW w:w="50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2127"/>
        <w:gridCol w:w="1700"/>
        <w:gridCol w:w="1843"/>
        <w:gridCol w:w="1802"/>
      </w:tblGrid>
      <w:tr w:rsidR="00847F23" w:rsidRPr="00913E39" w14:paraId="3918DCCD" w14:textId="77777777" w:rsidTr="002C1734">
        <w:trPr>
          <w:trHeight w:val="20"/>
          <w:tblHeader/>
        </w:trPr>
        <w:tc>
          <w:tcPr>
            <w:tcW w:w="92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DA549E9"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Rezultatet</w:t>
            </w:r>
          </w:p>
        </w:tc>
        <w:tc>
          <w:tcPr>
            <w:tcW w:w="116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91154BA"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Treguesi</w:t>
            </w:r>
          </w:p>
        </w:tc>
        <w:tc>
          <w:tcPr>
            <w:tcW w:w="92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8EC1851" w14:textId="570B6D8F"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 xml:space="preserve">Treguesi kryesor ose </w:t>
            </w:r>
            <w:r w:rsidR="00042B57" w:rsidRPr="00913E39">
              <w:rPr>
                <w:rFonts w:ascii="Garamond" w:hAnsi="Garamond"/>
                <w:b/>
                <w:sz w:val="18"/>
              </w:rPr>
              <w:t>n</w:t>
            </w:r>
            <w:r w:rsidRPr="00913E39">
              <w:rPr>
                <w:rFonts w:ascii="Garamond" w:hAnsi="Garamond"/>
                <w:b/>
                <w:sz w:val="18"/>
              </w:rPr>
              <w:t>jësia matëse</w:t>
            </w:r>
          </w:p>
        </w:tc>
        <w:tc>
          <w:tcPr>
            <w:tcW w:w="100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46DD6D6"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Baza e referimit</w:t>
            </w:r>
          </w:p>
          <w:p w14:paraId="54D78983"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(2022)</w:t>
            </w:r>
          </w:p>
        </w:tc>
        <w:tc>
          <w:tcPr>
            <w:tcW w:w="98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BC34226"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Fokusi</w:t>
            </w:r>
          </w:p>
          <w:p w14:paraId="3CCDAAA9"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(2032)</w:t>
            </w:r>
          </w:p>
        </w:tc>
      </w:tr>
      <w:tr w:rsidR="00847F23" w:rsidRPr="00913E39" w14:paraId="672B06E4" w14:textId="77777777" w:rsidTr="002C1734">
        <w:trPr>
          <w:trHeight w:val="43"/>
        </w:trPr>
        <w:tc>
          <w:tcPr>
            <w:tcW w:w="925" w:type="pct"/>
            <w:tcBorders>
              <w:top w:val="single" w:sz="4" w:space="0" w:color="auto"/>
              <w:left w:val="single" w:sz="4" w:space="0" w:color="auto"/>
              <w:bottom w:val="single" w:sz="4" w:space="0" w:color="auto"/>
              <w:right w:val="single" w:sz="4" w:space="0" w:color="auto"/>
            </w:tcBorders>
            <w:shd w:val="clear" w:color="auto" w:fill="auto"/>
          </w:tcPr>
          <w:p w14:paraId="09DB8249" w14:textId="77777777" w:rsidR="00847F23" w:rsidRPr="00913E39" w:rsidRDefault="00847F23" w:rsidP="004F525C">
            <w:pPr>
              <w:spacing w:after="0" w:line="240" w:lineRule="auto"/>
              <w:rPr>
                <w:rFonts w:ascii="Garamond" w:hAnsi="Garamond"/>
                <w:sz w:val="18"/>
              </w:rPr>
            </w:pPr>
            <w:r w:rsidRPr="00913E39">
              <w:rPr>
                <w:rFonts w:ascii="Garamond" w:hAnsi="Garamond"/>
                <w:b/>
                <w:sz w:val="18"/>
              </w:rPr>
              <w:t>Ndikimi</w:t>
            </w:r>
          </w:p>
          <w:p w14:paraId="41AFB5E4" w14:textId="3891B75F" w:rsidR="00847F23" w:rsidRPr="00913E39" w:rsidRDefault="00847F23" w:rsidP="002C1734">
            <w:pPr>
              <w:spacing w:after="0" w:line="240" w:lineRule="auto"/>
              <w:rPr>
                <w:rFonts w:ascii="Garamond" w:hAnsi="Garamond"/>
                <w:sz w:val="18"/>
              </w:rPr>
            </w:pPr>
            <w:r w:rsidRPr="00913E39">
              <w:rPr>
                <w:rFonts w:ascii="Garamond" w:hAnsi="Garamond"/>
                <w:sz w:val="18"/>
              </w:rPr>
              <w:t xml:space="preserve">Kapaciteti administrativ dhe përafrimi me </w:t>
            </w:r>
            <w:r w:rsidRPr="00913E39">
              <w:rPr>
                <w:rFonts w:ascii="Garamond" w:hAnsi="Garamond"/>
                <w:i/>
                <w:sz w:val="18"/>
              </w:rPr>
              <w:t>acquis</w:t>
            </w:r>
            <w:r w:rsidRPr="00913E39">
              <w:rPr>
                <w:rFonts w:ascii="Garamond" w:hAnsi="Garamond"/>
                <w:sz w:val="18"/>
              </w:rPr>
              <w:t xml:space="preserve"> të BE-së </w:t>
            </w:r>
          </w:p>
        </w:tc>
        <w:tc>
          <w:tcPr>
            <w:tcW w:w="1160" w:type="pct"/>
            <w:tcBorders>
              <w:top w:val="single" w:sz="4" w:space="0" w:color="auto"/>
              <w:left w:val="single" w:sz="4" w:space="0" w:color="auto"/>
              <w:bottom w:val="single" w:sz="4" w:space="0" w:color="auto"/>
              <w:right w:val="single" w:sz="4" w:space="0" w:color="auto"/>
            </w:tcBorders>
            <w:shd w:val="clear" w:color="auto" w:fill="auto"/>
            <w:hideMark/>
          </w:tcPr>
          <w:p w14:paraId="0CE1CDEA" w14:textId="664424FE" w:rsidR="00847F23" w:rsidRPr="00913E39" w:rsidRDefault="00847F23" w:rsidP="004F525C">
            <w:pPr>
              <w:spacing w:after="0" w:line="240" w:lineRule="auto"/>
              <w:rPr>
                <w:rFonts w:ascii="Garamond" w:hAnsi="Garamond"/>
                <w:sz w:val="18"/>
              </w:rPr>
            </w:pPr>
            <w:r w:rsidRPr="00913E39">
              <w:rPr>
                <w:rFonts w:ascii="Garamond" w:hAnsi="Garamond"/>
                <w:sz w:val="18"/>
              </w:rPr>
              <w:t xml:space="preserve">Gatishmëria e rritur e Shqipërisë për negociatat e anëtarësimit në BE sipas </w:t>
            </w:r>
            <w:r w:rsidR="000F02F6" w:rsidRPr="00913E39">
              <w:rPr>
                <w:rFonts w:ascii="Garamond" w:hAnsi="Garamond"/>
                <w:sz w:val="18"/>
              </w:rPr>
              <w:t>k</w:t>
            </w:r>
            <w:r w:rsidRPr="00913E39">
              <w:rPr>
                <w:rFonts w:ascii="Garamond" w:hAnsi="Garamond"/>
                <w:sz w:val="18"/>
              </w:rPr>
              <w:t>apitullit 22.</w:t>
            </w:r>
          </w:p>
        </w:tc>
        <w:tc>
          <w:tcPr>
            <w:tcW w:w="927" w:type="pct"/>
            <w:tcBorders>
              <w:top w:val="single" w:sz="4" w:space="0" w:color="auto"/>
              <w:left w:val="single" w:sz="4" w:space="0" w:color="auto"/>
              <w:bottom w:val="single" w:sz="4" w:space="0" w:color="auto"/>
              <w:right w:val="single" w:sz="4" w:space="0" w:color="auto"/>
            </w:tcBorders>
            <w:shd w:val="clear" w:color="auto" w:fill="auto"/>
            <w:hideMark/>
          </w:tcPr>
          <w:p w14:paraId="4DA53491" w14:textId="77777777" w:rsidR="00847F23" w:rsidRPr="00913E39" w:rsidRDefault="00847F23" w:rsidP="004F525C">
            <w:pPr>
              <w:spacing w:after="0" w:line="240" w:lineRule="auto"/>
              <w:rPr>
                <w:rFonts w:ascii="Garamond" w:hAnsi="Garamond"/>
                <w:sz w:val="18"/>
              </w:rPr>
            </w:pPr>
            <w:r w:rsidRPr="00913E39">
              <w:rPr>
                <w:rFonts w:ascii="Garamond" w:hAnsi="Garamond"/>
                <w:sz w:val="18"/>
              </w:rPr>
              <w:t>Niveli i përgatitjes</w:t>
            </w:r>
          </w:p>
        </w:tc>
        <w:tc>
          <w:tcPr>
            <w:tcW w:w="1005" w:type="pct"/>
            <w:tcBorders>
              <w:top w:val="single" w:sz="4" w:space="0" w:color="auto"/>
              <w:left w:val="single" w:sz="4" w:space="0" w:color="auto"/>
              <w:bottom w:val="single" w:sz="4" w:space="0" w:color="auto"/>
              <w:right w:val="single" w:sz="4" w:space="0" w:color="auto"/>
            </w:tcBorders>
            <w:shd w:val="clear" w:color="auto" w:fill="auto"/>
            <w:hideMark/>
          </w:tcPr>
          <w:p w14:paraId="55DE7F1C" w14:textId="77777777" w:rsidR="00847F23" w:rsidRPr="00913E39" w:rsidRDefault="00847F23" w:rsidP="004F525C">
            <w:pPr>
              <w:spacing w:after="0" w:line="240" w:lineRule="auto"/>
              <w:rPr>
                <w:rFonts w:ascii="Garamond" w:hAnsi="Garamond"/>
                <w:sz w:val="18"/>
              </w:rPr>
            </w:pPr>
            <w:r w:rsidRPr="00913E39">
              <w:rPr>
                <w:rFonts w:ascii="Garamond" w:hAnsi="Garamond"/>
                <w:sz w:val="18"/>
              </w:rPr>
              <w:t xml:space="preserve">Përgatitur mesatarisht (2022) </w:t>
            </w:r>
          </w:p>
        </w:tc>
        <w:tc>
          <w:tcPr>
            <w:tcW w:w="983" w:type="pct"/>
            <w:tcBorders>
              <w:top w:val="single" w:sz="4" w:space="0" w:color="auto"/>
              <w:left w:val="single" w:sz="4" w:space="0" w:color="auto"/>
              <w:bottom w:val="single" w:sz="4" w:space="0" w:color="auto"/>
              <w:right w:val="single" w:sz="4" w:space="0" w:color="auto"/>
            </w:tcBorders>
            <w:shd w:val="clear" w:color="auto" w:fill="auto"/>
            <w:hideMark/>
          </w:tcPr>
          <w:p w14:paraId="53BF263E" w14:textId="112FC51F" w:rsidR="00847F23" w:rsidRPr="00913E39" w:rsidRDefault="00847F23" w:rsidP="004F525C">
            <w:pPr>
              <w:spacing w:after="0" w:line="240" w:lineRule="auto"/>
              <w:rPr>
                <w:rFonts w:ascii="Garamond" w:hAnsi="Garamond"/>
                <w:sz w:val="18"/>
              </w:rPr>
            </w:pPr>
            <w:r w:rsidRPr="00913E39">
              <w:rPr>
                <w:rFonts w:ascii="Garamond" w:hAnsi="Garamond"/>
                <w:sz w:val="18"/>
              </w:rPr>
              <w:t xml:space="preserve">Mbyllja e </w:t>
            </w:r>
            <w:r w:rsidR="000F02F6" w:rsidRPr="00913E39">
              <w:rPr>
                <w:rFonts w:ascii="Garamond" w:hAnsi="Garamond"/>
                <w:sz w:val="18"/>
              </w:rPr>
              <w:t>k</w:t>
            </w:r>
            <w:r w:rsidRPr="00913E39">
              <w:rPr>
                <w:rFonts w:ascii="Garamond" w:hAnsi="Garamond"/>
                <w:sz w:val="18"/>
              </w:rPr>
              <w:t xml:space="preserve">apitullit 22 </w:t>
            </w:r>
          </w:p>
        </w:tc>
      </w:tr>
      <w:tr w:rsidR="00847F23" w:rsidRPr="00913E39" w14:paraId="525ECEB5" w14:textId="77777777" w:rsidTr="002C1734">
        <w:trPr>
          <w:trHeight w:val="20"/>
        </w:trPr>
        <w:tc>
          <w:tcPr>
            <w:tcW w:w="925" w:type="pct"/>
            <w:tcBorders>
              <w:top w:val="single" w:sz="4" w:space="0" w:color="auto"/>
              <w:left w:val="single" w:sz="4" w:space="0" w:color="auto"/>
              <w:bottom w:val="single" w:sz="4" w:space="0" w:color="auto"/>
              <w:right w:val="single" w:sz="4" w:space="0" w:color="auto"/>
            </w:tcBorders>
            <w:shd w:val="clear" w:color="auto" w:fill="auto"/>
            <w:hideMark/>
          </w:tcPr>
          <w:p w14:paraId="78B44805" w14:textId="77777777" w:rsidR="00847F23" w:rsidRPr="00913E39" w:rsidRDefault="00847F23" w:rsidP="004F525C">
            <w:pPr>
              <w:spacing w:after="0" w:line="240" w:lineRule="auto"/>
              <w:jc w:val="both"/>
              <w:rPr>
                <w:rFonts w:ascii="Garamond" w:hAnsi="Garamond"/>
                <w:b/>
                <w:sz w:val="18"/>
              </w:rPr>
            </w:pPr>
            <w:r w:rsidRPr="00913E39">
              <w:rPr>
                <w:rFonts w:ascii="Garamond" w:hAnsi="Garamond"/>
                <w:b/>
                <w:sz w:val="18"/>
              </w:rPr>
              <w:t>Rezultati 7</w:t>
            </w:r>
          </w:p>
          <w:p w14:paraId="373BD6F0" w14:textId="01FBA93A" w:rsidR="00847F23" w:rsidRPr="00913E39" w:rsidRDefault="00847F23" w:rsidP="004F525C">
            <w:pPr>
              <w:spacing w:after="0" w:line="240" w:lineRule="auto"/>
              <w:jc w:val="both"/>
              <w:rPr>
                <w:rFonts w:ascii="Garamond" w:hAnsi="Garamond"/>
                <w:b/>
                <w:sz w:val="18"/>
              </w:rPr>
            </w:pPr>
            <w:r w:rsidRPr="00913E39">
              <w:rPr>
                <w:rFonts w:ascii="Garamond" w:hAnsi="Garamond"/>
                <w:sz w:val="18"/>
              </w:rPr>
              <w:t xml:space="preserve">Forcimi i kapaciteteve të AM, ONMF, </w:t>
            </w:r>
            <w:r w:rsidR="000F02F6" w:rsidRPr="00913E39">
              <w:rPr>
                <w:rFonts w:ascii="Garamond" w:hAnsi="Garamond"/>
                <w:sz w:val="18"/>
              </w:rPr>
              <w:t xml:space="preserve">partnerëve </w:t>
            </w:r>
            <w:r w:rsidRPr="00913E39">
              <w:rPr>
                <w:rFonts w:ascii="Garamond" w:hAnsi="Garamond"/>
                <w:sz w:val="18"/>
              </w:rPr>
              <w:t>dhe përfituesve fundorë për zbatimin efikas të PO.</w:t>
            </w:r>
          </w:p>
        </w:tc>
        <w:tc>
          <w:tcPr>
            <w:tcW w:w="1160" w:type="pct"/>
            <w:tcBorders>
              <w:top w:val="single" w:sz="4" w:space="0" w:color="auto"/>
              <w:left w:val="single" w:sz="4" w:space="0" w:color="auto"/>
              <w:bottom w:val="single" w:sz="4" w:space="0" w:color="auto"/>
              <w:right w:val="single" w:sz="4" w:space="0" w:color="auto"/>
            </w:tcBorders>
            <w:shd w:val="clear" w:color="auto" w:fill="auto"/>
            <w:hideMark/>
          </w:tcPr>
          <w:p w14:paraId="0DB1770E" w14:textId="77777777" w:rsidR="00847F23" w:rsidRPr="00913E39" w:rsidRDefault="00847F23" w:rsidP="004F525C">
            <w:pPr>
              <w:spacing w:after="0" w:line="240" w:lineRule="auto"/>
              <w:rPr>
                <w:rFonts w:ascii="Garamond" w:hAnsi="Garamond"/>
                <w:sz w:val="18"/>
              </w:rPr>
            </w:pPr>
            <w:r w:rsidRPr="00913E39">
              <w:rPr>
                <w:rFonts w:ascii="Garamond" w:hAnsi="Garamond"/>
                <w:sz w:val="18"/>
              </w:rPr>
              <w:t>Disbursimi i buxhetit kundrejt gjithë buxhetit të alokuar.</w:t>
            </w:r>
          </w:p>
        </w:tc>
        <w:tc>
          <w:tcPr>
            <w:tcW w:w="927" w:type="pct"/>
            <w:tcBorders>
              <w:top w:val="single" w:sz="4" w:space="0" w:color="auto"/>
              <w:left w:val="single" w:sz="4" w:space="0" w:color="auto"/>
              <w:bottom w:val="single" w:sz="4" w:space="0" w:color="auto"/>
              <w:right w:val="single" w:sz="4" w:space="0" w:color="auto"/>
            </w:tcBorders>
            <w:shd w:val="clear" w:color="auto" w:fill="auto"/>
            <w:hideMark/>
          </w:tcPr>
          <w:p w14:paraId="6C30FA99"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Përqindja</w:t>
            </w:r>
          </w:p>
        </w:tc>
        <w:tc>
          <w:tcPr>
            <w:tcW w:w="1005" w:type="pct"/>
            <w:tcBorders>
              <w:top w:val="single" w:sz="4" w:space="0" w:color="auto"/>
              <w:left w:val="single" w:sz="4" w:space="0" w:color="auto"/>
              <w:bottom w:val="single" w:sz="4" w:space="0" w:color="auto"/>
              <w:right w:val="single" w:sz="4" w:space="0" w:color="auto"/>
            </w:tcBorders>
            <w:shd w:val="clear" w:color="auto" w:fill="auto"/>
            <w:hideMark/>
          </w:tcPr>
          <w:p w14:paraId="2E0AA75C"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N/A </w:t>
            </w:r>
          </w:p>
          <w:p w14:paraId="69C33DED"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(2024)</w:t>
            </w:r>
          </w:p>
        </w:tc>
        <w:tc>
          <w:tcPr>
            <w:tcW w:w="983" w:type="pct"/>
            <w:tcBorders>
              <w:top w:val="single" w:sz="4" w:space="0" w:color="auto"/>
              <w:left w:val="single" w:sz="4" w:space="0" w:color="auto"/>
              <w:bottom w:val="single" w:sz="4" w:space="0" w:color="auto"/>
              <w:right w:val="single" w:sz="4" w:space="0" w:color="auto"/>
            </w:tcBorders>
            <w:shd w:val="clear" w:color="auto" w:fill="auto"/>
            <w:hideMark/>
          </w:tcPr>
          <w:p w14:paraId="022B8E35"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100 </w:t>
            </w:r>
          </w:p>
          <w:p w14:paraId="5BFB4A50" w14:textId="77777777" w:rsidR="00847F23" w:rsidRPr="00913E39" w:rsidRDefault="00847F23" w:rsidP="004F525C">
            <w:pPr>
              <w:spacing w:after="0" w:line="240" w:lineRule="auto"/>
              <w:jc w:val="both"/>
              <w:rPr>
                <w:rFonts w:ascii="Garamond" w:hAnsi="Garamond"/>
                <w:sz w:val="18"/>
              </w:rPr>
            </w:pPr>
          </w:p>
        </w:tc>
      </w:tr>
      <w:tr w:rsidR="00847F23" w:rsidRPr="00913E39" w14:paraId="2C95C7C0" w14:textId="77777777" w:rsidTr="002C1734">
        <w:trPr>
          <w:trHeight w:val="20"/>
        </w:trPr>
        <w:tc>
          <w:tcPr>
            <w:tcW w:w="92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A2CD8F6" w14:textId="77777777" w:rsidR="00847F23" w:rsidRPr="00913E39" w:rsidRDefault="00847F23" w:rsidP="004F525C">
            <w:pPr>
              <w:spacing w:after="0" w:line="240" w:lineRule="auto"/>
              <w:jc w:val="both"/>
              <w:rPr>
                <w:rFonts w:ascii="Garamond" w:hAnsi="Garamond"/>
                <w:b/>
                <w:sz w:val="18"/>
              </w:rPr>
            </w:pPr>
            <w:r w:rsidRPr="00913E39">
              <w:rPr>
                <w:rFonts w:ascii="Garamond" w:hAnsi="Garamond"/>
                <w:b/>
                <w:sz w:val="18"/>
              </w:rPr>
              <w:t>Produkti 7.1</w:t>
            </w:r>
          </w:p>
          <w:p w14:paraId="458C1BBA" w14:textId="77777777" w:rsidR="00847F23" w:rsidRPr="00913E39" w:rsidRDefault="00847F23" w:rsidP="004F525C">
            <w:pPr>
              <w:spacing w:after="0" w:line="240" w:lineRule="auto"/>
              <w:rPr>
                <w:rFonts w:ascii="Garamond" w:hAnsi="Garamond"/>
                <w:b/>
                <w:sz w:val="18"/>
              </w:rPr>
            </w:pPr>
            <w:r w:rsidRPr="00913E39">
              <w:rPr>
                <w:rFonts w:ascii="Garamond" w:hAnsi="Garamond"/>
                <w:sz w:val="18"/>
              </w:rPr>
              <w:t>Forcimi i kapaciteteve administrative të AM, ONMF-së, partnerëve, marrësve dhe përfituesve fundorë.</w:t>
            </w:r>
          </w:p>
        </w:tc>
        <w:tc>
          <w:tcPr>
            <w:tcW w:w="1160" w:type="pct"/>
            <w:tcBorders>
              <w:top w:val="single" w:sz="4" w:space="0" w:color="auto"/>
              <w:left w:val="single" w:sz="4" w:space="0" w:color="auto"/>
              <w:right w:val="single" w:sz="4" w:space="0" w:color="auto"/>
            </w:tcBorders>
            <w:shd w:val="clear" w:color="auto" w:fill="auto"/>
          </w:tcPr>
          <w:p w14:paraId="2B10778D" w14:textId="77777777" w:rsidR="00847F23" w:rsidRPr="00913E39" w:rsidRDefault="00847F23" w:rsidP="004F525C">
            <w:pPr>
              <w:spacing w:after="0" w:line="240" w:lineRule="auto"/>
              <w:rPr>
                <w:rFonts w:ascii="Garamond" w:hAnsi="Garamond"/>
                <w:sz w:val="18"/>
              </w:rPr>
            </w:pPr>
            <w:r w:rsidRPr="00913E39">
              <w:rPr>
                <w:rFonts w:ascii="Garamond" w:hAnsi="Garamond"/>
                <w:sz w:val="18"/>
              </w:rPr>
              <w:t>Forcimi i kapaciteteve të punonjësve të AM, ONMF dhe përfituesve fundorë nëpërmjet trajnimeve dhe aktiviteteve të tjera (të ndarë sipas gjinisë/moshës).</w:t>
            </w:r>
          </w:p>
        </w:tc>
        <w:tc>
          <w:tcPr>
            <w:tcW w:w="927" w:type="pct"/>
            <w:tcBorders>
              <w:top w:val="single" w:sz="4" w:space="0" w:color="auto"/>
              <w:left w:val="single" w:sz="4" w:space="0" w:color="auto"/>
              <w:right w:val="single" w:sz="4" w:space="0" w:color="auto"/>
            </w:tcBorders>
            <w:shd w:val="clear" w:color="auto" w:fill="auto"/>
          </w:tcPr>
          <w:p w14:paraId="31C732EA"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Numër</w:t>
            </w:r>
          </w:p>
        </w:tc>
        <w:tc>
          <w:tcPr>
            <w:tcW w:w="1005" w:type="pct"/>
            <w:tcBorders>
              <w:top w:val="single" w:sz="4" w:space="0" w:color="auto"/>
              <w:left w:val="single" w:sz="4" w:space="0" w:color="auto"/>
              <w:right w:val="single" w:sz="4" w:space="0" w:color="auto"/>
            </w:tcBorders>
            <w:shd w:val="clear" w:color="auto" w:fill="auto"/>
          </w:tcPr>
          <w:p w14:paraId="41F91AEB"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0 </w:t>
            </w:r>
          </w:p>
          <w:p w14:paraId="0C8A7008"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(2024)</w:t>
            </w:r>
          </w:p>
        </w:tc>
        <w:tc>
          <w:tcPr>
            <w:tcW w:w="983" w:type="pct"/>
            <w:tcBorders>
              <w:top w:val="single" w:sz="4" w:space="0" w:color="auto"/>
              <w:left w:val="single" w:sz="4" w:space="0" w:color="auto"/>
              <w:right w:val="single" w:sz="4" w:space="0" w:color="auto"/>
            </w:tcBorders>
            <w:shd w:val="clear" w:color="auto" w:fill="auto"/>
          </w:tcPr>
          <w:p w14:paraId="35F8A166"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Min 60</w:t>
            </w:r>
          </w:p>
          <w:p w14:paraId="1E548C44" w14:textId="77777777" w:rsidR="00847F23" w:rsidRPr="00913E39" w:rsidRDefault="00847F23" w:rsidP="004F525C">
            <w:pPr>
              <w:spacing w:after="0" w:line="240" w:lineRule="auto"/>
              <w:jc w:val="both"/>
              <w:rPr>
                <w:rFonts w:ascii="Garamond" w:hAnsi="Garamond"/>
                <w:sz w:val="18"/>
              </w:rPr>
            </w:pPr>
          </w:p>
        </w:tc>
      </w:tr>
      <w:tr w:rsidR="00847F23" w:rsidRPr="00913E39" w14:paraId="5109DAAD" w14:textId="77777777" w:rsidTr="002C1734">
        <w:trPr>
          <w:trHeight w:val="20"/>
        </w:trPr>
        <w:tc>
          <w:tcPr>
            <w:tcW w:w="92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1CC953" w14:textId="77777777" w:rsidR="00847F23" w:rsidRPr="00913E39" w:rsidRDefault="00847F23" w:rsidP="004F525C">
            <w:pPr>
              <w:spacing w:after="0" w:line="240" w:lineRule="auto"/>
              <w:jc w:val="both"/>
              <w:rPr>
                <w:rFonts w:ascii="Garamond" w:hAnsi="Garamond"/>
                <w:b/>
                <w:sz w:val="18"/>
              </w:rPr>
            </w:pPr>
          </w:p>
        </w:tc>
        <w:tc>
          <w:tcPr>
            <w:tcW w:w="1160" w:type="pct"/>
            <w:tcBorders>
              <w:top w:val="single" w:sz="4" w:space="0" w:color="auto"/>
              <w:left w:val="single" w:sz="4" w:space="0" w:color="auto"/>
              <w:bottom w:val="single" w:sz="4" w:space="0" w:color="auto"/>
              <w:right w:val="single" w:sz="4" w:space="0" w:color="auto"/>
            </w:tcBorders>
            <w:shd w:val="clear" w:color="auto" w:fill="auto"/>
            <w:hideMark/>
          </w:tcPr>
          <w:p w14:paraId="30642DF3" w14:textId="77777777" w:rsidR="00847F23" w:rsidRPr="00913E39" w:rsidRDefault="00847F23" w:rsidP="004F525C">
            <w:pPr>
              <w:spacing w:after="0" w:line="240" w:lineRule="auto"/>
              <w:rPr>
                <w:rFonts w:ascii="Garamond" w:hAnsi="Garamond"/>
                <w:sz w:val="18"/>
              </w:rPr>
            </w:pPr>
            <w:r w:rsidRPr="00913E39">
              <w:rPr>
                <w:rFonts w:ascii="Garamond" w:hAnsi="Garamond"/>
                <w:sz w:val="18"/>
              </w:rPr>
              <w:t>Mbështetja e punonjësve të AM, ONMF dhe strukturave të tjera të pranueshme me shtesa page për shkak të ngarkesës së shtuar të punës (të ndarë sipas gjinisë).</w:t>
            </w:r>
          </w:p>
        </w:tc>
        <w:tc>
          <w:tcPr>
            <w:tcW w:w="927" w:type="pct"/>
            <w:tcBorders>
              <w:top w:val="single" w:sz="4" w:space="0" w:color="auto"/>
              <w:left w:val="single" w:sz="4" w:space="0" w:color="auto"/>
              <w:bottom w:val="single" w:sz="4" w:space="0" w:color="auto"/>
              <w:right w:val="single" w:sz="4" w:space="0" w:color="auto"/>
            </w:tcBorders>
            <w:shd w:val="clear" w:color="auto" w:fill="auto"/>
            <w:hideMark/>
          </w:tcPr>
          <w:p w14:paraId="0E4390FB"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Numër</w:t>
            </w:r>
          </w:p>
        </w:tc>
        <w:tc>
          <w:tcPr>
            <w:tcW w:w="1005" w:type="pct"/>
            <w:tcBorders>
              <w:top w:val="single" w:sz="4" w:space="0" w:color="auto"/>
              <w:left w:val="single" w:sz="4" w:space="0" w:color="auto"/>
              <w:bottom w:val="single" w:sz="4" w:space="0" w:color="auto"/>
              <w:right w:val="single" w:sz="4" w:space="0" w:color="auto"/>
            </w:tcBorders>
            <w:shd w:val="clear" w:color="auto" w:fill="auto"/>
            <w:hideMark/>
          </w:tcPr>
          <w:p w14:paraId="511DAE85"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N/A </w:t>
            </w:r>
          </w:p>
          <w:p w14:paraId="7ABD0D23"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(2024)</w:t>
            </w:r>
          </w:p>
        </w:tc>
        <w:tc>
          <w:tcPr>
            <w:tcW w:w="983" w:type="pct"/>
            <w:tcBorders>
              <w:top w:val="single" w:sz="4" w:space="0" w:color="auto"/>
              <w:left w:val="single" w:sz="4" w:space="0" w:color="auto"/>
              <w:bottom w:val="single" w:sz="4" w:space="0" w:color="auto"/>
              <w:right w:val="single" w:sz="4" w:space="0" w:color="auto"/>
            </w:tcBorders>
            <w:shd w:val="clear" w:color="auto" w:fill="auto"/>
            <w:hideMark/>
          </w:tcPr>
          <w:p w14:paraId="41ADFC57"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21</w:t>
            </w:r>
            <w:r w:rsidRPr="00913E39">
              <w:rPr>
                <w:rFonts w:ascii="Garamond" w:hAnsi="Garamond"/>
                <w:sz w:val="18"/>
                <w:vertAlign w:val="superscript"/>
              </w:rPr>
              <w:footnoteReference w:id="92"/>
            </w:r>
          </w:p>
          <w:p w14:paraId="4AB65C90"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(2032)</w:t>
            </w:r>
          </w:p>
        </w:tc>
      </w:tr>
      <w:tr w:rsidR="00847F23" w:rsidRPr="00913E39" w14:paraId="1306D554" w14:textId="77777777" w:rsidTr="002C1734">
        <w:trPr>
          <w:trHeight w:val="20"/>
        </w:trPr>
        <w:tc>
          <w:tcPr>
            <w:tcW w:w="925" w:type="pct"/>
            <w:tcBorders>
              <w:top w:val="single" w:sz="4" w:space="0" w:color="auto"/>
              <w:left w:val="single" w:sz="4" w:space="0" w:color="auto"/>
              <w:bottom w:val="single" w:sz="4" w:space="0" w:color="auto"/>
              <w:right w:val="single" w:sz="4" w:space="0" w:color="auto"/>
            </w:tcBorders>
            <w:shd w:val="clear" w:color="auto" w:fill="auto"/>
            <w:hideMark/>
          </w:tcPr>
          <w:p w14:paraId="0216FAF0" w14:textId="77777777" w:rsidR="00847F23" w:rsidRPr="00913E39" w:rsidRDefault="00847F23" w:rsidP="004F525C">
            <w:pPr>
              <w:spacing w:after="0" w:line="240" w:lineRule="auto"/>
              <w:jc w:val="both"/>
              <w:rPr>
                <w:rFonts w:ascii="Garamond" w:hAnsi="Garamond"/>
                <w:b/>
                <w:sz w:val="18"/>
              </w:rPr>
            </w:pPr>
            <w:r w:rsidRPr="00913E39">
              <w:rPr>
                <w:rFonts w:ascii="Garamond" w:hAnsi="Garamond"/>
                <w:b/>
                <w:sz w:val="18"/>
              </w:rPr>
              <w:t>Produkti 7.2</w:t>
            </w:r>
          </w:p>
          <w:p w14:paraId="46A585BB" w14:textId="77777777" w:rsidR="00847F23" w:rsidRPr="00913E39" w:rsidRDefault="00847F23" w:rsidP="004F525C">
            <w:pPr>
              <w:spacing w:after="0" w:line="240" w:lineRule="auto"/>
              <w:rPr>
                <w:rFonts w:ascii="Garamond" w:hAnsi="Garamond"/>
                <w:b/>
                <w:sz w:val="18"/>
              </w:rPr>
            </w:pPr>
            <w:r w:rsidRPr="00913E39">
              <w:rPr>
                <w:rFonts w:ascii="Garamond" w:hAnsi="Garamond"/>
                <w:sz w:val="18"/>
              </w:rPr>
              <w:t>Forcimi i kapaciteteve të partnerëve për të marrë pjesë aktive në zbatimin e PO</w:t>
            </w:r>
          </w:p>
        </w:tc>
        <w:tc>
          <w:tcPr>
            <w:tcW w:w="1160" w:type="pct"/>
            <w:tcBorders>
              <w:top w:val="single" w:sz="4" w:space="0" w:color="auto"/>
              <w:left w:val="single" w:sz="4" w:space="0" w:color="auto"/>
              <w:bottom w:val="single" w:sz="4" w:space="0" w:color="auto"/>
              <w:right w:val="single" w:sz="4" w:space="0" w:color="auto"/>
            </w:tcBorders>
            <w:shd w:val="clear" w:color="auto" w:fill="auto"/>
            <w:hideMark/>
          </w:tcPr>
          <w:p w14:paraId="570827C8" w14:textId="77777777" w:rsidR="00847F23" w:rsidRPr="00913E39" w:rsidRDefault="00847F23" w:rsidP="004F525C">
            <w:pPr>
              <w:spacing w:after="0" w:line="240" w:lineRule="auto"/>
              <w:rPr>
                <w:rFonts w:ascii="Garamond" w:hAnsi="Garamond"/>
                <w:sz w:val="18"/>
              </w:rPr>
            </w:pPr>
            <w:r w:rsidRPr="00913E39">
              <w:rPr>
                <w:rFonts w:ascii="Garamond" w:hAnsi="Garamond"/>
                <w:sz w:val="18"/>
              </w:rPr>
              <w:t xml:space="preserve">Organizimi i trajnimit për partnerët </w:t>
            </w:r>
          </w:p>
        </w:tc>
        <w:tc>
          <w:tcPr>
            <w:tcW w:w="927" w:type="pct"/>
            <w:tcBorders>
              <w:top w:val="single" w:sz="4" w:space="0" w:color="auto"/>
              <w:left w:val="single" w:sz="4" w:space="0" w:color="auto"/>
              <w:bottom w:val="single" w:sz="4" w:space="0" w:color="auto"/>
              <w:right w:val="single" w:sz="4" w:space="0" w:color="auto"/>
            </w:tcBorders>
            <w:shd w:val="clear" w:color="auto" w:fill="auto"/>
            <w:hideMark/>
          </w:tcPr>
          <w:p w14:paraId="6EEB141F"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Numër</w:t>
            </w:r>
          </w:p>
        </w:tc>
        <w:tc>
          <w:tcPr>
            <w:tcW w:w="1005" w:type="pct"/>
            <w:tcBorders>
              <w:top w:val="single" w:sz="4" w:space="0" w:color="auto"/>
              <w:left w:val="single" w:sz="4" w:space="0" w:color="auto"/>
              <w:bottom w:val="single" w:sz="4" w:space="0" w:color="auto"/>
              <w:right w:val="single" w:sz="4" w:space="0" w:color="auto"/>
            </w:tcBorders>
            <w:shd w:val="clear" w:color="auto" w:fill="auto"/>
            <w:hideMark/>
          </w:tcPr>
          <w:p w14:paraId="4B6FDBC0"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0 </w:t>
            </w:r>
          </w:p>
          <w:p w14:paraId="1D4E4392"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(2024)</w:t>
            </w:r>
          </w:p>
        </w:tc>
        <w:tc>
          <w:tcPr>
            <w:tcW w:w="983" w:type="pct"/>
            <w:tcBorders>
              <w:top w:val="single" w:sz="4" w:space="0" w:color="auto"/>
              <w:left w:val="single" w:sz="4" w:space="0" w:color="auto"/>
              <w:bottom w:val="single" w:sz="4" w:space="0" w:color="auto"/>
              <w:right w:val="single" w:sz="4" w:space="0" w:color="auto"/>
            </w:tcBorders>
            <w:shd w:val="clear" w:color="auto" w:fill="auto"/>
            <w:hideMark/>
          </w:tcPr>
          <w:p w14:paraId="5E830451"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10</w:t>
            </w:r>
          </w:p>
          <w:p w14:paraId="63496DD1"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 (2032)</w:t>
            </w:r>
          </w:p>
        </w:tc>
      </w:tr>
      <w:tr w:rsidR="00847F23" w:rsidRPr="00913E39" w14:paraId="68D10927" w14:textId="77777777" w:rsidTr="002C1734">
        <w:trPr>
          <w:trHeight w:val="20"/>
        </w:trPr>
        <w:tc>
          <w:tcPr>
            <w:tcW w:w="925" w:type="pct"/>
            <w:vMerge w:val="restart"/>
            <w:tcBorders>
              <w:top w:val="single" w:sz="4" w:space="0" w:color="auto"/>
              <w:left w:val="single" w:sz="4" w:space="0" w:color="auto"/>
              <w:bottom w:val="single" w:sz="4" w:space="0" w:color="auto"/>
              <w:right w:val="single" w:sz="4" w:space="0" w:color="auto"/>
            </w:tcBorders>
            <w:shd w:val="clear" w:color="auto" w:fill="auto"/>
          </w:tcPr>
          <w:p w14:paraId="0832A84C" w14:textId="77777777" w:rsidR="00847F23" w:rsidRPr="00913E39" w:rsidRDefault="00847F23" w:rsidP="004F525C">
            <w:pPr>
              <w:spacing w:after="0" w:line="240" w:lineRule="auto"/>
              <w:jc w:val="both"/>
              <w:rPr>
                <w:rFonts w:ascii="Garamond" w:hAnsi="Garamond"/>
                <w:b/>
                <w:sz w:val="18"/>
              </w:rPr>
            </w:pPr>
            <w:r w:rsidRPr="00913E39">
              <w:rPr>
                <w:rFonts w:ascii="Garamond" w:hAnsi="Garamond"/>
                <w:b/>
                <w:sz w:val="18"/>
              </w:rPr>
              <w:t>Produkti 7.3</w:t>
            </w:r>
          </w:p>
          <w:p w14:paraId="1A6F289B" w14:textId="77777777" w:rsidR="00847F23" w:rsidRPr="00913E39" w:rsidRDefault="00847F23" w:rsidP="004F525C">
            <w:pPr>
              <w:spacing w:after="0" w:line="240" w:lineRule="auto"/>
              <w:jc w:val="both"/>
              <w:rPr>
                <w:rFonts w:ascii="Garamond" w:hAnsi="Garamond"/>
                <w:b/>
                <w:sz w:val="18"/>
              </w:rPr>
            </w:pPr>
            <w:r w:rsidRPr="00913E39">
              <w:rPr>
                <w:rFonts w:ascii="Garamond" w:hAnsi="Garamond"/>
                <w:sz w:val="18"/>
              </w:rPr>
              <w:t>Mbështetja e zbatimit efektiv të PO-së</w:t>
            </w:r>
          </w:p>
          <w:p w14:paraId="3575703E" w14:textId="77777777" w:rsidR="00847F23" w:rsidRPr="00913E39" w:rsidRDefault="00847F23" w:rsidP="004F525C">
            <w:pPr>
              <w:spacing w:after="0" w:line="240" w:lineRule="auto"/>
              <w:jc w:val="both"/>
              <w:rPr>
                <w:rFonts w:ascii="Garamond" w:hAnsi="Garamond"/>
                <w:b/>
                <w:sz w:val="18"/>
              </w:rPr>
            </w:pPr>
          </w:p>
        </w:tc>
        <w:tc>
          <w:tcPr>
            <w:tcW w:w="1160" w:type="pct"/>
            <w:tcBorders>
              <w:top w:val="single" w:sz="4" w:space="0" w:color="auto"/>
              <w:left w:val="single" w:sz="4" w:space="0" w:color="auto"/>
              <w:bottom w:val="single" w:sz="4" w:space="0" w:color="auto"/>
              <w:right w:val="single" w:sz="4" w:space="0" w:color="auto"/>
            </w:tcBorders>
            <w:shd w:val="clear" w:color="auto" w:fill="auto"/>
            <w:hideMark/>
          </w:tcPr>
          <w:p w14:paraId="755FBB42" w14:textId="77777777" w:rsidR="00847F23" w:rsidRPr="00913E39" w:rsidRDefault="00847F23" w:rsidP="002C1734">
            <w:pPr>
              <w:spacing w:after="0" w:line="240" w:lineRule="auto"/>
              <w:rPr>
                <w:rFonts w:ascii="Garamond" w:hAnsi="Garamond"/>
                <w:sz w:val="18"/>
              </w:rPr>
            </w:pPr>
            <w:r w:rsidRPr="00913E39">
              <w:rPr>
                <w:rFonts w:ascii="Garamond" w:hAnsi="Garamond"/>
                <w:sz w:val="18"/>
              </w:rPr>
              <w:t>Përgatitja e dokumentacionit të tenderit për kontrata shërbimi.</w:t>
            </w:r>
          </w:p>
        </w:tc>
        <w:tc>
          <w:tcPr>
            <w:tcW w:w="927" w:type="pct"/>
            <w:tcBorders>
              <w:top w:val="single" w:sz="4" w:space="0" w:color="auto"/>
              <w:left w:val="single" w:sz="4" w:space="0" w:color="auto"/>
              <w:bottom w:val="single" w:sz="4" w:space="0" w:color="auto"/>
              <w:right w:val="single" w:sz="4" w:space="0" w:color="auto"/>
            </w:tcBorders>
            <w:shd w:val="clear" w:color="auto" w:fill="auto"/>
            <w:hideMark/>
          </w:tcPr>
          <w:p w14:paraId="749FD0C7"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Numër</w:t>
            </w:r>
          </w:p>
        </w:tc>
        <w:tc>
          <w:tcPr>
            <w:tcW w:w="1005" w:type="pct"/>
            <w:tcBorders>
              <w:top w:val="single" w:sz="4" w:space="0" w:color="auto"/>
              <w:left w:val="single" w:sz="4" w:space="0" w:color="auto"/>
              <w:bottom w:val="single" w:sz="4" w:space="0" w:color="auto"/>
              <w:right w:val="single" w:sz="4" w:space="0" w:color="auto"/>
            </w:tcBorders>
            <w:shd w:val="clear" w:color="auto" w:fill="auto"/>
            <w:hideMark/>
          </w:tcPr>
          <w:p w14:paraId="32196199"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0 </w:t>
            </w:r>
          </w:p>
          <w:p w14:paraId="12C1F570"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(2024)</w:t>
            </w:r>
          </w:p>
        </w:tc>
        <w:tc>
          <w:tcPr>
            <w:tcW w:w="983" w:type="pct"/>
            <w:tcBorders>
              <w:top w:val="single" w:sz="4" w:space="0" w:color="auto"/>
              <w:left w:val="single" w:sz="4" w:space="0" w:color="auto"/>
              <w:bottom w:val="single" w:sz="4" w:space="0" w:color="auto"/>
              <w:right w:val="single" w:sz="4" w:space="0" w:color="auto"/>
            </w:tcBorders>
            <w:shd w:val="clear" w:color="auto" w:fill="auto"/>
            <w:hideMark/>
          </w:tcPr>
          <w:p w14:paraId="35F18EC6"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5</w:t>
            </w:r>
          </w:p>
          <w:p w14:paraId="0EFF078B"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(2027)</w:t>
            </w:r>
          </w:p>
        </w:tc>
      </w:tr>
      <w:tr w:rsidR="00847F23" w:rsidRPr="00913E39" w14:paraId="09914A83" w14:textId="77777777" w:rsidTr="002C1734">
        <w:trPr>
          <w:trHeight w:val="20"/>
        </w:trPr>
        <w:tc>
          <w:tcPr>
            <w:tcW w:w="92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591D12" w14:textId="77777777" w:rsidR="00847F23" w:rsidRPr="00913E39" w:rsidRDefault="00847F23" w:rsidP="004F525C">
            <w:pPr>
              <w:spacing w:after="0" w:line="240" w:lineRule="auto"/>
              <w:jc w:val="both"/>
              <w:rPr>
                <w:rFonts w:ascii="Garamond" w:hAnsi="Garamond"/>
                <w:b/>
                <w:sz w:val="18"/>
              </w:rPr>
            </w:pPr>
          </w:p>
        </w:tc>
        <w:tc>
          <w:tcPr>
            <w:tcW w:w="1160" w:type="pct"/>
            <w:tcBorders>
              <w:top w:val="single" w:sz="4" w:space="0" w:color="auto"/>
              <w:left w:val="single" w:sz="4" w:space="0" w:color="auto"/>
              <w:bottom w:val="single" w:sz="4" w:space="0" w:color="auto"/>
              <w:right w:val="single" w:sz="4" w:space="0" w:color="auto"/>
            </w:tcBorders>
            <w:shd w:val="clear" w:color="auto" w:fill="auto"/>
            <w:hideMark/>
          </w:tcPr>
          <w:p w14:paraId="13BD17B4" w14:textId="77777777" w:rsidR="00847F23" w:rsidRPr="00913E39" w:rsidRDefault="00847F23" w:rsidP="002C1734">
            <w:pPr>
              <w:spacing w:after="0" w:line="240" w:lineRule="auto"/>
              <w:rPr>
                <w:rFonts w:ascii="Garamond" w:hAnsi="Garamond"/>
                <w:sz w:val="18"/>
              </w:rPr>
            </w:pPr>
            <w:r w:rsidRPr="00913E39">
              <w:rPr>
                <w:rFonts w:ascii="Garamond" w:hAnsi="Garamond"/>
                <w:sz w:val="18"/>
              </w:rPr>
              <w:t>Përgatitja e dokumentacionit të tenderit për kontrata sigurimi.</w:t>
            </w:r>
          </w:p>
        </w:tc>
        <w:tc>
          <w:tcPr>
            <w:tcW w:w="927" w:type="pct"/>
            <w:tcBorders>
              <w:top w:val="single" w:sz="4" w:space="0" w:color="auto"/>
              <w:left w:val="single" w:sz="4" w:space="0" w:color="auto"/>
              <w:bottom w:val="single" w:sz="4" w:space="0" w:color="auto"/>
              <w:right w:val="single" w:sz="4" w:space="0" w:color="auto"/>
            </w:tcBorders>
            <w:shd w:val="clear" w:color="auto" w:fill="auto"/>
            <w:hideMark/>
          </w:tcPr>
          <w:p w14:paraId="584317E6"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Numër</w:t>
            </w:r>
          </w:p>
        </w:tc>
        <w:tc>
          <w:tcPr>
            <w:tcW w:w="1005" w:type="pct"/>
            <w:tcBorders>
              <w:top w:val="single" w:sz="4" w:space="0" w:color="auto"/>
              <w:left w:val="single" w:sz="4" w:space="0" w:color="auto"/>
              <w:bottom w:val="single" w:sz="4" w:space="0" w:color="auto"/>
              <w:right w:val="single" w:sz="4" w:space="0" w:color="auto"/>
            </w:tcBorders>
            <w:shd w:val="clear" w:color="auto" w:fill="auto"/>
            <w:hideMark/>
          </w:tcPr>
          <w:p w14:paraId="20F8C5A6"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0 </w:t>
            </w:r>
          </w:p>
          <w:p w14:paraId="02C324C9"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(2024)</w:t>
            </w:r>
          </w:p>
        </w:tc>
        <w:tc>
          <w:tcPr>
            <w:tcW w:w="983" w:type="pct"/>
            <w:tcBorders>
              <w:top w:val="single" w:sz="4" w:space="0" w:color="auto"/>
              <w:left w:val="single" w:sz="4" w:space="0" w:color="auto"/>
              <w:bottom w:val="single" w:sz="4" w:space="0" w:color="auto"/>
              <w:right w:val="single" w:sz="4" w:space="0" w:color="auto"/>
            </w:tcBorders>
            <w:shd w:val="clear" w:color="auto" w:fill="auto"/>
            <w:hideMark/>
          </w:tcPr>
          <w:p w14:paraId="1366DE55"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5 </w:t>
            </w:r>
          </w:p>
          <w:p w14:paraId="6C6C15E8"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(2027)</w:t>
            </w:r>
          </w:p>
        </w:tc>
      </w:tr>
      <w:tr w:rsidR="00847F23" w:rsidRPr="00913E39" w14:paraId="74A4BD2F" w14:textId="77777777" w:rsidTr="002C1734">
        <w:trPr>
          <w:trHeight w:val="20"/>
        </w:trPr>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25E4465A" w14:textId="77777777" w:rsidR="00847F23" w:rsidRPr="00913E39" w:rsidRDefault="00847F23" w:rsidP="004F525C">
            <w:pPr>
              <w:spacing w:after="0" w:line="240" w:lineRule="auto"/>
              <w:jc w:val="both"/>
              <w:rPr>
                <w:rFonts w:ascii="Garamond" w:hAnsi="Garamond"/>
                <w:b/>
                <w:sz w:val="18"/>
              </w:rPr>
            </w:pPr>
          </w:p>
        </w:tc>
        <w:tc>
          <w:tcPr>
            <w:tcW w:w="1160" w:type="pct"/>
            <w:tcBorders>
              <w:top w:val="single" w:sz="4" w:space="0" w:color="auto"/>
              <w:left w:val="single" w:sz="4" w:space="0" w:color="auto"/>
              <w:bottom w:val="single" w:sz="4" w:space="0" w:color="auto"/>
              <w:right w:val="single" w:sz="4" w:space="0" w:color="auto"/>
            </w:tcBorders>
            <w:shd w:val="clear" w:color="auto" w:fill="auto"/>
          </w:tcPr>
          <w:p w14:paraId="416BBE77" w14:textId="028FB87C" w:rsidR="00847F23" w:rsidRPr="00913E39" w:rsidRDefault="00847F23" w:rsidP="002C1734">
            <w:pPr>
              <w:spacing w:after="0" w:line="240" w:lineRule="auto"/>
              <w:rPr>
                <w:rFonts w:ascii="Garamond" w:hAnsi="Garamond"/>
                <w:sz w:val="18"/>
              </w:rPr>
            </w:pPr>
            <w:r w:rsidRPr="00913E39">
              <w:rPr>
                <w:rFonts w:ascii="Garamond" w:hAnsi="Garamond"/>
                <w:sz w:val="18"/>
              </w:rPr>
              <w:t xml:space="preserve">Përgatitja e fishës së </w:t>
            </w:r>
            <w:r w:rsidR="002C1734" w:rsidRPr="00913E39">
              <w:rPr>
                <w:rFonts w:ascii="Garamond" w:hAnsi="Garamond"/>
                <w:sz w:val="18"/>
              </w:rPr>
              <w:t>binjakëzimit/binjakëzimit të thjeshtë</w:t>
            </w:r>
          </w:p>
        </w:tc>
        <w:tc>
          <w:tcPr>
            <w:tcW w:w="927" w:type="pct"/>
            <w:tcBorders>
              <w:top w:val="single" w:sz="4" w:space="0" w:color="auto"/>
              <w:left w:val="single" w:sz="4" w:space="0" w:color="auto"/>
              <w:bottom w:val="single" w:sz="4" w:space="0" w:color="auto"/>
              <w:right w:val="single" w:sz="4" w:space="0" w:color="auto"/>
            </w:tcBorders>
            <w:shd w:val="clear" w:color="auto" w:fill="auto"/>
          </w:tcPr>
          <w:p w14:paraId="5D76B7EA"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Numër</w:t>
            </w:r>
          </w:p>
        </w:tc>
        <w:tc>
          <w:tcPr>
            <w:tcW w:w="1005" w:type="pct"/>
            <w:tcBorders>
              <w:top w:val="single" w:sz="4" w:space="0" w:color="auto"/>
              <w:left w:val="single" w:sz="4" w:space="0" w:color="auto"/>
              <w:bottom w:val="single" w:sz="4" w:space="0" w:color="auto"/>
              <w:right w:val="single" w:sz="4" w:space="0" w:color="auto"/>
            </w:tcBorders>
            <w:shd w:val="clear" w:color="auto" w:fill="auto"/>
          </w:tcPr>
          <w:p w14:paraId="2E7A804C"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0 </w:t>
            </w:r>
          </w:p>
          <w:p w14:paraId="2C98B9DA"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(2024)</w:t>
            </w:r>
          </w:p>
        </w:tc>
        <w:tc>
          <w:tcPr>
            <w:tcW w:w="983" w:type="pct"/>
            <w:tcBorders>
              <w:top w:val="single" w:sz="4" w:space="0" w:color="auto"/>
              <w:left w:val="single" w:sz="4" w:space="0" w:color="auto"/>
              <w:bottom w:val="single" w:sz="4" w:space="0" w:color="auto"/>
              <w:right w:val="single" w:sz="4" w:space="0" w:color="auto"/>
            </w:tcBorders>
            <w:shd w:val="clear" w:color="auto" w:fill="auto"/>
          </w:tcPr>
          <w:p w14:paraId="7A1EBCA7"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2 </w:t>
            </w:r>
          </w:p>
          <w:p w14:paraId="0838586B"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(2027)</w:t>
            </w:r>
          </w:p>
        </w:tc>
      </w:tr>
      <w:tr w:rsidR="00847F23" w:rsidRPr="00913E39" w14:paraId="3EF47773" w14:textId="77777777" w:rsidTr="002C1734">
        <w:trPr>
          <w:trHeight w:val="20"/>
        </w:trPr>
        <w:tc>
          <w:tcPr>
            <w:tcW w:w="9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FABCBE" w14:textId="77777777" w:rsidR="00847F23" w:rsidRPr="00913E39" w:rsidRDefault="00847F23" w:rsidP="004F525C">
            <w:pPr>
              <w:spacing w:after="0" w:line="240" w:lineRule="auto"/>
              <w:jc w:val="both"/>
              <w:rPr>
                <w:rFonts w:ascii="Garamond" w:hAnsi="Garamond"/>
                <w:b/>
                <w:sz w:val="18"/>
              </w:rPr>
            </w:pPr>
          </w:p>
        </w:tc>
        <w:tc>
          <w:tcPr>
            <w:tcW w:w="1160" w:type="pct"/>
            <w:tcBorders>
              <w:top w:val="single" w:sz="4" w:space="0" w:color="auto"/>
              <w:left w:val="single" w:sz="4" w:space="0" w:color="auto"/>
              <w:bottom w:val="single" w:sz="4" w:space="0" w:color="auto"/>
              <w:right w:val="single" w:sz="4" w:space="0" w:color="auto"/>
            </w:tcBorders>
            <w:shd w:val="clear" w:color="auto" w:fill="auto"/>
            <w:hideMark/>
          </w:tcPr>
          <w:p w14:paraId="2427AADA" w14:textId="77777777" w:rsidR="00847F23" w:rsidRPr="00913E39" w:rsidRDefault="00847F23" w:rsidP="002C1734">
            <w:pPr>
              <w:spacing w:after="0" w:line="240" w:lineRule="auto"/>
              <w:rPr>
                <w:rFonts w:ascii="Garamond" w:hAnsi="Garamond"/>
                <w:sz w:val="18"/>
              </w:rPr>
            </w:pPr>
            <w:r w:rsidRPr="00913E39">
              <w:rPr>
                <w:rFonts w:ascii="Garamond" w:hAnsi="Garamond"/>
                <w:sz w:val="18"/>
              </w:rPr>
              <w:t>Organizimi i aktiviteteve për komunikim dhe vizibilitet.</w:t>
            </w:r>
          </w:p>
        </w:tc>
        <w:tc>
          <w:tcPr>
            <w:tcW w:w="927" w:type="pct"/>
            <w:tcBorders>
              <w:top w:val="single" w:sz="4" w:space="0" w:color="auto"/>
              <w:left w:val="single" w:sz="4" w:space="0" w:color="auto"/>
              <w:bottom w:val="single" w:sz="4" w:space="0" w:color="auto"/>
              <w:right w:val="single" w:sz="4" w:space="0" w:color="auto"/>
            </w:tcBorders>
            <w:shd w:val="clear" w:color="auto" w:fill="auto"/>
            <w:hideMark/>
          </w:tcPr>
          <w:p w14:paraId="20D24158"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Numër</w:t>
            </w:r>
          </w:p>
        </w:tc>
        <w:tc>
          <w:tcPr>
            <w:tcW w:w="1005" w:type="pct"/>
            <w:tcBorders>
              <w:top w:val="single" w:sz="4" w:space="0" w:color="auto"/>
              <w:left w:val="single" w:sz="4" w:space="0" w:color="auto"/>
              <w:bottom w:val="single" w:sz="4" w:space="0" w:color="auto"/>
              <w:right w:val="single" w:sz="4" w:space="0" w:color="auto"/>
            </w:tcBorders>
            <w:shd w:val="clear" w:color="auto" w:fill="auto"/>
            <w:hideMark/>
          </w:tcPr>
          <w:p w14:paraId="3D217FC5"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0 </w:t>
            </w:r>
          </w:p>
          <w:p w14:paraId="492F8840"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(2024)</w:t>
            </w:r>
          </w:p>
        </w:tc>
        <w:tc>
          <w:tcPr>
            <w:tcW w:w="983" w:type="pct"/>
            <w:tcBorders>
              <w:top w:val="single" w:sz="4" w:space="0" w:color="auto"/>
              <w:left w:val="single" w:sz="4" w:space="0" w:color="auto"/>
              <w:bottom w:val="single" w:sz="4" w:space="0" w:color="auto"/>
              <w:right w:val="single" w:sz="4" w:space="0" w:color="auto"/>
            </w:tcBorders>
            <w:shd w:val="clear" w:color="auto" w:fill="auto"/>
            <w:hideMark/>
          </w:tcPr>
          <w:p w14:paraId="3F8AD75E"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10 </w:t>
            </w:r>
          </w:p>
          <w:p w14:paraId="4C74FC00"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(2032)</w:t>
            </w:r>
          </w:p>
        </w:tc>
      </w:tr>
      <w:tr w:rsidR="00847F23" w:rsidRPr="00913E39" w14:paraId="5056D976" w14:textId="77777777" w:rsidTr="002C1734">
        <w:trPr>
          <w:trHeight w:val="20"/>
        </w:trPr>
        <w:tc>
          <w:tcPr>
            <w:tcW w:w="925"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43973C63" w14:textId="77777777" w:rsidR="00847F23" w:rsidRPr="00913E39" w:rsidRDefault="00847F23" w:rsidP="004F525C">
            <w:pPr>
              <w:spacing w:after="0" w:line="240" w:lineRule="auto"/>
              <w:jc w:val="both"/>
              <w:rPr>
                <w:rFonts w:ascii="Garamond" w:hAnsi="Garamond"/>
                <w:b/>
                <w:sz w:val="18"/>
              </w:rPr>
            </w:pPr>
            <w:r w:rsidRPr="00913E39">
              <w:rPr>
                <w:rFonts w:ascii="Garamond" w:hAnsi="Garamond"/>
                <w:b/>
                <w:sz w:val="18"/>
              </w:rPr>
              <w:t xml:space="preserve">Produkti 7.4 </w:t>
            </w:r>
          </w:p>
          <w:p w14:paraId="1BF471FE" w14:textId="77777777" w:rsidR="00847F23" w:rsidRPr="00913E39" w:rsidRDefault="00847F23" w:rsidP="004F525C">
            <w:pPr>
              <w:spacing w:after="0" w:line="240" w:lineRule="auto"/>
              <w:rPr>
                <w:rFonts w:ascii="Garamond" w:hAnsi="Garamond"/>
                <w:b/>
                <w:sz w:val="18"/>
              </w:rPr>
            </w:pPr>
            <w:r w:rsidRPr="00913E39">
              <w:rPr>
                <w:rFonts w:ascii="Garamond" w:hAnsi="Garamond"/>
                <w:sz w:val="18"/>
              </w:rPr>
              <w:t xml:space="preserve">Zbatimi në mënyrë efektive i </w:t>
            </w:r>
            <w:r w:rsidRPr="00913E39">
              <w:rPr>
                <w:rFonts w:ascii="Garamond" w:hAnsi="Garamond"/>
                <w:sz w:val="18"/>
              </w:rPr>
              <w:lastRenderedPageBreak/>
              <w:t>monitorimit dhe vlerësimit të PO-së</w:t>
            </w:r>
          </w:p>
        </w:tc>
        <w:tc>
          <w:tcPr>
            <w:tcW w:w="1160" w:type="pct"/>
            <w:tcBorders>
              <w:top w:val="single" w:sz="4" w:space="0" w:color="auto"/>
              <w:left w:val="single" w:sz="4" w:space="0" w:color="auto"/>
              <w:bottom w:val="single" w:sz="4" w:space="0" w:color="auto"/>
              <w:right w:val="single" w:sz="4" w:space="0" w:color="auto"/>
            </w:tcBorders>
            <w:shd w:val="clear" w:color="auto" w:fill="auto"/>
            <w:hideMark/>
          </w:tcPr>
          <w:p w14:paraId="0BC5D074" w14:textId="77777777" w:rsidR="00847F23" w:rsidRPr="00913E39" w:rsidRDefault="00847F23" w:rsidP="002C1734">
            <w:pPr>
              <w:spacing w:after="0" w:line="240" w:lineRule="auto"/>
              <w:rPr>
                <w:rFonts w:ascii="Garamond" w:hAnsi="Garamond"/>
                <w:sz w:val="18"/>
              </w:rPr>
            </w:pPr>
            <w:r w:rsidRPr="00913E39">
              <w:rPr>
                <w:rFonts w:ascii="Garamond" w:hAnsi="Garamond"/>
                <w:sz w:val="18"/>
              </w:rPr>
              <w:lastRenderedPageBreak/>
              <w:t>Vlerësimi i programit.</w:t>
            </w:r>
          </w:p>
        </w:tc>
        <w:tc>
          <w:tcPr>
            <w:tcW w:w="927" w:type="pct"/>
            <w:tcBorders>
              <w:top w:val="single" w:sz="4" w:space="0" w:color="auto"/>
              <w:left w:val="single" w:sz="4" w:space="0" w:color="auto"/>
              <w:bottom w:val="single" w:sz="4" w:space="0" w:color="auto"/>
              <w:right w:val="single" w:sz="4" w:space="0" w:color="auto"/>
            </w:tcBorders>
            <w:shd w:val="clear" w:color="auto" w:fill="auto"/>
            <w:hideMark/>
          </w:tcPr>
          <w:p w14:paraId="3EDAA7F1"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Numër</w:t>
            </w:r>
          </w:p>
        </w:tc>
        <w:tc>
          <w:tcPr>
            <w:tcW w:w="1005" w:type="pct"/>
            <w:tcBorders>
              <w:top w:val="single" w:sz="4" w:space="0" w:color="auto"/>
              <w:left w:val="single" w:sz="4" w:space="0" w:color="auto"/>
              <w:bottom w:val="single" w:sz="4" w:space="0" w:color="auto"/>
              <w:right w:val="single" w:sz="4" w:space="0" w:color="auto"/>
            </w:tcBorders>
            <w:shd w:val="clear" w:color="auto" w:fill="auto"/>
            <w:hideMark/>
          </w:tcPr>
          <w:p w14:paraId="65698C0F"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0 </w:t>
            </w:r>
          </w:p>
          <w:p w14:paraId="1D2F0E8B"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(2024)</w:t>
            </w:r>
          </w:p>
        </w:tc>
        <w:tc>
          <w:tcPr>
            <w:tcW w:w="983" w:type="pct"/>
            <w:tcBorders>
              <w:top w:val="single" w:sz="4" w:space="0" w:color="auto"/>
              <w:left w:val="single" w:sz="4" w:space="0" w:color="auto"/>
              <w:right w:val="single" w:sz="4" w:space="0" w:color="auto"/>
            </w:tcBorders>
            <w:shd w:val="clear" w:color="auto" w:fill="auto"/>
            <w:hideMark/>
          </w:tcPr>
          <w:p w14:paraId="314D9DF9"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2 </w:t>
            </w:r>
          </w:p>
          <w:p w14:paraId="09B22B22"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(2027) – vlerësim afatmesëm për çdo fushë të mbështetjes</w:t>
            </w:r>
          </w:p>
          <w:p w14:paraId="132D6A61" w14:textId="77777777" w:rsidR="00847F23" w:rsidRPr="00913E39" w:rsidRDefault="00847F23" w:rsidP="004F525C">
            <w:pPr>
              <w:spacing w:after="0" w:line="240" w:lineRule="auto"/>
              <w:jc w:val="both"/>
              <w:rPr>
                <w:rFonts w:ascii="Garamond" w:hAnsi="Garamond"/>
                <w:sz w:val="18"/>
              </w:rPr>
            </w:pPr>
          </w:p>
        </w:tc>
      </w:tr>
      <w:tr w:rsidR="00847F23" w:rsidRPr="00913E39" w14:paraId="41E41589" w14:textId="77777777" w:rsidTr="002C1734">
        <w:trPr>
          <w:trHeight w:val="20"/>
        </w:trPr>
        <w:tc>
          <w:tcPr>
            <w:tcW w:w="925"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EE175FC" w14:textId="77777777" w:rsidR="00847F23" w:rsidRPr="00913E39" w:rsidRDefault="00847F23" w:rsidP="004F525C">
            <w:pPr>
              <w:spacing w:after="0" w:line="240" w:lineRule="auto"/>
              <w:jc w:val="both"/>
              <w:rPr>
                <w:rFonts w:ascii="Garamond" w:hAnsi="Garamond"/>
                <w:b/>
                <w:sz w:val="18"/>
              </w:rPr>
            </w:pPr>
          </w:p>
        </w:tc>
        <w:tc>
          <w:tcPr>
            <w:tcW w:w="1160" w:type="pct"/>
            <w:tcBorders>
              <w:top w:val="single" w:sz="4" w:space="0" w:color="auto"/>
              <w:left w:val="single" w:sz="4" w:space="0" w:color="auto"/>
              <w:bottom w:val="single" w:sz="4" w:space="0" w:color="auto"/>
              <w:right w:val="single" w:sz="4" w:space="0" w:color="auto"/>
            </w:tcBorders>
            <w:shd w:val="clear" w:color="auto" w:fill="auto"/>
            <w:hideMark/>
          </w:tcPr>
          <w:p w14:paraId="1A781087" w14:textId="77777777" w:rsidR="00847F23" w:rsidRPr="00913E39" w:rsidRDefault="00847F23" w:rsidP="002C1734">
            <w:pPr>
              <w:spacing w:after="0" w:line="240" w:lineRule="auto"/>
              <w:rPr>
                <w:rFonts w:ascii="Garamond" w:hAnsi="Garamond"/>
                <w:sz w:val="18"/>
              </w:rPr>
            </w:pPr>
            <w:r w:rsidRPr="00913E39">
              <w:rPr>
                <w:rFonts w:ascii="Garamond" w:hAnsi="Garamond"/>
                <w:sz w:val="18"/>
              </w:rPr>
              <w:t>Zhvillimi i takimeve të Komitetit të Monitorimit Sektorial për Programin</w:t>
            </w:r>
          </w:p>
        </w:tc>
        <w:tc>
          <w:tcPr>
            <w:tcW w:w="927" w:type="pct"/>
            <w:tcBorders>
              <w:top w:val="single" w:sz="4" w:space="0" w:color="auto"/>
              <w:left w:val="single" w:sz="4" w:space="0" w:color="auto"/>
              <w:bottom w:val="single" w:sz="4" w:space="0" w:color="auto"/>
              <w:right w:val="single" w:sz="4" w:space="0" w:color="auto"/>
            </w:tcBorders>
            <w:shd w:val="clear" w:color="auto" w:fill="auto"/>
            <w:hideMark/>
          </w:tcPr>
          <w:p w14:paraId="0B1EC591"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Numër</w:t>
            </w:r>
          </w:p>
        </w:tc>
        <w:tc>
          <w:tcPr>
            <w:tcW w:w="1005" w:type="pct"/>
            <w:tcBorders>
              <w:top w:val="single" w:sz="4" w:space="0" w:color="auto"/>
              <w:left w:val="single" w:sz="4" w:space="0" w:color="auto"/>
              <w:bottom w:val="single" w:sz="4" w:space="0" w:color="auto"/>
              <w:right w:val="single" w:sz="4" w:space="0" w:color="auto"/>
            </w:tcBorders>
            <w:shd w:val="clear" w:color="auto" w:fill="auto"/>
            <w:hideMark/>
          </w:tcPr>
          <w:p w14:paraId="368DF9D5"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 xml:space="preserve">0 </w:t>
            </w:r>
          </w:p>
          <w:p w14:paraId="7FB63605"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(2024)</w:t>
            </w:r>
          </w:p>
        </w:tc>
        <w:tc>
          <w:tcPr>
            <w:tcW w:w="983" w:type="pct"/>
            <w:tcBorders>
              <w:top w:val="single" w:sz="4" w:space="0" w:color="auto"/>
              <w:left w:val="single" w:sz="4" w:space="0" w:color="auto"/>
              <w:bottom w:val="single" w:sz="4" w:space="0" w:color="auto"/>
              <w:right w:val="single" w:sz="4" w:space="0" w:color="auto"/>
            </w:tcBorders>
            <w:shd w:val="clear" w:color="auto" w:fill="auto"/>
          </w:tcPr>
          <w:p w14:paraId="0C434F43"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16</w:t>
            </w:r>
          </w:p>
          <w:p w14:paraId="0D44711E"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t>(2032)</w:t>
            </w:r>
          </w:p>
          <w:p w14:paraId="15B45315" w14:textId="77777777" w:rsidR="00847F23" w:rsidRPr="00913E39" w:rsidRDefault="00847F23" w:rsidP="004F525C">
            <w:pPr>
              <w:spacing w:after="0" w:line="240" w:lineRule="auto"/>
              <w:jc w:val="both"/>
              <w:rPr>
                <w:rFonts w:ascii="Garamond" w:hAnsi="Garamond"/>
                <w:sz w:val="18"/>
              </w:rPr>
            </w:pPr>
          </w:p>
        </w:tc>
      </w:tr>
    </w:tbl>
    <w:p w14:paraId="00BDBC45" w14:textId="77777777" w:rsidR="002C1734" w:rsidRPr="00913E39" w:rsidRDefault="002C1734" w:rsidP="00FC4C60">
      <w:pPr>
        <w:spacing w:after="0" w:line="240" w:lineRule="auto"/>
        <w:ind w:firstLine="284"/>
        <w:jc w:val="both"/>
        <w:rPr>
          <w:rFonts w:ascii="Garamond" w:hAnsi="Garamond"/>
          <w:b/>
          <w:sz w:val="24"/>
        </w:rPr>
      </w:pPr>
    </w:p>
    <w:p w14:paraId="661AF87E" w14:textId="5EA5265E"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 xml:space="preserve">Lloji i aktiviteteve </w:t>
      </w:r>
    </w:p>
    <w:p w14:paraId="33BBDDCE" w14:textId="46624682"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Produkt 7.1 Rritja e kompetencave të stafit të AM-së, ONMF-së dhe të përfituesve fundorë</w:t>
      </w:r>
    </w:p>
    <w:p w14:paraId="4938EE1E" w14:textId="6615C2C8"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Mbështetje për ngritjen e kapaciteteve të AM, ONMF dhe punonjësve përfitues.</w:t>
      </w:r>
      <w:r w:rsidRPr="00913E39">
        <w:rPr>
          <w:rFonts w:ascii="Garamond" w:hAnsi="Garamond"/>
          <w:sz w:val="24"/>
        </w:rPr>
        <w:t xml:space="preserve"> Për menaxhimin dhe zbatimin e PO-së do të krijohen struktura të reja pranë </w:t>
      </w:r>
      <w:r w:rsidR="002C1734" w:rsidRPr="00913E39">
        <w:rPr>
          <w:rFonts w:ascii="Garamond" w:hAnsi="Garamond"/>
          <w:sz w:val="24"/>
        </w:rPr>
        <w:t xml:space="preserve">autoritetit menaxhues </w:t>
      </w:r>
      <w:r w:rsidRPr="00913E39">
        <w:rPr>
          <w:rFonts w:ascii="Garamond" w:hAnsi="Garamond"/>
          <w:sz w:val="24"/>
        </w:rPr>
        <w:t xml:space="preserve">dhe agjencive të tjera përgjegjëse </w:t>
      </w:r>
      <w:r w:rsidR="002C1734" w:rsidRPr="00913E39">
        <w:rPr>
          <w:rFonts w:ascii="Garamond" w:hAnsi="Garamond"/>
          <w:sz w:val="24"/>
        </w:rPr>
        <w:t xml:space="preserve">për fushat e mbështetjes që janë objekt </w:t>
      </w:r>
      <w:r w:rsidRPr="00913E39">
        <w:rPr>
          <w:rFonts w:ascii="Garamond" w:hAnsi="Garamond"/>
          <w:sz w:val="24"/>
        </w:rPr>
        <w:t xml:space="preserve">i kësaj PO-je. ONMF tashmë ka përvojë në menaxhimin e asistencës IPA sipas metodës së zbatimit të IMBC-së, por kurrë nuk ka menaxhuar fondet e BE-së në kuadër të një Programi Operacional Shumëvjeçar. Duke pasur parasysh mungesën e përvojës së administratës shqiptare në zbatimin e Programeve Operacionale, do të zhvillohen dhe zbatohen Programe specifike për rritjen e kapaciteteve të punonjësve në strukturat drejtuese të PO-së, duke u fokusuar në aspekte të veçanta të zbatimit të Programit. Propozohen lloje të ndryshme aktivitetesh për rritjen e kapaciteteve, të tilla si trajnimi (përfshirë trajnimin në punë), instruktazhi, shkëmbime mes kolegësh, që synojnë nevojat e grupeve të ndryshme të stafit </w:t>
      </w:r>
      <w:r w:rsidRPr="000248B5">
        <w:rPr>
          <w:rFonts w:ascii="Garamond" w:hAnsi="Garamond"/>
          <w:color w:val="FF0000"/>
          <w:sz w:val="24"/>
        </w:rPr>
        <w:t>bazuar në vlerësimet e nevojave për trajnim dhe objektin e detyrave të tyre. Aktivitetet e rritjes së kapaciteteve do të nisin në fillim të Programit dhe do të vazhdojnë sipas nevojës gjatë gjithë jetës së PO-së.</w:t>
      </w:r>
    </w:p>
    <w:p w14:paraId="2813DD46"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Metoda e ofrimit:</w:t>
      </w:r>
      <w:r w:rsidRPr="00913E39">
        <w:rPr>
          <w:rFonts w:ascii="Garamond" w:hAnsi="Garamond"/>
          <w:sz w:val="24"/>
        </w:rPr>
        <w:t xml:space="preserve"> kontrata shërbimi dhe/ose binjakëzimi</w:t>
      </w:r>
    </w:p>
    <w:p w14:paraId="1D1CA13F"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Përfituesit fundorë dhe grupet e synuara:</w:t>
      </w:r>
    </w:p>
    <w:p w14:paraId="6E62A70E"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Grupet synuara janë këto:</w:t>
      </w:r>
    </w:p>
    <w:p w14:paraId="59AFB4A1" w14:textId="1E21236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AM (AKSHI)</w:t>
      </w:r>
      <w:r w:rsidR="002C1734" w:rsidRPr="00913E39">
        <w:rPr>
          <w:rFonts w:ascii="Garamond" w:hAnsi="Garamond"/>
          <w:sz w:val="24"/>
        </w:rPr>
        <w:t>;</w:t>
      </w:r>
    </w:p>
    <w:p w14:paraId="44B157BC" w14:textId="1D766FD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Drejtoria e Përgjithshme për Financimin dhe Kontraktimin e Fondeve të Bashkimit Evropian, Bankës Botërore dhe Donatorëve të Tjerë (CFCU)</w:t>
      </w:r>
      <w:r w:rsidR="002C1734" w:rsidRPr="00913E39">
        <w:rPr>
          <w:rFonts w:ascii="Garamond" w:hAnsi="Garamond"/>
          <w:sz w:val="24"/>
        </w:rPr>
        <w:t>;</w:t>
      </w:r>
    </w:p>
    <w:p w14:paraId="627F9991" w14:textId="6C8D8B1B"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Struktura e Menaxhimit të NAO-së, Zyra Mbështetëse e KKIPA</w:t>
      </w:r>
      <w:r w:rsidR="002C1734" w:rsidRPr="00913E39">
        <w:rPr>
          <w:rFonts w:ascii="Garamond" w:hAnsi="Garamond"/>
          <w:sz w:val="24"/>
        </w:rPr>
        <w:t>;</w:t>
      </w:r>
    </w:p>
    <w:p w14:paraId="54333A73" w14:textId="0D1E6CD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Ministria e Shëndetit dhe Mbrojtjes Sociale</w:t>
      </w:r>
      <w:r w:rsidR="002C1734" w:rsidRPr="00913E39">
        <w:rPr>
          <w:rFonts w:ascii="Garamond" w:hAnsi="Garamond"/>
          <w:sz w:val="24"/>
        </w:rPr>
        <w:t>;</w:t>
      </w:r>
      <w:r w:rsidRPr="00913E39">
        <w:rPr>
          <w:rFonts w:ascii="Garamond" w:hAnsi="Garamond"/>
          <w:sz w:val="24"/>
        </w:rPr>
        <w:t xml:space="preserve"> </w:t>
      </w:r>
    </w:p>
    <w:p w14:paraId="4C562166" w14:textId="634157E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Ministria e Arsimit dhe Sporteve</w:t>
      </w:r>
      <w:r w:rsidR="002C1734" w:rsidRPr="00913E39">
        <w:rPr>
          <w:rFonts w:ascii="Garamond" w:hAnsi="Garamond"/>
          <w:sz w:val="24"/>
        </w:rPr>
        <w:t>;</w:t>
      </w:r>
    </w:p>
    <w:p w14:paraId="1F4C14CF" w14:textId="5CD5374A"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Ministria e Financave dhe Ekonomisë </w:t>
      </w:r>
      <w:r w:rsidR="00BA0EA0" w:rsidRPr="00913E39">
        <w:rPr>
          <w:rFonts w:ascii="Garamond" w:hAnsi="Garamond"/>
          <w:sz w:val="24"/>
        </w:rPr>
        <w:t>–</w:t>
      </w:r>
      <w:r w:rsidRPr="00913E39">
        <w:rPr>
          <w:rFonts w:ascii="Garamond" w:hAnsi="Garamond"/>
          <w:sz w:val="24"/>
        </w:rPr>
        <w:t xml:space="preserve"> Drejtoria</w:t>
      </w:r>
      <w:r w:rsidR="00BA0EA0" w:rsidRPr="00913E39">
        <w:rPr>
          <w:rFonts w:ascii="Garamond" w:hAnsi="Garamond"/>
          <w:sz w:val="24"/>
        </w:rPr>
        <w:t xml:space="preserve"> </w:t>
      </w:r>
      <w:r w:rsidRPr="00913E39">
        <w:rPr>
          <w:rFonts w:ascii="Garamond" w:hAnsi="Garamond"/>
          <w:sz w:val="24"/>
        </w:rPr>
        <w:t>e Përgjithshme e Tatimeve</w:t>
      </w:r>
      <w:r w:rsidR="002C1734" w:rsidRPr="00913E39">
        <w:rPr>
          <w:rFonts w:ascii="Garamond" w:hAnsi="Garamond"/>
          <w:sz w:val="24"/>
        </w:rPr>
        <w:t>;</w:t>
      </w:r>
    </w:p>
    <w:p w14:paraId="44C6F901" w14:textId="7AB708F1"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Autoriteti Kombëtar për Certifikimin Elektronik dhe Sigurinë Kibernetike</w:t>
      </w:r>
      <w:r w:rsidR="002C1734" w:rsidRPr="00913E39">
        <w:rPr>
          <w:rFonts w:ascii="Garamond" w:hAnsi="Garamond"/>
          <w:sz w:val="24"/>
        </w:rPr>
        <w:t>;</w:t>
      </w:r>
    </w:p>
    <w:p w14:paraId="204B70DC" w14:textId="36C7877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Ministria e Infrastrukturës dhe Energjisë</w:t>
      </w:r>
      <w:r w:rsidR="00BA0EA0" w:rsidRPr="00913E39">
        <w:rPr>
          <w:rFonts w:ascii="Garamond" w:hAnsi="Garamond"/>
          <w:sz w:val="24"/>
        </w:rPr>
        <w:t xml:space="preserve"> –</w:t>
      </w:r>
      <w:r w:rsidRPr="00913E39">
        <w:rPr>
          <w:rFonts w:ascii="Garamond" w:hAnsi="Garamond"/>
          <w:sz w:val="24"/>
        </w:rPr>
        <w:t xml:space="preserve"> Drejtoria</w:t>
      </w:r>
      <w:r w:rsidR="00BA0EA0" w:rsidRPr="00913E39">
        <w:rPr>
          <w:rFonts w:ascii="Garamond" w:hAnsi="Garamond"/>
          <w:sz w:val="24"/>
        </w:rPr>
        <w:t xml:space="preserve"> </w:t>
      </w:r>
      <w:r w:rsidRPr="00913E39">
        <w:rPr>
          <w:rFonts w:ascii="Garamond" w:hAnsi="Garamond"/>
          <w:sz w:val="24"/>
        </w:rPr>
        <w:t>e Politikave dhe Strategjive për Zhvillimin e Telekomunikacionit dhe Postës</w:t>
      </w:r>
      <w:r w:rsidR="002C1734" w:rsidRPr="00913E39">
        <w:rPr>
          <w:rFonts w:ascii="Garamond" w:hAnsi="Garamond"/>
          <w:sz w:val="24"/>
        </w:rPr>
        <w:t>;</w:t>
      </w:r>
    </w:p>
    <w:p w14:paraId="09356511" w14:textId="69D030E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Agjencia e Auditimit t</w:t>
      </w:r>
      <w:r w:rsidR="002C1734" w:rsidRPr="00913E39">
        <w:rPr>
          <w:rFonts w:ascii="Garamond" w:hAnsi="Garamond"/>
          <w:sz w:val="24"/>
        </w:rPr>
        <w:t>ë</w:t>
      </w:r>
      <w:r w:rsidRPr="00913E39">
        <w:rPr>
          <w:rFonts w:ascii="Garamond" w:hAnsi="Garamond"/>
          <w:sz w:val="24"/>
        </w:rPr>
        <w:t xml:space="preserve"> Programeve t</w:t>
      </w:r>
      <w:r w:rsidR="002C1734" w:rsidRPr="00913E39">
        <w:rPr>
          <w:rFonts w:ascii="Garamond" w:hAnsi="Garamond"/>
          <w:sz w:val="24"/>
        </w:rPr>
        <w:t>ë</w:t>
      </w:r>
      <w:r w:rsidRPr="00913E39">
        <w:rPr>
          <w:rFonts w:ascii="Garamond" w:hAnsi="Garamond"/>
          <w:sz w:val="24"/>
        </w:rPr>
        <w:t xml:space="preserve"> </w:t>
      </w:r>
      <w:r w:rsidR="00BA0EA0" w:rsidRPr="00913E39">
        <w:rPr>
          <w:rFonts w:ascii="Garamond" w:hAnsi="Garamond"/>
          <w:sz w:val="24"/>
        </w:rPr>
        <w:t>Asistencës</w:t>
      </w:r>
      <w:r w:rsidRPr="00913E39">
        <w:rPr>
          <w:rFonts w:ascii="Garamond" w:hAnsi="Garamond"/>
          <w:sz w:val="24"/>
        </w:rPr>
        <w:t xml:space="preserve"> s</w:t>
      </w:r>
      <w:r w:rsidR="00BA0EA0" w:rsidRPr="00913E39">
        <w:rPr>
          <w:rFonts w:ascii="Garamond" w:hAnsi="Garamond"/>
          <w:sz w:val="24"/>
        </w:rPr>
        <w:t>ë</w:t>
      </w:r>
      <w:r w:rsidRPr="00913E39">
        <w:rPr>
          <w:rFonts w:ascii="Garamond" w:hAnsi="Garamond"/>
          <w:sz w:val="24"/>
        </w:rPr>
        <w:t xml:space="preserve"> Akredituar nga Bashkimi Evropian</w:t>
      </w:r>
      <w:r w:rsidR="002C1734" w:rsidRPr="00913E39">
        <w:rPr>
          <w:rFonts w:ascii="Garamond" w:hAnsi="Garamond"/>
          <w:sz w:val="24"/>
        </w:rPr>
        <w:t>;</w:t>
      </w:r>
    </w:p>
    <w:p w14:paraId="6072F90B"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Të tjera të identifikuara gjatë zbatimit të Programit (nëse është e aplikueshme).</w:t>
      </w:r>
    </w:p>
    <w:p w14:paraId="35C8F9DB"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Produkti 7.2. Forcimi i kapaciteteve të partnerëve për të marrë pjesë aktive në zbatimin e PO-së</w:t>
      </w:r>
    </w:p>
    <w:p w14:paraId="7A261EBF" w14:textId="76DB71E5"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 xml:space="preserve">Forcimi i kapaciteteve të </w:t>
      </w:r>
      <w:r w:rsidR="00BA0EA0" w:rsidRPr="00913E39">
        <w:rPr>
          <w:rFonts w:ascii="Garamond" w:hAnsi="Garamond"/>
          <w:i/>
          <w:sz w:val="24"/>
        </w:rPr>
        <w:t>p</w:t>
      </w:r>
      <w:r w:rsidRPr="00913E39">
        <w:rPr>
          <w:rFonts w:ascii="Garamond" w:hAnsi="Garamond"/>
          <w:i/>
          <w:sz w:val="24"/>
        </w:rPr>
        <w:t>artnerëve.</w:t>
      </w:r>
      <w:r w:rsidRPr="00913E39">
        <w:rPr>
          <w:rFonts w:ascii="Garamond" w:hAnsi="Garamond"/>
          <w:sz w:val="24"/>
        </w:rPr>
        <w:t xml:space="preserve"> Partnerët do të përfshihen aktivisht në zbatimin e Programit nëpërmjet pjesëmarrjes së tyre në Komitetin e Monitorimit Sektorial dhe aktiviteteve të tjera si konsultimi mbi rezultatet e zbatimit të Programit, komunikimi dhe aktivitetet e vizibilitetit etj. Për të siguruar pjesëmarrjen aktive dhe efektive të </w:t>
      </w:r>
      <w:r w:rsidR="002C1734" w:rsidRPr="00913E39">
        <w:rPr>
          <w:rFonts w:ascii="Garamond" w:hAnsi="Garamond"/>
          <w:sz w:val="24"/>
        </w:rPr>
        <w:t>p</w:t>
      </w:r>
      <w:r w:rsidRPr="00913E39">
        <w:rPr>
          <w:rFonts w:ascii="Garamond" w:hAnsi="Garamond"/>
          <w:sz w:val="24"/>
        </w:rPr>
        <w:t>artnerëve do të zhvillohet dhe zbatohet një program trajnimi i personalizuar që mbulon të gjitha aspektet e zbatimit, monitorimit dhe vlerësimit të Programit.</w:t>
      </w:r>
    </w:p>
    <w:p w14:paraId="23767D93" w14:textId="2A78DAB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Metoda e ofrimit:</w:t>
      </w:r>
      <w:r w:rsidRPr="00913E39">
        <w:rPr>
          <w:rFonts w:ascii="Garamond" w:hAnsi="Garamond"/>
          <w:sz w:val="24"/>
        </w:rPr>
        <w:t xml:space="preserve"> </w:t>
      </w:r>
      <w:r w:rsidR="00BA0EA0" w:rsidRPr="00913E39">
        <w:rPr>
          <w:rFonts w:ascii="Garamond" w:hAnsi="Garamond"/>
          <w:sz w:val="24"/>
        </w:rPr>
        <w:t>p</w:t>
      </w:r>
      <w:r w:rsidRPr="00913E39">
        <w:rPr>
          <w:rFonts w:ascii="Garamond" w:hAnsi="Garamond"/>
          <w:sz w:val="24"/>
        </w:rPr>
        <w:t>roduktet në këtë fushë të mbështetjes do të arrihen kryesisht nëpërmjet prokurimeve të shërbimeve.</w:t>
      </w:r>
    </w:p>
    <w:p w14:paraId="13BC315E"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Përfituesit fundorë:</w:t>
      </w:r>
    </w:p>
    <w:p w14:paraId="35BEA922"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AM</w:t>
      </w:r>
    </w:p>
    <w:p w14:paraId="6E6B49DA"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Partnerët:</w:t>
      </w:r>
    </w:p>
    <w:p w14:paraId="24FD1B7F"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Autoritetet publike përkatëse përfshirë përfaqësuesit rajonal dhe kombëtar të autoriteteve lokale</w:t>
      </w:r>
    </w:p>
    <w:p w14:paraId="1D148ED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Autoritetet publike kombëtare përgjegjëse për zbatimin e parimeve horizontale</w:t>
      </w:r>
    </w:p>
    <w:p w14:paraId="38B77377"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Partnerët ekonomikë dhe socialë</w:t>
      </w:r>
    </w:p>
    <w:p w14:paraId="70D57505"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Organet përfaqësuese të shoqërisë civile</w:t>
      </w:r>
    </w:p>
    <w:p w14:paraId="47F72405" w14:textId="0CECF27E"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Produkt 7.3 Mbështetja e zbatimit efektiv të PO-së</w:t>
      </w:r>
    </w:p>
    <w:p w14:paraId="6F2DC089" w14:textId="5A0AB161"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 xml:space="preserve">Ofrimi i mbështetjes për zbatimin e programit për institucionet përgjegjëse për zbatimin e PO-së. </w:t>
      </w:r>
      <w:r w:rsidRPr="00913E39">
        <w:rPr>
          <w:rFonts w:ascii="Garamond" w:hAnsi="Garamond"/>
          <w:sz w:val="24"/>
        </w:rPr>
        <w:t>Ky aktivitet do të mbështesë AM</w:t>
      </w:r>
      <w:r w:rsidR="002C1734" w:rsidRPr="00913E39">
        <w:rPr>
          <w:rFonts w:ascii="Garamond" w:hAnsi="Garamond"/>
          <w:sz w:val="24"/>
        </w:rPr>
        <w:t>-në</w:t>
      </w:r>
      <w:r w:rsidRPr="00913E39">
        <w:rPr>
          <w:rFonts w:ascii="Garamond" w:hAnsi="Garamond"/>
          <w:sz w:val="24"/>
        </w:rPr>
        <w:t>, ONMP</w:t>
      </w:r>
      <w:r w:rsidR="002C1734" w:rsidRPr="00913E39">
        <w:rPr>
          <w:rFonts w:ascii="Garamond" w:hAnsi="Garamond"/>
          <w:sz w:val="24"/>
        </w:rPr>
        <w:t>-në</w:t>
      </w:r>
      <w:r w:rsidRPr="00913E39">
        <w:rPr>
          <w:rFonts w:ascii="Garamond" w:hAnsi="Garamond"/>
          <w:sz w:val="24"/>
        </w:rPr>
        <w:t xml:space="preserve"> dhe përfituesit në përgatitjen e dokumenteve të tenderave, në kryerjen e studimeve dhe analizave thelbësore për zbatimin e Programit, si dhe në hartimin dhe </w:t>
      </w:r>
      <w:r w:rsidRPr="00913E39">
        <w:rPr>
          <w:rFonts w:ascii="Garamond" w:hAnsi="Garamond"/>
          <w:sz w:val="24"/>
        </w:rPr>
        <w:lastRenderedPageBreak/>
        <w:t>zbatimin e aktiviteteve që lidhen me komunikimin dhe vizibilitetin e Programit, si përgatitja e materialeve promovuese, organizimi i eventeve për shpërndarjen e informacionit mbi rezultatet e Programit etj.</w:t>
      </w:r>
    </w:p>
    <w:p w14:paraId="4940371D" w14:textId="77777777"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Produkt 4. Zbatimi në mënyrë efektive i monitorimit dhe vlerësimit të PO-së</w:t>
      </w:r>
    </w:p>
    <w:p w14:paraId="3F8F2A61" w14:textId="15D3A452" w:rsidR="00847F23" w:rsidRPr="00913E39" w:rsidRDefault="00847F23" w:rsidP="00FC4C60">
      <w:pPr>
        <w:spacing w:after="0" w:line="240" w:lineRule="auto"/>
        <w:ind w:firstLine="284"/>
        <w:jc w:val="both"/>
        <w:rPr>
          <w:rFonts w:ascii="Garamond" w:hAnsi="Garamond"/>
          <w:sz w:val="24"/>
        </w:rPr>
      </w:pPr>
      <w:r w:rsidRPr="00913E39">
        <w:rPr>
          <w:rFonts w:ascii="Garamond" w:hAnsi="Garamond"/>
          <w:i/>
          <w:sz w:val="24"/>
        </w:rPr>
        <w:t xml:space="preserve">Mbështetje për monitorimin dhe vlerësimin e PO-së. </w:t>
      </w:r>
      <w:r w:rsidRPr="00913E39">
        <w:rPr>
          <w:rFonts w:ascii="Garamond" w:hAnsi="Garamond"/>
          <w:sz w:val="24"/>
        </w:rPr>
        <w:t>Aktiviteti do të mbështesë institucionet e përfshira në zbatimin e Programit në detyrat që lidhen me ngritjen e një sistemi monitorimi për Programin dhe mbledhjen dhe analizimin e të dhënave në lidhje me zbatimin e Programit, si dhe verifikimet e menaxhimit të produktit në zyrë dhe në vend. Aktiviteti përfshin gjithashtu përgatitjen e raportvlerësimit (vlerësimi afatmesëm) për fushat e mbështetjes të mbuluara nga Programi. Gjithashtu, AM</w:t>
      </w:r>
      <w:r w:rsidR="00650383" w:rsidRPr="00913E39">
        <w:rPr>
          <w:rFonts w:ascii="Garamond" w:hAnsi="Garamond"/>
          <w:sz w:val="24"/>
        </w:rPr>
        <w:t>-ja</w:t>
      </w:r>
      <w:r w:rsidRPr="00913E39">
        <w:rPr>
          <w:rFonts w:ascii="Garamond" w:hAnsi="Garamond"/>
          <w:sz w:val="24"/>
        </w:rPr>
        <w:t xml:space="preserve"> do të mbështetet në kryerjen e detyrave të Sekretariatit për Komitetin e Monitorimit Sektorial të Programit: krijimi i KMS-së, organizimi i takimeve të KMS-së (të paktën dy herë në vit), përgatitja e raporteve dhe dokumentacionit për KMS-në etj. </w:t>
      </w:r>
    </w:p>
    <w:p w14:paraId="725992B8"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Metoda e ofrimit:</w:t>
      </w:r>
      <w:r w:rsidRPr="00913E39">
        <w:rPr>
          <w:rFonts w:ascii="Garamond" w:hAnsi="Garamond"/>
          <w:sz w:val="24"/>
        </w:rPr>
        <w:t xml:space="preserve"> kontrata shërbimi</w:t>
      </w:r>
    </w:p>
    <w:p w14:paraId="715E819F"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Përfituesit fundorë:</w:t>
      </w:r>
      <w:r w:rsidRPr="00913E39">
        <w:rPr>
          <w:rFonts w:ascii="Garamond" w:hAnsi="Garamond"/>
          <w:sz w:val="24"/>
        </w:rPr>
        <w:t xml:space="preserve"> AM, ONMF, anëtarë të Komitetit Sektorial të Monitorimit</w:t>
      </w:r>
    </w:p>
    <w:p w14:paraId="519F9670"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b/>
          <w:sz w:val="24"/>
        </w:rPr>
        <w:t>Kushtet (për të gjitha aktivitetet)</w:t>
      </w:r>
    </w:p>
    <w:p w14:paraId="725B3341" w14:textId="28A24D0C"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Stafi adekuat i institucioneve të përfshira në zbatimin e PO</w:t>
      </w:r>
      <w:r w:rsidR="00650383" w:rsidRPr="00913E39">
        <w:rPr>
          <w:rFonts w:ascii="Garamond" w:hAnsi="Garamond"/>
          <w:sz w:val="24"/>
        </w:rPr>
        <w:t>-së</w:t>
      </w:r>
      <w:r w:rsidRPr="00913E39">
        <w:rPr>
          <w:rFonts w:ascii="Garamond" w:hAnsi="Garamond"/>
          <w:sz w:val="24"/>
        </w:rPr>
        <w:t xml:space="preserve"> duhet të sigurohet për një mjedis të qëndrueshëm pune.</w:t>
      </w:r>
    </w:p>
    <w:p w14:paraId="2FCA4C62" w14:textId="77777777" w:rsidR="00847F23" w:rsidRPr="00913E39" w:rsidRDefault="00847F23" w:rsidP="00FC4C60">
      <w:pPr>
        <w:spacing w:after="0" w:line="240" w:lineRule="auto"/>
        <w:ind w:firstLine="284"/>
        <w:jc w:val="both"/>
        <w:rPr>
          <w:rFonts w:ascii="Garamond" w:hAnsi="Garamond"/>
          <w:b/>
          <w:sz w:val="24"/>
        </w:rPr>
      </w:pPr>
      <w:r w:rsidRPr="00913E39">
        <w:rPr>
          <w:rFonts w:ascii="Garamond" w:hAnsi="Garamond"/>
          <w:b/>
          <w:sz w:val="24"/>
        </w:rPr>
        <w:t>Afati kohor indikativ për zbatimin (për të gjitha aktivitetet)</w:t>
      </w:r>
    </w:p>
    <w:p w14:paraId="7EE12A88"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Të gjitha aktivitetet do të zbatohen gjatë gjithë kohëzgjatjes së Programit, me përjashtim të atyre që kanë të bëjnë me vlerësimin, të cilat do të kryhen në vitin 2026 dhe 2032, kur do të përgatiten raportet e vlerësimit afatmesëm dhe përfundimtar.</w:t>
      </w:r>
    </w:p>
    <w:p w14:paraId="1F29A8EE" w14:textId="19217757" w:rsidR="00847F23" w:rsidRPr="00913E39" w:rsidRDefault="00B27420" w:rsidP="004F525C">
      <w:pPr>
        <w:keepNext/>
        <w:spacing w:after="0" w:line="240" w:lineRule="auto"/>
        <w:ind w:firstLine="284"/>
        <w:jc w:val="both"/>
        <w:outlineLvl w:val="0"/>
        <w:rPr>
          <w:rFonts w:ascii="Garamond" w:hAnsi="Garamond"/>
          <w:i/>
          <w:kern w:val="32"/>
          <w:sz w:val="24"/>
        </w:rPr>
      </w:pPr>
      <w:r w:rsidRPr="00913E39">
        <w:rPr>
          <w:rFonts w:ascii="Garamond" w:hAnsi="Garamond"/>
          <w:i/>
          <w:kern w:val="32"/>
          <w:sz w:val="24"/>
        </w:rPr>
        <w:t xml:space="preserve">4.2.3 </w:t>
      </w:r>
      <w:r w:rsidR="00847F23" w:rsidRPr="00913E39">
        <w:rPr>
          <w:rFonts w:ascii="Garamond" w:hAnsi="Garamond"/>
          <w:i/>
          <w:kern w:val="32"/>
          <w:sz w:val="24"/>
        </w:rPr>
        <w:t xml:space="preserve">Lista treguese e projekteve madhore për çdo fushë të mbështetjes </w:t>
      </w:r>
    </w:p>
    <w:p w14:paraId="1C428050" w14:textId="77777777"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E pazbatueshme</w:t>
      </w:r>
    </w:p>
    <w:p w14:paraId="3E414C56" w14:textId="77777777" w:rsidR="00847F23" w:rsidRPr="00913E39" w:rsidRDefault="00B27420" w:rsidP="004F525C">
      <w:pPr>
        <w:spacing w:after="0" w:line="240" w:lineRule="auto"/>
        <w:ind w:firstLine="284"/>
        <w:contextualSpacing/>
        <w:jc w:val="both"/>
        <w:rPr>
          <w:rFonts w:ascii="Garamond" w:hAnsi="Garamond"/>
          <w:i/>
          <w:sz w:val="24"/>
        </w:rPr>
      </w:pPr>
      <w:r w:rsidRPr="00913E39">
        <w:rPr>
          <w:rFonts w:ascii="Garamond" w:hAnsi="Garamond"/>
          <w:i/>
          <w:sz w:val="24"/>
        </w:rPr>
        <w:t xml:space="preserve">4.3 </w:t>
      </w:r>
      <w:r w:rsidR="00847F23" w:rsidRPr="00913E39">
        <w:rPr>
          <w:rFonts w:ascii="Garamond" w:hAnsi="Garamond"/>
          <w:i/>
          <w:sz w:val="24"/>
        </w:rPr>
        <w:t xml:space="preserve">Integrimi </w:t>
      </w:r>
    </w:p>
    <w:p w14:paraId="6A1A5FD3" w14:textId="29FAE49F" w:rsidR="00847F23" w:rsidRPr="00913E39" w:rsidRDefault="00B27420" w:rsidP="004F525C">
      <w:pPr>
        <w:spacing w:after="0" w:line="240" w:lineRule="auto"/>
        <w:ind w:firstLine="284"/>
        <w:contextualSpacing/>
        <w:jc w:val="both"/>
        <w:rPr>
          <w:rFonts w:ascii="Garamond" w:hAnsi="Garamond"/>
          <w:i/>
          <w:sz w:val="24"/>
        </w:rPr>
      </w:pPr>
      <w:r w:rsidRPr="00913E39">
        <w:rPr>
          <w:rFonts w:ascii="Garamond" w:hAnsi="Garamond"/>
          <w:i/>
          <w:sz w:val="24"/>
        </w:rPr>
        <w:t xml:space="preserve">4.3.1 </w:t>
      </w:r>
      <w:r w:rsidR="00847F23" w:rsidRPr="00913E39">
        <w:rPr>
          <w:rFonts w:ascii="Garamond" w:hAnsi="Garamond"/>
          <w:i/>
          <w:sz w:val="24"/>
        </w:rPr>
        <w:t xml:space="preserve">Mbrojtja e </w:t>
      </w:r>
      <w:r w:rsidR="003839B4" w:rsidRPr="00913E39">
        <w:rPr>
          <w:rFonts w:ascii="Garamond" w:hAnsi="Garamond"/>
          <w:i/>
          <w:sz w:val="24"/>
        </w:rPr>
        <w:t xml:space="preserve">mjedisit, ndryshimet klimatike dhe biodiversiteti </w:t>
      </w:r>
    </w:p>
    <w:p w14:paraId="10DB00AA" w14:textId="1EBDC37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Programi dhe të gjitha ndërhyrjet e tij në parim kanë ndikim të vogël në çështjet mjedisore, ndryshimet klimatike dhe biodiversitetin. Prandaj, Programi nuk është objekt i nenit 25.5 të </w:t>
      </w:r>
      <w:r w:rsidR="00283868" w:rsidRPr="00913E39">
        <w:rPr>
          <w:rFonts w:ascii="Garamond" w:hAnsi="Garamond"/>
          <w:sz w:val="24"/>
        </w:rPr>
        <w:t xml:space="preserve">rregullores </w:t>
      </w:r>
      <w:r w:rsidRPr="00913E39">
        <w:rPr>
          <w:rFonts w:ascii="Garamond" w:hAnsi="Garamond"/>
          <w:sz w:val="24"/>
        </w:rPr>
        <w:t>së NDICI</w:t>
      </w:r>
      <w:r w:rsidR="00283868" w:rsidRPr="00913E39">
        <w:rPr>
          <w:rFonts w:ascii="Garamond" w:hAnsi="Garamond"/>
          <w:sz w:val="24"/>
        </w:rPr>
        <w:t>-së</w:t>
      </w:r>
      <w:r w:rsidRPr="00913E39">
        <w:rPr>
          <w:rFonts w:ascii="Garamond" w:hAnsi="Garamond"/>
          <w:sz w:val="24"/>
        </w:rPr>
        <w:t xml:space="preserve">. Megjithatë, në program do të përfshihen konsideratat mjedisore. Projekte specifike do të hartohen për të përfshirë masa pozitive gjatë procesit të prokurimit duke përdorur kriteret e zbatueshme të prokurimit publik të gjelbër të BE-së përdata </w:t>
      </w:r>
      <w:r w:rsidRPr="00913E39">
        <w:rPr>
          <w:rFonts w:ascii="Garamond" w:hAnsi="Garamond"/>
          <w:i/>
          <w:sz w:val="24"/>
        </w:rPr>
        <w:t>centers server rooms</w:t>
      </w:r>
      <w:r w:rsidRPr="00913E39">
        <w:rPr>
          <w:rFonts w:ascii="Garamond" w:hAnsi="Garamond"/>
          <w:sz w:val="24"/>
        </w:rPr>
        <w:t xml:space="preserve"> dhe shërbimet </w:t>
      </w:r>
      <w:r w:rsidRPr="00913E39">
        <w:rPr>
          <w:rFonts w:ascii="Garamond" w:hAnsi="Garamond"/>
          <w:i/>
          <w:sz w:val="24"/>
        </w:rPr>
        <w:t>cloud</w:t>
      </w:r>
      <w:r w:rsidRPr="00913E39">
        <w:rPr>
          <w:rFonts w:ascii="Garamond" w:hAnsi="Garamond"/>
          <w:sz w:val="24"/>
        </w:rPr>
        <w:t xml:space="preserve">, si dhe kompjuterët, monitorët, tabletët dhe telefonat </w:t>
      </w:r>
      <w:r w:rsidRPr="00913E39">
        <w:rPr>
          <w:rFonts w:ascii="Garamond" w:hAnsi="Garamond"/>
          <w:i/>
          <w:sz w:val="24"/>
        </w:rPr>
        <w:t>smart</w:t>
      </w:r>
      <w:r w:rsidRPr="00913E39">
        <w:rPr>
          <w:rFonts w:ascii="Garamond" w:hAnsi="Garamond"/>
          <w:sz w:val="24"/>
        </w:rPr>
        <w:t xml:space="preserve">. </w:t>
      </w:r>
      <w:bookmarkStart w:id="50" w:name="_Hlk149128246"/>
      <w:r w:rsidRPr="00913E39">
        <w:rPr>
          <w:rFonts w:ascii="Garamond" w:hAnsi="Garamond"/>
          <w:sz w:val="24"/>
        </w:rPr>
        <w:t xml:space="preserve">Për çdo fushë dhe nënfushë përkatëse të mbështetjes në program do të kryhet një VNM dhe nëse është e nevojshme, do të financohet duke përdorur burimet financiare të parashikuara në fushën e mbështetjes </w:t>
      </w:r>
      <w:r w:rsidR="00850FC7" w:rsidRPr="00913E39">
        <w:rPr>
          <w:rFonts w:ascii="Garamond" w:eastAsia="Times New Roman" w:hAnsi="Garamond" w:cs="Times New Roman"/>
          <w:sz w:val="24"/>
          <w:szCs w:val="24"/>
        </w:rPr>
        <w:t>“</w:t>
      </w:r>
      <w:r w:rsidRPr="00913E39">
        <w:rPr>
          <w:rFonts w:ascii="Garamond" w:hAnsi="Garamond"/>
          <w:sz w:val="24"/>
        </w:rPr>
        <w:t>Asistencë teknike</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w:t>
      </w:r>
      <w:bookmarkEnd w:id="50"/>
    </w:p>
    <w:p w14:paraId="3CB53986" w14:textId="3D4DC7F0"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Projektet duhet të hartohen në mënyrë të qëndrueshme dhe miqësore me mjedisin. Ato duhet të tregojnë kontributin e tyre në objektivat mjedisor</w:t>
      </w:r>
      <w:r w:rsidR="00716CDE" w:rsidRPr="00913E39">
        <w:rPr>
          <w:rFonts w:ascii="Garamond" w:hAnsi="Garamond"/>
          <w:sz w:val="24"/>
        </w:rPr>
        <w:t>ë</w:t>
      </w:r>
      <w:r w:rsidRPr="00913E39">
        <w:rPr>
          <w:rFonts w:ascii="Garamond" w:hAnsi="Garamond"/>
          <w:sz w:val="24"/>
        </w:rPr>
        <w:t xml:space="preserve"> dhe klimatik</w:t>
      </w:r>
      <w:r w:rsidR="00716CDE" w:rsidRPr="00913E39">
        <w:rPr>
          <w:rFonts w:ascii="Garamond" w:hAnsi="Garamond"/>
          <w:sz w:val="24"/>
        </w:rPr>
        <w:t>ë</w:t>
      </w:r>
      <w:r w:rsidRPr="00913E39">
        <w:rPr>
          <w:rFonts w:ascii="Garamond" w:hAnsi="Garamond"/>
          <w:sz w:val="24"/>
        </w:rPr>
        <w:t>, skemat e menaxhimit të mbetjeve elektronike me parime të integruara qarkulluese, masat e efic</w:t>
      </w:r>
      <w:r w:rsidR="003839B4" w:rsidRPr="00913E39">
        <w:rPr>
          <w:rFonts w:ascii="Garamond" w:hAnsi="Garamond"/>
          <w:sz w:val="24"/>
        </w:rPr>
        <w:t>i</w:t>
      </w:r>
      <w:r w:rsidRPr="00913E39">
        <w:rPr>
          <w:rFonts w:ascii="Garamond" w:hAnsi="Garamond"/>
          <w:sz w:val="24"/>
        </w:rPr>
        <w:t>encës së energjisë, masat e zgjidhjeve të bazuara në natyrë kur është e nevojshme etj.</w:t>
      </w:r>
      <w:r w:rsidR="00716CDE" w:rsidRPr="00913E39">
        <w:rPr>
          <w:rFonts w:ascii="Garamond" w:hAnsi="Garamond"/>
          <w:sz w:val="24"/>
        </w:rPr>
        <w:t>,</w:t>
      </w:r>
      <w:r w:rsidRPr="00913E39">
        <w:rPr>
          <w:rFonts w:ascii="Garamond" w:hAnsi="Garamond"/>
          <w:sz w:val="24"/>
        </w:rPr>
        <w:t xml:space="preserve"> sipas grupit të kritereve mjedisore dhe klimatike që do të zhvillohen nga Autoriteti Menaxhues. </w:t>
      </w:r>
    </w:p>
    <w:p w14:paraId="0F6C9343" w14:textId="59BCBB4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Aty ku është e mundur, do të vendosen kritere gjithëpërfshirëse mjedisore dhe klimatike që marrin parasysh më shumë aspekte ose nivele më të larta të performancës mjedisore. Kriteret e prokurimit publik të gjelbër që duhet të merren parasysh rast pas rasti përfshijnë kriteret e përzgjedhjes, specifikimet teknike, kriteret e shpalljes së kontratës fituese dhe klauzolat e kontratës. Përveç kësaj, përfituesit e projektit dhe përfituesit fundorë do të informohen për përdorimin e qëndrueshëm të pajisjeve të blera, veçanërisht në lidhje me konsumin e energjisë dhe menaxhimin përfundimtar. Prioritet do t</w:t>
      </w:r>
      <w:r w:rsidR="005222A5" w:rsidRPr="00913E39">
        <w:rPr>
          <w:rFonts w:ascii="Garamond" w:hAnsi="Garamond"/>
          <w:sz w:val="24"/>
        </w:rPr>
        <w:t>’</w:t>
      </w:r>
      <w:r w:rsidRPr="00913E39">
        <w:rPr>
          <w:rFonts w:ascii="Garamond" w:hAnsi="Garamond"/>
          <w:sz w:val="24"/>
        </w:rPr>
        <w:t>u jepen shpenzimeve nga fillimi në fund. Angazhimi me palët e interesuara përfshirë komunitetet lokale, ekspertët mjedisorë dhe organet rregullatore, do të sigurojë transparencë dhe llogaridhënie gjatë gjithë zbatim</w:t>
      </w:r>
      <w:r w:rsidR="003839B4" w:rsidRPr="00913E39">
        <w:rPr>
          <w:rFonts w:ascii="Garamond" w:hAnsi="Garamond"/>
          <w:sz w:val="24"/>
        </w:rPr>
        <w:t>i</w:t>
      </w:r>
      <w:r w:rsidRPr="00913E39">
        <w:rPr>
          <w:rFonts w:ascii="Garamond" w:hAnsi="Garamond"/>
          <w:sz w:val="24"/>
        </w:rPr>
        <w:t>t të projektit.</w:t>
      </w:r>
    </w:p>
    <w:p w14:paraId="535A330D" w14:textId="77777777" w:rsidR="00847F23" w:rsidRPr="00913E39" w:rsidRDefault="00B27420" w:rsidP="00FC4C60">
      <w:pPr>
        <w:spacing w:after="0" w:line="240" w:lineRule="auto"/>
        <w:ind w:firstLine="284"/>
        <w:rPr>
          <w:rFonts w:ascii="Garamond" w:hAnsi="Garamond"/>
          <w:i/>
          <w:sz w:val="24"/>
        </w:rPr>
      </w:pPr>
      <w:r w:rsidRPr="00913E39">
        <w:rPr>
          <w:rFonts w:ascii="Garamond" w:hAnsi="Garamond"/>
          <w:i/>
          <w:sz w:val="24"/>
        </w:rPr>
        <w:t xml:space="preserve">4.3.2 </w:t>
      </w:r>
      <w:r w:rsidR="00847F23" w:rsidRPr="00913E39">
        <w:rPr>
          <w:rFonts w:ascii="Garamond" w:hAnsi="Garamond"/>
          <w:i/>
          <w:sz w:val="24"/>
        </w:rPr>
        <w:t xml:space="preserve">Barazia gjinore dhe fuqizimi i grave dhe vajzave </w:t>
      </w:r>
    </w:p>
    <w:p w14:paraId="46655F07" w14:textId="2770AFE2"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Gjatë zbatimit të Programit do të sigurohet integrimi i barazisë gjinore. Në përgjithësi, Programi do të ketë një efekt indirekt pozitiv sa i përket barazisë gjinore. Krijimi i Regjistrit Elektronik të Pacientëve do të ketë rezultate pozitive për pacientet gra dhe vajza, pasi mund të reduktojë barrierat e kujdesit ballë për ballë që gratë mbartin më shumë se burrat: kujdesi për fëmijët, punët e shtëpisë, </w:t>
      </w:r>
      <w:r w:rsidRPr="00913E39">
        <w:rPr>
          <w:rFonts w:ascii="Garamond" w:hAnsi="Garamond"/>
          <w:sz w:val="24"/>
        </w:rPr>
        <w:lastRenderedPageBreak/>
        <w:t xml:space="preserve">financat e pamjaftueshme dhe koha. Shëndetësia </w:t>
      </w:r>
      <w:r w:rsidR="003839B4" w:rsidRPr="00913E39">
        <w:rPr>
          <w:rFonts w:ascii="Garamond" w:hAnsi="Garamond"/>
          <w:sz w:val="24"/>
        </w:rPr>
        <w:t>d</w:t>
      </w:r>
      <w:r w:rsidRPr="00913E39">
        <w:rPr>
          <w:rFonts w:ascii="Garamond" w:hAnsi="Garamond"/>
          <w:sz w:val="24"/>
        </w:rPr>
        <w:t>igjitale mund t</w:t>
      </w:r>
      <w:r w:rsidR="005222A5" w:rsidRPr="00913E39">
        <w:rPr>
          <w:rFonts w:ascii="Garamond" w:hAnsi="Garamond"/>
          <w:sz w:val="24"/>
        </w:rPr>
        <w:t>’</w:t>
      </w:r>
      <w:r w:rsidRPr="00913E39">
        <w:rPr>
          <w:rFonts w:ascii="Garamond" w:hAnsi="Garamond"/>
          <w:sz w:val="24"/>
        </w:rPr>
        <w:t>i emancipojë gratë nëpërmjet aksesit në të dhënat e tyre shëndetësore dhe informacione të përditësuara shëndetësore. Për sa i përket arsimit, përmirësimet dhe trajnimet e kurrikulave do të ndihmojnë gjithashtu në kapërcimin e ndarjes digjitale gjinore.</w:t>
      </w:r>
    </w:p>
    <w:p w14:paraId="39FB5933" w14:textId="31ABB2A8"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Organet e përfshira në shtrirjen e Programit do të ndërmarrin masat përkatëse për të siguruar që perspektiva gjinore të merret parasysh gjatë zbatimit, monitorimit dhe vlerësimit të Programit. Shkalla e pjesëmarrjes do të monitorohet dhe raportohet, sipas rastit; të dhënat e ndara sipas gjinisë do të mblidhen aty ku është e mundur. Në fund, sa </w:t>
      </w:r>
      <w:r w:rsidR="00E93B9B" w:rsidRPr="00913E39">
        <w:rPr>
          <w:rFonts w:ascii="Garamond" w:hAnsi="Garamond"/>
          <w:sz w:val="24"/>
        </w:rPr>
        <w:t>u</w:t>
      </w:r>
      <w:r w:rsidRPr="00913E39">
        <w:rPr>
          <w:rFonts w:ascii="Garamond" w:hAnsi="Garamond"/>
          <w:sz w:val="24"/>
        </w:rPr>
        <w:t xml:space="preserve"> përket aktiviteteve të komunikimit dhe ndërgjegjësimit, vëmendje e veçantë do t</w:t>
      </w:r>
      <w:r w:rsidR="005222A5" w:rsidRPr="00913E39">
        <w:rPr>
          <w:rFonts w:ascii="Garamond" w:hAnsi="Garamond"/>
          <w:sz w:val="24"/>
        </w:rPr>
        <w:t>’</w:t>
      </w:r>
      <w:r w:rsidRPr="00913E39">
        <w:rPr>
          <w:rFonts w:ascii="Garamond" w:hAnsi="Garamond"/>
          <w:sz w:val="24"/>
        </w:rPr>
        <w:t>i kushtohet promovimit të perspektivës dhe zërit të grave dhe ofrimit të modeleve pozitive.</w:t>
      </w:r>
    </w:p>
    <w:p w14:paraId="7A99C234" w14:textId="22EDAE58" w:rsidR="00847F23" w:rsidRPr="00913E39" w:rsidRDefault="00847F23" w:rsidP="00FC4C60">
      <w:pPr>
        <w:spacing w:after="0" w:line="240" w:lineRule="auto"/>
        <w:ind w:firstLine="284"/>
        <w:rPr>
          <w:rFonts w:ascii="Garamond" w:hAnsi="Garamond"/>
          <w:i/>
          <w:sz w:val="24"/>
        </w:rPr>
      </w:pPr>
      <w:r w:rsidRPr="00913E39">
        <w:rPr>
          <w:rFonts w:ascii="Garamond" w:hAnsi="Garamond"/>
          <w:i/>
          <w:sz w:val="24"/>
        </w:rPr>
        <w:t>4.3.3</w:t>
      </w:r>
      <w:r w:rsidR="00693B1A" w:rsidRPr="00913E39">
        <w:rPr>
          <w:rFonts w:ascii="Garamond" w:hAnsi="Garamond"/>
          <w:i/>
          <w:sz w:val="24"/>
        </w:rPr>
        <w:t xml:space="preserve"> </w:t>
      </w:r>
      <w:r w:rsidRPr="00913E39">
        <w:rPr>
          <w:rFonts w:ascii="Garamond" w:hAnsi="Garamond"/>
          <w:i/>
          <w:sz w:val="24"/>
        </w:rPr>
        <w:t>Të drejtat e njeriut</w:t>
      </w:r>
    </w:p>
    <w:p w14:paraId="77BC4C6F" w14:textId="4C4B1B8D"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Programi do të promovojë përmbajtje lidhur me të drejtat e njeriut që janë në </w:t>
      </w:r>
      <w:r w:rsidR="003839B4" w:rsidRPr="00913E39">
        <w:rPr>
          <w:rFonts w:ascii="Garamond" w:hAnsi="Garamond"/>
          <w:sz w:val="24"/>
        </w:rPr>
        <w:t>përputhje</w:t>
      </w:r>
      <w:r w:rsidRPr="00913E39">
        <w:rPr>
          <w:rFonts w:ascii="Garamond" w:hAnsi="Garamond"/>
          <w:sz w:val="24"/>
        </w:rPr>
        <w:t xml:space="preserve"> me të gjitha operacionet, duke siguruar aksesueshmëri pa diskriminim të çdo lloji dhe duke adresuar hendekun digjital që ndikon te minoritetet, grupet e vulnerabël dhe të pafavorizuar. Hendeku digjital vetë është një çështje e të drejtave të njeriut; Asambleja e Përgjithshme e Kombeve të Bashkuara shpalli aksesin në </w:t>
      </w:r>
      <w:r w:rsidR="00076265" w:rsidRPr="00913E39">
        <w:rPr>
          <w:rFonts w:ascii="Garamond" w:hAnsi="Garamond"/>
          <w:sz w:val="24"/>
        </w:rPr>
        <w:t>i</w:t>
      </w:r>
      <w:r w:rsidRPr="00913E39">
        <w:rPr>
          <w:rFonts w:ascii="Garamond" w:hAnsi="Garamond"/>
          <w:sz w:val="24"/>
        </w:rPr>
        <w:t>nternet si një të drejtë themelore të njeriut në vitin 2016. Ndërhyrja për të siguruar lidhje më të shpejta do të ndihmojë në avancimin e përfshirjes sociale të komuniteteve me të ardhura të ulëta, rurale dhe të margjinalizuara dhe të pakicave rome dhe egjiptiane. Programi do të ketë gjithashtu një efekt pozitiv në sigurimin e aksesit më të mirë dhe më të drejtë në kujdes shëndetësor cilësor, arsim dhe siguri (në hapësirën kibernetike). Si një shembull, regjistrat shëndetësor</w:t>
      </w:r>
      <w:r w:rsidR="00F955DF" w:rsidRPr="00913E39">
        <w:rPr>
          <w:rFonts w:ascii="Garamond" w:hAnsi="Garamond"/>
          <w:sz w:val="24"/>
          <w:shd w:val="clear" w:color="auto" w:fill="FFFFFF"/>
        </w:rPr>
        <w:t>ë</w:t>
      </w:r>
      <w:r w:rsidRPr="00913E39">
        <w:rPr>
          <w:rFonts w:ascii="Garamond" w:hAnsi="Garamond"/>
          <w:sz w:val="24"/>
        </w:rPr>
        <w:t xml:space="preserve"> elektronik</w:t>
      </w:r>
      <w:r w:rsidR="00F955DF" w:rsidRPr="00913E39">
        <w:rPr>
          <w:rFonts w:ascii="Garamond" w:hAnsi="Garamond"/>
          <w:sz w:val="24"/>
          <w:shd w:val="clear" w:color="auto" w:fill="FFFFFF"/>
        </w:rPr>
        <w:t>ë</w:t>
      </w:r>
      <w:r w:rsidRPr="00913E39">
        <w:rPr>
          <w:rFonts w:ascii="Garamond" w:hAnsi="Garamond"/>
          <w:sz w:val="24"/>
        </w:rPr>
        <w:t xml:space="preserve"> janë një instrument barazie për personat LGBT+. E drejta për privatësi do të shihet </w:t>
      </w:r>
      <w:r w:rsidR="003839B4" w:rsidRPr="00913E39">
        <w:rPr>
          <w:rFonts w:ascii="Garamond" w:hAnsi="Garamond"/>
          <w:sz w:val="24"/>
        </w:rPr>
        <w:t xml:space="preserve">nënfushën e mbështetjes </w:t>
      </w:r>
      <w:r w:rsidRPr="00913E39">
        <w:rPr>
          <w:rFonts w:ascii="Garamond" w:hAnsi="Garamond"/>
          <w:sz w:val="24"/>
        </w:rPr>
        <w:t xml:space="preserve">1. </w:t>
      </w:r>
    </w:p>
    <w:p w14:paraId="0DCD2ECC" w14:textId="0675979F" w:rsidR="00847F23" w:rsidRPr="00913E39" w:rsidRDefault="00847F23" w:rsidP="00FC4C60">
      <w:pPr>
        <w:spacing w:after="0" w:line="240" w:lineRule="auto"/>
        <w:ind w:firstLine="284"/>
        <w:rPr>
          <w:rFonts w:ascii="Garamond" w:hAnsi="Garamond"/>
          <w:i/>
          <w:sz w:val="24"/>
        </w:rPr>
      </w:pPr>
      <w:r w:rsidRPr="00913E39">
        <w:rPr>
          <w:rFonts w:ascii="Garamond" w:hAnsi="Garamond"/>
          <w:i/>
          <w:sz w:val="24"/>
        </w:rPr>
        <w:t>4.3.4</w:t>
      </w:r>
      <w:r w:rsidR="00693B1A" w:rsidRPr="00913E39">
        <w:rPr>
          <w:rFonts w:ascii="Garamond" w:hAnsi="Garamond"/>
          <w:i/>
          <w:sz w:val="24"/>
        </w:rPr>
        <w:t xml:space="preserve"> </w:t>
      </w:r>
      <w:r w:rsidRPr="00913E39">
        <w:rPr>
          <w:rFonts w:ascii="Garamond" w:hAnsi="Garamond"/>
          <w:i/>
          <w:sz w:val="24"/>
        </w:rPr>
        <w:t xml:space="preserve">Aftësia e kufizuar </w:t>
      </w:r>
    </w:p>
    <w:p w14:paraId="1388EDF4" w14:textId="5277FE7E"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Programi do të ketë një ndikim pozitiv </w:t>
      </w:r>
      <w:r w:rsidR="00C645AF" w:rsidRPr="00913E39">
        <w:rPr>
          <w:rFonts w:ascii="Garamond" w:hAnsi="Garamond"/>
          <w:sz w:val="24"/>
        </w:rPr>
        <w:t>për personat me aftësi ndryshe</w:t>
      </w:r>
      <w:r w:rsidRPr="00913E39">
        <w:rPr>
          <w:rFonts w:ascii="Garamond" w:hAnsi="Garamond"/>
          <w:sz w:val="24"/>
        </w:rPr>
        <w:t xml:space="preserve">. Personat me </w:t>
      </w:r>
      <w:r w:rsidR="00C645AF" w:rsidRPr="00913E39">
        <w:rPr>
          <w:rFonts w:ascii="Garamond" w:hAnsi="Garamond"/>
          <w:sz w:val="24"/>
        </w:rPr>
        <w:t xml:space="preserve">aftësi ndryshe </w:t>
      </w:r>
      <w:r w:rsidRPr="00913E39">
        <w:rPr>
          <w:rFonts w:ascii="Garamond" w:hAnsi="Garamond"/>
          <w:sz w:val="24"/>
        </w:rPr>
        <w:t xml:space="preserve">përballen me pengesa të konsiderueshme për qasjen në internet dhe kjo nevojë për marrjen e shërbimeve </w:t>
      </w:r>
      <w:r w:rsidRPr="00913E39">
        <w:rPr>
          <w:rFonts w:ascii="Garamond" w:hAnsi="Garamond"/>
          <w:i/>
          <w:sz w:val="24"/>
        </w:rPr>
        <w:t>online</w:t>
      </w:r>
      <w:r w:rsidRPr="00913E39">
        <w:rPr>
          <w:rFonts w:ascii="Garamond" w:hAnsi="Garamond"/>
          <w:sz w:val="24"/>
        </w:rPr>
        <w:t xml:space="preserve">, është </w:t>
      </w:r>
      <w:r w:rsidR="003839B4" w:rsidRPr="00913E39">
        <w:rPr>
          <w:rFonts w:ascii="Garamond" w:hAnsi="Garamond"/>
          <w:sz w:val="24"/>
        </w:rPr>
        <w:t>veçanërisht</w:t>
      </w:r>
      <w:r w:rsidRPr="00913E39">
        <w:rPr>
          <w:rFonts w:ascii="Garamond" w:hAnsi="Garamond"/>
          <w:sz w:val="24"/>
        </w:rPr>
        <w:t xml:space="preserve"> e lartë mes kët</w:t>
      </w:r>
      <w:r w:rsidR="003839B4" w:rsidRPr="00913E39">
        <w:rPr>
          <w:rFonts w:ascii="Garamond" w:hAnsi="Garamond"/>
          <w:sz w:val="24"/>
        </w:rPr>
        <w:t>y</w:t>
      </w:r>
      <w:r w:rsidRPr="00913E39">
        <w:rPr>
          <w:rFonts w:ascii="Garamond" w:hAnsi="Garamond"/>
          <w:sz w:val="24"/>
        </w:rPr>
        <w:t>re personave. Parimi i aksesueshmërisë digjitale do të respektohet nëpërmjet përdorimit të standardeve WCAG dhe pajtueshmërisë me</w:t>
      </w:r>
      <w:r w:rsidR="00B0033A" w:rsidRPr="00913E39">
        <w:rPr>
          <w:rFonts w:ascii="Garamond" w:hAnsi="Garamond"/>
          <w:sz w:val="24"/>
        </w:rPr>
        <w:t xml:space="preserve"> direktiv</w:t>
      </w:r>
      <w:r w:rsidRPr="00913E39">
        <w:rPr>
          <w:rFonts w:ascii="Garamond" w:hAnsi="Garamond"/>
          <w:sz w:val="24"/>
        </w:rPr>
        <w:t>ën (BE) 2019/882 mbi kërkesat e aksesueshmërisë për produktet dhe shërbimet, duke zbatuar logjikën digjitale të aksesueshme. Të dhënat elektronike të shëndetit do të kenë një ndikim pozitiv në kujdesin shëndetësor për personat me aftësi të kufizuar, duke përmirësuar rezultatet e tyre të trajtimit dhe aksesin në shërbime cilësore. Aksesueshmëria do të merret parasysh gjatë zbatimit të Programit; për shembull, seancat e komunikimit dhe informimit do të mbahen në vende që janë mjaftueshëm të aksesueshme për personat me aftësi të kufizuar.</w:t>
      </w:r>
    </w:p>
    <w:p w14:paraId="071D52B5" w14:textId="6846568C" w:rsidR="00847F23" w:rsidRPr="00913E39" w:rsidRDefault="00847F23" w:rsidP="004F525C">
      <w:pPr>
        <w:spacing w:after="0" w:line="240" w:lineRule="auto"/>
        <w:ind w:firstLine="284"/>
        <w:jc w:val="both"/>
        <w:rPr>
          <w:rFonts w:ascii="Garamond" w:hAnsi="Garamond"/>
          <w:i/>
          <w:sz w:val="24"/>
        </w:rPr>
      </w:pPr>
      <w:r w:rsidRPr="00913E39">
        <w:rPr>
          <w:rFonts w:ascii="Garamond" w:hAnsi="Garamond"/>
          <w:i/>
          <w:sz w:val="24"/>
        </w:rPr>
        <w:t>4.3.5</w:t>
      </w:r>
      <w:r w:rsidR="00693B1A" w:rsidRPr="00913E39">
        <w:rPr>
          <w:rFonts w:ascii="Garamond" w:hAnsi="Garamond"/>
          <w:i/>
          <w:sz w:val="24"/>
        </w:rPr>
        <w:t xml:space="preserve"> </w:t>
      </w:r>
      <w:r w:rsidRPr="00913E39">
        <w:rPr>
          <w:rFonts w:ascii="Garamond" w:hAnsi="Garamond"/>
          <w:i/>
          <w:sz w:val="24"/>
        </w:rPr>
        <w:t xml:space="preserve">Reduktimi i </w:t>
      </w:r>
      <w:r w:rsidR="003839B4" w:rsidRPr="00913E39">
        <w:rPr>
          <w:rFonts w:ascii="Garamond" w:hAnsi="Garamond"/>
          <w:i/>
          <w:sz w:val="24"/>
        </w:rPr>
        <w:t>riskut nga fatkeqësitë natyrore</w:t>
      </w:r>
    </w:p>
    <w:p w14:paraId="0AFA8B8D" w14:textId="68A0A132"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 xml:space="preserve">Programi nuk synon të adresojë apo të zbusë pasojat e fatkeqësive natyrore. Prandaj, nuk do të ketë ndikim të drejtpërdrejtë në uljen e riskut nga fatkeqësitë. Megjithatë, duke qenë se disa masa lidhen automatikisht me përpunimin (dhe mbrojtjen e) të të dhënave elektronike, informacionit dhe regjistrimeve, Programi do të përmirësojë aftësinë e Shqipërisë për të siguruar akses më të sigurt në informacionin dhe të dhënat personale për të gjithë individët dhe subjektet publike. Të gjitha të dhënat do të ruhen si </w:t>
      </w:r>
      <w:r w:rsidRPr="00913E39">
        <w:rPr>
          <w:rFonts w:ascii="Garamond" w:hAnsi="Garamond"/>
          <w:i/>
          <w:sz w:val="24"/>
        </w:rPr>
        <w:t>back-up</w:t>
      </w:r>
      <w:r w:rsidRPr="00913E39">
        <w:rPr>
          <w:rFonts w:ascii="Garamond" w:hAnsi="Garamond"/>
          <w:sz w:val="24"/>
        </w:rPr>
        <w:t xml:space="preserve"> në një vendndodhje </w:t>
      </w:r>
      <w:r w:rsidRPr="00913E39">
        <w:rPr>
          <w:rFonts w:ascii="Garamond" w:hAnsi="Garamond"/>
          <w:i/>
          <w:sz w:val="24"/>
        </w:rPr>
        <w:t>off-site</w:t>
      </w:r>
      <w:r w:rsidRPr="00913E39">
        <w:rPr>
          <w:rFonts w:ascii="Garamond" w:hAnsi="Garamond"/>
          <w:sz w:val="24"/>
        </w:rPr>
        <w:t xml:space="preserve"> për të siguruar vazhdimësinë e punës (nëse </w:t>
      </w:r>
      <w:r w:rsidR="00B0033A" w:rsidRPr="00913E39">
        <w:rPr>
          <w:rFonts w:ascii="Garamond" w:hAnsi="Garamond"/>
          <w:sz w:val="24"/>
        </w:rPr>
        <w:t>kompjuterët</w:t>
      </w:r>
      <w:r w:rsidRPr="00913E39">
        <w:rPr>
          <w:rFonts w:ascii="Garamond" w:hAnsi="Garamond"/>
          <w:sz w:val="24"/>
        </w:rPr>
        <w:t xml:space="preserve"> ose </w:t>
      </w:r>
      <w:r w:rsidR="00B0033A" w:rsidRPr="00913E39">
        <w:rPr>
          <w:rFonts w:ascii="Garamond" w:hAnsi="Garamond"/>
          <w:sz w:val="24"/>
        </w:rPr>
        <w:t>serverët</w:t>
      </w:r>
      <w:r w:rsidRPr="00913E39">
        <w:rPr>
          <w:rFonts w:ascii="Garamond" w:hAnsi="Garamond"/>
          <w:sz w:val="24"/>
        </w:rPr>
        <w:t xml:space="preserve"> dëmtohen për shkak të një fatkeqësie natyrore, dëmtimit të pajisjeve ose sulmit kibernetik, të dhënat e humbura do të duhet të restaurohen nga një vend i dytë ku ato janë ruajtur). Shqipëria ka përjetuar tashmë sulme kibernetike nga burime të ndryshme dhe masat përkatëse do të merren parasysh gjatë zbatimit të Programit Operacional.</w:t>
      </w:r>
    </w:p>
    <w:p w14:paraId="48C850A0" w14:textId="77777777" w:rsidR="00847F23" w:rsidRPr="00913E39" w:rsidRDefault="00421586" w:rsidP="004F525C">
      <w:pPr>
        <w:spacing w:after="0" w:line="240" w:lineRule="auto"/>
        <w:ind w:firstLine="284"/>
        <w:contextualSpacing/>
        <w:jc w:val="both"/>
        <w:rPr>
          <w:rFonts w:ascii="Garamond" w:hAnsi="Garamond"/>
          <w:i/>
          <w:sz w:val="24"/>
        </w:rPr>
      </w:pPr>
      <w:r w:rsidRPr="00913E39">
        <w:rPr>
          <w:rFonts w:ascii="Garamond" w:hAnsi="Garamond"/>
          <w:i/>
          <w:sz w:val="24"/>
        </w:rPr>
        <w:t xml:space="preserve">4.4 </w:t>
      </w:r>
      <w:r w:rsidR="00847F23" w:rsidRPr="00913E39">
        <w:rPr>
          <w:rFonts w:ascii="Garamond" w:hAnsi="Garamond"/>
          <w:i/>
          <w:sz w:val="24"/>
        </w:rPr>
        <w:t xml:space="preserve">Risqe dhe supozime </w:t>
      </w:r>
    </w:p>
    <w:p w14:paraId="47C9F100" w14:textId="77777777"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Shqipëria ka pak përvoja në menaxhimin indirekt të fondeve të BE-së. Shumica e pasigurive në lidhje me risqet dhe supozimet janë të lidhura me këtë faktor.</w:t>
      </w:r>
    </w:p>
    <w:p w14:paraId="1CCADDC9" w14:textId="2743F32D"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 xml:space="preserve">4.4.1 Risqet e identifikuara nën </w:t>
      </w:r>
      <w:r w:rsidR="003839B4" w:rsidRPr="00913E39">
        <w:rPr>
          <w:rFonts w:ascii="Garamond" w:hAnsi="Garamond"/>
          <w:i/>
          <w:sz w:val="24"/>
        </w:rPr>
        <w:t xml:space="preserve">nënfushën e mbështetjes </w:t>
      </w:r>
      <w:r w:rsidRPr="00913E39">
        <w:rPr>
          <w:rFonts w:ascii="Garamond" w:hAnsi="Garamond"/>
          <w:i/>
          <w:sz w:val="24"/>
        </w:rPr>
        <w:t>1.1: Shëndeti digjitale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0"/>
        <w:gridCol w:w="2501"/>
        <w:gridCol w:w="1163"/>
        <w:gridCol w:w="867"/>
        <w:gridCol w:w="3353"/>
      </w:tblGrid>
      <w:tr w:rsidR="00847F23" w:rsidRPr="00913E39" w14:paraId="25619B75" w14:textId="77777777" w:rsidTr="004F525C">
        <w:trPr>
          <w:trHeight w:val="20"/>
          <w:tblHeader/>
        </w:trPr>
        <w:tc>
          <w:tcPr>
            <w:tcW w:w="0" w:type="auto"/>
            <w:shd w:val="clear" w:color="auto" w:fill="auto"/>
            <w:vAlign w:val="center"/>
          </w:tcPr>
          <w:p w14:paraId="2DAB2AB5"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Kategoria</w:t>
            </w:r>
          </w:p>
        </w:tc>
        <w:tc>
          <w:tcPr>
            <w:tcW w:w="2501" w:type="dxa"/>
            <w:shd w:val="clear" w:color="auto" w:fill="auto"/>
            <w:vAlign w:val="center"/>
          </w:tcPr>
          <w:p w14:paraId="1A922E8F"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Risku</w:t>
            </w:r>
          </w:p>
        </w:tc>
        <w:tc>
          <w:tcPr>
            <w:tcW w:w="243" w:type="dxa"/>
            <w:shd w:val="clear" w:color="auto" w:fill="auto"/>
            <w:vAlign w:val="center"/>
          </w:tcPr>
          <w:p w14:paraId="7510DE64"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Probabiliteti</w:t>
            </w:r>
          </w:p>
        </w:tc>
        <w:tc>
          <w:tcPr>
            <w:tcW w:w="0" w:type="auto"/>
            <w:shd w:val="clear" w:color="auto" w:fill="auto"/>
            <w:vAlign w:val="center"/>
          </w:tcPr>
          <w:p w14:paraId="2330963F"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Ndikimi</w:t>
            </w:r>
          </w:p>
        </w:tc>
        <w:tc>
          <w:tcPr>
            <w:tcW w:w="0" w:type="auto"/>
            <w:shd w:val="clear" w:color="auto" w:fill="auto"/>
            <w:vAlign w:val="center"/>
          </w:tcPr>
          <w:p w14:paraId="1A00A25D"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Masa zbutëse</w:t>
            </w:r>
          </w:p>
        </w:tc>
      </w:tr>
      <w:tr w:rsidR="00847F23" w:rsidRPr="00913E39" w14:paraId="41983209" w14:textId="77777777" w:rsidTr="004F525C">
        <w:trPr>
          <w:trHeight w:val="20"/>
        </w:trPr>
        <w:tc>
          <w:tcPr>
            <w:tcW w:w="0" w:type="auto"/>
            <w:shd w:val="clear" w:color="auto" w:fill="auto"/>
            <w:vAlign w:val="center"/>
          </w:tcPr>
          <w:p w14:paraId="2C95B0E5" w14:textId="77777777" w:rsidR="00847F23" w:rsidRPr="00913E39" w:rsidRDefault="00847F23" w:rsidP="004F525C">
            <w:pPr>
              <w:spacing w:after="0" w:line="240" w:lineRule="auto"/>
              <w:rPr>
                <w:rFonts w:ascii="Garamond" w:hAnsi="Garamond"/>
                <w:sz w:val="18"/>
              </w:rPr>
            </w:pPr>
            <w:r w:rsidRPr="00913E39">
              <w:rPr>
                <w:rFonts w:ascii="Garamond" w:hAnsi="Garamond"/>
                <w:sz w:val="18"/>
              </w:rPr>
              <w:t>1- Mjedisi i jashtëm</w:t>
            </w:r>
          </w:p>
        </w:tc>
        <w:tc>
          <w:tcPr>
            <w:tcW w:w="2501" w:type="dxa"/>
            <w:shd w:val="clear" w:color="auto" w:fill="auto"/>
            <w:vAlign w:val="center"/>
          </w:tcPr>
          <w:p w14:paraId="05B00F6C" w14:textId="77777777" w:rsidR="00847F23" w:rsidRPr="00913E39" w:rsidRDefault="00847F23" w:rsidP="004F525C">
            <w:pPr>
              <w:spacing w:after="0" w:line="240" w:lineRule="auto"/>
              <w:rPr>
                <w:rFonts w:ascii="Garamond" w:hAnsi="Garamond"/>
                <w:sz w:val="18"/>
              </w:rPr>
            </w:pPr>
            <w:r w:rsidRPr="00913E39">
              <w:rPr>
                <w:rFonts w:ascii="Garamond" w:hAnsi="Garamond"/>
                <w:sz w:val="18"/>
              </w:rPr>
              <w:t xml:space="preserve">Mungesa e infrastrukturës TIK duke përfshirë </w:t>
            </w:r>
            <w:r w:rsidRPr="00913E39">
              <w:rPr>
                <w:rFonts w:ascii="Garamond" w:hAnsi="Garamond"/>
                <w:i/>
                <w:sz w:val="18"/>
              </w:rPr>
              <w:t>broadband</w:t>
            </w:r>
            <w:r w:rsidRPr="00913E39">
              <w:rPr>
                <w:rFonts w:ascii="Garamond" w:hAnsi="Garamond"/>
                <w:sz w:val="18"/>
              </w:rPr>
              <w:t xml:space="preserve"> universal.</w:t>
            </w:r>
          </w:p>
        </w:tc>
        <w:tc>
          <w:tcPr>
            <w:tcW w:w="243" w:type="dxa"/>
            <w:shd w:val="clear" w:color="auto" w:fill="auto"/>
            <w:vAlign w:val="center"/>
          </w:tcPr>
          <w:p w14:paraId="4E4C47A0"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mesëm</w:t>
            </w:r>
          </w:p>
        </w:tc>
        <w:tc>
          <w:tcPr>
            <w:tcW w:w="0" w:type="auto"/>
            <w:shd w:val="clear" w:color="auto" w:fill="auto"/>
            <w:vAlign w:val="center"/>
          </w:tcPr>
          <w:p w14:paraId="5F64911A"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mesëm</w:t>
            </w:r>
          </w:p>
        </w:tc>
        <w:tc>
          <w:tcPr>
            <w:tcW w:w="0" w:type="auto"/>
            <w:shd w:val="clear" w:color="auto" w:fill="auto"/>
          </w:tcPr>
          <w:p w14:paraId="301F7354" w14:textId="77777777" w:rsidR="00847F23" w:rsidRPr="00913E39" w:rsidRDefault="00847F23" w:rsidP="004F525C">
            <w:pPr>
              <w:spacing w:after="0" w:line="240" w:lineRule="auto"/>
              <w:rPr>
                <w:rFonts w:ascii="Garamond" w:hAnsi="Garamond"/>
                <w:sz w:val="18"/>
              </w:rPr>
            </w:pPr>
            <w:r w:rsidRPr="00913E39">
              <w:rPr>
                <w:rFonts w:ascii="Garamond" w:hAnsi="Garamond"/>
                <w:sz w:val="18"/>
              </w:rPr>
              <w:t xml:space="preserve">Qasja në të dhënat e shëndetit digjital veçanërisht në Sistemin e Informacionit Radiologjik, kërkon infrastrukturën e përshtatshme TIK dhe broadband e qëndrueshme. Megjithëse Agjencia Kombëtare për Shoqërinë e Informacionit </w:t>
            </w:r>
            <w:r w:rsidRPr="00913E39">
              <w:rPr>
                <w:rFonts w:ascii="Garamond" w:hAnsi="Garamond"/>
                <w:sz w:val="18"/>
              </w:rPr>
              <w:lastRenderedPageBreak/>
              <w:t>siguron infrastrukturën e duhur për spitalet publike, duke pasur parasysh numrin e lartë të ofruesve të kujdesit shëndetësor dhe profesionistëve që do të përdorin sistemin, ky rrezik nuk mund të zbutet plotësisht.</w:t>
            </w:r>
          </w:p>
        </w:tc>
      </w:tr>
      <w:tr w:rsidR="00847F23" w:rsidRPr="00913E39" w14:paraId="5DCA9D71" w14:textId="77777777" w:rsidTr="004F525C">
        <w:trPr>
          <w:trHeight w:val="20"/>
        </w:trPr>
        <w:tc>
          <w:tcPr>
            <w:tcW w:w="0" w:type="auto"/>
            <w:shd w:val="clear" w:color="auto" w:fill="auto"/>
            <w:vAlign w:val="center"/>
          </w:tcPr>
          <w:p w14:paraId="06C458EB" w14:textId="77777777" w:rsidR="00847F23" w:rsidRPr="00913E39" w:rsidRDefault="00847F23" w:rsidP="004F525C">
            <w:pPr>
              <w:spacing w:after="0" w:line="240" w:lineRule="auto"/>
              <w:jc w:val="both"/>
              <w:rPr>
                <w:rFonts w:ascii="Garamond" w:hAnsi="Garamond"/>
                <w:sz w:val="18"/>
              </w:rPr>
            </w:pPr>
            <w:r w:rsidRPr="00913E39">
              <w:rPr>
                <w:rFonts w:ascii="Garamond" w:hAnsi="Garamond"/>
                <w:sz w:val="18"/>
              </w:rPr>
              <w:lastRenderedPageBreak/>
              <w:t>5-Komunikimi dhe informimi</w:t>
            </w:r>
          </w:p>
          <w:p w14:paraId="3593D416" w14:textId="77777777" w:rsidR="00847F23" w:rsidRPr="00913E39" w:rsidRDefault="00847F23" w:rsidP="004F525C">
            <w:pPr>
              <w:spacing w:after="0" w:line="240" w:lineRule="auto"/>
              <w:jc w:val="both"/>
              <w:rPr>
                <w:rFonts w:ascii="Garamond" w:hAnsi="Garamond"/>
                <w:sz w:val="18"/>
              </w:rPr>
            </w:pPr>
          </w:p>
          <w:p w14:paraId="033C29FC" w14:textId="77777777" w:rsidR="00847F23" w:rsidRPr="00913E39" w:rsidRDefault="00847F23" w:rsidP="004F525C">
            <w:pPr>
              <w:spacing w:after="0" w:line="240" w:lineRule="auto"/>
              <w:rPr>
                <w:rFonts w:ascii="Garamond" w:hAnsi="Garamond"/>
                <w:sz w:val="18"/>
              </w:rPr>
            </w:pPr>
          </w:p>
        </w:tc>
        <w:tc>
          <w:tcPr>
            <w:tcW w:w="2501" w:type="dxa"/>
            <w:shd w:val="clear" w:color="auto" w:fill="auto"/>
            <w:vAlign w:val="center"/>
          </w:tcPr>
          <w:p w14:paraId="362361CB" w14:textId="77777777" w:rsidR="00847F23" w:rsidRPr="00913E39" w:rsidRDefault="00847F23" w:rsidP="004F525C">
            <w:pPr>
              <w:spacing w:after="0" w:line="240" w:lineRule="auto"/>
              <w:rPr>
                <w:rFonts w:ascii="Garamond" w:hAnsi="Garamond"/>
                <w:sz w:val="18"/>
              </w:rPr>
            </w:pPr>
            <w:r w:rsidRPr="00913E39">
              <w:rPr>
                <w:rFonts w:ascii="Garamond" w:hAnsi="Garamond"/>
                <w:sz w:val="18"/>
              </w:rPr>
              <w:t>Besueshmëria e kufizuar në sigurinë e platformave shëndetësore digjitale</w:t>
            </w:r>
          </w:p>
        </w:tc>
        <w:tc>
          <w:tcPr>
            <w:tcW w:w="243" w:type="dxa"/>
            <w:shd w:val="clear" w:color="auto" w:fill="auto"/>
            <w:vAlign w:val="center"/>
          </w:tcPr>
          <w:p w14:paraId="066B79E6"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mesëm</w:t>
            </w:r>
          </w:p>
        </w:tc>
        <w:tc>
          <w:tcPr>
            <w:tcW w:w="0" w:type="auto"/>
            <w:shd w:val="clear" w:color="auto" w:fill="auto"/>
            <w:vAlign w:val="center"/>
          </w:tcPr>
          <w:p w14:paraId="64302C2B"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mesëm</w:t>
            </w:r>
          </w:p>
        </w:tc>
        <w:tc>
          <w:tcPr>
            <w:tcW w:w="0" w:type="auto"/>
            <w:shd w:val="clear" w:color="auto" w:fill="auto"/>
          </w:tcPr>
          <w:p w14:paraId="271B4FA1" w14:textId="77777777" w:rsidR="00847F23" w:rsidRPr="00913E39" w:rsidRDefault="00847F23" w:rsidP="004F525C">
            <w:pPr>
              <w:spacing w:after="0" w:line="240" w:lineRule="auto"/>
              <w:rPr>
                <w:rFonts w:ascii="Garamond" w:hAnsi="Garamond"/>
                <w:sz w:val="18"/>
              </w:rPr>
            </w:pPr>
            <w:r w:rsidRPr="00913E39">
              <w:rPr>
                <w:rFonts w:ascii="Garamond" w:hAnsi="Garamond"/>
                <w:sz w:val="18"/>
              </w:rPr>
              <w:t>Ky risk do të zbutet nëpërmjet fushatave të duhura të ndërgjegjësimit që i drejtohen si publikut të gjerë ashtu edhe profesionistëve të kujdesit shëndetësor.</w:t>
            </w:r>
          </w:p>
        </w:tc>
      </w:tr>
    </w:tbl>
    <w:p w14:paraId="4106DC9B" w14:textId="77777777" w:rsidR="00847F23" w:rsidRPr="00913E39" w:rsidRDefault="00847F23" w:rsidP="00FC4C60">
      <w:pPr>
        <w:spacing w:after="0" w:line="240" w:lineRule="auto"/>
        <w:ind w:firstLine="284"/>
        <w:rPr>
          <w:rFonts w:ascii="Garamond" w:hAnsi="Garamond"/>
          <w:sz w:val="24"/>
        </w:rPr>
      </w:pPr>
    </w:p>
    <w:p w14:paraId="3F49F702" w14:textId="1A15A809"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 xml:space="preserve">4.4.2 Risqet e identifikuara në </w:t>
      </w:r>
      <w:r w:rsidR="003839B4" w:rsidRPr="00913E39">
        <w:rPr>
          <w:rFonts w:ascii="Garamond" w:hAnsi="Garamond"/>
          <w:i/>
          <w:sz w:val="24"/>
        </w:rPr>
        <w:t xml:space="preserve">nënfushën e mbështetjes </w:t>
      </w:r>
      <w:r w:rsidRPr="00913E39">
        <w:rPr>
          <w:rFonts w:ascii="Garamond" w:hAnsi="Garamond"/>
          <w:i/>
          <w:sz w:val="24"/>
        </w:rPr>
        <w:t xml:space="preserve">1.1: Edukimi </w:t>
      </w:r>
      <w:r w:rsidR="003839B4" w:rsidRPr="00913E39">
        <w:rPr>
          <w:rFonts w:ascii="Garamond" w:hAnsi="Garamond"/>
          <w:i/>
          <w:sz w:val="24"/>
        </w:rPr>
        <w:t>digjital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02"/>
        <w:gridCol w:w="2504"/>
        <w:gridCol w:w="1134"/>
        <w:gridCol w:w="992"/>
        <w:gridCol w:w="2784"/>
      </w:tblGrid>
      <w:tr w:rsidR="00847F23" w:rsidRPr="00913E39" w14:paraId="0A932CE6" w14:textId="77777777" w:rsidTr="004F525C">
        <w:trPr>
          <w:trHeight w:val="20"/>
          <w:tblHeader/>
        </w:trPr>
        <w:tc>
          <w:tcPr>
            <w:tcW w:w="1602" w:type="dxa"/>
            <w:shd w:val="clear" w:color="auto" w:fill="auto"/>
            <w:vAlign w:val="center"/>
          </w:tcPr>
          <w:p w14:paraId="1395D342"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Kategoria</w:t>
            </w:r>
          </w:p>
        </w:tc>
        <w:tc>
          <w:tcPr>
            <w:tcW w:w="2504" w:type="dxa"/>
            <w:shd w:val="clear" w:color="auto" w:fill="auto"/>
            <w:vAlign w:val="center"/>
          </w:tcPr>
          <w:p w14:paraId="75D6420C"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Risku</w:t>
            </w:r>
          </w:p>
        </w:tc>
        <w:tc>
          <w:tcPr>
            <w:tcW w:w="1134" w:type="dxa"/>
            <w:shd w:val="clear" w:color="auto" w:fill="auto"/>
            <w:vAlign w:val="center"/>
          </w:tcPr>
          <w:p w14:paraId="37B0B39B"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Probabiliteti</w:t>
            </w:r>
          </w:p>
        </w:tc>
        <w:tc>
          <w:tcPr>
            <w:tcW w:w="992" w:type="dxa"/>
            <w:shd w:val="clear" w:color="auto" w:fill="auto"/>
            <w:vAlign w:val="center"/>
          </w:tcPr>
          <w:p w14:paraId="10E714DB"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Ndikimi</w:t>
            </w:r>
          </w:p>
        </w:tc>
        <w:tc>
          <w:tcPr>
            <w:tcW w:w="2784" w:type="dxa"/>
            <w:shd w:val="clear" w:color="auto" w:fill="auto"/>
            <w:vAlign w:val="center"/>
          </w:tcPr>
          <w:p w14:paraId="0C17DD58" w14:textId="77777777" w:rsidR="00847F23" w:rsidRPr="00913E39" w:rsidRDefault="00847F23" w:rsidP="004F525C">
            <w:pPr>
              <w:spacing w:after="0" w:line="240" w:lineRule="auto"/>
              <w:jc w:val="center"/>
              <w:rPr>
                <w:rFonts w:ascii="Garamond" w:hAnsi="Garamond"/>
                <w:b/>
                <w:sz w:val="20"/>
              </w:rPr>
            </w:pPr>
            <w:r w:rsidRPr="00913E39">
              <w:rPr>
                <w:rFonts w:ascii="Garamond" w:hAnsi="Garamond"/>
                <w:b/>
                <w:sz w:val="20"/>
              </w:rPr>
              <w:t>Masa zbutëse</w:t>
            </w:r>
          </w:p>
        </w:tc>
      </w:tr>
      <w:tr w:rsidR="00847F23" w:rsidRPr="00913E39" w14:paraId="1A05804F" w14:textId="77777777" w:rsidTr="004F525C">
        <w:trPr>
          <w:trHeight w:val="20"/>
        </w:trPr>
        <w:tc>
          <w:tcPr>
            <w:tcW w:w="1602" w:type="dxa"/>
            <w:shd w:val="clear" w:color="auto" w:fill="auto"/>
            <w:vAlign w:val="center"/>
          </w:tcPr>
          <w:p w14:paraId="4B2E224F" w14:textId="77777777" w:rsidR="00847F23" w:rsidRPr="00913E39" w:rsidRDefault="00847F23" w:rsidP="004F525C">
            <w:pPr>
              <w:spacing w:after="0" w:line="240" w:lineRule="auto"/>
              <w:rPr>
                <w:rFonts w:ascii="Garamond" w:hAnsi="Garamond"/>
                <w:sz w:val="20"/>
              </w:rPr>
            </w:pPr>
            <w:r w:rsidRPr="00913E39">
              <w:rPr>
                <w:rFonts w:ascii="Garamond" w:hAnsi="Garamond"/>
                <w:sz w:val="20"/>
              </w:rPr>
              <w:t>3- njerëzit dhe organizatat</w:t>
            </w:r>
          </w:p>
        </w:tc>
        <w:tc>
          <w:tcPr>
            <w:tcW w:w="2504" w:type="dxa"/>
            <w:shd w:val="clear" w:color="auto" w:fill="auto"/>
            <w:vAlign w:val="center"/>
          </w:tcPr>
          <w:p w14:paraId="43E717BA" w14:textId="77777777" w:rsidR="00847F23" w:rsidRPr="00913E39" w:rsidRDefault="00847F23" w:rsidP="004F525C">
            <w:pPr>
              <w:spacing w:after="0" w:line="240" w:lineRule="auto"/>
              <w:rPr>
                <w:rFonts w:ascii="Garamond" w:hAnsi="Garamond"/>
                <w:sz w:val="20"/>
              </w:rPr>
            </w:pPr>
            <w:r w:rsidRPr="00913E39">
              <w:rPr>
                <w:rFonts w:ascii="Garamond" w:hAnsi="Garamond"/>
                <w:sz w:val="20"/>
              </w:rPr>
              <w:t>Njohuritë e mësuesve në lidhje me përdorimin e TIK-ut.</w:t>
            </w:r>
            <w:r w:rsidR="00693B1A" w:rsidRPr="00913E39">
              <w:rPr>
                <w:rFonts w:ascii="Garamond" w:hAnsi="Garamond"/>
                <w:sz w:val="20"/>
              </w:rPr>
              <w:t xml:space="preserve"> </w:t>
            </w:r>
          </w:p>
        </w:tc>
        <w:tc>
          <w:tcPr>
            <w:tcW w:w="1134" w:type="dxa"/>
            <w:shd w:val="clear" w:color="auto" w:fill="auto"/>
            <w:vAlign w:val="center"/>
          </w:tcPr>
          <w:p w14:paraId="13860B0C" w14:textId="77777777" w:rsidR="00847F23" w:rsidRPr="00913E39" w:rsidRDefault="00847F23" w:rsidP="004F525C">
            <w:pPr>
              <w:spacing w:after="0" w:line="240" w:lineRule="auto"/>
              <w:jc w:val="center"/>
              <w:rPr>
                <w:rFonts w:ascii="Garamond" w:hAnsi="Garamond"/>
                <w:sz w:val="20"/>
              </w:rPr>
            </w:pPr>
            <w:r w:rsidRPr="00913E39">
              <w:rPr>
                <w:rFonts w:ascii="Garamond" w:hAnsi="Garamond"/>
                <w:sz w:val="20"/>
              </w:rPr>
              <w:t>I mesëm</w:t>
            </w:r>
          </w:p>
        </w:tc>
        <w:tc>
          <w:tcPr>
            <w:tcW w:w="992" w:type="dxa"/>
            <w:shd w:val="clear" w:color="auto" w:fill="auto"/>
            <w:vAlign w:val="center"/>
          </w:tcPr>
          <w:p w14:paraId="186281FC" w14:textId="77777777" w:rsidR="00847F23" w:rsidRPr="00913E39" w:rsidRDefault="00847F23" w:rsidP="004F525C">
            <w:pPr>
              <w:spacing w:after="0" w:line="240" w:lineRule="auto"/>
              <w:jc w:val="center"/>
              <w:rPr>
                <w:rFonts w:ascii="Garamond" w:hAnsi="Garamond"/>
                <w:sz w:val="20"/>
              </w:rPr>
            </w:pPr>
            <w:r w:rsidRPr="00913E39">
              <w:rPr>
                <w:rFonts w:ascii="Garamond" w:hAnsi="Garamond"/>
                <w:sz w:val="20"/>
              </w:rPr>
              <w:t>I mesëm</w:t>
            </w:r>
          </w:p>
        </w:tc>
        <w:tc>
          <w:tcPr>
            <w:tcW w:w="2784" w:type="dxa"/>
            <w:shd w:val="clear" w:color="auto" w:fill="auto"/>
          </w:tcPr>
          <w:p w14:paraId="162163FC" w14:textId="77777777" w:rsidR="00847F23" w:rsidRPr="00913E39" w:rsidRDefault="00847F23" w:rsidP="004F525C">
            <w:pPr>
              <w:spacing w:after="0" w:line="240" w:lineRule="auto"/>
              <w:rPr>
                <w:rFonts w:ascii="Garamond" w:hAnsi="Garamond"/>
                <w:sz w:val="20"/>
              </w:rPr>
            </w:pPr>
            <w:r w:rsidRPr="00913E39">
              <w:rPr>
                <w:rFonts w:ascii="Garamond" w:hAnsi="Garamond"/>
                <w:sz w:val="20"/>
              </w:rPr>
              <w:t>Programi Operacional do të ofrojë trajnime në fushën e TIK të përshtatura për mësuesit e arsimit parauniversitar.</w:t>
            </w:r>
          </w:p>
        </w:tc>
      </w:tr>
      <w:tr w:rsidR="00847F23" w:rsidRPr="00913E39" w14:paraId="60A4CC84" w14:textId="77777777" w:rsidTr="004F525C">
        <w:trPr>
          <w:trHeight w:val="20"/>
        </w:trPr>
        <w:tc>
          <w:tcPr>
            <w:tcW w:w="1602" w:type="dxa"/>
            <w:shd w:val="clear" w:color="auto" w:fill="auto"/>
            <w:vAlign w:val="center"/>
          </w:tcPr>
          <w:p w14:paraId="60180E4B" w14:textId="77777777" w:rsidR="00847F23" w:rsidRPr="00913E39" w:rsidRDefault="00847F23" w:rsidP="004F525C">
            <w:pPr>
              <w:spacing w:after="0" w:line="240" w:lineRule="auto"/>
              <w:rPr>
                <w:rFonts w:ascii="Garamond" w:hAnsi="Garamond"/>
                <w:sz w:val="20"/>
              </w:rPr>
            </w:pPr>
            <w:r w:rsidRPr="00913E39">
              <w:rPr>
                <w:rFonts w:ascii="Garamond" w:hAnsi="Garamond"/>
                <w:sz w:val="20"/>
              </w:rPr>
              <w:t>1- Mjedisi i jashtëm</w:t>
            </w:r>
          </w:p>
        </w:tc>
        <w:tc>
          <w:tcPr>
            <w:tcW w:w="2504" w:type="dxa"/>
            <w:shd w:val="clear" w:color="auto" w:fill="auto"/>
            <w:vAlign w:val="center"/>
          </w:tcPr>
          <w:p w14:paraId="15E94AE9" w14:textId="77777777" w:rsidR="00847F23" w:rsidRPr="00913E39" w:rsidRDefault="00847F23" w:rsidP="004F525C">
            <w:pPr>
              <w:spacing w:after="0" w:line="240" w:lineRule="auto"/>
              <w:rPr>
                <w:rFonts w:ascii="Garamond" w:hAnsi="Garamond"/>
                <w:sz w:val="20"/>
              </w:rPr>
            </w:pPr>
            <w:r w:rsidRPr="00913E39">
              <w:rPr>
                <w:rFonts w:ascii="Garamond" w:hAnsi="Garamond"/>
                <w:sz w:val="20"/>
              </w:rPr>
              <w:t xml:space="preserve">Depërtimi i ulët i broadband fiks në zonat rurale të Shqipërisë. </w:t>
            </w:r>
          </w:p>
        </w:tc>
        <w:tc>
          <w:tcPr>
            <w:tcW w:w="1134" w:type="dxa"/>
            <w:shd w:val="clear" w:color="auto" w:fill="auto"/>
            <w:vAlign w:val="center"/>
          </w:tcPr>
          <w:p w14:paraId="31EB8332" w14:textId="77777777" w:rsidR="00847F23" w:rsidRPr="00913E39" w:rsidRDefault="00847F23" w:rsidP="004F525C">
            <w:pPr>
              <w:spacing w:after="0" w:line="240" w:lineRule="auto"/>
              <w:jc w:val="center"/>
              <w:rPr>
                <w:rFonts w:ascii="Garamond" w:hAnsi="Garamond"/>
                <w:sz w:val="20"/>
              </w:rPr>
            </w:pPr>
            <w:r w:rsidRPr="00913E39">
              <w:rPr>
                <w:rFonts w:ascii="Garamond" w:hAnsi="Garamond"/>
                <w:sz w:val="20"/>
              </w:rPr>
              <w:t>I ulët</w:t>
            </w:r>
          </w:p>
        </w:tc>
        <w:tc>
          <w:tcPr>
            <w:tcW w:w="992" w:type="dxa"/>
            <w:shd w:val="clear" w:color="auto" w:fill="auto"/>
            <w:vAlign w:val="center"/>
          </w:tcPr>
          <w:p w14:paraId="3314D1A2" w14:textId="77777777" w:rsidR="00847F23" w:rsidRPr="00913E39" w:rsidRDefault="00847F23" w:rsidP="004F525C">
            <w:pPr>
              <w:spacing w:after="0" w:line="240" w:lineRule="auto"/>
              <w:jc w:val="center"/>
              <w:rPr>
                <w:rFonts w:ascii="Garamond" w:hAnsi="Garamond"/>
                <w:sz w:val="20"/>
              </w:rPr>
            </w:pPr>
            <w:r w:rsidRPr="00913E39">
              <w:rPr>
                <w:rFonts w:ascii="Garamond" w:hAnsi="Garamond"/>
                <w:sz w:val="20"/>
              </w:rPr>
              <w:t>I ulët</w:t>
            </w:r>
          </w:p>
        </w:tc>
        <w:tc>
          <w:tcPr>
            <w:tcW w:w="2784" w:type="dxa"/>
            <w:shd w:val="clear" w:color="auto" w:fill="auto"/>
          </w:tcPr>
          <w:p w14:paraId="40BAFDBB" w14:textId="77777777" w:rsidR="00847F23" w:rsidRPr="00913E39" w:rsidRDefault="00847F23" w:rsidP="004F525C">
            <w:pPr>
              <w:spacing w:after="0" w:line="240" w:lineRule="auto"/>
              <w:rPr>
                <w:rFonts w:ascii="Garamond" w:hAnsi="Garamond"/>
                <w:sz w:val="20"/>
              </w:rPr>
            </w:pPr>
            <w:r w:rsidRPr="00913E39">
              <w:rPr>
                <w:rFonts w:ascii="Garamond" w:hAnsi="Garamond"/>
                <w:sz w:val="20"/>
              </w:rPr>
              <w:t>AKSHI ofron shërbimin e internetit për 1300 shkolla parauniversitare. Zhvillimi i broadband fiks në zonat rurale për përdoruesit privatë është jashtë objektit të këtij Programi Operacional.</w:t>
            </w:r>
          </w:p>
        </w:tc>
      </w:tr>
    </w:tbl>
    <w:p w14:paraId="2D46DF23" w14:textId="77777777" w:rsidR="00847F23" w:rsidRPr="00913E39" w:rsidRDefault="00847F23" w:rsidP="00FC4C60">
      <w:pPr>
        <w:spacing w:after="0" w:line="240" w:lineRule="auto"/>
        <w:ind w:firstLine="284"/>
        <w:rPr>
          <w:rFonts w:ascii="Garamond" w:hAnsi="Garamond"/>
          <w:sz w:val="24"/>
        </w:rPr>
      </w:pPr>
    </w:p>
    <w:p w14:paraId="12EB0CDF" w14:textId="0BB5E95C"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 xml:space="preserve">4.4.3 Risqet e identifikuara në </w:t>
      </w:r>
      <w:r w:rsidR="003839B4" w:rsidRPr="00913E39">
        <w:rPr>
          <w:rFonts w:ascii="Garamond" w:hAnsi="Garamond"/>
          <w:i/>
          <w:sz w:val="24"/>
        </w:rPr>
        <w:t xml:space="preserve">nënfushën e mbështetjes </w:t>
      </w:r>
      <w:r w:rsidRPr="00913E39">
        <w:rPr>
          <w:rFonts w:ascii="Garamond" w:hAnsi="Garamond"/>
          <w:i/>
          <w:sz w:val="24"/>
        </w:rPr>
        <w:t>2.1: Tatimet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2522"/>
        <w:gridCol w:w="1163"/>
        <w:gridCol w:w="992"/>
        <w:gridCol w:w="2784"/>
      </w:tblGrid>
      <w:tr w:rsidR="00847F23" w:rsidRPr="00913E39" w14:paraId="480EFAD7" w14:textId="77777777" w:rsidTr="004F525C">
        <w:trPr>
          <w:trHeight w:val="20"/>
          <w:tblHeader/>
        </w:trPr>
        <w:tc>
          <w:tcPr>
            <w:tcW w:w="1555" w:type="dxa"/>
            <w:shd w:val="clear" w:color="auto" w:fill="auto"/>
            <w:vAlign w:val="center"/>
          </w:tcPr>
          <w:p w14:paraId="5E59819B"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Kategoria</w:t>
            </w:r>
          </w:p>
        </w:tc>
        <w:tc>
          <w:tcPr>
            <w:tcW w:w="2522" w:type="dxa"/>
            <w:shd w:val="clear" w:color="auto" w:fill="auto"/>
            <w:vAlign w:val="center"/>
          </w:tcPr>
          <w:p w14:paraId="2ACDF2CC"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Risku</w:t>
            </w:r>
          </w:p>
        </w:tc>
        <w:tc>
          <w:tcPr>
            <w:tcW w:w="1163" w:type="dxa"/>
            <w:shd w:val="clear" w:color="auto" w:fill="auto"/>
            <w:vAlign w:val="center"/>
          </w:tcPr>
          <w:p w14:paraId="39E84DA2"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Probabiliteti</w:t>
            </w:r>
          </w:p>
        </w:tc>
        <w:tc>
          <w:tcPr>
            <w:tcW w:w="992" w:type="dxa"/>
            <w:shd w:val="clear" w:color="auto" w:fill="auto"/>
            <w:vAlign w:val="center"/>
          </w:tcPr>
          <w:p w14:paraId="1FF70B4E"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Ndikimi</w:t>
            </w:r>
          </w:p>
        </w:tc>
        <w:tc>
          <w:tcPr>
            <w:tcW w:w="2784" w:type="dxa"/>
            <w:shd w:val="clear" w:color="auto" w:fill="auto"/>
            <w:vAlign w:val="center"/>
          </w:tcPr>
          <w:p w14:paraId="637985CD"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Masa zbutëse</w:t>
            </w:r>
          </w:p>
        </w:tc>
      </w:tr>
      <w:tr w:rsidR="00847F23" w:rsidRPr="00913E39" w14:paraId="5C6CE7FD" w14:textId="77777777" w:rsidTr="004F525C">
        <w:trPr>
          <w:trHeight w:val="20"/>
        </w:trPr>
        <w:tc>
          <w:tcPr>
            <w:tcW w:w="1555" w:type="dxa"/>
            <w:shd w:val="clear" w:color="auto" w:fill="auto"/>
            <w:vAlign w:val="center"/>
          </w:tcPr>
          <w:p w14:paraId="01B9DD21" w14:textId="77777777" w:rsidR="00847F23" w:rsidRPr="00913E39" w:rsidRDefault="00847F23" w:rsidP="004F525C">
            <w:pPr>
              <w:spacing w:after="0" w:line="240" w:lineRule="auto"/>
              <w:rPr>
                <w:rFonts w:ascii="Garamond" w:hAnsi="Garamond"/>
                <w:sz w:val="18"/>
              </w:rPr>
            </w:pPr>
            <w:r w:rsidRPr="00913E39">
              <w:rPr>
                <w:rFonts w:ascii="Garamond" w:hAnsi="Garamond"/>
                <w:sz w:val="18"/>
              </w:rPr>
              <w:t>3- njerëzit dhe organizatat</w:t>
            </w:r>
          </w:p>
        </w:tc>
        <w:tc>
          <w:tcPr>
            <w:tcW w:w="2522" w:type="dxa"/>
            <w:shd w:val="clear" w:color="auto" w:fill="auto"/>
            <w:vAlign w:val="center"/>
          </w:tcPr>
          <w:p w14:paraId="5264F85B" w14:textId="77777777" w:rsidR="00847F23" w:rsidRPr="00913E39" w:rsidRDefault="00847F23" w:rsidP="004F525C">
            <w:pPr>
              <w:spacing w:after="0" w:line="240" w:lineRule="auto"/>
              <w:rPr>
                <w:rFonts w:ascii="Garamond" w:hAnsi="Garamond"/>
                <w:sz w:val="18"/>
              </w:rPr>
            </w:pPr>
            <w:r w:rsidRPr="00913E39">
              <w:rPr>
                <w:rFonts w:ascii="Garamond" w:hAnsi="Garamond"/>
                <w:sz w:val="18"/>
              </w:rPr>
              <w:t>Integrimi i suksesshëm dhe ndërveprimi i sistemeve kombëtare tatimore nuk mbështetet me kapacitete dhe burime të mjaftueshme teknike.</w:t>
            </w:r>
          </w:p>
        </w:tc>
        <w:tc>
          <w:tcPr>
            <w:tcW w:w="1163" w:type="dxa"/>
            <w:shd w:val="clear" w:color="auto" w:fill="auto"/>
            <w:vAlign w:val="center"/>
          </w:tcPr>
          <w:p w14:paraId="06988BD6"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ulët</w:t>
            </w:r>
          </w:p>
        </w:tc>
        <w:tc>
          <w:tcPr>
            <w:tcW w:w="992" w:type="dxa"/>
            <w:shd w:val="clear" w:color="auto" w:fill="auto"/>
            <w:vAlign w:val="center"/>
          </w:tcPr>
          <w:p w14:paraId="253953E1"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ulët</w:t>
            </w:r>
          </w:p>
        </w:tc>
        <w:tc>
          <w:tcPr>
            <w:tcW w:w="2784" w:type="dxa"/>
            <w:shd w:val="clear" w:color="auto" w:fill="auto"/>
          </w:tcPr>
          <w:p w14:paraId="2353AEFD" w14:textId="77777777" w:rsidR="00847F23" w:rsidRPr="00913E39" w:rsidRDefault="00847F23" w:rsidP="004F525C">
            <w:pPr>
              <w:spacing w:after="0" w:line="240" w:lineRule="auto"/>
              <w:rPr>
                <w:rFonts w:ascii="Garamond" w:hAnsi="Garamond"/>
                <w:sz w:val="18"/>
              </w:rPr>
            </w:pPr>
            <w:r w:rsidRPr="00913E39">
              <w:rPr>
                <w:rFonts w:ascii="Garamond" w:hAnsi="Garamond"/>
                <w:sz w:val="18"/>
              </w:rPr>
              <w:t>Ky risk do të trajtohet në kuadër të Programit Operacional me ngritjen e kapaciteteve për të rritur aftësitë dhe kapacitetet e përgjithshme të administratës tatimore. Kjo do të përfshijë përmirësimin e aftësive në profilizimin dhe vlerësimin e riskut të tatimpaguesve, si dhe përshpejtimin e reformave që lehtësojnë kalimin në procese tërësisht elektronike të dorëzimit të dokumenteve.</w:t>
            </w:r>
          </w:p>
        </w:tc>
      </w:tr>
    </w:tbl>
    <w:p w14:paraId="590CCB12" w14:textId="77777777" w:rsidR="00847F23" w:rsidRPr="00913E39" w:rsidRDefault="00847F23" w:rsidP="00FC4C60">
      <w:pPr>
        <w:spacing w:after="0" w:line="240" w:lineRule="auto"/>
        <w:ind w:firstLine="284"/>
        <w:rPr>
          <w:rFonts w:ascii="Garamond" w:hAnsi="Garamond"/>
          <w:sz w:val="24"/>
        </w:rPr>
      </w:pPr>
    </w:p>
    <w:p w14:paraId="5AD75C89" w14:textId="61C8FF54"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 xml:space="preserve">4.4.4 Risqet e identifikuara nën </w:t>
      </w:r>
      <w:r w:rsidR="003839B4" w:rsidRPr="00913E39">
        <w:rPr>
          <w:rFonts w:ascii="Garamond" w:hAnsi="Garamond"/>
          <w:i/>
          <w:sz w:val="24"/>
        </w:rPr>
        <w:t xml:space="preserve">nënfushën e mbështetjes </w:t>
      </w:r>
      <w:r w:rsidRPr="00913E39">
        <w:rPr>
          <w:rFonts w:ascii="Garamond" w:hAnsi="Garamond"/>
          <w:i/>
          <w:sz w:val="24"/>
        </w:rPr>
        <w:t>2.2: Siguria kibernetike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5"/>
        <w:gridCol w:w="2551"/>
        <w:gridCol w:w="1163"/>
        <w:gridCol w:w="987"/>
        <w:gridCol w:w="2789"/>
      </w:tblGrid>
      <w:tr w:rsidR="00847F23" w:rsidRPr="00913E39" w14:paraId="070D1818" w14:textId="77777777" w:rsidTr="004F525C">
        <w:trPr>
          <w:trHeight w:val="20"/>
          <w:tblHeader/>
        </w:trPr>
        <w:tc>
          <w:tcPr>
            <w:tcW w:w="1555" w:type="dxa"/>
            <w:shd w:val="clear" w:color="auto" w:fill="auto"/>
            <w:vAlign w:val="center"/>
          </w:tcPr>
          <w:p w14:paraId="1305DC4C"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Kategoria</w:t>
            </w:r>
          </w:p>
        </w:tc>
        <w:tc>
          <w:tcPr>
            <w:tcW w:w="2551" w:type="dxa"/>
            <w:shd w:val="clear" w:color="auto" w:fill="auto"/>
            <w:vAlign w:val="center"/>
          </w:tcPr>
          <w:p w14:paraId="62E111FE"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Risku</w:t>
            </w:r>
          </w:p>
        </w:tc>
        <w:tc>
          <w:tcPr>
            <w:tcW w:w="1139" w:type="dxa"/>
            <w:shd w:val="clear" w:color="auto" w:fill="auto"/>
            <w:vAlign w:val="center"/>
          </w:tcPr>
          <w:p w14:paraId="6F7C3AED"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Probabiliteti</w:t>
            </w:r>
          </w:p>
        </w:tc>
        <w:tc>
          <w:tcPr>
            <w:tcW w:w="987" w:type="dxa"/>
            <w:shd w:val="clear" w:color="auto" w:fill="auto"/>
            <w:vAlign w:val="center"/>
          </w:tcPr>
          <w:p w14:paraId="0BED8765"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Ndikimi</w:t>
            </w:r>
          </w:p>
        </w:tc>
        <w:tc>
          <w:tcPr>
            <w:tcW w:w="2789" w:type="dxa"/>
            <w:shd w:val="clear" w:color="auto" w:fill="auto"/>
            <w:vAlign w:val="center"/>
          </w:tcPr>
          <w:p w14:paraId="326FD362"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Masa zbutëse</w:t>
            </w:r>
          </w:p>
        </w:tc>
      </w:tr>
      <w:tr w:rsidR="00847F23" w:rsidRPr="00913E39" w14:paraId="771C0AF8" w14:textId="77777777" w:rsidTr="004F525C">
        <w:trPr>
          <w:trHeight w:val="20"/>
        </w:trPr>
        <w:tc>
          <w:tcPr>
            <w:tcW w:w="1555" w:type="dxa"/>
            <w:shd w:val="clear" w:color="auto" w:fill="auto"/>
            <w:vAlign w:val="center"/>
          </w:tcPr>
          <w:p w14:paraId="1C61FAC2" w14:textId="77777777" w:rsidR="00847F23" w:rsidRPr="00913E39" w:rsidRDefault="00847F23" w:rsidP="004F525C">
            <w:pPr>
              <w:spacing w:after="0" w:line="240" w:lineRule="auto"/>
              <w:rPr>
                <w:rFonts w:ascii="Garamond" w:hAnsi="Garamond"/>
                <w:sz w:val="18"/>
              </w:rPr>
            </w:pPr>
            <w:r w:rsidRPr="00913E39">
              <w:rPr>
                <w:rFonts w:ascii="Garamond" w:hAnsi="Garamond"/>
                <w:sz w:val="18"/>
              </w:rPr>
              <w:t>1- Mjedisi i jashtëm</w:t>
            </w:r>
          </w:p>
        </w:tc>
        <w:tc>
          <w:tcPr>
            <w:tcW w:w="2551" w:type="dxa"/>
            <w:shd w:val="clear" w:color="auto" w:fill="auto"/>
            <w:vAlign w:val="center"/>
          </w:tcPr>
          <w:p w14:paraId="75DD9421" w14:textId="77777777" w:rsidR="00847F23" w:rsidRPr="00913E39" w:rsidRDefault="00847F23" w:rsidP="004F525C">
            <w:pPr>
              <w:spacing w:after="0" w:line="240" w:lineRule="auto"/>
              <w:rPr>
                <w:rFonts w:ascii="Garamond" w:hAnsi="Garamond"/>
                <w:sz w:val="18"/>
              </w:rPr>
            </w:pPr>
            <w:r w:rsidRPr="00913E39">
              <w:rPr>
                <w:rFonts w:ascii="Garamond" w:hAnsi="Garamond"/>
                <w:sz w:val="18"/>
              </w:rPr>
              <w:t>Sulmet e sofistikuara kibernetike përbëjnë një kërcënim të konsiderueshëm ndaj masave të sigurisë kibernetike të qeverisë shqiptare.</w:t>
            </w:r>
          </w:p>
        </w:tc>
        <w:tc>
          <w:tcPr>
            <w:tcW w:w="1139" w:type="dxa"/>
            <w:shd w:val="clear" w:color="auto" w:fill="auto"/>
            <w:vAlign w:val="center"/>
          </w:tcPr>
          <w:p w14:paraId="5088A3E8"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lartë</w:t>
            </w:r>
          </w:p>
        </w:tc>
        <w:tc>
          <w:tcPr>
            <w:tcW w:w="987" w:type="dxa"/>
            <w:shd w:val="clear" w:color="auto" w:fill="auto"/>
            <w:vAlign w:val="center"/>
          </w:tcPr>
          <w:p w14:paraId="2504E71B"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lartë</w:t>
            </w:r>
          </w:p>
        </w:tc>
        <w:tc>
          <w:tcPr>
            <w:tcW w:w="2789" w:type="dxa"/>
            <w:shd w:val="clear" w:color="auto" w:fill="auto"/>
          </w:tcPr>
          <w:p w14:paraId="4822B8E5" w14:textId="60A0DA66" w:rsidR="00847F23" w:rsidRPr="00913E39" w:rsidRDefault="00847F23" w:rsidP="004F525C">
            <w:pPr>
              <w:spacing w:after="0" w:line="240" w:lineRule="auto"/>
              <w:rPr>
                <w:rFonts w:ascii="Garamond" w:hAnsi="Garamond"/>
                <w:sz w:val="18"/>
                <w:highlight w:val="yellow"/>
              </w:rPr>
            </w:pPr>
            <w:r w:rsidRPr="00913E39">
              <w:rPr>
                <w:rFonts w:ascii="Garamond" w:hAnsi="Garamond"/>
                <w:sz w:val="18"/>
              </w:rPr>
              <w:t>Programi do të mbështesë forcimin e ndërgjegjësimit kibernetik, aftësisë për analiza parandaluese, si dhe përballjen dhe reagimin kibernetik të institucion</w:t>
            </w:r>
            <w:r w:rsidR="00076265" w:rsidRPr="00913E39">
              <w:rPr>
                <w:rFonts w:ascii="Garamond" w:hAnsi="Garamond"/>
                <w:sz w:val="18"/>
              </w:rPr>
              <w:t>e</w:t>
            </w:r>
            <w:r w:rsidRPr="00913E39">
              <w:rPr>
                <w:rFonts w:ascii="Garamond" w:hAnsi="Garamond"/>
                <w:sz w:val="18"/>
              </w:rPr>
              <w:t>ve publike që bëjnë pjesë në rrjetin qeveritar të sigurisë kibernetike të infrastrukturave kritike të informacionit. </w:t>
            </w:r>
          </w:p>
        </w:tc>
      </w:tr>
    </w:tbl>
    <w:p w14:paraId="09DDCDE0" w14:textId="77777777" w:rsidR="00847F23" w:rsidRPr="00913E39" w:rsidRDefault="00693B1A" w:rsidP="00FC4C60">
      <w:pPr>
        <w:tabs>
          <w:tab w:val="left" w:pos="935"/>
        </w:tabs>
        <w:spacing w:after="0" w:line="240" w:lineRule="auto"/>
        <w:ind w:firstLine="284"/>
        <w:rPr>
          <w:rFonts w:ascii="Garamond" w:hAnsi="Garamond"/>
          <w:sz w:val="24"/>
        </w:rPr>
      </w:pPr>
      <w:r w:rsidRPr="00913E39">
        <w:rPr>
          <w:rFonts w:ascii="Garamond" w:hAnsi="Garamond"/>
          <w:sz w:val="24"/>
        </w:rPr>
        <w:t xml:space="preserve"> </w:t>
      </w:r>
    </w:p>
    <w:p w14:paraId="1D2FAE91" w14:textId="2F75F636"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t xml:space="preserve">4.4.5 Risqet e identifikuara nën </w:t>
      </w:r>
      <w:r w:rsidR="003839B4" w:rsidRPr="00913E39">
        <w:rPr>
          <w:rFonts w:ascii="Garamond" w:hAnsi="Garamond"/>
          <w:i/>
          <w:sz w:val="24"/>
        </w:rPr>
        <w:t xml:space="preserve">nënfushën e mbështetjes </w:t>
      </w:r>
      <w:r w:rsidRPr="00913E39">
        <w:rPr>
          <w:rFonts w:ascii="Garamond" w:hAnsi="Garamond"/>
          <w:i/>
          <w:sz w:val="24"/>
        </w:rPr>
        <w:t xml:space="preserve">2.2: Ndërlidhja digjitale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2"/>
        <w:gridCol w:w="2543"/>
        <w:gridCol w:w="1163"/>
        <w:gridCol w:w="1039"/>
        <w:gridCol w:w="2777"/>
      </w:tblGrid>
      <w:tr w:rsidR="00847F23" w:rsidRPr="00913E39" w14:paraId="1576932E" w14:textId="77777777" w:rsidTr="00B27420">
        <w:trPr>
          <w:tblHeader/>
        </w:trPr>
        <w:tc>
          <w:tcPr>
            <w:tcW w:w="1555" w:type="dxa"/>
            <w:shd w:val="clear" w:color="auto" w:fill="auto"/>
            <w:vAlign w:val="center"/>
          </w:tcPr>
          <w:p w14:paraId="4948C040"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Kategoria</w:t>
            </w:r>
          </w:p>
        </w:tc>
        <w:tc>
          <w:tcPr>
            <w:tcW w:w="2551" w:type="dxa"/>
            <w:shd w:val="clear" w:color="auto" w:fill="auto"/>
            <w:vAlign w:val="center"/>
          </w:tcPr>
          <w:p w14:paraId="07042D59"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Risku</w:t>
            </w:r>
          </w:p>
        </w:tc>
        <w:tc>
          <w:tcPr>
            <w:tcW w:w="1134" w:type="dxa"/>
            <w:shd w:val="clear" w:color="auto" w:fill="auto"/>
            <w:vAlign w:val="center"/>
          </w:tcPr>
          <w:p w14:paraId="464C577E"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Probabiliteti</w:t>
            </w:r>
          </w:p>
        </w:tc>
        <w:tc>
          <w:tcPr>
            <w:tcW w:w="1040" w:type="dxa"/>
            <w:shd w:val="clear" w:color="auto" w:fill="auto"/>
            <w:vAlign w:val="center"/>
          </w:tcPr>
          <w:p w14:paraId="79C56465"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Ndikimi</w:t>
            </w:r>
          </w:p>
        </w:tc>
        <w:tc>
          <w:tcPr>
            <w:tcW w:w="2784" w:type="dxa"/>
            <w:shd w:val="clear" w:color="auto" w:fill="auto"/>
            <w:vAlign w:val="center"/>
          </w:tcPr>
          <w:p w14:paraId="24A97EEA"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Masa zbutëse</w:t>
            </w:r>
          </w:p>
        </w:tc>
      </w:tr>
      <w:tr w:rsidR="00847F23" w:rsidRPr="00913E39" w14:paraId="04D3A98C" w14:textId="77777777" w:rsidTr="00B27420">
        <w:tc>
          <w:tcPr>
            <w:tcW w:w="1555" w:type="dxa"/>
            <w:shd w:val="clear" w:color="auto" w:fill="auto"/>
            <w:vAlign w:val="center"/>
          </w:tcPr>
          <w:p w14:paraId="00F8F9B9" w14:textId="77777777" w:rsidR="00847F23" w:rsidRPr="00913E39" w:rsidRDefault="00847F23" w:rsidP="004F525C">
            <w:pPr>
              <w:spacing w:after="0" w:line="240" w:lineRule="auto"/>
              <w:rPr>
                <w:rFonts w:ascii="Garamond" w:hAnsi="Garamond"/>
                <w:sz w:val="18"/>
              </w:rPr>
            </w:pPr>
            <w:r w:rsidRPr="00913E39">
              <w:rPr>
                <w:rFonts w:ascii="Garamond" w:hAnsi="Garamond"/>
                <w:sz w:val="18"/>
              </w:rPr>
              <w:t>4- Aspektet ligjore dhe rregullatore</w:t>
            </w:r>
            <w:r w:rsidR="00693B1A" w:rsidRPr="00913E39">
              <w:rPr>
                <w:rFonts w:ascii="Garamond" w:hAnsi="Garamond"/>
                <w:sz w:val="18"/>
              </w:rPr>
              <w:t xml:space="preserve"> </w:t>
            </w:r>
          </w:p>
        </w:tc>
        <w:tc>
          <w:tcPr>
            <w:tcW w:w="2551" w:type="dxa"/>
            <w:shd w:val="clear" w:color="auto" w:fill="auto"/>
            <w:vAlign w:val="center"/>
          </w:tcPr>
          <w:p w14:paraId="6A90CF8C" w14:textId="77777777" w:rsidR="00847F23" w:rsidRPr="00913E39" w:rsidRDefault="00847F23" w:rsidP="004F525C">
            <w:pPr>
              <w:spacing w:after="0" w:line="240" w:lineRule="auto"/>
              <w:rPr>
                <w:rFonts w:ascii="Garamond" w:hAnsi="Garamond"/>
                <w:sz w:val="18"/>
              </w:rPr>
            </w:pPr>
            <w:r w:rsidRPr="00913E39">
              <w:rPr>
                <w:rFonts w:ascii="Garamond" w:hAnsi="Garamond"/>
                <w:sz w:val="18"/>
              </w:rPr>
              <w:t>Ndryshimi në prioritetet e qeverisë.</w:t>
            </w:r>
          </w:p>
        </w:tc>
        <w:tc>
          <w:tcPr>
            <w:tcW w:w="1134" w:type="dxa"/>
            <w:shd w:val="clear" w:color="auto" w:fill="auto"/>
            <w:vAlign w:val="center"/>
          </w:tcPr>
          <w:p w14:paraId="5077278B"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ulët</w:t>
            </w:r>
          </w:p>
        </w:tc>
        <w:tc>
          <w:tcPr>
            <w:tcW w:w="1040" w:type="dxa"/>
            <w:shd w:val="clear" w:color="auto" w:fill="auto"/>
            <w:vAlign w:val="center"/>
          </w:tcPr>
          <w:p w14:paraId="0634E434"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ulët</w:t>
            </w:r>
          </w:p>
        </w:tc>
        <w:tc>
          <w:tcPr>
            <w:tcW w:w="2784" w:type="dxa"/>
            <w:shd w:val="clear" w:color="auto" w:fill="auto"/>
          </w:tcPr>
          <w:p w14:paraId="3623572A" w14:textId="77777777" w:rsidR="00847F23" w:rsidRPr="00913E39" w:rsidRDefault="00847F23" w:rsidP="004F525C">
            <w:pPr>
              <w:spacing w:after="0" w:line="240" w:lineRule="auto"/>
              <w:rPr>
                <w:rFonts w:ascii="Garamond" w:hAnsi="Garamond"/>
                <w:sz w:val="18"/>
              </w:rPr>
            </w:pPr>
            <w:r w:rsidRPr="00913E39">
              <w:rPr>
                <w:rFonts w:ascii="Garamond" w:hAnsi="Garamond"/>
                <w:sz w:val="18"/>
              </w:rPr>
              <w:t>Programi do të nxisë bashkëpunimin e mirë mes palëve të interesuara në lidhje me ndërlidhjen digjitale për të nxitur reformën e nevojshme në kohën e duhur</w:t>
            </w:r>
          </w:p>
        </w:tc>
      </w:tr>
    </w:tbl>
    <w:p w14:paraId="471C17AE" w14:textId="77777777" w:rsidR="00847F23" w:rsidRPr="00913E39" w:rsidRDefault="00847F23" w:rsidP="00FC4C60">
      <w:pPr>
        <w:spacing w:after="0" w:line="240" w:lineRule="auto"/>
        <w:ind w:firstLine="284"/>
        <w:jc w:val="both"/>
        <w:rPr>
          <w:rFonts w:ascii="Garamond" w:hAnsi="Garamond"/>
          <w:sz w:val="24"/>
        </w:rPr>
      </w:pPr>
    </w:p>
    <w:p w14:paraId="1BC5546A"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Programi do të nxisë bashkëpunimin e mirë mes palëve të interesuara në lidhje me ndërlidhjen digjitale për të nxitur reformën e nevojshme në kohën e duhur</w:t>
      </w:r>
    </w:p>
    <w:p w14:paraId="7C44370D" w14:textId="77777777" w:rsidR="00847F23" w:rsidRPr="00913E39" w:rsidRDefault="00847F23" w:rsidP="00FC4C60">
      <w:pPr>
        <w:spacing w:after="0" w:line="240" w:lineRule="auto"/>
        <w:ind w:firstLine="284"/>
        <w:jc w:val="both"/>
        <w:rPr>
          <w:rFonts w:ascii="Garamond" w:hAnsi="Garamond"/>
          <w:sz w:val="24"/>
        </w:rPr>
      </w:pPr>
    </w:p>
    <w:p w14:paraId="6000F80A" w14:textId="245B60E4" w:rsidR="00847F23" w:rsidRPr="00913E39" w:rsidRDefault="00847F23" w:rsidP="00FC4C60">
      <w:pPr>
        <w:spacing w:after="0" w:line="240" w:lineRule="auto"/>
        <w:ind w:firstLine="284"/>
        <w:jc w:val="both"/>
        <w:rPr>
          <w:rFonts w:ascii="Garamond" w:hAnsi="Garamond"/>
          <w:i/>
          <w:sz w:val="24"/>
        </w:rPr>
      </w:pPr>
      <w:r w:rsidRPr="00913E39">
        <w:rPr>
          <w:rFonts w:ascii="Garamond" w:hAnsi="Garamond"/>
          <w:i/>
          <w:sz w:val="24"/>
        </w:rPr>
        <w:lastRenderedPageBreak/>
        <w:t xml:space="preserve">4.4.6 Risqet nën të gjitha </w:t>
      </w:r>
      <w:r w:rsidR="003839B4" w:rsidRPr="00913E39">
        <w:rPr>
          <w:rFonts w:ascii="Garamond" w:hAnsi="Garamond"/>
          <w:i/>
          <w:sz w:val="24"/>
        </w:rPr>
        <w:t xml:space="preserve">fushat e tjera të mbështetjes </w:t>
      </w:r>
      <w:r w:rsidRPr="00913E39">
        <w:rPr>
          <w:rFonts w:ascii="Garamond" w:hAnsi="Garamond"/>
          <w:i/>
          <w:sz w:val="24"/>
        </w:rPr>
        <w:t xml:space="preserve">përfshirë </w:t>
      </w:r>
      <w:r w:rsidR="00076265" w:rsidRPr="00913E39">
        <w:rPr>
          <w:rFonts w:ascii="Garamond" w:hAnsi="Garamond"/>
          <w:i/>
          <w:sz w:val="24"/>
        </w:rPr>
        <w:t>a</w:t>
      </w:r>
      <w:r w:rsidRPr="00913E39">
        <w:rPr>
          <w:rFonts w:ascii="Garamond" w:hAnsi="Garamond"/>
          <w:i/>
          <w:sz w:val="24"/>
        </w:rPr>
        <w:t>sistencën teknike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5"/>
        <w:gridCol w:w="2514"/>
        <w:gridCol w:w="1163"/>
        <w:gridCol w:w="869"/>
        <w:gridCol w:w="3213"/>
      </w:tblGrid>
      <w:tr w:rsidR="00847F23" w:rsidRPr="00913E39" w14:paraId="3E19AF0E" w14:textId="77777777" w:rsidTr="004F525C">
        <w:trPr>
          <w:trHeight w:val="20"/>
          <w:tblHeader/>
        </w:trPr>
        <w:tc>
          <w:tcPr>
            <w:tcW w:w="0" w:type="auto"/>
            <w:shd w:val="clear" w:color="auto" w:fill="auto"/>
            <w:vAlign w:val="center"/>
          </w:tcPr>
          <w:p w14:paraId="20387D76"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Kategoria</w:t>
            </w:r>
            <w:r w:rsidRPr="00913E39">
              <w:rPr>
                <w:rFonts w:ascii="Garamond" w:hAnsi="Garamond"/>
                <w:sz w:val="18"/>
                <w:vertAlign w:val="superscript"/>
              </w:rPr>
              <w:footnoteReference w:id="93"/>
            </w:r>
          </w:p>
        </w:tc>
        <w:tc>
          <w:tcPr>
            <w:tcW w:w="0" w:type="auto"/>
            <w:shd w:val="clear" w:color="auto" w:fill="auto"/>
            <w:vAlign w:val="center"/>
          </w:tcPr>
          <w:p w14:paraId="3231EBF0"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Risku</w:t>
            </w:r>
          </w:p>
        </w:tc>
        <w:tc>
          <w:tcPr>
            <w:tcW w:w="0" w:type="auto"/>
            <w:shd w:val="clear" w:color="auto" w:fill="auto"/>
            <w:vAlign w:val="center"/>
          </w:tcPr>
          <w:p w14:paraId="40352862"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Probabiliteti</w:t>
            </w:r>
          </w:p>
        </w:tc>
        <w:tc>
          <w:tcPr>
            <w:tcW w:w="0" w:type="auto"/>
            <w:shd w:val="clear" w:color="auto" w:fill="auto"/>
            <w:vAlign w:val="center"/>
          </w:tcPr>
          <w:p w14:paraId="525B1B68"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Ndikimi</w:t>
            </w:r>
          </w:p>
        </w:tc>
        <w:tc>
          <w:tcPr>
            <w:tcW w:w="0" w:type="auto"/>
            <w:shd w:val="clear" w:color="auto" w:fill="auto"/>
            <w:vAlign w:val="center"/>
          </w:tcPr>
          <w:p w14:paraId="0C373C87" w14:textId="77777777" w:rsidR="00847F23" w:rsidRPr="00913E39" w:rsidRDefault="00847F23" w:rsidP="004F525C">
            <w:pPr>
              <w:spacing w:after="0" w:line="240" w:lineRule="auto"/>
              <w:jc w:val="center"/>
              <w:rPr>
                <w:rFonts w:ascii="Garamond" w:hAnsi="Garamond"/>
                <w:b/>
                <w:sz w:val="18"/>
              </w:rPr>
            </w:pPr>
            <w:r w:rsidRPr="00913E39">
              <w:rPr>
                <w:rFonts w:ascii="Garamond" w:hAnsi="Garamond"/>
                <w:b/>
                <w:sz w:val="18"/>
              </w:rPr>
              <w:t>Masa zbutëse</w:t>
            </w:r>
          </w:p>
        </w:tc>
      </w:tr>
      <w:tr w:rsidR="00847F23" w:rsidRPr="00913E39" w14:paraId="19097C49" w14:textId="77777777" w:rsidTr="004F525C">
        <w:trPr>
          <w:trHeight w:val="20"/>
        </w:trPr>
        <w:tc>
          <w:tcPr>
            <w:tcW w:w="0" w:type="auto"/>
            <w:shd w:val="clear" w:color="auto" w:fill="auto"/>
          </w:tcPr>
          <w:p w14:paraId="7A5D85C6" w14:textId="77777777" w:rsidR="00847F23" w:rsidRPr="00913E39" w:rsidRDefault="00847F23" w:rsidP="004F525C">
            <w:pPr>
              <w:spacing w:after="0" w:line="240" w:lineRule="auto"/>
              <w:rPr>
                <w:rFonts w:ascii="Garamond" w:hAnsi="Garamond"/>
                <w:sz w:val="18"/>
              </w:rPr>
            </w:pPr>
            <w:r w:rsidRPr="00913E39">
              <w:rPr>
                <w:rFonts w:ascii="Garamond" w:hAnsi="Garamond"/>
                <w:sz w:val="18"/>
              </w:rPr>
              <w:t>3- njerëzit dhe organizatat</w:t>
            </w:r>
          </w:p>
        </w:tc>
        <w:tc>
          <w:tcPr>
            <w:tcW w:w="0" w:type="auto"/>
            <w:shd w:val="clear" w:color="auto" w:fill="auto"/>
          </w:tcPr>
          <w:p w14:paraId="70E1E707" w14:textId="77777777" w:rsidR="00847F23" w:rsidRPr="00913E39" w:rsidRDefault="00847F23" w:rsidP="004F525C">
            <w:pPr>
              <w:widowControl w:val="0"/>
              <w:autoSpaceDE w:val="0"/>
              <w:autoSpaceDN w:val="0"/>
              <w:adjustRightInd w:val="0"/>
              <w:spacing w:after="0" w:line="240" w:lineRule="auto"/>
              <w:contextualSpacing/>
              <w:rPr>
                <w:rFonts w:ascii="Garamond" w:hAnsi="Garamond"/>
                <w:sz w:val="18"/>
              </w:rPr>
            </w:pPr>
            <w:r w:rsidRPr="00913E39">
              <w:rPr>
                <w:rFonts w:ascii="Garamond" w:hAnsi="Garamond"/>
                <w:sz w:val="18"/>
              </w:rPr>
              <w:t xml:space="preserve">Kapacitete të kufizuara përthithëse, mungesë e burimeve njerëzore për të kryer proceset teknike dhe organizative dhe lëvizje e shpeshtë e stafit. </w:t>
            </w:r>
          </w:p>
        </w:tc>
        <w:tc>
          <w:tcPr>
            <w:tcW w:w="0" w:type="auto"/>
            <w:shd w:val="clear" w:color="auto" w:fill="auto"/>
          </w:tcPr>
          <w:p w14:paraId="2568D92D" w14:textId="77777777" w:rsidR="00847F23" w:rsidRPr="00913E39" w:rsidRDefault="00847F23" w:rsidP="004F525C">
            <w:pPr>
              <w:spacing w:after="0" w:line="240" w:lineRule="auto"/>
              <w:jc w:val="center"/>
              <w:rPr>
                <w:rFonts w:ascii="Garamond" w:hAnsi="Garamond"/>
                <w:i/>
                <w:sz w:val="18"/>
              </w:rPr>
            </w:pPr>
            <w:r w:rsidRPr="00913E39">
              <w:rPr>
                <w:rFonts w:ascii="Garamond" w:hAnsi="Garamond"/>
                <w:b/>
                <w:i/>
                <w:sz w:val="18"/>
              </w:rPr>
              <w:t>I mesëm</w:t>
            </w:r>
          </w:p>
        </w:tc>
        <w:tc>
          <w:tcPr>
            <w:tcW w:w="0" w:type="auto"/>
            <w:shd w:val="clear" w:color="auto" w:fill="auto"/>
          </w:tcPr>
          <w:p w14:paraId="426060E6" w14:textId="77777777" w:rsidR="00847F23" w:rsidRPr="00913E39" w:rsidRDefault="00847F23" w:rsidP="004F525C">
            <w:pPr>
              <w:spacing w:after="0" w:line="240" w:lineRule="auto"/>
              <w:jc w:val="center"/>
              <w:rPr>
                <w:rFonts w:ascii="Garamond" w:hAnsi="Garamond"/>
                <w:i/>
                <w:sz w:val="18"/>
              </w:rPr>
            </w:pPr>
            <w:r w:rsidRPr="00913E39">
              <w:rPr>
                <w:rFonts w:ascii="Garamond" w:hAnsi="Garamond"/>
                <w:b/>
                <w:i/>
                <w:sz w:val="18"/>
              </w:rPr>
              <w:t>I mesëm</w:t>
            </w:r>
          </w:p>
        </w:tc>
        <w:tc>
          <w:tcPr>
            <w:tcW w:w="0" w:type="auto"/>
            <w:shd w:val="clear" w:color="auto" w:fill="auto"/>
          </w:tcPr>
          <w:p w14:paraId="06723153" w14:textId="77777777" w:rsidR="00847F23" w:rsidRPr="00913E39" w:rsidRDefault="00847F23" w:rsidP="004F525C">
            <w:pPr>
              <w:widowControl w:val="0"/>
              <w:autoSpaceDE w:val="0"/>
              <w:autoSpaceDN w:val="0"/>
              <w:adjustRightInd w:val="0"/>
              <w:spacing w:after="0" w:line="240" w:lineRule="auto"/>
              <w:contextualSpacing/>
              <w:rPr>
                <w:rFonts w:ascii="Garamond" w:hAnsi="Garamond"/>
                <w:sz w:val="18"/>
              </w:rPr>
            </w:pPr>
            <w:r w:rsidRPr="00913E39">
              <w:rPr>
                <w:rFonts w:ascii="Garamond" w:hAnsi="Garamond"/>
                <w:sz w:val="18"/>
              </w:rPr>
              <w:t xml:space="preserve">Aktivitetet nën fushën </w:t>
            </w:r>
            <w:r w:rsidR="00850FC7" w:rsidRPr="00913E39">
              <w:rPr>
                <w:rFonts w:ascii="Garamond" w:hAnsi="Garamond"/>
                <w:sz w:val="18"/>
              </w:rPr>
              <w:t>“</w:t>
            </w:r>
            <w:r w:rsidRPr="00913E39">
              <w:rPr>
                <w:rFonts w:ascii="Garamond" w:hAnsi="Garamond"/>
                <w:sz w:val="18"/>
              </w:rPr>
              <w:t>Asistencë teknike</w:t>
            </w:r>
            <w:r w:rsidR="00850FC7" w:rsidRPr="00913E39">
              <w:rPr>
                <w:rFonts w:ascii="Garamond" w:hAnsi="Garamond"/>
                <w:sz w:val="18"/>
              </w:rPr>
              <w:t>”</w:t>
            </w:r>
            <w:r w:rsidRPr="00913E39">
              <w:rPr>
                <w:rFonts w:ascii="Garamond" w:hAnsi="Garamond"/>
                <w:sz w:val="18"/>
              </w:rPr>
              <w:t xml:space="preserve"> do të rrisin kapacitetet dhe do të mbështesin ruajtjen e stafit.</w:t>
            </w:r>
          </w:p>
          <w:p w14:paraId="65DAE17E" w14:textId="77777777" w:rsidR="00847F23" w:rsidRPr="00913E39" w:rsidRDefault="00847F23" w:rsidP="004F525C">
            <w:pPr>
              <w:widowControl w:val="0"/>
              <w:autoSpaceDE w:val="0"/>
              <w:autoSpaceDN w:val="0"/>
              <w:adjustRightInd w:val="0"/>
              <w:spacing w:after="0" w:line="240" w:lineRule="auto"/>
              <w:contextualSpacing/>
              <w:rPr>
                <w:rFonts w:ascii="Garamond" w:hAnsi="Garamond"/>
                <w:sz w:val="18"/>
              </w:rPr>
            </w:pPr>
            <w:r w:rsidRPr="00913E39">
              <w:rPr>
                <w:rFonts w:ascii="Garamond" w:hAnsi="Garamond"/>
                <w:sz w:val="18"/>
              </w:rPr>
              <w:t>Do të zhvillohen udhëzues teknike për të orientuar stafin e ri që do të përfshihet.</w:t>
            </w:r>
          </w:p>
        </w:tc>
      </w:tr>
      <w:tr w:rsidR="00847F23" w:rsidRPr="00913E39" w14:paraId="6BD5E9BC" w14:textId="77777777" w:rsidTr="004F525C">
        <w:trPr>
          <w:trHeight w:val="20"/>
        </w:trPr>
        <w:tc>
          <w:tcPr>
            <w:tcW w:w="0" w:type="auto"/>
            <w:shd w:val="clear" w:color="auto" w:fill="auto"/>
          </w:tcPr>
          <w:p w14:paraId="1BF1CA5F" w14:textId="77777777" w:rsidR="00847F23" w:rsidRPr="00913E39" w:rsidRDefault="00847F23" w:rsidP="004F525C">
            <w:pPr>
              <w:spacing w:after="0" w:line="240" w:lineRule="auto"/>
              <w:rPr>
                <w:rFonts w:ascii="Garamond" w:hAnsi="Garamond"/>
                <w:sz w:val="18"/>
              </w:rPr>
            </w:pPr>
            <w:r w:rsidRPr="00913E39">
              <w:rPr>
                <w:rFonts w:ascii="Garamond" w:hAnsi="Garamond"/>
                <w:sz w:val="18"/>
              </w:rPr>
              <w:t>2- Planifikimi, proceset dhe sistemet</w:t>
            </w:r>
          </w:p>
        </w:tc>
        <w:tc>
          <w:tcPr>
            <w:tcW w:w="0" w:type="auto"/>
            <w:shd w:val="clear" w:color="auto" w:fill="auto"/>
          </w:tcPr>
          <w:p w14:paraId="25ED6DCA" w14:textId="77777777" w:rsidR="00847F23" w:rsidRPr="00913E39" w:rsidRDefault="00847F23" w:rsidP="004F525C">
            <w:pPr>
              <w:widowControl w:val="0"/>
              <w:autoSpaceDE w:val="0"/>
              <w:autoSpaceDN w:val="0"/>
              <w:adjustRightInd w:val="0"/>
              <w:spacing w:after="0" w:line="240" w:lineRule="auto"/>
              <w:contextualSpacing/>
              <w:rPr>
                <w:rFonts w:ascii="Garamond" w:hAnsi="Garamond"/>
                <w:sz w:val="18"/>
              </w:rPr>
            </w:pPr>
            <w:r w:rsidRPr="00913E39">
              <w:rPr>
                <w:rFonts w:ascii="Garamond" w:hAnsi="Garamond"/>
                <w:sz w:val="18"/>
              </w:rPr>
              <w:t>Mungesa e dokumentacionit teknik dhe tenderit në kohë dhe cilësi.</w:t>
            </w:r>
          </w:p>
          <w:p w14:paraId="2099989B" w14:textId="77777777" w:rsidR="00847F23" w:rsidRPr="00913E39" w:rsidRDefault="00847F23" w:rsidP="004F525C">
            <w:pPr>
              <w:widowControl w:val="0"/>
              <w:autoSpaceDE w:val="0"/>
              <w:autoSpaceDN w:val="0"/>
              <w:adjustRightInd w:val="0"/>
              <w:spacing w:after="0" w:line="240" w:lineRule="auto"/>
              <w:contextualSpacing/>
              <w:rPr>
                <w:rFonts w:ascii="Garamond" w:hAnsi="Garamond"/>
                <w:sz w:val="18"/>
              </w:rPr>
            </w:pPr>
          </w:p>
          <w:p w14:paraId="3F802AF4" w14:textId="77777777" w:rsidR="00847F23" w:rsidRPr="00913E39" w:rsidRDefault="00847F23" w:rsidP="004F525C">
            <w:pPr>
              <w:spacing w:after="0" w:line="240" w:lineRule="auto"/>
              <w:rPr>
                <w:rFonts w:ascii="Garamond" w:hAnsi="Garamond"/>
                <w:sz w:val="18"/>
              </w:rPr>
            </w:pPr>
          </w:p>
        </w:tc>
        <w:tc>
          <w:tcPr>
            <w:tcW w:w="0" w:type="auto"/>
            <w:shd w:val="clear" w:color="auto" w:fill="auto"/>
          </w:tcPr>
          <w:p w14:paraId="32FCB8C5"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ulët</w:t>
            </w:r>
          </w:p>
        </w:tc>
        <w:tc>
          <w:tcPr>
            <w:tcW w:w="0" w:type="auto"/>
            <w:shd w:val="clear" w:color="auto" w:fill="auto"/>
          </w:tcPr>
          <w:p w14:paraId="24492726"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mesëm</w:t>
            </w:r>
          </w:p>
        </w:tc>
        <w:tc>
          <w:tcPr>
            <w:tcW w:w="0" w:type="auto"/>
            <w:shd w:val="clear" w:color="auto" w:fill="auto"/>
          </w:tcPr>
          <w:p w14:paraId="256F9E85" w14:textId="77777777" w:rsidR="00847F23" w:rsidRPr="00913E39" w:rsidRDefault="00847F23" w:rsidP="004F525C">
            <w:pPr>
              <w:widowControl w:val="0"/>
              <w:autoSpaceDE w:val="0"/>
              <w:autoSpaceDN w:val="0"/>
              <w:adjustRightInd w:val="0"/>
              <w:spacing w:after="0" w:line="240" w:lineRule="auto"/>
              <w:contextualSpacing/>
              <w:rPr>
                <w:rFonts w:ascii="Garamond" w:hAnsi="Garamond"/>
                <w:sz w:val="18"/>
              </w:rPr>
            </w:pPr>
            <w:r w:rsidRPr="00913E39">
              <w:rPr>
                <w:rFonts w:ascii="Garamond" w:hAnsi="Garamond"/>
                <w:sz w:val="18"/>
              </w:rPr>
              <w:t>Stafi i emëruar nga autoritetet përkatëse dhe njësitë e zbatimit të projektit do të krijohet menjëherë.</w:t>
            </w:r>
          </w:p>
          <w:p w14:paraId="46211342" w14:textId="77777777" w:rsidR="00847F23" w:rsidRPr="00913E39" w:rsidRDefault="00847F23" w:rsidP="004F525C">
            <w:pPr>
              <w:widowControl w:val="0"/>
              <w:autoSpaceDE w:val="0"/>
              <w:autoSpaceDN w:val="0"/>
              <w:adjustRightInd w:val="0"/>
              <w:spacing w:after="0" w:line="240" w:lineRule="auto"/>
              <w:contextualSpacing/>
              <w:rPr>
                <w:rFonts w:ascii="Garamond" w:hAnsi="Garamond"/>
                <w:sz w:val="18"/>
              </w:rPr>
            </w:pPr>
            <w:r w:rsidRPr="00913E39">
              <w:rPr>
                <w:rFonts w:ascii="Garamond" w:hAnsi="Garamond"/>
                <w:sz w:val="18"/>
              </w:rPr>
              <w:t xml:space="preserve">Stafi përkatës i trajnuar mirë dhe i përfshirë në të gjitha hapat gjatë përgatitjes së dokumentacionit teknik dhe të tenderit. </w:t>
            </w:r>
          </w:p>
          <w:p w14:paraId="7DEC94A1" w14:textId="77777777" w:rsidR="00847F23" w:rsidRPr="00913E39" w:rsidRDefault="00847F23" w:rsidP="004F525C">
            <w:pPr>
              <w:spacing w:after="0" w:line="240" w:lineRule="auto"/>
              <w:contextualSpacing/>
              <w:rPr>
                <w:rFonts w:ascii="Garamond" w:hAnsi="Garamond"/>
                <w:sz w:val="18"/>
              </w:rPr>
            </w:pPr>
            <w:r w:rsidRPr="00913E39">
              <w:rPr>
                <w:rFonts w:ascii="Garamond" w:hAnsi="Garamond"/>
                <w:sz w:val="18"/>
              </w:rPr>
              <w:t>Përdorimi i AT për përgatitjen e dokumentacionit me mekanizma të mjaftueshëm të kontrollit të cilësisë nga Autoriteti Kontraktor, përfituesit fundorë dhe/ose palët e tjera të interesit të projektit.</w:t>
            </w:r>
          </w:p>
          <w:p w14:paraId="780ED387" w14:textId="77777777" w:rsidR="00847F23" w:rsidRPr="00913E39" w:rsidRDefault="00847F23" w:rsidP="004F525C">
            <w:pPr>
              <w:spacing w:after="0" w:line="240" w:lineRule="auto"/>
              <w:rPr>
                <w:rFonts w:ascii="Garamond" w:hAnsi="Garamond"/>
                <w:sz w:val="18"/>
              </w:rPr>
            </w:pPr>
            <w:r w:rsidRPr="00913E39">
              <w:rPr>
                <w:rFonts w:ascii="Garamond" w:hAnsi="Garamond"/>
                <w:sz w:val="18"/>
              </w:rPr>
              <w:t xml:space="preserve">Minimizimi i vonesave në përgatitjen dhe kontraktimin e dosjeve të tenderit nëpërmjet një parashikimi më të mirë, planifikimit të prokurimit dhe kapaciteteve më të larta institucionale në autoritetet që menaxhojnë fondet. </w:t>
            </w:r>
          </w:p>
        </w:tc>
      </w:tr>
      <w:tr w:rsidR="00847F23" w:rsidRPr="00913E39" w14:paraId="7F67BCF1" w14:textId="77777777" w:rsidTr="004F525C">
        <w:trPr>
          <w:trHeight w:val="20"/>
        </w:trPr>
        <w:tc>
          <w:tcPr>
            <w:tcW w:w="0" w:type="auto"/>
            <w:shd w:val="clear" w:color="auto" w:fill="auto"/>
          </w:tcPr>
          <w:p w14:paraId="0874CFB4" w14:textId="77777777" w:rsidR="00847F23" w:rsidRPr="00FF4D35" w:rsidRDefault="00847F23" w:rsidP="004F525C">
            <w:pPr>
              <w:spacing w:after="0" w:line="240" w:lineRule="auto"/>
              <w:rPr>
                <w:rFonts w:ascii="Garamond" w:hAnsi="Garamond"/>
                <w:sz w:val="18"/>
              </w:rPr>
            </w:pPr>
            <w:r w:rsidRPr="00FF4D35">
              <w:rPr>
                <w:rFonts w:ascii="Garamond" w:hAnsi="Garamond"/>
                <w:sz w:val="18"/>
              </w:rPr>
              <w:t>1- Mjedisi i jashtëm</w:t>
            </w:r>
          </w:p>
        </w:tc>
        <w:tc>
          <w:tcPr>
            <w:tcW w:w="0" w:type="auto"/>
            <w:shd w:val="clear" w:color="auto" w:fill="auto"/>
          </w:tcPr>
          <w:p w14:paraId="0450F05B" w14:textId="77777777" w:rsidR="00847F23" w:rsidRPr="00913E39" w:rsidRDefault="00847F23" w:rsidP="004F525C">
            <w:pPr>
              <w:spacing w:after="0" w:line="240" w:lineRule="auto"/>
              <w:rPr>
                <w:rFonts w:ascii="Garamond" w:hAnsi="Garamond"/>
                <w:sz w:val="18"/>
              </w:rPr>
            </w:pPr>
            <w:r w:rsidRPr="00913E39">
              <w:rPr>
                <w:rFonts w:ascii="Garamond" w:hAnsi="Garamond"/>
                <w:sz w:val="18"/>
              </w:rPr>
              <w:t>Procedurat e tenderimit të pasuksesshme për shkak të fondeve të pamjaftueshme / ofertave mbi buxhetin.</w:t>
            </w:r>
          </w:p>
        </w:tc>
        <w:tc>
          <w:tcPr>
            <w:tcW w:w="0" w:type="auto"/>
            <w:shd w:val="clear" w:color="auto" w:fill="auto"/>
          </w:tcPr>
          <w:p w14:paraId="30217CDF"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Mesëm</w:t>
            </w:r>
          </w:p>
        </w:tc>
        <w:tc>
          <w:tcPr>
            <w:tcW w:w="0" w:type="auto"/>
            <w:shd w:val="clear" w:color="auto" w:fill="auto"/>
          </w:tcPr>
          <w:p w14:paraId="0FC03821"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lartë</w:t>
            </w:r>
          </w:p>
        </w:tc>
        <w:tc>
          <w:tcPr>
            <w:tcW w:w="0" w:type="auto"/>
            <w:shd w:val="clear" w:color="auto" w:fill="auto"/>
          </w:tcPr>
          <w:p w14:paraId="5C35F78B" w14:textId="77777777" w:rsidR="00847F23" w:rsidRPr="00913E39" w:rsidRDefault="00847F23" w:rsidP="004F525C">
            <w:pPr>
              <w:spacing w:after="0" w:line="240" w:lineRule="auto"/>
              <w:contextualSpacing/>
              <w:rPr>
                <w:rFonts w:ascii="Garamond" w:hAnsi="Garamond"/>
                <w:sz w:val="18"/>
              </w:rPr>
            </w:pPr>
            <w:r w:rsidRPr="00913E39">
              <w:rPr>
                <w:rFonts w:ascii="Garamond" w:hAnsi="Garamond"/>
                <w:sz w:val="18"/>
              </w:rPr>
              <w:t xml:space="preserve">Vlerësimet e kostove të investimit bazuar në kërkimet e përditësuara të tregut. </w:t>
            </w:r>
          </w:p>
          <w:p w14:paraId="1D667A1F" w14:textId="77777777" w:rsidR="00847F23" w:rsidRPr="00913E39" w:rsidRDefault="00847F23" w:rsidP="004F525C">
            <w:pPr>
              <w:spacing w:after="0" w:line="240" w:lineRule="auto"/>
              <w:rPr>
                <w:rFonts w:ascii="Garamond" w:hAnsi="Garamond"/>
                <w:sz w:val="18"/>
              </w:rPr>
            </w:pPr>
            <w:r w:rsidRPr="00913E39">
              <w:rPr>
                <w:rFonts w:ascii="Garamond" w:hAnsi="Garamond"/>
                <w:sz w:val="18"/>
              </w:rPr>
              <w:t>Shpërndarja e buxhetit me rezerva të mjaftueshme duke llogaritur ndryshimet e parashikuara të çmimeve deri në datën e pritshme të prokurimit dhe/ose identifikimi paraprak i mundësive nëse kanë nevojë për fonde shtesë.</w:t>
            </w:r>
          </w:p>
        </w:tc>
      </w:tr>
      <w:tr w:rsidR="00847F23" w:rsidRPr="00913E39" w14:paraId="0330819C" w14:textId="77777777" w:rsidTr="004F525C">
        <w:trPr>
          <w:trHeight w:val="20"/>
        </w:trPr>
        <w:tc>
          <w:tcPr>
            <w:tcW w:w="0" w:type="auto"/>
            <w:shd w:val="clear" w:color="auto" w:fill="auto"/>
            <w:vAlign w:val="center"/>
          </w:tcPr>
          <w:p w14:paraId="49C866E8" w14:textId="77777777" w:rsidR="00847F23" w:rsidRPr="00913E39" w:rsidRDefault="00847F23" w:rsidP="004F525C">
            <w:pPr>
              <w:spacing w:after="0" w:line="240" w:lineRule="auto"/>
              <w:rPr>
                <w:rFonts w:ascii="Garamond" w:hAnsi="Garamond"/>
                <w:sz w:val="18"/>
              </w:rPr>
            </w:pPr>
            <w:r w:rsidRPr="00913E39">
              <w:rPr>
                <w:rFonts w:ascii="Garamond" w:hAnsi="Garamond"/>
                <w:sz w:val="18"/>
              </w:rPr>
              <w:t>5-Komunikimi dhe informimi</w:t>
            </w:r>
          </w:p>
        </w:tc>
        <w:tc>
          <w:tcPr>
            <w:tcW w:w="0" w:type="auto"/>
            <w:shd w:val="clear" w:color="auto" w:fill="auto"/>
            <w:vAlign w:val="center"/>
          </w:tcPr>
          <w:p w14:paraId="2820A7C7" w14:textId="77777777" w:rsidR="00847F23" w:rsidRPr="00913E39" w:rsidRDefault="00847F23" w:rsidP="004F525C">
            <w:pPr>
              <w:spacing w:after="0" w:line="240" w:lineRule="auto"/>
              <w:rPr>
                <w:rFonts w:ascii="Garamond" w:hAnsi="Garamond"/>
                <w:sz w:val="18"/>
              </w:rPr>
            </w:pPr>
            <w:r w:rsidRPr="00913E39">
              <w:rPr>
                <w:rFonts w:ascii="Garamond" w:hAnsi="Garamond"/>
                <w:sz w:val="18"/>
              </w:rPr>
              <w:t>Shtrirje e kufizuar te grupi i synuar.</w:t>
            </w:r>
          </w:p>
        </w:tc>
        <w:tc>
          <w:tcPr>
            <w:tcW w:w="0" w:type="auto"/>
            <w:shd w:val="clear" w:color="auto" w:fill="auto"/>
            <w:vAlign w:val="center"/>
          </w:tcPr>
          <w:p w14:paraId="07D13A70"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ulët</w:t>
            </w:r>
          </w:p>
        </w:tc>
        <w:tc>
          <w:tcPr>
            <w:tcW w:w="0" w:type="auto"/>
            <w:shd w:val="clear" w:color="auto" w:fill="auto"/>
            <w:vAlign w:val="center"/>
          </w:tcPr>
          <w:p w14:paraId="00BB968F" w14:textId="77777777" w:rsidR="00847F23" w:rsidRPr="00913E39" w:rsidRDefault="00847F23" w:rsidP="004F525C">
            <w:pPr>
              <w:spacing w:after="0" w:line="240" w:lineRule="auto"/>
              <w:jc w:val="center"/>
              <w:rPr>
                <w:rFonts w:ascii="Garamond" w:hAnsi="Garamond"/>
                <w:sz w:val="18"/>
              </w:rPr>
            </w:pPr>
            <w:r w:rsidRPr="00913E39">
              <w:rPr>
                <w:rFonts w:ascii="Garamond" w:hAnsi="Garamond"/>
                <w:sz w:val="18"/>
              </w:rPr>
              <w:t>I ulët</w:t>
            </w:r>
          </w:p>
        </w:tc>
        <w:tc>
          <w:tcPr>
            <w:tcW w:w="0" w:type="auto"/>
            <w:shd w:val="clear" w:color="auto" w:fill="auto"/>
          </w:tcPr>
          <w:p w14:paraId="378BA472" w14:textId="77777777" w:rsidR="00847F23" w:rsidRPr="00913E39" w:rsidRDefault="00847F23" w:rsidP="004F525C">
            <w:pPr>
              <w:spacing w:after="0" w:line="240" w:lineRule="auto"/>
              <w:rPr>
                <w:rFonts w:ascii="Garamond" w:hAnsi="Garamond"/>
                <w:sz w:val="18"/>
              </w:rPr>
            </w:pPr>
            <w:r w:rsidRPr="00913E39">
              <w:rPr>
                <w:rFonts w:ascii="Garamond" w:hAnsi="Garamond"/>
                <w:sz w:val="18"/>
              </w:rPr>
              <w:t xml:space="preserve">Shqipëria ka zhvilluar tashmë një sërë masash për të nxitur financimin e BE-së dhe kjo do të ndiqet më pas. Për më tepër, komunikimi nën fushën </w:t>
            </w:r>
            <w:r w:rsidR="00850FC7" w:rsidRPr="00913E39">
              <w:rPr>
                <w:rFonts w:ascii="Garamond" w:hAnsi="Garamond"/>
                <w:sz w:val="18"/>
              </w:rPr>
              <w:t>“</w:t>
            </w:r>
            <w:r w:rsidRPr="00913E39">
              <w:rPr>
                <w:rFonts w:ascii="Garamond" w:hAnsi="Garamond"/>
                <w:sz w:val="18"/>
              </w:rPr>
              <w:t>Asistencë teknike</w:t>
            </w:r>
            <w:r w:rsidR="00850FC7" w:rsidRPr="00913E39">
              <w:rPr>
                <w:rFonts w:ascii="Garamond" w:hAnsi="Garamond"/>
                <w:sz w:val="18"/>
              </w:rPr>
              <w:t>”</w:t>
            </w:r>
            <w:r w:rsidRPr="00913E39">
              <w:rPr>
                <w:rFonts w:ascii="Garamond" w:hAnsi="Garamond"/>
                <w:sz w:val="18"/>
              </w:rPr>
              <w:t xml:space="preserve"> do të plotësohet me komunikim specifik sektorial. </w:t>
            </w:r>
          </w:p>
        </w:tc>
      </w:tr>
    </w:tbl>
    <w:p w14:paraId="76E8F497" w14:textId="77777777" w:rsidR="00847F23" w:rsidRPr="00913E39" w:rsidRDefault="00847F23" w:rsidP="004F525C">
      <w:pPr>
        <w:spacing w:after="0" w:line="240" w:lineRule="auto"/>
        <w:ind w:firstLine="284"/>
        <w:jc w:val="both"/>
        <w:rPr>
          <w:rFonts w:ascii="Garamond" w:hAnsi="Garamond"/>
          <w:sz w:val="24"/>
        </w:rPr>
      </w:pPr>
    </w:p>
    <w:p w14:paraId="61FC4A87" w14:textId="77777777"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Për realizimin e suksesshëm të Programit Operacional, duhet të plotësohen këto parakushtet:</w:t>
      </w:r>
    </w:p>
    <w:p w14:paraId="26C40FC3" w14:textId="2D90CBFA" w:rsidR="00847F23" w:rsidRPr="00913E39" w:rsidRDefault="00421586" w:rsidP="004F525C">
      <w:pPr>
        <w:spacing w:after="0" w:line="240" w:lineRule="auto"/>
        <w:ind w:firstLine="284"/>
        <w:contextualSpacing/>
        <w:jc w:val="both"/>
        <w:rPr>
          <w:rFonts w:ascii="Garamond" w:hAnsi="Garamond"/>
          <w:sz w:val="24"/>
        </w:rPr>
      </w:pPr>
      <w:r w:rsidRPr="00913E39">
        <w:rPr>
          <w:rFonts w:ascii="Garamond" w:hAnsi="Garamond"/>
          <w:sz w:val="24"/>
        </w:rPr>
        <w:t xml:space="preserve">- </w:t>
      </w:r>
      <w:r w:rsidR="00847F23" w:rsidRPr="00913E39">
        <w:rPr>
          <w:rFonts w:ascii="Garamond" w:hAnsi="Garamond"/>
          <w:sz w:val="24"/>
        </w:rPr>
        <w:t>Angazhimi i fortë i të gjitha institucioneve për zbatimin e agjendës së integrimit në BE</w:t>
      </w:r>
      <w:r w:rsidR="003839B4" w:rsidRPr="00913E39">
        <w:rPr>
          <w:rFonts w:ascii="Garamond" w:hAnsi="Garamond"/>
          <w:sz w:val="24"/>
        </w:rPr>
        <w:t>;</w:t>
      </w:r>
    </w:p>
    <w:p w14:paraId="4A9D62D6" w14:textId="26EDFA62" w:rsidR="00847F23" w:rsidRPr="00913E39" w:rsidRDefault="00421586" w:rsidP="004F525C">
      <w:pPr>
        <w:spacing w:after="0" w:line="240" w:lineRule="auto"/>
        <w:ind w:firstLine="284"/>
        <w:contextualSpacing/>
        <w:jc w:val="both"/>
        <w:rPr>
          <w:rFonts w:ascii="Garamond" w:hAnsi="Garamond"/>
          <w:sz w:val="24"/>
        </w:rPr>
      </w:pPr>
      <w:r w:rsidRPr="00913E39">
        <w:rPr>
          <w:rFonts w:ascii="Garamond" w:hAnsi="Garamond"/>
          <w:sz w:val="24"/>
        </w:rPr>
        <w:t xml:space="preserve">- </w:t>
      </w:r>
      <w:r w:rsidR="00847F23" w:rsidRPr="00913E39">
        <w:rPr>
          <w:rFonts w:ascii="Garamond" w:hAnsi="Garamond"/>
          <w:sz w:val="24"/>
        </w:rPr>
        <w:t>Disponueshmëria e burimeve përkatëse për të menaxhuar prokurimin dhe disbursimin e fondeve (burimet njerëzore dhe bashkëfinancimi kombëtar)</w:t>
      </w:r>
      <w:r w:rsidR="003839B4" w:rsidRPr="00913E39">
        <w:rPr>
          <w:rFonts w:ascii="Garamond" w:hAnsi="Garamond"/>
          <w:sz w:val="24"/>
        </w:rPr>
        <w:t>;</w:t>
      </w:r>
    </w:p>
    <w:p w14:paraId="12E59206" w14:textId="12AB3CCC" w:rsidR="00847F23" w:rsidRPr="00913E39" w:rsidRDefault="00421586" w:rsidP="004F525C">
      <w:pPr>
        <w:spacing w:after="0" w:line="240" w:lineRule="auto"/>
        <w:ind w:firstLine="284"/>
        <w:contextualSpacing/>
        <w:jc w:val="both"/>
        <w:rPr>
          <w:rFonts w:ascii="Garamond" w:hAnsi="Garamond"/>
          <w:sz w:val="24"/>
        </w:rPr>
      </w:pPr>
      <w:r w:rsidRPr="00913E39">
        <w:rPr>
          <w:rFonts w:ascii="Garamond" w:hAnsi="Garamond"/>
          <w:sz w:val="24"/>
        </w:rPr>
        <w:t xml:space="preserve">- </w:t>
      </w:r>
      <w:r w:rsidR="00847F23" w:rsidRPr="00913E39">
        <w:rPr>
          <w:rFonts w:ascii="Garamond" w:hAnsi="Garamond"/>
          <w:sz w:val="24"/>
        </w:rPr>
        <w:t>Bashkëpunim i fortë ndërmjet Autoritetit Menaxhues, ministrive përkatëse të linjës dhe organit të ndërmjetëm për menaxhimin financiar</w:t>
      </w:r>
      <w:r w:rsidR="003839B4" w:rsidRPr="00913E39">
        <w:rPr>
          <w:rFonts w:ascii="Garamond" w:hAnsi="Garamond"/>
          <w:sz w:val="24"/>
        </w:rPr>
        <w:t>;</w:t>
      </w:r>
    </w:p>
    <w:p w14:paraId="0C1FA156" w14:textId="25D867C9" w:rsidR="00847F23" w:rsidRPr="00913E39" w:rsidRDefault="00421586" w:rsidP="004F525C">
      <w:pPr>
        <w:spacing w:after="0" w:line="240" w:lineRule="auto"/>
        <w:ind w:firstLine="284"/>
        <w:contextualSpacing/>
        <w:jc w:val="both"/>
        <w:rPr>
          <w:rFonts w:ascii="Garamond" w:hAnsi="Garamond"/>
          <w:sz w:val="24"/>
        </w:rPr>
      </w:pPr>
      <w:r w:rsidRPr="00913E39">
        <w:rPr>
          <w:rFonts w:ascii="Garamond" w:hAnsi="Garamond"/>
          <w:sz w:val="24"/>
        </w:rPr>
        <w:t xml:space="preserve">- </w:t>
      </w:r>
      <w:r w:rsidR="00847F23" w:rsidRPr="00913E39">
        <w:rPr>
          <w:rFonts w:ascii="Garamond" w:hAnsi="Garamond"/>
          <w:sz w:val="24"/>
        </w:rPr>
        <w:t xml:space="preserve">Koordinim efektiv mes organeve përgjegjëse për këtë PO dhe atyre për </w:t>
      </w:r>
      <w:r w:rsidR="003839B4" w:rsidRPr="00913E39">
        <w:rPr>
          <w:rFonts w:ascii="Garamond" w:hAnsi="Garamond"/>
          <w:sz w:val="24"/>
        </w:rPr>
        <w:t>p</w:t>
      </w:r>
      <w:r w:rsidR="00847F23" w:rsidRPr="00913E39">
        <w:rPr>
          <w:rFonts w:ascii="Garamond" w:hAnsi="Garamond"/>
          <w:sz w:val="24"/>
        </w:rPr>
        <w:t>rogramet e tjera (risi për Shqipërinë në modalitetin e menaxhimit indirekt që po rritet me shpejtësi)</w:t>
      </w:r>
      <w:r w:rsidR="003839B4" w:rsidRPr="00913E39">
        <w:rPr>
          <w:rFonts w:ascii="Garamond" w:hAnsi="Garamond"/>
          <w:sz w:val="24"/>
        </w:rPr>
        <w:t>.</w:t>
      </w:r>
    </w:p>
    <w:p w14:paraId="26DA3613" w14:textId="77777777" w:rsidR="003839B4" w:rsidRPr="00913E39" w:rsidRDefault="00847F23" w:rsidP="004F525C">
      <w:pPr>
        <w:spacing w:after="0" w:line="240" w:lineRule="auto"/>
        <w:ind w:firstLine="284"/>
        <w:jc w:val="both"/>
        <w:rPr>
          <w:rFonts w:ascii="Garamond" w:hAnsi="Garamond"/>
          <w:sz w:val="24"/>
        </w:rPr>
      </w:pPr>
      <w:r w:rsidRPr="00913E39">
        <w:rPr>
          <w:rFonts w:ascii="Garamond" w:hAnsi="Garamond"/>
          <w:sz w:val="24"/>
        </w:rPr>
        <w:t>Risqet dhe parashikimet do të përditësohen gjatë përgatitjes së fletëve përkatëse të identifikimit të projektit dhe gjatë çdo procesi prokurimi.</w:t>
      </w:r>
    </w:p>
    <w:p w14:paraId="347D19B7" w14:textId="582BE417" w:rsidR="00847F23" w:rsidRPr="00913E39" w:rsidRDefault="00421586" w:rsidP="004F525C">
      <w:pPr>
        <w:spacing w:after="0" w:line="240" w:lineRule="auto"/>
        <w:ind w:firstLine="284"/>
        <w:jc w:val="both"/>
        <w:rPr>
          <w:rFonts w:ascii="Garamond" w:hAnsi="Garamond"/>
          <w:b/>
          <w:sz w:val="24"/>
        </w:rPr>
      </w:pPr>
      <w:r w:rsidRPr="00913E39">
        <w:rPr>
          <w:rFonts w:ascii="Garamond" w:hAnsi="Garamond"/>
          <w:b/>
          <w:sz w:val="24"/>
        </w:rPr>
        <w:t xml:space="preserve">5. </w:t>
      </w:r>
      <w:r w:rsidR="00847F23" w:rsidRPr="00913E39">
        <w:rPr>
          <w:rFonts w:ascii="Garamond" w:hAnsi="Garamond"/>
          <w:b/>
          <w:sz w:val="24"/>
        </w:rPr>
        <w:t>Përmbledhje e procesit të konsultimit për përgatitjen e Programit Operacional</w:t>
      </w:r>
    </w:p>
    <w:p w14:paraId="3E50412C" w14:textId="013E08B8" w:rsidR="00847F23" w:rsidRPr="00913E39" w:rsidRDefault="00847F23" w:rsidP="004F525C">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Procesi i konsultimit për dokumentin e Programit Operacional përfshin hapa të shumtë që synojnë të sigurojnë pjesëmarrjen aktive të partnerëve përkatës dhe shoqërisë civile. Ky Program Operacional është përgatitur në përputhje me Kodin Evropian të Sjelljes së Partneritetit [Rregullorja e Deleguar e Komisionit (BE) nr. 240/2014 e datës 7 janar 2014 mbi kodin Evropian të sjelljes për partneritetin në kuadrin e Fondeve Evropiane Strukturore dhe të Investimeve] bazuar në metodologjinë për zbatimin e parimit të partneritetit dhe përzgjedhjen e partnerëve të zhvilluar për Programet Operacionale 2024</w:t>
      </w:r>
      <w:r w:rsidR="00750152" w:rsidRPr="00913E39">
        <w:rPr>
          <w:rFonts w:ascii="Garamond" w:hAnsi="Garamond"/>
          <w:sz w:val="24"/>
        </w:rPr>
        <w:t>–</w:t>
      </w:r>
      <w:r w:rsidRPr="00913E39">
        <w:rPr>
          <w:rFonts w:ascii="Garamond" w:hAnsi="Garamond"/>
          <w:sz w:val="24"/>
        </w:rPr>
        <w:t>2027 në Republikën e Shqipërisë sipas IPA III.</w:t>
      </w:r>
    </w:p>
    <w:p w14:paraId="27E0F799" w14:textId="77777777" w:rsidR="00847F23" w:rsidRPr="00913E39" w:rsidRDefault="00847F23" w:rsidP="004F525C">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lastRenderedPageBreak/>
        <w:t>Në përputhje me Kodin Evropian të Sjelljes për Partneritetin, Komisioni Evropian luajti një rol të rëndësishëm në përfshirjen në diskutime dhe sesione të konsultimit teknik gjatë gjithë fazës përgatitore.</w:t>
      </w:r>
      <w:r w:rsidRPr="00913E39">
        <w:rPr>
          <w:rFonts w:ascii="Garamond" w:hAnsi="Garamond"/>
          <w:sz w:val="24"/>
          <w:vertAlign w:val="superscript"/>
        </w:rPr>
        <w:footnoteReference w:id="94"/>
      </w:r>
    </w:p>
    <w:p w14:paraId="7C876E69" w14:textId="77777777" w:rsidR="00847F23" w:rsidRPr="00913E39" w:rsidRDefault="00847F23" w:rsidP="004F525C">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Partneriteti për Programin Operacional përbëhet nga përfaqësuesit më poshtë: </w:t>
      </w:r>
    </w:p>
    <w:p w14:paraId="72A3BD6F" w14:textId="17C76CB1" w:rsidR="00847F23" w:rsidRPr="00913E39" w:rsidRDefault="00421586" w:rsidP="004F525C">
      <w:pPr>
        <w:autoSpaceDE w:val="0"/>
        <w:autoSpaceDN w:val="0"/>
        <w:adjustRightInd w:val="0"/>
        <w:spacing w:after="0" w:line="240" w:lineRule="auto"/>
        <w:ind w:firstLine="284"/>
        <w:contextualSpacing/>
        <w:jc w:val="both"/>
        <w:rPr>
          <w:rFonts w:ascii="Garamond" w:hAnsi="Garamond"/>
          <w:sz w:val="24"/>
        </w:rPr>
      </w:pPr>
      <w:r w:rsidRPr="00913E39">
        <w:rPr>
          <w:rFonts w:ascii="Garamond" w:hAnsi="Garamond"/>
          <w:sz w:val="24"/>
        </w:rPr>
        <w:t xml:space="preserve">- </w:t>
      </w:r>
      <w:r w:rsidR="00997F40" w:rsidRPr="00913E39">
        <w:rPr>
          <w:rFonts w:ascii="Garamond" w:hAnsi="Garamond"/>
          <w:sz w:val="24"/>
        </w:rPr>
        <w:t xml:space="preserve">autoritetet </w:t>
      </w:r>
      <w:r w:rsidR="00847F23" w:rsidRPr="00913E39">
        <w:rPr>
          <w:rFonts w:ascii="Garamond" w:hAnsi="Garamond"/>
          <w:sz w:val="24"/>
        </w:rPr>
        <w:t>publike përkatëse, duke përfshirë përfaqësuesit e autoriteteve lokale</w:t>
      </w:r>
      <w:r w:rsidR="00997F40" w:rsidRPr="00913E39">
        <w:rPr>
          <w:rFonts w:ascii="Garamond" w:hAnsi="Garamond"/>
          <w:sz w:val="24"/>
        </w:rPr>
        <w:t>;</w:t>
      </w:r>
      <w:r w:rsidR="00847F23" w:rsidRPr="00913E39">
        <w:rPr>
          <w:rFonts w:ascii="Garamond" w:hAnsi="Garamond"/>
          <w:sz w:val="24"/>
        </w:rPr>
        <w:t xml:space="preserve"> </w:t>
      </w:r>
    </w:p>
    <w:p w14:paraId="0EA73EF1" w14:textId="70BE9F53" w:rsidR="00847F23" w:rsidRPr="00913E39" w:rsidRDefault="00421586" w:rsidP="004F525C">
      <w:pPr>
        <w:autoSpaceDE w:val="0"/>
        <w:autoSpaceDN w:val="0"/>
        <w:adjustRightInd w:val="0"/>
        <w:spacing w:after="0" w:line="240" w:lineRule="auto"/>
        <w:ind w:firstLine="284"/>
        <w:contextualSpacing/>
        <w:jc w:val="both"/>
        <w:rPr>
          <w:rFonts w:ascii="Garamond" w:hAnsi="Garamond"/>
          <w:sz w:val="24"/>
        </w:rPr>
      </w:pPr>
      <w:r w:rsidRPr="00913E39">
        <w:rPr>
          <w:rFonts w:ascii="Garamond" w:hAnsi="Garamond"/>
          <w:sz w:val="24"/>
        </w:rPr>
        <w:t xml:space="preserve">- </w:t>
      </w:r>
      <w:r w:rsidR="00997F40" w:rsidRPr="00913E39">
        <w:rPr>
          <w:rFonts w:ascii="Garamond" w:hAnsi="Garamond"/>
          <w:sz w:val="24"/>
        </w:rPr>
        <w:t xml:space="preserve">përfaqësues </w:t>
      </w:r>
      <w:r w:rsidR="00847F23" w:rsidRPr="00913E39">
        <w:rPr>
          <w:rFonts w:ascii="Garamond" w:hAnsi="Garamond"/>
          <w:sz w:val="24"/>
        </w:rPr>
        <w:t xml:space="preserve">të </w:t>
      </w:r>
      <w:r w:rsidR="00750152" w:rsidRPr="00913E39">
        <w:rPr>
          <w:rFonts w:ascii="Garamond" w:hAnsi="Garamond"/>
          <w:sz w:val="24"/>
        </w:rPr>
        <w:t xml:space="preserve">partnerëve për zhvillim </w:t>
      </w:r>
      <w:r w:rsidR="00847F23" w:rsidRPr="00913E39">
        <w:rPr>
          <w:rFonts w:ascii="Garamond" w:hAnsi="Garamond"/>
          <w:sz w:val="24"/>
        </w:rPr>
        <w:t>në Shqipëri</w:t>
      </w:r>
      <w:r w:rsidR="00997F40" w:rsidRPr="00913E39">
        <w:rPr>
          <w:rFonts w:ascii="Garamond" w:hAnsi="Garamond"/>
          <w:sz w:val="24"/>
        </w:rPr>
        <w:t>;</w:t>
      </w:r>
    </w:p>
    <w:p w14:paraId="41266184" w14:textId="3651E15F" w:rsidR="00847F23" w:rsidRPr="00913E39" w:rsidRDefault="00421586" w:rsidP="004F525C">
      <w:pPr>
        <w:autoSpaceDE w:val="0"/>
        <w:autoSpaceDN w:val="0"/>
        <w:adjustRightInd w:val="0"/>
        <w:spacing w:after="0" w:line="240" w:lineRule="auto"/>
        <w:ind w:firstLine="284"/>
        <w:contextualSpacing/>
        <w:jc w:val="both"/>
        <w:rPr>
          <w:rFonts w:ascii="Garamond" w:hAnsi="Garamond"/>
          <w:sz w:val="24"/>
        </w:rPr>
      </w:pPr>
      <w:r w:rsidRPr="00913E39">
        <w:rPr>
          <w:rFonts w:ascii="Garamond" w:hAnsi="Garamond"/>
          <w:sz w:val="24"/>
        </w:rPr>
        <w:t xml:space="preserve">- </w:t>
      </w:r>
      <w:r w:rsidR="00997F40" w:rsidRPr="00913E39">
        <w:rPr>
          <w:rFonts w:ascii="Garamond" w:hAnsi="Garamond"/>
          <w:sz w:val="24"/>
        </w:rPr>
        <w:t xml:space="preserve">autoritetet </w:t>
      </w:r>
      <w:r w:rsidR="00847F23" w:rsidRPr="00913E39">
        <w:rPr>
          <w:rFonts w:ascii="Garamond" w:hAnsi="Garamond"/>
          <w:sz w:val="24"/>
        </w:rPr>
        <w:t>publike kombëtare përgjegjëse për zbatimin e parimeve horizontale</w:t>
      </w:r>
      <w:r w:rsidR="00997F40" w:rsidRPr="00913E39">
        <w:rPr>
          <w:rFonts w:ascii="Garamond" w:hAnsi="Garamond"/>
          <w:sz w:val="24"/>
        </w:rPr>
        <w:t>;</w:t>
      </w:r>
    </w:p>
    <w:p w14:paraId="7877E71B" w14:textId="615D1E0D" w:rsidR="00847F23" w:rsidRPr="00913E39" w:rsidRDefault="00421586" w:rsidP="004F525C">
      <w:pPr>
        <w:autoSpaceDE w:val="0"/>
        <w:autoSpaceDN w:val="0"/>
        <w:adjustRightInd w:val="0"/>
        <w:spacing w:after="0" w:line="240" w:lineRule="auto"/>
        <w:ind w:firstLine="284"/>
        <w:contextualSpacing/>
        <w:jc w:val="both"/>
        <w:rPr>
          <w:rFonts w:ascii="Garamond" w:hAnsi="Garamond"/>
          <w:sz w:val="24"/>
        </w:rPr>
      </w:pPr>
      <w:r w:rsidRPr="00913E39">
        <w:rPr>
          <w:rFonts w:ascii="Garamond" w:hAnsi="Garamond"/>
          <w:sz w:val="24"/>
        </w:rPr>
        <w:t xml:space="preserve">- </w:t>
      </w:r>
      <w:r w:rsidR="00997F40" w:rsidRPr="00913E39">
        <w:rPr>
          <w:rFonts w:ascii="Garamond" w:hAnsi="Garamond"/>
          <w:sz w:val="24"/>
        </w:rPr>
        <w:t xml:space="preserve">partnerët </w:t>
      </w:r>
      <w:r w:rsidR="00847F23" w:rsidRPr="00913E39">
        <w:rPr>
          <w:rFonts w:ascii="Garamond" w:hAnsi="Garamond"/>
          <w:sz w:val="24"/>
        </w:rPr>
        <w:t>ekonomikë dhe socialë</w:t>
      </w:r>
      <w:r w:rsidR="00997F40" w:rsidRPr="00913E39">
        <w:rPr>
          <w:rFonts w:ascii="Garamond" w:hAnsi="Garamond"/>
          <w:sz w:val="24"/>
        </w:rPr>
        <w:t>;</w:t>
      </w:r>
    </w:p>
    <w:p w14:paraId="2AE9F510" w14:textId="7802411C" w:rsidR="00847F23" w:rsidRPr="00913E39" w:rsidRDefault="00421586" w:rsidP="004F525C">
      <w:pPr>
        <w:autoSpaceDE w:val="0"/>
        <w:autoSpaceDN w:val="0"/>
        <w:adjustRightInd w:val="0"/>
        <w:spacing w:after="0" w:line="240" w:lineRule="auto"/>
        <w:ind w:firstLine="284"/>
        <w:contextualSpacing/>
        <w:jc w:val="both"/>
        <w:rPr>
          <w:rFonts w:ascii="Garamond" w:hAnsi="Garamond"/>
          <w:sz w:val="24"/>
        </w:rPr>
      </w:pPr>
      <w:r w:rsidRPr="00913E39">
        <w:rPr>
          <w:rFonts w:ascii="Garamond" w:hAnsi="Garamond"/>
          <w:sz w:val="24"/>
        </w:rPr>
        <w:t xml:space="preserve">- </w:t>
      </w:r>
      <w:r w:rsidR="00997F40" w:rsidRPr="00913E39">
        <w:rPr>
          <w:rFonts w:ascii="Garamond" w:hAnsi="Garamond"/>
          <w:sz w:val="24"/>
        </w:rPr>
        <w:t xml:space="preserve">organizatat </w:t>
      </w:r>
      <w:r w:rsidR="00847F23" w:rsidRPr="00913E39">
        <w:rPr>
          <w:rFonts w:ascii="Garamond" w:hAnsi="Garamond"/>
          <w:sz w:val="24"/>
        </w:rPr>
        <w:t>që përfaqësojnë shoqërinë civile.</w:t>
      </w:r>
    </w:p>
    <w:p w14:paraId="69FDD3F1" w14:textId="17892235" w:rsidR="00847F23" w:rsidRPr="00913E39" w:rsidRDefault="00847F23" w:rsidP="004F525C">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Partneriteti u krijua nga Agjencia Shtetërore e Programimit Strategjik dhe Koordinimit të Ndihmës, në varësi të Zyrës së Kryeministrit, e cila, si KKIPA, po koordinon procesin e programimit për IPA III. Lista e të gjithë partnerëve dhe aktorëve të konsultuar është përfshirë në </w:t>
      </w:r>
      <w:r w:rsidR="00997F40" w:rsidRPr="00913E39">
        <w:rPr>
          <w:rFonts w:ascii="Garamond" w:hAnsi="Garamond"/>
          <w:sz w:val="24"/>
        </w:rPr>
        <w:t>a</w:t>
      </w:r>
      <w:r w:rsidRPr="00913E39">
        <w:rPr>
          <w:rFonts w:ascii="Garamond" w:hAnsi="Garamond"/>
          <w:sz w:val="24"/>
        </w:rPr>
        <w:t>neksin 1 të këtij Programi Operacional. Hartimi i Programit Operacional ishte planifikuar të mundësonte pjesëmarrjen e plotë të partneritetit në faza të ndryshme të hartimit, duke lehtësuar procesin e hartimit të përbashkët.</w:t>
      </w:r>
    </w:p>
    <w:p w14:paraId="49B8AB47" w14:textId="15E77783" w:rsidR="00847F23" w:rsidRPr="00913E39" w:rsidRDefault="00847F23" w:rsidP="004F525C">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Takimi i parë konsultativ u mbajt më 6 qershor 2023 me komunitetin e donatorëve. Gjatë këtij takimi, donatorë si të ndryshëm</w:t>
      </w:r>
      <w:r w:rsidR="00076265" w:rsidRPr="00913E39">
        <w:rPr>
          <w:rFonts w:ascii="Garamond" w:hAnsi="Garamond"/>
          <w:sz w:val="24"/>
        </w:rPr>
        <w:t>,</w:t>
      </w:r>
      <w:r w:rsidRPr="00913E39">
        <w:rPr>
          <w:rFonts w:ascii="Garamond" w:hAnsi="Garamond"/>
          <w:sz w:val="24"/>
        </w:rPr>
        <w:t xml:space="preserve"> si: KfW, EUD, </w:t>
      </w:r>
      <w:r w:rsidRPr="00913E39">
        <w:rPr>
          <w:rFonts w:ascii="Garamond" w:hAnsi="Garamond"/>
          <w:i/>
          <w:sz w:val="24"/>
        </w:rPr>
        <w:t>Swiss Cooperation Office</w:t>
      </w:r>
      <w:r w:rsidRPr="00913E39">
        <w:rPr>
          <w:rFonts w:ascii="Garamond" w:hAnsi="Garamond"/>
          <w:sz w:val="24"/>
        </w:rPr>
        <w:t xml:space="preserve">, EBRD, WHO dhe UN shprehën opinione të vlefshme dhe pyetjet </w:t>
      </w:r>
      <w:r w:rsidR="00997F40" w:rsidRPr="00913E39">
        <w:rPr>
          <w:rFonts w:ascii="Garamond" w:hAnsi="Garamond"/>
          <w:sz w:val="24"/>
        </w:rPr>
        <w:t>përkatëse</w:t>
      </w:r>
      <w:r w:rsidRPr="00913E39">
        <w:rPr>
          <w:rFonts w:ascii="Garamond" w:hAnsi="Garamond"/>
          <w:sz w:val="24"/>
        </w:rPr>
        <w:t xml:space="preserve"> lidhur me programin.</w:t>
      </w:r>
    </w:p>
    <w:p w14:paraId="4C8F9DC1" w14:textId="64375473"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 xml:space="preserve">Takimi i dytë konsultativ u mbajt më 12 qershor 2023 dhe përfshiu palët e interesuara përkatëse si </w:t>
      </w:r>
      <w:r w:rsidR="00997F40" w:rsidRPr="00913E39">
        <w:rPr>
          <w:rFonts w:ascii="Garamond" w:hAnsi="Garamond"/>
          <w:sz w:val="24"/>
        </w:rPr>
        <w:t xml:space="preserve">organizatat e shoqërisë civile </w:t>
      </w:r>
      <w:r w:rsidRPr="00913E39">
        <w:rPr>
          <w:rFonts w:ascii="Garamond" w:hAnsi="Garamond"/>
          <w:sz w:val="24"/>
        </w:rPr>
        <w:t>(OSHC)</w:t>
      </w:r>
      <w:r w:rsidRPr="00913E39">
        <w:rPr>
          <w:rFonts w:ascii="Garamond" w:hAnsi="Garamond"/>
          <w:sz w:val="24"/>
          <w:vertAlign w:val="superscript"/>
        </w:rPr>
        <w:footnoteReference w:id="95"/>
      </w:r>
      <w:r w:rsidRPr="00913E39">
        <w:rPr>
          <w:rFonts w:ascii="Garamond" w:hAnsi="Garamond"/>
          <w:sz w:val="24"/>
        </w:rPr>
        <w:t>, përfaqësues nga institucionet t</w:t>
      </w:r>
      <w:r w:rsidR="00997F40" w:rsidRPr="00913E39">
        <w:rPr>
          <w:rFonts w:ascii="Garamond" w:hAnsi="Garamond"/>
          <w:sz w:val="24"/>
        </w:rPr>
        <w:t>ë</w:t>
      </w:r>
      <w:r w:rsidRPr="00913E39">
        <w:rPr>
          <w:rFonts w:ascii="Garamond" w:hAnsi="Garamond"/>
          <w:sz w:val="24"/>
        </w:rPr>
        <w:t xml:space="preserve"> </w:t>
      </w:r>
      <w:r w:rsidR="00997F40" w:rsidRPr="00913E39">
        <w:rPr>
          <w:rFonts w:ascii="Garamond" w:hAnsi="Garamond"/>
          <w:sz w:val="24"/>
        </w:rPr>
        <w:t>qeverisjes</w:t>
      </w:r>
      <w:r w:rsidRPr="00913E39">
        <w:rPr>
          <w:rFonts w:ascii="Garamond" w:hAnsi="Garamond"/>
          <w:sz w:val="24"/>
        </w:rPr>
        <w:t xml:space="preserve"> qendrore dhe pushtetit lokalë, shoqatat e biznesit dhe akademikë. Diskutimi në takim u fokusua kryesisht në rezultatet e pritshme dhe shtrirjen e fushave të mbështetjes, me theks të veçantë në aktivitetet dhe grupet e synuara. Ekspertët e sektorit ndihmuan gjatë takimeve konsultative.</w:t>
      </w:r>
    </w:p>
    <w:p w14:paraId="3CA3E296" w14:textId="26A94BEF"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Pas takimeve konsultative, të gjithë aktorëve të ftuar ju dha mundësia të paraqesin komentet e tyre në formë të shkruar në zyrën e SASPAC</w:t>
      </w:r>
      <w:r w:rsidR="00997F40" w:rsidRPr="00913E39">
        <w:rPr>
          <w:rFonts w:ascii="Garamond" w:hAnsi="Garamond"/>
          <w:sz w:val="24"/>
        </w:rPr>
        <w:t>-së</w:t>
      </w:r>
      <w:r w:rsidRPr="00913E39">
        <w:rPr>
          <w:rFonts w:ascii="Garamond" w:hAnsi="Garamond"/>
          <w:sz w:val="24"/>
        </w:rPr>
        <w:t>.</w:t>
      </w:r>
    </w:p>
    <w:p w14:paraId="7638566D" w14:textId="7D27E0CB" w:rsidR="00847F23" w:rsidRPr="00913E39" w:rsidRDefault="00421586" w:rsidP="004F525C">
      <w:pPr>
        <w:spacing w:after="0" w:line="240" w:lineRule="auto"/>
        <w:ind w:firstLine="284"/>
        <w:contextualSpacing/>
        <w:jc w:val="both"/>
        <w:rPr>
          <w:rFonts w:ascii="Garamond" w:hAnsi="Garamond"/>
          <w:b/>
          <w:sz w:val="24"/>
        </w:rPr>
      </w:pPr>
      <w:r w:rsidRPr="00913E39">
        <w:rPr>
          <w:rFonts w:ascii="Garamond" w:hAnsi="Garamond"/>
          <w:b/>
          <w:sz w:val="24"/>
        </w:rPr>
        <w:t xml:space="preserve">6. </w:t>
      </w:r>
      <w:r w:rsidR="00847F23" w:rsidRPr="00913E39">
        <w:rPr>
          <w:rFonts w:ascii="Garamond" w:hAnsi="Garamond"/>
          <w:b/>
          <w:sz w:val="24"/>
        </w:rPr>
        <w:t xml:space="preserve">Kuadri </w:t>
      </w:r>
      <w:r w:rsidR="00997F40" w:rsidRPr="00913E39">
        <w:rPr>
          <w:rFonts w:ascii="Garamond" w:hAnsi="Garamond"/>
          <w:b/>
          <w:sz w:val="24"/>
        </w:rPr>
        <w:t>rregullator</w:t>
      </w:r>
    </w:p>
    <w:p w14:paraId="6A588DCE" w14:textId="63A6AA23" w:rsidR="00847F23" w:rsidRPr="00913E39" w:rsidRDefault="00421586" w:rsidP="004F525C">
      <w:pPr>
        <w:keepNext/>
        <w:keepLines/>
        <w:spacing w:after="0" w:line="240" w:lineRule="auto"/>
        <w:ind w:firstLine="284"/>
        <w:jc w:val="both"/>
        <w:outlineLvl w:val="0"/>
        <w:rPr>
          <w:rFonts w:ascii="Garamond" w:hAnsi="Garamond"/>
          <w:i/>
          <w:kern w:val="32"/>
          <w:sz w:val="24"/>
        </w:rPr>
      </w:pPr>
      <w:r w:rsidRPr="00913E39">
        <w:rPr>
          <w:rFonts w:ascii="Garamond" w:hAnsi="Garamond"/>
          <w:i/>
          <w:kern w:val="32"/>
          <w:sz w:val="24"/>
        </w:rPr>
        <w:t xml:space="preserve">6.1 </w:t>
      </w:r>
      <w:r w:rsidR="00847F23" w:rsidRPr="00913E39">
        <w:rPr>
          <w:rFonts w:ascii="Garamond" w:hAnsi="Garamond"/>
          <w:i/>
          <w:kern w:val="32"/>
          <w:sz w:val="24"/>
        </w:rPr>
        <w:t xml:space="preserve">Marrëveshja </w:t>
      </w:r>
      <w:r w:rsidR="00997F40" w:rsidRPr="00913E39">
        <w:rPr>
          <w:rFonts w:ascii="Garamond" w:hAnsi="Garamond"/>
          <w:i/>
          <w:kern w:val="32"/>
          <w:sz w:val="24"/>
        </w:rPr>
        <w:t>financiare</w:t>
      </w:r>
    </w:p>
    <w:p w14:paraId="6244FB90" w14:textId="77777777"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Për zbatimin e këtij programi, parashikohet të lidhet një marrëveshje financimi ndërmjet Komisionit dhe Republikës së Shqipërisë.</w:t>
      </w:r>
    </w:p>
    <w:p w14:paraId="0B73BA74" w14:textId="77777777" w:rsidR="00847F23" w:rsidRPr="00913E39" w:rsidRDefault="00421586" w:rsidP="004F525C">
      <w:pPr>
        <w:keepNext/>
        <w:keepLines/>
        <w:spacing w:after="0" w:line="240" w:lineRule="auto"/>
        <w:ind w:firstLine="284"/>
        <w:jc w:val="both"/>
        <w:outlineLvl w:val="0"/>
        <w:rPr>
          <w:rFonts w:ascii="Garamond" w:hAnsi="Garamond"/>
          <w:i/>
          <w:kern w:val="32"/>
          <w:sz w:val="24"/>
        </w:rPr>
      </w:pPr>
      <w:r w:rsidRPr="00913E39">
        <w:rPr>
          <w:rFonts w:ascii="Garamond" w:hAnsi="Garamond"/>
          <w:i/>
          <w:kern w:val="32"/>
          <w:sz w:val="24"/>
        </w:rPr>
        <w:t xml:space="preserve">6.2 </w:t>
      </w:r>
      <w:r w:rsidR="00847F23" w:rsidRPr="00913E39">
        <w:rPr>
          <w:rFonts w:ascii="Garamond" w:hAnsi="Garamond"/>
          <w:i/>
          <w:kern w:val="32"/>
          <w:sz w:val="24"/>
        </w:rPr>
        <w:t xml:space="preserve">Metodat e zbatimit </w:t>
      </w:r>
    </w:p>
    <w:p w14:paraId="71C4A045" w14:textId="77777777"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Komisioni do të sigurojë që të respektohen rregullat dhe procedurat përkatëse të BE-së për sigurimin e financimit për palët e treta, duke përfshirë procedurat e rishikimit, kur është e përshtatshme, dhe përputhshmërinë e programit me masat kufizuese të BE-së.</w:t>
      </w:r>
    </w:p>
    <w:p w14:paraId="1F4576BF" w14:textId="77777777" w:rsidR="00847F23" w:rsidRPr="00913E39" w:rsidRDefault="00847F23" w:rsidP="004F525C">
      <w:pPr>
        <w:spacing w:after="0" w:line="240" w:lineRule="auto"/>
        <w:ind w:firstLine="284"/>
        <w:jc w:val="both"/>
        <w:rPr>
          <w:rFonts w:ascii="Garamond" w:hAnsi="Garamond"/>
          <w:sz w:val="24"/>
        </w:rPr>
      </w:pPr>
      <w:r w:rsidRPr="00913E39">
        <w:rPr>
          <w:rFonts w:ascii="Garamond" w:hAnsi="Garamond"/>
          <w:b/>
          <w:sz w:val="24"/>
        </w:rPr>
        <w:t>Menaxhimi indirekt me një përfitues të IPA III</w:t>
      </w:r>
    </w:p>
    <w:p w14:paraId="46E944A5" w14:textId="77777777"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 xml:space="preserve">Ky Program do të zbatohet nën menaxhim indirekt nga Republika e Shqipërisë. </w:t>
      </w:r>
    </w:p>
    <w:p w14:paraId="7DFB3DD0" w14:textId="41797029" w:rsidR="00847F23" w:rsidRPr="00913E39" w:rsidRDefault="00847F23" w:rsidP="004F525C">
      <w:pPr>
        <w:spacing w:after="0" w:line="240" w:lineRule="auto"/>
        <w:ind w:firstLine="284"/>
        <w:jc w:val="both"/>
        <w:rPr>
          <w:rFonts w:ascii="Garamond" w:hAnsi="Garamond"/>
          <w:sz w:val="24"/>
          <w:u w:val="single"/>
        </w:rPr>
      </w:pPr>
      <w:r w:rsidRPr="00913E39">
        <w:rPr>
          <w:rFonts w:ascii="Garamond" w:hAnsi="Garamond"/>
          <w:sz w:val="24"/>
        </w:rPr>
        <w:t xml:space="preserve">Autoriteti </w:t>
      </w:r>
      <w:r w:rsidR="00997F40" w:rsidRPr="00913E39">
        <w:rPr>
          <w:rFonts w:ascii="Garamond" w:hAnsi="Garamond"/>
          <w:sz w:val="24"/>
        </w:rPr>
        <w:t xml:space="preserve">menaxhues </w:t>
      </w:r>
      <w:r w:rsidRPr="00913E39">
        <w:rPr>
          <w:rFonts w:ascii="Garamond" w:hAnsi="Garamond"/>
          <w:sz w:val="24"/>
        </w:rPr>
        <w:t>përgjegjës për realizimin e programit është Agjencia Kombëtare e Shoqërisë së Informacionit (</w:t>
      </w:r>
      <w:hyperlink r:id="rId42" w:history="1">
        <w:r w:rsidRPr="00913E39">
          <w:rPr>
            <w:rFonts w:ascii="Garamond" w:hAnsi="Garamond"/>
            <w:sz w:val="24"/>
            <w:u w:val="single"/>
          </w:rPr>
          <w:t>Agjencia Kombëtare e Shoqërisë së Informacionit).</w:t>
        </w:r>
      </w:hyperlink>
    </w:p>
    <w:p w14:paraId="2A7F4688" w14:textId="77777777"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Autoriteti Menaxhues do të jetë përgjegjës për zbatimin e aspekteve ligjore dhe rregullatore të shpenzimeve, menaxhimin e duhur financiar, programimin, zbatimin, monitorimin, vlerësimin, informimin, vizibilitetin dhe raportimin e aktiviteteve të IPA III.</w:t>
      </w:r>
    </w:p>
    <w:p w14:paraId="6FC18D85" w14:textId="77777777"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Nën këtë Program Operacional nuk është parashikuar asnjë Organ i Ndërmjetëm për Menaxhimin e Politikave.</w:t>
      </w:r>
    </w:p>
    <w:p w14:paraId="6F5F1768" w14:textId="74205A96"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Për</w:t>
      </w:r>
      <w:r w:rsidR="00997F40" w:rsidRPr="00913E39">
        <w:rPr>
          <w:rFonts w:ascii="Garamond" w:hAnsi="Garamond"/>
          <w:sz w:val="24"/>
        </w:rPr>
        <w:t xml:space="preserve"> </w:t>
      </w:r>
      <w:r w:rsidRPr="00913E39">
        <w:rPr>
          <w:rFonts w:ascii="Garamond" w:hAnsi="Garamond"/>
          <w:sz w:val="24"/>
        </w:rPr>
        <w:t xml:space="preserve">sa </w:t>
      </w:r>
      <w:r w:rsidR="00997F40" w:rsidRPr="00913E39">
        <w:rPr>
          <w:rFonts w:ascii="Garamond" w:hAnsi="Garamond"/>
          <w:sz w:val="24"/>
        </w:rPr>
        <w:t>u</w:t>
      </w:r>
      <w:r w:rsidRPr="00913E39">
        <w:rPr>
          <w:rFonts w:ascii="Garamond" w:hAnsi="Garamond"/>
          <w:sz w:val="24"/>
        </w:rPr>
        <w:t xml:space="preserve"> përket përgjegjësive për zbatimin e buxhetit si thirrjet për tendera, thirrjet për propozime, kontraktimi, menaxhimi i kontratave, pagesave dhe operacionet e të ardhurave, </w:t>
      </w:r>
      <w:r w:rsidR="00997F40" w:rsidRPr="00913E39">
        <w:rPr>
          <w:rFonts w:ascii="Garamond" w:hAnsi="Garamond"/>
          <w:sz w:val="24"/>
        </w:rPr>
        <w:t>këto</w:t>
      </w:r>
      <w:r w:rsidRPr="00913E39">
        <w:rPr>
          <w:rFonts w:ascii="Garamond" w:hAnsi="Garamond"/>
          <w:sz w:val="24"/>
        </w:rPr>
        <w:t xml:space="preserve"> detyra </w:t>
      </w:r>
      <w:r w:rsidR="00997F40" w:rsidRPr="00913E39">
        <w:rPr>
          <w:rFonts w:ascii="Garamond" w:hAnsi="Garamond"/>
          <w:sz w:val="24"/>
        </w:rPr>
        <w:t>funksionale</w:t>
      </w:r>
      <w:r w:rsidRPr="00913E39">
        <w:rPr>
          <w:rFonts w:ascii="Garamond" w:hAnsi="Garamond"/>
          <w:sz w:val="24"/>
        </w:rPr>
        <w:t xml:space="preserve"> do t</w:t>
      </w:r>
      <w:r w:rsidR="007C41EB" w:rsidRPr="00913E39">
        <w:rPr>
          <w:rFonts w:ascii="Garamond" w:hAnsi="Garamond"/>
          <w:sz w:val="24"/>
        </w:rPr>
        <w:t>’</w:t>
      </w:r>
      <w:r w:rsidRPr="00913E39">
        <w:rPr>
          <w:rFonts w:ascii="Garamond" w:hAnsi="Garamond"/>
          <w:sz w:val="24"/>
        </w:rPr>
        <w:t xml:space="preserve">i jepen organit të </w:t>
      </w:r>
      <w:r w:rsidR="00997F40" w:rsidRPr="00913E39">
        <w:rPr>
          <w:rFonts w:ascii="Garamond" w:hAnsi="Garamond"/>
          <w:sz w:val="24"/>
        </w:rPr>
        <w:t>ndërmjetëm</w:t>
      </w:r>
      <w:r w:rsidRPr="00913E39">
        <w:rPr>
          <w:rFonts w:ascii="Garamond" w:hAnsi="Garamond"/>
          <w:sz w:val="24"/>
        </w:rPr>
        <w:t xml:space="preserve"> për menaxhimin financiar: Drejtoria e Përgjithshme për Financimin dhe Kontraktimin e Fondeve të Bashkimit Evropian, Bankës Botërore dhe Donatorëve të Tjerë (CFCU). Ajo do të sigurojë ligjshmërinë dhe rregullsinë e shpenzimeve. </w:t>
      </w:r>
    </w:p>
    <w:p w14:paraId="2E11E6CB" w14:textId="50154C17" w:rsidR="00847F23" w:rsidRPr="00913E39" w:rsidRDefault="00421586" w:rsidP="004F525C">
      <w:pPr>
        <w:keepNext/>
        <w:keepLines/>
        <w:spacing w:after="0" w:line="240" w:lineRule="auto"/>
        <w:ind w:firstLine="284"/>
        <w:jc w:val="both"/>
        <w:outlineLvl w:val="0"/>
        <w:rPr>
          <w:rFonts w:ascii="Garamond" w:hAnsi="Garamond"/>
          <w:i/>
          <w:kern w:val="32"/>
          <w:sz w:val="24"/>
        </w:rPr>
      </w:pPr>
      <w:r w:rsidRPr="00913E39">
        <w:rPr>
          <w:rFonts w:ascii="Garamond" w:hAnsi="Garamond"/>
          <w:i/>
          <w:kern w:val="32"/>
          <w:sz w:val="24"/>
        </w:rPr>
        <w:t xml:space="preserve">6.3 </w:t>
      </w:r>
      <w:r w:rsidR="00847F23" w:rsidRPr="00913E39">
        <w:rPr>
          <w:rFonts w:ascii="Garamond" w:hAnsi="Garamond"/>
          <w:i/>
          <w:kern w:val="32"/>
          <w:sz w:val="24"/>
        </w:rPr>
        <w:t xml:space="preserve">Shtrirja e </w:t>
      </w:r>
      <w:r w:rsidR="00997F40" w:rsidRPr="00913E39">
        <w:rPr>
          <w:rFonts w:ascii="Garamond" w:hAnsi="Garamond"/>
          <w:i/>
          <w:kern w:val="32"/>
          <w:sz w:val="24"/>
        </w:rPr>
        <w:t>shtrirja e përshtatshmërisë gjeografike për prokurime dhe grante</w:t>
      </w:r>
    </w:p>
    <w:p w14:paraId="7FCFD6E1" w14:textId="77777777"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 xml:space="preserve">Programi Operacional synon të mbulojë të gjithë territorin e Republikës së Shqipërisë. </w:t>
      </w:r>
    </w:p>
    <w:p w14:paraId="63736D79" w14:textId="77777777"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lastRenderedPageBreak/>
        <w:t xml:space="preserve">Faktori gjeografik për sa i përket vendit të krijimit për pjesëmarrje në procedurat e prokurimit dhe dhënies së granteve dhe për sa i përket origjinës së pajisjeve të blera siç përcaktohet në aktin bazë dhe në dokumentet përkatëse kontraktuale do të zbatohet, duke iu nënshtruar dispozitave të mëposhtme. </w:t>
      </w:r>
    </w:p>
    <w:p w14:paraId="5E3B9EFC" w14:textId="23C8589D" w:rsidR="00847F23" w:rsidRPr="00913E39" w:rsidRDefault="00847F23" w:rsidP="004F525C">
      <w:pPr>
        <w:spacing w:after="0" w:line="240" w:lineRule="auto"/>
        <w:ind w:firstLine="284"/>
        <w:jc w:val="both"/>
        <w:rPr>
          <w:rFonts w:ascii="Garamond" w:hAnsi="Garamond"/>
          <w:sz w:val="24"/>
        </w:rPr>
      </w:pPr>
      <w:r w:rsidRPr="00913E39">
        <w:rPr>
          <w:rFonts w:ascii="Garamond" w:hAnsi="Garamond"/>
          <w:sz w:val="24"/>
        </w:rPr>
        <w:t>Nëpunësi autorizues përgjegjës i Komisionit mund të zgjerojë zonën gjeografike në bazë të urgjencës ose mungesës së shërbimeve në tregjet e vendeve ose territoreve në fjalë, ose në raste të tjera të vërtetuara siç duhet, kur zbatimi i rregullave të përshtatshmërisë do ta bënte të pamundur ose tepër të vështirë realizimin e këtij programi (</w:t>
      </w:r>
      <w:r w:rsidR="00997F40" w:rsidRPr="00913E39">
        <w:rPr>
          <w:rFonts w:ascii="Garamond" w:hAnsi="Garamond"/>
          <w:sz w:val="24"/>
        </w:rPr>
        <w:t>n</w:t>
      </w:r>
      <w:r w:rsidRPr="00913E39">
        <w:rPr>
          <w:rFonts w:ascii="Garamond" w:hAnsi="Garamond"/>
          <w:sz w:val="24"/>
        </w:rPr>
        <w:t>eni 28(10) Rregullorja NDICI-Global Europe).</w:t>
      </w:r>
    </w:p>
    <w:p w14:paraId="304F1632" w14:textId="77777777" w:rsidR="00847F23" w:rsidRPr="00913E39" w:rsidRDefault="00847F23" w:rsidP="00FC4C60">
      <w:pPr>
        <w:spacing w:after="0" w:line="240" w:lineRule="auto"/>
        <w:ind w:firstLine="284"/>
        <w:jc w:val="both"/>
        <w:rPr>
          <w:rFonts w:ascii="Garamond" w:hAnsi="Garamond"/>
          <w:b/>
          <w:sz w:val="24"/>
        </w:rPr>
      </w:pPr>
    </w:p>
    <w:p w14:paraId="65133E2D" w14:textId="77777777" w:rsidR="00847F23" w:rsidRPr="00913E39" w:rsidRDefault="00847F23" w:rsidP="00FC4C60">
      <w:pPr>
        <w:spacing w:after="0" w:line="240" w:lineRule="auto"/>
        <w:ind w:firstLine="284"/>
        <w:jc w:val="both"/>
        <w:rPr>
          <w:rFonts w:ascii="Garamond" w:hAnsi="Garamond"/>
          <w:sz w:val="24"/>
        </w:rPr>
        <w:sectPr w:rsidR="00847F23" w:rsidRPr="00913E39">
          <w:headerReference w:type="default" r:id="rId43"/>
          <w:footerReference w:type="default" r:id="rId44"/>
          <w:pgSz w:w="11906" w:h="16838" w:code="9"/>
          <w:pgMar w:top="1411" w:right="1411" w:bottom="706" w:left="1411" w:header="706" w:footer="706" w:gutter="0"/>
          <w:cols w:space="708"/>
          <w:docGrid w:linePitch="360"/>
        </w:sectPr>
      </w:pPr>
    </w:p>
    <w:p w14:paraId="2E451F2A" w14:textId="77777777" w:rsidR="00847F23" w:rsidRPr="00913E39" w:rsidRDefault="004F525C" w:rsidP="004F525C">
      <w:pPr>
        <w:spacing w:after="0" w:line="240" w:lineRule="auto"/>
        <w:ind w:left="284"/>
        <w:contextualSpacing/>
        <w:rPr>
          <w:rFonts w:ascii="Garamond" w:hAnsi="Garamond"/>
          <w:i/>
          <w:sz w:val="24"/>
        </w:rPr>
      </w:pPr>
      <w:bookmarkStart w:id="51" w:name="_Hlk106370959"/>
      <w:r w:rsidRPr="000248B5">
        <w:rPr>
          <w:rFonts w:ascii="Garamond" w:hAnsi="Garamond"/>
          <w:i/>
          <w:sz w:val="24"/>
        </w:rPr>
        <w:lastRenderedPageBreak/>
        <w:t xml:space="preserve">7. </w:t>
      </w:r>
      <w:r w:rsidR="00847F23" w:rsidRPr="000248B5">
        <w:rPr>
          <w:rFonts w:ascii="Garamond" w:hAnsi="Garamond"/>
          <w:i/>
          <w:sz w:val="24"/>
        </w:rPr>
        <w:t>Tabelat financiare</w:t>
      </w:r>
      <w:r w:rsidR="00847F23" w:rsidRPr="00913E39">
        <w:rPr>
          <w:rFonts w:ascii="Garamond" w:hAnsi="Garamond"/>
          <w:i/>
          <w:sz w:val="24"/>
        </w:rPr>
        <w:t xml:space="preserve"> sipas fushave të mbështetjes dhe sipas vitit (përfshirë normat e bashkëfinancimit nëse ka)</w:t>
      </w:r>
    </w:p>
    <w:tbl>
      <w:tblPr>
        <w:tblW w:w="5303" w:type="pct"/>
        <w:tblInd w:w="-147" w:type="dxa"/>
        <w:tblLayout w:type="fixed"/>
        <w:tblLook w:val="04A0" w:firstRow="1" w:lastRow="0" w:firstColumn="1" w:lastColumn="0" w:noHBand="0" w:noVBand="1"/>
      </w:tblPr>
      <w:tblGrid>
        <w:gridCol w:w="850"/>
        <w:gridCol w:w="991"/>
        <w:gridCol w:w="854"/>
        <w:gridCol w:w="1132"/>
        <w:gridCol w:w="989"/>
        <w:gridCol w:w="992"/>
        <w:gridCol w:w="995"/>
        <w:gridCol w:w="992"/>
        <w:gridCol w:w="898"/>
        <w:gridCol w:w="945"/>
        <w:gridCol w:w="992"/>
        <w:gridCol w:w="995"/>
        <w:gridCol w:w="992"/>
        <w:gridCol w:w="992"/>
        <w:gridCol w:w="1135"/>
        <w:gridCol w:w="848"/>
      </w:tblGrid>
      <w:tr w:rsidR="00847F23" w:rsidRPr="00913E39" w14:paraId="11B83F59" w14:textId="77777777" w:rsidTr="004F525C">
        <w:trPr>
          <w:trHeight w:val="20"/>
        </w:trPr>
        <w:tc>
          <w:tcPr>
            <w:tcW w:w="27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bookmarkEnd w:id="51"/>
          <w:p w14:paraId="2CC9476E"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 </w:t>
            </w:r>
          </w:p>
        </w:tc>
        <w:tc>
          <w:tcPr>
            <w:tcW w:w="955" w:type="pct"/>
            <w:gridSpan w:val="3"/>
            <w:tcBorders>
              <w:top w:val="single" w:sz="4" w:space="0" w:color="auto"/>
              <w:left w:val="nil"/>
              <w:bottom w:val="single" w:sz="4" w:space="0" w:color="auto"/>
              <w:right w:val="single" w:sz="4" w:space="0" w:color="auto"/>
            </w:tcBorders>
            <w:shd w:val="clear" w:color="auto" w:fill="FFFFFF"/>
            <w:noWrap/>
            <w:vAlign w:val="center"/>
            <w:hideMark/>
          </w:tcPr>
          <w:p w14:paraId="40C61124"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2024</w:t>
            </w:r>
          </w:p>
        </w:tc>
        <w:tc>
          <w:tcPr>
            <w:tcW w:w="954" w:type="pct"/>
            <w:gridSpan w:val="3"/>
            <w:tcBorders>
              <w:top w:val="single" w:sz="4" w:space="0" w:color="auto"/>
              <w:left w:val="nil"/>
              <w:bottom w:val="single" w:sz="4" w:space="0" w:color="auto"/>
              <w:right w:val="single" w:sz="4" w:space="0" w:color="auto"/>
            </w:tcBorders>
            <w:shd w:val="clear" w:color="auto" w:fill="FFFFFF"/>
            <w:noWrap/>
            <w:vAlign w:val="center"/>
            <w:hideMark/>
          </w:tcPr>
          <w:p w14:paraId="098C652D"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2025</w:t>
            </w:r>
          </w:p>
        </w:tc>
        <w:tc>
          <w:tcPr>
            <w:tcW w:w="909" w:type="pct"/>
            <w:gridSpan w:val="3"/>
            <w:tcBorders>
              <w:top w:val="single" w:sz="4" w:space="0" w:color="auto"/>
              <w:left w:val="nil"/>
              <w:bottom w:val="single" w:sz="4" w:space="0" w:color="auto"/>
              <w:right w:val="single" w:sz="4" w:space="0" w:color="auto"/>
            </w:tcBorders>
            <w:shd w:val="clear" w:color="auto" w:fill="FFFFFF"/>
            <w:noWrap/>
            <w:vAlign w:val="center"/>
            <w:hideMark/>
          </w:tcPr>
          <w:p w14:paraId="6A1233AE"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2026</w:t>
            </w:r>
          </w:p>
        </w:tc>
        <w:tc>
          <w:tcPr>
            <w:tcW w:w="955" w:type="pct"/>
            <w:gridSpan w:val="3"/>
            <w:tcBorders>
              <w:top w:val="single" w:sz="4" w:space="0" w:color="auto"/>
              <w:left w:val="nil"/>
              <w:bottom w:val="single" w:sz="4" w:space="0" w:color="auto"/>
              <w:right w:val="single" w:sz="4" w:space="0" w:color="auto"/>
            </w:tcBorders>
            <w:shd w:val="clear" w:color="auto" w:fill="FFFFFF"/>
            <w:noWrap/>
            <w:vAlign w:val="bottom"/>
            <w:hideMark/>
          </w:tcPr>
          <w:p w14:paraId="57558D3A"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2027</w:t>
            </w:r>
          </w:p>
        </w:tc>
        <w:tc>
          <w:tcPr>
            <w:tcW w:w="954" w:type="pct"/>
            <w:gridSpan w:val="3"/>
            <w:tcBorders>
              <w:top w:val="single" w:sz="4" w:space="0" w:color="auto"/>
              <w:left w:val="nil"/>
              <w:bottom w:val="single" w:sz="4" w:space="0" w:color="auto"/>
              <w:right w:val="single" w:sz="4" w:space="0" w:color="auto"/>
            </w:tcBorders>
            <w:shd w:val="clear" w:color="auto" w:fill="FFFFFF"/>
            <w:noWrap/>
            <w:vAlign w:val="bottom"/>
            <w:hideMark/>
          </w:tcPr>
          <w:p w14:paraId="0817BCF2"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GJITHSEJ</w:t>
            </w:r>
          </w:p>
        </w:tc>
      </w:tr>
      <w:tr w:rsidR="00847F23" w:rsidRPr="00913E39" w14:paraId="34094709" w14:textId="77777777" w:rsidTr="004F525C">
        <w:trPr>
          <w:trHeight w:val="20"/>
        </w:trPr>
        <w:tc>
          <w:tcPr>
            <w:tcW w:w="273" w:type="pct"/>
            <w:tcBorders>
              <w:top w:val="nil"/>
              <w:left w:val="single" w:sz="4" w:space="0" w:color="auto"/>
              <w:bottom w:val="single" w:sz="4" w:space="0" w:color="auto"/>
              <w:right w:val="single" w:sz="4" w:space="0" w:color="auto"/>
            </w:tcBorders>
            <w:shd w:val="clear" w:color="auto" w:fill="FFFFFF"/>
            <w:noWrap/>
            <w:vAlign w:val="center"/>
            <w:hideMark/>
          </w:tcPr>
          <w:p w14:paraId="6462EBFB"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 </w:t>
            </w:r>
          </w:p>
        </w:tc>
        <w:tc>
          <w:tcPr>
            <w:tcW w:w="318" w:type="pct"/>
            <w:tcBorders>
              <w:top w:val="nil"/>
              <w:left w:val="nil"/>
              <w:bottom w:val="single" w:sz="4" w:space="0" w:color="auto"/>
              <w:right w:val="single" w:sz="4" w:space="0" w:color="auto"/>
            </w:tcBorders>
            <w:shd w:val="clear" w:color="auto" w:fill="FFFFFF"/>
            <w:noWrap/>
            <w:vAlign w:val="center"/>
            <w:hideMark/>
          </w:tcPr>
          <w:p w14:paraId="4203F44B"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Kontributi i BE-së</w:t>
            </w:r>
          </w:p>
        </w:tc>
        <w:tc>
          <w:tcPr>
            <w:tcW w:w="274" w:type="pct"/>
            <w:tcBorders>
              <w:top w:val="nil"/>
              <w:left w:val="nil"/>
              <w:bottom w:val="single" w:sz="4" w:space="0" w:color="auto"/>
              <w:right w:val="single" w:sz="4" w:space="0" w:color="auto"/>
            </w:tcBorders>
            <w:shd w:val="clear" w:color="auto" w:fill="FFFFFF"/>
            <w:noWrap/>
            <w:vAlign w:val="center"/>
            <w:hideMark/>
          </w:tcPr>
          <w:p w14:paraId="2CBFC19B"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Bashkëfinancim i Shqipërisë</w:t>
            </w:r>
          </w:p>
        </w:tc>
        <w:tc>
          <w:tcPr>
            <w:tcW w:w="363" w:type="pct"/>
            <w:tcBorders>
              <w:top w:val="nil"/>
              <w:left w:val="nil"/>
              <w:bottom w:val="single" w:sz="4" w:space="0" w:color="auto"/>
              <w:right w:val="single" w:sz="4" w:space="0" w:color="auto"/>
            </w:tcBorders>
            <w:shd w:val="clear" w:color="auto" w:fill="FFFFFF"/>
            <w:noWrap/>
            <w:vAlign w:val="center"/>
            <w:hideMark/>
          </w:tcPr>
          <w:p w14:paraId="53732169"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Shpenzime totale</w:t>
            </w:r>
          </w:p>
        </w:tc>
        <w:tc>
          <w:tcPr>
            <w:tcW w:w="317" w:type="pct"/>
            <w:tcBorders>
              <w:top w:val="nil"/>
              <w:left w:val="nil"/>
              <w:bottom w:val="single" w:sz="4" w:space="0" w:color="auto"/>
              <w:right w:val="single" w:sz="4" w:space="0" w:color="auto"/>
            </w:tcBorders>
            <w:shd w:val="clear" w:color="auto" w:fill="FFFFFF"/>
            <w:noWrap/>
            <w:vAlign w:val="center"/>
            <w:hideMark/>
          </w:tcPr>
          <w:p w14:paraId="02D5ABA4" w14:textId="77777777" w:rsidR="00847F23" w:rsidRPr="00913E39" w:rsidRDefault="00847F23" w:rsidP="004F525C">
            <w:pPr>
              <w:spacing w:after="0" w:line="240" w:lineRule="auto"/>
              <w:jc w:val="center"/>
              <w:rPr>
                <w:rFonts w:ascii="Garamond" w:hAnsi="Garamond"/>
                <w:b/>
                <w:sz w:val="16"/>
              </w:rPr>
            </w:pPr>
          </w:p>
          <w:p w14:paraId="5A2654AB"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Kontributi i BE-së</w:t>
            </w:r>
          </w:p>
        </w:tc>
        <w:tc>
          <w:tcPr>
            <w:tcW w:w="318" w:type="pct"/>
            <w:tcBorders>
              <w:top w:val="nil"/>
              <w:left w:val="nil"/>
              <w:bottom w:val="single" w:sz="4" w:space="0" w:color="auto"/>
              <w:right w:val="single" w:sz="4" w:space="0" w:color="auto"/>
            </w:tcBorders>
            <w:shd w:val="clear" w:color="auto" w:fill="FFFFFF"/>
            <w:noWrap/>
            <w:vAlign w:val="center"/>
            <w:hideMark/>
          </w:tcPr>
          <w:p w14:paraId="0B8B16C4" w14:textId="08AAC041"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 xml:space="preserve">Bashkëfinancim </w:t>
            </w:r>
            <w:r w:rsidR="00997F40" w:rsidRPr="00913E39">
              <w:rPr>
                <w:rFonts w:ascii="Garamond" w:hAnsi="Garamond"/>
                <w:b/>
                <w:sz w:val="16"/>
              </w:rPr>
              <w:t>i</w:t>
            </w:r>
            <w:r w:rsidRPr="00913E39">
              <w:rPr>
                <w:rFonts w:ascii="Garamond" w:hAnsi="Garamond"/>
                <w:b/>
                <w:sz w:val="16"/>
              </w:rPr>
              <w:t xml:space="preserve"> Shqipërisë</w:t>
            </w:r>
          </w:p>
        </w:tc>
        <w:tc>
          <w:tcPr>
            <w:tcW w:w="319" w:type="pct"/>
            <w:tcBorders>
              <w:top w:val="nil"/>
              <w:left w:val="nil"/>
              <w:bottom w:val="single" w:sz="4" w:space="0" w:color="auto"/>
              <w:right w:val="single" w:sz="4" w:space="0" w:color="auto"/>
            </w:tcBorders>
            <w:shd w:val="clear" w:color="auto" w:fill="FFFFFF"/>
            <w:noWrap/>
            <w:vAlign w:val="center"/>
            <w:hideMark/>
          </w:tcPr>
          <w:p w14:paraId="71F5243C"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Shpenzime totale</w:t>
            </w:r>
          </w:p>
        </w:tc>
        <w:tc>
          <w:tcPr>
            <w:tcW w:w="318" w:type="pct"/>
            <w:tcBorders>
              <w:top w:val="nil"/>
              <w:left w:val="nil"/>
              <w:bottom w:val="single" w:sz="4" w:space="0" w:color="auto"/>
              <w:right w:val="single" w:sz="4" w:space="0" w:color="auto"/>
            </w:tcBorders>
            <w:shd w:val="clear" w:color="auto" w:fill="FFFFFF"/>
            <w:noWrap/>
            <w:vAlign w:val="center"/>
            <w:hideMark/>
          </w:tcPr>
          <w:p w14:paraId="647BF320"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Kontributi i BE-së</w:t>
            </w:r>
          </w:p>
        </w:tc>
        <w:tc>
          <w:tcPr>
            <w:tcW w:w="288" w:type="pct"/>
            <w:tcBorders>
              <w:top w:val="nil"/>
              <w:left w:val="nil"/>
              <w:bottom w:val="single" w:sz="4" w:space="0" w:color="auto"/>
              <w:right w:val="single" w:sz="4" w:space="0" w:color="auto"/>
            </w:tcBorders>
            <w:shd w:val="clear" w:color="auto" w:fill="FFFFFF"/>
            <w:noWrap/>
            <w:vAlign w:val="center"/>
            <w:hideMark/>
          </w:tcPr>
          <w:p w14:paraId="022B1108" w14:textId="77777777" w:rsidR="00847F23" w:rsidRPr="00913E39" w:rsidRDefault="00847F23" w:rsidP="004F525C">
            <w:pPr>
              <w:spacing w:after="0" w:line="240" w:lineRule="auto"/>
              <w:jc w:val="center"/>
              <w:rPr>
                <w:rFonts w:ascii="Garamond" w:hAnsi="Garamond"/>
                <w:b/>
                <w:sz w:val="16"/>
              </w:rPr>
            </w:pPr>
          </w:p>
          <w:p w14:paraId="493923CB" w14:textId="7A07A071"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 xml:space="preserve">Bashkëfinancim </w:t>
            </w:r>
            <w:r w:rsidR="00997F40" w:rsidRPr="00913E39">
              <w:rPr>
                <w:rFonts w:ascii="Garamond" w:hAnsi="Garamond"/>
                <w:b/>
                <w:sz w:val="16"/>
              </w:rPr>
              <w:t>i</w:t>
            </w:r>
            <w:r w:rsidRPr="00913E39">
              <w:rPr>
                <w:rFonts w:ascii="Garamond" w:hAnsi="Garamond"/>
                <w:b/>
                <w:sz w:val="16"/>
              </w:rPr>
              <w:t xml:space="preserve"> Shqipërisë</w:t>
            </w:r>
          </w:p>
        </w:tc>
        <w:tc>
          <w:tcPr>
            <w:tcW w:w="303" w:type="pct"/>
            <w:tcBorders>
              <w:top w:val="nil"/>
              <w:left w:val="nil"/>
              <w:bottom w:val="single" w:sz="4" w:space="0" w:color="auto"/>
              <w:right w:val="single" w:sz="4" w:space="0" w:color="auto"/>
            </w:tcBorders>
            <w:shd w:val="clear" w:color="auto" w:fill="FFFFFF"/>
            <w:noWrap/>
            <w:vAlign w:val="center"/>
            <w:hideMark/>
          </w:tcPr>
          <w:p w14:paraId="301EEBF4"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Shpenzime totale</w:t>
            </w:r>
          </w:p>
        </w:tc>
        <w:tc>
          <w:tcPr>
            <w:tcW w:w="318" w:type="pct"/>
            <w:tcBorders>
              <w:top w:val="nil"/>
              <w:left w:val="nil"/>
              <w:bottom w:val="single" w:sz="4" w:space="0" w:color="auto"/>
              <w:right w:val="single" w:sz="4" w:space="0" w:color="auto"/>
            </w:tcBorders>
            <w:shd w:val="clear" w:color="auto" w:fill="FFFFFF"/>
            <w:noWrap/>
            <w:vAlign w:val="center"/>
            <w:hideMark/>
          </w:tcPr>
          <w:p w14:paraId="2D4ECBE1"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Kontributi i BE-së</w:t>
            </w:r>
          </w:p>
        </w:tc>
        <w:tc>
          <w:tcPr>
            <w:tcW w:w="319" w:type="pct"/>
            <w:tcBorders>
              <w:top w:val="nil"/>
              <w:left w:val="nil"/>
              <w:bottom w:val="single" w:sz="4" w:space="0" w:color="auto"/>
              <w:right w:val="single" w:sz="4" w:space="0" w:color="auto"/>
            </w:tcBorders>
            <w:shd w:val="clear" w:color="auto" w:fill="FFFFFF"/>
            <w:noWrap/>
            <w:vAlign w:val="center"/>
            <w:hideMark/>
          </w:tcPr>
          <w:p w14:paraId="0CCEC6A7" w14:textId="73A7B029" w:rsidR="008220D1" w:rsidRPr="00913E39" w:rsidRDefault="00847F23" w:rsidP="004F525C">
            <w:pPr>
              <w:spacing w:after="0" w:line="240" w:lineRule="auto"/>
              <w:jc w:val="center"/>
              <w:rPr>
                <w:rFonts w:ascii="Garamond" w:hAnsi="Garamond"/>
                <w:b/>
                <w:sz w:val="16"/>
              </w:rPr>
            </w:pPr>
            <w:r w:rsidRPr="00913E39">
              <w:rPr>
                <w:rFonts w:ascii="Garamond" w:hAnsi="Garamond"/>
                <w:b/>
                <w:sz w:val="16"/>
              </w:rPr>
              <w:t xml:space="preserve">Bashkëfinancim </w:t>
            </w:r>
            <w:r w:rsidR="00997F40" w:rsidRPr="00913E39">
              <w:rPr>
                <w:rFonts w:ascii="Garamond" w:hAnsi="Garamond"/>
                <w:b/>
                <w:sz w:val="16"/>
              </w:rPr>
              <w:t>i</w:t>
            </w:r>
            <w:r w:rsidRPr="00913E39">
              <w:rPr>
                <w:rFonts w:ascii="Garamond" w:hAnsi="Garamond"/>
                <w:b/>
                <w:sz w:val="16"/>
              </w:rPr>
              <w:t xml:space="preserve"> Shqipëris</w:t>
            </w:r>
            <w:r w:rsidR="008220D1" w:rsidRPr="00913E39">
              <w:rPr>
                <w:rFonts w:ascii="Garamond" w:hAnsi="Garamond"/>
                <w:b/>
                <w:sz w:val="16"/>
              </w:rPr>
              <w:t>ë</w:t>
            </w:r>
          </w:p>
          <w:p w14:paraId="42F04138" w14:textId="32589EBF"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l</w:t>
            </w:r>
          </w:p>
        </w:tc>
        <w:tc>
          <w:tcPr>
            <w:tcW w:w="318" w:type="pct"/>
            <w:tcBorders>
              <w:top w:val="nil"/>
              <w:left w:val="nil"/>
              <w:bottom w:val="single" w:sz="4" w:space="0" w:color="auto"/>
              <w:right w:val="single" w:sz="4" w:space="0" w:color="auto"/>
            </w:tcBorders>
            <w:shd w:val="clear" w:color="auto" w:fill="FFFFFF"/>
            <w:noWrap/>
            <w:vAlign w:val="center"/>
            <w:hideMark/>
          </w:tcPr>
          <w:p w14:paraId="1602C9F4"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Shpenzime totale</w:t>
            </w:r>
          </w:p>
        </w:tc>
        <w:tc>
          <w:tcPr>
            <w:tcW w:w="318" w:type="pct"/>
            <w:tcBorders>
              <w:top w:val="nil"/>
              <w:left w:val="nil"/>
              <w:bottom w:val="single" w:sz="4" w:space="0" w:color="auto"/>
              <w:right w:val="single" w:sz="4" w:space="0" w:color="auto"/>
            </w:tcBorders>
            <w:shd w:val="clear" w:color="auto" w:fill="FFFFFF"/>
            <w:noWrap/>
            <w:vAlign w:val="center"/>
            <w:hideMark/>
          </w:tcPr>
          <w:p w14:paraId="040A497F"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 xml:space="preserve">BE </w:t>
            </w:r>
          </w:p>
          <w:p w14:paraId="19B234ED"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BE-së</w:t>
            </w:r>
          </w:p>
        </w:tc>
        <w:tc>
          <w:tcPr>
            <w:tcW w:w="364" w:type="pct"/>
            <w:tcBorders>
              <w:top w:val="nil"/>
              <w:left w:val="nil"/>
              <w:bottom w:val="single" w:sz="4" w:space="0" w:color="auto"/>
              <w:right w:val="single" w:sz="4" w:space="0" w:color="auto"/>
            </w:tcBorders>
            <w:shd w:val="clear" w:color="auto" w:fill="FFFFFF"/>
            <w:noWrap/>
            <w:vAlign w:val="center"/>
            <w:hideMark/>
          </w:tcPr>
          <w:p w14:paraId="64A52CE1" w14:textId="631C100E"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 xml:space="preserve">Bashkëfinancim </w:t>
            </w:r>
            <w:r w:rsidR="00997F40" w:rsidRPr="00913E39">
              <w:rPr>
                <w:rFonts w:ascii="Garamond" w:hAnsi="Garamond"/>
                <w:b/>
                <w:sz w:val="16"/>
              </w:rPr>
              <w:t>i</w:t>
            </w:r>
            <w:r w:rsidRPr="00913E39">
              <w:rPr>
                <w:rFonts w:ascii="Garamond" w:hAnsi="Garamond"/>
                <w:b/>
                <w:sz w:val="16"/>
              </w:rPr>
              <w:t xml:space="preserve"> Shqipërisë</w:t>
            </w:r>
          </w:p>
        </w:tc>
        <w:tc>
          <w:tcPr>
            <w:tcW w:w="272" w:type="pct"/>
            <w:tcBorders>
              <w:top w:val="nil"/>
              <w:left w:val="nil"/>
              <w:bottom w:val="single" w:sz="4" w:space="0" w:color="auto"/>
              <w:right w:val="single" w:sz="4" w:space="0" w:color="auto"/>
            </w:tcBorders>
            <w:shd w:val="clear" w:color="auto" w:fill="FFFFFF"/>
            <w:noWrap/>
            <w:vAlign w:val="center"/>
            <w:hideMark/>
          </w:tcPr>
          <w:p w14:paraId="2FB7AA34"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Shpenzime totale</w:t>
            </w:r>
          </w:p>
        </w:tc>
      </w:tr>
      <w:tr w:rsidR="00847F23" w:rsidRPr="00913E39" w14:paraId="09F45511" w14:textId="77777777" w:rsidTr="004F525C">
        <w:trPr>
          <w:trHeight w:val="20"/>
        </w:trPr>
        <w:tc>
          <w:tcPr>
            <w:tcW w:w="273" w:type="pct"/>
            <w:tcBorders>
              <w:top w:val="nil"/>
              <w:left w:val="single" w:sz="4" w:space="0" w:color="auto"/>
              <w:bottom w:val="single" w:sz="4" w:space="0" w:color="auto"/>
              <w:right w:val="single" w:sz="4" w:space="0" w:color="auto"/>
            </w:tcBorders>
            <w:shd w:val="clear" w:color="auto" w:fill="FFFFFF"/>
            <w:vAlign w:val="center"/>
            <w:hideMark/>
          </w:tcPr>
          <w:p w14:paraId="62F6FC4F"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Fusha e mbështetjes 1</w:t>
            </w:r>
          </w:p>
        </w:tc>
        <w:tc>
          <w:tcPr>
            <w:tcW w:w="318" w:type="pct"/>
            <w:tcBorders>
              <w:top w:val="nil"/>
              <w:left w:val="nil"/>
              <w:bottom w:val="single" w:sz="4" w:space="0" w:color="auto"/>
              <w:right w:val="single" w:sz="4" w:space="0" w:color="auto"/>
            </w:tcBorders>
            <w:shd w:val="clear" w:color="auto" w:fill="FFFFFF"/>
            <w:noWrap/>
            <w:vAlign w:val="bottom"/>
          </w:tcPr>
          <w:p w14:paraId="383A4CF3" w14:textId="77777777" w:rsidR="00847F23" w:rsidRPr="00913E39" w:rsidRDefault="00847F23" w:rsidP="004F525C">
            <w:pPr>
              <w:spacing w:after="0" w:line="240" w:lineRule="auto"/>
              <w:jc w:val="center"/>
              <w:rPr>
                <w:rFonts w:ascii="Garamond" w:hAnsi="Garamond"/>
                <w:sz w:val="16"/>
              </w:rPr>
            </w:pPr>
          </w:p>
        </w:tc>
        <w:tc>
          <w:tcPr>
            <w:tcW w:w="274" w:type="pct"/>
            <w:tcBorders>
              <w:top w:val="nil"/>
              <w:left w:val="nil"/>
              <w:bottom w:val="single" w:sz="4" w:space="0" w:color="auto"/>
              <w:right w:val="single" w:sz="4" w:space="0" w:color="auto"/>
            </w:tcBorders>
            <w:shd w:val="clear" w:color="auto" w:fill="FFFFFF"/>
            <w:noWrap/>
            <w:vAlign w:val="bottom"/>
          </w:tcPr>
          <w:p w14:paraId="2FA6CF7C" w14:textId="77777777" w:rsidR="00847F23" w:rsidRPr="00913E39" w:rsidRDefault="00847F23" w:rsidP="004F525C">
            <w:pPr>
              <w:spacing w:after="0" w:line="240" w:lineRule="auto"/>
              <w:jc w:val="center"/>
              <w:rPr>
                <w:rFonts w:ascii="Garamond" w:hAnsi="Garamond"/>
                <w:sz w:val="16"/>
              </w:rPr>
            </w:pPr>
          </w:p>
        </w:tc>
        <w:tc>
          <w:tcPr>
            <w:tcW w:w="363" w:type="pct"/>
            <w:tcBorders>
              <w:top w:val="nil"/>
              <w:left w:val="nil"/>
              <w:bottom w:val="single" w:sz="4" w:space="0" w:color="auto"/>
              <w:right w:val="single" w:sz="4" w:space="0" w:color="auto"/>
            </w:tcBorders>
            <w:shd w:val="clear" w:color="auto" w:fill="FFFFFF"/>
            <w:noWrap/>
            <w:vAlign w:val="bottom"/>
          </w:tcPr>
          <w:p w14:paraId="2D728D48" w14:textId="77777777" w:rsidR="00847F23" w:rsidRPr="00913E39" w:rsidRDefault="00847F23" w:rsidP="004F525C">
            <w:pPr>
              <w:spacing w:after="0" w:line="240" w:lineRule="auto"/>
              <w:jc w:val="center"/>
              <w:rPr>
                <w:rFonts w:ascii="Garamond" w:hAnsi="Garamond"/>
                <w:sz w:val="16"/>
              </w:rPr>
            </w:pPr>
          </w:p>
        </w:tc>
        <w:tc>
          <w:tcPr>
            <w:tcW w:w="317" w:type="pct"/>
            <w:tcBorders>
              <w:top w:val="nil"/>
              <w:left w:val="nil"/>
              <w:bottom w:val="single" w:sz="4" w:space="0" w:color="auto"/>
              <w:right w:val="single" w:sz="4" w:space="0" w:color="auto"/>
            </w:tcBorders>
            <w:shd w:val="clear" w:color="auto" w:fill="FFFFFF"/>
            <w:noWrap/>
            <w:vAlign w:val="bottom"/>
          </w:tcPr>
          <w:p w14:paraId="1EA2D6B4"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5 850 000</w:t>
            </w:r>
          </w:p>
        </w:tc>
        <w:tc>
          <w:tcPr>
            <w:tcW w:w="318" w:type="pct"/>
            <w:tcBorders>
              <w:top w:val="nil"/>
              <w:left w:val="nil"/>
              <w:bottom w:val="single" w:sz="4" w:space="0" w:color="auto"/>
              <w:right w:val="single" w:sz="4" w:space="0" w:color="auto"/>
            </w:tcBorders>
            <w:shd w:val="clear" w:color="auto" w:fill="FFFFFF"/>
            <w:noWrap/>
            <w:vAlign w:val="bottom"/>
          </w:tcPr>
          <w:p w14:paraId="68137F2B"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4 650 000</w:t>
            </w:r>
          </w:p>
        </w:tc>
        <w:tc>
          <w:tcPr>
            <w:tcW w:w="319" w:type="pct"/>
            <w:tcBorders>
              <w:top w:val="nil"/>
              <w:left w:val="nil"/>
              <w:bottom w:val="single" w:sz="4" w:space="0" w:color="auto"/>
              <w:right w:val="single" w:sz="4" w:space="0" w:color="auto"/>
            </w:tcBorders>
            <w:shd w:val="clear" w:color="auto" w:fill="FFFFFF"/>
            <w:noWrap/>
            <w:vAlign w:val="bottom"/>
          </w:tcPr>
          <w:p w14:paraId="4F029546" w14:textId="77777777" w:rsidR="00847F23" w:rsidRPr="00913E39" w:rsidRDefault="00847F23" w:rsidP="004F525C">
            <w:pPr>
              <w:spacing w:after="0" w:line="240" w:lineRule="auto"/>
              <w:jc w:val="center"/>
              <w:rPr>
                <w:rFonts w:ascii="Garamond" w:hAnsi="Garamond"/>
                <w:b/>
                <w:sz w:val="16"/>
              </w:rPr>
            </w:pPr>
          </w:p>
          <w:p w14:paraId="3125738D"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10 500 000</w:t>
            </w:r>
          </w:p>
        </w:tc>
        <w:tc>
          <w:tcPr>
            <w:tcW w:w="318" w:type="pct"/>
            <w:tcBorders>
              <w:top w:val="nil"/>
              <w:left w:val="nil"/>
              <w:bottom w:val="single" w:sz="4" w:space="0" w:color="auto"/>
              <w:right w:val="single" w:sz="4" w:space="0" w:color="auto"/>
            </w:tcBorders>
            <w:shd w:val="clear" w:color="auto" w:fill="FFFFFF"/>
            <w:noWrap/>
            <w:vAlign w:val="bottom"/>
          </w:tcPr>
          <w:p w14:paraId="04CEA8E4" w14:textId="77777777" w:rsidR="00847F23" w:rsidRPr="00913E39" w:rsidRDefault="00847F23" w:rsidP="004F525C">
            <w:pPr>
              <w:spacing w:after="0" w:line="240" w:lineRule="auto"/>
              <w:jc w:val="center"/>
              <w:rPr>
                <w:rFonts w:ascii="Garamond" w:hAnsi="Garamond"/>
                <w:sz w:val="16"/>
              </w:rPr>
            </w:pPr>
          </w:p>
          <w:p w14:paraId="0731DCF1"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7 150 000</w:t>
            </w:r>
          </w:p>
        </w:tc>
        <w:tc>
          <w:tcPr>
            <w:tcW w:w="288" w:type="pct"/>
            <w:tcBorders>
              <w:top w:val="nil"/>
              <w:left w:val="nil"/>
              <w:bottom w:val="single" w:sz="4" w:space="0" w:color="auto"/>
              <w:right w:val="single" w:sz="4" w:space="0" w:color="auto"/>
            </w:tcBorders>
            <w:shd w:val="clear" w:color="auto" w:fill="FFFFFF"/>
            <w:noWrap/>
            <w:vAlign w:val="bottom"/>
          </w:tcPr>
          <w:p w14:paraId="1EF5C02D" w14:textId="77777777" w:rsidR="00847F23" w:rsidRPr="00913E39" w:rsidRDefault="00847F23" w:rsidP="004F525C">
            <w:pPr>
              <w:spacing w:after="0" w:line="240" w:lineRule="auto"/>
              <w:jc w:val="center"/>
              <w:rPr>
                <w:rFonts w:ascii="Garamond" w:hAnsi="Garamond"/>
                <w:sz w:val="16"/>
              </w:rPr>
            </w:pPr>
          </w:p>
          <w:p w14:paraId="54DA41C8"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4 200 000</w:t>
            </w:r>
          </w:p>
        </w:tc>
        <w:tc>
          <w:tcPr>
            <w:tcW w:w="303" w:type="pct"/>
            <w:tcBorders>
              <w:top w:val="nil"/>
              <w:left w:val="nil"/>
              <w:bottom w:val="single" w:sz="4" w:space="0" w:color="auto"/>
              <w:right w:val="single" w:sz="4" w:space="0" w:color="auto"/>
            </w:tcBorders>
            <w:shd w:val="clear" w:color="auto" w:fill="FFFFFF"/>
            <w:noWrap/>
            <w:vAlign w:val="bottom"/>
          </w:tcPr>
          <w:p w14:paraId="541A81C7"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11 350 000</w:t>
            </w:r>
          </w:p>
        </w:tc>
        <w:tc>
          <w:tcPr>
            <w:tcW w:w="318" w:type="pct"/>
            <w:tcBorders>
              <w:top w:val="nil"/>
              <w:left w:val="nil"/>
              <w:bottom w:val="single" w:sz="4" w:space="0" w:color="auto"/>
              <w:right w:val="single" w:sz="4" w:space="0" w:color="auto"/>
            </w:tcBorders>
            <w:shd w:val="clear" w:color="auto" w:fill="FFFFFF"/>
            <w:noWrap/>
            <w:vAlign w:val="bottom"/>
          </w:tcPr>
          <w:p w14:paraId="17F18D41"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7 150 000</w:t>
            </w:r>
          </w:p>
        </w:tc>
        <w:tc>
          <w:tcPr>
            <w:tcW w:w="319" w:type="pct"/>
            <w:tcBorders>
              <w:top w:val="nil"/>
              <w:left w:val="nil"/>
              <w:bottom w:val="single" w:sz="4" w:space="0" w:color="auto"/>
              <w:right w:val="single" w:sz="4" w:space="0" w:color="auto"/>
            </w:tcBorders>
            <w:shd w:val="clear" w:color="auto" w:fill="FFFFFF"/>
            <w:noWrap/>
            <w:vAlign w:val="bottom"/>
          </w:tcPr>
          <w:p w14:paraId="28C4C7EA"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w:t>
            </w:r>
          </w:p>
        </w:tc>
        <w:tc>
          <w:tcPr>
            <w:tcW w:w="318" w:type="pct"/>
            <w:tcBorders>
              <w:top w:val="nil"/>
              <w:left w:val="nil"/>
              <w:bottom w:val="single" w:sz="4" w:space="0" w:color="auto"/>
              <w:right w:val="single" w:sz="4" w:space="0" w:color="auto"/>
            </w:tcBorders>
            <w:shd w:val="clear" w:color="auto" w:fill="FFFFFF"/>
            <w:noWrap/>
            <w:vAlign w:val="bottom"/>
          </w:tcPr>
          <w:p w14:paraId="2036128F"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7 150 000</w:t>
            </w:r>
          </w:p>
        </w:tc>
        <w:tc>
          <w:tcPr>
            <w:tcW w:w="318" w:type="pct"/>
            <w:tcBorders>
              <w:top w:val="nil"/>
              <w:left w:val="nil"/>
              <w:bottom w:val="single" w:sz="4" w:space="0" w:color="auto"/>
              <w:right w:val="single" w:sz="4" w:space="0" w:color="auto"/>
            </w:tcBorders>
            <w:shd w:val="clear" w:color="auto" w:fill="FFFFFF"/>
            <w:noWrap/>
            <w:vAlign w:val="bottom"/>
          </w:tcPr>
          <w:p w14:paraId="5572B46A"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20 150 000</w:t>
            </w:r>
          </w:p>
        </w:tc>
        <w:tc>
          <w:tcPr>
            <w:tcW w:w="364" w:type="pct"/>
            <w:tcBorders>
              <w:top w:val="nil"/>
              <w:left w:val="nil"/>
              <w:bottom w:val="single" w:sz="4" w:space="0" w:color="auto"/>
              <w:right w:val="single" w:sz="4" w:space="0" w:color="auto"/>
            </w:tcBorders>
            <w:shd w:val="clear" w:color="auto" w:fill="FFFFFF"/>
            <w:noWrap/>
            <w:vAlign w:val="bottom"/>
          </w:tcPr>
          <w:p w14:paraId="2C8036C0"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8 850 000</w:t>
            </w:r>
          </w:p>
        </w:tc>
        <w:tc>
          <w:tcPr>
            <w:tcW w:w="272" w:type="pct"/>
            <w:tcBorders>
              <w:top w:val="nil"/>
              <w:left w:val="nil"/>
              <w:bottom w:val="single" w:sz="4" w:space="0" w:color="auto"/>
              <w:right w:val="single" w:sz="4" w:space="0" w:color="auto"/>
            </w:tcBorders>
            <w:shd w:val="clear" w:color="auto" w:fill="FFFFFF"/>
            <w:noWrap/>
            <w:vAlign w:val="bottom"/>
          </w:tcPr>
          <w:p w14:paraId="4DC14156"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29 000 000</w:t>
            </w:r>
          </w:p>
        </w:tc>
      </w:tr>
      <w:tr w:rsidR="00847F23" w:rsidRPr="00913E39" w14:paraId="3A56FD40" w14:textId="77777777" w:rsidTr="004F525C">
        <w:trPr>
          <w:trHeight w:val="20"/>
        </w:trPr>
        <w:tc>
          <w:tcPr>
            <w:tcW w:w="273" w:type="pct"/>
            <w:tcBorders>
              <w:top w:val="nil"/>
              <w:left w:val="single" w:sz="4" w:space="0" w:color="auto"/>
              <w:bottom w:val="single" w:sz="4" w:space="0" w:color="auto"/>
              <w:right w:val="single" w:sz="4" w:space="0" w:color="auto"/>
            </w:tcBorders>
            <w:shd w:val="clear" w:color="auto" w:fill="FFFFFF"/>
            <w:vAlign w:val="center"/>
            <w:hideMark/>
          </w:tcPr>
          <w:p w14:paraId="7D7011F6"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Fusha e mbështetjes 2</w:t>
            </w:r>
          </w:p>
        </w:tc>
        <w:tc>
          <w:tcPr>
            <w:tcW w:w="318" w:type="pct"/>
            <w:tcBorders>
              <w:top w:val="nil"/>
              <w:left w:val="nil"/>
              <w:bottom w:val="single" w:sz="4" w:space="0" w:color="auto"/>
              <w:right w:val="single" w:sz="4" w:space="0" w:color="auto"/>
            </w:tcBorders>
            <w:shd w:val="clear" w:color="auto" w:fill="FFFFFF"/>
            <w:noWrap/>
            <w:vAlign w:val="bottom"/>
          </w:tcPr>
          <w:p w14:paraId="4F6E11B0" w14:textId="77777777" w:rsidR="00847F23" w:rsidRPr="00913E39" w:rsidRDefault="00847F23" w:rsidP="004F525C">
            <w:pPr>
              <w:spacing w:after="0" w:line="240" w:lineRule="auto"/>
              <w:jc w:val="center"/>
              <w:rPr>
                <w:rFonts w:ascii="Garamond" w:hAnsi="Garamond"/>
                <w:sz w:val="16"/>
              </w:rPr>
            </w:pPr>
          </w:p>
          <w:p w14:paraId="4CA96893"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5.425.000</w:t>
            </w:r>
          </w:p>
          <w:p w14:paraId="1A1DAEDD" w14:textId="77777777" w:rsidR="00847F23" w:rsidRPr="00913E39" w:rsidRDefault="00847F23" w:rsidP="004F525C">
            <w:pPr>
              <w:spacing w:after="0" w:line="240" w:lineRule="auto"/>
              <w:jc w:val="center"/>
              <w:rPr>
                <w:rFonts w:ascii="Garamond" w:hAnsi="Garamond"/>
                <w:sz w:val="16"/>
              </w:rPr>
            </w:pPr>
          </w:p>
        </w:tc>
        <w:tc>
          <w:tcPr>
            <w:tcW w:w="274" w:type="pct"/>
            <w:tcBorders>
              <w:top w:val="nil"/>
              <w:left w:val="nil"/>
              <w:bottom w:val="single" w:sz="4" w:space="0" w:color="auto"/>
              <w:right w:val="single" w:sz="4" w:space="0" w:color="auto"/>
            </w:tcBorders>
            <w:shd w:val="clear" w:color="auto" w:fill="FFFFFF"/>
            <w:noWrap/>
            <w:vAlign w:val="bottom"/>
          </w:tcPr>
          <w:p w14:paraId="7FCA177E"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1.575.000</w:t>
            </w:r>
          </w:p>
          <w:p w14:paraId="06F43A5B" w14:textId="77777777" w:rsidR="00847F23" w:rsidRPr="00913E39" w:rsidRDefault="00847F23" w:rsidP="004F525C">
            <w:pPr>
              <w:spacing w:after="0" w:line="240" w:lineRule="auto"/>
              <w:jc w:val="center"/>
              <w:rPr>
                <w:rFonts w:ascii="Garamond" w:hAnsi="Garamond"/>
                <w:sz w:val="16"/>
              </w:rPr>
            </w:pPr>
          </w:p>
        </w:tc>
        <w:tc>
          <w:tcPr>
            <w:tcW w:w="363" w:type="pct"/>
            <w:tcBorders>
              <w:top w:val="nil"/>
              <w:left w:val="nil"/>
              <w:bottom w:val="single" w:sz="4" w:space="0" w:color="auto"/>
              <w:right w:val="single" w:sz="4" w:space="0" w:color="auto"/>
            </w:tcBorders>
            <w:shd w:val="clear" w:color="auto" w:fill="FFFFFF"/>
            <w:noWrap/>
            <w:vAlign w:val="bottom"/>
          </w:tcPr>
          <w:p w14:paraId="626F7904"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7 000 000</w:t>
            </w:r>
          </w:p>
        </w:tc>
        <w:tc>
          <w:tcPr>
            <w:tcW w:w="317" w:type="pct"/>
            <w:tcBorders>
              <w:top w:val="nil"/>
              <w:left w:val="nil"/>
              <w:bottom w:val="single" w:sz="4" w:space="0" w:color="auto"/>
              <w:right w:val="single" w:sz="4" w:space="0" w:color="auto"/>
            </w:tcBorders>
            <w:shd w:val="clear" w:color="auto" w:fill="FFFFFF"/>
            <w:noWrap/>
            <w:vAlign w:val="bottom"/>
          </w:tcPr>
          <w:p w14:paraId="698284FD" w14:textId="77777777" w:rsidR="00847F23" w:rsidRPr="00913E39" w:rsidRDefault="00847F23" w:rsidP="004F525C">
            <w:pPr>
              <w:spacing w:after="0" w:line="240" w:lineRule="auto"/>
              <w:jc w:val="center"/>
              <w:rPr>
                <w:rFonts w:ascii="Garamond" w:hAnsi="Garamond"/>
                <w:sz w:val="16"/>
              </w:rPr>
            </w:pPr>
          </w:p>
        </w:tc>
        <w:tc>
          <w:tcPr>
            <w:tcW w:w="318" w:type="pct"/>
            <w:tcBorders>
              <w:top w:val="nil"/>
              <w:left w:val="nil"/>
              <w:bottom w:val="single" w:sz="4" w:space="0" w:color="auto"/>
              <w:right w:val="single" w:sz="4" w:space="0" w:color="auto"/>
            </w:tcBorders>
            <w:shd w:val="clear" w:color="auto" w:fill="FFFFFF"/>
            <w:noWrap/>
            <w:vAlign w:val="bottom"/>
          </w:tcPr>
          <w:p w14:paraId="4F34C563" w14:textId="77777777" w:rsidR="00847F23" w:rsidRPr="00913E39" w:rsidRDefault="00847F23" w:rsidP="004F525C">
            <w:pPr>
              <w:spacing w:after="0" w:line="240" w:lineRule="auto"/>
              <w:jc w:val="center"/>
              <w:rPr>
                <w:rFonts w:ascii="Garamond" w:hAnsi="Garamond"/>
                <w:sz w:val="16"/>
              </w:rPr>
            </w:pPr>
          </w:p>
        </w:tc>
        <w:tc>
          <w:tcPr>
            <w:tcW w:w="319" w:type="pct"/>
            <w:tcBorders>
              <w:top w:val="nil"/>
              <w:left w:val="nil"/>
              <w:bottom w:val="single" w:sz="4" w:space="0" w:color="auto"/>
              <w:right w:val="single" w:sz="4" w:space="0" w:color="auto"/>
            </w:tcBorders>
            <w:shd w:val="clear" w:color="auto" w:fill="FFFFFF"/>
            <w:noWrap/>
            <w:vAlign w:val="bottom"/>
          </w:tcPr>
          <w:p w14:paraId="36853AE3" w14:textId="77777777" w:rsidR="00847F23" w:rsidRPr="00913E39" w:rsidRDefault="00847F23" w:rsidP="004F525C">
            <w:pPr>
              <w:spacing w:after="0" w:line="240" w:lineRule="auto"/>
              <w:jc w:val="center"/>
              <w:rPr>
                <w:rFonts w:ascii="Garamond" w:hAnsi="Garamond"/>
                <w:sz w:val="16"/>
              </w:rPr>
            </w:pPr>
          </w:p>
        </w:tc>
        <w:tc>
          <w:tcPr>
            <w:tcW w:w="318" w:type="pct"/>
            <w:tcBorders>
              <w:top w:val="nil"/>
              <w:left w:val="nil"/>
              <w:bottom w:val="single" w:sz="4" w:space="0" w:color="auto"/>
              <w:right w:val="single" w:sz="4" w:space="0" w:color="auto"/>
            </w:tcBorders>
            <w:shd w:val="clear" w:color="auto" w:fill="FFFFFF"/>
            <w:noWrap/>
            <w:vAlign w:val="bottom"/>
          </w:tcPr>
          <w:p w14:paraId="3030DABA"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w:t>
            </w:r>
          </w:p>
        </w:tc>
        <w:tc>
          <w:tcPr>
            <w:tcW w:w="288" w:type="pct"/>
            <w:tcBorders>
              <w:top w:val="nil"/>
              <w:left w:val="nil"/>
              <w:bottom w:val="single" w:sz="4" w:space="0" w:color="auto"/>
              <w:right w:val="single" w:sz="4" w:space="0" w:color="auto"/>
            </w:tcBorders>
            <w:shd w:val="clear" w:color="auto" w:fill="FFFFFF"/>
            <w:noWrap/>
            <w:vAlign w:val="bottom"/>
          </w:tcPr>
          <w:p w14:paraId="5D43D741"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w:t>
            </w:r>
          </w:p>
        </w:tc>
        <w:tc>
          <w:tcPr>
            <w:tcW w:w="303" w:type="pct"/>
            <w:tcBorders>
              <w:top w:val="nil"/>
              <w:left w:val="nil"/>
              <w:bottom w:val="single" w:sz="4" w:space="0" w:color="auto"/>
              <w:right w:val="single" w:sz="4" w:space="0" w:color="auto"/>
            </w:tcBorders>
            <w:shd w:val="clear" w:color="auto" w:fill="FFFFFF"/>
            <w:noWrap/>
            <w:vAlign w:val="bottom"/>
          </w:tcPr>
          <w:p w14:paraId="0EA5AF9C"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w:t>
            </w:r>
          </w:p>
        </w:tc>
        <w:tc>
          <w:tcPr>
            <w:tcW w:w="318" w:type="pct"/>
            <w:tcBorders>
              <w:top w:val="nil"/>
              <w:left w:val="nil"/>
              <w:bottom w:val="single" w:sz="4" w:space="0" w:color="auto"/>
              <w:right w:val="single" w:sz="4" w:space="0" w:color="auto"/>
            </w:tcBorders>
            <w:shd w:val="clear" w:color="auto" w:fill="FFFFFF"/>
            <w:noWrap/>
            <w:vAlign w:val="bottom"/>
          </w:tcPr>
          <w:p w14:paraId="054EA2BB"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3 000 000</w:t>
            </w:r>
          </w:p>
        </w:tc>
        <w:tc>
          <w:tcPr>
            <w:tcW w:w="319" w:type="pct"/>
            <w:tcBorders>
              <w:top w:val="nil"/>
              <w:left w:val="nil"/>
              <w:bottom w:val="single" w:sz="4" w:space="0" w:color="auto"/>
              <w:right w:val="single" w:sz="4" w:space="0" w:color="auto"/>
            </w:tcBorders>
            <w:shd w:val="clear" w:color="auto" w:fill="FFFFFF"/>
            <w:noWrap/>
            <w:vAlign w:val="bottom"/>
          </w:tcPr>
          <w:p w14:paraId="34C5961C"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2 000 000</w:t>
            </w:r>
          </w:p>
        </w:tc>
        <w:tc>
          <w:tcPr>
            <w:tcW w:w="318" w:type="pct"/>
            <w:tcBorders>
              <w:top w:val="nil"/>
              <w:left w:val="nil"/>
              <w:bottom w:val="single" w:sz="4" w:space="0" w:color="auto"/>
              <w:right w:val="single" w:sz="4" w:space="0" w:color="auto"/>
            </w:tcBorders>
            <w:shd w:val="clear" w:color="auto" w:fill="FFFFFF"/>
            <w:noWrap/>
            <w:vAlign w:val="bottom"/>
          </w:tcPr>
          <w:p w14:paraId="1B1C702A"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5 000 000</w:t>
            </w:r>
          </w:p>
        </w:tc>
        <w:tc>
          <w:tcPr>
            <w:tcW w:w="318" w:type="pct"/>
            <w:tcBorders>
              <w:top w:val="nil"/>
              <w:left w:val="nil"/>
              <w:bottom w:val="single" w:sz="4" w:space="0" w:color="auto"/>
              <w:right w:val="single" w:sz="4" w:space="0" w:color="auto"/>
            </w:tcBorders>
            <w:shd w:val="clear" w:color="auto" w:fill="FFFFFF"/>
            <w:noWrap/>
            <w:vAlign w:val="bottom"/>
          </w:tcPr>
          <w:p w14:paraId="2D07B361"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8 425 000</w:t>
            </w:r>
          </w:p>
          <w:p w14:paraId="1B796BF4" w14:textId="77777777" w:rsidR="00847F23" w:rsidRPr="00913E39" w:rsidRDefault="00847F23" w:rsidP="004F525C">
            <w:pPr>
              <w:spacing w:after="0" w:line="240" w:lineRule="auto"/>
              <w:jc w:val="center"/>
              <w:rPr>
                <w:rFonts w:ascii="Garamond" w:hAnsi="Garamond"/>
                <w:sz w:val="16"/>
              </w:rPr>
            </w:pPr>
          </w:p>
        </w:tc>
        <w:tc>
          <w:tcPr>
            <w:tcW w:w="364" w:type="pct"/>
            <w:tcBorders>
              <w:top w:val="nil"/>
              <w:left w:val="nil"/>
              <w:bottom w:val="single" w:sz="4" w:space="0" w:color="auto"/>
              <w:right w:val="single" w:sz="4" w:space="0" w:color="auto"/>
            </w:tcBorders>
            <w:shd w:val="clear" w:color="auto" w:fill="FFFFFF"/>
            <w:noWrap/>
            <w:vAlign w:val="bottom"/>
          </w:tcPr>
          <w:p w14:paraId="1C2F2FB5" w14:textId="77777777" w:rsidR="00847F23" w:rsidRPr="00913E39" w:rsidRDefault="00847F23" w:rsidP="004F525C">
            <w:pPr>
              <w:spacing w:after="0" w:line="240" w:lineRule="auto"/>
              <w:jc w:val="center"/>
              <w:rPr>
                <w:rFonts w:ascii="Garamond" w:hAnsi="Garamond"/>
                <w:sz w:val="16"/>
              </w:rPr>
            </w:pPr>
          </w:p>
          <w:p w14:paraId="5945F1D8"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3 575 000</w:t>
            </w:r>
          </w:p>
        </w:tc>
        <w:tc>
          <w:tcPr>
            <w:tcW w:w="272" w:type="pct"/>
            <w:tcBorders>
              <w:top w:val="nil"/>
              <w:left w:val="nil"/>
              <w:bottom w:val="single" w:sz="4" w:space="0" w:color="auto"/>
              <w:right w:val="single" w:sz="4" w:space="0" w:color="auto"/>
            </w:tcBorders>
            <w:shd w:val="clear" w:color="auto" w:fill="FFFFFF"/>
            <w:noWrap/>
            <w:vAlign w:val="bottom"/>
          </w:tcPr>
          <w:p w14:paraId="6B5BC30F"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12 000 000</w:t>
            </w:r>
          </w:p>
        </w:tc>
      </w:tr>
      <w:tr w:rsidR="00847F23" w:rsidRPr="00913E39" w14:paraId="44491D04" w14:textId="77777777" w:rsidTr="004F525C">
        <w:trPr>
          <w:trHeight w:val="20"/>
        </w:trPr>
        <w:tc>
          <w:tcPr>
            <w:tcW w:w="273" w:type="pct"/>
            <w:tcBorders>
              <w:top w:val="nil"/>
              <w:left w:val="single" w:sz="4" w:space="0" w:color="auto"/>
              <w:bottom w:val="single" w:sz="4" w:space="0" w:color="auto"/>
              <w:right w:val="single" w:sz="4" w:space="0" w:color="auto"/>
            </w:tcBorders>
            <w:shd w:val="clear" w:color="auto" w:fill="FFFFFF"/>
            <w:vAlign w:val="center"/>
            <w:hideMark/>
          </w:tcPr>
          <w:p w14:paraId="363E622F"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Asistencë teknike</w:t>
            </w:r>
          </w:p>
        </w:tc>
        <w:tc>
          <w:tcPr>
            <w:tcW w:w="318" w:type="pct"/>
            <w:tcBorders>
              <w:top w:val="nil"/>
              <w:left w:val="nil"/>
              <w:bottom w:val="single" w:sz="4" w:space="0" w:color="auto"/>
              <w:right w:val="single" w:sz="4" w:space="0" w:color="auto"/>
            </w:tcBorders>
            <w:shd w:val="clear" w:color="auto" w:fill="FFFFFF"/>
            <w:noWrap/>
            <w:vAlign w:val="bottom"/>
          </w:tcPr>
          <w:p w14:paraId="12496810"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575 000</w:t>
            </w:r>
          </w:p>
        </w:tc>
        <w:tc>
          <w:tcPr>
            <w:tcW w:w="274" w:type="pct"/>
            <w:tcBorders>
              <w:top w:val="nil"/>
              <w:left w:val="nil"/>
              <w:bottom w:val="single" w:sz="4" w:space="0" w:color="auto"/>
              <w:right w:val="single" w:sz="4" w:space="0" w:color="auto"/>
            </w:tcBorders>
            <w:shd w:val="clear" w:color="auto" w:fill="FFFFFF"/>
            <w:noWrap/>
            <w:vAlign w:val="bottom"/>
          </w:tcPr>
          <w:p w14:paraId="2529F020"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1 425 000</w:t>
            </w:r>
          </w:p>
        </w:tc>
        <w:tc>
          <w:tcPr>
            <w:tcW w:w="363" w:type="pct"/>
            <w:tcBorders>
              <w:top w:val="nil"/>
              <w:left w:val="nil"/>
              <w:bottom w:val="single" w:sz="4" w:space="0" w:color="auto"/>
              <w:right w:val="single" w:sz="4" w:space="0" w:color="auto"/>
            </w:tcBorders>
            <w:shd w:val="clear" w:color="auto" w:fill="FFFFFF"/>
            <w:noWrap/>
            <w:vAlign w:val="bottom"/>
          </w:tcPr>
          <w:p w14:paraId="54EDCBF2"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2 000 000</w:t>
            </w:r>
          </w:p>
        </w:tc>
        <w:tc>
          <w:tcPr>
            <w:tcW w:w="317" w:type="pct"/>
            <w:tcBorders>
              <w:top w:val="nil"/>
              <w:left w:val="nil"/>
              <w:bottom w:val="single" w:sz="4" w:space="0" w:color="auto"/>
              <w:right w:val="single" w:sz="4" w:space="0" w:color="auto"/>
            </w:tcBorders>
            <w:shd w:val="clear" w:color="auto" w:fill="FFFFFF"/>
            <w:noWrap/>
            <w:vAlign w:val="bottom"/>
          </w:tcPr>
          <w:p w14:paraId="41B5F854"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w:t>
            </w:r>
          </w:p>
        </w:tc>
        <w:tc>
          <w:tcPr>
            <w:tcW w:w="318" w:type="pct"/>
            <w:tcBorders>
              <w:top w:val="nil"/>
              <w:left w:val="nil"/>
              <w:bottom w:val="single" w:sz="4" w:space="0" w:color="auto"/>
              <w:right w:val="single" w:sz="4" w:space="0" w:color="auto"/>
            </w:tcBorders>
            <w:shd w:val="clear" w:color="auto" w:fill="FFFFFF"/>
            <w:noWrap/>
            <w:vAlign w:val="bottom"/>
          </w:tcPr>
          <w:p w14:paraId="7D047A31"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w:t>
            </w:r>
          </w:p>
        </w:tc>
        <w:tc>
          <w:tcPr>
            <w:tcW w:w="319" w:type="pct"/>
            <w:tcBorders>
              <w:top w:val="nil"/>
              <w:left w:val="nil"/>
              <w:bottom w:val="single" w:sz="4" w:space="0" w:color="auto"/>
              <w:right w:val="single" w:sz="4" w:space="0" w:color="auto"/>
            </w:tcBorders>
            <w:shd w:val="clear" w:color="auto" w:fill="FFFFFF"/>
            <w:noWrap/>
            <w:vAlign w:val="bottom"/>
          </w:tcPr>
          <w:p w14:paraId="2FD0952D"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w:t>
            </w:r>
          </w:p>
        </w:tc>
        <w:tc>
          <w:tcPr>
            <w:tcW w:w="318" w:type="pct"/>
            <w:tcBorders>
              <w:top w:val="nil"/>
              <w:left w:val="nil"/>
              <w:bottom w:val="single" w:sz="4" w:space="0" w:color="auto"/>
              <w:right w:val="single" w:sz="4" w:space="0" w:color="auto"/>
            </w:tcBorders>
            <w:shd w:val="clear" w:color="auto" w:fill="FFFFFF"/>
            <w:noWrap/>
            <w:vAlign w:val="bottom"/>
          </w:tcPr>
          <w:p w14:paraId="6FF79E0F"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w:t>
            </w:r>
          </w:p>
        </w:tc>
        <w:tc>
          <w:tcPr>
            <w:tcW w:w="288" w:type="pct"/>
            <w:tcBorders>
              <w:top w:val="nil"/>
              <w:left w:val="nil"/>
              <w:bottom w:val="single" w:sz="4" w:space="0" w:color="auto"/>
              <w:right w:val="single" w:sz="4" w:space="0" w:color="auto"/>
            </w:tcBorders>
            <w:shd w:val="clear" w:color="auto" w:fill="FFFFFF"/>
            <w:noWrap/>
            <w:vAlign w:val="bottom"/>
          </w:tcPr>
          <w:p w14:paraId="0977A6EE"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w:t>
            </w:r>
          </w:p>
        </w:tc>
        <w:tc>
          <w:tcPr>
            <w:tcW w:w="303" w:type="pct"/>
            <w:tcBorders>
              <w:top w:val="nil"/>
              <w:left w:val="nil"/>
              <w:bottom w:val="single" w:sz="4" w:space="0" w:color="auto"/>
              <w:right w:val="single" w:sz="4" w:space="0" w:color="auto"/>
            </w:tcBorders>
            <w:shd w:val="clear" w:color="auto" w:fill="FFFFFF"/>
            <w:noWrap/>
            <w:vAlign w:val="bottom"/>
          </w:tcPr>
          <w:p w14:paraId="4E4BA724"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w:t>
            </w:r>
          </w:p>
        </w:tc>
        <w:tc>
          <w:tcPr>
            <w:tcW w:w="318" w:type="pct"/>
            <w:tcBorders>
              <w:top w:val="nil"/>
              <w:left w:val="nil"/>
              <w:bottom w:val="single" w:sz="4" w:space="0" w:color="auto"/>
              <w:right w:val="single" w:sz="4" w:space="0" w:color="auto"/>
            </w:tcBorders>
            <w:shd w:val="clear" w:color="auto" w:fill="FFFFFF"/>
            <w:noWrap/>
            <w:vAlign w:val="bottom"/>
          </w:tcPr>
          <w:p w14:paraId="4757F023"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850 000</w:t>
            </w:r>
          </w:p>
        </w:tc>
        <w:tc>
          <w:tcPr>
            <w:tcW w:w="319" w:type="pct"/>
            <w:tcBorders>
              <w:top w:val="nil"/>
              <w:left w:val="nil"/>
              <w:bottom w:val="single" w:sz="4" w:space="0" w:color="auto"/>
              <w:right w:val="single" w:sz="4" w:space="0" w:color="auto"/>
            </w:tcBorders>
            <w:shd w:val="clear" w:color="auto" w:fill="FFFFFF"/>
            <w:noWrap/>
            <w:vAlign w:val="bottom"/>
          </w:tcPr>
          <w:p w14:paraId="13A44350"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150 000</w:t>
            </w:r>
          </w:p>
        </w:tc>
        <w:tc>
          <w:tcPr>
            <w:tcW w:w="318" w:type="pct"/>
            <w:tcBorders>
              <w:top w:val="nil"/>
              <w:left w:val="nil"/>
              <w:bottom w:val="single" w:sz="4" w:space="0" w:color="auto"/>
              <w:right w:val="single" w:sz="4" w:space="0" w:color="auto"/>
            </w:tcBorders>
            <w:shd w:val="clear" w:color="auto" w:fill="FFFFFF"/>
            <w:noWrap/>
            <w:vAlign w:val="bottom"/>
          </w:tcPr>
          <w:p w14:paraId="1FB70A50"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1 000 000</w:t>
            </w:r>
          </w:p>
        </w:tc>
        <w:tc>
          <w:tcPr>
            <w:tcW w:w="318" w:type="pct"/>
            <w:tcBorders>
              <w:top w:val="nil"/>
              <w:left w:val="nil"/>
              <w:bottom w:val="single" w:sz="4" w:space="0" w:color="auto"/>
              <w:right w:val="single" w:sz="4" w:space="0" w:color="auto"/>
            </w:tcBorders>
            <w:shd w:val="clear" w:color="auto" w:fill="FFFFFF"/>
            <w:noWrap/>
            <w:vAlign w:val="bottom"/>
          </w:tcPr>
          <w:p w14:paraId="4C136605"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1 425 000</w:t>
            </w:r>
          </w:p>
        </w:tc>
        <w:tc>
          <w:tcPr>
            <w:tcW w:w="364" w:type="pct"/>
            <w:tcBorders>
              <w:top w:val="nil"/>
              <w:left w:val="nil"/>
              <w:bottom w:val="single" w:sz="4" w:space="0" w:color="auto"/>
              <w:right w:val="single" w:sz="4" w:space="0" w:color="auto"/>
            </w:tcBorders>
            <w:shd w:val="clear" w:color="auto" w:fill="FFFFFF"/>
            <w:noWrap/>
            <w:vAlign w:val="bottom"/>
          </w:tcPr>
          <w:p w14:paraId="1F3DA82F"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1 575 000</w:t>
            </w:r>
          </w:p>
        </w:tc>
        <w:tc>
          <w:tcPr>
            <w:tcW w:w="272" w:type="pct"/>
            <w:tcBorders>
              <w:top w:val="nil"/>
              <w:left w:val="nil"/>
              <w:bottom w:val="single" w:sz="4" w:space="0" w:color="auto"/>
              <w:right w:val="single" w:sz="4" w:space="0" w:color="auto"/>
            </w:tcBorders>
            <w:shd w:val="clear" w:color="auto" w:fill="FFFFFF"/>
            <w:noWrap/>
            <w:vAlign w:val="bottom"/>
          </w:tcPr>
          <w:p w14:paraId="1B69C8CD" w14:textId="77777777" w:rsidR="00847F23" w:rsidRPr="00913E39" w:rsidRDefault="00847F23" w:rsidP="004F525C">
            <w:pPr>
              <w:spacing w:after="0" w:line="240" w:lineRule="auto"/>
              <w:jc w:val="center"/>
              <w:rPr>
                <w:rFonts w:ascii="Garamond" w:hAnsi="Garamond"/>
                <w:sz w:val="16"/>
              </w:rPr>
            </w:pPr>
            <w:r w:rsidRPr="00913E39">
              <w:rPr>
                <w:rFonts w:ascii="Garamond" w:hAnsi="Garamond"/>
                <w:b/>
                <w:sz w:val="16"/>
              </w:rPr>
              <w:t>3 000 000</w:t>
            </w:r>
          </w:p>
        </w:tc>
      </w:tr>
      <w:tr w:rsidR="00847F23" w:rsidRPr="00913E39" w14:paraId="2DEBF223" w14:textId="77777777" w:rsidTr="004F525C">
        <w:trPr>
          <w:trHeight w:val="20"/>
        </w:trPr>
        <w:tc>
          <w:tcPr>
            <w:tcW w:w="273" w:type="pct"/>
            <w:tcBorders>
              <w:top w:val="nil"/>
              <w:left w:val="single" w:sz="4" w:space="0" w:color="auto"/>
              <w:bottom w:val="single" w:sz="4" w:space="0" w:color="auto"/>
              <w:right w:val="single" w:sz="4" w:space="0" w:color="auto"/>
            </w:tcBorders>
            <w:shd w:val="clear" w:color="auto" w:fill="FFFFFF"/>
            <w:vAlign w:val="center"/>
          </w:tcPr>
          <w:p w14:paraId="43EAF34D"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GJITHSEJ</w:t>
            </w:r>
          </w:p>
          <w:p w14:paraId="2784AA70"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PO</w:t>
            </w:r>
          </w:p>
        </w:tc>
        <w:tc>
          <w:tcPr>
            <w:tcW w:w="318" w:type="pct"/>
            <w:tcBorders>
              <w:top w:val="nil"/>
              <w:left w:val="nil"/>
              <w:bottom w:val="single" w:sz="4" w:space="0" w:color="auto"/>
              <w:right w:val="single" w:sz="4" w:space="0" w:color="auto"/>
            </w:tcBorders>
            <w:shd w:val="clear" w:color="auto" w:fill="FFFFFF"/>
            <w:noWrap/>
            <w:vAlign w:val="center"/>
          </w:tcPr>
          <w:p w14:paraId="278B5FE2"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6 000 000</w:t>
            </w:r>
          </w:p>
        </w:tc>
        <w:tc>
          <w:tcPr>
            <w:tcW w:w="274" w:type="pct"/>
            <w:tcBorders>
              <w:top w:val="nil"/>
              <w:left w:val="nil"/>
              <w:bottom w:val="single" w:sz="4" w:space="0" w:color="auto"/>
              <w:right w:val="single" w:sz="4" w:space="0" w:color="auto"/>
            </w:tcBorders>
            <w:shd w:val="clear" w:color="auto" w:fill="FFFFFF"/>
            <w:noWrap/>
            <w:vAlign w:val="center"/>
          </w:tcPr>
          <w:p w14:paraId="28EA28BC"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3 000 000</w:t>
            </w:r>
          </w:p>
        </w:tc>
        <w:tc>
          <w:tcPr>
            <w:tcW w:w="363" w:type="pct"/>
            <w:tcBorders>
              <w:top w:val="nil"/>
              <w:left w:val="nil"/>
              <w:bottom w:val="single" w:sz="4" w:space="0" w:color="auto"/>
              <w:right w:val="single" w:sz="4" w:space="0" w:color="auto"/>
            </w:tcBorders>
            <w:shd w:val="clear" w:color="auto" w:fill="FFFFFF"/>
            <w:noWrap/>
            <w:vAlign w:val="center"/>
          </w:tcPr>
          <w:p w14:paraId="3A2980A6"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9 000 000</w:t>
            </w:r>
          </w:p>
        </w:tc>
        <w:tc>
          <w:tcPr>
            <w:tcW w:w="317" w:type="pct"/>
            <w:tcBorders>
              <w:top w:val="nil"/>
              <w:left w:val="nil"/>
              <w:bottom w:val="single" w:sz="4" w:space="0" w:color="auto"/>
              <w:right w:val="single" w:sz="4" w:space="0" w:color="auto"/>
            </w:tcBorders>
            <w:shd w:val="clear" w:color="auto" w:fill="FFFFFF"/>
            <w:noWrap/>
            <w:vAlign w:val="center"/>
          </w:tcPr>
          <w:p w14:paraId="65393DAA"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5 580 000</w:t>
            </w:r>
          </w:p>
        </w:tc>
        <w:tc>
          <w:tcPr>
            <w:tcW w:w="318" w:type="pct"/>
            <w:tcBorders>
              <w:top w:val="nil"/>
              <w:left w:val="nil"/>
              <w:bottom w:val="single" w:sz="4" w:space="0" w:color="auto"/>
              <w:right w:val="single" w:sz="4" w:space="0" w:color="auto"/>
            </w:tcBorders>
            <w:shd w:val="clear" w:color="auto" w:fill="FFFFFF"/>
            <w:noWrap/>
            <w:vAlign w:val="center"/>
          </w:tcPr>
          <w:p w14:paraId="5FFF8909"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4 650 000</w:t>
            </w:r>
          </w:p>
        </w:tc>
        <w:tc>
          <w:tcPr>
            <w:tcW w:w="319" w:type="pct"/>
            <w:tcBorders>
              <w:top w:val="nil"/>
              <w:left w:val="nil"/>
              <w:bottom w:val="single" w:sz="4" w:space="0" w:color="auto"/>
              <w:right w:val="single" w:sz="4" w:space="0" w:color="auto"/>
            </w:tcBorders>
            <w:shd w:val="clear" w:color="auto" w:fill="FFFFFF"/>
            <w:noWrap/>
            <w:vAlign w:val="center"/>
          </w:tcPr>
          <w:p w14:paraId="6938F5C9"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10 500 000</w:t>
            </w:r>
          </w:p>
        </w:tc>
        <w:tc>
          <w:tcPr>
            <w:tcW w:w="318" w:type="pct"/>
            <w:tcBorders>
              <w:top w:val="nil"/>
              <w:left w:val="nil"/>
              <w:bottom w:val="single" w:sz="4" w:space="0" w:color="auto"/>
              <w:right w:val="single" w:sz="4" w:space="0" w:color="auto"/>
            </w:tcBorders>
            <w:shd w:val="clear" w:color="auto" w:fill="FFFFFF"/>
            <w:noWrap/>
            <w:vAlign w:val="center"/>
          </w:tcPr>
          <w:p w14:paraId="4939FFDA"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7 150 000</w:t>
            </w:r>
          </w:p>
        </w:tc>
        <w:tc>
          <w:tcPr>
            <w:tcW w:w="288" w:type="pct"/>
            <w:tcBorders>
              <w:top w:val="nil"/>
              <w:left w:val="nil"/>
              <w:bottom w:val="single" w:sz="4" w:space="0" w:color="auto"/>
              <w:right w:val="single" w:sz="4" w:space="0" w:color="auto"/>
            </w:tcBorders>
            <w:shd w:val="clear" w:color="auto" w:fill="FFFFFF"/>
            <w:noWrap/>
            <w:vAlign w:val="center"/>
          </w:tcPr>
          <w:p w14:paraId="5119343F"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4 200 000</w:t>
            </w:r>
          </w:p>
        </w:tc>
        <w:tc>
          <w:tcPr>
            <w:tcW w:w="303" w:type="pct"/>
            <w:tcBorders>
              <w:top w:val="nil"/>
              <w:left w:val="nil"/>
              <w:bottom w:val="single" w:sz="4" w:space="0" w:color="auto"/>
              <w:right w:val="single" w:sz="4" w:space="0" w:color="auto"/>
            </w:tcBorders>
            <w:shd w:val="clear" w:color="auto" w:fill="FFFFFF"/>
            <w:noWrap/>
            <w:vAlign w:val="center"/>
          </w:tcPr>
          <w:p w14:paraId="4EF63DDC"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11 350 000</w:t>
            </w:r>
          </w:p>
        </w:tc>
        <w:tc>
          <w:tcPr>
            <w:tcW w:w="318" w:type="pct"/>
            <w:tcBorders>
              <w:top w:val="nil"/>
              <w:left w:val="nil"/>
              <w:bottom w:val="single" w:sz="4" w:space="0" w:color="auto"/>
              <w:right w:val="single" w:sz="4" w:space="0" w:color="auto"/>
            </w:tcBorders>
            <w:shd w:val="clear" w:color="auto" w:fill="FFFFFF"/>
            <w:noWrap/>
            <w:vAlign w:val="center"/>
          </w:tcPr>
          <w:p w14:paraId="57B00D1E"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11 000 000</w:t>
            </w:r>
          </w:p>
        </w:tc>
        <w:tc>
          <w:tcPr>
            <w:tcW w:w="319" w:type="pct"/>
            <w:tcBorders>
              <w:top w:val="nil"/>
              <w:left w:val="nil"/>
              <w:bottom w:val="single" w:sz="4" w:space="0" w:color="auto"/>
              <w:right w:val="single" w:sz="4" w:space="0" w:color="auto"/>
            </w:tcBorders>
            <w:shd w:val="clear" w:color="auto" w:fill="FFFFFF"/>
            <w:noWrap/>
            <w:vAlign w:val="center"/>
          </w:tcPr>
          <w:p w14:paraId="17F41CD4"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2 150 000</w:t>
            </w:r>
          </w:p>
        </w:tc>
        <w:tc>
          <w:tcPr>
            <w:tcW w:w="318" w:type="pct"/>
            <w:tcBorders>
              <w:top w:val="nil"/>
              <w:left w:val="nil"/>
              <w:bottom w:val="single" w:sz="4" w:space="0" w:color="auto"/>
              <w:right w:val="single" w:sz="4" w:space="0" w:color="auto"/>
            </w:tcBorders>
            <w:shd w:val="clear" w:color="auto" w:fill="FFFFFF"/>
            <w:noWrap/>
            <w:vAlign w:val="center"/>
          </w:tcPr>
          <w:p w14:paraId="0B02BE32"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13 150 000</w:t>
            </w:r>
          </w:p>
        </w:tc>
        <w:tc>
          <w:tcPr>
            <w:tcW w:w="318" w:type="pct"/>
            <w:tcBorders>
              <w:top w:val="nil"/>
              <w:left w:val="nil"/>
              <w:bottom w:val="single" w:sz="4" w:space="0" w:color="auto"/>
              <w:right w:val="single" w:sz="4" w:space="0" w:color="auto"/>
            </w:tcBorders>
            <w:shd w:val="clear" w:color="auto" w:fill="FFFFFF"/>
            <w:noWrap/>
            <w:vAlign w:val="center"/>
          </w:tcPr>
          <w:p w14:paraId="03473B17"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30 000 000</w:t>
            </w:r>
          </w:p>
        </w:tc>
        <w:tc>
          <w:tcPr>
            <w:tcW w:w="364" w:type="pct"/>
            <w:tcBorders>
              <w:top w:val="nil"/>
              <w:left w:val="nil"/>
              <w:bottom w:val="single" w:sz="4" w:space="0" w:color="auto"/>
              <w:right w:val="single" w:sz="4" w:space="0" w:color="auto"/>
            </w:tcBorders>
            <w:shd w:val="clear" w:color="auto" w:fill="FFFFFF"/>
            <w:noWrap/>
            <w:vAlign w:val="center"/>
          </w:tcPr>
          <w:p w14:paraId="5EB29A4D" w14:textId="77777777" w:rsidR="00847F23" w:rsidRPr="00913E39" w:rsidRDefault="00847F23" w:rsidP="004F525C">
            <w:pPr>
              <w:spacing w:after="0" w:line="240" w:lineRule="auto"/>
              <w:jc w:val="center"/>
              <w:rPr>
                <w:rFonts w:ascii="Garamond" w:hAnsi="Garamond"/>
                <w:sz w:val="16"/>
              </w:rPr>
            </w:pPr>
            <w:r w:rsidRPr="00913E39">
              <w:rPr>
                <w:rFonts w:ascii="Garamond" w:hAnsi="Garamond"/>
                <w:sz w:val="16"/>
              </w:rPr>
              <w:t>14 000 000</w:t>
            </w:r>
          </w:p>
        </w:tc>
        <w:tc>
          <w:tcPr>
            <w:tcW w:w="272" w:type="pct"/>
            <w:tcBorders>
              <w:top w:val="nil"/>
              <w:left w:val="nil"/>
              <w:bottom w:val="single" w:sz="4" w:space="0" w:color="auto"/>
              <w:right w:val="single" w:sz="4" w:space="0" w:color="auto"/>
            </w:tcBorders>
            <w:shd w:val="clear" w:color="auto" w:fill="FFFFFF"/>
            <w:noWrap/>
            <w:vAlign w:val="center"/>
          </w:tcPr>
          <w:p w14:paraId="04D6579E" w14:textId="77777777" w:rsidR="00847F23" w:rsidRPr="00913E39" w:rsidRDefault="00847F23" w:rsidP="004F525C">
            <w:pPr>
              <w:spacing w:after="0" w:line="240" w:lineRule="auto"/>
              <w:jc w:val="center"/>
              <w:rPr>
                <w:rFonts w:ascii="Garamond" w:hAnsi="Garamond"/>
                <w:b/>
                <w:sz w:val="16"/>
              </w:rPr>
            </w:pPr>
            <w:r w:rsidRPr="00913E39">
              <w:rPr>
                <w:rFonts w:ascii="Garamond" w:hAnsi="Garamond"/>
                <w:b/>
                <w:sz w:val="16"/>
              </w:rPr>
              <w:t>44 000 000</w:t>
            </w:r>
          </w:p>
        </w:tc>
      </w:tr>
    </w:tbl>
    <w:p w14:paraId="4FB4E2DC" w14:textId="77777777" w:rsidR="00847F23" w:rsidRPr="00913E39" w:rsidRDefault="00847F23" w:rsidP="00FC4C60">
      <w:pPr>
        <w:spacing w:after="0" w:line="240" w:lineRule="auto"/>
        <w:ind w:firstLine="284"/>
        <w:rPr>
          <w:rFonts w:ascii="Garamond" w:hAnsi="Garamond"/>
          <w:b/>
          <w:sz w:val="24"/>
        </w:rPr>
      </w:pPr>
    </w:p>
    <w:p w14:paraId="696FE9F6" w14:textId="033FB2B1" w:rsidR="00847F23" w:rsidRPr="00913E39" w:rsidRDefault="00847F23" w:rsidP="00FC4C60">
      <w:pPr>
        <w:spacing w:after="0" w:line="240" w:lineRule="auto"/>
        <w:ind w:firstLine="284"/>
        <w:rPr>
          <w:rFonts w:ascii="Garamond" w:hAnsi="Garamond"/>
          <w:sz w:val="24"/>
        </w:rPr>
      </w:pPr>
      <w:r w:rsidRPr="00913E39">
        <w:rPr>
          <w:rFonts w:ascii="Garamond" w:hAnsi="Garamond"/>
          <w:b/>
          <w:sz w:val="24"/>
        </w:rPr>
        <w:t>Shënim</w:t>
      </w:r>
      <w:r w:rsidR="00997F40" w:rsidRPr="00913E39">
        <w:rPr>
          <w:rFonts w:ascii="Garamond" w:hAnsi="Garamond"/>
          <w:b/>
          <w:sz w:val="24"/>
        </w:rPr>
        <w:t>.</w:t>
      </w:r>
      <w:r w:rsidRPr="00913E39">
        <w:rPr>
          <w:rFonts w:ascii="Garamond" w:hAnsi="Garamond"/>
          <w:b/>
          <w:sz w:val="24"/>
        </w:rPr>
        <w:t xml:space="preserve"> </w:t>
      </w:r>
      <w:r w:rsidRPr="00913E39">
        <w:rPr>
          <w:rFonts w:ascii="Garamond" w:hAnsi="Garamond"/>
          <w:sz w:val="24"/>
        </w:rPr>
        <w:t>Shkalla e bashkëfinancimit të IPA-së është maksimumi 85% në nivel të secilës fushë të mbështetjes</w:t>
      </w:r>
      <w:r w:rsidR="007C12C0" w:rsidRPr="00913E39">
        <w:rPr>
          <w:rFonts w:ascii="Garamond" w:hAnsi="Garamond"/>
          <w:sz w:val="24"/>
        </w:rPr>
        <w:t>.</w:t>
      </w:r>
    </w:p>
    <w:p w14:paraId="056F6C9F" w14:textId="77777777"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Shtoni shtyllat përkatëse për shtimin e viteve buxhetore shtesë ose ndani në tabela të veçanta për çdo vit buxhetor.</w:t>
      </w:r>
    </w:p>
    <w:p w14:paraId="1EA6B29B" w14:textId="65579FE9" w:rsidR="00847F23" w:rsidRPr="00913E39" w:rsidRDefault="00847F23" w:rsidP="00FC4C60">
      <w:pPr>
        <w:spacing w:after="0" w:line="240" w:lineRule="auto"/>
        <w:ind w:firstLine="284"/>
        <w:jc w:val="both"/>
        <w:rPr>
          <w:rFonts w:ascii="Garamond" w:hAnsi="Garamond"/>
          <w:sz w:val="24"/>
        </w:rPr>
      </w:pPr>
      <w:r w:rsidRPr="00913E39">
        <w:rPr>
          <w:rFonts w:ascii="Garamond" w:hAnsi="Garamond"/>
          <w:sz w:val="24"/>
        </w:rPr>
        <w:t xml:space="preserve">Një vendim i veçantë do të mbulojë shpenzimet për </w:t>
      </w:r>
      <w:r w:rsidR="00997F40" w:rsidRPr="00913E39">
        <w:rPr>
          <w:rFonts w:ascii="Garamond" w:hAnsi="Garamond"/>
          <w:sz w:val="24"/>
        </w:rPr>
        <w:t>komunikimin strategjik, diplomacinë publike, auditimin dhe vlerësimin</w:t>
      </w:r>
      <w:r w:rsidRPr="00913E39">
        <w:rPr>
          <w:rFonts w:ascii="Garamond" w:hAnsi="Garamond"/>
          <w:sz w:val="24"/>
        </w:rPr>
        <w:t>.</w:t>
      </w:r>
    </w:p>
    <w:p w14:paraId="7C1EA98A" w14:textId="77777777" w:rsidR="00847F23" w:rsidRPr="00913E39" w:rsidRDefault="00847F23" w:rsidP="00FC4C60">
      <w:pPr>
        <w:spacing w:after="0" w:line="240" w:lineRule="auto"/>
        <w:ind w:firstLine="284"/>
        <w:jc w:val="both"/>
        <w:rPr>
          <w:rFonts w:ascii="Garamond" w:hAnsi="Garamond"/>
          <w:b/>
          <w:sz w:val="24"/>
        </w:rPr>
      </w:pPr>
    </w:p>
    <w:p w14:paraId="3F5B0D0B" w14:textId="77777777" w:rsidR="00847F23" w:rsidRPr="00913E39" w:rsidRDefault="00847F23" w:rsidP="00FC4C60">
      <w:pPr>
        <w:spacing w:after="0" w:line="240" w:lineRule="auto"/>
        <w:ind w:firstLine="284"/>
        <w:jc w:val="both"/>
        <w:rPr>
          <w:rFonts w:ascii="Garamond" w:hAnsi="Garamond"/>
          <w:b/>
          <w:sz w:val="24"/>
        </w:rPr>
      </w:pPr>
    </w:p>
    <w:p w14:paraId="231026DB" w14:textId="77777777" w:rsidR="00847F23" w:rsidRPr="00913E39" w:rsidRDefault="00847F23" w:rsidP="00FC4C60">
      <w:pPr>
        <w:spacing w:after="0" w:line="240" w:lineRule="auto"/>
        <w:ind w:firstLine="284"/>
        <w:jc w:val="both"/>
        <w:rPr>
          <w:rFonts w:ascii="Garamond" w:hAnsi="Garamond"/>
          <w:b/>
          <w:sz w:val="24"/>
        </w:rPr>
        <w:sectPr w:rsidR="00847F23" w:rsidRPr="00913E39">
          <w:pgSz w:w="16838" w:h="11906" w:orient="landscape"/>
          <w:pgMar w:top="993" w:right="1418" w:bottom="1418" w:left="709" w:header="709" w:footer="709" w:gutter="0"/>
          <w:cols w:space="708"/>
          <w:docGrid w:linePitch="360"/>
        </w:sectPr>
      </w:pPr>
    </w:p>
    <w:p w14:paraId="3DAF5A74" w14:textId="77777777" w:rsidR="00847F23" w:rsidRPr="00913E39" w:rsidRDefault="00421586" w:rsidP="009926E9">
      <w:pPr>
        <w:spacing w:after="0" w:line="240" w:lineRule="auto"/>
        <w:ind w:firstLine="284"/>
        <w:contextualSpacing/>
        <w:jc w:val="both"/>
        <w:rPr>
          <w:rFonts w:ascii="Garamond" w:hAnsi="Garamond"/>
          <w:b/>
          <w:sz w:val="24"/>
        </w:rPr>
      </w:pPr>
      <w:r w:rsidRPr="000248B5">
        <w:rPr>
          <w:rFonts w:ascii="Garamond" w:hAnsi="Garamond"/>
          <w:b/>
          <w:sz w:val="24"/>
        </w:rPr>
        <w:lastRenderedPageBreak/>
        <w:t xml:space="preserve">7. </w:t>
      </w:r>
      <w:r w:rsidR="00847F23" w:rsidRPr="000248B5">
        <w:rPr>
          <w:rFonts w:ascii="Garamond" w:hAnsi="Garamond"/>
          <w:b/>
          <w:sz w:val="24"/>
        </w:rPr>
        <w:t>Matja e performancës</w:t>
      </w:r>
    </w:p>
    <w:p w14:paraId="0B2DE524" w14:textId="77777777" w:rsidR="00847F23" w:rsidRPr="00913E39" w:rsidRDefault="00421586" w:rsidP="009926E9">
      <w:pPr>
        <w:keepNext/>
        <w:keepLines/>
        <w:spacing w:after="0" w:line="240" w:lineRule="auto"/>
        <w:ind w:firstLine="284"/>
        <w:jc w:val="both"/>
        <w:outlineLvl w:val="0"/>
        <w:rPr>
          <w:rFonts w:ascii="Garamond" w:hAnsi="Garamond"/>
          <w:i/>
          <w:kern w:val="32"/>
          <w:sz w:val="24"/>
        </w:rPr>
      </w:pPr>
      <w:r w:rsidRPr="00913E39">
        <w:rPr>
          <w:rFonts w:ascii="Garamond" w:hAnsi="Garamond"/>
          <w:i/>
          <w:kern w:val="32"/>
          <w:sz w:val="24"/>
        </w:rPr>
        <w:t xml:space="preserve">7.1 </w:t>
      </w:r>
      <w:r w:rsidR="00847F23" w:rsidRPr="00913E39">
        <w:rPr>
          <w:rFonts w:ascii="Garamond" w:hAnsi="Garamond"/>
          <w:i/>
          <w:kern w:val="32"/>
          <w:sz w:val="24"/>
        </w:rPr>
        <w:t xml:space="preserve">Monitorimi dhe raportimi </w:t>
      </w:r>
    </w:p>
    <w:p w14:paraId="7ABC571D" w14:textId="77777777" w:rsidR="00847F23" w:rsidRPr="00913E39" w:rsidRDefault="00847F23" w:rsidP="009926E9">
      <w:pPr>
        <w:tabs>
          <w:tab w:val="left" w:pos="2160"/>
        </w:tabs>
        <w:spacing w:after="0" w:line="240" w:lineRule="auto"/>
        <w:ind w:firstLine="284"/>
        <w:jc w:val="both"/>
        <w:rPr>
          <w:rFonts w:ascii="Garamond" w:eastAsia="Times New Roman" w:hAnsi="Garamond" w:cs="Times New Roman"/>
          <w:bCs/>
          <w:sz w:val="24"/>
          <w:szCs w:val="24"/>
          <w:lang w:eastAsia="ja-JP"/>
        </w:rPr>
      </w:pPr>
      <w:r w:rsidRPr="00913E39">
        <w:rPr>
          <w:rFonts w:ascii="Garamond" w:eastAsia="Times New Roman" w:hAnsi="Garamond" w:cs="Times New Roman"/>
          <w:sz w:val="24"/>
          <w:szCs w:val="24"/>
          <w:lang w:eastAsia="ja-JP"/>
        </w:rPr>
        <w:t>Monitorimi i zbatimit të Programit Operacional do të synojë mbledhjen dhe analizimin e të dhënave për të informuar mbi progresin drejt arritjes së rezultateve të planifikuara, për të informuar proceset e vendimmarrjes dhe për të raportuar mbi përdorimin e burimeve.</w:t>
      </w:r>
    </w:p>
    <w:p w14:paraId="2666E6DA"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Monitorimi teknik dhe financiar i vayhdueshëm i zbatimit të këtij Programi Operacional do të jetë një proces i vazhdueshëm dhe pjesë e përgjegjësive të partnerit zbatues. Për këtë qëllim, Autoriteti Menaxhues do të krijojë një sistem të përhershëm monitorimi të brendshëm, teknik dhe financiar për programin dhe do të hartojë raporte të rregullta progresi (jo më pak se një here në vit) dhe raporte përfundimtare. </w:t>
      </w:r>
    </w:p>
    <w:p w14:paraId="54B301A6" w14:textId="65DDCA4E"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Çdo raport do të japë një përshkrim të saktë të zbatimit të Programit Operacional, vështirësive të hasura, ndryshimeve të paraqitura, si dhe shkallën e arritjes së Outputeve të tij dhe kontributit në arritjen e </w:t>
      </w:r>
      <w:r w:rsidR="00AC3A3A" w:rsidRPr="00913E39">
        <w:rPr>
          <w:rFonts w:ascii="Garamond" w:hAnsi="Garamond"/>
          <w:sz w:val="24"/>
        </w:rPr>
        <w:t xml:space="preserve">rezultateve </w:t>
      </w:r>
      <w:r w:rsidRPr="00913E39">
        <w:rPr>
          <w:rFonts w:ascii="Garamond" w:hAnsi="Garamond"/>
          <w:sz w:val="24"/>
        </w:rPr>
        <w:t xml:space="preserve">të tij, dhe nëse është e mundur në kohën e raportimit, kontributin për arritjen e ndikimeve të tij, të matura nga indikatorët përkatës. </w:t>
      </w:r>
    </w:p>
    <w:p w14:paraId="72532FF1"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Komisioni mund të kryejë vizita monitoruese shtesë si nëpërmjet stafit të tij ashtu edhe nëpërmjet konsulentëve të pavarur të rekrutuar drejtpërdrejt nga Komisioni për vlerësime të pavarura monitoruese (ose të rekrutuar nga agjenti përgjegjës i kontraktuar nga Komisioni për kryerjen e këtyre vlerësimeve). </w:t>
      </w:r>
    </w:p>
    <w:p w14:paraId="7C632D4E" w14:textId="77777777" w:rsidR="00847F23" w:rsidRPr="00913E39" w:rsidRDefault="00847F23" w:rsidP="009926E9">
      <w:pPr>
        <w:spacing w:after="0" w:line="240" w:lineRule="auto"/>
        <w:ind w:firstLine="284"/>
        <w:jc w:val="both"/>
        <w:rPr>
          <w:rFonts w:ascii="Garamond" w:hAnsi="Garamond"/>
          <w:b/>
          <w:sz w:val="24"/>
        </w:rPr>
      </w:pPr>
      <w:r w:rsidRPr="00913E39">
        <w:rPr>
          <w:rFonts w:ascii="Garamond" w:hAnsi="Garamond"/>
          <w:b/>
          <w:sz w:val="24"/>
        </w:rPr>
        <w:t>Rolet dhe përgjegjësitë për mbledhjen, analizimin dhe monitorimin e të dhënave</w:t>
      </w:r>
    </w:p>
    <w:p w14:paraId="03CDF3D0"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Siç parashikohet në kornizën e rezultateve të IPA III, institucionet do të raportojnë vlerat për të gjithë treguesit përkatës si pjesë e ushtrimit vjetor të mbledhjes së të dhënave. Një shumëllojshmëri mjetesh dhe metodash do të përdoren si burime informacioni për indikatorët siç tregohet në pjesën 4.2.2. Aty ku kërkohen sondazhe, studime ose të ngjashme, ato do të financohen nëpërmjet Programit Operacional. </w:t>
      </w:r>
    </w:p>
    <w:p w14:paraId="0F0F2A63" w14:textId="2D02CE80"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Mbledhja e të dhënave në lidhje me arritjen e objektivave është nën përgjegjësinë e disa ministrive/institucioneve, duke përfshirë Agjencinë Kombëtare të Shoqërisë së Informacionit, Ministrinë e Shëndetësisë dhe Mbrojtjes Sociale, Ministrinë e Arsimit dhe Sportit, Ministrinë e Financave dhe Ekonomisë – Drejtorinë e Përgjithshme të Tatimeve, Autoritetin Kombëtar për Certifikimin Elektronik dhe Sigurinë Kibernetike dhe Ministrinë e Infrastrukturës dhe Energjisë </w:t>
      </w:r>
      <w:r w:rsidR="0037437B" w:rsidRPr="00913E39">
        <w:rPr>
          <w:rFonts w:ascii="Garamond" w:hAnsi="Garamond"/>
          <w:sz w:val="24"/>
        </w:rPr>
        <w:t>–</w:t>
      </w:r>
      <w:r w:rsidRPr="00913E39">
        <w:rPr>
          <w:rFonts w:ascii="Garamond" w:hAnsi="Garamond"/>
          <w:sz w:val="24"/>
        </w:rPr>
        <w:t xml:space="preserve"> Drejtorinë</w:t>
      </w:r>
      <w:r w:rsidR="0037437B" w:rsidRPr="00913E39">
        <w:rPr>
          <w:rFonts w:ascii="Garamond" w:hAnsi="Garamond"/>
          <w:sz w:val="24"/>
        </w:rPr>
        <w:t xml:space="preserve"> </w:t>
      </w:r>
      <w:r w:rsidRPr="00913E39">
        <w:rPr>
          <w:rFonts w:ascii="Garamond" w:hAnsi="Garamond"/>
          <w:sz w:val="24"/>
        </w:rPr>
        <w:t>e Politikave dhe Strategjive për Zhvillimin e Telekomunikacionit dhe Postave</w:t>
      </w:r>
    </w:p>
    <w:p w14:paraId="53D9D7CE"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Barazia gjinore do të monitorohet nëpërmjet mbledhjes së të dhënave të ndara siç parashikohet në legjislacionin kombëtar, si dhe përmes mbledhjes së të dhënave të posaçme për tregues të veçantë</w:t>
      </w:r>
    </w:p>
    <w:p w14:paraId="6738CA62"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Në nivel të Programit Operacional, një sistem i brendshëm monitorimi do të krijohet nga Autoriteti Menaxhues, i cili do të lejojë monitorimin e ecurisë së zbatimit, do të mundësojë mbledhjen sistematike dhe në kohë të të dhënave për treguesit dhe do të mbështesë raportimin vjetor. Një panel për zbatimin e Programit do të sigurojë bazën për raportimin komunikues dhe të orientuar në rezultate dhe do të mundësojë paraqitjen vizuale të përparimit dhe arritjeve të zbatimit. Disa informacione ose të dhëna që lidhen me sigurinë kibernetike mund të jenë të kufizuara ose sensitive dhe do të përgatitet veçmas një mekanizëm i përshtatshëm monitorimi që do të miratohet me shërbimet e Komisionit.</w:t>
      </w:r>
    </w:p>
    <w:p w14:paraId="08B8F58F" w14:textId="7D28655B" w:rsidR="00847F23" w:rsidRPr="00913E39" w:rsidRDefault="00847F23" w:rsidP="009926E9">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Komiteti i Monitorimit Sektorial, siç parashikohet në nenin 53 të Marrëveshjes Kuadër të Partneritetit Financiar luan një rol kyç në monitorimin dhe raportimin e zbatimit të Programit Operacional. Komiteti i Monitorimit Sektorial do të përfshijë përfaqësues nga partnerët në përputhje me Kodin Evropian të Sjelljes së Partneritetit [</w:t>
      </w:r>
      <w:r w:rsidR="00961E3E" w:rsidRPr="00913E39">
        <w:rPr>
          <w:rFonts w:ascii="Garamond" w:hAnsi="Garamond"/>
          <w:sz w:val="24"/>
        </w:rPr>
        <w:t>r</w:t>
      </w:r>
      <w:r w:rsidRPr="00913E39">
        <w:rPr>
          <w:rFonts w:ascii="Garamond" w:hAnsi="Garamond"/>
          <w:sz w:val="24"/>
        </w:rPr>
        <w:t xml:space="preserve">regullorja e deleguar e Komisionit (BE) nr. 240/2014 e 7 janarit 2014 mbi kodin Evropian të sjelljes për partneritetin në kuadrin e Fondeve Evropiane Strukturore dhe të Investimeve] në bazë të metodologjisë për zbatimin e parimit të partneritetit dhe përzgjedhjes së partnerëve të zhvilluar për </w:t>
      </w:r>
      <w:r w:rsidR="00BA0EA0" w:rsidRPr="00913E39">
        <w:rPr>
          <w:rFonts w:ascii="Garamond" w:hAnsi="Garamond"/>
          <w:sz w:val="24"/>
        </w:rPr>
        <w:t xml:space="preserve">programet operacionale </w:t>
      </w:r>
      <w:r w:rsidRPr="00913E39">
        <w:rPr>
          <w:rFonts w:ascii="Garamond" w:hAnsi="Garamond"/>
          <w:sz w:val="24"/>
        </w:rPr>
        <w:t>2024</w:t>
      </w:r>
      <w:r w:rsidR="00BA0EA0" w:rsidRPr="00913E39">
        <w:rPr>
          <w:rFonts w:ascii="Garamond" w:hAnsi="Garamond"/>
          <w:sz w:val="24"/>
        </w:rPr>
        <w:t>–</w:t>
      </w:r>
      <w:r w:rsidRPr="00913E39">
        <w:rPr>
          <w:rFonts w:ascii="Garamond" w:hAnsi="Garamond"/>
          <w:sz w:val="24"/>
        </w:rPr>
        <w:t>2027</w:t>
      </w:r>
      <w:r w:rsidR="00BA0EA0" w:rsidRPr="00913E39">
        <w:rPr>
          <w:rFonts w:ascii="Garamond" w:hAnsi="Garamond"/>
          <w:sz w:val="24"/>
        </w:rPr>
        <w:t xml:space="preserve"> </w:t>
      </w:r>
      <w:r w:rsidRPr="00913E39">
        <w:rPr>
          <w:rFonts w:ascii="Garamond" w:hAnsi="Garamond"/>
          <w:sz w:val="24"/>
        </w:rPr>
        <w:t xml:space="preserve">në Shqipëri në kuadër të IPA III. </w:t>
      </w:r>
    </w:p>
    <w:p w14:paraId="3AB12E44" w14:textId="573D0852"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Partneriteti për Programin Operacional përfshin përfaqësues nga</w:t>
      </w:r>
      <w:r w:rsidR="00961E3E" w:rsidRPr="00913E39">
        <w:rPr>
          <w:rFonts w:ascii="Garamond" w:hAnsi="Garamond"/>
          <w:sz w:val="24"/>
        </w:rPr>
        <w:t>:</w:t>
      </w:r>
    </w:p>
    <w:p w14:paraId="3A48ACD6" w14:textId="6C982BA1" w:rsidR="00847F23" w:rsidRPr="00913E39" w:rsidRDefault="00421586" w:rsidP="009926E9">
      <w:pPr>
        <w:spacing w:after="0" w:line="240" w:lineRule="auto"/>
        <w:ind w:firstLine="284"/>
        <w:contextualSpacing/>
        <w:jc w:val="both"/>
        <w:rPr>
          <w:rFonts w:ascii="Garamond" w:hAnsi="Garamond"/>
          <w:sz w:val="24"/>
        </w:rPr>
      </w:pPr>
      <w:r w:rsidRPr="00913E39">
        <w:rPr>
          <w:rFonts w:ascii="Garamond" w:hAnsi="Garamond"/>
          <w:sz w:val="24"/>
        </w:rPr>
        <w:t xml:space="preserve">- </w:t>
      </w:r>
      <w:r w:rsidR="0037437B" w:rsidRPr="00913E39">
        <w:rPr>
          <w:rFonts w:ascii="Garamond" w:hAnsi="Garamond"/>
          <w:sz w:val="24"/>
        </w:rPr>
        <w:t xml:space="preserve">autoritetet </w:t>
      </w:r>
      <w:r w:rsidR="00847F23" w:rsidRPr="00913E39">
        <w:rPr>
          <w:rFonts w:ascii="Garamond" w:hAnsi="Garamond"/>
          <w:sz w:val="24"/>
        </w:rPr>
        <w:t>publike përkatëse përfshirë përfaqësuesit rajonal dhe kombëtar të autoriteteve lokale</w:t>
      </w:r>
      <w:r w:rsidR="00961E3E" w:rsidRPr="00913E39">
        <w:rPr>
          <w:rFonts w:ascii="Garamond" w:hAnsi="Garamond"/>
          <w:sz w:val="24"/>
        </w:rPr>
        <w:t>;</w:t>
      </w:r>
    </w:p>
    <w:p w14:paraId="111B682F" w14:textId="277D9F01" w:rsidR="00847F23" w:rsidRPr="00913E39" w:rsidRDefault="00421586" w:rsidP="009926E9">
      <w:pPr>
        <w:spacing w:after="0" w:line="240" w:lineRule="auto"/>
        <w:ind w:firstLine="284"/>
        <w:contextualSpacing/>
        <w:jc w:val="both"/>
        <w:rPr>
          <w:rFonts w:ascii="Garamond" w:hAnsi="Garamond"/>
          <w:sz w:val="24"/>
        </w:rPr>
      </w:pPr>
      <w:r w:rsidRPr="00913E39">
        <w:rPr>
          <w:rFonts w:ascii="Garamond" w:hAnsi="Garamond"/>
          <w:sz w:val="24"/>
        </w:rPr>
        <w:t xml:space="preserve">- </w:t>
      </w:r>
      <w:r w:rsidR="0037437B" w:rsidRPr="00913E39">
        <w:rPr>
          <w:rFonts w:ascii="Garamond" w:hAnsi="Garamond"/>
          <w:sz w:val="24"/>
        </w:rPr>
        <w:t xml:space="preserve">autoritetet </w:t>
      </w:r>
      <w:r w:rsidR="00847F23" w:rsidRPr="00913E39">
        <w:rPr>
          <w:rFonts w:ascii="Garamond" w:hAnsi="Garamond"/>
          <w:sz w:val="24"/>
        </w:rPr>
        <w:t>publike kombëtare përgjegjëse për zbatimin e parimeve horizontale</w:t>
      </w:r>
      <w:r w:rsidR="00961E3E" w:rsidRPr="00913E39">
        <w:rPr>
          <w:rFonts w:ascii="Garamond" w:hAnsi="Garamond"/>
          <w:sz w:val="24"/>
        </w:rPr>
        <w:t>;</w:t>
      </w:r>
    </w:p>
    <w:p w14:paraId="63788FC4" w14:textId="38439394" w:rsidR="00847F23" w:rsidRPr="00913E39" w:rsidRDefault="00421586" w:rsidP="009926E9">
      <w:pPr>
        <w:spacing w:after="0" w:line="240" w:lineRule="auto"/>
        <w:ind w:firstLine="284"/>
        <w:contextualSpacing/>
        <w:jc w:val="both"/>
        <w:rPr>
          <w:rFonts w:ascii="Garamond" w:hAnsi="Garamond"/>
          <w:sz w:val="24"/>
        </w:rPr>
      </w:pPr>
      <w:r w:rsidRPr="00913E39">
        <w:rPr>
          <w:rFonts w:ascii="Garamond" w:hAnsi="Garamond"/>
          <w:sz w:val="24"/>
        </w:rPr>
        <w:t xml:space="preserve">- </w:t>
      </w:r>
      <w:r w:rsidR="0037437B" w:rsidRPr="00913E39">
        <w:rPr>
          <w:rFonts w:ascii="Garamond" w:hAnsi="Garamond"/>
          <w:sz w:val="24"/>
        </w:rPr>
        <w:t xml:space="preserve">partnerët </w:t>
      </w:r>
      <w:r w:rsidR="00847F23" w:rsidRPr="00913E39">
        <w:rPr>
          <w:rFonts w:ascii="Garamond" w:hAnsi="Garamond"/>
          <w:sz w:val="24"/>
        </w:rPr>
        <w:t>ekonomikë dhe socialë</w:t>
      </w:r>
      <w:r w:rsidR="00961E3E" w:rsidRPr="00913E39">
        <w:rPr>
          <w:rFonts w:ascii="Garamond" w:hAnsi="Garamond"/>
          <w:sz w:val="24"/>
        </w:rPr>
        <w:t>;</w:t>
      </w:r>
    </w:p>
    <w:p w14:paraId="233030FD" w14:textId="686B973F" w:rsidR="00847F23" w:rsidRPr="00913E39" w:rsidRDefault="00421586" w:rsidP="009926E9">
      <w:pPr>
        <w:spacing w:after="0" w:line="240" w:lineRule="auto"/>
        <w:ind w:firstLine="284"/>
        <w:contextualSpacing/>
        <w:jc w:val="both"/>
        <w:rPr>
          <w:rFonts w:ascii="Garamond" w:hAnsi="Garamond"/>
          <w:sz w:val="24"/>
        </w:rPr>
      </w:pPr>
      <w:r w:rsidRPr="00913E39">
        <w:rPr>
          <w:rFonts w:ascii="Garamond" w:hAnsi="Garamond"/>
          <w:sz w:val="24"/>
        </w:rPr>
        <w:t xml:space="preserve">- </w:t>
      </w:r>
      <w:r w:rsidR="0037437B" w:rsidRPr="00913E39">
        <w:rPr>
          <w:rFonts w:ascii="Garamond" w:hAnsi="Garamond"/>
          <w:sz w:val="24"/>
        </w:rPr>
        <w:t xml:space="preserve">organet </w:t>
      </w:r>
      <w:r w:rsidR="00847F23" w:rsidRPr="00913E39">
        <w:rPr>
          <w:rFonts w:ascii="Garamond" w:hAnsi="Garamond"/>
          <w:sz w:val="24"/>
        </w:rPr>
        <w:t>përfaqësuese të shoqërisë civile</w:t>
      </w:r>
      <w:r w:rsidR="00961E3E" w:rsidRPr="00913E39">
        <w:rPr>
          <w:rFonts w:ascii="Garamond" w:hAnsi="Garamond"/>
          <w:sz w:val="24"/>
        </w:rPr>
        <w:t>.</w:t>
      </w:r>
    </w:p>
    <w:p w14:paraId="0AD42B23" w14:textId="4EAFE9E3"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Kur është e nevojshme, do të </w:t>
      </w:r>
      <w:r w:rsidR="00961E3E" w:rsidRPr="00913E39">
        <w:rPr>
          <w:rFonts w:ascii="Garamond" w:hAnsi="Garamond"/>
          <w:sz w:val="24"/>
        </w:rPr>
        <w:t>përfshin</w:t>
      </w:r>
      <w:r w:rsidRPr="00913E39">
        <w:rPr>
          <w:rFonts w:ascii="Garamond" w:hAnsi="Garamond"/>
          <w:sz w:val="24"/>
        </w:rPr>
        <w:t xml:space="preserve"> në </w:t>
      </w:r>
      <w:r w:rsidR="00961E3E" w:rsidRPr="00913E39">
        <w:rPr>
          <w:rFonts w:ascii="Garamond" w:hAnsi="Garamond"/>
          <w:sz w:val="24"/>
        </w:rPr>
        <w:t>partneritet</w:t>
      </w:r>
      <w:r w:rsidRPr="00913E39">
        <w:rPr>
          <w:rFonts w:ascii="Garamond" w:hAnsi="Garamond"/>
          <w:sz w:val="24"/>
        </w:rPr>
        <w:t xml:space="preserve"> edhe organizata mbështetëse</w:t>
      </w:r>
      <w:r w:rsidR="0037437B" w:rsidRPr="00913E39">
        <w:rPr>
          <w:rFonts w:ascii="Garamond" w:hAnsi="Garamond"/>
          <w:sz w:val="24"/>
        </w:rPr>
        <w:t>.</w:t>
      </w:r>
    </w:p>
    <w:p w14:paraId="08878D4C"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Autoriteti Menaxhues do të veprojë si Sekretariat për Komitetin e Monitorimit Sektorial të PO-së. </w:t>
      </w:r>
    </w:p>
    <w:p w14:paraId="53445D32" w14:textId="77777777" w:rsidR="00847F23" w:rsidRPr="00913E39" w:rsidRDefault="00847F23" w:rsidP="009926E9">
      <w:pPr>
        <w:widowControl w:val="0"/>
        <w:autoSpaceDE w:val="0"/>
        <w:autoSpaceDN w:val="0"/>
        <w:adjustRightInd w:val="0"/>
        <w:spacing w:after="0" w:line="240" w:lineRule="auto"/>
        <w:ind w:firstLine="284"/>
        <w:jc w:val="both"/>
        <w:rPr>
          <w:rFonts w:ascii="Garamond" w:hAnsi="Garamond"/>
          <w:sz w:val="24"/>
        </w:rPr>
      </w:pPr>
      <w:r w:rsidRPr="00913E39">
        <w:rPr>
          <w:rFonts w:ascii="Garamond" w:hAnsi="Garamond"/>
          <w:sz w:val="24"/>
        </w:rPr>
        <w:t>Pjesëmarrja aktive dhe domethënëse e palëve të interesuara do të sigurohet nëpërmjet:</w:t>
      </w:r>
    </w:p>
    <w:p w14:paraId="00B83709" w14:textId="35F0B3DC" w:rsidR="00847F23" w:rsidRPr="00913E39" w:rsidRDefault="00421586" w:rsidP="009926E9">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lastRenderedPageBreak/>
        <w:t xml:space="preserve">- </w:t>
      </w:r>
      <w:r w:rsidR="00847AEA" w:rsidRPr="00913E39">
        <w:rPr>
          <w:rFonts w:ascii="Garamond" w:hAnsi="Garamond"/>
          <w:sz w:val="24"/>
        </w:rPr>
        <w:t xml:space="preserve">kanaleve </w:t>
      </w:r>
      <w:r w:rsidR="00847F23" w:rsidRPr="00913E39">
        <w:rPr>
          <w:rFonts w:ascii="Garamond" w:hAnsi="Garamond"/>
          <w:sz w:val="24"/>
        </w:rPr>
        <w:t>për angazhimin e palëve të interesuara të identifikuara sipas fushës së mbështetjes dhe sipas rastit të zyrtarizuara</w:t>
      </w:r>
      <w:r w:rsidR="00847AEA" w:rsidRPr="00913E39">
        <w:rPr>
          <w:rFonts w:ascii="Garamond" w:hAnsi="Garamond"/>
          <w:sz w:val="24"/>
        </w:rPr>
        <w:t>;</w:t>
      </w:r>
    </w:p>
    <w:p w14:paraId="36240F04" w14:textId="40E4F9CD" w:rsidR="00847F23" w:rsidRPr="00913E39" w:rsidRDefault="00421586" w:rsidP="009926E9">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 </w:t>
      </w:r>
      <w:r w:rsidR="00847AEA" w:rsidRPr="00913E39">
        <w:rPr>
          <w:rFonts w:ascii="Garamond" w:hAnsi="Garamond"/>
          <w:sz w:val="24"/>
        </w:rPr>
        <w:t xml:space="preserve">pjesëmarrjes </w:t>
      </w:r>
      <w:r w:rsidR="00847F23" w:rsidRPr="00913E39">
        <w:rPr>
          <w:rFonts w:ascii="Garamond" w:hAnsi="Garamond"/>
          <w:sz w:val="24"/>
        </w:rPr>
        <w:t xml:space="preserve">së palëve të interesuara në </w:t>
      </w:r>
      <w:r w:rsidR="00961E3E" w:rsidRPr="00913E39">
        <w:rPr>
          <w:rFonts w:ascii="Garamond" w:hAnsi="Garamond"/>
          <w:sz w:val="24"/>
        </w:rPr>
        <w:t>komitetet e monitorimit</w:t>
      </w:r>
      <w:r w:rsidR="00847AEA" w:rsidRPr="00913E39">
        <w:rPr>
          <w:rFonts w:ascii="Garamond" w:hAnsi="Garamond"/>
          <w:sz w:val="24"/>
        </w:rPr>
        <w:t>;</w:t>
      </w:r>
    </w:p>
    <w:p w14:paraId="2060CF84" w14:textId="0FF8FF51" w:rsidR="00847F23" w:rsidRPr="00913E39" w:rsidRDefault="00421586" w:rsidP="009926E9">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 </w:t>
      </w:r>
      <w:r w:rsidR="00847AEA" w:rsidRPr="00913E39">
        <w:rPr>
          <w:rFonts w:ascii="Garamond" w:hAnsi="Garamond"/>
          <w:sz w:val="24"/>
        </w:rPr>
        <w:t xml:space="preserve">pjesëmarrjes </w:t>
      </w:r>
      <w:r w:rsidR="00847F23" w:rsidRPr="00913E39">
        <w:rPr>
          <w:rFonts w:ascii="Garamond" w:hAnsi="Garamond"/>
          <w:sz w:val="24"/>
        </w:rPr>
        <w:t>së palëve të interesuara për vizitat në terren</w:t>
      </w:r>
      <w:r w:rsidR="00847AEA" w:rsidRPr="00913E39">
        <w:rPr>
          <w:rFonts w:ascii="Garamond" w:hAnsi="Garamond"/>
          <w:sz w:val="24"/>
        </w:rPr>
        <w:t>;</w:t>
      </w:r>
    </w:p>
    <w:p w14:paraId="3D05CFB3" w14:textId="68995DC7" w:rsidR="00847F23" w:rsidRPr="00913E39" w:rsidRDefault="00421586" w:rsidP="009926E9">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 </w:t>
      </w:r>
      <w:r w:rsidR="00847AEA" w:rsidRPr="00913E39">
        <w:rPr>
          <w:rFonts w:ascii="Garamond" w:hAnsi="Garamond"/>
          <w:sz w:val="24"/>
        </w:rPr>
        <w:t xml:space="preserve">sigurimit </w:t>
      </w:r>
      <w:r w:rsidR="00847F23" w:rsidRPr="00913E39">
        <w:rPr>
          <w:rFonts w:ascii="Garamond" w:hAnsi="Garamond"/>
          <w:sz w:val="24"/>
        </w:rPr>
        <w:t>të rregullt të informacionit për palët e interesuara</w:t>
      </w:r>
      <w:r w:rsidR="00847AEA" w:rsidRPr="00913E39">
        <w:rPr>
          <w:rFonts w:ascii="Garamond" w:hAnsi="Garamond"/>
          <w:sz w:val="24"/>
        </w:rPr>
        <w:t>;</w:t>
      </w:r>
    </w:p>
    <w:p w14:paraId="22FDCA37" w14:textId="0FC91DE2" w:rsidR="00847F23" w:rsidRPr="00913E39" w:rsidRDefault="00421586" w:rsidP="009926E9">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 </w:t>
      </w:r>
      <w:r w:rsidR="00847AEA" w:rsidRPr="00913E39">
        <w:rPr>
          <w:rFonts w:ascii="Garamond" w:hAnsi="Garamond"/>
          <w:sz w:val="24"/>
        </w:rPr>
        <w:t xml:space="preserve">në </w:t>
      </w:r>
      <w:r w:rsidR="00847F23" w:rsidRPr="00913E39">
        <w:rPr>
          <w:rFonts w:ascii="Garamond" w:hAnsi="Garamond"/>
          <w:sz w:val="24"/>
        </w:rPr>
        <w:t>rast të investimit të lokalizuar, do të përfshihen përfituesit vendorë.</w:t>
      </w:r>
    </w:p>
    <w:p w14:paraId="7D435EB1" w14:textId="2C68F4B4" w:rsidR="00847F23" w:rsidRPr="00913E39" w:rsidRDefault="00847F23" w:rsidP="009926E9">
      <w:pPr>
        <w:widowControl w:val="0"/>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Për sa </w:t>
      </w:r>
      <w:r w:rsidR="00E93B9B" w:rsidRPr="00913E39">
        <w:rPr>
          <w:rFonts w:ascii="Garamond" w:hAnsi="Garamond"/>
          <w:sz w:val="24"/>
        </w:rPr>
        <w:t>u</w:t>
      </w:r>
      <w:r w:rsidRPr="00913E39">
        <w:rPr>
          <w:rFonts w:ascii="Garamond" w:hAnsi="Garamond"/>
          <w:sz w:val="24"/>
        </w:rPr>
        <w:t xml:space="preserve"> përket </w:t>
      </w:r>
      <w:r w:rsidRPr="00913E39">
        <w:rPr>
          <w:rFonts w:ascii="Garamond" w:hAnsi="Garamond"/>
          <w:b/>
          <w:sz w:val="24"/>
        </w:rPr>
        <w:t>mekanizmave të llogaridhënies</w:t>
      </w:r>
      <w:r w:rsidRPr="00913E39">
        <w:rPr>
          <w:rFonts w:ascii="Garamond" w:hAnsi="Garamond"/>
          <w:sz w:val="24"/>
        </w:rPr>
        <w:t>, do të krijohet (nëse nuk është krijuar) dhe do të ofrojë informacion mbi:</w:t>
      </w:r>
    </w:p>
    <w:p w14:paraId="1C94ADC8" w14:textId="69A01F3D" w:rsidR="00847F23" w:rsidRPr="00913E39" w:rsidRDefault="00421586" w:rsidP="009926E9">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 </w:t>
      </w:r>
      <w:r w:rsidR="00961E3E" w:rsidRPr="00913E39">
        <w:rPr>
          <w:rFonts w:ascii="Garamond" w:hAnsi="Garamond"/>
          <w:sz w:val="24"/>
        </w:rPr>
        <w:t xml:space="preserve">aksesueshmërinë </w:t>
      </w:r>
      <w:r w:rsidR="00847F23" w:rsidRPr="00913E39">
        <w:rPr>
          <w:rFonts w:ascii="Garamond" w:hAnsi="Garamond"/>
          <w:sz w:val="24"/>
        </w:rPr>
        <w:t>e kanaleve për të paraqitur ankesa</w:t>
      </w:r>
      <w:r w:rsidR="00961E3E" w:rsidRPr="00913E39">
        <w:rPr>
          <w:rFonts w:ascii="Garamond" w:hAnsi="Garamond"/>
          <w:sz w:val="24"/>
        </w:rPr>
        <w:t>;</w:t>
      </w:r>
    </w:p>
    <w:p w14:paraId="0EDB8057" w14:textId="1E173EE1" w:rsidR="00847F23" w:rsidRPr="00913E39" w:rsidRDefault="00421586" w:rsidP="009926E9">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 </w:t>
      </w:r>
      <w:r w:rsidR="00961E3E" w:rsidRPr="00913E39">
        <w:rPr>
          <w:rFonts w:ascii="Garamond" w:hAnsi="Garamond"/>
          <w:sz w:val="24"/>
        </w:rPr>
        <w:t xml:space="preserve">promovimin </w:t>
      </w:r>
      <w:r w:rsidR="00847F23" w:rsidRPr="00913E39">
        <w:rPr>
          <w:rFonts w:ascii="Garamond" w:hAnsi="Garamond"/>
          <w:sz w:val="24"/>
        </w:rPr>
        <w:t>e mekanizmit të ankesave</w:t>
      </w:r>
      <w:r w:rsidR="00961E3E" w:rsidRPr="00913E39">
        <w:rPr>
          <w:rFonts w:ascii="Garamond" w:hAnsi="Garamond"/>
          <w:sz w:val="24"/>
        </w:rPr>
        <w:t>;</w:t>
      </w:r>
    </w:p>
    <w:p w14:paraId="15D7434E" w14:textId="009E2FB1" w:rsidR="00847F23" w:rsidRPr="00913E39" w:rsidRDefault="00421586" w:rsidP="009926E9">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 </w:t>
      </w:r>
      <w:r w:rsidR="00961E3E" w:rsidRPr="00913E39">
        <w:rPr>
          <w:rFonts w:ascii="Garamond" w:hAnsi="Garamond"/>
          <w:sz w:val="24"/>
        </w:rPr>
        <w:t xml:space="preserve">mënyrën </w:t>
      </w:r>
      <w:r w:rsidR="00847F23" w:rsidRPr="00913E39">
        <w:rPr>
          <w:rFonts w:ascii="Garamond" w:hAnsi="Garamond"/>
          <w:sz w:val="24"/>
        </w:rPr>
        <w:t>e trajtimit të çdo ankese</w:t>
      </w:r>
      <w:r w:rsidR="00961E3E" w:rsidRPr="00913E39">
        <w:rPr>
          <w:rFonts w:ascii="Garamond" w:hAnsi="Garamond"/>
          <w:sz w:val="24"/>
        </w:rPr>
        <w:t>;</w:t>
      </w:r>
    </w:p>
    <w:p w14:paraId="7E3DB590" w14:textId="288F5AEE" w:rsidR="00847F23" w:rsidRPr="00913E39" w:rsidRDefault="00421586" w:rsidP="009926E9">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 </w:t>
      </w:r>
      <w:r w:rsidR="00961E3E" w:rsidRPr="00913E39">
        <w:rPr>
          <w:rFonts w:ascii="Garamond" w:hAnsi="Garamond"/>
          <w:sz w:val="24"/>
        </w:rPr>
        <w:t xml:space="preserve">monitorimin </w:t>
      </w:r>
      <w:r w:rsidR="00847F23" w:rsidRPr="00913E39">
        <w:rPr>
          <w:rFonts w:ascii="Garamond" w:hAnsi="Garamond"/>
          <w:sz w:val="24"/>
        </w:rPr>
        <w:t>e rasteve dhe efektivitetin e mekanizmit të zgjidhjes së ankesave</w:t>
      </w:r>
      <w:r w:rsidR="00961E3E" w:rsidRPr="00913E39">
        <w:rPr>
          <w:rFonts w:ascii="Garamond" w:hAnsi="Garamond"/>
          <w:sz w:val="24"/>
        </w:rPr>
        <w:t>;</w:t>
      </w:r>
      <w:r w:rsidR="00847F23" w:rsidRPr="00913E39">
        <w:rPr>
          <w:rFonts w:ascii="Garamond" w:hAnsi="Garamond"/>
          <w:sz w:val="24"/>
        </w:rPr>
        <w:t xml:space="preserve"> </w:t>
      </w:r>
    </w:p>
    <w:p w14:paraId="206B584A" w14:textId="069E545D" w:rsidR="00847F23" w:rsidRPr="00913E39" w:rsidRDefault="00421586" w:rsidP="009926E9">
      <w:pPr>
        <w:autoSpaceDE w:val="0"/>
        <w:autoSpaceDN w:val="0"/>
        <w:adjustRightInd w:val="0"/>
        <w:spacing w:after="0" w:line="240" w:lineRule="auto"/>
        <w:ind w:firstLine="284"/>
        <w:jc w:val="both"/>
        <w:rPr>
          <w:rFonts w:ascii="Garamond" w:hAnsi="Garamond"/>
          <w:sz w:val="24"/>
        </w:rPr>
      </w:pPr>
      <w:r w:rsidRPr="00913E39">
        <w:rPr>
          <w:rFonts w:ascii="Garamond" w:hAnsi="Garamond"/>
          <w:sz w:val="24"/>
        </w:rPr>
        <w:t xml:space="preserve">- </w:t>
      </w:r>
      <w:r w:rsidR="00961E3E" w:rsidRPr="00913E39">
        <w:rPr>
          <w:rFonts w:ascii="Garamond" w:hAnsi="Garamond"/>
          <w:sz w:val="24"/>
        </w:rPr>
        <w:t xml:space="preserve">mbështetjen </w:t>
      </w:r>
      <w:r w:rsidR="00847F23" w:rsidRPr="00913E39">
        <w:rPr>
          <w:rFonts w:ascii="Garamond" w:hAnsi="Garamond"/>
          <w:sz w:val="24"/>
        </w:rPr>
        <w:t>e funksionimit të mekanizmave të zgjidhjes së ankesave.</w:t>
      </w:r>
    </w:p>
    <w:p w14:paraId="5126D5D7" w14:textId="76F520C8" w:rsidR="00847F23" w:rsidRPr="00913E39" w:rsidRDefault="00847F23" w:rsidP="009926E9">
      <w:pPr>
        <w:spacing w:after="0" w:line="240" w:lineRule="auto"/>
        <w:ind w:firstLine="284"/>
        <w:jc w:val="both"/>
        <w:rPr>
          <w:rFonts w:ascii="Garamond" w:hAnsi="Garamond"/>
          <w:sz w:val="24"/>
        </w:rPr>
      </w:pPr>
      <w:r w:rsidRPr="00913E39">
        <w:rPr>
          <w:rFonts w:ascii="Garamond" w:hAnsi="Garamond"/>
          <w:b/>
          <w:sz w:val="24"/>
        </w:rPr>
        <w:t xml:space="preserve">Barazia gjinore </w:t>
      </w:r>
      <w:r w:rsidRPr="00913E39">
        <w:rPr>
          <w:rFonts w:ascii="Garamond" w:hAnsi="Garamond"/>
          <w:sz w:val="24"/>
        </w:rPr>
        <w:t>do të monitorohet nëpërmjet mbledhjes së të dhënave të ndara siç parashikohet me legjislacionin kombëtar</w:t>
      </w:r>
      <w:r w:rsidR="00606E39" w:rsidRPr="00913E39">
        <w:rPr>
          <w:rFonts w:ascii="Garamond" w:hAnsi="Garamond"/>
          <w:sz w:val="24"/>
        </w:rPr>
        <w:t>,</w:t>
      </w:r>
      <w:r w:rsidRPr="00913E39">
        <w:rPr>
          <w:rFonts w:ascii="Garamond" w:hAnsi="Garamond"/>
          <w:sz w:val="24"/>
        </w:rPr>
        <w:t xml:space="preserve"> si edhe me mbledhjen </w:t>
      </w:r>
      <w:r w:rsidRPr="00913E39">
        <w:rPr>
          <w:rFonts w:ascii="Garamond" w:hAnsi="Garamond"/>
          <w:i/>
          <w:sz w:val="24"/>
        </w:rPr>
        <w:t>ad-hoc</w:t>
      </w:r>
      <w:r w:rsidRPr="00913E39">
        <w:rPr>
          <w:rFonts w:ascii="Garamond" w:hAnsi="Garamond"/>
          <w:sz w:val="24"/>
        </w:rPr>
        <w:t xml:space="preserve"> të të dhënave për tregues të veçantë. Meqenëse barazia gjinore nuk është një objektiv i drejtpërdrejtë, do të krijohet një mekanizëm për monitorimin dhe raportimin mbi të. Statistikat e ndara sipas gjinisë do të mblidhen në kuadër të aktiviteteve ku kjo është e mundur. </w:t>
      </w:r>
    </w:p>
    <w:p w14:paraId="59E67378" w14:textId="77777777" w:rsidR="00847F23" w:rsidRPr="00913E39" w:rsidRDefault="00847F23" w:rsidP="009926E9">
      <w:pPr>
        <w:keepNext/>
        <w:keepLines/>
        <w:spacing w:after="0" w:line="240" w:lineRule="auto"/>
        <w:ind w:firstLine="284"/>
        <w:jc w:val="both"/>
        <w:outlineLvl w:val="2"/>
        <w:rPr>
          <w:rFonts w:ascii="Garamond" w:eastAsia="DengXian Light" w:hAnsi="Garamond" w:cs="Times New Roman"/>
          <w:sz w:val="24"/>
          <w:szCs w:val="24"/>
          <w:lang w:eastAsia="ja-JP"/>
        </w:rPr>
      </w:pPr>
      <w:r w:rsidRPr="00913E39">
        <w:rPr>
          <w:rFonts w:ascii="Garamond" w:eastAsia="DengXian Light" w:hAnsi="Garamond" w:cs="Times New Roman"/>
          <w:sz w:val="24"/>
          <w:szCs w:val="24"/>
          <w:lang w:eastAsia="ja-JP"/>
        </w:rPr>
        <w:t xml:space="preserve">Në bazë të raporteve të dhëna nga Autoriteti Menaxhues përpara mbledhjeve, Komiteti Sektorial i Monitorimit në veçanti: </w:t>
      </w:r>
    </w:p>
    <w:p w14:paraId="78E89EAD" w14:textId="77777777" w:rsidR="00847F23" w:rsidRPr="00913E39" w:rsidRDefault="00421586" w:rsidP="009926E9">
      <w:pPr>
        <w:keepNext/>
        <w:keepLines/>
        <w:spacing w:after="0" w:line="240" w:lineRule="auto"/>
        <w:ind w:firstLine="284"/>
        <w:jc w:val="both"/>
        <w:outlineLvl w:val="2"/>
        <w:rPr>
          <w:rFonts w:ascii="Garamond" w:eastAsia="DengXian Light" w:hAnsi="Garamond" w:cs="Times New Roman"/>
          <w:sz w:val="24"/>
          <w:szCs w:val="24"/>
          <w:lang w:eastAsia="ja-JP"/>
        </w:rPr>
      </w:pPr>
      <w:r w:rsidRPr="00913E39">
        <w:rPr>
          <w:rFonts w:ascii="Garamond" w:eastAsia="DengXian Light" w:hAnsi="Garamond" w:cs="Times New Roman"/>
          <w:sz w:val="24"/>
          <w:szCs w:val="24"/>
          <w:lang w:eastAsia="ja-JP"/>
        </w:rPr>
        <w:t xml:space="preserve">- </w:t>
      </w:r>
      <w:r w:rsidR="00847F23" w:rsidRPr="00913E39">
        <w:rPr>
          <w:rFonts w:ascii="Garamond" w:eastAsia="DengXian Light" w:hAnsi="Garamond" w:cs="Times New Roman"/>
          <w:sz w:val="24"/>
          <w:szCs w:val="24"/>
          <w:lang w:eastAsia="ja-JP"/>
        </w:rPr>
        <w:t xml:space="preserve">vlerëson efektivitetin, efikasitetin, cilësinë, koordinimin dhe përputhshmërinë e zbatimit të programeve; </w:t>
      </w:r>
    </w:p>
    <w:p w14:paraId="0F1C5C1F" w14:textId="77777777" w:rsidR="00847F23" w:rsidRPr="00913E39" w:rsidRDefault="00421586" w:rsidP="009926E9">
      <w:pPr>
        <w:keepNext/>
        <w:keepLines/>
        <w:spacing w:after="0" w:line="240" w:lineRule="auto"/>
        <w:ind w:firstLine="284"/>
        <w:jc w:val="both"/>
        <w:outlineLvl w:val="2"/>
        <w:rPr>
          <w:rFonts w:ascii="Garamond" w:eastAsia="DengXian Light" w:hAnsi="Garamond" w:cs="Times New Roman"/>
          <w:sz w:val="24"/>
          <w:szCs w:val="24"/>
          <w:lang w:eastAsia="ja-JP"/>
        </w:rPr>
      </w:pPr>
      <w:r w:rsidRPr="00913E39">
        <w:rPr>
          <w:rFonts w:ascii="Garamond" w:eastAsia="DengXian Light" w:hAnsi="Garamond" w:cs="Times New Roman"/>
          <w:sz w:val="24"/>
          <w:szCs w:val="24"/>
          <w:lang w:eastAsia="ja-JP"/>
        </w:rPr>
        <w:t xml:space="preserve">- </w:t>
      </w:r>
      <w:r w:rsidR="00847F23" w:rsidRPr="00913E39">
        <w:rPr>
          <w:rFonts w:ascii="Garamond" w:eastAsia="DengXian Light" w:hAnsi="Garamond" w:cs="Times New Roman"/>
          <w:sz w:val="24"/>
          <w:szCs w:val="24"/>
          <w:lang w:eastAsia="ja-JP"/>
        </w:rPr>
        <w:t>vlerëson progresin drejt përmbushjes së objektivave, arritjes së produkteve dhe rezultateve të planifikuara, dhe vlerësimit të ndikimit dhe qëndrueshmërisë së asistencës IPA III, duke siguruar koherencë me dialogun e politikave, strategjitë përkatëse të sektorit qendror dhe rajonal ose aktivitetet rajonale dhe shumë-palëshe në Përfituesin IPA III;</w:t>
      </w:r>
    </w:p>
    <w:p w14:paraId="4E06BBBF" w14:textId="77777777" w:rsidR="00847F23" w:rsidRPr="00913E39" w:rsidRDefault="00421586" w:rsidP="009926E9">
      <w:pPr>
        <w:keepNext/>
        <w:keepLines/>
        <w:spacing w:after="0" w:line="240" w:lineRule="auto"/>
        <w:ind w:firstLine="284"/>
        <w:jc w:val="both"/>
        <w:outlineLvl w:val="2"/>
        <w:rPr>
          <w:rFonts w:ascii="Garamond" w:eastAsia="DengXian Light" w:hAnsi="Garamond" w:cs="Times New Roman"/>
          <w:sz w:val="24"/>
          <w:szCs w:val="24"/>
          <w:lang w:eastAsia="ja-JP"/>
        </w:rPr>
      </w:pPr>
      <w:r w:rsidRPr="00913E39">
        <w:rPr>
          <w:rFonts w:ascii="Garamond" w:eastAsia="DengXian Light" w:hAnsi="Garamond" w:cs="Times New Roman"/>
          <w:sz w:val="24"/>
          <w:szCs w:val="24"/>
          <w:lang w:eastAsia="ja-JP"/>
        </w:rPr>
        <w:t xml:space="preserve">- </w:t>
      </w:r>
      <w:r w:rsidR="00847F23" w:rsidRPr="00913E39">
        <w:rPr>
          <w:rFonts w:ascii="Garamond" w:eastAsia="DengXian Light" w:hAnsi="Garamond" w:cs="Times New Roman"/>
          <w:sz w:val="24"/>
          <w:szCs w:val="24"/>
          <w:lang w:eastAsia="ja-JP"/>
        </w:rPr>
        <w:t xml:space="preserve">vlerëson raportet vjetore të zbatimit, duke përfshirë ekzekutimin financiar të programeve; </w:t>
      </w:r>
    </w:p>
    <w:p w14:paraId="735D67D9" w14:textId="77777777" w:rsidR="00847F23" w:rsidRPr="00913E39" w:rsidRDefault="00421586" w:rsidP="009926E9">
      <w:pPr>
        <w:keepNext/>
        <w:keepLines/>
        <w:spacing w:after="0" w:line="240" w:lineRule="auto"/>
        <w:ind w:firstLine="284"/>
        <w:jc w:val="both"/>
        <w:outlineLvl w:val="2"/>
        <w:rPr>
          <w:rFonts w:ascii="Garamond" w:eastAsia="DengXian Light" w:hAnsi="Garamond" w:cs="Times New Roman"/>
          <w:sz w:val="24"/>
          <w:szCs w:val="24"/>
          <w:lang w:eastAsia="ja-JP"/>
        </w:rPr>
      </w:pPr>
      <w:r w:rsidRPr="00913E39">
        <w:rPr>
          <w:rFonts w:ascii="Garamond" w:eastAsia="DengXian Light" w:hAnsi="Garamond" w:cs="Times New Roman"/>
          <w:sz w:val="24"/>
          <w:szCs w:val="24"/>
          <w:lang w:eastAsia="ja-JP"/>
        </w:rPr>
        <w:t xml:space="preserve">- </w:t>
      </w:r>
      <w:r w:rsidR="00847F23" w:rsidRPr="00913E39">
        <w:rPr>
          <w:rFonts w:ascii="Garamond" w:eastAsia="DengXian Light" w:hAnsi="Garamond" w:cs="Times New Roman"/>
          <w:sz w:val="24"/>
          <w:szCs w:val="24"/>
          <w:lang w:eastAsia="ja-JP"/>
        </w:rPr>
        <w:t xml:space="preserve">shqyrton konstatimet dhe konkluzionet përkatëse, si dhe propozimet për masat vijuese korrigjuese që rrjedhin nga kontrollet, monitorimi, vlerësimet dhe auditimet në vend, nëse ka. </w:t>
      </w:r>
    </w:p>
    <w:p w14:paraId="6165EB63" w14:textId="77777777" w:rsidR="00847F23" w:rsidRPr="00913E39" w:rsidRDefault="00421586" w:rsidP="009926E9">
      <w:pPr>
        <w:keepNext/>
        <w:keepLines/>
        <w:spacing w:after="0" w:line="240" w:lineRule="auto"/>
        <w:ind w:firstLine="284"/>
        <w:jc w:val="both"/>
        <w:outlineLvl w:val="2"/>
        <w:rPr>
          <w:rFonts w:ascii="Garamond" w:eastAsia="DengXian Light" w:hAnsi="Garamond" w:cs="Times New Roman"/>
          <w:sz w:val="24"/>
          <w:szCs w:val="24"/>
          <w:lang w:eastAsia="ja-JP"/>
        </w:rPr>
      </w:pPr>
      <w:r w:rsidRPr="00913E39">
        <w:rPr>
          <w:rFonts w:ascii="Garamond" w:eastAsia="DengXian Light" w:hAnsi="Garamond" w:cs="Times New Roman"/>
          <w:sz w:val="24"/>
          <w:szCs w:val="24"/>
          <w:lang w:eastAsia="ja-JP"/>
        </w:rPr>
        <w:t xml:space="preserve">- </w:t>
      </w:r>
      <w:r w:rsidR="00847F23" w:rsidRPr="00913E39">
        <w:rPr>
          <w:rFonts w:ascii="Garamond" w:eastAsia="DengXian Light" w:hAnsi="Garamond" w:cs="Times New Roman"/>
          <w:sz w:val="24"/>
          <w:szCs w:val="24"/>
          <w:lang w:eastAsia="ja-JP"/>
        </w:rPr>
        <w:t xml:space="preserve">diskuton çdo aspekt përkatës të funksionimit të sistemeve të menaxhimit dhe kontrollit; </w:t>
      </w:r>
    </w:p>
    <w:p w14:paraId="1E042309" w14:textId="77777777" w:rsidR="00847F23" w:rsidRPr="00913E39" w:rsidRDefault="00421586" w:rsidP="009926E9">
      <w:pPr>
        <w:keepNext/>
        <w:keepLines/>
        <w:spacing w:after="0" w:line="240" w:lineRule="auto"/>
        <w:ind w:firstLine="284"/>
        <w:jc w:val="both"/>
        <w:outlineLvl w:val="2"/>
        <w:rPr>
          <w:rFonts w:ascii="Garamond" w:eastAsia="DengXian Light" w:hAnsi="Garamond" w:cs="Times New Roman"/>
          <w:sz w:val="24"/>
          <w:szCs w:val="24"/>
          <w:lang w:eastAsia="ja-JP"/>
        </w:rPr>
      </w:pPr>
      <w:r w:rsidRPr="00913E39">
        <w:rPr>
          <w:rFonts w:ascii="Garamond" w:eastAsia="DengXian Light" w:hAnsi="Garamond" w:cs="Times New Roman"/>
          <w:sz w:val="24"/>
          <w:szCs w:val="24"/>
          <w:lang w:eastAsia="ja-JP"/>
        </w:rPr>
        <w:t xml:space="preserve">- </w:t>
      </w:r>
      <w:r w:rsidR="00847F23" w:rsidRPr="00913E39">
        <w:rPr>
          <w:rFonts w:ascii="Garamond" w:eastAsia="DengXian Light" w:hAnsi="Garamond" w:cs="Times New Roman"/>
          <w:sz w:val="24"/>
          <w:szCs w:val="24"/>
          <w:lang w:eastAsia="ja-JP"/>
        </w:rPr>
        <w:t xml:space="preserve">diskuton për çdo çështje dhe veprim problematik; </w:t>
      </w:r>
    </w:p>
    <w:p w14:paraId="1FC0E398" w14:textId="77777777" w:rsidR="00847F23" w:rsidRPr="00913E39" w:rsidRDefault="00421586" w:rsidP="009926E9">
      <w:pPr>
        <w:keepNext/>
        <w:keepLines/>
        <w:spacing w:after="0" w:line="240" w:lineRule="auto"/>
        <w:ind w:firstLine="284"/>
        <w:jc w:val="both"/>
        <w:outlineLvl w:val="2"/>
        <w:rPr>
          <w:rFonts w:ascii="Garamond" w:eastAsia="DengXian Light" w:hAnsi="Garamond" w:cs="Times New Roman"/>
          <w:sz w:val="24"/>
          <w:szCs w:val="24"/>
          <w:lang w:eastAsia="ja-JP"/>
        </w:rPr>
      </w:pPr>
      <w:r w:rsidRPr="00913E39">
        <w:rPr>
          <w:rFonts w:ascii="Garamond" w:eastAsia="DengXian Light" w:hAnsi="Garamond" w:cs="Times New Roman"/>
          <w:sz w:val="24"/>
          <w:szCs w:val="24"/>
          <w:lang w:eastAsia="ja-JP"/>
        </w:rPr>
        <w:t xml:space="preserve">- </w:t>
      </w:r>
      <w:r w:rsidR="00847F23" w:rsidRPr="00913E39">
        <w:rPr>
          <w:rFonts w:ascii="Garamond" w:eastAsia="DengXian Light" w:hAnsi="Garamond" w:cs="Times New Roman"/>
          <w:sz w:val="24"/>
          <w:szCs w:val="24"/>
          <w:lang w:eastAsia="ja-JP"/>
        </w:rPr>
        <w:t xml:space="preserve">nëse është e nevojshme, vlerëson ose bën propozime për të ndryshuar programet dhe për të ndërmarrë çdo veprim tjetër korrigjues për të siguruar arritjen e objektivave dhe për të rritur efikasitetin, efektivitetin, ndikimin dhe qëndrueshmërinë e asistencës IPA III; </w:t>
      </w:r>
    </w:p>
    <w:p w14:paraId="45E7F118" w14:textId="77777777" w:rsidR="00847F23" w:rsidRPr="00913E39" w:rsidRDefault="00421586" w:rsidP="009926E9">
      <w:pPr>
        <w:keepNext/>
        <w:keepLines/>
        <w:spacing w:after="0" w:line="240" w:lineRule="auto"/>
        <w:ind w:firstLine="284"/>
        <w:jc w:val="both"/>
        <w:outlineLvl w:val="2"/>
        <w:rPr>
          <w:rFonts w:ascii="Garamond" w:eastAsia="DengXian Light" w:hAnsi="Garamond" w:cs="Times New Roman"/>
          <w:sz w:val="24"/>
          <w:szCs w:val="24"/>
          <w:lang w:eastAsia="ja-JP"/>
        </w:rPr>
      </w:pPr>
      <w:r w:rsidRPr="00913E39">
        <w:rPr>
          <w:rFonts w:ascii="Garamond" w:eastAsia="DengXian Light" w:hAnsi="Garamond" w:cs="Times New Roman"/>
          <w:sz w:val="24"/>
          <w:szCs w:val="24"/>
          <w:lang w:eastAsia="ja-JP"/>
        </w:rPr>
        <w:t xml:space="preserve">- </w:t>
      </w:r>
      <w:r w:rsidR="00847F23" w:rsidRPr="00913E39">
        <w:rPr>
          <w:rFonts w:ascii="Garamond" w:eastAsia="DengXian Light" w:hAnsi="Garamond" w:cs="Times New Roman"/>
          <w:sz w:val="24"/>
          <w:szCs w:val="24"/>
          <w:lang w:eastAsia="ja-JP"/>
        </w:rPr>
        <w:t>vlerëson masat e marra të informimit, publicitetit, transparencës, komunikimit dhe vizibilitetit.</w:t>
      </w:r>
    </w:p>
    <w:p w14:paraId="6E190C5E" w14:textId="77777777" w:rsidR="00847F23" w:rsidRPr="00913E39" w:rsidRDefault="00421586" w:rsidP="009926E9">
      <w:pPr>
        <w:spacing w:after="0" w:line="240" w:lineRule="auto"/>
        <w:ind w:firstLine="284"/>
        <w:jc w:val="both"/>
        <w:rPr>
          <w:rFonts w:ascii="Garamond" w:eastAsia="Times New Roman" w:hAnsi="Garamond" w:cs="Times New Roman"/>
          <w:i/>
          <w:sz w:val="24"/>
          <w:szCs w:val="24"/>
          <w:lang w:eastAsia="ja-JP"/>
        </w:rPr>
      </w:pPr>
      <w:r w:rsidRPr="00913E39">
        <w:rPr>
          <w:rFonts w:ascii="Garamond" w:eastAsia="Times New Roman" w:hAnsi="Garamond" w:cs="Times New Roman"/>
          <w:i/>
          <w:sz w:val="24"/>
          <w:szCs w:val="24"/>
          <w:lang w:eastAsia="ja-JP"/>
        </w:rPr>
        <w:t xml:space="preserve">7.2 </w:t>
      </w:r>
      <w:r w:rsidR="00847F23" w:rsidRPr="00913E39">
        <w:rPr>
          <w:rFonts w:ascii="Garamond" w:eastAsia="Times New Roman" w:hAnsi="Garamond" w:cs="Times New Roman"/>
          <w:i/>
          <w:sz w:val="24"/>
          <w:szCs w:val="24"/>
          <w:lang w:eastAsia="ja-JP"/>
        </w:rPr>
        <w:t xml:space="preserve">Vlerësimi </w:t>
      </w:r>
    </w:p>
    <w:p w14:paraId="51FC6C81" w14:textId="7BCAAAC1"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Duke pasur parasysh rëndësinë e Programit, do të kryhet një vlerësim afatmesëm dhe përfundimtar për Fushat e Mbështetjes 1 dhe 2 në këtë Program Operacional të kontraktuar nga përfituesi i IPA III, të përfshira si pjesë e </w:t>
      </w:r>
      <w:r w:rsidR="00850FC7" w:rsidRPr="00913E39">
        <w:rPr>
          <w:rFonts w:ascii="Garamond" w:eastAsia="Times New Roman" w:hAnsi="Garamond" w:cs="Times New Roman"/>
          <w:sz w:val="24"/>
          <w:szCs w:val="24"/>
        </w:rPr>
        <w:t>“</w:t>
      </w:r>
      <w:r w:rsidRPr="00913E39">
        <w:rPr>
          <w:rFonts w:ascii="Garamond" w:hAnsi="Garamond"/>
          <w:sz w:val="24"/>
        </w:rPr>
        <w:t>Asistencë teknike</w:t>
      </w:r>
      <w:r w:rsidR="00850FC7" w:rsidRPr="00913E39">
        <w:rPr>
          <w:rFonts w:ascii="Garamond" w:eastAsia="Times New Roman" w:hAnsi="Garamond" w:cs="Times New Roman"/>
          <w:sz w:val="24"/>
          <w:szCs w:val="24"/>
        </w:rPr>
        <w:t>”</w:t>
      </w:r>
      <w:r w:rsidRPr="00913E39">
        <w:rPr>
          <w:rFonts w:ascii="Garamond" w:eastAsia="Times New Roman" w:hAnsi="Garamond" w:cs="Times New Roman"/>
          <w:sz w:val="24"/>
          <w:szCs w:val="24"/>
        </w:rPr>
        <w:t>.</w:t>
      </w:r>
      <w:r w:rsidRPr="00913E39">
        <w:rPr>
          <w:rFonts w:ascii="Garamond" w:hAnsi="Garamond"/>
          <w:sz w:val="24"/>
        </w:rPr>
        <w:t xml:space="preserve"> siç tregohet në seksionin 4.2.2. Vlerësimi do të kryhet nga ekspertë ose organe, të brendshme ose të jashtme, funksionalisht të pavarura nga sistemi i menaxhimit dhe kontrollit. </w:t>
      </w:r>
    </w:p>
    <w:p w14:paraId="5BDB8287"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Vlerësimi afatmesëm do të kryhet për zgjidhjen e problemeve, qëllime mësimore, veçanërisht në lidhje me ndërhyrjet që i drejtohen publikut të gjerë (e-education, shëndeti digjital). </w:t>
      </w:r>
    </w:p>
    <w:p w14:paraId="0F2B63F1"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Vlerësimi përfundimtar do të kryhet për qëllime të llogaridhënies dhe njohurish në nivele të ndryshme, (sidomos rishikim politikash) duke pasur parasysh progresin e përgjithshëm të bërë nga Shqipëria për zbatimin e Agjendës Digjitale.</w:t>
      </w:r>
    </w:p>
    <w:p w14:paraId="0EA5C170"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Raporti i vlerësimit do të ndahet me të gjitha palët e interesuara. Përfituesi i IPA III dhe Komisioni do të analizojnë konkluzionet dhe rekomandimet e vlerësimeve dhe do të vendosin së bashku mbi masat vijuese që do të ndërmerren dhe çdo ndryshim të nevojshëm, duke përfshirë, nëse tregohet, riorientimin e mbështetjes.</w:t>
      </w:r>
    </w:p>
    <w:p w14:paraId="07FA9199"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Afati kohor tregues për vlerësimet afatmesme dhe përfundimtare:</w:t>
      </w:r>
    </w:p>
    <w:p w14:paraId="32B05EFE"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Vlerësimi afatmesëm do kryhet në vitin 2027.</w:t>
      </w:r>
    </w:p>
    <w:p w14:paraId="333909E5"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Vlerësimi përfundimtar do të kryhet në vitin 2030.</w:t>
      </w:r>
    </w:p>
    <w:p w14:paraId="2E3D64F1" w14:textId="77777777" w:rsidR="00847F23" w:rsidRPr="000248B5" w:rsidRDefault="00421586" w:rsidP="009926E9">
      <w:pPr>
        <w:spacing w:after="0" w:line="240" w:lineRule="auto"/>
        <w:ind w:firstLine="284"/>
        <w:jc w:val="both"/>
        <w:rPr>
          <w:rFonts w:ascii="Garamond" w:eastAsia="Times New Roman" w:hAnsi="Garamond" w:cs="Times New Roman"/>
          <w:i/>
          <w:sz w:val="24"/>
          <w:szCs w:val="24"/>
          <w:lang w:eastAsia="ja-JP"/>
        </w:rPr>
      </w:pPr>
      <w:r w:rsidRPr="000248B5">
        <w:rPr>
          <w:rFonts w:ascii="Garamond" w:eastAsia="Times New Roman" w:hAnsi="Garamond" w:cs="Times New Roman"/>
          <w:i/>
          <w:sz w:val="24"/>
          <w:szCs w:val="24"/>
          <w:lang w:eastAsia="ja-JP"/>
        </w:rPr>
        <w:lastRenderedPageBreak/>
        <w:t xml:space="preserve">7.3 </w:t>
      </w:r>
      <w:r w:rsidR="00847F23" w:rsidRPr="000248B5">
        <w:rPr>
          <w:rFonts w:ascii="Garamond" w:eastAsia="Times New Roman" w:hAnsi="Garamond" w:cs="Times New Roman"/>
          <w:i/>
          <w:sz w:val="24"/>
          <w:szCs w:val="24"/>
          <w:lang w:eastAsia="ja-JP"/>
        </w:rPr>
        <w:t>Auditi dhe verifikimet</w:t>
      </w:r>
    </w:p>
    <w:p w14:paraId="045647B9" w14:textId="77777777" w:rsidR="00847F23" w:rsidRPr="00913E39" w:rsidRDefault="00847F23" w:rsidP="009926E9">
      <w:pPr>
        <w:spacing w:after="0" w:line="240" w:lineRule="auto"/>
        <w:ind w:firstLine="284"/>
        <w:jc w:val="both"/>
        <w:rPr>
          <w:rFonts w:ascii="Garamond" w:hAnsi="Garamond"/>
          <w:sz w:val="24"/>
        </w:rPr>
      </w:pPr>
      <w:r w:rsidRPr="000248B5">
        <w:rPr>
          <w:rFonts w:ascii="Garamond" w:hAnsi="Garamond"/>
          <w:sz w:val="24"/>
        </w:rPr>
        <w:t>Nuk është parashikuar asnjë</w:t>
      </w:r>
      <w:r w:rsidRPr="00913E39">
        <w:rPr>
          <w:rFonts w:ascii="Garamond" w:hAnsi="Garamond"/>
          <w:sz w:val="24"/>
        </w:rPr>
        <w:t xml:space="preserve"> projekt madhor në kuadër të këtij Programi, prandaj auditimet teknike të këtyre operacioneve nuk janë të aplikueshme.</w:t>
      </w:r>
    </w:p>
    <w:p w14:paraId="7D0A3355" w14:textId="77777777" w:rsidR="00847F23" w:rsidRPr="00913E39" w:rsidRDefault="00847F23" w:rsidP="009926E9">
      <w:pPr>
        <w:spacing w:after="0" w:line="240" w:lineRule="auto"/>
        <w:ind w:firstLine="284"/>
        <w:jc w:val="both"/>
        <w:rPr>
          <w:rFonts w:ascii="Garamond" w:hAnsi="Garamond"/>
          <w:sz w:val="24"/>
        </w:rPr>
      </w:pPr>
      <w:bookmarkStart w:id="52" w:name="_Hlk140593818"/>
      <w:r w:rsidRPr="00913E39">
        <w:rPr>
          <w:rFonts w:ascii="Garamond" w:hAnsi="Garamond"/>
          <w:sz w:val="24"/>
        </w:rPr>
        <w:t xml:space="preserve">Dispozitat financiare në lidhje me auditimin dhe verifikimet, duke përfshirë auditimet teknike nëse aplikohen, të kryera nga Përfituesi IPA III duhet të përfshihen në fushën e mbështetjes </w:t>
      </w:r>
      <w:r w:rsidR="00850FC7" w:rsidRPr="00913E39">
        <w:rPr>
          <w:rFonts w:ascii="Garamond" w:hAnsi="Garamond"/>
          <w:sz w:val="24"/>
        </w:rPr>
        <w:t>“</w:t>
      </w:r>
      <w:r w:rsidRPr="00913E39">
        <w:rPr>
          <w:rFonts w:ascii="Garamond" w:hAnsi="Garamond"/>
          <w:sz w:val="24"/>
        </w:rPr>
        <w:t>Asistencë teknike</w:t>
      </w:r>
      <w:r w:rsidR="00850FC7" w:rsidRPr="00913E39">
        <w:rPr>
          <w:rFonts w:ascii="Garamond" w:hAnsi="Garamond"/>
          <w:sz w:val="24"/>
        </w:rPr>
        <w:t>”</w:t>
      </w:r>
      <w:r w:rsidRPr="00913E39">
        <w:rPr>
          <w:rFonts w:ascii="Garamond" w:hAnsi="Garamond"/>
          <w:sz w:val="24"/>
        </w:rPr>
        <w:t xml:space="preserve"> siç tregohet në pjesën 4.2.2. </w:t>
      </w:r>
    </w:p>
    <w:bookmarkEnd w:id="52"/>
    <w:p w14:paraId="0B604DC0"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Pa cenuar detyrimet e zbatueshme për kontratat e lidhura për zbatimin e këtij programi, Komisioni, në bazë të një vlerësimi risku, mund të kontraktojë detyra të pavarura auditimi ose verifikimi për një ose disa kontrata ose marrëveshje.</w:t>
      </w:r>
    </w:p>
    <w:p w14:paraId="08937A9F" w14:textId="77777777" w:rsidR="00847F23" w:rsidRPr="000248B5" w:rsidRDefault="00847F23" w:rsidP="009926E9">
      <w:pPr>
        <w:spacing w:after="0" w:line="240" w:lineRule="auto"/>
        <w:ind w:firstLine="284"/>
        <w:jc w:val="both"/>
        <w:rPr>
          <w:rFonts w:ascii="Garamond" w:eastAsia="Times New Roman" w:hAnsi="Garamond" w:cs="Times New Roman"/>
          <w:b/>
          <w:bCs/>
          <w:sz w:val="24"/>
          <w:szCs w:val="24"/>
          <w:lang w:eastAsia="en-GB"/>
        </w:rPr>
      </w:pPr>
      <w:r w:rsidRPr="000248B5">
        <w:rPr>
          <w:rFonts w:ascii="Garamond" w:eastAsia="Times New Roman" w:hAnsi="Garamond" w:cs="Times New Roman"/>
          <w:b/>
          <w:bCs/>
          <w:sz w:val="24"/>
          <w:szCs w:val="24"/>
          <w:lang w:eastAsia="en-GB"/>
        </w:rPr>
        <w:t>9. Komunikimi strategjik dhe marrëdhëniet publike</w:t>
      </w:r>
    </w:p>
    <w:p w14:paraId="1CD3DE43" w14:textId="2F3ABA4D" w:rsidR="00847F23" w:rsidRPr="00913E39" w:rsidRDefault="00847F23" w:rsidP="009926E9">
      <w:pPr>
        <w:spacing w:after="0" w:line="240" w:lineRule="auto"/>
        <w:ind w:firstLine="284"/>
        <w:jc w:val="both"/>
        <w:rPr>
          <w:rFonts w:ascii="Garamond" w:hAnsi="Garamond"/>
          <w:sz w:val="24"/>
        </w:rPr>
      </w:pPr>
      <w:r w:rsidRPr="000248B5">
        <w:rPr>
          <w:rFonts w:ascii="Garamond" w:hAnsi="Garamond"/>
          <w:sz w:val="24"/>
        </w:rPr>
        <w:t>Të gjitha subjektet që zbatojnë veprime të jashtme</w:t>
      </w:r>
      <w:r w:rsidRPr="00913E39">
        <w:rPr>
          <w:rFonts w:ascii="Garamond" w:hAnsi="Garamond"/>
          <w:sz w:val="24"/>
        </w:rPr>
        <w:t xml:space="preserve"> të financuara nga BE-ja kanë detyrimin kontraktual të informojnë grupet përkatëse për mbështetjen e Bashkimit për punën e tyre duke treguar logon e BE-së dhe një deklaratë të shkurtër financimi sipas rastit në të gjitha materialet e komunikimit që lidhen me projektet në fjalë. Për këtë qëllim, ata duhet të zbatojnë me udhëzimet e dhëna në dokumentin udhëzues 2022</w:t>
      </w:r>
      <w:hyperlink r:id="rId45">
        <w:r w:rsidRPr="00913E39">
          <w:rPr>
            <w:rFonts w:ascii="Garamond" w:hAnsi="Garamond"/>
            <w:i/>
            <w:sz w:val="24"/>
          </w:rPr>
          <w:t xml:space="preserve"> </w:t>
        </w:r>
        <w:r w:rsidRPr="00913E39">
          <w:rPr>
            <w:rFonts w:ascii="Garamond" w:hAnsi="Garamond"/>
            <w:i/>
            <w:sz w:val="24"/>
            <w:u w:val="single"/>
          </w:rPr>
          <w:t>Komunikimi dhe rritja e vizibilitetit të BE-së:</w:t>
        </w:r>
      </w:hyperlink>
      <w:r w:rsidR="006775C2" w:rsidRPr="00913E39">
        <w:rPr>
          <w:rFonts w:ascii="Garamond" w:hAnsi="Garamond"/>
          <w:i/>
          <w:sz w:val="24"/>
          <w:u w:val="single"/>
        </w:rPr>
        <w:t xml:space="preserve"> </w:t>
      </w:r>
      <w:hyperlink r:id="rId46">
        <w:r w:rsidRPr="00913E39">
          <w:rPr>
            <w:rFonts w:ascii="Garamond" w:hAnsi="Garamond"/>
            <w:i/>
            <w:sz w:val="24"/>
            <w:u w:val="single"/>
          </w:rPr>
          <w:t>Udhëzues për veprimet e jashtme</w:t>
        </w:r>
        <w:r w:rsidRPr="00913E39">
          <w:rPr>
            <w:rFonts w:ascii="Garamond" w:hAnsi="Garamond"/>
            <w:i/>
            <w:sz w:val="24"/>
          </w:rPr>
          <w:t xml:space="preserve"> </w:t>
        </w:r>
      </w:hyperlink>
      <w:r w:rsidRPr="00913E39">
        <w:rPr>
          <w:rFonts w:ascii="Garamond" w:hAnsi="Garamond"/>
          <w:sz w:val="24"/>
        </w:rPr>
        <w:t xml:space="preserve">(ose ndonjë dokument pasardhës). </w:t>
      </w:r>
    </w:p>
    <w:p w14:paraId="0702622C"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Në veçanti, përfituesit e fondeve të BE-së duhet të njohin origjinën e financimit të BE-së dhe të sigurojnë vizibilitetin e duhur të tij duke:</w:t>
      </w:r>
    </w:p>
    <w:p w14:paraId="017CDD72" w14:textId="1DB608FD" w:rsidR="00847F23" w:rsidRPr="00913E39" w:rsidRDefault="00421586" w:rsidP="009926E9">
      <w:pPr>
        <w:spacing w:after="0" w:line="240" w:lineRule="auto"/>
        <w:ind w:firstLine="284"/>
        <w:contextualSpacing/>
        <w:jc w:val="both"/>
        <w:rPr>
          <w:rFonts w:ascii="Garamond" w:hAnsi="Garamond"/>
          <w:sz w:val="24"/>
        </w:rPr>
      </w:pPr>
      <w:r w:rsidRPr="00913E39">
        <w:rPr>
          <w:rFonts w:ascii="Garamond" w:hAnsi="Garamond"/>
          <w:sz w:val="24"/>
        </w:rPr>
        <w:t xml:space="preserve">- </w:t>
      </w:r>
      <w:r w:rsidR="00847F23" w:rsidRPr="00913E39">
        <w:rPr>
          <w:rFonts w:ascii="Garamond" w:hAnsi="Garamond"/>
          <w:sz w:val="24"/>
        </w:rPr>
        <w:t>dhënë një deklaratë duke paraqitur n</w:t>
      </w:r>
      <w:r w:rsidR="001749AF" w:rsidRPr="00913E39">
        <w:rPr>
          <w:rFonts w:ascii="Garamond" w:hAnsi="Garamond"/>
          <w:sz w:val="24"/>
        </w:rPr>
        <w:t>ë</w:t>
      </w:r>
      <w:r w:rsidR="00847F23" w:rsidRPr="00913E39">
        <w:rPr>
          <w:rFonts w:ascii="Garamond" w:hAnsi="Garamond"/>
          <w:sz w:val="24"/>
        </w:rPr>
        <w:t xml:space="preserve"> formë ilustruese mbështetjen e marrë nga BE-ja në mënyrë të dukshme për të gjitha dokumentet dhe materialin e komunikimit në lidhje me zbatimin e fondeve, duke përfshirë në faqen zyrtare të internetit dhe llogaritë e mediave sociale, ku këto ekzistojnë; dhe</w:t>
      </w:r>
    </w:p>
    <w:p w14:paraId="2E481F61" w14:textId="77777777" w:rsidR="00847F23" w:rsidRPr="00913E39" w:rsidRDefault="00421586" w:rsidP="009926E9">
      <w:pPr>
        <w:spacing w:after="0" w:line="240" w:lineRule="auto"/>
        <w:ind w:firstLine="284"/>
        <w:contextualSpacing/>
        <w:jc w:val="both"/>
        <w:rPr>
          <w:rFonts w:ascii="Garamond" w:hAnsi="Garamond"/>
          <w:sz w:val="24"/>
        </w:rPr>
      </w:pPr>
      <w:r w:rsidRPr="00913E39">
        <w:rPr>
          <w:rFonts w:ascii="Garamond" w:hAnsi="Garamond"/>
          <w:sz w:val="24"/>
        </w:rPr>
        <w:t xml:space="preserve">- </w:t>
      </w:r>
      <w:r w:rsidR="00847F23" w:rsidRPr="00913E39">
        <w:rPr>
          <w:rFonts w:ascii="Garamond" w:hAnsi="Garamond"/>
          <w:sz w:val="24"/>
        </w:rPr>
        <w:t>promovuar veprimet dhe rezultatet e tyre me anë të informacionit të synuar koherent, efektiv dhe proporcional për audienca të shumta, përfshirë median.</w:t>
      </w:r>
    </w:p>
    <w:p w14:paraId="1FE8923A"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Masat e vizibilitetit dhe komunikimit do të zbatohen, sipas rastit, nga subjektet e besuara të administratës kombëtare, kontraktorët dhe përfituesit e granteve. Detyrimet e duhura kontraktuale do të përfshihen, përkatësisht, në marrëveshjet e financimit, marrëveshjet e delegimit dhe kontratat e prokurimit dhe grantit.</w:t>
      </w:r>
    </w:p>
    <w:p w14:paraId="383E6CB6"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Masat specifike të vizibilitetit dhe komunikimit për këtë program do të jenë plotësuese të aktiviteteve më të gjera të komunikimit të zbatuara drejtpërdrejt nga shërbimet e Komisionit Evropian dhe/ose Delegacionet dhe Zyrat e BE-së. Komisioni Evropian dhe Delegacionet dhe Zyrat e BE-së duhet të informohen plotësisht për planifikimin dhe zbatimin e aktiviteteve specifike të vizibilitetit dhe komunikimit, veçanërisht në lidhje me narrativën e komunikimit dhe mesazhet kryesore. </w:t>
      </w:r>
    </w:p>
    <w:p w14:paraId="4DDD55B3" w14:textId="518069BE"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Një plan strategjik komunikimi për Programin Operacional do të përgatitet dhe do të miratohet me Delegacionin e BE-së në përputhje me Udhëzimet e Komisionit për veprimet e jashtme për Komunikimin dhe rritjen e vizibilitetit të BE-së. Ai do të përcaktojë përgjegjësitë e organeve zbatuese të Programit Operacional dhe KKIPA-së për</w:t>
      </w:r>
      <w:r w:rsidR="00E93B9B" w:rsidRPr="00913E39">
        <w:rPr>
          <w:rFonts w:ascii="Garamond" w:hAnsi="Garamond"/>
          <w:sz w:val="24"/>
        </w:rPr>
        <w:t xml:space="preserve"> </w:t>
      </w:r>
      <w:r w:rsidRPr="00913E39">
        <w:rPr>
          <w:rFonts w:ascii="Garamond" w:hAnsi="Garamond"/>
          <w:sz w:val="24"/>
        </w:rPr>
        <w:t>sa i përket komunikimit.</w:t>
      </w:r>
    </w:p>
    <w:p w14:paraId="3F2D9270" w14:textId="486C9195"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Plani strategjik i komunikimit të Programit Operacional do të identifikojë mesazhet kryesore, objektivat e komunikimit, audiencat e komunikimit (përfshirë shpërndarësit) qasjen, aktivitetet e parashikuara të komunikimit, treguesit dhe objektivat kyç të komunikimit treguesit dhe objektivat e komunikimit kyç RACER risqet dhe buxhetin e parashikuar. Planet vjetore të komunikimit do të hartohen dhe diskutohen me Delegacionin e BE-së paraprakisht për të koordinuar aktivitetet dhe për të maksimizuar shtrirjene tyre.</w:t>
      </w:r>
    </w:p>
    <w:p w14:paraId="5257A76E"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KKIPA dhe Autoriteti Menaxhues do të jenë përgjegjës për angazhimin e shtypit dhe menaxhimin e kontakteve me shtypin dhe median.</w:t>
      </w:r>
    </w:p>
    <w:p w14:paraId="07BF1183"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Në përputhje me planin strategjik të komunikimit të Programit Operacional, do të krijohet një faqe interneti e dedikuar dhe kanale të mediave sociale. Standardet për përdorimin dhe menaxhimin e mediave sociale dhe plani i mediave sociale do të koordinohen ndërmjet organeve zbatuese dhe KKIPA.</w:t>
      </w:r>
    </w:p>
    <w:p w14:paraId="480F8D4E" w14:textId="77777777" w:rsidR="00847F23" w:rsidRPr="00913E39" w:rsidRDefault="00847F23" w:rsidP="009926E9">
      <w:pPr>
        <w:spacing w:after="0" w:line="240" w:lineRule="auto"/>
        <w:ind w:firstLine="284"/>
        <w:jc w:val="both"/>
        <w:rPr>
          <w:rFonts w:ascii="Garamond" w:eastAsia="Times New Roman" w:hAnsi="Garamond" w:cs="Times New Roman"/>
          <w:b/>
          <w:bCs/>
          <w:sz w:val="24"/>
          <w:szCs w:val="24"/>
          <w:lang w:eastAsia="en-GB"/>
        </w:rPr>
      </w:pPr>
      <w:r w:rsidRPr="00913E39">
        <w:rPr>
          <w:rFonts w:ascii="Garamond" w:eastAsia="Times New Roman" w:hAnsi="Garamond" w:cs="Times New Roman"/>
          <w:b/>
          <w:bCs/>
          <w:sz w:val="24"/>
          <w:szCs w:val="24"/>
          <w:lang w:eastAsia="en-GB"/>
        </w:rPr>
        <w:t>10. Qëndrueshmëria</w:t>
      </w:r>
    </w:p>
    <w:p w14:paraId="17ACC474" w14:textId="77777777" w:rsidR="00847F23" w:rsidRPr="00913E39" w:rsidRDefault="00847F23" w:rsidP="009926E9">
      <w:pPr>
        <w:spacing w:after="0" w:line="240" w:lineRule="auto"/>
        <w:ind w:firstLine="284"/>
        <w:jc w:val="both"/>
        <w:rPr>
          <w:rFonts w:ascii="Garamond" w:eastAsia="Times New Roman" w:hAnsi="Garamond" w:cs="Times New Roman"/>
          <w:b/>
          <w:bCs/>
          <w:sz w:val="24"/>
          <w:szCs w:val="24"/>
          <w:lang w:eastAsia="en-GB"/>
        </w:rPr>
      </w:pPr>
      <w:r w:rsidRPr="00913E39">
        <w:rPr>
          <w:rFonts w:ascii="Garamond" w:eastAsia="Times New Roman" w:hAnsi="Garamond" w:cs="Times New Roman"/>
          <w:sz w:val="24"/>
          <w:szCs w:val="24"/>
          <w:lang w:eastAsia="en-GB"/>
        </w:rPr>
        <w:t xml:space="preserve">Programi Operacional është hartuar për të siguruar qëndrueshmërinë e përfitimeve/rezultateve të arritura përtej zbatimit të tij. Faktorët kryesorë që ndikojnë në qëndrueshmëri janë niveli i zotërimit së përfituesve fundorë, kapacitetet e tyre institucionale dhe operacionale dhe burimet e tyre financiare dhe njerëzore për funksionimin dhe qëndrueshmërinë e rezultateve. Autoriteti Menaxhues do të krijojë një sistem për të monitoruar qëndrueshmërinë e asistencës në kuadër të Programit Operacional gjatë </w:t>
      </w:r>
      <w:r w:rsidRPr="00913E39">
        <w:rPr>
          <w:rFonts w:ascii="Garamond" w:eastAsia="Times New Roman" w:hAnsi="Garamond" w:cs="Times New Roman"/>
          <w:sz w:val="24"/>
          <w:szCs w:val="24"/>
          <w:lang w:eastAsia="en-GB"/>
        </w:rPr>
        <w:lastRenderedPageBreak/>
        <w:t xml:space="preserve">periudhës së qëndrueshmërisë të përcaktuar si periudha ndërmjet përfundimit të periudhës së zbatimit të një veprimi dhe datës përfundimtare për zbatimin e Marrëveshjes përkatëse të Financimit. KKIPA dhe Autoriteti Menaxhues do të monitorojnë qëndrueshmërinë brenda fushës së tyre përkatëse të përgjegjësisë nëpërmjet Komitetit Sektorial të Monitorimit (FFPA neni 53(4)(b)) dhe së bashku me Komisionin brenda Komitetit të Monitorimit të IPA (FFPA neni 52(3)). Vlerësimi i qëndrueshmërisë së PO do të jetë një pikë standarde e rendit të ditës në mbledhjet e Komitetit të Monitorimit Sektorial/PO dhe do të përfshihet në vlerësimet e PO-së. </w:t>
      </w:r>
    </w:p>
    <w:p w14:paraId="59F944D2" w14:textId="2DE8BFEE" w:rsidR="00847F23" w:rsidRPr="00913E39" w:rsidRDefault="00847F23" w:rsidP="009926E9">
      <w:pPr>
        <w:spacing w:after="0" w:line="240" w:lineRule="auto"/>
        <w:ind w:firstLine="284"/>
        <w:jc w:val="both"/>
        <w:rPr>
          <w:rFonts w:ascii="Garamond" w:eastAsia="Times New Roman" w:hAnsi="Garamond" w:cs="Times New Roman"/>
          <w:sz w:val="24"/>
          <w:szCs w:val="24"/>
        </w:rPr>
      </w:pPr>
      <w:r w:rsidRPr="00913E39">
        <w:rPr>
          <w:rFonts w:ascii="Garamond" w:eastAsia="Times New Roman" w:hAnsi="Garamond" w:cs="Times New Roman"/>
          <w:sz w:val="24"/>
          <w:szCs w:val="24"/>
        </w:rPr>
        <w:t>Përfituesit fundorë të këtij Programi Operacional janë kryesisht institucionet publike (ministritë e linjës, agjencitë qeveritare, spitalet, shkollat etj.). Asistenca e financuar nga Programi është në një masë të madhe vazhdimësi e masave, objekteve, infrastrukturës ose ndërhyrjeve pilot ekzistuese dhe mbështetja e Programit synon të përshkallëzojë ato ose të mbështesë risitë brenda tyre. Kapacitetet institucionale janë krijuar tashmë. Përfituesit fundorë kanë burime të mjaftueshme për të mirëmbajtur asetet e blera nga buxheti i Programit dhe për të siguruar përdorimin e qëndrueshëm.</w:t>
      </w:r>
    </w:p>
    <w:p w14:paraId="4AD20C59" w14:textId="77777777" w:rsidR="00847F23" w:rsidRPr="00913E39" w:rsidRDefault="00847F23" w:rsidP="009926E9">
      <w:pPr>
        <w:spacing w:after="0" w:line="240" w:lineRule="auto"/>
        <w:ind w:firstLine="284"/>
        <w:jc w:val="both"/>
        <w:rPr>
          <w:rFonts w:ascii="Garamond" w:eastAsia="Times New Roman" w:hAnsi="Garamond" w:cs="Times New Roman"/>
          <w:sz w:val="24"/>
          <w:szCs w:val="24"/>
        </w:rPr>
      </w:pPr>
      <w:r w:rsidRPr="00913E39">
        <w:rPr>
          <w:rFonts w:ascii="Garamond" w:eastAsia="Times New Roman" w:hAnsi="Garamond" w:cs="Times New Roman"/>
          <w:sz w:val="24"/>
          <w:szCs w:val="24"/>
        </w:rPr>
        <w:t xml:space="preserve">Buxheti kombëtar dhe fondet e tjera publike, sipas rastit, do të mbështesin qëndrueshmërinë e investimeve të financuara nga Programi. </w:t>
      </w:r>
    </w:p>
    <w:p w14:paraId="773086EC" w14:textId="0819E0F7" w:rsidR="00847F23" w:rsidRPr="00913E39" w:rsidRDefault="00847F23" w:rsidP="009926E9">
      <w:pPr>
        <w:spacing w:after="0" w:line="240" w:lineRule="auto"/>
        <w:ind w:firstLine="284"/>
        <w:jc w:val="both"/>
        <w:rPr>
          <w:rFonts w:ascii="Garamond" w:eastAsia="Times New Roman" w:hAnsi="Garamond" w:cs="Times New Roman"/>
          <w:sz w:val="24"/>
          <w:szCs w:val="24"/>
        </w:rPr>
      </w:pPr>
      <w:r w:rsidRPr="00913E39">
        <w:rPr>
          <w:rFonts w:ascii="Garamond" w:eastAsia="Times New Roman" w:hAnsi="Garamond" w:cs="Times New Roman"/>
          <w:sz w:val="24"/>
          <w:szCs w:val="24"/>
        </w:rPr>
        <w:t xml:space="preserve">Përfituesit përfundimtarë duhet të sigurojnë që kontratat të zbatohen në përputhje me objektivat e përcaktuar për projektet/kontratat dhe që rezultatet të maten duke përdorur treguesit e zbatueshëm për projektet/kontratat siç përcaktohen në dokumentet përkatëse. Për të siguruar që rezultatet e krijuara nga projektet/kontratat e financuara në kuadër të Programit Operacional të zgjasin pas përfundimit të periudhës së zbatimit të projekteve/kontratave, Autoriteti Menaxhues do të vendosë kushtet e qëndrueshmërisë të zbatueshme për rezultatet e prekshme dhe jomateriale sipas rastit. </w:t>
      </w:r>
    </w:p>
    <w:p w14:paraId="1BB50EB6" w14:textId="77777777" w:rsidR="00847F23" w:rsidRPr="00913E39" w:rsidRDefault="00847F23" w:rsidP="009926E9">
      <w:pPr>
        <w:spacing w:after="0" w:line="240" w:lineRule="auto"/>
        <w:ind w:firstLine="284"/>
        <w:jc w:val="both"/>
        <w:rPr>
          <w:rFonts w:ascii="Garamond" w:eastAsia="Times New Roman" w:hAnsi="Garamond" w:cs="Times New Roman"/>
          <w:sz w:val="24"/>
          <w:szCs w:val="24"/>
        </w:rPr>
      </w:pPr>
      <w:r w:rsidRPr="00913E39">
        <w:rPr>
          <w:rFonts w:ascii="Garamond" w:eastAsia="Times New Roman" w:hAnsi="Garamond" w:cs="Times New Roman"/>
          <w:sz w:val="24"/>
          <w:szCs w:val="24"/>
        </w:rPr>
        <w:t xml:space="preserve">Në rastin e punëve dhe furnizimeve të kontraktuara drejtpërdrejt, do të krijohen mekanizma bashkëpunimi midis Autoritetit Menaxhues dhe përfituesve përfundimtarë për planifikimin dhe zbatimin e veprimeve të parashikuara, si dhe përgjegjësitë e përfituesve përfundimtarë për të siguruar qëndrueshmërinë e asistencës IPA III. Kalimi i pronësisë do të vendoset në një marrëveshje formale e cila gjithashtu do të sigurojë angazhimin e tyre për të siguruar burimet financiare dhe njerëzore për funksionimin dhe mirëmbajtjen e rezultateve pas përfundimit. </w:t>
      </w:r>
    </w:p>
    <w:p w14:paraId="0C022314" w14:textId="77777777" w:rsidR="00847F23" w:rsidRPr="00913E39" w:rsidRDefault="00847F23" w:rsidP="009926E9">
      <w:pPr>
        <w:spacing w:after="0" w:line="240" w:lineRule="auto"/>
        <w:ind w:firstLine="284"/>
        <w:jc w:val="both"/>
        <w:rPr>
          <w:rFonts w:ascii="Garamond" w:eastAsia="Times New Roman" w:hAnsi="Garamond" w:cs="Times New Roman"/>
          <w:bCs/>
          <w:sz w:val="24"/>
          <w:szCs w:val="24"/>
        </w:rPr>
      </w:pPr>
      <w:r w:rsidRPr="00913E39">
        <w:rPr>
          <w:rFonts w:ascii="Garamond" w:eastAsia="Times New Roman" w:hAnsi="Garamond" w:cs="Times New Roman"/>
          <w:sz w:val="24"/>
          <w:szCs w:val="24"/>
        </w:rPr>
        <w:t>Organi i Ndërmjetëm për Menaxhimin Financiar do të kryejë kontrolle të qëndrueshmërisë për operacionet e përfunduara në përputhje me procedurat e tij. Mbështetja nëpërmjet Asistencës Teknike do të monitorohet dhe do të vazhdojë në MFF-në e ardhshme (përtej vitit 2027), sipas nevojës në përputhje me vlerësimin e përditësuar të nevojave.</w:t>
      </w:r>
    </w:p>
    <w:p w14:paraId="55D8F873" w14:textId="77777777" w:rsidR="00E06606" w:rsidRPr="00913E39" w:rsidRDefault="00E06606" w:rsidP="009926E9">
      <w:pPr>
        <w:spacing w:after="0" w:line="240" w:lineRule="auto"/>
        <w:ind w:firstLine="284"/>
        <w:jc w:val="both"/>
        <w:rPr>
          <w:rFonts w:ascii="Garamond" w:hAnsi="Garamond"/>
          <w:b/>
          <w:sz w:val="24"/>
        </w:rPr>
      </w:pPr>
    </w:p>
    <w:p w14:paraId="57EE6860" w14:textId="244B8DE3" w:rsidR="00E06606" w:rsidRPr="00913E39" w:rsidRDefault="00E06606" w:rsidP="00E06606">
      <w:pPr>
        <w:spacing w:after="0" w:line="240" w:lineRule="auto"/>
        <w:ind w:firstLine="284"/>
        <w:jc w:val="center"/>
        <w:rPr>
          <w:rFonts w:ascii="Garamond" w:hAnsi="Garamond"/>
          <w:sz w:val="24"/>
        </w:rPr>
      </w:pPr>
      <w:r w:rsidRPr="00913E39">
        <w:rPr>
          <w:rFonts w:ascii="Garamond" w:hAnsi="Garamond"/>
          <w:sz w:val="24"/>
        </w:rPr>
        <w:t>ANEKSI 1</w:t>
      </w:r>
    </w:p>
    <w:p w14:paraId="49086A44" w14:textId="664D81BC" w:rsidR="00847F23" w:rsidRPr="00913E39" w:rsidRDefault="00E06606" w:rsidP="00E06606">
      <w:pPr>
        <w:spacing w:after="0" w:line="240" w:lineRule="auto"/>
        <w:ind w:firstLine="284"/>
        <w:jc w:val="center"/>
        <w:rPr>
          <w:rFonts w:ascii="Garamond" w:hAnsi="Garamond"/>
          <w:sz w:val="24"/>
        </w:rPr>
      </w:pPr>
      <w:r w:rsidRPr="00913E39">
        <w:rPr>
          <w:rFonts w:ascii="Garamond" w:hAnsi="Garamond"/>
          <w:sz w:val="24"/>
        </w:rPr>
        <w:t>TAKIME KONSULTIMI ME PARTNERËT PËR PROGRAMIN OPERACIONAL PËR EKONOMINË DHE SHOQËRINË DIGJITALE, 12 QERSHOR 2023</w:t>
      </w:r>
    </w:p>
    <w:p w14:paraId="0AD0D601" w14:textId="77777777" w:rsidR="00E06606" w:rsidRPr="00913E39" w:rsidRDefault="00E06606" w:rsidP="009926E9">
      <w:pPr>
        <w:spacing w:after="0" w:line="240" w:lineRule="auto"/>
        <w:ind w:firstLine="284"/>
        <w:jc w:val="both"/>
        <w:rPr>
          <w:rFonts w:ascii="Garamond" w:hAnsi="Garamond"/>
          <w:b/>
          <w:sz w:val="24"/>
        </w:rPr>
      </w:pPr>
    </w:p>
    <w:p w14:paraId="62E18ECA" w14:textId="7FC02ED0" w:rsidR="00847F23" w:rsidRPr="00913E39" w:rsidRDefault="00847F23" w:rsidP="009926E9">
      <w:pPr>
        <w:spacing w:after="0" w:line="240" w:lineRule="auto"/>
        <w:ind w:firstLine="284"/>
        <w:jc w:val="both"/>
        <w:rPr>
          <w:rFonts w:ascii="Garamond" w:hAnsi="Garamond"/>
          <w:b/>
          <w:sz w:val="24"/>
        </w:rPr>
      </w:pPr>
      <w:r w:rsidRPr="00913E39">
        <w:rPr>
          <w:rFonts w:ascii="Garamond" w:hAnsi="Garamond"/>
          <w:b/>
          <w:sz w:val="24"/>
        </w:rPr>
        <w:t>Lista e palëve të interesuara të ftuara</w:t>
      </w:r>
    </w:p>
    <w:p w14:paraId="022FBE4B"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Partnerë social/OSHC</w:t>
      </w:r>
    </w:p>
    <w:p w14:paraId="7CA3EDBA"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Fondi i OKB-së për Fëmijët (UNICEF)</w:t>
      </w:r>
    </w:p>
    <w:p w14:paraId="37E3F867"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Rrjeti Shqiptar i Emancipimit të Grave</w:t>
      </w:r>
    </w:p>
    <w:p w14:paraId="3FBD4D54"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Organizata Botërore e Shëndetësisë (OBSH)</w:t>
      </w:r>
    </w:p>
    <w:p w14:paraId="5C4C550C"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Organizata Ndërkombëtare për Migracionin (IOM)</w:t>
      </w:r>
    </w:p>
    <w:p w14:paraId="77679CC6"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Zyra e Koordinatorit Rezident të OKB-së (ZKR OKB)</w:t>
      </w:r>
    </w:p>
    <w:p w14:paraId="5CF65BF4"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Programi Mjedisor i OKB-së (UNEP) Progres Komunikimi</w:t>
      </w:r>
    </w:p>
    <w:p w14:paraId="72327B93"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Institucionet publike:</w:t>
      </w:r>
    </w:p>
    <w:p w14:paraId="15BBB1BD" w14:textId="77777777" w:rsidR="00847F23" w:rsidRPr="00913E39" w:rsidRDefault="00847F23" w:rsidP="009926E9">
      <w:pPr>
        <w:tabs>
          <w:tab w:val="left" w:pos="3570"/>
        </w:tabs>
        <w:spacing w:after="0" w:line="240" w:lineRule="auto"/>
        <w:ind w:firstLine="284"/>
        <w:jc w:val="both"/>
        <w:rPr>
          <w:rFonts w:ascii="Garamond" w:hAnsi="Garamond"/>
          <w:sz w:val="24"/>
        </w:rPr>
      </w:pPr>
      <w:r w:rsidRPr="00913E39">
        <w:rPr>
          <w:rFonts w:ascii="Garamond" w:hAnsi="Garamond"/>
          <w:sz w:val="24"/>
        </w:rPr>
        <w:t>Bashkia Gjirokastër, Ministria e Shëndetësisë dhe Mbrojtjes Sociale</w:t>
      </w:r>
      <w:r w:rsidR="00693B1A" w:rsidRPr="00913E39">
        <w:rPr>
          <w:rFonts w:ascii="Garamond" w:hAnsi="Garamond"/>
          <w:sz w:val="24"/>
        </w:rPr>
        <w:t xml:space="preserve"> </w:t>
      </w:r>
    </w:p>
    <w:p w14:paraId="5C9E5289" w14:textId="77777777" w:rsidR="00847F23" w:rsidRPr="00913E39" w:rsidRDefault="00847F23" w:rsidP="009926E9">
      <w:pPr>
        <w:tabs>
          <w:tab w:val="left" w:pos="3570"/>
        </w:tabs>
        <w:spacing w:after="0" w:line="240" w:lineRule="auto"/>
        <w:ind w:firstLine="284"/>
        <w:jc w:val="both"/>
        <w:rPr>
          <w:rFonts w:ascii="Garamond" w:hAnsi="Garamond"/>
          <w:sz w:val="24"/>
        </w:rPr>
      </w:pPr>
      <w:r w:rsidRPr="00913E39">
        <w:rPr>
          <w:rFonts w:ascii="Garamond" w:hAnsi="Garamond"/>
          <w:sz w:val="24"/>
        </w:rPr>
        <w:t>Ministria e Infrastrukturës dhe Energjisë</w:t>
      </w:r>
    </w:p>
    <w:p w14:paraId="40D1386C" w14:textId="77777777" w:rsidR="00847F23" w:rsidRPr="00913E39" w:rsidRDefault="00847F23" w:rsidP="009926E9">
      <w:pPr>
        <w:tabs>
          <w:tab w:val="left" w:pos="3570"/>
        </w:tabs>
        <w:spacing w:after="0" w:line="240" w:lineRule="auto"/>
        <w:ind w:firstLine="284"/>
        <w:jc w:val="both"/>
        <w:rPr>
          <w:rFonts w:ascii="Garamond" w:hAnsi="Garamond"/>
          <w:sz w:val="24"/>
        </w:rPr>
      </w:pPr>
      <w:r w:rsidRPr="00913E39">
        <w:rPr>
          <w:rFonts w:ascii="Garamond" w:hAnsi="Garamond"/>
          <w:sz w:val="24"/>
        </w:rPr>
        <w:t xml:space="preserve">Urdhri i Infermierit të Shqipërisë </w:t>
      </w:r>
    </w:p>
    <w:p w14:paraId="356E5B3B" w14:textId="10FA47AF" w:rsidR="00847F23" w:rsidRPr="00913E39" w:rsidRDefault="00847F23" w:rsidP="009926E9">
      <w:pPr>
        <w:tabs>
          <w:tab w:val="left" w:pos="3570"/>
        </w:tabs>
        <w:spacing w:after="0" w:line="240" w:lineRule="auto"/>
        <w:ind w:firstLine="284"/>
        <w:jc w:val="both"/>
        <w:rPr>
          <w:rFonts w:ascii="Garamond" w:hAnsi="Garamond"/>
          <w:sz w:val="24"/>
        </w:rPr>
      </w:pPr>
      <w:r w:rsidRPr="00913E39">
        <w:rPr>
          <w:rFonts w:ascii="Garamond" w:hAnsi="Garamond"/>
          <w:sz w:val="24"/>
        </w:rPr>
        <w:t xml:space="preserve">Bashkia </w:t>
      </w:r>
      <w:r w:rsidR="00C7273C" w:rsidRPr="00913E39">
        <w:rPr>
          <w:rFonts w:ascii="Garamond" w:hAnsi="Garamond"/>
          <w:sz w:val="24"/>
        </w:rPr>
        <w:t>Durrës</w:t>
      </w:r>
    </w:p>
    <w:p w14:paraId="65AEB1A9" w14:textId="77777777" w:rsidR="00847F23" w:rsidRPr="00913E39" w:rsidRDefault="00847F23" w:rsidP="009926E9">
      <w:pPr>
        <w:tabs>
          <w:tab w:val="left" w:pos="3570"/>
        </w:tabs>
        <w:spacing w:after="0" w:line="240" w:lineRule="auto"/>
        <w:ind w:firstLine="284"/>
        <w:jc w:val="both"/>
        <w:rPr>
          <w:rFonts w:ascii="Garamond" w:hAnsi="Garamond"/>
          <w:sz w:val="24"/>
        </w:rPr>
      </w:pPr>
      <w:r w:rsidRPr="00913E39">
        <w:rPr>
          <w:rFonts w:ascii="Garamond" w:hAnsi="Garamond"/>
          <w:sz w:val="24"/>
        </w:rPr>
        <w:t>Bashkia Tiranë</w:t>
      </w:r>
    </w:p>
    <w:p w14:paraId="79E28851" w14:textId="77777777" w:rsidR="00847F23" w:rsidRPr="00913E39" w:rsidRDefault="00847F23" w:rsidP="009926E9">
      <w:pPr>
        <w:tabs>
          <w:tab w:val="left" w:pos="3570"/>
        </w:tabs>
        <w:spacing w:after="0" w:line="240" w:lineRule="auto"/>
        <w:ind w:firstLine="284"/>
        <w:jc w:val="both"/>
        <w:rPr>
          <w:rFonts w:ascii="Garamond" w:hAnsi="Garamond"/>
          <w:sz w:val="24"/>
        </w:rPr>
      </w:pPr>
      <w:r w:rsidRPr="00913E39">
        <w:rPr>
          <w:rFonts w:ascii="Garamond" w:hAnsi="Garamond"/>
          <w:sz w:val="24"/>
        </w:rPr>
        <w:t>Ministria e Arsimit dhe Sporteve</w:t>
      </w:r>
    </w:p>
    <w:p w14:paraId="2D002535" w14:textId="77777777" w:rsidR="00E06606" w:rsidRPr="00913E39" w:rsidRDefault="00E06606" w:rsidP="009926E9">
      <w:pPr>
        <w:spacing w:after="0" w:line="240" w:lineRule="auto"/>
        <w:ind w:firstLine="284"/>
        <w:jc w:val="both"/>
        <w:rPr>
          <w:rFonts w:ascii="Garamond" w:hAnsi="Garamond"/>
          <w:b/>
          <w:sz w:val="24"/>
        </w:rPr>
      </w:pPr>
    </w:p>
    <w:p w14:paraId="40E42CD3" w14:textId="632169BB" w:rsidR="00E06606" w:rsidRPr="00913E39" w:rsidRDefault="00E06606" w:rsidP="00E06606">
      <w:pPr>
        <w:spacing w:after="0" w:line="240" w:lineRule="auto"/>
        <w:ind w:firstLine="284"/>
        <w:jc w:val="center"/>
        <w:rPr>
          <w:rFonts w:ascii="Garamond" w:hAnsi="Garamond"/>
          <w:sz w:val="24"/>
        </w:rPr>
      </w:pPr>
      <w:r w:rsidRPr="00913E39">
        <w:rPr>
          <w:rFonts w:ascii="Garamond" w:hAnsi="Garamond"/>
          <w:sz w:val="24"/>
        </w:rPr>
        <w:t>ANEKSI 2</w:t>
      </w:r>
    </w:p>
    <w:p w14:paraId="02948929" w14:textId="6FEEB1AD" w:rsidR="00847F23" w:rsidRPr="00913E39" w:rsidRDefault="00E06606" w:rsidP="00E06606">
      <w:pPr>
        <w:spacing w:after="0" w:line="240" w:lineRule="auto"/>
        <w:ind w:firstLine="284"/>
        <w:jc w:val="center"/>
        <w:rPr>
          <w:rFonts w:ascii="Garamond" w:hAnsi="Garamond"/>
          <w:sz w:val="24"/>
        </w:rPr>
      </w:pPr>
      <w:r w:rsidRPr="00913E39">
        <w:rPr>
          <w:rFonts w:ascii="Garamond" w:hAnsi="Garamond"/>
          <w:sz w:val="24"/>
        </w:rPr>
        <w:lastRenderedPageBreak/>
        <w:t>ZHVILLIMI I PROJEKTIT PILOT</w:t>
      </w:r>
    </w:p>
    <w:p w14:paraId="3B4AA116" w14:textId="77777777" w:rsidR="00E06606" w:rsidRPr="00913E39" w:rsidRDefault="00E06606" w:rsidP="009926E9">
      <w:pPr>
        <w:spacing w:after="0" w:line="240" w:lineRule="auto"/>
        <w:ind w:firstLine="284"/>
        <w:jc w:val="both"/>
        <w:rPr>
          <w:rFonts w:ascii="Garamond" w:hAnsi="Garamond"/>
          <w:sz w:val="24"/>
        </w:rPr>
      </w:pPr>
    </w:p>
    <w:p w14:paraId="175E9595" w14:textId="4F639B53"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Objektivi i përgjithshëm i këtij projekti pilot do të jetë konceptimi i një zgjidhjeje për </w:t>
      </w:r>
      <w:r w:rsidR="00C7273C" w:rsidRPr="00913E39">
        <w:rPr>
          <w:rFonts w:ascii="Garamond" w:hAnsi="Garamond"/>
          <w:sz w:val="24"/>
        </w:rPr>
        <w:t>p</w:t>
      </w:r>
      <w:r w:rsidRPr="00913E39">
        <w:rPr>
          <w:rFonts w:ascii="Garamond" w:hAnsi="Garamond"/>
          <w:sz w:val="24"/>
        </w:rPr>
        <w:t>ërdoruesit</w:t>
      </w:r>
      <w:r w:rsidR="00C7273C" w:rsidRPr="00913E39">
        <w:rPr>
          <w:rFonts w:ascii="Garamond" w:hAnsi="Garamond"/>
          <w:sz w:val="24"/>
        </w:rPr>
        <w:t xml:space="preserve"> </w:t>
      </w:r>
      <w:r w:rsidRPr="00913E39">
        <w:rPr>
          <w:rFonts w:ascii="Garamond" w:hAnsi="Garamond"/>
          <w:sz w:val="24"/>
        </w:rPr>
        <w:t>5G për Bashkinë e Tiranës duke identifikuar rastet më të rëndësishme të përdorimit.</w:t>
      </w:r>
    </w:p>
    <w:p w14:paraId="019351D8"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Propozimi është që ky projekt të zbatohet përgjatë Bulevardit </w:t>
      </w:r>
      <w:r w:rsidR="00850FC7" w:rsidRPr="00913E39">
        <w:rPr>
          <w:rFonts w:ascii="Garamond" w:hAnsi="Garamond"/>
          <w:sz w:val="24"/>
        </w:rPr>
        <w:t>“</w:t>
      </w:r>
      <w:r w:rsidRPr="00913E39">
        <w:rPr>
          <w:rFonts w:ascii="Garamond" w:hAnsi="Garamond"/>
          <w:sz w:val="24"/>
        </w:rPr>
        <w:t>Dëshmorët e Kombit</w:t>
      </w:r>
      <w:r w:rsidR="00850FC7" w:rsidRPr="00913E39">
        <w:rPr>
          <w:rFonts w:ascii="Garamond" w:hAnsi="Garamond"/>
          <w:sz w:val="24"/>
        </w:rPr>
        <w:t>”</w:t>
      </w:r>
      <w:r w:rsidRPr="00913E39">
        <w:rPr>
          <w:rFonts w:ascii="Garamond" w:hAnsi="Garamond"/>
          <w:sz w:val="24"/>
        </w:rPr>
        <w:t xml:space="preserve">, Bulevardit </w:t>
      </w:r>
      <w:r w:rsidR="00850FC7" w:rsidRPr="00913E39">
        <w:rPr>
          <w:rFonts w:ascii="Garamond" w:hAnsi="Garamond"/>
          <w:sz w:val="24"/>
        </w:rPr>
        <w:t>“</w:t>
      </w:r>
      <w:r w:rsidRPr="00913E39">
        <w:rPr>
          <w:rFonts w:ascii="Garamond" w:hAnsi="Garamond"/>
          <w:sz w:val="24"/>
        </w:rPr>
        <w:t>Zogu I</w:t>
      </w:r>
      <w:r w:rsidR="00850FC7" w:rsidRPr="00913E39">
        <w:rPr>
          <w:rFonts w:ascii="Garamond" w:hAnsi="Garamond"/>
          <w:sz w:val="24"/>
        </w:rPr>
        <w:t>”</w:t>
      </w:r>
      <w:r w:rsidRPr="00913E39">
        <w:rPr>
          <w:rFonts w:ascii="Garamond" w:hAnsi="Garamond"/>
          <w:sz w:val="24"/>
        </w:rPr>
        <w:t xml:space="preserve"> dhe Bulevardit të ri, i cili është zgjatim i atij ekzistues, duke mbuluar një distancë totale në vijë të drejtë prej 4 km.</w:t>
      </w:r>
    </w:p>
    <w:p w14:paraId="0BB769AB" w14:textId="6000CD48"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Në këtë zonë ndodhen pjesa më e madhe e godinave shtetërore (ministritë, kryeministria, zyrat e Kuvendit, Presidenti, Bashkia e Tiranës etj.) dhe institucione të tjera publike (Universiteti Politeknik i Tiranës, Akademia e Arteve, Fakulteti i Shkencave, Piramida, ku ndodhet ndërtesa kryesore e TIK-ut dhe inovacionit, Pallati i Kongreseve, Stadiumi i ri dhe Materniteti. Të 3 bulevardet lidhin 3 sheshet kryesore: Sheshin </w:t>
      </w:r>
      <w:r w:rsidR="00C7273C" w:rsidRPr="00913E39">
        <w:rPr>
          <w:rFonts w:ascii="Garamond" w:hAnsi="Garamond"/>
          <w:sz w:val="24"/>
        </w:rPr>
        <w:t>“</w:t>
      </w:r>
      <w:r w:rsidRPr="00913E39">
        <w:rPr>
          <w:rFonts w:ascii="Garamond" w:hAnsi="Garamond"/>
          <w:sz w:val="24"/>
        </w:rPr>
        <w:t>Skënderbej</w:t>
      </w:r>
      <w:r w:rsidR="00C7273C" w:rsidRPr="00913E39">
        <w:rPr>
          <w:rFonts w:ascii="Garamond" w:hAnsi="Garamond"/>
          <w:sz w:val="24"/>
        </w:rPr>
        <w:t>”,</w:t>
      </w:r>
      <w:r w:rsidRPr="00913E39">
        <w:rPr>
          <w:rFonts w:ascii="Garamond" w:hAnsi="Garamond"/>
          <w:sz w:val="24"/>
        </w:rPr>
        <w:t xml:space="preserve"> sheshin </w:t>
      </w:r>
      <w:r w:rsidR="00C7273C" w:rsidRPr="00913E39">
        <w:rPr>
          <w:rFonts w:ascii="Garamond" w:hAnsi="Garamond"/>
          <w:sz w:val="24"/>
        </w:rPr>
        <w:t>“</w:t>
      </w:r>
      <w:r w:rsidRPr="00913E39">
        <w:rPr>
          <w:rFonts w:ascii="Garamond" w:hAnsi="Garamond"/>
          <w:sz w:val="24"/>
        </w:rPr>
        <w:t>Nënë Tereza</w:t>
      </w:r>
      <w:r w:rsidR="00C7273C" w:rsidRPr="00913E39">
        <w:rPr>
          <w:rFonts w:ascii="Garamond" w:hAnsi="Garamond"/>
          <w:sz w:val="24"/>
        </w:rPr>
        <w:t>”</w:t>
      </w:r>
      <w:r w:rsidRPr="00913E39">
        <w:rPr>
          <w:rFonts w:ascii="Garamond" w:hAnsi="Garamond"/>
          <w:sz w:val="24"/>
        </w:rPr>
        <w:t xml:space="preserve"> dhe sheshin e ri që do të ndërtohet në fund të bulevardit të ri. </w:t>
      </w:r>
    </w:p>
    <w:p w14:paraId="165D8052"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Kjo do të ndihmojë në aplikimin e shumë rasteve të përdorimit të 5G si më poshtë:</w:t>
      </w:r>
    </w:p>
    <w:p w14:paraId="1C107570" w14:textId="632E2F31" w:rsidR="00847F23" w:rsidRPr="00913E39" w:rsidRDefault="00847F23" w:rsidP="009926E9">
      <w:pPr>
        <w:spacing w:after="0" w:line="240" w:lineRule="auto"/>
        <w:ind w:firstLine="284"/>
        <w:jc w:val="both"/>
        <w:rPr>
          <w:rFonts w:ascii="Garamond" w:hAnsi="Garamond"/>
          <w:b/>
          <w:sz w:val="24"/>
        </w:rPr>
      </w:pPr>
      <w:r w:rsidRPr="00913E39">
        <w:rPr>
          <w:rFonts w:ascii="Garamond" w:hAnsi="Garamond"/>
          <w:b/>
          <w:sz w:val="24"/>
        </w:rPr>
        <w:t xml:space="preserve">Ndriçimi digjital </w:t>
      </w:r>
      <w:r w:rsidRPr="00913E39">
        <w:rPr>
          <w:rFonts w:ascii="Garamond" w:hAnsi="Garamond"/>
          <w:sz w:val="24"/>
        </w:rPr>
        <w:t xml:space="preserve">(përgjatë Bulevardit </w:t>
      </w:r>
      <w:r w:rsidR="00850FC7" w:rsidRPr="00913E39">
        <w:rPr>
          <w:rFonts w:ascii="Garamond" w:hAnsi="Garamond"/>
          <w:sz w:val="24"/>
        </w:rPr>
        <w:t>“</w:t>
      </w:r>
      <w:r w:rsidRPr="00913E39">
        <w:rPr>
          <w:rFonts w:ascii="Garamond" w:hAnsi="Garamond"/>
          <w:sz w:val="24"/>
        </w:rPr>
        <w:t>Dëshmorët e Kombit</w:t>
      </w:r>
      <w:r w:rsidR="00850FC7" w:rsidRPr="00913E39">
        <w:rPr>
          <w:rFonts w:ascii="Garamond" w:hAnsi="Garamond"/>
          <w:sz w:val="24"/>
        </w:rPr>
        <w:t>”</w:t>
      </w:r>
      <w:r w:rsidRPr="00913E39">
        <w:rPr>
          <w:rFonts w:ascii="Garamond" w:hAnsi="Garamond"/>
          <w:sz w:val="24"/>
        </w:rPr>
        <w:t xml:space="preserve">, bulevardit </w:t>
      </w:r>
      <w:r w:rsidR="00850FC7" w:rsidRPr="00913E39">
        <w:rPr>
          <w:rFonts w:ascii="Garamond" w:hAnsi="Garamond"/>
          <w:sz w:val="24"/>
        </w:rPr>
        <w:t>“</w:t>
      </w:r>
      <w:r w:rsidRPr="00913E39">
        <w:rPr>
          <w:rFonts w:ascii="Garamond" w:hAnsi="Garamond"/>
          <w:sz w:val="24"/>
        </w:rPr>
        <w:t>Zogu I</w:t>
      </w:r>
      <w:r w:rsidR="00850FC7" w:rsidRPr="00913E39">
        <w:rPr>
          <w:rFonts w:ascii="Garamond" w:hAnsi="Garamond"/>
          <w:sz w:val="24"/>
        </w:rPr>
        <w:t>”</w:t>
      </w:r>
      <w:r w:rsidRPr="00913E39">
        <w:rPr>
          <w:rFonts w:ascii="Garamond" w:hAnsi="Garamond"/>
          <w:sz w:val="24"/>
        </w:rPr>
        <w:t xml:space="preserve"> dhe Bulevardit të </w:t>
      </w:r>
      <w:r w:rsidR="00C7273C" w:rsidRPr="00913E39">
        <w:rPr>
          <w:rFonts w:ascii="Garamond" w:hAnsi="Garamond"/>
          <w:sz w:val="24"/>
        </w:rPr>
        <w:t>Ri</w:t>
      </w:r>
      <w:r w:rsidRPr="00913E39">
        <w:rPr>
          <w:rFonts w:ascii="Garamond" w:hAnsi="Garamond"/>
          <w:sz w:val="24"/>
        </w:rPr>
        <w:t>)</w:t>
      </w:r>
    </w:p>
    <w:p w14:paraId="3E7608E4"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Ky rast do të tregojë zgjidhjet dhe konceptet kryesore teknike të bazuara në infrastrukturën 5G smart të shtyllave të ndriçimit me radio 5G të integruara/kamufluara, sensorë, kamera, ekrane informacioni dhe pajisje, duke përfshirë sensorë të ndryshëm për monitorimin e motit, cilësinë e ajrit, kamerat e trafikut etj. Kjo do të shërbejë si një dëshmi e konceptit që mund të zgjerohet më vonë me përhapjen e 5G në zonat suburbane, rurale dhe autostrada.</w:t>
      </w:r>
    </w:p>
    <w:p w14:paraId="513FE1B0" w14:textId="1F9AD65A" w:rsidR="00847F23" w:rsidRPr="00913E39" w:rsidRDefault="00847F23" w:rsidP="009926E9">
      <w:pPr>
        <w:spacing w:after="0" w:line="240" w:lineRule="auto"/>
        <w:ind w:firstLine="284"/>
        <w:jc w:val="both"/>
        <w:rPr>
          <w:rFonts w:ascii="Garamond" w:hAnsi="Garamond"/>
          <w:sz w:val="24"/>
        </w:rPr>
      </w:pPr>
      <w:r w:rsidRPr="00913E39">
        <w:rPr>
          <w:rFonts w:ascii="Garamond" w:hAnsi="Garamond"/>
          <w:b/>
          <w:sz w:val="24"/>
        </w:rPr>
        <w:t xml:space="preserve">Parkimi digjital: </w:t>
      </w:r>
      <w:r w:rsidRPr="00913E39">
        <w:rPr>
          <w:rFonts w:ascii="Garamond" w:hAnsi="Garamond"/>
          <w:sz w:val="24"/>
        </w:rPr>
        <w:t xml:space="preserve">(vend parkimi në zonën e bulevardit, parkim nëntokësor në sheshin </w:t>
      </w:r>
      <w:r w:rsidR="00C7273C" w:rsidRPr="00913E39">
        <w:rPr>
          <w:rFonts w:ascii="Garamond" w:hAnsi="Garamond"/>
          <w:sz w:val="24"/>
        </w:rPr>
        <w:t>“</w:t>
      </w:r>
      <w:r w:rsidRPr="00913E39">
        <w:rPr>
          <w:rFonts w:ascii="Garamond" w:hAnsi="Garamond"/>
          <w:sz w:val="24"/>
        </w:rPr>
        <w:t>Skënderbej</w:t>
      </w:r>
      <w:r w:rsidR="00C7273C" w:rsidRPr="00913E39">
        <w:rPr>
          <w:rFonts w:ascii="Garamond" w:hAnsi="Garamond"/>
          <w:sz w:val="24"/>
        </w:rPr>
        <w:t>”</w:t>
      </w:r>
      <w:r w:rsidRPr="00913E39">
        <w:rPr>
          <w:rFonts w:ascii="Garamond" w:hAnsi="Garamond"/>
          <w:sz w:val="24"/>
        </w:rPr>
        <w:t>, parkim nëntokësor në bulevardin e ri)</w:t>
      </w:r>
    </w:p>
    <w:p w14:paraId="1AC210C7"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Qytetet </w:t>
      </w:r>
      <w:r w:rsidRPr="00913E39">
        <w:rPr>
          <w:rFonts w:ascii="Garamond" w:hAnsi="Garamond"/>
          <w:i/>
          <w:sz w:val="24"/>
        </w:rPr>
        <w:t>smart</w:t>
      </w:r>
      <w:r w:rsidRPr="00913E39">
        <w:rPr>
          <w:rFonts w:ascii="Garamond" w:hAnsi="Garamond"/>
          <w:sz w:val="24"/>
        </w:rPr>
        <w:t xml:space="preserve"> po përdorin ndërlidhje për të marrë informacion në kohë reale mbi disponueshmërinë e hapësirave të parkimit. </w:t>
      </w:r>
    </w:p>
    <w:p w14:paraId="220A7517"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Aplikacionet celulare i ndihmojnë shoferët të gjejnë vende parkimi të disponueshme në zonat urbane të mbipopulluara. Sensorët e vendosur në vende të veçanta parkimi mund të integrohen në sistemet e informacionit gjeografik dhe të ofrojnë harta që tregojnë vendet e disponueshme të parkimit. Kjo do të thotë që shoferët nuk duhet të qarkullojnë rreth bllokut në përpjekje për të gjetur një hapësirë të lirë, por mund të shkojnë direkt në ato vende, duke mos e bllokuar trafikun, duke ulur kohën e drejtimit dhe emetimet e gazit nga shoferët që kërkojnë vende parkimi. </w:t>
      </w:r>
    </w:p>
    <w:p w14:paraId="063AC22F" w14:textId="27DD9AEF" w:rsidR="00847F23" w:rsidRPr="00913E39" w:rsidRDefault="00847F23" w:rsidP="009926E9">
      <w:pPr>
        <w:spacing w:after="0" w:line="240" w:lineRule="auto"/>
        <w:ind w:firstLine="284"/>
        <w:jc w:val="both"/>
        <w:rPr>
          <w:rFonts w:ascii="Garamond" w:hAnsi="Garamond"/>
          <w:sz w:val="24"/>
        </w:rPr>
      </w:pPr>
      <w:r w:rsidRPr="00913E39">
        <w:rPr>
          <w:rFonts w:ascii="Garamond" w:hAnsi="Garamond"/>
          <w:b/>
          <w:sz w:val="24"/>
        </w:rPr>
        <w:t xml:space="preserve">Arsimi </w:t>
      </w:r>
      <w:r w:rsidR="00C7273C" w:rsidRPr="00913E39">
        <w:rPr>
          <w:rFonts w:ascii="Garamond" w:hAnsi="Garamond"/>
          <w:b/>
          <w:sz w:val="24"/>
        </w:rPr>
        <w:t>dhe k</w:t>
      </w:r>
      <w:r w:rsidRPr="00913E39">
        <w:rPr>
          <w:rFonts w:ascii="Garamond" w:hAnsi="Garamond"/>
          <w:b/>
          <w:sz w:val="24"/>
        </w:rPr>
        <w:t>ërkimi: (</w:t>
      </w:r>
      <w:r w:rsidRPr="00913E39">
        <w:rPr>
          <w:rFonts w:ascii="Garamond" w:hAnsi="Garamond"/>
          <w:sz w:val="24"/>
        </w:rPr>
        <w:t>Universiteti Politeknik i Tiranës, Akademia e Arteve, Fakulteti i Shkencave)</w:t>
      </w:r>
    </w:p>
    <w:p w14:paraId="17383BDA" w14:textId="0479A7C9"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Në sheshin </w:t>
      </w:r>
      <w:r w:rsidR="00C7273C" w:rsidRPr="00913E39">
        <w:rPr>
          <w:rFonts w:ascii="Garamond" w:hAnsi="Garamond"/>
          <w:sz w:val="24"/>
        </w:rPr>
        <w:t>“</w:t>
      </w:r>
      <w:r w:rsidRPr="00913E39">
        <w:rPr>
          <w:rFonts w:ascii="Garamond" w:hAnsi="Garamond"/>
          <w:sz w:val="24"/>
        </w:rPr>
        <w:t>Nënë Tereza</w:t>
      </w:r>
      <w:r w:rsidR="00C7273C" w:rsidRPr="00913E39">
        <w:rPr>
          <w:rFonts w:ascii="Garamond" w:hAnsi="Garamond"/>
          <w:sz w:val="24"/>
        </w:rPr>
        <w:t>”</w:t>
      </w:r>
      <w:r w:rsidRPr="00913E39">
        <w:rPr>
          <w:rFonts w:ascii="Garamond" w:hAnsi="Garamond"/>
          <w:sz w:val="24"/>
        </w:rPr>
        <w:t xml:space="preserve"> ndodhen Universiteti Politeknik i Tiranës dhe Akademia e Arteve, ndërsa në fund të Bulevardit </w:t>
      </w:r>
      <w:r w:rsidR="00850FC7" w:rsidRPr="00913E39">
        <w:rPr>
          <w:rFonts w:ascii="Garamond" w:hAnsi="Garamond"/>
          <w:sz w:val="24"/>
        </w:rPr>
        <w:t>“</w:t>
      </w:r>
      <w:r w:rsidRPr="00913E39">
        <w:rPr>
          <w:rFonts w:ascii="Garamond" w:hAnsi="Garamond"/>
          <w:sz w:val="24"/>
        </w:rPr>
        <w:t>Zogu I</w:t>
      </w:r>
      <w:r w:rsidR="00850FC7" w:rsidRPr="00913E39">
        <w:rPr>
          <w:rFonts w:ascii="Garamond" w:hAnsi="Garamond"/>
          <w:sz w:val="24"/>
        </w:rPr>
        <w:t>”</w:t>
      </w:r>
      <w:r w:rsidRPr="00913E39">
        <w:rPr>
          <w:rFonts w:ascii="Garamond" w:hAnsi="Garamond"/>
          <w:sz w:val="24"/>
        </w:rPr>
        <w:t xml:space="preserve"> ndodhet Fakulteti i Shkencave.</w:t>
      </w:r>
    </w:p>
    <w:p w14:paraId="635CC534" w14:textId="77777777" w:rsidR="00847F23" w:rsidRPr="00913E39" w:rsidRDefault="00847F23" w:rsidP="009926E9">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xml:space="preserve">Teknologjia 5G do të ofrojë mundësi të jashtëzakonshme në arsim. Ajo do të sigurojë, në thelb, akses në lloje të reja të përmbajtjes së bazuar në internet, duke përfshirë realitetin virtual dhe të përmirësuar. Kompjuterët që dikur konsideroheshin teknologji më të avancuara, po zëvendësohen me shpejtësi nga pajisje të lëvizshme si tabletat dhe telefonat digjitalë. Kjo i hap rrugën aplikacioneve dhe teknologjisë celulare që i lejojnë studentët të shohin në mënyrë digjitale përmbajtje të disponueshme dhe video me cilësi të lartë për të mësuar në internet. Zbatimi i suksesshëm i këtij rasti përdorimi do të shërbejë për aplikimin në shkollat e zonave rurale. Ndërkohë Bashkia e Tiranës po zbaton një projekt që do të transformojë godinën e piramidës në qendrën kryesore të TIK-ut dhe Inovacionit dhe 5G mund të përdoret për kërkimin, zhvillimin dhe testimin e aplikacionit të ri dhe zgjidhjen që mund të kontribuojë në përmirësimin e jetës së qytetarëve të Tiranës. </w:t>
      </w:r>
    </w:p>
    <w:p w14:paraId="79063FC4" w14:textId="3CB06405" w:rsidR="00847F23" w:rsidRPr="00913E39" w:rsidRDefault="00847F23" w:rsidP="009926E9">
      <w:pPr>
        <w:spacing w:after="0" w:line="240" w:lineRule="auto"/>
        <w:ind w:firstLine="284"/>
        <w:jc w:val="both"/>
        <w:rPr>
          <w:rFonts w:ascii="Garamond" w:hAnsi="Garamond"/>
          <w:sz w:val="24"/>
          <w:shd w:val="clear" w:color="auto" w:fill="FFFFFF"/>
        </w:rPr>
      </w:pPr>
      <w:r w:rsidRPr="00913E39">
        <w:rPr>
          <w:rFonts w:ascii="Garamond" w:hAnsi="Garamond"/>
          <w:b/>
          <w:sz w:val="24"/>
          <w:shd w:val="clear" w:color="auto" w:fill="FFFFFF"/>
        </w:rPr>
        <w:t xml:space="preserve">Media dhe </w:t>
      </w:r>
      <w:r w:rsidR="00C7273C" w:rsidRPr="00913E39">
        <w:rPr>
          <w:rFonts w:ascii="Garamond" w:hAnsi="Garamond"/>
          <w:b/>
          <w:sz w:val="24"/>
          <w:shd w:val="clear" w:color="auto" w:fill="FFFFFF"/>
        </w:rPr>
        <w:t>a</w:t>
      </w:r>
      <w:r w:rsidRPr="00913E39">
        <w:rPr>
          <w:rFonts w:ascii="Garamond" w:hAnsi="Garamond"/>
          <w:b/>
          <w:sz w:val="24"/>
          <w:shd w:val="clear" w:color="auto" w:fill="FFFFFF"/>
        </w:rPr>
        <w:t>rgëtimi</w:t>
      </w:r>
      <w:r w:rsidRPr="00913E39">
        <w:rPr>
          <w:rFonts w:ascii="Garamond" w:hAnsi="Garamond"/>
          <w:sz w:val="24"/>
          <w:shd w:val="clear" w:color="auto" w:fill="FFFFFF"/>
        </w:rPr>
        <w:t xml:space="preserve"> (Stadiumi i Ri, Pallati i Kongreseve, </w:t>
      </w:r>
      <w:r w:rsidR="00C7273C" w:rsidRPr="00913E39">
        <w:rPr>
          <w:rFonts w:ascii="Garamond" w:hAnsi="Garamond"/>
          <w:sz w:val="24"/>
          <w:shd w:val="clear" w:color="auto" w:fill="FFFFFF"/>
        </w:rPr>
        <w:t>s</w:t>
      </w:r>
      <w:r w:rsidRPr="00913E39">
        <w:rPr>
          <w:rFonts w:ascii="Garamond" w:hAnsi="Garamond"/>
          <w:sz w:val="24"/>
          <w:shd w:val="clear" w:color="auto" w:fill="FFFFFF"/>
        </w:rPr>
        <w:t xml:space="preserve">heshi </w:t>
      </w:r>
      <w:r w:rsidR="00C7273C" w:rsidRPr="00913E39">
        <w:rPr>
          <w:rFonts w:ascii="Garamond" w:hAnsi="Garamond"/>
          <w:sz w:val="24"/>
          <w:shd w:val="clear" w:color="auto" w:fill="FFFFFF"/>
        </w:rPr>
        <w:t>“</w:t>
      </w:r>
      <w:r w:rsidRPr="00913E39">
        <w:rPr>
          <w:rFonts w:ascii="Garamond" w:hAnsi="Garamond"/>
          <w:sz w:val="24"/>
          <w:shd w:val="clear" w:color="auto" w:fill="FFFFFF"/>
        </w:rPr>
        <w:t>Skënderbej</w:t>
      </w:r>
      <w:r w:rsidR="00C7273C" w:rsidRPr="00913E39">
        <w:rPr>
          <w:rFonts w:ascii="Garamond" w:hAnsi="Garamond"/>
          <w:sz w:val="24"/>
          <w:shd w:val="clear" w:color="auto" w:fill="FFFFFF"/>
        </w:rPr>
        <w:t>”</w:t>
      </w:r>
      <w:r w:rsidRPr="00913E39">
        <w:rPr>
          <w:rFonts w:ascii="Garamond" w:hAnsi="Garamond"/>
          <w:sz w:val="24"/>
          <w:shd w:val="clear" w:color="auto" w:fill="FFFFFF"/>
        </w:rPr>
        <w:t xml:space="preserve">, </w:t>
      </w:r>
      <w:r w:rsidR="00C7273C" w:rsidRPr="00913E39">
        <w:rPr>
          <w:rFonts w:ascii="Garamond" w:hAnsi="Garamond"/>
          <w:sz w:val="24"/>
          <w:shd w:val="clear" w:color="auto" w:fill="FFFFFF"/>
        </w:rPr>
        <w:t>s</w:t>
      </w:r>
      <w:r w:rsidRPr="00913E39">
        <w:rPr>
          <w:rFonts w:ascii="Garamond" w:hAnsi="Garamond"/>
          <w:sz w:val="24"/>
          <w:shd w:val="clear" w:color="auto" w:fill="FFFFFF"/>
        </w:rPr>
        <w:t xml:space="preserve">heshi </w:t>
      </w:r>
      <w:r w:rsidR="00C7273C" w:rsidRPr="00913E39">
        <w:rPr>
          <w:rFonts w:ascii="Garamond" w:hAnsi="Garamond"/>
          <w:sz w:val="24"/>
          <w:shd w:val="clear" w:color="auto" w:fill="FFFFFF"/>
        </w:rPr>
        <w:t>“</w:t>
      </w:r>
      <w:r w:rsidRPr="00913E39">
        <w:rPr>
          <w:rFonts w:ascii="Garamond" w:hAnsi="Garamond"/>
          <w:sz w:val="24"/>
          <w:shd w:val="clear" w:color="auto" w:fill="FFFFFF"/>
        </w:rPr>
        <w:t>Nënë Tereza</w:t>
      </w:r>
      <w:r w:rsidR="00C7273C" w:rsidRPr="00913E39">
        <w:rPr>
          <w:rFonts w:ascii="Garamond" w:hAnsi="Garamond"/>
          <w:sz w:val="24"/>
          <w:shd w:val="clear" w:color="auto" w:fill="FFFFFF"/>
        </w:rPr>
        <w:t>”</w:t>
      </w:r>
      <w:r w:rsidRPr="00913E39">
        <w:rPr>
          <w:rFonts w:ascii="Garamond" w:hAnsi="Garamond"/>
          <w:sz w:val="24"/>
          <w:shd w:val="clear" w:color="auto" w:fill="FFFFFF"/>
        </w:rPr>
        <w:t>)</w:t>
      </w:r>
    </w:p>
    <w:p w14:paraId="7FC94746" w14:textId="7803722B"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Në zonën e planifikuar të projektit pilot ndodhen Stadiumi i ri, Pallati i Kongreseve, sheshi </w:t>
      </w:r>
      <w:r w:rsidR="00C7273C" w:rsidRPr="00913E39">
        <w:rPr>
          <w:rFonts w:ascii="Garamond" w:hAnsi="Garamond"/>
          <w:sz w:val="24"/>
        </w:rPr>
        <w:t>“</w:t>
      </w:r>
      <w:r w:rsidRPr="00913E39">
        <w:rPr>
          <w:rFonts w:ascii="Garamond" w:hAnsi="Garamond"/>
          <w:sz w:val="24"/>
        </w:rPr>
        <w:t>Skënderbej</w:t>
      </w:r>
      <w:r w:rsidR="00C7273C" w:rsidRPr="00913E39">
        <w:rPr>
          <w:rFonts w:ascii="Garamond" w:hAnsi="Garamond"/>
          <w:sz w:val="24"/>
        </w:rPr>
        <w:t>”</w:t>
      </w:r>
      <w:r w:rsidRPr="00913E39">
        <w:rPr>
          <w:rFonts w:ascii="Garamond" w:hAnsi="Garamond"/>
          <w:sz w:val="24"/>
        </w:rPr>
        <w:t xml:space="preserve"> dhe sheshi </w:t>
      </w:r>
      <w:r w:rsidR="00C7273C" w:rsidRPr="00913E39">
        <w:rPr>
          <w:rFonts w:ascii="Garamond" w:hAnsi="Garamond"/>
          <w:sz w:val="24"/>
        </w:rPr>
        <w:t>“</w:t>
      </w:r>
      <w:r w:rsidRPr="00913E39">
        <w:rPr>
          <w:rFonts w:ascii="Garamond" w:hAnsi="Garamond"/>
          <w:sz w:val="24"/>
        </w:rPr>
        <w:t>Nënë Tereza</w:t>
      </w:r>
      <w:r w:rsidR="00C7273C" w:rsidRPr="00913E39">
        <w:rPr>
          <w:rFonts w:ascii="Garamond" w:hAnsi="Garamond"/>
          <w:sz w:val="24"/>
        </w:rPr>
        <w:t>”</w:t>
      </w:r>
      <w:r w:rsidRPr="00913E39">
        <w:rPr>
          <w:rFonts w:ascii="Garamond" w:hAnsi="Garamond"/>
          <w:sz w:val="24"/>
        </w:rPr>
        <w:t xml:space="preserve"> ku zhvillohen evente të mëdha. Këtu do të testohen përfitimet e reja që do të sjellë 5G për median dhe argëtimin. </w:t>
      </w:r>
    </w:p>
    <w:p w14:paraId="67C0390B" w14:textId="77777777" w:rsidR="00847F23" w:rsidRPr="00913E39" w:rsidRDefault="00847F23" w:rsidP="009926E9">
      <w:pPr>
        <w:spacing w:after="0" w:line="240" w:lineRule="auto"/>
        <w:ind w:firstLine="284"/>
        <w:jc w:val="both"/>
        <w:rPr>
          <w:rFonts w:ascii="Garamond" w:hAnsi="Garamond"/>
          <w:sz w:val="24"/>
          <w:shd w:val="clear" w:color="auto" w:fill="FFFFFF"/>
        </w:rPr>
      </w:pPr>
      <w:r w:rsidRPr="00913E39">
        <w:rPr>
          <w:rFonts w:ascii="Garamond" w:hAnsi="Garamond"/>
          <w:sz w:val="24"/>
        </w:rPr>
        <w:t xml:space="preserve">Me 5G, përdoruesit do të përjetojnë akses me </w:t>
      </w:r>
      <w:r w:rsidRPr="00913E39">
        <w:rPr>
          <w:rFonts w:ascii="Garamond" w:hAnsi="Garamond"/>
          <w:i/>
          <w:sz w:val="24"/>
        </w:rPr>
        <w:t>broadband</w:t>
      </w:r>
      <w:r w:rsidRPr="00913E39">
        <w:rPr>
          <w:rFonts w:ascii="Garamond" w:hAnsi="Garamond"/>
          <w:sz w:val="24"/>
        </w:rPr>
        <w:t xml:space="preserve"> në zona të mbushura me njerëz si gjatë koncerteve, ngjarjeve sportive dhe festivaleve, duke lehtësuar problemet me kapacitetin, ndërhyrjen dhe besueshmërinë. Kjo nuk ka të bëjë më vetëm me të kuptuarin e lojës së madhe, por edhe me shfrytëzimin e përvojave unike dhe argëtuese brenda dhe përreth vendit të ngjarjes. Në zhvillimet e sotme me </w:t>
      </w:r>
      <w:r w:rsidRPr="00913E39">
        <w:rPr>
          <w:rFonts w:ascii="Garamond" w:hAnsi="Garamond"/>
          <w:sz w:val="24"/>
        </w:rPr>
        <w:lastRenderedPageBreak/>
        <w:t>përdorim të kombinuar, ambientet sportive ofrojnë një qendër për argëtim dhe mbledhje gjatë gjithë vitit – edhe në ditët kur nuk ka ngjarje sportive. </w:t>
      </w:r>
    </w:p>
    <w:p w14:paraId="54595B7F" w14:textId="77777777" w:rsidR="00847F23" w:rsidRPr="00913E39" w:rsidRDefault="00847F23" w:rsidP="009926E9">
      <w:pPr>
        <w:spacing w:after="0" w:line="240" w:lineRule="auto"/>
        <w:ind w:firstLine="284"/>
        <w:jc w:val="both"/>
        <w:rPr>
          <w:rFonts w:ascii="Garamond" w:hAnsi="Garamond"/>
          <w:sz w:val="24"/>
          <w:shd w:val="clear" w:color="auto" w:fill="FFFFFF"/>
        </w:rPr>
      </w:pPr>
      <w:r w:rsidRPr="00913E39">
        <w:rPr>
          <w:rFonts w:ascii="Garamond" w:hAnsi="Garamond"/>
          <w:b/>
          <w:sz w:val="24"/>
          <w:shd w:val="clear" w:color="auto" w:fill="FFFFFF"/>
        </w:rPr>
        <w:t xml:space="preserve">Mundësimi i transportit </w:t>
      </w:r>
      <w:r w:rsidRPr="00913E39">
        <w:rPr>
          <w:rFonts w:ascii="Garamond" w:hAnsi="Garamond"/>
          <w:b/>
          <w:i/>
          <w:sz w:val="24"/>
          <w:shd w:val="clear" w:color="auto" w:fill="FFFFFF"/>
        </w:rPr>
        <w:t>smart</w:t>
      </w:r>
      <w:r w:rsidRPr="00913E39">
        <w:rPr>
          <w:rFonts w:ascii="Garamond" w:hAnsi="Garamond"/>
          <w:b/>
          <w:sz w:val="24"/>
          <w:shd w:val="clear" w:color="auto" w:fill="FFFFFF"/>
        </w:rPr>
        <w:t xml:space="preserve"> në qytet</w:t>
      </w:r>
      <w:r w:rsidRPr="00913E39">
        <w:rPr>
          <w:rFonts w:ascii="Garamond" w:hAnsi="Garamond"/>
          <w:sz w:val="24"/>
          <w:shd w:val="clear" w:color="auto" w:fill="FFFFFF"/>
        </w:rPr>
        <w:t xml:space="preserve"> (stacionet e autobusëve dhe rrugët lokale të autobusëve nëpërmjet bulevardeve)</w:t>
      </w:r>
    </w:p>
    <w:p w14:paraId="031804B0"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shd w:val="clear" w:color="auto" w:fill="FFFFFF"/>
        </w:rPr>
        <w:t xml:space="preserve">Transporti digjital është një nga rastet më tërheqëse të përdorimit në vizionet e qyteteve digjitalë. </w:t>
      </w:r>
      <w:r w:rsidRPr="00913E39">
        <w:rPr>
          <w:rFonts w:ascii="Garamond" w:hAnsi="Garamond"/>
          <w:sz w:val="24"/>
        </w:rPr>
        <w:t>Zhvillimi i sistemeve më të mira për menaxhimin e transportit dhe promovimin e efikasitetit është thelbësor për ekonomitë moderne. Transporti është një komponent kryesor i jetës urbane dhe zhvillimit ekonomik. Pa mënyra më efikase dhe efektive për ta trajtuar atë, vendet nuk do të jenë në gjendje të arrijnë përfitimet mjedisore dhe ekonomike që dëshirojnë.</w:t>
      </w:r>
    </w:p>
    <w:p w14:paraId="4B78767B"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shd w:val="clear" w:color="auto" w:fill="FFFFFF"/>
        </w:rPr>
        <w:t>Teknologjia 5G ka potencialin të ofrojë vizibilitet dhe kontroll më të madh mbi sistemet e transportit. Vonesat e pakta, kapaciteti i lartë dhe besueshmëria do të përmirësojnë mënyrën se si udhëtojnë mallrat dhe njerëzit.</w:t>
      </w:r>
    </w:p>
    <w:p w14:paraId="67661C68" w14:textId="77777777" w:rsidR="00847F23" w:rsidRPr="00913E39" w:rsidRDefault="00847F23" w:rsidP="009926E9">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Për këtë rast përdorimi për qytetin e Tiranës do të përdoren:</w:t>
      </w:r>
    </w:p>
    <w:p w14:paraId="535CBCD0" w14:textId="5890BDF2" w:rsidR="00847F23" w:rsidRPr="00913E39" w:rsidRDefault="00847F23" w:rsidP="009926E9">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xml:space="preserve">- </w:t>
      </w:r>
      <w:r w:rsidR="00C7273C" w:rsidRPr="00913E39">
        <w:rPr>
          <w:rFonts w:ascii="Garamond" w:hAnsi="Garamond"/>
          <w:sz w:val="24"/>
          <w:shd w:val="clear" w:color="auto" w:fill="FFFFFF"/>
        </w:rPr>
        <w:t>a</w:t>
      </w:r>
      <w:r w:rsidRPr="00913E39">
        <w:rPr>
          <w:rFonts w:ascii="Garamond" w:hAnsi="Garamond"/>
          <w:sz w:val="24"/>
          <w:shd w:val="clear" w:color="auto" w:fill="FFFFFF"/>
        </w:rPr>
        <w:t>utobusët dhe stacionet e autobusëve të lidhur, që ofrojnë të dhëna në kohë reale për oraret e mbërritjes së autobusëve</w:t>
      </w:r>
      <w:r w:rsidR="00C7273C" w:rsidRPr="00913E39">
        <w:rPr>
          <w:rFonts w:ascii="Garamond" w:hAnsi="Garamond"/>
          <w:sz w:val="24"/>
          <w:shd w:val="clear" w:color="auto" w:fill="FFFFFF"/>
        </w:rPr>
        <w:t>;</w:t>
      </w:r>
    </w:p>
    <w:p w14:paraId="27C45B25" w14:textId="6D5917A5" w:rsidR="00847F23" w:rsidRPr="00913E39" w:rsidRDefault="00847F23" w:rsidP="009926E9">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 biletat elektronike</w:t>
      </w:r>
      <w:r w:rsidR="00C7273C" w:rsidRPr="00913E39">
        <w:rPr>
          <w:rFonts w:ascii="Garamond" w:hAnsi="Garamond"/>
          <w:sz w:val="24"/>
          <w:shd w:val="clear" w:color="auto" w:fill="FFFFFF"/>
        </w:rPr>
        <w:t>;</w:t>
      </w:r>
    </w:p>
    <w:p w14:paraId="32E95D47" w14:textId="77777777" w:rsidR="00847F23" w:rsidRPr="00913E39" w:rsidRDefault="00847F23" w:rsidP="009926E9">
      <w:pPr>
        <w:spacing w:after="0" w:line="240" w:lineRule="auto"/>
        <w:ind w:firstLine="284"/>
        <w:jc w:val="both"/>
        <w:rPr>
          <w:rFonts w:ascii="Garamond" w:hAnsi="Garamond"/>
          <w:sz w:val="24"/>
          <w:shd w:val="clear" w:color="auto" w:fill="FFFFFF"/>
        </w:rPr>
      </w:pPr>
      <w:r w:rsidRPr="00913E39">
        <w:rPr>
          <w:rFonts w:ascii="Garamond" w:hAnsi="Garamond"/>
          <w:sz w:val="24"/>
          <w:shd w:val="clear" w:color="auto" w:fill="FFFFFF"/>
        </w:rPr>
        <w:t>-</w:t>
      </w:r>
      <w:r w:rsidRPr="00913E39">
        <w:rPr>
          <w:rFonts w:ascii="Garamond" w:hAnsi="Garamond"/>
          <w:sz w:val="24"/>
        </w:rPr>
        <w:t xml:space="preserve"> të dhëna anonime, agregate për të informuar modelin e tij më të gjerë të transportit, duke e ndihmuar që të kuptojë tendencat se si dhe kur njerëzit udhëtojnë nëpër qytet dhe për të përshtatur sistemet dhe oraret e sistemit të transportit sipas rastit. Në të ardhmen, mbledhja e këtyre të dhënave në kohë reale do të ndihmojë në reduktimin e mëtejshëm të mbipopullimit.</w:t>
      </w:r>
    </w:p>
    <w:p w14:paraId="3DAC4788" w14:textId="25E736CD" w:rsidR="00847F23" w:rsidRPr="00913E39" w:rsidRDefault="004E3A56" w:rsidP="009926E9">
      <w:pPr>
        <w:spacing w:after="0" w:line="240" w:lineRule="auto"/>
        <w:ind w:firstLine="284"/>
        <w:jc w:val="both"/>
        <w:rPr>
          <w:rFonts w:ascii="Garamond" w:hAnsi="Garamond"/>
          <w:sz w:val="24"/>
        </w:rPr>
      </w:pPr>
      <w:r w:rsidRPr="00913E39">
        <w:rPr>
          <w:rFonts w:ascii="Garamond" w:hAnsi="Garamond"/>
          <w:b/>
          <w:sz w:val="24"/>
        </w:rPr>
        <w:t>S</w:t>
      </w:r>
      <w:r w:rsidR="00847F23" w:rsidRPr="00913E39">
        <w:rPr>
          <w:rFonts w:ascii="Garamond" w:hAnsi="Garamond"/>
          <w:b/>
          <w:sz w:val="24"/>
        </w:rPr>
        <w:t>hëndeti</w:t>
      </w:r>
      <w:r w:rsidRPr="00913E39">
        <w:rPr>
          <w:rFonts w:ascii="Garamond" w:hAnsi="Garamond"/>
          <w:b/>
          <w:sz w:val="24"/>
        </w:rPr>
        <w:t xml:space="preserve"> </w:t>
      </w:r>
      <w:r w:rsidR="00847F23" w:rsidRPr="00913E39">
        <w:rPr>
          <w:rFonts w:ascii="Garamond" w:hAnsi="Garamond"/>
          <w:b/>
          <w:sz w:val="24"/>
        </w:rPr>
        <w:t>digjital</w:t>
      </w:r>
      <w:r w:rsidR="00847F23" w:rsidRPr="00913E39">
        <w:rPr>
          <w:rFonts w:ascii="Garamond" w:hAnsi="Garamond"/>
          <w:sz w:val="24"/>
        </w:rPr>
        <w:t xml:space="preserve"> (Materniteti në Bulevardin </w:t>
      </w:r>
      <w:r w:rsidR="00850FC7" w:rsidRPr="00913E39">
        <w:rPr>
          <w:rFonts w:ascii="Garamond" w:hAnsi="Garamond"/>
          <w:sz w:val="24"/>
        </w:rPr>
        <w:t>“</w:t>
      </w:r>
      <w:r w:rsidR="00847F23" w:rsidRPr="00913E39">
        <w:rPr>
          <w:rFonts w:ascii="Garamond" w:hAnsi="Garamond"/>
          <w:sz w:val="24"/>
        </w:rPr>
        <w:t>Zogu I</w:t>
      </w:r>
      <w:r w:rsidR="00850FC7" w:rsidRPr="00913E39">
        <w:rPr>
          <w:rFonts w:ascii="Garamond" w:hAnsi="Garamond"/>
          <w:sz w:val="24"/>
        </w:rPr>
        <w:t>”</w:t>
      </w:r>
      <w:r w:rsidR="00847F23" w:rsidRPr="00913E39">
        <w:rPr>
          <w:rFonts w:ascii="Garamond" w:hAnsi="Garamond"/>
          <w:sz w:val="24"/>
        </w:rPr>
        <w:t>)</w:t>
      </w:r>
    </w:p>
    <w:p w14:paraId="154104F9"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Falë reagimit dhe shpejtësisë së saj, teknologjia e aktivizuar me 5G do të mundësojë përmirësime në imazhet e telekujdesit dhe teleshëndetësisë dhe mbledhjen, grumbullimin dhe analizimin e të dhënave.</w:t>
      </w:r>
    </w:p>
    <w:p w14:paraId="7A6892C1" w14:textId="64E95AEB"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 xml:space="preserve">Lidhja 5G do të mundësojë përdorimin në shkallë të gjerë të videokonferencave teleshëndetësore me cilësi të lartë, duke i lejuar njerëzit të kryejnë konsultime me telefonat ose pajisjet e tyre smart. Ai gjithashtu do të sigurojë lidhje të besueshme dhe të sigurt që do të mundësojë përdorimin në shkallë të gjerë të pajisjeve të monitorimit digjitalizimit </w:t>
      </w:r>
      <w:r w:rsidR="00C7273C" w:rsidRPr="00913E39">
        <w:rPr>
          <w:rFonts w:ascii="Garamond" w:hAnsi="Garamond"/>
          <w:sz w:val="24"/>
        </w:rPr>
        <w:t>shëndetësor</w:t>
      </w:r>
      <w:r w:rsidRPr="00913E39">
        <w:rPr>
          <w:rFonts w:ascii="Garamond" w:hAnsi="Garamond"/>
          <w:sz w:val="24"/>
        </w:rPr>
        <w:t>.</w:t>
      </w:r>
    </w:p>
    <w:p w14:paraId="18D2EF33" w14:textId="4F9E411D"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Nëpërmjet aplikacioneve të veçanta të kujdesit shëndetësor digjital në pajisjet e lëvizshme do të mundësohet monitorimi në distancë i shëndetit të nënës dhe fëmijës dhe kryerja e konsultave me mjekë dhe specialistë. Ky rast përdorimi mund të përdoret si përparim i përhapjes së 5G në zonat rurale, të cilave u mungojnë shërbime të specializuara dhe janë të vështira për t</w:t>
      </w:r>
      <w:r w:rsidR="005222A5" w:rsidRPr="00913E39">
        <w:rPr>
          <w:rFonts w:ascii="Garamond" w:hAnsi="Garamond"/>
          <w:sz w:val="24"/>
        </w:rPr>
        <w:t>’</w:t>
      </w:r>
      <w:r w:rsidRPr="00913E39">
        <w:rPr>
          <w:rFonts w:ascii="Garamond" w:hAnsi="Garamond"/>
          <w:sz w:val="24"/>
        </w:rPr>
        <w:t xml:space="preserve">u aksesuar, veçanërisht gjatë dimrit. </w:t>
      </w:r>
    </w:p>
    <w:p w14:paraId="6F2F3F62"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Qëllimet e këtij projekti pilot:</w:t>
      </w:r>
    </w:p>
    <w:p w14:paraId="029F73DD" w14:textId="2025BADD" w:rsidR="00847F23" w:rsidRPr="00913E39" w:rsidRDefault="00421586" w:rsidP="009926E9">
      <w:pPr>
        <w:spacing w:after="0" w:line="240" w:lineRule="auto"/>
        <w:ind w:firstLine="284"/>
        <w:contextualSpacing/>
        <w:jc w:val="both"/>
        <w:rPr>
          <w:rFonts w:ascii="Garamond" w:hAnsi="Garamond"/>
          <w:sz w:val="24"/>
        </w:rPr>
      </w:pPr>
      <w:r w:rsidRPr="00913E39">
        <w:rPr>
          <w:rFonts w:ascii="Garamond" w:hAnsi="Garamond"/>
          <w:sz w:val="24"/>
        </w:rPr>
        <w:t xml:space="preserve">- </w:t>
      </w:r>
      <w:r w:rsidR="00C7273C" w:rsidRPr="00913E39">
        <w:rPr>
          <w:rFonts w:ascii="Garamond" w:hAnsi="Garamond"/>
          <w:sz w:val="24"/>
        </w:rPr>
        <w:t>t</w:t>
      </w:r>
      <w:r w:rsidR="00847F23" w:rsidRPr="00913E39">
        <w:rPr>
          <w:rFonts w:ascii="Garamond" w:hAnsi="Garamond"/>
          <w:sz w:val="24"/>
        </w:rPr>
        <w:t>ë stimulojë zhvillimin e tregut dhe përdorimin e teknologjisë dhe infrastrukturës 5G në Shqipëri</w:t>
      </w:r>
      <w:r w:rsidR="00C7273C" w:rsidRPr="00913E39">
        <w:rPr>
          <w:rFonts w:ascii="Garamond" w:hAnsi="Garamond"/>
          <w:sz w:val="24"/>
        </w:rPr>
        <w:t>;</w:t>
      </w:r>
    </w:p>
    <w:p w14:paraId="3A2C9012" w14:textId="77777777" w:rsidR="00847F23" w:rsidRPr="00913E39" w:rsidRDefault="00421586" w:rsidP="009926E9">
      <w:pPr>
        <w:spacing w:after="0" w:line="240" w:lineRule="auto"/>
        <w:ind w:firstLine="284"/>
        <w:contextualSpacing/>
        <w:jc w:val="both"/>
        <w:rPr>
          <w:rFonts w:ascii="Garamond" w:hAnsi="Garamond"/>
          <w:sz w:val="24"/>
        </w:rPr>
      </w:pPr>
      <w:r w:rsidRPr="00913E39">
        <w:rPr>
          <w:rFonts w:ascii="Garamond" w:hAnsi="Garamond"/>
          <w:sz w:val="24"/>
        </w:rPr>
        <w:t xml:space="preserve">- </w:t>
      </w:r>
      <w:r w:rsidR="00847F23" w:rsidRPr="00913E39">
        <w:rPr>
          <w:rFonts w:ascii="Garamond" w:hAnsi="Garamond"/>
          <w:sz w:val="24"/>
        </w:rPr>
        <w:t>të krijojë</w:t>
      </w:r>
      <w:hyperlink r:id="rId47" w:anchor="page=153" w:history="1">
        <w:r w:rsidR="00847F23" w:rsidRPr="00913E39">
          <w:rPr>
            <w:rFonts w:ascii="Garamond" w:hAnsi="Garamond"/>
            <w:sz w:val="24"/>
            <w:bdr w:val="none" w:sz="0" w:space="0" w:color="auto" w:frame="1"/>
          </w:rPr>
          <w:t xml:space="preserve"> </w:t>
        </w:r>
        <w:r w:rsidR="00847F23" w:rsidRPr="00913E39">
          <w:rPr>
            <w:rFonts w:ascii="Garamond" w:hAnsi="Garamond"/>
            <w:sz w:val="24"/>
            <w:u w:val="single"/>
            <w:bdr w:val="none" w:sz="0" w:space="0" w:color="auto" w:frame="1"/>
          </w:rPr>
          <w:t>mundësi të reja për bizneset</w:t>
        </w:r>
      </w:hyperlink>
      <w:r w:rsidR="00847F23" w:rsidRPr="00913E39">
        <w:rPr>
          <w:rFonts w:ascii="Garamond" w:hAnsi="Garamond"/>
          <w:sz w:val="24"/>
        </w:rPr>
        <w:t>, duke zhvilluar aftësi dhe kapacitete dhe duke inkurajuar investimet e brendshme</w:t>
      </w:r>
    </w:p>
    <w:p w14:paraId="5A9FD184"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Projektet pilot do të ndihmojnë për të kuptuar sfidat e përdorimit të teknologjive të reja sipas standardeve ndërkombëtare në zhvillim për rrjetet e ardhshme 5G. Testimi i aplikacioneve 5G do të ndihmojë në të provuarin e aplikacioneve të ndryshme (rastet e përdorimit), duke i sjellë idetë më afër qëndrueshmërisë komerciale për tregjet e ardhshme.</w:t>
      </w:r>
    </w:p>
    <w:p w14:paraId="403590AA" w14:textId="77777777"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Projekti do të ndjekë fazat e mëposhtme:</w:t>
      </w:r>
    </w:p>
    <w:p w14:paraId="61FBB02F" w14:textId="70296C38"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Faza 1</w:t>
      </w:r>
      <w:r w:rsidR="00C7273C" w:rsidRPr="00913E39">
        <w:rPr>
          <w:rFonts w:ascii="Garamond" w:hAnsi="Garamond"/>
          <w:sz w:val="24"/>
        </w:rPr>
        <w:t>.</w:t>
      </w:r>
      <w:r w:rsidRPr="00913E39">
        <w:rPr>
          <w:rFonts w:ascii="Garamond" w:hAnsi="Garamond"/>
          <w:sz w:val="24"/>
        </w:rPr>
        <w:t xml:space="preserve"> Identifikimi i rastit të përdorimit</w:t>
      </w:r>
      <w:r w:rsidR="00C7273C" w:rsidRPr="00913E39">
        <w:rPr>
          <w:rFonts w:ascii="Garamond" w:hAnsi="Garamond"/>
          <w:sz w:val="24"/>
        </w:rPr>
        <w:t>;</w:t>
      </w:r>
    </w:p>
    <w:p w14:paraId="0FA2E088" w14:textId="00299DB4"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Faza 2</w:t>
      </w:r>
      <w:r w:rsidR="00C7273C" w:rsidRPr="00913E39">
        <w:rPr>
          <w:rFonts w:ascii="Garamond" w:hAnsi="Garamond"/>
          <w:sz w:val="24"/>
        </w:rPr>
        <w:t>.</w:t>
      </w:r>
      <w:r w:rsidRPr="00913E39">
        <w:rPr>
          <w:rFonts w:ascii="Garamond" w:hAnsi="Garamond"/>
          <w:sz w:val="24"/>
        </w:rPr>
        <w:t xml:space="preserve"> Projektimi për të hapur rrugën për zbatimin e rasteve të përdorimit</w:t>
      </w:r>
      <w:r w:rsidR="00C7273C" w:rsidRPr="00913E39">
        <w:rPr>
          <w:rFonts w:ascii="Garamond" w:hAnsi="Garamond"/>
          <w:sz w:val="24"/>
        </w:rPr>
        <w:t>;</w:t>
      </w:r>
      <w:r w:rsidRPr="00913E39">
        <w:rPr>
          <w:rFonts w:ascii="Garamond" w:hAnsi="Garamond"/>
          <w:sz w:val="24"/>
        </w:rPr>
        <w:t xml:space="preserve"> </w:t>
      </w:r>
    </w:p>
    <w:p w14:paraId="768C72A2" w14:textId="3D36BA8C"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Faza 3</w:t>
      </w:r>
      <w:r w:rsidR="00C7273C" w:rsidRPr="00913E39">
        <w:rPr>
          <w:rFonts w:ascii="Garamond" w:hAnsi="Garamond"/>
          <w:sz w:val="24"/>
        </w:rPr>
        <w:t>.</w:t>
      </w:r>
      <w:r w:rsidRPr="00913E39">
        <w:rPr>
          <w:rFonts w:ascii="Garamond" w:hAnsi="Garamond"/>
          <w:sz w:val="24"/>
        </w:rPr>
        <w:t xml:space="preserve"> Konceptimi i rasteve të përdorimit bazuar në demonstrime dhe simulime</w:t>
      </w:r>
      <w:r w:rsidR="00C7273C" w:rsidRPr="00913E39">
        <w:rPr>
          <w:rFonts w:ascii="Garamond" w:hAnsi="Garamond"/>
          <w:sz w:val="24"/>
        </w:rPr>
        <w:t>;</w:t>
      </w:r>
    </w:p>
    <w:p w14:paraId="051697A8" w14:textId="69C5138F"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Faza 4</w:t>
      </w:r>
      <w:r w:rsidR="00C7273C" w:rsidRPr="00913E39">
        <w:rPr>
          <w:rFonts w:ascii="Garamond" w:hAnsi="Garamond"/>
          <w:sz w:val="24"/>
        </w:rPr>
        <w:t>.</w:t>
      </w:r>
      <w:r w:rsidRPr="00913E39">
        <w:rPr>
          <w:rFonts w:ascii="Garamond" w:hAnsi="Garamond"/>
          <w:sz w:val="24"/>
        </w:rPr>
        <w:t xml:space="preserve"> Sigurimi i provës së konceptit, ndërveprueshmërisë dhe testimit pilot.</w:t>
      </w:r>
    </w:p>
    <w:p w14:paraId="4EC4C399" w14:textId="59C1B37C" w:rsidR="00847F23" w:rsidRPr="00913E39" w:rsidRDefault="00847F23" w:rsidP="009926E9">
      <w:pPr>
        <w:spacing w:after="0" w:line="240" w:lineRule="auto"/>
        <w:ind w:firstLine="284"/>
        <w:jc w:val="both"/>
        <w:rPr>
          <w:rFonts w:ascii="Garamond" w:hAnsi="Garamond"/>
          <w:sz w:val="24"/>
        </w:rPr>
      </w:pPr>
      <w:r w:rsidRPr="00913E39">
        <w:rPr>
          <w:rFonts w:ascii="Garamond" w:hAnsi="Garamond"/>
          <w:sz w:val="24"/>
        </w:rPr>
        <w:t>Qëllimi i këtyre projekteve pilot do të jetë kërkimi, zhvillimi dhe komercializimi paraprak i atyre rrjeteve 5G, duke synuar simulimin në masë të operacioneve të rrjetit celular të drejtpërdrejtë. Projektet pilot duhet të japin mësime të rëndësishme, të adresojnë sfidat teknike, të lehtësojnë krijimin e një ekosistemi 5G dhe të sigurojnë vendosjen me kosto efektive dhe në kohë të rrjetit të ardhshëm mbarëkombëtar. Efikasiteti dhe produktiviteti i përdoruesve fundorë pritet të përmirësohet nëpërmjet këtij ushtrimi dhe pritet të shfaqen aplikacione dhe shërbime të reja. Për këtë qëllim, të gjithë aktorët ekzistues të ekosistemit do të duhet të luajnë një rol aktiv dhe të bashkëpunojnë gjatë zbatimit të projekteve pilotëve dhe aktorët e rinj do t</w:t>
      </w:r>
      <w:r w:rsidR="005222A5" w:rsidRPr="00913E39">
        <w:rPr>
          <w:rFonts w:ascii="Garamond" w:hAnsi="Garamond"/>
          <w:sz w:val="24"/>
        </w:rPr>
        <w:t>’</w:t>
      </w:r>
      <w:r w:rsidRPr="00913E39">
        <w:rPr>
          <w:rFonts w:ascii="Garamond" w:hAnsi="Garamond"/>
          <w:sz w:val="24"/>
        </w:rPr>
        <w:t>i bashkohen zinxhirit të vlerës. Bashkitë dhe organizatat e tjera të sektorit publik pritet të jenë të interesuara për mundësitë që do të shfaqin këto projekte pilot.</w:t>
      </w:r>
    </w:p>
    <w:p w14:paraId="6D90ADEE" w14:textId="77777777" w:rsidR="004F525C" w:rsidRPr="00913E39" w:rsidRDefault="004F525C" w:rsidP="009926E9">
      <w:pPr>
        <w:spacing w:after="0" w:line="240" w:lineRule="auto"/>
        <w:ind w:firstLine="284"/>
        <w:jc w:val="both"/>
        <w:rPr>
          <w:rFonts w:ascii="Garamond" w:hAnsi="Garamond"/>
          <w:b/>
          <w:sz w:val="24"/>
        </w:rPr>
      </w:pPr>
    </w:p>
    <w:p w14:paraId="008F96CD" w14:textId="33233867" w:rsidR="00E06606" w:rsidRPr="00913E39" w:rsidRDefault="00E06606" w:rsidP="00E06606">
      <w:pPr>
        <w:spacing w:after="0" w:line="240" w:lineRule="auto"/>
        <w:ind w:firstLine="284"/>
        <w:jc w:val="center"/>
        <w:rPr>
          <w:rFonts w:ascii="Garamond" w:hAnsi="Garamond"/>
          <w:sz w:val="24"/>
        </w:rPr>
      </w:pPr>
      <w:r w:rsidRPr="00913E39">
        <w:rPr>
          <w:rFonts w:ascii="Garamond" w:hAnsi="Garamond"/>
          <w:sz w:val="24"/>
        </w:rPr>
        <w:t>ANEKSI 3</w:t>
      </w:r>
    </w:p>
    <w:p w14:paraId="1ADA4B1E" w14:textId="2676F488" w:rsidR="00847F23" w:rsidRPr="00913E39" w:rsidRDefault="00E06606" w:rsidP="00E06606">
      <w:pPr>
        <w:spacing w:after="0" w:line="240" w:lineRule="auto"/>
        <w:ind w:firstLine="284"/>
        <w:jc w:val="center"/>
        <w:rPr>
          <w:rFonts w:ascii="Garamond" w:hAnsi="Garamond"/>
          <w:sz w:val="24"/>
        </w:rPr>
      </w:pPr>
      <w:r w:rsidRPr="00913E39">
        <w:rPr>
          <w:rFonts w:ascii="Garamond" w:hAnsi="Garamond"/>
          <w:sz w:val="24"/>
        </w:rPr>
        <w:t>LISTA E SHKURTIMEVE</w:t>
      </w:r>
    </w:p>
    <w:p w14:paraId="3C8FCB77" w14:textId="77777777" w:rsidR="00E06606" w:rsidRPr="00913E39" w:rsidRDefault="00E06606" w:rsidP="00E06606">
      <w:pPr>
        <w:spacing w:after="0" w:line="240" w:lineRule="auto"/>
        <w:ind w:firstLine="284"/>
        <w:jc w:val="center"/>
        <w:rPr>
          <w:rFonts w:ascii="Garamond" w:hAnsi="Garamond"/>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4"/>
        <w:gridCol w:w="7690"/>
        <w:gridCol w:w="26"/>
      </w:tblGrid>
      <w:tr w:rsidR="00847F23" w:rsidRPr="00913E39" w14:paraId="27FA58D4" w14:textId="77777777" w:rsidTr="004F525C">
        <w:trPr>
          <w:trHeight w:val="20"/>
        </w:trPr>
        <w:tc>
          <w:tcPr>
            <w:tcW w:w="1344" w:type="dxa"/>
            <w:shd w:val="clear" w:color="auto" w:fill="auto"/>
          </w:tcPr>
          <w:p w14:paraId="43806D8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3G</w:t>
            </w:r>
          </w:p>
        </w:tc>
        <w:tc>
          <w:tcPr>
            <w:tcW w:w="7716" w:type="dxa"/>
            <w:gridSpan w:val="2"/>
            <w:shd w:val="clear" w:color="auto" w:fill="auto"/>
          </w:tcPr>
          <w:p w14:paraId="30F7A82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Gjenerata e tretë e teknologjisë celulare </w:t>
            </w:r>
            <w:r w:rsidRPr="00913E39">
              <w:rPr>
                <w:rFonts w:ascii="Garamond" w:hAnsi="Garamond"/>
                <w:i/>
                <w:sz w:val="18"/>
              </w:rPr>
              <w:t>wireless</w:t>
            </w:r>
          </w:p>
        </w:tc>
      </w:tr>
      <w:tr w:rsidR="00847F23" w:rsidRPr="00913E39" w14:paraId="316816A7" w14:textId="77777777" w:rsidTr="004F525C">
        <w:trPr>
          <w:trHeight w:val="20"/>
        </w:trPr>
        <w:tc>
          <w:tcPr>
            <w:tcW w:w="1344" w:type="dxa"/>
            <w:shd w:val="clear" w:color="auto" w:fill="auto"/>
          </w:tcPr>
          <w:p w14:paraId="4A2E782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4G</w:t>
            </w:r>
          </w:p>
        </w:tc>
        <w:tc>
          <w:tcPr>
            <w:tcW w:w="7716" w:type="dxa"/>
            <w:gridSpan w:val="2"/>
            <w:shd w:val="clear" w:color="auto" w:fill="auto"/>
          </w:tcPr>
          <w:p w14:paraId="73C3964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Gjenerata e katërt e teknologjisë celulare </w:t>
            </w:r>
            <w:r w:rsidRPr="00913E39">
              <w:rPr>
                <w:rFonts w:ascii="Garamond" w:hAnsi="Garamond"/>
                <w:i/>
                <w:sz w:val="18"/>
              </w:rPr>
              <w:t>wireless</w:t>
            </w:r>
          </w:p>
        </w:tc>
      </w:tr>
      <w:tr w:rsidR="00847F23" w:rsidRPr="00913E39" w14:paraId="5F9FB400" w14:textId="77777777" w:rsidTr="004F525C">
        <w:trPr>
          <w:trHeight w:val="20"/>
        </w:trPr>
        <w:tc>
          <w:tcPr>
            <w:tcW w:w="1344" w:type="dxa"/>
            <w:shd w:val="clear" w:color="auto" w:fill="auto"/>
          </w:tcPr>
          <w:p w14:paraId="0139D2D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5G</w:t>
            </w:r>
          </w:p>
        </w:tc>
        <w:tc>
          <w:tcPr>
            <w:tcW w:w="7716" w:type="dxa"/>
            <w:gridSpan w:val="2"/>
            <w:shd w:val="clear" w:color="auto" w:fill="auto"/>
          </w:tcPr>
          <w:p w14:paraId="22598713" w14:textId="4EF889AA"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Gjenerata e pestë e teknologjisë celulare </w:t>
            </w:r>
            <w:r w:rsidRPr="00913E39">
              <w:rPr>
                <w:rFonts w:ascii="Garamond" w:hAnsi="Garamond"/>
                <w:i/>
                <w:sz w:val="18"/>
              </w:rPr>
              <w:t>wireless</w:t>
            </w:r>
          </w:p>
        </w:tc>
      </w:tr>
      <w:tr w:rsidR="00847F23" w:rsidRPr="00913E39" w14:paraId="3E98B43C" w14:textId="77777777" w:rsidTr="004F525C">
        <w:trPr>
          <w:trHeight w:val="20"/>
        </w:trPr>
        <w:tc>
          <w:tcPr>
            <w:tcW w:w="1344" w:type="dxa"/>
            <w:shd w:val="clear" w:color="auto" w:fill="auto"/>
          </w:tcPr>
          <w:p w14:paraId="0CC9500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AADF</w:t>
            </w:r>
          </w:p>
        </w:tc>
        <w:tc>
          <w:tcPr>
            <w:tcW w:w="7716" w:type="dxa"/>
            <w:gridSpan w:val="2"/>
            <w:shd w:val="clear" w:color="auto" w:fill="auto"/>
          </w:tcPr>
          <w:p w14:paraId="220F436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Fondacioni Shqiptaro-Amerikan për Zhvillim</w:t>
            </w:r>
          </w:p>
        </w:tc>
      </w:tr>
      <w:tr w:rsidR="00847F23" w:rsidRPr="00913E39" w14:paraId="2DC40E2E" w14:textId="77777777" w:rsidTr="004F525C">
        <w:trPr>
          <w:trHeight w:val="20"/>
        </w:trPr>
        <w:tc>
          <w:tcPr>
            <w:tcW w:w="1344" w:type="dxa"/>
            <w:shd w:val="clear" w:color="auto" w:fill="auto"/>
          </w:tcPr>
          <w:p w14:paraId="03472D0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LAAD</w:t>
            </w:r>
          </w:p>
        </w:tc>
        <w:tc>
          <w:tcPr>
            <w:tcW w:w="7716" w:type="dxa"/>
            <w:gridSpan w:val="2"/>
            <w:shd w:val="clear" w:color="auto" w:fill="auto"/>
          </w:tcPr>
          <w:p w14:paraId="5C97271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Linja Asimetrike e Abonentit Digjital</w:t>
            </w:r>
          </w:p>
        </w:tc>
      </w:tr>
      <w:tr w:rsidR="00847F23" w:rsidRPr="00913E39" w14:paraId="3A6FE496" w14:textId="77777777" w:rsidTr="004F525C">
        <w:trPr>
          <w:trHeight w:val="20"/>
        </w:trPr>
        <w:tc>
          <w:tcPr>
            <w:tcW w:w="1344" w:type="dxa"/>
            <w:shd w:val="clear" w:color="auto" w:fill="auto"/>
          </w:tcPr>
          <w:p w14:paraId="5560BD3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AEOI</w:t>
            </w:r>
          </w:p>
        </w:tc>
        <w:tc>
          <w:tcPr>
            <w:tcW w:w="7716" w:type="dxa"/>
            <w:gridSpan w:val="2"/>
            <w:shd w:val="clear" w:color="auto" w:fill="auto"/>
          </w:tcPr>
          <w:p w14:paraId="7B48FF1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Shkëmbimi Automatik i Informacionit Financiar të Llogarive</w:t>
            </w:r>
          </w:p>
        </w:tc>
      </w:tr>
      <w:tr w:rsidR="00847F23" w:rsidRPr="00913E39" w14:paraId="313FD392" w14:textId="77777777" w:rsidTr="004F525C">
        <w:trPr>
          <w:trHeight w:val="20"/>
        </w:trPr>
        <w:tc>
          <w:tcPr>
            <w:tcW w:w="1344" w:type="dxa"/>
            <w:shd w:val="clear" w:color="auto" w:fill="auto"/>
          </w:tcPr>
          <w:p w14:paraId="71A11B7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AI</w:t>
            </w:r>
          </w:p>
        </w:tc>
        <w:tc>
          <w:tcPr>
            <w:tcW w:w="7716" w:type="dxa"/>
            <w:gridSpan w:val="2"/>
            <w:shd w:val="clear" w:color="auto" w:fill="auto"/>
          </w:tcPr>
          <w:p w14:paraId="4CA6ACC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Inteligjenca Artificiale </w:t>
            </w:r>
          </w:p>
        </w:tc>
      </w:tr>
      <w:tr w:rsidR="00847F23" w:rsidRPr="00913E39" w14:paraId="49D66445" w14:textId="77777777" w:rsidTr="004F525C">
        <w:trPr>
          <w:gridAfter w:val="1"/>
          <w:wAfter w:w="26" w:type="dxa"/>
          <w:trHeight w:val="20"/>
        </w:trPr>
        <w:tc>
          <w:tcPr>
            <w:tcW w:w="1344" w:type="dxa"/>
            <w:shd w:val="clear" w:color="auto" w:fill="auto"/>
          </w:tcPr>
          <w:p w14:paraId="78A44A1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AKEP</w:t>
            </w:r>
          </w:p>
        </w:tc>
        <w:tc>
          <w:tcPr>
            <w:tcW w:w="7690" w:type="dxa"/>
            <w:shd w:val="clear" w:color="auto" w:fill="auto"/>
          </w:tcPr>
          <w:p w14:paraId="51BC8F6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Autoriteti i Komunikimeve Elektronike dhe Postare</w:t>
            </w:r>
          </w:p>
        </w:tc>
      </w:tr>
      <w:tr w:rsidR="00847F23" w:rsidRPr="00913E39" w14:paraId="4A05452B" w14:textId="77777777" w:rsidTr="004F525C">
        <w:trPr>
          <w:trHeight w:val="20"/>
        </w:trPr>
        <w:tc>
          <w:tcPr>
            <w:tcW w:w="1344" w:type="dxa"/>
            <w:shd w:val="clear" w:color="auto" w:fill="auto"/>
          </w:tcPr>
          <w:p w14:paraId="40D17C9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AKSHI</w:t>
            </w:r>
          </w:p>
        </w:tc>
        <w:tc>
          <w:tcPr>
            <w:tcW w:w="7716" w:type="dxa"/>
            <w:gridSpan w:val="2"/>
            <w:shd w:val="clear" w:color="auto" w:fill="auto"/>
          </w:tcPr>
          <w:p w14:paraId="3FA5784F" w14:textId="77777777" w:rsidR="00847F23" w:rsidRPr="00913E39" w:rsidRDefault="00847F23" w:rsidP="004F525C">
            <w:pPr>
              <w:spacing w:after="0" w:line="240" w:lineRule="auto"/>
              <w:contextualSpacing/>
              <w:jc w:val="both"/>
              <w:rPr>
                <w:rFonts w:ascii="Garamond" w:hAnsi="Garamond"/>
                <w:sz w:val="18"/>
              </w:rPr>
            </w:pPr>
            <w:bookmarkStart w:id="53" w:name="_Hlk139010356"/>
            <w:r w:rsidRPr="00913E39">
              <w:rPr>
                <w:rFonts w:ascii="Garamond" w:hAnsi="Garamond"/>
                <w:sz w:val="18"/>
              </w:rPr>
              <w:t>Agjencia Kombëtare e Shoqërisë së Informacionit</w:t>
            </w:r>
            <w:bookmarkEnd w:id="53"/>
          </w:p>
        </w:tc>
      </w:tr>
      <w:tr w:rsidR="00847F23" w:rsidRPr="00913E39" w14:paraId="16475D2D" w14:textId="77777777" w:rsidTr="004F525C">
        <w:trPr>
          <w:trHeight w:val="20"/>
        </w:trPr>
        <w:tc>
          <w:tcPr>
            <w:tcW w:w="1344" w:type="dxa"/>
            <w:shd w:val="clear" w:color="auto" w:fill="auto"/>
          </w:tcPr>
          <w:p w14:paraId="473B4DA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AKSK</w:t>
            </w:r>
          </w:p>
        </w:tc>
        <w:tc>
          <w:tcPr>
            <w:tcW w:w="7716" w:type="dxa"/>
            <w:gridSpan w:val="2"/>
            <w:shd w:val="clear" w:color="auto" w:fill="auto"/>
          </w:tcPr>
          <w:p w14:paraId="491DC62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Autoriteti Kombëtar për Sigurinë Kibernetike</w:t>
            </w:r>
          </w:p>
        </w:tc>
      </w:tr>
      <w:tr w:rsidR="00847F23" w:rsidRPr="00913E39" w14:paraId="365376C6" w14:textId="77777777" w:rsidTr="004F525C">
        <w:trPr>
          <w:trHeight w:val="20"/>
        </w:trPr>
        <w:tc>
          <w:tcPr>
            <w:tcW w:w="1344" w:type="dxa"/>
            <w:shd w:val="clear" w:color="auto" w:fill="auto"/>
          </w:tcPr>
          <w:p w14:paraId="4ACE31C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LEK</w:t>
            </w:r>
          </w:p>
        </w:tc>
        <w:tc>
          <w:tcPr>
            <w:tcW w:w="7716" w:type="dxa"/>
            <w:gridSpan w:val="2"/>
            <w:shd w:val="clear" w:color="auto" w:fill="auto"/>
          </w:tcPr>
          <w:p w14:paraId="6357B1F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Monedha shqiptare </w:t>
            </w:r>
          </w:p>
        </w:tc>
      </w:tr>
      <w:tr w:rsidR="00847F23" w:rsidRPr="00913E39" w14:paraId="678FBEAA" w14:textId="77777777" w:rsidTr="004F525C">
        <w:trPr>
          <w:trHeight w:val="20"/>
        </w:trPr>
        <w:tc>
          <w:tcPr>
            <w:tcW w:w="1344" w:type="dxa"/>
            <w:shd w:val="clear" w:color="auto" w:fill="auto"/>
          </w:tcPr>
          <w:p w14:paraId="3B00513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ASCAP</w:t>
            </w:r>
          </w:p>
        </w:tc>
        <w:tc>
          <w:tcPr>
            <w:tcW w:w="7716" w:type="dxa"/>
            <w:gridSpan w:val="2"/>
            <w:shd w:val="clear" w:color="auto" w:fill="auto"/>
          </w:tcPr>
          <w:p w14:paraId="16376E5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Agjencia e Sigurimit të Cilësisë së Arsimit Parauniversitar</w:t>
            </w:r>
          </w:p>
        </w:tc>
      </w:tr>
      <w:tr w:rsidR="00847F23" w:rsidRPr="00913E39" w14:paraId="77D22D95" w14:textId="77777777" w:rsidTr="004F525C">
        <w:trPr>
          <w:trHeight w:val="20"/>
        </w:trPr>
        <w:tc>
          <w:tcPr>
            <w:tcW w:w="1344" w:type="dxa"/>
            <w:shd w:val="clear" w:color="auto" w:fill="auto"/>
          </w:tcPr>
          <w:p w14:paraId="1092642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BCRD</w:t>
            </w:r>
          </w:p>
        </w:tc>
        <w:tc>
          <w:tcPr>
            <w:tcW w:w="7716" w:type="dxa"/>
            <w:gridSpan w:val="2"/>
            <w:shd w:val="clear" w:color="auto" w:fill="auto"/>
          </w:tcPr>
          <w:p w14:paraId="5B19620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Direktiva për uljen e kostos me </w:t>
            </w:r>
            <w:r w:rsidRPr="00913E39">
              <w:rPr>
                <w:rFonts w:ascii="Garamond" w:hAnsi="Garamond"/>
                <w:i/>
                <w:sz w:val="18"/>
              </w:rPr>
              <w:t>Broadband</w:t>
            </w:r>
            <w:r w:rsidRPr="00913E39">
              <w:rPr>
                <w:rFonts w:ascii="Garamond" w:hAnsi="Garamond"/>
                <w:sz w:val="18"/>
              </w:rPr>
              <w:t xml:space="preserve"> </w:t>
            </w:r>
          </w:p>
        </w:tc>
      </w:tr>
      <w:tr w:rsidR="00847F23" w:rsidRPr="00913E39" w14:paraId="4DF8FD54" w14:textId="77777777" w:rsidTr="004F525C">
        <w:trPr>
          <w:trHeight w:val="20"/>
        </w:trPr>
        <w:tc>
          <w:tcPr>
            <w:tcW w:w="1344" w:type="dxa"/>
            <w:shd w:val="clear" w:color="auto" w:fill="auto"/>
          </w:tcPr>
          <w:p w14:paraId="552BB02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BEPS</w:t>
            </w:r>
          </w:p>
        </w:tc>
        <w:tc>
          <w:tcPr>
            <w:tcW w:w="7716" w:type="dxa"/>
            <w:gridSpan w:val="2"/>
            <w:shd w:val="clear" w:color="auto" w:fill="auto"/>
          </w:tcPr>
          <w:p w14:paraId="0812A2B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Parandalimi i Erozionit Bazë dhe Transferimit të Fitimeve </w:t>
            </w:r>
          </w:p>
        </w:tc>
      </w:tr>
      <w:tr w:rsidR="00847F23" w:rsidRPr="00913E39" w14:paraId="74AA9E82" w14:textId="77777777" w:rsidTr="004F525C">
        <w:trPr>
          <w:trHeight w:val="20"/>
        </w:trPr>
        <w:tc>
          <w:tcPr>
            <w:tcW w:w="1344" w:type="dxa"/>
            <w:shd w:val="clear" w:color="auto" w:fill="auto"/>
          </w:tcPr>
          <w:p w14:paraId="641B57D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CbCR</w:t>
            </w:r>
          </w:p>
        </w:tc>
        <w:tc>
          <w:tcPr>
            <w:tcW w:w="7716" w:type="dxa"/>
            <w:gridSpan w:val="2"/>
            <w:shd w:val="clear" w:color="auto" w:fill="auto"/>
          </w:tcPr>
          <w:p w14:paraId="08064C5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Raportimi Vend për Vend</w:t>
            </w:r>
          </w:p>
        </w:tc>
      </w:tr>
      <w:tr w:rsidR="00847F23" w:rsidRPr="00913E39" w14:paraId="4F29481F" w14:textId="77777777" w:rsidTr="004F525C">
        <w:trPr>
          <w:trHeight w:val="20"/>
        </w:trPr>
        <w:tc>
          <w:tcPr>
            <w:tcW w:w="1344" w:type="dxa"/>
            <w:shd w:val="clear" w:color="auto" w:fill="auto"/>
          </w:tcPr>
          <w:p w14:paraId="508FCE5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CCN</w:t>
            </w:r>
          </w:p>
        </w:tc>
        <w:tc>
          <w:tcPr>
            <w:tcW w:w="7716" w:type="dxa"/>
            <w:gridSpan w:val="2"/>
            <w:shd w:val="clear" w:color="auto" w:fill="auto"/>
          </w:tcPr>
          <w:p w14:paraId="37EB0B9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Rrjeti i Përbashkët i Komunikimit</w:t>
            </w:r>
          </w:p>
        </w:tc>
      </w:tr>
      <w:tr w:rsidR="00847F23" w:rsidRPr="00913E39" w14:paraId="2503CAB3" w14:textId="77777777" w:rsidTr="004F525C">
        <w:trPr>
          <w:trHeight w:val="20"/>
        </w:trPr>
        <w:tc>
          <w:tcPr>
            <w:tcW w:w="1344" w:type="dxa"/>
            <w:shd w:val="clear" w:color="auto" w:fill="auto"/>
          </w:tcPr>
          <w:p w14:paraId="7DC0AF0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CDA</w:t>
            </w:r>
          </w:p>
        </w:tc>
        <w:tc>
          <w:tcPr>
            <w:tcW w:w="7716" w:type="dxa"/>
            <w:gridSpan w:val="2"/>
            <w:shd w:val="clear" w:color="auto" w:fill="auto"/>
          </w:tcPr>
          <w:p w14:paraId="6408146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Arkitektura e Dokumentit Klinik</w:t>
            </w:r>
          </w:p>
        </w:tc>
      </w:tr>
      <w:tr w:rsidR="00847F23" w:rsidRPr="00913E39" w14:paraId="6B717428" w14:textId="77777777" w:rsidTr="004F525C">
        <w:trPr>
          <w:trHeight w:val="20"/>
        </w:trPr>
        <w:tc>
          <w:tcPr>
            <w:tcW w:w="1344" w:type="dxa"/>
            <w:shd w:val="clear" w:color="auto" w:fill="auto"/>
          </w:tcPr>
          <w:p w14:paraId="1D84049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CEB</w:t>
            </w:r>
          </w:p>
        </w:tc>
        <w:tc>
          <w:tcPr>
            <w:tcW w:w="7716" w:type="dxa"/>
            <w:gridSpan w:val="2"/>
            <w:shd w:val="clear" w:color="auto" w:fill="auto"/>
          </w:tcPr>
          <w:p w14:paraId="6CB15E09" w14:textId="5FB59FB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Banka e Këshillit të E</w:t>
            </w:r>
            <w:r w:rsidR="00535039" w:rsidRPr="00913E39">
              <w:rPr>
                <w:rFonts w:ascii="Garamond" w:hAnsi="Garamond"/>
                <w:sz w:val="18"/>
              </w:rPr>
              <w:t>v</w:t>
            </w:r>
            <w:r w:rsidRPr="00913E39">
              <w:rPr>
                <w:rFonts w:ascii="Garamond" w:hAnsi="Garamond"/>
                <w:sz w:val="18"/>
              </w:rPr>
              <w:t xml:space="preserve">ropës </w:t>
            </w:r>
          </w:p>
        </w:tc>
      </w:tr>
      <w:tr w:rsidR="00847F23" w:rsidRPr="00913E39" w14:paraId="65B5D24A" w14:textId="77777777" w:rsidTr="004F525C">
        <w:trPr>
          <w:trHeight w:val="20"/>
        </w:trPr>
        <w:tc>
          <w:tcPr>
            <w:tcW w:w="1344" w:type="dxa"/>
            <w:shd w:val="clear" w:color="auto" w:fill="auto"/>
          </w:tcPr>
          <w:p w14:paraId="7A820A2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CISA</w:t>
            </w:r>
          </w:p>
        </w:tc>
        <w:tc>
          <w:tcPr>
            <w:tcW w:w="7716" w:type="dxa"/>
            <w:gridSpan w:val="2"/>
            <w:shd w:val="clear" w:color="auto" w:fill="auto"/>
          </w:tcPr>
          <w:p w14:paraId="69CC827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Agjencia e Sigurisë Kibernetike dhe të Infrastrukturës</w:t>
            </w:r>
          </w:p>
        </w:tc>
      </w:tr>
      <w:tr w:rsidR="00847F23" w:rsidRPr="00913E39" w14:paraId="78079B4F" w14:textId="77777777" w:rsidTr="004F525C">
        <w:trPr>
          <w:trHeight w:val="20"/>
        </w:trPr>
        <w:tc>
          <w:tcPr>
            <w:tcW w:w="1344" w:type="dxa"/>
            <w:shd w:val="clear" w:color="auto" w:fill="auto"/>
          </w:tcPr>
          <w:p w14:paraId="0B51508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COVID-19</w:t>
            </w:r>
          </w:p>
        </w:tc>
        <w:tc>
          <w:tcPr>
            <w:tcW w:w="7716" w:type="dxa"/>
            <w:gridSpan w:val="2"/>
            <w:shd w:val="clear" w:color="auto" w:fill="auto"/>
          </w:tcPr>
          <w:p w14:paraId="498B173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Sëmundje koronavirusi</w:t>
            </w:r>
          </w:p>
        </w:tc>
      </w:tr>
      <w:tr w:rsidR="00847F23" w:rsidRPr="00913E39" w14:paraId="2DAE1BEC" w14:textId="77777777" w:rsidTr="004F525C">
        <w:trPr>
          <w:trHeight w:val="20"/>
        </w:trPr>
        <w:tc>
          <w:tcPr>
            <w:tcW w:w="1344" w:type="dxa"/>
            <w:shd w:val="clear" w:color="auto" w:fill="auto"/>
          </w:tcPr>
          <w:p w14:paraId="56DE143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TPR</w:t>
            </w:r>
          </w:p>
        </w:tc>
        <w:tc>
          <w:tcPr>
            <w:tcW w:w="7716" w:type="dxa"/>
            <w:gridSpan w:val="2"/>
            <w:shd w:val="clear" w:color="auto" w:fill="auto"/>
          </w:tcPr>
          <w:p w14:paraId="20BA7F3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Tregu i Përbashkët Rajonal</w:t>
            </w:r>
          </w:p>
        </w:tc>
      </w:tr>
      <w:tr w:rsidR="00847F23" w:rsidRPr="00913E39" w14:paraId="1F37D950" w14:textId="77777777" w:rsidTr="004F525C">
        <w:trPr>
          <w:trHeight w:val="20"/>
        </w:trPr>
        <w:tc>
          <w:tcPr>
            <w:tcW w:w="1344" w:type="dxa"/>
            <w:shd w:val="clear" w:color="auto" w:fill="auto"/>
          </w:tcPr>
          <w:p w14:paraId="0B71EB2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CRS</w:t>
            </w:r>
          </w:p>
        </w:tc>
        <w:tc>
          <w:tcPr>
            <w:tcW w:w="7716" w:type="dxa"/>
            <w:gridSpan w:val="2"/>
            <w:shd w:val="clear" w:color="auto" w:fill="auto"/>
          </w:tcPr>
          <w:p w14:paraId="2C56F66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Standardi i Përbashkët i Raportimit</w:t>
            </w:r>
          </w:p>
        </w:tc>
      </w:tr>
      <w:tr w:rsidR="00847F23" w:rsidRPr="00913E39" w14:paraId="7B765755" w14:textId="77777777" w:rsidTr="004F525C">
        <w:trPr>
          <w:trHeight w:val="20"/>
        </w:trPr>
        <w:tc>
          <w:tcPr>
            <w:tcW w:w="1344" w:type="dxa"/>
            <w:shd w:val="clear" w:color="auto" w:fill="auto"/>
          </w:tcPr>
          <w:p w14:paraId="3C988A4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CSI</w:t>
            </w:r>
          </w:p>
        </w:tc>
        <w:tc>
          <w:tcPr>
            <w:tcW w:w="7716" w:type="dxa"/>
            <w:gridSpan w:val="2"/>
            <w:shd w:val="clear" w:color="auto" w:fill="auto"/>
          </w:tcPr>
          <w:p w14:paraId="42FCE8A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Ndërfaqe e Përbashkët e Sistemit</w:t>
            </w:r>
          </w:p>
        </w:tc>
      </w:tr>
      <w:tr w:rsidR="00847F23" w:rsidRPr="00913E39" w14:paraId="179A44BE" w14:textId="77777777" w:rsidTr="004F525C">
        <w:trPr>
          <w:trHeight w:val="20"/>
        </w:trPr>
        <w:tc>
          <w:tcPr>
            <w:tcW w:w="1344" w:type="dxa"/>
            <w:shd w:val="clear" w:color="auto" w:fill="auto"/>
          </w:tcPr>
          <w:p w14:paraId="0601641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CSIRT</w:t>
            </w:r>
          </w:p>
        </w:tc>
        <w:tc>
          <w:tcPr>
            <w:tcW w:w="7716" w:type="dxa"/>
            <w:gridSpan w:val="2"/>
            <w:shd w:val="clear" w:color="auto" w:fill="auto"/>
          </w:tcPr>
          <w:p w14:paraId="7E68DAA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Ekipi i reagimit ndaj incidenteve të sigurisë kompjuterike</w:t>
            </w:r>
          </w:p>
        </w:tc>
      </w:tr>
      <w:tr w:rsidR="00847F23" w:rsidRPr="00913E39" w14:paraId="3FA768A1" w14:textId="77777777" w:rsidTr="004F525C">
        <w:trPr>
          <w:trHeight w:val="20"/>
        </w:trPr>
        <w:tc>
          <w:tcPr>
            <w:tcW w:w="1344" w:type="dxa"/>
            <w:shd w:val="clear" w:color="auto" w:fill="auto"/>
          </w:tcPr>
          <w:p w14:paraId="144BE67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OSHC</w:t>
            </w:r>
          </w:p>
        </w:tc>
        <w:tc>
          <w:tcPr>
            <w:tcW w:w="7716" w:type="dxa"/>
            <w:gridSpan w:val="2"/>
            <w:shd w:val="clear" w:color="auto" w:fill="auto"/>
          </w:tcPr>
          <w:p w14:paraId="3ED655D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Organizata e Shoqërisë Civile</w:t>
            </w:r>
          </w:p>
        </w:tc>
      </w:tr>
      <w:tr w:rsidR="00847F23" w:rsidRPr="00913E39" w14:paraId="176DB406" w14:textId="77777777" w:rsidTr="004F525C">
        <w:trPr>
          <w:trHeight w:val="20"/>
        </w:trPr>
        <w:tc>
          <w:tcPr>
            <w:tcW w:w="1344" w:type="dxa"/>
            <w:shd w:val="clear" w:color="auto" w:fill="auto"/>
          </w:tcPr>
          <w:p w14:paraId="1465AE5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CT</w:t>
            </w:r>
          </w:p>
        </w:tc>
        <w:tc>
          <w:tcPr>
            <w:tcW w:w="7716" w:type="dxa"/>
            <w:gridSpan w:val="2"/>
            <w:shd w:val="clear" w:color="auto" w:fill="auto"/>
          </w:tcPr>
          <w:p w14:paraId="1BDD64B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Tomografia e kompjuterizuar</w:t>
            </w:r>
          </w:p>
        </w:tc>
      </w:tr>
      <w:tr w:rsidR="00847F23" w:rsidRPr="00913E39" w14:paraId="60B6C4C0" w14:textId="77777777" w:rsidTr="004F525C">
        <w:trPr>
          <w:trHeight w:val="20"/>
        </w:trPr>
        <w:tc>
          <w:tcPr>
            <w:tcW w:w="1344" w:type="dxa"/>
            <w:shd w:val="clear" w:color="auto" w:fill="auto"/>
          </w:tcPr>
          <w:p w14:paraId="66A0011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DAC</w:t>
            </w:r>
          </w:p>
        </w:tc>
        <w:tc>
          <w:tcPr>
            <w:tcW w:w="7716" w:type="dxa"/>
            <w:gridSpan w:val="2"/>
            <w:shd w:val="clear" w:color="auto" w:fill="auto"/>
          </w:tcPr>
          <w:p w14:paraId="235721C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Direktiva për Bashkëpunimin Administrativ</w:t>
            </w:r>
          </w:p>
        </w:tc>
      </w:tr>
      <w:tr w:rsidR="00847F23" w:rsidRPr="00913E39" w14:paraId="70512F3B" w14:textId="77777777" w:rsidTr="004F525C">
        <w:trPr>
          <w:trHeight w:val="20"/>
        </w:trPr>
        <w:tc>
          <w:tcPr>
            <w:tcW w:w="1344" w:type="dxa"/>
            <w:shd w:val="clear" w:color="auto" w:fill="auto"/>
          </w:tcPr>
          <w:p w14:paraId="5EA6D93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VKM</w:t>
            </w:r>
          </w:p>
        </w:tc>
        <w:tc>
          <w:tcPr>
            <w:tcW w:w="7716" w:type="dxa"/>
            <w:gridSpan w:val="2"/>
            <w:shd w:val="clear" w:color="auto" w:fill="auto"/>
          </w:tcPr>
          <w:p w14:paraId="41E7AFD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Vendim i Këshillit të Ministrave</w:t>
            </w:r>
          </w:p>
        </w:tc>
      </w:tr>
      <w:tr w:rsidR="00847F23" w:rsidRPr="00913E39" w14:paraId="5ECB35BA" w14:textId="77777777" w:rsidTr="004F525C">
        <w:trPr>
          <w:trHeight w:val="20"/>
        </w:trPr>
        <w:tc>
          <w:tcPr>
            <w:tcW w:w="1344" w:type="dxa"/>
            <w:shd w:val="clear" w:color="auto" w:fill="auto"/>
          </w:tcPr>
          <w:p w14:paraId="758DD4C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DD</w:t>
            </w:r>
          </w:p>
        </w:tc>
        <w:tc>
          <w:tcPr>
            <w:tcW w:w="7716" w:type="dxa"/>
            <w:gridSpan w:val="2"/>
            <w:shd w:val="clear" w:color="auto" w:fill="auto"/>
          </w:tcPr>
          <w:p w14:paraId="5D27E6B9" w14:textId="3C9DEC20"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Dividendi </w:t>
            </w:r>
            <w:r w:rsidR="00535039" w:rsidRPr="00913E39">
              <w:rPr>
                <w:rFonts w:ascii="Garamond" w:hAnsi="Garamond"/>
                <w:sz w:val="18"/>
              </w:rPr>
              <w:t>d</w:t>
            </w:r>
            <w:r w:rsidRPr="00913E39">
              <w:rPr>
                <w:rFonts w:ascii="Garamond" w:hAnsi="Garamond"/>
                <w:sz w:val="18"/>
              </w:rPr>
              <w:t>igjital</w:t>
            </w:r>
          </w:p>
        </w:tc>
      </w:tr>
      <w:tr w:rsidR="00847F23" w:rsidRPr="00913E39" w14:paraId="3D20B8CC" w14:textId="77777777" w:rsidTr="004F525C">
        <w:trPr>
          <w:trHeight w:val="20"/>
        </w:trPr>
        <w:tc>
          <w:tcPr>
            <w:tcW w:w="1344" w:type="dxa"/>
            <w:shd w:val="clear" w:color="auto" w:fill="auto"/>
          </w:tcPr>
          <w:p w14:paraId="34D8F75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DESI </w:t>
            </w:r>
          </w:p>
        </w:tc>
        <w:tc>
          <w:tcPr>
            <w:tcW w:w="7716" w:type="dxa"/>
            <w:gridSpan w:val="2"/>
            <w:shd w:val="clear" w:color="auto" w:fill="auto"/>
          </w:tcPr>
          <w:p w14:paraId="0295851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Indeksi i Ekonomisë dhe Shoqërisë Digjitale</w:t>
            </w:r>
          </w:p>
        </w:tc>
      </w:tr>
      <w:tr w:rsidR="00847F23" w:rsidRPr="00913E39" w14:paraId="6990A558" w14:textId="77777777" w:rsidTr="004F525C">
        <w:trPr>
          <w:trHeight w:val="20"/>
        </w:trPr>
        <w:tc>
          <w:tcPr>
            <w:tcW w:w="1344" w:type="dxa"/>
            <w:shd w:val="clear" w:color="auto" w:fill="auto"/>
          </w:tcPr>
          <w:p w14:paraId="2B5E4F5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DG TAXUD</w:t>
            </w:r>
          </w:p>
        </w:tc>
        <w:tc>
          <w:tcPr>
            <w:tcW w:w="7716" w:type="dxa"/>
            <w:gridSpan w:val="2"/>
            <w:shd w:val="clear" w:color="auto" w:fill="auto"/>
          </w:tcPr>
          <w:p w14:paraId="5C16964B" w14:textId="161703F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Drejtoria e Unionit të Përgjithshë</w:t>
            </w:r>
            <w:r w:rsidR="00535039" w:rsidRPr="00913E39">
              <w:rPr>
                <w:rFonts w:ascii="Garamond" w:hAnsi="Garamond"/>
                <w:sz w:val="18"/>
              </w:rPr>
              <w:t>m</w:t>
            </w:r>
            <w:r w:rsidRPr="00913E39">
              <w:rPr>
                <w:rFonts w:ascii="Garamond" w:hAnsi="Garamond"/>
                <w:sz w:val="18"/>
              </w:rPr>
              <w:t xml:space="preserve"> të Tatimeve dhe Doganave </w:t>
            </w:r>
          </w:p>
        </w:tc>
      </w:tr>
      <w:tr w:rsidR="00847F23" w:rsidRPr="00913E39" w14:paraId="0F4B512F" w14:textId="77777777" w:rsidTr="004F525C">
        <w:trPr>
          <w:trHeight w:val="20"/>
        </w:trPr>
        <w:tc>
          <w:tcPr>
            <w:tcW w:w="1344" w:type="dxa"/>
            <w:shd w:val="clear" w:color="auto" w:fill="auto"/>
          </w:tcPr>
          <w:p w14:paraId="6D24029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DICOM</w:t>
            </w:r>
          </w:p>
        </w:tc>
        <w:tc>
          <w:tcPr>
            <w:tcW w:w="7716" w:type="dxa"/>
            <w:gridSpan w:val="2"/>
            <w:shd w:val="clear" w:color="auto" w:fill="auto"/>
          </w:tcPr>
          <w:p w14:paraId="19849B6D" w14:textId="05DC1055"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Imazheria dhe komunikimet digjitale në </w:t>
            </w:r>
            <w:r w:rsidR="00C7273C" w:rsidRPr="00913E39">
              <w:rPr>
                <w:rFonts w:ascii="Garamond" w:hAnsi="Garamond"/>
                <w:sz w:val="18"/>
              </w:rPr>
              <w:t>mjekësi</w:t>
            </w:r>
          </w:p>
        </w:tc>
      </w:tr>
      <w:tr w:rsidR="00847F23" w:rsidRPr="00913E39" w14:paraId="4BB0F951" w14:textId="77777777" w:rsidTr="004F525C">
        <w:trPr>
          <w:trHeight w:val="20"/>
        </w:trPr>
        <w:tc>
          <w:tcPr>
            <w:tcW w:w="1344" w:type="dxa"/>
            <w:shd w:val="clear" w:color="auto" w:fill="auto"/>
          </w:tcPr>
          <w:p w14:paraId="57762E7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DNS</w:t>
            </w:r>
          </w:p>
        </w:tc>
        <w:tc>
          <w:tcPr>
            <w:tcW w:w="7716" w:type="dxa"/>
            <w:gridSpan w:val="2"/>
            <w:shd w:val="clear" w:color="auto" w:fill="auto"/>
          </w:tcPr>
          <w:p w14:paraId="6BE1ACD9" w14:textId="474A51C4"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Sistemi i </w:t>
            </w:r>
            <w:r w:rsidR="00C7273C" w:rsidRPr="00913E39">
              <w:rPr>
                <w:rFonts w:ascii="Garamond" w:hAnsi="Garamond"/>
                <w:sz w:val="18"/>
              </w:rPr>
              <w:t xml:space="preserve">emrit </w:t>
            </w:r>
            <w:r w:rsidRPr="00913E39">
              <w:rPr>
                <w:rFonts w:ascii="Garamond" w:hAnsi="Garamond"/>
                <w:sz w:val="18"/>
              </w:rPr>
              <w:t xml:space="preserve">të </w:t>
            </w:r>
            <w:r w:rsidRPr="00913E39">
              <w:rPr>
                <w:rFonts w:ascii="Garamond" w:hAnsi="Garamond"/>
                <w:i/>
                <w:sz w:val="18"/>
              </w:rPr>
              <w:t>Domain</w:t>
            </w:r>
            <w:r w:rsidRPr="00913E39">
              <w:rPr>
                <w:rFonts w:ascii="Garamond" w:hAnsi="Garamond"/>
                <w:sz w:val="18"/>
              </w:rPr>
              <w:t>-t</w:t>
            </w:r>
          </w:p>
        </w:tc>
      </w:tr>
      <w:tr w:rsidR="00847F23" w:rsidRPr="00913E39" w14:paraId="0C2803E5" w14:textId="77777777" w:rsidTr="004F525C">
        <w:trPr>
          <w:trHeight w:val="20"/>
        </w:trPr>
        <w:tc>
          <w:tcPr>
            <w:tcW w:w="1344" w:type="dxa"/>
            <w:shd w:val="clear" w:color="auto" w:fill="auto"/>
          </w:tcPr>
          <w:p w14:paraId="5F59754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DSL</w:t>
            </w:r>
          </w:p>
        </w:tc>
        <w:tc>
          <w:tcPr>
            <w:tcW w:w="7716" w:type="dxa"/>
            <w:gridSpan w:val="2"/>
            <w:shd w:val="clear" w:color="auto" w:fill="auto"/>
          </w:tcPr>
          <w:p w14:paraId="05F46735" w14:textId="202D03E2"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Linja </w:t>
            </w:r>
            <w:r w:rsidR="000D598C" w:rsidRPr="00913E39">
              <w:rPr>
                <w:rFonts w:ascii="Garamond" w:hAnsi="Garamond"/>
                <w:sz w:val="18"/>
              </w:rPr>
              <w:t>digjitale e abonentit</w:t>
            </w:r>
          </w:p>
        </w:tc>
      </w:tr>
      <w:tr w:rsidR="00847F23" w:rsidRPr="00913E39" w14:paraId="1147224B" w14:textId="77777777" w:rsidTr="004F525C">
        <w:trPr>
          <w:trHeight w:val="20"/>
        </w:trPr>
        <w:tc>
          <w:tcPr>
            <w:tcW w:w="1344" w:type="dxa"/>
            <w:shd w:val="clear" w:color="auto" w:fill="auto"/>
          </w:tcPr>
          <w:p w14:paraId="762A1F0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BERZH</w:t>
            </w:r>
          </w:p>
        </w:tc>
        <w:tc>
          <w:tcPr>
            <w:tcW w:w="7716" w:type="dxa"/>
            <w:gridSpan w:val="2"/>
            <w:shd w:val="clear" w:color="auto" w:fill="auto"/>
          </w:tcPr>
          <w:p w14:paraId="48F59AF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Banka Evropiane për Rindërtim dhe Zhvillim</w:t>
            </w:r>
          </w:p>
        </w:tc>
      </w:tr>
      <w:tr w:rsidR="00847F23" w:rsidRPr="00913E39" w14:paraId="25293962" w14:textId="77777777" w:rsidTr="004F525C">
        <w:trPr>
          <w:trHeight w:val="20"/>
        </w:trPr>
        <w:tc>
          <w:tcPr>
            <w:tcW w:w="1344" w:type="dxa"/>
            <w:shd w:val="clear" w:color="auto" w:fill="auto"/>
          </w:tcPr>
          <w:p w14:paraId="70FB56E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EC</w:t>
            </w:r>
          </w:p>
        </w:tc>
        <w:tc>
          <w:tcPr>
            <w:tcW w:w="7716" w:type="dxa"/>
            <w:gridSpan w:val="2"/>
            <w:shd w:val="clear" w:color="auto" w:fill="auto"/>
          </w:tcPr>
          <w:p w14:paraId="7542F7C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Komisioni Evropian</w:t>
            </w:r>
          </w:p>
        </w:tc>
      </w:tr>
      <w:tr w:rsidR="00847F23" w:rsidRPr="00913E39" w14:paraId="4E4D521E" w14:textId="77777777" w:rsidTr="004F525C">
        <w:trPr>
          <w:trHeight w:val="20"/>
        </w:trPr>
        <w:tc>
          <w:tcPr>
            <w:tcW w:w="1344" w:type="dxa"/>
            <w:shd w:val="clear" w:color="auto" w:fill="auto"/>
          </w:tcPr>
          <w:p w14:paraId="398B2A3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ECA</w:t>
            </w:r>
          </w:p>
        </w:tc>
        <w:tc>
          <w:tcPr>
            <w:tcW w:w="7716" w:type="dxa"/>
            <w:gridSpan w:val="2"/>
            <w:shd w:val="clear" w:color="auto" w:fill="auto"/>
          </w:tcPr>
          <w:p w14:paraId="2ADF29A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Plani Evropian i Alokimit </w:t>
            </w:r>
          </w:p>
        </w:tc>
      </w:tr>
      <w:tr w:rsidR="00847F23" w:rsidRPr="00913E39" w14:paraId="2B132EE1" w14:textId="77777777" w:rsidTr="004F525C">
        <w:trPr>
          <w:trHeight w:val="20"/>
        </w:trPr>
        <w:tc>
          <w:tcPr>
            <w:tcW w:w="1344" w:type="dxa"/>
            <w:shd w:val="clear" w:color="auto" w:fill="auto"/>
          </w:tcPr>
          <w:p w14:paraId="0754251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ECHI</w:t>
            </w:r>
          </w:p>
        </w:tc>
        <w:tc>
          <w:tcPr>
            <w:tcW w:w="7716" w:type="dxa"/>
            <w:gridSpan w:val="2"/>
            <w:shd w:val="clear" w:color="auto" w:fill="auto"/>
          </w:tcPr>
          <w:p w14:paraId="421E9A53" w14:textId="360F30F1"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Treguesit </w:t>
            </w:r>
            <w:r w:rsidR="000D598C" w:rsidRPr="00913E39">
              <w:rPr>
                <w:rFonts w:ascii="Garamond" w:hAnsi="Garamond"/>
                <w:sz w:val="18"/>
              </w:rPr>
              <w:t>kryesorë evropianë të shëndetit</w:t>
            </w:r>
          </w:p>
        </w:tc>
      </w:tr>
      <w:tr w:rsidR="00847F23" w:rsidRPr="00913E39" w14:paraId="4D9B0414" w14:textId="77777777" w:rsidTr="004F525C">
        <w:trPr>
          <w:trHeight w:val="20"/>
        </w:trPr>
        <w:tc>
          <w:tcPr>
            <w:tcW w:w="1344" w:type="dxa"/>
            <w:shd w:val="clear" w:color="auto" w:fill="auto"/>
          </w:tcPr>
          <w:p w14:paraId="19FA479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EECC</w:t>
            </w:r>
          </w:p>
        </w:tc>
        <w:tc>
          <w:tcPr>
            <w:tcW w:w="7716" w:type="dxa"/>
            <w:gridSpan w:val="2"/>
            <w:shd w:val="clear" w:color="auto" w:fill="auto"/>
          </w:tcPr>
          <w:p w14:paraId="3198CA70" w14:textId="36EC9005"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Kodi </w:t>
            </w:r>
            <w:r w:rsidR="000D598C" w:rsidRPr="00913E39">
              <w:rPr>
                <w:rFonts w:ascii="Garamond" w:hAnsi="Garamond"/>
                <w:sz w:val="18"/>
              </w:rPr>
              <w:t>evropian i komunikimeve elektronike</w:t>
            </w:r>
          </w:p>
        </w:tc>
      </w:tr>
      <w:tr w:rsidR="00847F23" w:rsidRPr="00913E39" w14:paraId="7138E905" w14:textId="77777777" w:rsidTr="004F525C">
        <w:trPr>
          <w:trHeight w:val="20"/>
        </w:trPr>
        <w:tc>
          <w:tcPr>
            <w:tcW w:w="1344" w:type="dxa"/>
            <w:shd w:val="clear" w:color="auto" w:fill="auto"/>
          </w:tcPr>
          <w:p w14:paraId="4EF8417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EHDSI</w:t>
            </w:r>
          </w:p>
        </w:tc>
        <w:tc>
          <w:tcPr>
            <w:tcW w:w="7716" w:type="dxa"/>
            <w:gridSpan w:val="2"/>
            <w:shd w:val="clear" w:color="auto" w:fill="auto"/>
          </w:tcPr>
          <w:p w14:paraId="24F54A8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Infrastruktura e Shërbimit digjital shëndeti digjital</w:t>
            </w:r>
          </w:p>
        </w:tc>
      </w:tr>
      <w:tr w:rsidR="00847F23" w:rsidRPr="00913E39" w14:paraId="3F4D8860" w14:textId="77777777" w:rsidTr="004F525C">
        <w:trPr>
          <w:trHeight w:val="20"/>
        </w:trPr>
        <w:tc>
          <w:tcPr>
            <w:tcW w:w="1344" w:type="dxa"/>
            <w:shd w:val="clear" w:color="auto" w:fill="auto"/>
          </w:tcPr>
          <w:p w14:paraId="2F5045B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EHR</w:t>
            </w:r>
          </w:p>
        </w:tc>
        <w:tc>
          <w:tcPr>
            <w:tcW w:w="7716" w:type="dxa"/>
            <w:gridSpan w:val="2"/>
            <w:shd w:val="clear" w:color="auto" w:fill="auto"/>
          </w:tcPr>
          <w:p w14:paraId="358EB89F" w14:textId="183650FA"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Regjistri </w:t>
            </w:r>
            <w:r w:rsidR="00535039" w:rsidRPr="00913E39">
              <w:rPr>
                <w:rFonts w:ascii="Garamond" w:hAnsi="Garamond"/>
                <w:sz w:val="18"/>
              </w:rPr>
              <w:t>Elektronik Shëndetësor Kombëtar</w:t>
            </w:r>
          </w:p>
        </w:tc>
      </w:tr>
      <w:tr w:rsidR="00847F23" w:rsidRPr="00913E39" w14:paraId="7306BF1C" w14:textId="77777777" w:rsidTr="004F525C">
        <w:trPr>
          <w:trHeight w:val="20"/>
        </w:trPr>
        <w:tc>
          <w:tcPr>
            <w:tcW w:w="1344" w:type="dxa"/>
            <w:shd w:val="clear" w:color="auto" w:fill="auto"/>
          </w:tcPr>
          <w:p w14:paraId="1C7591D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BEI</w:t>
            </w:r>
          </w:p>
        </w:tc>
        <w:tc>
          <w:tcPr>
            <w:tcW w:w="7716" w:type="dxa"/>
            <w:gridSpan w:val="2"/>
            <w:shd w:val="clear" w:color="auto" w:fill="auto"/>
          </w:tcPr>
          <w:p w14:paraId="656872B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Banka Evropiane e Investimeve</w:t>
            </w:r>
          </w:p>
        </w:tc>
      </w:tr>
      <w:tr w:rsidR="00847F23" w:rsidRPr="00913E39" w14:paraId="41F3FA00" w14:textId="77777777" w:rsidTr="004F525C">
        <w:trPr>
          <w:trHeight w:val="20"/>
        </w:trPr>
        <w:tc>
          <w:tcPr>
            <w:tcW w:w="1344" w:type="dxa"/>
            <w:shd w:val="clear" w:color="auto" w:fill="auto"/>
          </w:tcPr>
          <w:p w14:paraId="64DE781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EIDAS</w:t>
            </w:r>
          </w:p>
        </w:tc>
        <w:tc>
          <w:tcPr>
            <w:tcW w:w="7716" w:type="dxa"/>
            <w:gridSpan w:val="2"/>
            <w:shd w:val="clear" w:color="auto" w:fill="auto"/>
          </w:tcPr>
          <w:p w14:paraId="45B1681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Shërbimet e besimit, vërtetimit dhe identifikimit elektronik</w:t>
            </w:r>
          </w:p>
        </w:tc>
      </w:tr>
      <w:tr w:rsidR="00847F23" w:rsidRPr="00913E39" w14:paraId="082E8E77" w14:textId="77777777" w:rsidTr="004F525C">
        <w:trPr>
          <w:trHeight w:val="20"/>
        </w:trPr>
        <w:tc>
          <w:tcPr>
            <w:tcW w:w="1344" w:type="dxa"/>
            <w:shd w:val="clear" w:color="auto" w:fill="auto"/>
          </w:tcPr>
          <w:p w14:paraId="47CAA73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PEI</w:t>
            </w:r>
          </w:p>
        </w:tc>
        <w:tc>
          <w:tcPr>
            <w:tcW w:w="7716" w:type="dxa"/>
            <w:gridSpan w:val="2"/>
            <w:shd w:val="clear" w:color="auto" w:fill="auto"/>
          </w:tcPr>
          <w:p w14:paraId="447CF0C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Plani Ekonomik dhe i Investimeve i Ballkanit Perëndimor</w:t>
            </w:r>
          </w:p>
        </w:tc>
      </w:tr>
      <w:tr w:rsidR="00847F23" w:rsidRPr="00913E39" w14:paraId="048CBAED" w14:textId="77777777" w:rsidTr="004F525C">
        <w:trPr>
          <w:trHeight w:val="20"/>
        </w:trPr>
        <w:tc>
          <w:tcPr>
            <w:tcW w:w="1344" w:type="dxa"/>
            <w:shd w:val="clear" w:color="auto" w:fill="auto"/>
          </w:tcPr>
          <w:p w14:paraId="7D1C223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ENISA</w:t>
            </w:r>
          </w:p>
        </w:tc>
        <w:tc>
          <w:tcPr>
            <w:tcW w:w="7716" w:type="dxa"/>
            <w:gridSpan w:val="2"/>
            <w:shd w:val="clear" w:color="auto" w:fill="auto"/>
          </w:tcPr>
          <w:p w14:paraId="3B59F15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Agjencia e Bashkimit Evropian për Sigurinë Kibernetike</w:t>
            </w:r>
          </w:p>
        </w:tc>
      </w:tr>
      <w:tr w:rsidR="00847F23" w:rsidRPr="00913E39" w14:paraId="7909E760" w14:textId="77777777" w:rsidTr="004F525C">
        <w:trPr>
          <w:trHeight w:val="20"/>
        </w:trPr>
        <w:tc>
          <w:tcPr>
            <w:tcW w:w="1344" w:type="dxa"/>
            <w:shd w:val="clear" w:color="auto" w:fill="auto"/>
          </w:tcPr>
          <w:p w14:paraId="25EBD68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AKEP</w:t>
            </w:r>
          </w:p>
        </w:tc>
        <w:tc>
          <w:tcPr>
            <w:tcW w:w="7716" w:type="dxa"/>
            <w:gridSpan w:val="2"/>
            <w:shd w:val="clear" w:color="auto" w:fill="auto"/>
          </w:tcPr>
          <w:p w14:paraId="639227B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Autoriteti i Komunikimeve Elektronike dhe Postare</w:t>
            </w:r>
          </w:p>
        </w:tc>
      </w:tr>
      <w:tr w:rsidR="00847F23" w:rsidRPr="00913E39" w14:paraId="62B59CC7" w14:textId="77777777" w:rsidTr="004F525C">
        <w:trPr>
          <w:trHeight w:val="20"/>
        </w:trPr>
        <w:tc>
          <w:tcPr>
            <w:tcW w:w="1344" w:type="dxa"/>
            <w:shd w:val="clear" w:color="auto" w:fill="auto"/>
          </w:tcPr>
          <w:p w14:paraId="0BFE368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PRE</w:t>
            </w:r>
          </w:p>
        </w:tc>
        <w:tc>
          <w:tcPr>
            <w:tcW w:w="7716" w:type="dxa"/>
            <w:gridSpan w:val="2"/>
            <w:shd w:val="clear" w:color="auto" w:fill="auto"/>
          </w:tcPr>
          <w:p w14:paraId="327F8F9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Programi i Reformës Ekonomike</w:t>
            </w:r>
          </w:p>
        </w:tc>
      </w:tr>
      <w:tr w:rsidR="00847F23" w:rsidRPr="00913E39" w14:paraId="17EBB46B" w14:textId="77777777" w:rsidTr="004F525C">
        <w:trPr>
          <w:trHeight w:val="20"/>
        </w:trPr>
        <w:tc>
          <w:tcPr>
            <w:tcW w:w="1344" w:type="dxa"/>
            <w:shd w:val="clear" w:color="auto" w:fill="auto"/>
          </w:tcPr>
          <w:p w14:paraId="6C4C6C3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ESEP</w:t>
            </w:r>
          </w:p>
        </w:tc>
        <w:tc>
          <w:tcPr>
            <w:tcW w:w="7716" w:type="dxa"/>
            <w:gridSpan w:val="2"/>
            <w:shd w:val="clear" w:color="auto" w:fill="auto"/>
          </w:tcPr>
          <w:p w14:paraId="4AE03F5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Platforma Evropiane për Arsimin në Shkollë</w:t>
            </w:r>
          </w:p>
        </w:tc>
      </w:tr>
      <w:tr w:rsidR="00847F23" w:rsidRPr="00913E39" w14:paraId="0B852FD1" w14:textId="77777777" w:rsidTr="004F525C">
        <w:trPr>
          <w:trHeight w:val="20"/>
        </w:trPr>
        <w:tc>
          <w:tcPr>
            <w:tcW w:w="1344" w:type="dxa"/>
            <w:shd w:val="clear" w:color="auto" w:fill="auto"/>
          </w:tcPr>
          <w:p w14:paraId="48753A5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BE</w:t>
            </w:r>
          </w:p>
        </w:tc>
        <w:tc>
          <w:tcPr>
            <w:tcW w:w="7716" w:type="dxa"/>
            <w:gridSpan w:val="2"/>
            <w:shd w:val="clear" w:color="auto" w:fill="auto"/>
          </w:tcPr>
          <w:p w14:paraId="544C3B2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Bashkimi Evropian </w:t>
            </w:r>
          </w:p>
        </w:tc>
      </w:tr>
      <w:tr w:rsidR="00847F23" w:rsidRPr="00913E39" w14:paraId="2DA6F3F0" w14:textId="77777777" w:rsidTr="004F525C">
        <w:trPr>
          <w:trHeight w:val="20"/>
        </w:trPr>
        <w:tc>
          <w:tcPr>
            <w:tcW w:w="1344" w:type="dxa"/>
            <w:shd w:val="clear" w:color="auto" w:fill="auto"/>
          </w:tcPr>
          <w:p w14:paraId="0F881BB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BE CERT</w:t>
            </w:r>
          </w:p>
        </w:tc>
        <w:tc>
          <w:tcPr>
            <w:tcW w:w="7716" w:type="dxa"/>
            <w:gridSpan w:val="2"/>
            <w:shd w:val="clear" w:color="auto" w:fill="auto"/>
          </w:tcPr>
          <w:p w14:paraId="739B736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Ekipi i reagimit ndaj emergjencave kompjuterike</w:t>
            </w:r>
          </w:p>
        </w:tc>
      </w:tr>
      <w:tr w:rsidR="00847F23" w:rsidRPr="00913E39" w14:paraId="4D221A22" w14:textId="77777777" w:rsidTr="004F525C">
        <w:trPr>
          <w:trHeight w:val="20"/>
        </w:trPr>
        <w:tc>
          <w:tcPr>
            <w:tcW w:w="1344" w:type="dxa"/>
            <w:shd w:val="clear" w:color="auto" w:fill="auto"/>
          </w:tcPr>
          <w:p w14:paraId="78E8F69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DBE</w:t>
            </w:r>
          </w:p>
        </w:tc>
        <w:tc>
          <w:tcPr>
            <w:tcW w:w="7716" w:type="dxa"/>
            <w:gridSpan w:val="2"/>
            <w:shd w:val="clear" w:color="auto" w:fill="auto"/>
          </w:tcPr>
          <w:p w14:paraId="1C498FE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Delegacioni i Bashkimit Evropian</w:t>
            </w:r>
          </w:p>
        </w:tc>
      </w:tr>
      <w:tr w:rsidR="00847F23" w:rsidRPr="00913E39" w14:paraId="7465C736" w14:textId="77777777" w:rsidTr="004F525C">
        <w:trPr>
          <w:trHeight w:val="20"/>
        </w:trPr>
        <w:tc>
          <w:tcPr>
            <w:tcW w:w="1344" w:type="dxa"/>
            <w:shd w:val="clear" w:color="auto" w:fill="auto"/>
          </w:tcPr>
          <w:p w14:paraId="3051714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EUIF</w:t>
            </w:r>
          </w:p>
        </w:tc>
        <w:tc>
          <w:tcPr>
            <w:tcW w:w="7716" w:type="dxa"/>
            <w:gridSpan w:val="2"/>
            <w:shd w:val="clear" w:color="auto" w:fill="auto"/>
          </w:tcPr>
          <w:p w14:paraId="3F7486D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Instrumenti i Bashkimit Evropian për Integrimin</w:t>
            </w:r>
          </w:p>
        </w:tc>
      </w:tr>
      <w:tr w:rsidR="00847F23" w:rsidRPr="00913E39" w14:paraId="66824EF0" w14:textId="77777777" w:rsidTr="004F525C">
        <w:trPr>
          <w:trHeight w:val="20"/>
        </w:trPr>
        <w:tc>
          <w:tcPr>
            <w:tcW w:w="1344" w:type="dxa"/>
            <w:shd w:val="clear" w:color="auto" w:fill="auto"/>
          </w:tcPr>
          <w:p w14:paraId="7F984C0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EUR</w:t>
            </w:r>
          </w:p>
        </w:tc>
        <w:tc>
          <w:tcPr>
            <w:tcW w:w="7716" w:type="dxa"/>
            <w:gridSpan w:val="2"/>
            <w:shd w:val="clear" w:color="auto" w:fill="auto"/>
          </w:tcPr>
          <w:p w14:paraId="10AA0B5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Monedha zyrtare e Shteteve Anëtare të Bashkimit Evropian.</w:t>
            </w:r>
          </w:p>
        </w:tc>
      </w:tr>
      <w:tr w:rsidR="00847F23" w:rsidRPr="00913E39" w14:paraId="733B5D6E" w14:textId="77777777" w:rsidTr="004F525C">
        <w:trPr>
          <w:trHeight w:val="20"/>
        </w:trPr>
        <w:tc>
          <w:tcPr>
            <w:tcW w:w="1344" w:type="dxa"/>
            <w:shd w:val="clear" w:color="auto" w:fill="auto"/>
          </w:tcPr>
          <w:p w14:paraId="301B45D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EUROPOL</w:t>
            </w:r>
          </w:p>
        </w:tc>
        <w:tc>
          <w:tcPr>
            <w:tcW w:w="7716" w:type="dxa"/>
            <w:gridSpan w:val="2"/>
            <w:shd w:val="clear" w:color="auto" w:fill="auto"/>
          </w:tcPr>
          <w:p w14:paraId="2152741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Agjencia e Bashkimit Evropian për Bashkëpunimin e agjencive të zbatimit të ligjit</w:t>
            </w:r>
          </w:p>
        </w:tc>
      </w:tr>
      <w:tr w:rsidR="00847F23" w:rsidRPr="00913E39" w14:paraId="611A84E7" w14:textId="77777777" w:rsidTr="004F525C">
        <w:trPr>
          <w:trHeight w:val="20"/>
        </w:trPr>
        <w:tc>
          <w:tcPr>
            <w:tcW w:w="1344" w:type="dxa"/>
            <w:shd w:val="clear" w:color="auto" w:fill="auto"/>
          </w:tcPr>
          <w:p w14:paraId="477C3A1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FBI</w:t>
            </w:r>
          </w:p>
        </w:tc>
        <w:tc>
          <w:tcPr>
            <w:tcW w:w="7716" w:type="dxa"/>
            <w:gridSpan w:val="2"/>
            <w:shd w:val="clear" w:color="auto" w:fill="auto"/>
          </w:tcPr>
          <w:p w14:paraId="03CCC12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Byroja Federale e Hetimit</w:t>
            </w:r>
          </w:p>
        </w:tc>
      </w:tr>
      <w:tr w:rsidR="00847F23" w:rsidRPr="00913E39" w14:paraId="2640FE1B" w14:textId="77777777" w:rsidTr="004F525C">
        <w:trPr>
          <w:trHeight w:val="20"/>
        </w:trPr>
        <w:tc>
          <w:tcPr>
            <w:tcW w:w="1344" w:type="dxa"/>
            <w:shd w:val="clear" w:color="auto" w:fill="auto"/>
          </w:tcPr>
          <w:p w14:paraId="5169714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FMC</w:t>
            </w:r>
          </w:p>
        </w:tc>
        <w:tc>
          <w:tcPr>
            <w:tcW w:w="7716" w:type="dxa"/>
            <w:gridSpan w:val="2"/>
            <w:shd w:val="clear" w:color="auto" w:fill="auto"/>
          </w:tcPr>
          <w:p w14:paraId="552C7994" w14:textId="2F5CBA7E"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Kontrolli i </w:t>
            </w:r>
            <w:r w:rsidR="00C7273C" w:rsidRPr="00913E39">
              <w:rPr>
                <w:rFonts w:ascii="Garamond" w:hAnsi="Garamond"/>
                <w:sz w:val="18"/>
              </w:rPr>
              <w:t xml:space="preserve">menaxhimit financiar </w:t>
            </w:r>
          </w:p>
        </w:tc>
      </w:tr>
      <w:tr w:rsidR="00847F23" w:rsidRPr="00913E39" w14:paraId="148286B0" w14:textId="77777777" w:rsidTr="004F525C">
        <w:trPr>
          <w:trHeight w:val="20"/>
        </w:trPr>
        <w:tc>
          <w:tcPr>
            <w:tcW w:w="1344" w:type="dxa"/>
            <w:shd w:val="clear" w:color="auto" w:fill="auto"/>
          </w:tcPr>
          <w:p w14:paraId="2661156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FNT</w:t>
            </w:r>
          </w:p>
        </w:tc>
        <w:tc>
          <w:tcPr>
            <w:tcW w:w="7716" w:type="dxa"/>
            <w:gridSpan w:val="2"/>
            <w:shd w:val="clear" w:color="auto" w:fill="auto"/>
          </w:tcPr>
          <w:p w14:paraId="757E976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Sipërmarrësit me fuqi të ndjeshme në treg </w:t>
            </w:r>
          </w:p>
        </w:tc>
      </w:tr>
      <w:tr w:rsidR="00847F23" w:rsidRPr="00913E39" w14:paraId="138FA6A0" w14:textId="77777777" w:rsidTr="004F525C">
        <w:trPr>
          <w:trHeight w:val="20"/>
        </w:trPr>
        <w:tc>
          <w:tcPr>
            <w:tcW w:w="1344" w:type="dxa"/>
            <w:shd w:val="clear" w:color="auto" w:fill="auto"/>
          </w:tcPr>
          <w:p w14:paraId="6E75B99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FO</w:t>
            </w:r>
          </w:p>
        </w:tc>
        <w:tc>
          <w:tcPr>
            <w:tcW w:w="7716" w:type="dxa"/>
            <w:gridSpan w:val="2"/>
            <w:shd w:val="clear" w:color="auto" w:fill="auto"/>
          </w:tcPr>
          <w:p w14:paraId="355EDEA1" w14:textId="12C49D4B"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Fibër </w:t>
            </w:r>
            <w:r w:rsidR="00C7273C" w:rsidRPr="00913E39">
              <w:rPr>
                <w:rFonts w:ascii="Garamond" w:hAnsi="Garamond"/>
                <w:sz w:val="18"/>
              </w:rPr>
              <w:t>optike</w:t>
            </w:r>
          </w:p>
        </w:tc>
      </w:tr>
      <w:tr w:rsidR="00847F23" w:rsidRPr="00913E39" w14:paraId="17834E47" w14:textId="77777777" w:rsidTr="004F525C">
        <w:trPr>
          <w:trHeight w:val="20"/>
        </w:trPr>
        <w:tc>
          <w:tcPr>
            <w:tcW w:w="1344" w:type="dxa"/>
            <w:shd w:val="clear" w:color="auto" w:fill="auto"/>
          </w:tcPr>
          <w:p w14:paraId="08F7FD5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FTTB</w:t>
            </w:r>
          </w:p>
        </w:tc>
        <w:tc>
          <w:tcPr>
            <w:tcW w:w="7716" w:type="dxa"/>
            <w:gridSpan w:val="2"/>
            <w:shd w:val="clear" w:color="auto" w:fill="auto"/>
          </w:tcPr>
          <w:p w14:paraId="2CBE31A5" w14:textId="08D9D35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Fibër në </w:t>
            </w:r>
            <w:r w:rsidR="00C7273C" w:rsidRPr="00913E39">
              <w:rPr>
                <w:rFonts w:ascii="Garamond" w:hAnsi="Garamond"/>
                <w:sz w:val="18"/>
              </w:rPr>
              <w:t>ndërtesë</w:t>
            </w:r>
          </w:p>
        </w:tc>
      </w:tr>
      <w:tr w:rsidR="00847F23" w:rsidRPr="00913E39" w14:paraId="6590FD6C" w14:textId="77777777" w:rsidTr="004F525C">
        <w:trPr>
          <w:trHeight w:val="20"/>
        </w:trPr>
        <w:tc>
          <w:tcPr>
            <w:tcW w:w="1344" w:type="dxa"/>
            <w:shd w:val="clear" w:color="auto" w:fill="auto"/>
          </w:tcPr>
          <w:p w14:paraId="235EAA4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FTTH</w:t>
            </w:r>
          </w:p>
        </w:tc>
        <w:tc>
          <w:tcPr>
            <w:tcW w:w="7716" w:type="dxa"/>
            <w:gridSpan w:val="2"/>
            <w:shd w:val="clear" w:color="auto" w:fill="auto"/>
          </w:tcPr>
          <w:p w14:paraId="01B706EA" w14:textId="73CA07E1"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Fibër në </w:t>
            </w:r>
            <w:r w:rsidR="00C7273C" w:rsidRPr="00913E39">
              <w:rPr>
                <w:rFonts w:ascii="Garamond" w:hAnsi="Garamond"/>
                <w:sz w:val="18"/>
              </w:rPr>
              <w:t>banesë</w:t>
            </w:r>
          </w:p>
        </w:tc>
      </w:tr>
      <w:tr w:rsidR="00847F23" w:rsidRPr="00913E39" w14:paraId="209F0DED" w14:textId="77777777" w:rsidTr="004F525C">
        <w:trPr>
          <w:trHeight w:val="20"/>
        </w:trPr>
        <w:tc>
          <w:tcPr>
            <w:tcW w:w="1344" w:type="dxa"/>
            <w:shd w:val="clear" w:color="auto" w:fill="auto"/>
          </w:tcPr>
          <w:p w14:paraId="0656FDD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FTTP</w:t>
            </w:r>
          </w:p>
        </w:tc>
        <w:tc>
          <w:tcPr>
            <w:tcW w:w="7716" w:type="dxa"/>
            <w:gridSpan w:val="2"/>
            <w:shd w:val="clear" w:color="auto" w:fill="auto"/>
          </w:tcPr>
          <w:p w14:paraId="5254F746" w14:textId="78B0A59E"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Fibër në </w:t>
            </w:r>
            <w:r w:rsidR="00C7273C" w:rsidRPr="00913E39">
              <w:rPr>
                <w:rFonts w:ascii="Garamond" w:hAnsi="Garamond"/>
                <w:sz w:val="18"/>
              </w:rPr>
              <w:t>ambient</w:t>
            </w:r>
          </w:p>
        </w:tc>
      </w:tr>
      <w:tr w:rsidR="00847F23" w:rsidRPr="00913E39" w14:paraId="4B235330" w14:textId="77777777" w:rsidTr="004F525C">
        <w:trPr>
          <w:trHeight w:val="20"/>
        </w:trPr>
        <w:tc>
          <w:tcPr>
            <w:tcW w:w="1344" w:type="dxa"/>
            <w:shd w:val="clear" w:color="auto" w:fill="auto"/>
          </w:tcPr>
          <w:p w14:paraId="10E5FA3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FTTx</w:t>
            </w:r>
          </w:p>
        </w:tc>
        <w:tc>
          <w:tcPr>
            <w:tcW w:w="7716" w:type="dxa"/>
            <w:gridSpan w:val="2"/>
            <w:shd w:val="clear" w:color="auto" w:fill="auto"/>
          </w:tcPr>
          <w:p w14:paraId="61BDD864" w14:textId="59C96D80"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Fibër në </w:t>
            </w:r>
            <w:r w:rsidR="00850FC7" w:rsidRPr="00913E39">
              <w:rPr>
                <w:rFonts w:ascii="Garamond" w:eastAsia="Times New Roman" w:hAnsi="Garamond" w:cs="Times New Roman"/>
                <w:iCs/>
                <w:sz w:val="18"/>
                <w:szCs w:val="18"/>
              </w:rPr>
              <w:t>“</w:t>
            </w:r>
            <w:r w:rsidRPr="00913E39">
              <w:rPr>
                <w:rFonts w:ascii="Garamond" w:hAnsi="Garamond"/>
                <w:sz w:val="18"/>
              </w:rPr>
              <w:t>x</w:t>
            </w:r>
            <w:r w:rsidR="00850FC7" w:rsidRPr="00913E39">
              <w:rPr>
                <w:rFonts w:ascii="Garamond" w:eastAsia="Times New Roman" w:hAnsi="Garamond" w:cs="Times New Roman"/>
                <w:iCs/>
                <w:sz w:val="18"/>
                <w:szCs w:val="18"/>
              </w:rPr>
              <w:t>”</w:t>
            </w:r>
            <w:r w:rsidRPr="00913E39">
              <w:rPr>
                <w:rFonts w:ascii="Garamond" w:hAnsi="Garamond"/>
                <w:sz w:val="18"/>
              </w:rPr>
              <w:t xml:space="preserve"> </w:t>
            </w:r>
          </w:p>
        </w:tc>
      </w:tr>
      <w:tr w:rsidR="00847F23" w:rsidRPr="00913E39" w14:paraId="31595807" w14:textId="77777777" w:rsidTr="004F525C">
        <w:trPr>
          <w:trHeight w:val="20"/>
        </w:trPr>
        <w:tc>
          <w:tcPr>
            <w:tcW w:w="1344" w:type="dxa"/>
            <w:shd w:val="clear" w:color="auto" w:fill="auto"/>
          </w:tcPr>
          <w:p w14:paraId="253B30A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FUP</w:t>
            </w:r>
          </w:p>
        </w:tc>
        <w:tc>
          <w:tcPr>
            <w:tcW w:w="7716" w:type="dxa"/>
            <w:gridSpan w:val="2"/>
            <w:shd w:val="clear" w:color="auto" w:fill="auto"/>
          </w:tcPr>
          <w:p w14:paraId="6AC5624F" w14:textId="2BBF4620"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Politika e </w:t>
            </w:r>
            <w:r w:rsidR="00C7273C" w:rsidRPr="00913E39">
              <w:rPr>
                <w:rFonts w:ascii="Garamond" w:hAnsi="Garamond"/>
                <w:sz w:val="18"/>
              </w:rPr>
              <w:t>përdorimit të drejtë</w:t>
            </w:r>
          </w:p>
        </w:tc>
      </w:tr>
      <w:tr w:rsidR="00847F23" w:rsidRPr="00913E39" w14:paraId="36D44EAF" w14:textId="77777777" w:rsidTr="004F525C">
        <w:trPr>
          <w:trHeight w:val="20"/>
        </w:trPr>
        <w:tc>
          <w:tcPr>
            <w:tcW w:w="1344" w:type="dxa"/>
            <w:shd w:val="clear" w:color="auto" w:fill="auto"/>
          </w:tcPr>
          <w:p w14:paraId="4B92CA9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lastRenderedPageBreak/>
              <w:t>GB</w:t>
            </w:r>
          </w:p>
        </w:tc>
        <w:tc>
          <w:tcPr>
            <w:tcW w:w="7716" w:type="dxa"/>
            <w:gridSpan w:val="2"/>
            <w:shd w:val="clear" w:color="auto" w:fill="auto"/>
          </w:tcPr>
          <w:p w14:paraId="5973496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i/>
                <w:sz w:val="18"/>
              </w:rPr>
              <w:t>Gigabit</w:t>
            </w:r>
            <w:r w:rsidRPr="00913E39">
              <w:rPr>
                <w:rFonts w:ascii="Garamond" w:hAnsi="Garamond"/>
                <w:sz w:val="18"/>
              </w:rPr>
              <w:t xml:space="preserve"> </w:t>
            </w:r>
          </w:p>
        </w:tc>
      </w:tr>
      <w:tr w:rsidR="00847F23" w:rsidRPr="00913E39" w14:paraId="0ECACE6F" w14:textId="77777777" w:rsidTr="004F525C">
        <w:trPr>
          <w:trHeight w:val="20"/>
        </w:trPr>
        <w:tc>
          <w:tcPr>
            <w:tcW w:w="1344" w:type="dxa"/>
            <w:shd w:val="clear" w:color="auto" w:fill="auto"/>
          </w:tcPr>
          <w:p w14:paraId="09DB6DF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PBB</w:t>
            </w:r>
          </w:p>
        </w:tc>
        <w:tc>
          <w:tcPr>
            <w:tcW w:w="7716" w:type="dxa"/>
            <w:gridSpan w:val="2"/>
            <w:shd w:val="clear" w:color="auto" w:fill="auto"/>
          </w:tcPr>
          <w:p w14:paraId="4217314A" w14:textId="5563961F"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Prodhim i </w:t>
            </w:r>
            <w:r w:rsidR="00C7273C" w:rsidRPr="00913E39">
              <w:rPr>
                <w:rFonts w:ascii="Garamond" w:hAnsi="Garamond"/>
                <w:sz w:val="18"/>
              </w:rPr>
              <w:t>brendshëm bruto</w:t>
            </w:r>
          </w:p>
        </w:tc>
      </w:tr>
      <w:tr w:rsidR="00847F23" w:rsidRPr="00913E39" w14:paraId="6F50556E" w14:textId="77777777" w:rsidTr="004F525C">
        <w:trPr>
          <w:trHeight w:val="20"/>
        </w:trPr>
        <w:tc>
          <w:tcPr>
            <w:tcW w:w="1344" w:type="dxa"/>
            <w:shd w:val="clear" w:color="auto" w:fill="auto"/>
          </w:tcPr>
          <w:p w14:paraId="155E370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DPAP</w:t>
            </w:r>
          </w:p>
        </w:tc>
        <w:tc>
          <w:tcPr>
            <w:tcW w:w="7716" w:type="dxa"/>
            <w:gridSpan w:val="2"/>
            <w:shd w:val="clear" w:color="auto" w:fill="auto"/>
          </w:tcPr>
          <w:p w14:paraId="5A7255B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Drejtoria e Përgjithshme e Arsimit Parauniversitar</w:t>
            </w:r>
          </w:p>
        </w:tc>
      </w:tr>
      <w:tr w:rsidR="00847F23" w:rsidRPr="00913E39" w14:paraId="0BFC0193" w14:textId="77777777" w:rsidTr="004F525C">
        <w:trPr>
          <w:trHeight w:val="20"/>
        </w:trPr>
        <w:tc>
          <w:tcPr>
            <w:tcW w:w="1344" w:type="dxa"/>
            <w:shd w:val="clear" w:color="auto" w:fill="auto"/>
          </w:tcPr>
          <w:p w14:paraId="77EA3D0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GDPR</w:t>
            </w:r>
          </w:p>
        </w:tc>
        <w:tc>
          <w:tcPr>
            <w:tcW w:w="7716" w:type="dxa"/>
            <w:gridSpan w:val="2"/>
            <w:shd w:val="clear" w:color="auto" w:fill="auto"/>
          </w:tcPr>
          <w:p w14:paraId="7033BD8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Rregullore e Përgjithshme për Mbrojtjen e të Dhënave</w:t>
            </w:r>
          </w:p>
        </w:tc>
      </w:tr>
      <w:tr w:rsidR="00847F23" w:rsidRPr="00913E39" w14:paraId="25C156DC" w14:textId="77777777" w:rsidTr="004F525C">
        <w:trPr>
          <w:trHeight w:val="20"/>
        </w:trPr>
        <w:tc>
          <w:tcPr>
            <w:tcW w:w="1344" w:type="dxa"/>
            <w:shd w:val="clear" w:color="auto" w:fill="auto"/>
          </w:tcPr>
          <w:p w14:paraId="5DD52A2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DPAP</w:t>
            </w:r>
          </w:p>
        </w:tc>
        <w:tc>
          <w:tcPr>
            <w:tcW w:w="7716" w:type="dxa"/>
            <w:gridSpan w:val="2"/>
            <w:shd w:val="clear" w:color="auto" w:fill="auto"/>
          </w:tcPr>
          <w:p w14:paraId="55BF44D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Drejtoria e Përgjithshme e Arsimit Parauniversitar</w:t>
            </w:r>
          </w:p>
        </w:tc>
      </w:tr>
      <w:tr w:rsidR="00847F23" w:rsidRPr="00913E39" w14:paraId="1692117B" w14:textId="77777777" w:rsidTr="004F525C">
        <w:trPr>
          <w:trHeight w:val="20"/>
        </w:trPr>
        <w:tc>
          <w:tcPr>
            <w:tcW w:w="1344" w:type="dxa"/>
            <w:shd w:val="clear" w:color="auto" w:fill="auto"/>
          </w:tcPr>
          <w:p w14:paraId="052DEC7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DPT</w:t>
            </w:r>
          </w:p>
        </w:tc>
        <w:tc>
          <w:tcPr>
            <w:tcW w:w="7716" w:type="dxa"/>
            <w:gridSpan w:val="2"/>
            <w:shd w:val="clear" w:color="auto" w:fill="auto"/>
          </w:tcPr>
          <w:p w14:paraId="4DD59A6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Drejtoria Përgjithshme e Tatimeve</w:t>
            </w:r>
          </w:p>
        </w:tc>
      </w:tr>
      <w:tr w:rsidR="00847F23" w:rsidRPr="00913E39" w14:paraId="01F8A79A" w14:textId="77777777" w:rsidTr="004F525C">
        <w:trPr>
          <w:trHeight w:val="20"/>
        </w:trPr>
        <w:tc>
          <w:tcPr>
            <w:tcW w:w="1344" w:type="dxa"/>
            <w:shd w:val="clear" w:color="auto" w:fill="auto"/>
          </w:tcPr>
          <w:p w14:paraId="7CB552E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GIZ</w:t>
            </w:r>
          </w:p>
        </w:tc>
        <w:tc>
          <w:tcPr>
            <w:tcW w:w="7716" w:type="dxa"/>
            <w:gridSpan w:val="2"/>
            <w:shd w:val="clear" w:color="auto" w:fill="auto"/>
          </w:tcPr>
          <w:p w14:paraId="533A631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Agjencia Gjermane për Bashkëpunim Ndërkombëtar</w:t>
            </w:r>
          </w:p>
        </w:tc>
      </w:tr>
      <w:tr w:rsidR="00847F23" w:rsidRPr="00913E39" w14:paraId="522F8249" w14:textId="77777777" w:rsidTr="004F525C">
        <w:trPr>
          <w:trHeight w:val="20"/>
        </w:trPr>
        <w:tc>
          <w:tcPr>
            <w:tcW w:w="1344" w:type="dxa"/>
            <w:shd w:val="clear" w:color="auto" w:fill="auto"/>
          </w:tcPr>
          <w:p w14:paraId="3B42798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QSH</w:t>
            </w:r>
          </w:p>
        </w:tc>
        <w:tc>
          <w:tcPr>
            <w:tcW w:w="7716" w:type="dxa"/>
            <w:gridSpan w:val="2"/>
            <w:shd w:val="clear" w:color="auto" w:fill="auto"/>
          </w:tcPr>
          <w:p w14:paraId="003D7EA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Qeveria e Shqipërisë</w:t>
            </w:r>
          </w:p>
        </w:tc>
      </w:tr>
      <w:tr w:rsidR="00847F23" w:rsidRPr="00913E39" w14:paraId="0BEE1C86" w14:textId="77777777" w:rsidTr="004F525C">
        <w:trPr>
          <w:trHeight w:val="20"/>
        </w:trPr>
        <w:tc>
          <w:tcPr>
            <w:tcW w:w="1344" w:type="dxa"/>
            <w:shd w:val="clear" w:color="auto" w:fill="auto"/>
          </w:tcPr>
          <w:p w14:paraId="03A6134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GovNet</w:t>
            </w:r>
          </w:p>
        </w:tc>
        <w:tc>
          <w:tcPr>
            <w:tcW w:w="7716" w:type="dxa"/>
            <w:gridSpan w:val="2"/>
            <w:shd w:val="clear" w:color="auto" w:fill="auto"/>
          </w:tcPr>
          <w:p w14:paraId="153E23B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Rrjeti qeveritar</w:t>
            </w:r>
          </w:p>
        </w:tc>
      </w:tr>
      <w:tr w:rsidR="00847F23" w:rsidRPr="00913E39" w14:paraId="3BE91768" w14:textId="77777777" w:rsidTr="004F525C">
        <w:trPr>
          <w:trHeight w:val="20"/>
        </w:trPr>
        <w:tc>
          <w:tcPr>
            <w:tcW w:w="1344" w:type="dxa"/>
            <w:shd w:val="clear" w:color="auto" w:fill="auto"/>
          </w:tcPr>
          <w:p w14:paraId="48C8F4C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GSM</w:t>
            </w:r>
          </w:p>
        </w:tc>
        <w:tc>
          <w:tcPr>
            <w:tcW w:w="7716" w:type="dxa"/>
            <w:gridSpan w:val="2"/>
            <w:shd w:val="clear" w:color="auto" w:fill="auto"/>
          </w:tcPr>
          <w:p w14:paraId="6062732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Sistemi global për komunikimin celular</w:t>
            </w:r>
          </w:p>
        </w:tc>
      </w:tr>
      <w:tr w:rsidR="00847F23" w:rsidRPr="00913E39" w14:paraId="3115755D" w14:textId="77777777" w:rsidTr="004F525C">
        <w:trPr>
          <w:trHeight w:val="20"/>
        </w:trPr>
        <w:tc>
          <w:tcPr>
            <w:tcW w:w="1344" w:type="dxa"/>
            <w:shd w:val="clear" w:color="auto" w:fill="auto"/>
          </w:tcPr>
          <w:p w14:paraId="7833C20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SMIAL</w:t>
            </w:r>
          </w:p>
        </w:tc>
        <w:tc>
          <w:tcPr>
            <w:tcW w:w="7716" w:type="dxa"/>
            <w:gridSpan w:val="2"/>
            <w:shd w:val="clear" w:color="auto" w:fill="auto"/>
          </w:tcPr>
          <w:p w14:paraId="74A6764E" w14:textId="3D14C346"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Sistemi i </w:t>
            </w:r>
            <w:r w:rsidR="00C7273C" w:rsidRPr="00913E39">
              <w:rPr>
                <w:rFonts w:ascii="Garamond" w:hAnsi="Garamond"/>
                <w:sz w:val="18"/>
              </w:rPr>
              <w:t>menaxhimit të informacionit të arsimit të lartë</w:t>
            </w:r>
          </w:p>
        </w:tc>
      </w:tr>
      <w:tr w:rsidR="00847F23" w:rsidRPr="00913E39" w14:paraId="30CFFA0F" w14:textId="77777777" w:rsidTr="004F525C">
        <w:trPr>
          <w:trHeight w:val="20"/>
        </w:trPr>
        <w:tc>
          <w:tcPr>
            <w:tcW w:w="1344" w:type="dxa"/>
            <w:shd w:val="clear" w:color="auto" w:fill="auto"/>
          </w:tcPr>
          <w:p w14:paraId="1F44415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HHI</w:t>
            </w:r>
          </w:p>
        </w:tc>
        <w:tc>
          <w:tcPr>
            <w:tcW w:w="7716" w:type="dxa"/>
            <w:gridSpan w:val="2"/>
            <w:shd w:val="clear" w:color="auto" w:fill="auto"/>
          </w:tcPr>
          <w:p w14:paraId="188B3DD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Indeksi </w:t>
            </w:r>
            <w:r w:rsidRPr="00913E39">
              <w:rPr>
                <w:rFonts w:ascii="Garamond" w:hAnsi="Garamond"/>
                <w:i/>
                <w:sz w:val="18"/>
              </w:rPr>
              <w:t>Herfindahl–Hirschman</w:t>
            </w:r>
          </w:p>
        </w:tc>
      </w:tr>
      <w:tr w:rsidR="00847F23" w:rsidRPr="00913E39" w14:paraId="3D9A22BB" w14:textId="77777777" w:rsidTr="004F525C">
        <w:trPr>
          <w:trHeight w:val="20"/>
        </w:trPr>
        <w:tc>
          <w:tcPr>
            <w:tcW w:w="1344" w:type="dxa"/>
            <w:shd w:val="clear" w:color="auto" w:fill="auto"/>
          </w:tcPr>
          <w:p w14:paraId="35B8D79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HL7</w:t>
            </w:r>
          </w:p>
        </w:tc>
        <w:tc>
          <w:tcPr>
            <w:tcW w:w="7716" w:type="dxa"/>
            <w:gridSpan w:val="2"/>
            <w:shd w:val="clear" w:color="auto" w:fill="auto"/>
          </w:tcPr>
          <w:p w14:paraId="0F334992" w14:textId="77777777" w:rsidR="00847F23" w:rsidRPr="00913E39" w:rsidRDefault="00847F23" w:rsidP="004F525C">
            <w:pPr>
              <w:spacing w:after="0" w:line="240" w:lineRule="auto"/>
              <w:contextualSpacing/>
              <w:jc w:val="both"/>
              <w:rPr>
                <w:rFonts w:ascii="Garamond" w:hAnsi="Garamond"/>
                <w:i/>
                <w:sz w:val="18"/>
              </w:rPr>
            </w:pPr>
            <w:r w:rsidRPr="00913E39">
              <w:rPr>
                <w:rFonts w:ascii="Garamond" w:hAnsi="Garamond"/>
                <w:i/>
                <w:sz w:val="18"/>
              </w:rPr>
              <w:t>Health Level Seven International</w:t>
            </w:r>
          </w:p>
        </w:tc>
      </w:tr>
      <w:tr w:rsidR="00847F23" w:rsidRPr="00913E39" w14:paraId="3B95641E" w14:textId="77777777" w:rsidTr="004F525C">
        <w:trPr>
          <w:trHeight w:val="20"/>
        </w:trPr>
        <w:tc>
          <w:tcPr>
            <w:tcW w:w="1344" w:type="dxa"/>
            <w:shd w:val="clear" w:color="auto" w:fill="auto"/>
          </w:tcPr>
          <w:p w14:paraId="5D333EB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HPC</w:t>
            </w:r>
          </w:p>
        </w:tc>
        <w:tc>
          <w:tcPr>
            <w:tcW w:w="7716" w:type="dxa"/>
            <w:gridSpan w:val="2"/>
            <w:shd w:val="clear" w:color="auto" w:fill="auto"/>
          </w:tcPr>
          <w:p w14:paraId="11F9EA12" w14:textId="68830C4F"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Kompjuter me </w:t>
            </w:r>
            <w:r w:rsidR="00C7273C" w:rsidRPr="00913E39">
              <w:rPr>
                <w:rFonts w:ascii="Garamond" w:hAnsi="Garamond"/>
                <w:sz w:val="18"/>
              </w:rPr>
              <w:t>performancë të lartë</w:t>
            </w:r>
          </w:p>
        </w:tc>
      </w:tr>
      <w:tr w:rsidR="00847F23" w:rsidRPr="00913E39" w14:paraId="79271935" w14:textId="77777777" w:rsidTr="004F525C">
        <w:trPr>
          <w:gridAfter w:val="1"/>
          <w:wAfter w:w="26" w:type="dxa"/>
          <w:trHeight w:val="20"/>
        </w:trPr>
        <w:tc>
          <w:tcPr>
            <w:tcW w:w="1344" w:type="dxa"/>
            <w:shd w:val="clear" w:color="auto" w:fill="auto"/>
          </w:tcPr>
          <w:p w14:paraId="6D2EB9D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SIMBNJ</w:t>
            </w:r>
          </w:p>
        </w:tc>
        <w:tc>
          <w:tcPr>
            <w:tcW w:w="7690" w:type="dxa"/>
            <w:shd w:val="clear" w:color="auto" w:fill="auto"/>
          </w:tcPr>
          <w:p w14:paraId="349CA9B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Sistemi Informativ i Menaxhimit të Burimeve Njerëzore</w:t>
            </w:r>
          </w:p>
        </w:tc>
      </w:tr>
      <w:tr w:rsidR="00847F23" w:rsidRPr="00913E39" w14:paraId="1F16B8E2" w14:textId="77777777" w:rsidTr="004F525C">
        <w:trPr>
          <w:trHeight w:val="20"/>
        </w:trPr>
        <w:tc>
          <w:tcPr>
            <w:tcW w:w="1344" w:type="dxa"/>
            <w:shd w:val="clear" w:color="auto" w:fill="auto"/>
          </w:tcPr>
          <w:p w14:paraId="6BFEF6A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HSIP</w:t>
            </w:r>
          </w:p>
        </w:tc>
        <w:tc>
          <w:tcPr>
            <w:tcW w:w="7716" w:type="dxa"/>
            <w:gridSpan w:val="2"/>
            <w:shd w:val="clear" w:color="auto" w:fill="auto"/>
          </w:tcPr>
          <w:p w14:paraId="2F49037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Përmirësimi i Sistemit Shëndetësor</w:t>
            </w:r>
          </w:p>
        </w:tc>
      </w:tr>
      <w:tr w:rsidR="00847F23" w:rsidRPr="00913E39" w14:paraId="10BC0645" w14:textId="77777777" w:rsidTr="004F525C">
        <w:trPr>
          <w:trHeight w:val="20"/>
        </w:trPr>
        <w:tc>
          <w:tcPr>
            <w:tcW w:w="1344" w:type="dxa"/>
            <w:shd w:val="clear" w:color="auto" w:fill="auto"/>
          </w:tcPr>
          <w:p w14:paraId="45BF88F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IA</w:t>
            </w:r>
          </w:p>
        </w:tc>
        <w:tc>
          <w:tcPr>
            <w:tcW w:w="7716" w:type="dxa"/>
            <w:gridSpan w:val="2"/>
            <w:shd w:val="clear" w:color="auto" w:fill="auto"/>
          </w:tcPr>
          <w:p w14:paraId="5FF68E4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Auditimi i brendshëm </w:t>
            </w:r>
          </w:p>
        </w:tc>
      </w:tr>
      <w:tr w:rsidR="00847F23" w:rsidRPr="00913E39" w14:paraId="5710E4D1" w14:textId="77777777" w:rsidTr="004F525C">
        <w:trPr>
          <w:trHeight w:val="20"/>
        </w:trPr>
        <w:tc>
          <w:tcPr>
            <w:tcW w:w="1344" w:type="dxa"/>
            <w:shd w:val="clear" w:color="auto" w:fill="auto"/>
          </w:tcPr>
          <w:p w14:paraId="1849307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ICILS</w:t>
            </w:r>
          </w:p>
        </w:tc>
        <w:tc>
          <w:tcPr>
            <w:tcW w:w="7716" w:type="dxa"/>
            <w:gridSpan w:val="2"/>
            <w:shd w:val="clear" w:color="auto" w:fill="auto"/>
          </w:tcPr>
          <w:p w14:paraId="4AD48C2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Studimi Ndërkombëtar për Njohuritë Kompjuterike dhe Informacionin</w:t>
            </w:r>
          </w:p>
        </w:tc>
      </w:tr>
      <w:tr w:rsidR="00847F23" w:rsidRPr="00913E39" w14:paraId="4D0127CB" w14:textId="77777777" w:rsidTr="004F525C">
        <w:trPr>
          <w:trHeight w:val="20"/>
        </w:trPr>
        <w:tc>
          <w:tcPr>
            <w:tcW w:w="1344" w:type="dxa"/>
            <w:shd w:val="clear" w:color="auto" w:fill="auto"/>
          </w:tcPr>
          <w:p w14:paraId="3E27186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TIK</w:t>
            </w:r>
          </w:p>
        </w:tc>
        <w:tc>
          <w:tcPr>
            <w:tcW w:w="7716" w:type="dxa"/>
            <w:gridSpan w:val="2"/>
            <w:shd w:val="clear" w:color="auto" w:fill="auto"/>
          </w:tcPr>
          <w:p w14:paraId="7CE0895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Teknologjia e informacionit dhe Komunikimit</w:t>
            </w:r>
          </w:p>
        </w:tc>
      </w:tr>
      <w:tr w:rsidR="00847F23" w:rsidRPr="00913E39" w14:paraId="0E7B7D76" w14:textId="77777777" w:rsidTr="004F525C">
        <w:trPr>
          <w:trHeight w:val="20"/>
        </w:trPr>
        <w:tc>
          <w:tcPr>
            <w:tcW w:w="1344" w:type="dxa"/>
            <w:shd w:val="clear" w:color="auto" w:fill="auto"/>
          </w:tcPr>
          <w:p w14:paraId="40606D4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IHE</w:t>
            </w:r>
          </w:p>
        </w:tc>
        <w:tc>
          <w:tcPr>
            <w:tcW w:w="7716" w:type="dxa"/>
            <w:gridSpan w:val="2"/>
            <w:shd w:val="clear" w:color="auto" w:fill="auto"/>
          </w:tcPr>
          <w:p w14:paraId="4E4D81D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Integrimi i Ndërmarrjes Shëndetësore</w:t>
            </w:r>
          </w:p>
        </w:tc>
      </w:tr>
      <w:tr w:rsidR="00847F23" w:rsidRPr="00913E39" w14:paraId="73B2D7FC" w14:textId="77777777" w:rsidTr="004F525C">
        <w:trPr>
          <w:trHeight w:val="20"/>
        </w:trPr>
        <w:tc>
          <w:tcPr>
            <w:tcW w:w="1344" w:type="dxa"/>
            <w:shd w:val="clear" w:color="auto" w:fill="auto"/>
          </w:tcPr>
          <w:p w14:paraId="3288D59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FMN</w:t>
            </w:r>
          </w:p>
        </w:tc>
        <w:tc>
          <w:tcPr>
            <w:tcW w:w="7716" w:type="dxa"/>
            <w:gridSpan w:val="2"/>
            <w:shd w:val="clear" w:color="auto" w:fill="auto"/>
          </w:tcPr>
          <w:p w14:paraId="46778EE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Fondi Monetar Ndërkombëtar</w:t>
            </w:r>
          </w:p>
        </w:tc>
      </w:tr>
      <w:tr w:rsidR="00847F23" w:rsidRPr="00913E39" w14:paraId="67E18386" w14:textId="77777777" w:rsidTr="004F525C">
        <w:trPr>
          <w:trHeight w:val="20"/>
        </w:trPr>
        <w:tc>
          <w:tcPr>
            <w:tcW w:w="1344" w:type="dxa"/>
            <w:shd w:val="clear" w:color="auto" w:fill="auto"/>
          </w:tcPr>
          <w:p w14:paraId="2F14E01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INSTAT</w:t>
            </w:r>
          </w:p>
        </w:tc>
        <w:tc>
          <w:tcPr>
            <w:tcW w:w="7716" w:type="dxa"/>
            <w:gridSpan w:val="2"/>
            <w:shd w:val="clear" w:color="auto" w:fill="auto"/>
          </w:tcPr>
          <w:p w14:paraId="4EE5FB2B" w14:textId="6D3DA7D8"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Instituti Kombëtar i Statistikave në Shqipëri</w:t>
            </w:r>
          </w:p>
        </w:tc>
      </w:tr>
      <w:tr w:rsidR="00847F23" w:rsidRPr="00913E39" w14:paraId="0B94B871" w14:textId="77777777" w:rsidTr="004F525C">
        <w:trPr>
          <w:trHeight w:val="20"/>
        </w:trPr>
        <w:tc>
          <w:tcPr>
            <w:tcW w:w="1344" w:type="dxa"/>
            <w:shd w:val="clear" w:color="auto" w:fill="auto"/>
          </w:tcPr>
          <w:p w14:paraId="517FA2E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IoT</w:t>
            </w:r>
          </w:p>
        </w:tc>
        <w:tc>
          <w:tcPr>
            <w:tcW w:w="7716" w:type="dxa"/>
            <w:gridSpan w:val="2"/>
            <w:shd w:val="clear" w:color="auto" w:fill="auto"/>
          </w:tcPr>
          <w:p w14:paraId="2898DE4B" w14:textId="55BD1A1A" w:rsidR="00847F23" w:rsidRPr="00913E39" w:rsidRDefault="00847F23" w:rsidP="004F525C">
            <w:pPr>
              <w:spacing w:after="0" w:line="240" w:lineRule="auto"/>
              <w:contextualSpacing/>
              <w:jc w:val="both"/>
              <w:rPr>
                <w:rFonts w:ascii="Garamond" w:hAnsi="Garamond"/>
                <w:i/>
                <w:sz w:val="18"/>
              </w:rPr>
            </w:pPr>
            <w:r w:rsidRPr="00913E39">
              <w:rPr>
                <w:rFonts w:ascii="Garamond" w:hAnsi="Garamond"/>
                <w:i/>
                <w:sz w:val="18"/>
              </w:rPr>
              <w:t>Internet of Things</w:t>
            </w:r>
          </w:p>
        </w:tc>
      </w:tr>
      <w:tr w:rsidR="00847F23" w:rsidRPr="00913E39" w14:paraId="5874B075" w14:textId="77777777" w:rsidTr="004F525C">
        <w:trPr>
          <w:trHeight w:val="20"/>
        </w:trPr>
        <w:tc>
          <w:tcPr>
            <w:tcW w:w="1344" w:type="dxa"/>
            <w:shd w:val="clear" w:color="auto" w:fill="auto"/>
          </w:tcPr>
          <w:p w14:paraId="63748EA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IPA</w:t>
            </w:r>
          </w:p>
        </w:tc>
        <w:tc>
          <w:tcPr>
            <w:tcW w:w="7716" w:type="dxa"/>
            <w:gridSpan w:val="2"/>
            <w:shd w:val="clear" w:color="auto" w:fill="auto"/>
          </w:tcPr>
          <w:p w14:paraId="09929BEE" w14:textId="68084C4E"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Instrumenti për Ndihmë Para</w:t>
            </w:r>
            <w:r w:rsidR="0090228E" w:rsidRPr="00913E39">
              <w:rPr>
                <w:rFonts w:ascii="Garamond" w:hAnsi="Garamond"/>
                <w:sz w:val="18"/>
              </w:rPr>
              <w:t>a</w:t>
            </w:r>
            <w:r w:rsidRPr="00913E39">
              <w:rPr>
                <w:rFonts w:ascii="Garamond" w:hAnsi="Garamond"/>
                <w:sz w:val="18"/>
              </w:rPr>
              <w:t>nëtarësimit</w:t>
            </w:r>
          </w:p>
        </w:tc>
      </w:tr>
      <w:tr w:rsidR="00847F23" w:rsidRPr="00913E39" w14:paraId="1C62D5D2" w14:textId="77777777" w:rsidTr="004F525C">
        <w:trPr>
          <w:trHeight w:val="20"/>
        </w:trPr>
        <w:tc>
          <w:tcPr>
            <w:tcW w:w="1344" w:type="dxa"/>
            <w:shd w:val="clear" w:color="auto" w:fill="auto"/>
          </w:tcPr>
          <w:p w14:paraId="0FA25EC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GMPI</w:t>
            </w:r>
          </w:p>
        </w:tc>
        <w:tc>
          <w:tcPr>
            <w:tcW w:w="7716" w:type="dxa"/>
            <w:gridSpan w:val="2"/>
            <w:shd w:val="clear" w:color="auto" w:fill="auto"/>
          </w:tcPr>
          <w:p w14:paraId="631AF62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Grupi për Menaxhimin e Politikave të Integruara</w:t>
            </w:r>
          </w:p>
        </w:tc>
      </w:tr>
      <w:tr w:rsidR="00847F23" w:rsidRPr="00913E39" w14:paraId="4D3A32F1" w14:textId="77777777" w:rsidTr="004F525C">
        <w:trPr>
          <w:trHeight w:val="20"/>
        </w:trPr>
        <w:tc>
          <w:tcPr>
            <w:tcW w:w="1344" w:type="dxa"/>
            <w:shd w:val="clear" w:color="auto" w:fill="auto"/>
          </w:tcPr>
          <w:p w14:paraId="16B198F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SPI</w:t>
            </w:r>
          </w:p>
        </w:tc>
        <w:tc>
          <w:tcPr>
            <w:tcW w:w="7716" w:type="dxa"/>
            <w:gridSpan w:val="2"/>
            <w:shd w:val="clear" w:color="auto" w:fill="auto"/>
          </w:tcPr>
          <w:p w14:paraId="364697C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Sistem i planifikimit të integruar</w:t>
            </w:r>
          </w:p>
        </w:tc>
      </w:tr>
      <w:tr w:rsidR="00847F23" w:rsidRPr="00913E39" w14:paraId="4D6FD035" w14:textId="77777777" w:rsidTr="004F525C">
        <w:trPr>
          <w:trHeight w:val="20"/>
        </w:trPr>
        <w:tc>
          <w:tcPr>
            <w:tcW w:w="1344" w:type="dxa"/>
            <w:shd w:val="clear" w:color="auto" w:fill="auto"/>
          </w:tcPr>
          <w:p w14:paraId="4CC12C7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SIPI</w:t>
            </w:r>
          </w:p>
        </w:tc>
        <w:tc>
          <w:tcPr>
            <w:tcW w:w="7716" w:type="dxa"/>
            <w:gridSpan w:val="2"/>
            <w:shd w:val="clear" w:color="auto" w:fill="auto"/>
          </w:tcPr>
          <w:p w14:paraId="29D437D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Sistemi Informatik i Planifikimit të Integruar</w:t>
            </w:r>
          </w:p>
        </w:tc>
      </w:tr>
      <w:tr w:rsidR="00847F23" w:rsidRPr="00913E39" w14:paraId="31C3FCBD" w14:textId="77777777" w:rsidTr="004F525C">
        <w:trPr>
          <w:trHeight w:val="20"/>
        </w:trPr>
        <w:tc>
          <w:tcPr>
            <w:tcW w:w="1344" w:type="dxa"/>
            <w:shd w:val="clear" w:color="auto" w:fill="auto"/>
          </w:tcPr>
          <w:p w14:paraId="5593609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ISO</w:t>
            </w:r>
          </w:p>
        </w:tc>
        <w:tc>
          <w:tcPr>
            <w:tcW w:w="7716" w:type="dxa"/>
            <w:gridSpan w:val="2"/>
            <w:shd w:val="clear" w:color="auto" w:fill="auto"/>
          </w:tcPr>
          <w:p w14:paraId="11EC4FF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Organizata Ndërkombëtare për Standardizimin</w:t>
            </w:r>
          </w:p>
        </w:tc>
      </w:tr>
      <w:tr w:rsidR="00847F23" w:rsidRPr="00913E39" w14:paraId="7525FE64" w14:textId="77777777" w:rsidTr="004F525C">
        <w:trPr>
          <w:trHeight w:val="20"/>
        </w:trPr>
        <w:tc>
          <w:tcPr>
            <w:tcW w:w="1344" w:type="dxa"/>
            <w:shd w:val="clear" w:color="auto" w:fill="auto"/>
          </w:tcPr>
          <w:p w14:paraId="46C3A1D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SNSRAP</w:t>
            </w:r>
          </w:p>
        </w:tc>
        <w:tc>
          <w:tcPr>
            <w:tcW w:w="7716" w:type="dxa"/>
            <w:gridSpan w:val="2"/>
            <w:shd w:val="clear" w:color="auto" w:fill="auto"/>
          </w:tcPr>
          <w:p w14:paraId="5A25BF3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Strategjia Ndërsektorale e Reformës së Administratës Publike</w:t>
            </w:r>
          </w:p>
        </w:tc>
      </w:tr>
      <w:tr w:rsidR="00847F23" w:rsidRPr="00913E39" w14:paraId="1A6E9581" w14:textId="77777777" w:rsidTr="004F525C">
        <w:trPr>
          <w:trHeight w:val="20"/>
        </w:trPr>
        <w:tc>
          <w:tcPr>
            <w:tcW w:w="1344" w:type="dxa"/>
            <w:shd w:val="clear" w:color="auto" w:fill="auto"/>
          </w:tcPr>
          <w:p w14:paraId="4D9D38D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IT</w:t>
            </w:r>
          </w:p>
        </w:tc>
        <w:tc>
          <w:tcPr>
            <w:tcW w:w="7716" w:type="dxa"/>
            <w:gridSpan w:val="2"/>
            <w:shd w:val="clear" w:color="auto" w:fill="auto"/>
          </w:tcPr>
          <w:p w14:paraId="239B5DE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Teknologjia e Informacionit</w:t>
            </w:r>
          </w:p>
        </w:tc>
      </w:tr>
      <w:tr w:rsidR="00847F23" w:rsidRPr="00913E39" w14:paraId="06F864B9" w14:textId="77777777" w:rsidTr="004F525C">
        <w:trPr>
          <w:trHeight w:val="20"/>
        </w:trPr>
        <w:tc>
          <w:tcPr>
            <w:tcW w:w="1344" w:type="dxa"/>
            <w:shd w:val="clear" w:color="auto" w:fill="auto"/>
          </w:tcPr>
          <w:p w14:paraId="1F6A31E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ITU</w:t>
            </w:r>
          </w:p>
        </w:tc>
        <w:tc>
          <w:tcPr>
            <w:tcW w:w="7716" w:type="dxa"/>
            <w:gridSpan w:val="2"/>
            <w:shd w:val="clear" w:color="auto" w:fill="auto"/>
          </w:tcPr>
          <w:p w14:paraId="4808718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Unioni Ndërkombëtar i Telekomunikacionit</w:t>
            </w:r>
          </w:p>
        </w:tc>
      </w:tr>
      <w:tr w:rsidR="00847F23" w:rsidRPr="00913E39" w14:paraId="56ABE9E2" w14:textId="77777777" w:rsidTr="004F525C">
        <w:trPr>
          <w:trHeight w:val="20"/>
        </w:trPr>
        <w:tc>
          <w:tcPr>
            <w:tcW w:w="1344" w:type="dxa"/>
            <w:shd w:val="clear" w:color="auto" w:fill="auto"/>
          </w:tcPr>
          <w:p w14:paraId="023CB96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LE</w:t>
            </w:r>
          </w:p>
        </w:tc>
        <w:tc>
          <w:tcPr>
            <w:tcW w:w="7716" w:type="dxa"/>
            <w:gridSpan w:val="2"/>
            <w:shd w:val="clear" w:color="auto" w:fill="auto"/>
          </w:tcPr>
          <w:p w14:paraId="6EA1F7C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Ngjarjet e Jetës</w:t>
            </w:r>
          </w:p>
        </w:tc>
      </w:tr>
      <w:tr w:rsidR="00847F23" w:rsidRPr="00913E39" w14:paraId="3104E76B" w14:textId="77777777" w:rsidTr="004F525C">
        <w:trPr>
          <w:trHeight w:val="20"/>
        </w:trPr>
        <w:tc>
          <w:tcPr>
            <w:tcW w:w="1344" w:type="dxa"/>
            <w:shd w:val="clear" w:color="auto" w:fill="auto"/>
          </w:tcPr>
          <w:p w14:paraId="1C386A6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AFP</w:t>
            </w:r>
          </w:p>
        </w:tc>
        <w:tc>
          <w:tcPr>
            <w:tcW w:w="7716" w:type="dxa"/>
            <w:gridSpan w:val="2"/>
            <w:shd w:val="clear" w:color="auto" w:fill="auto"/>
          </w:tcPr>
          <w:p w14:paraId="3B57C3F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Anketa e Fuqisë Punëtore</w:t>
            </w:r>
          </w:p>
        </w:tc>
      </w:tr>
      <w:tr w:rsidR="00847F23" w:rsidRPr="00913E39" w14:paraId="26800747" w14:textId="77777777" w:rsidTr="004F525C">
        <w:trPr>
          <w:trHeight w:val="20"/>
        </w:trPr>
        <w:tc>
          <w:tcPr>
            <w:tcW w:w="1344" w:type="dxa"/>
            <w:shd w:val="clear" w:color="auto" w:fill="auto"/>
          </w:tcPr>
          <w:p w14:paraId="242EB8C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ZVAP</w:t>
            </w:r>
          </w:p>
        </w:tc>
        <w:tc>
          <w:tcPr>
            <w:tcW w:w="7716" w:type="dxa"/>
            <w:gridSpan w:val="2"/>
            <w:shd w:val="clear" w:color="auto" w:fill="auto"/>
          </w:tcPr>
          <w:p w14:paraId="2F7494D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Zyra Vendore e Arsimit Parauniversitar</w:t>
            </w:r>
          </w:p>
        </w:tc>
      </w:tr>
      <w:tr w:rsidR="00847F23" w:rsidRPr="00913E39" w14:paraId="5C032399" w14:textId="77777777" w:rsidTr="004F525C">
        <w:trPr>
          <w:trHeight w:val="20"/>
        </w:trPr>
        <w:tc>
          <w:tcPr>
            <w:tcW w:w="1344" w:type="dxa"/>
            <w:shd w:val="clear" w:color="auto" w:fill="auto"/>
          </w:tcPr>
          <w:p w14:paraId="18A4079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LTE</w:t>
            </w:r>
          </w:p>
        </w:tc>
        <w:tc>
          <w:tcPr>
            <w:tcW w:w="7716" w:type="dxa"/>
            <w:gridSpan w:val="2"/>
            <w:shd w:val="clear" w:color="auto" w:fill="auto"/>
          </w:tcPr>
          <w:p w14:paraId="67C3C25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Standard për Komunikimet Celulare</w:t>
            </w:r>
          </w:p>
        </w:tc>
      </w:tr>
      <w:tr w:rsidR="00847F23" w:rsidRPr="00913E39" w14:paraId="2E13425E" w14:textId="77777777" w:rsidTr="004F525C">
        <w:trPr>
          <w:trHeight w:val="20"/>
        </w:trPr>
        <w:tc>
          <w:tcPr>
            <w:tcW w:w="1344" w:type="dxa"/>
            <w:shd w:val="clear" w:color="auto" w:fill="auto"/>
          </w:tcPr>
          <w:p w14:paraId="7F7993E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M&amp;V</w:t>
            </w:r>
          </w:p>
        </w:tc>
        <w:tc>
          <w:tcPr>
            <w:tcW w:w="7716" w:type="dxa"/>
            <w:gridSpan w:val="2"/>
            <w:shd w:val="clear" w:color="auto" w:fill="auto"/>
          </w:tcPr>
          <w:p w14:paraId="762CC1C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Monitorimi dhe Vlerësimi</w:t>
            </w:r>
          </w:p>
        </w:tc>
      </w:tr>
      <w:tr w:rsidR="00847F23" w:rsidRPr="00913E39" w14:paraId="0F4D0B3C" w14:textId="77777777" w:rsidTr="004F525C">
        <w:trPr>
          <w:trHeight w:val="20"/>
        </w:trPr>
        <w:tc>
          <w:tcPr>
            <w:tcW w:w="1344" w:type="dxa"/>
            <w:shd w:val="clear" w:color="auto" w:fill="auto"/>
          </w:tcPr>
          <w:p w14:paraId="33E5DDD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PVSHV ZER</w:t>
            </w:r>
          </w:p>
        </w:tc>
        <w:tc>
          <w:tcPr>
            <w:tcW w:w="7716" w:type="dxa"/>
            <w:gridSpan w:val="2"/>
            <w:shd w:val="clear" w:color="auto" w:fill="auto"/>
          </w:tcPr>
          <w:p w14:paraId="147CB58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Plan Veprimi Shumëvjeçar për Zonën Ekonomike Rajonale </w:t>
            </w:r>
          </w:p>
        </w:tc>
      </w:tr>
      <w:tr w:rsidR="00847F23" w:rsidRPr="00913E39" w14:paraId="374B0962" w14:textId="77777777" w:rsidTr="004F525C">
        <w:trPr>
          <w:trHeight w:val="20"/>
        </w:trPr>
        <w:tc>
          <w:tcPr>
            <w:tcW w:w="1344" w:type="dxa"/>
            <w:shd w:val="clear" w:color="auto" w:fill="auto"/>
          </w:tcPr>
          <w:p w14:paraId="19B4B4B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MSB</w:t>
            </w:r>
          </w:p>
        </w:tc>
        <w:tc>
          <w:tcPr>
            <w:tcW w:w="7716" w:type="dxa"/>
            <w:gridSpan w:val="2"/>
            <w:shd w:val="clear" w:color="auto" w:fill="auto"/>
          </w:tcPr>
          <w:p w14:paraId="4484D77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Menaxhimi i Sistemit Buxhetor </w:t>
            </w:r>
          </w:p>
        </w:tc>
      </w:tr>
      <w:tr w:rsidR="00847F23" w:rsidRPr="00913E39" w14:paraId="203BF94B" w14:textId="77777777" w:rsidTr="004F525C">
        <w:trPr>
          <w:trHeight w:val="20"/>
        </w:trPr>
        <w:tc>
          <w:tcPr>
            <w:tcW w:w="1344" w:type="dxa"/>
            <w:shd w:val="clear" w:color="auto" w:fill="auto"/>
          </w:tcPr>
          <w:p w14:paraId="54B3D8E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MHz</w:t>
            </w:r>
          </w:p>
        </w:tc>
        <w:tc>
          <w:tcPr>
            <w:tcW w:w="7716" w:type="dxa"/>
            <w:gridSpan w:val="2"/>
            <w:shd w:val="clear" w:color="auto" w:fill="auto"/>
          </w:tcPr>
          <w:p w14:paraId="1296049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Megahertz</w:t>
            </w:r>
          </w:p>
        </w:tc>
      </w:tr>
      <w:tr w:rsidR="00847F23" w:rsidRPr="00913E39" w14:paraId="6D27A684" w14:textId="77777777" w:rsidTr="004F525C">
        <w:trPr>
          <w:trHeight w:val="20"/>
        </w:trPr>
        <w:tc>
          <w:tcPr>
            <w:tcW w:w="1344" w:type="dxa"/>
            <w:shd w:val="clear" w:color="auto" w:fill="auto"/>
          </w:tcPr>
          <w:p w14:paraId="37D7683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MIE</w:t>
            </w:r>
          </w:p>
        </w:tc>
        <w:tc>
          <w:tcPr>
            <w:tcW w:w="7716" w:type="dxa"/>
            <w:gridSpan w:val="2"/>
            <w:shd w:val="clear" w:color="auto" w:fill="auto"/>
          </w:tcPr>
          <w:p w14:paraId="5DC5179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Ministria e Infrastrukturës dhe Energjisë</w:t>
            </w:r>
          </w:p>
        </w:tc>
      </w:tr>
      <w:tr w:rsidR="00847F23" w:rsidRPr="00913E39" w14:paraId="30687D0F" w14:textId="77777777" w:rsidTr="004F525C">
        <w:trPr>
          <w:trHeight w:val="20"/>
        </w:trPr>
        <w:tc>
          <w:tcPr>
            <w:tcW w:w="1344" w:type="dxa"/>
            <w:shd w:val="clear" w:color="auto" w:fill="auto"/>
          </w:tcPr>
          <w:p w14:paraId="252C16E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ML</w:t>
            </w:r>
          </w:p>
        </w:tc>
        <w:tc>
          <w:tcPr>
            <w:tcW w:w="7716" w:type="dxa"/>
            <w:gridSpan w:val="2"/>
            <w:shd w:val="clear" w:color="auto" w:fill="auto"/>
          </w:tcPr>
          <w:p w14:paraId="27778CF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Mësimi Kompjuterik </w:t>
            </w:r>
          </w:p>
        </w:tc>
      </w:tr>
      <w:tr w:rsidR="00847F23" w:rsidRPr="00913E39" w14:paraId="39414C78" w14:textId="77777777" w:rsidTr="004F525C">
        <w:trPr>
          <w:trHeight w:val="20"/>
        </w:trPr>
        <w:tc>
          <w:tcPr>
            <w:tcW w:w="1344" w:type="dxa"/>
            <w:shd w:val="clear" w:color="auto" w:fill="auto"/>
          </w:tcPr>
          <w:p w14:paraId="3392764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MMF</w:t>
            </w:r>
          </w:p>
        </w:tc>
        <w:tc>
          <w:tcPr>
            <w:tcW w:w="7716" w:type="dxa"/>
            <w:gridSpan w:val="2"/>
            <w:shd w:val="clear" w:color="auto" w:fill="auto"/>
          </w:tcPr>
          <w:p w14:paraId="14D1374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Dokumenti Kuadër Makroekonomik Afatmesëm i Shqipërisë</w:t>
            </w:r>
          </w:p>
        </w:tc>
      </w:tr>
      <w:tr w:rsidR="00847F23" w:rsidRPr="00913E39" w14:paraId="4C0F1A7B" w14:textId="77777777" w:rsidTr="004F525C">
        <w:trPr>
          <w:trHeight w:val="20"/>
        </w:trPr>
        <w:tc>
          <w:tcPr>
            <w:tcW w:w="1344" w:type="dxa"/>
            <w:shd w:val="clear" w:color="auto" w:fill="auto"/>
          </w:tcPr>
          <w:p w14:paraId="191F769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MNE</w:t>
            </w:r>
          </w:p>
        </w:tc>
        <w:tc>
          <w:tcPr>
            <w:tcW w:w="7716" w:type="dxa"/>
            <w:gridSpan w:val="2"/>
            <w:shd w:val="clear" w:color="auto" w:fill="auto"/>
          </w:tcPr>
          <w:p w14:paraId="6715D81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Ndërmarrje Shumëkombëshe </w:t>
            </w:r>
          </w:p>
        </w:tc>
      </w:tr>
      <w:tr w:rsidR="00847F23" w:rsidRPr="00913E39" w14:paraId="02C78551" w14:textId="77777777" w:rsidTr="004F525C">
        <w:trPr>
          <w:trHeight w:val="20"/>
        </w:trPr>
        <w:tc>
          <w:tcPr>
            <w:tcW w:w="1344" w:type="dxa"/>
            <w:shd w:val="clear" w:color="auto" w:fill="auto"/>
          </w:tcPr>
          <w:p w14:paraId="7A77C8C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MAS</w:t>
            </w:r>
          </w:p>
        </w:tc>
        <w:tc>
          <w:tcPr>
            <w:tcW w:w="7716" w:type="dxa"/>
            <w:gridSpan w:val="2"/>
            <w:shd w:val="clear" w:color="auto" w:fill="auto"/>
          </w:tcPr>
          <w:p w14:paraId="605D9FC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Ministria e Arsimit dhe Sporteve</w:t>
            </w:r>
          </w:p>
        </w:tc>
      </w:tr>
      <w:tr w:rsidR="00847F23" w:rsidRPr="00913E39" w14:paraId="3427CA49" w14:textId="77777777" w:rsidTr="004F525C">
        <w:trPr>
          <w:trHeight w:val="20"/>
        </w:trPr>
        <w:tc>
          <w:tcPr>
            <w:tcW w:w="1344" w:type="dxa"/>
            <w:shd w:val="clear" w:color="auto" w:fill="auto"/>
          </w:tcPr>
          <w:p w14:paraId="3B5216B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MFE</w:t>
            </w:r>
          </w:p>
        </w:tc>
        <w:tc>
          <w:tcPr>
            <w:tcW w:w="7716" w:type="dxa"/>
            <w:gridSpan w:val="2"/>
            <w:shd w:val="clear" w:color="auto" w:fill="auto"/>
          </w:tcPr>
          <w:p w14:paraId="573F583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Ministria e Financave dhe Ekonomisë</w:t>
            </w:r>
          </w:p>
        </w:tc>
      </w:tr>
      <w:tr w:rsidR="00847F23" w:rsidRPr="00913E39" w14:paraId="14C4DE9D" w14:textId="77777777" w:rsidTr="004F525C">
        <w:trPr>
          <w:trHeight w:val="20"/>
        </w:trPr>
        <w:tc>
          <w:tcPr>
            <w:tcW w:w="1344" w:type="dxa"/>
            <w:shd w:val="clear" w:color="auto" w:fill="auto"/>
          </w:tcPr>
          <w:p w14:paraId="758834F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MSHMS</w:t>
            </w:r>
          </w:p>
        </w:tc>
        <w:tc>
          <w:tcPr>
            <w:tcW w:w="7716" w:type="dxa"/>
            <w:gridSpan w:val="2"/>
            <w:shd w:val="clear" w:color="auto" w:fill="auto"/>
          </w:tcPr>
          <w:p w14:paraId="0565283A" w14:textId="77E48394"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Ministria e </w:t>
            </w:r>
            <w:r w:rsidR="00827E64" w:rsidRPr="00913E39">
              <w:rPr>
                <w:rFonts w:ascii="Garamond" w:hAnsi="Garamond"/>
                <w:sz w:val="18"/>
              </w:rPr>
              <w:t>Shëndetësisë</w:t>
            </w:r>
            <w:r w:rsidRPr="00913E39">
              <w:rPr>
                <w:rFonts w:ascii="Garamond" w:hAnsi="Garamond"/>
                <w:sz w:val="18"/>
              </w:rPr>
              <w:t xml:space="preserve"> dhe Mbrojtjes Sociale</w:t>
            </w:r>
          </w:p>
        </w:tc>
      </w:tr>
      <w:tr w:rsidR="00847F23" w:rsidRPr="00913E39" w14:paraId="38C4F49F" w14:textId="77777777" w:rsidTr="004F525C">
        <w:trPr>
          <w:trHeight w:val="20"/>
        </w:trPr>
        <w:tc>
          <w:tcPr>
            <w:tcW w:w="1344" w:type="dxa"/>
            <w:shd w:val="clear" w:color="auto" w:fill="auto"/>
          </w:tcPr>
          <w:p w14:paraId="5F9CE09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MRI</w:t>
            </w:r>
          </w:p>
        </w:tc>
        <w:tc>
          <w:tcPr>
            <w:tcW w:w="7716" w:type="dxa"/>
            <w:gridSpan w:val="2"/>
            <w:shd w:val="clear" w:color="auto" w:fill="auto"/>
          </w:tcPr>
          <w:p w14:paraId="2060B32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Imazheri Rezonancë Magnetike</w:t>
            </w:r>
          </w:p>
        </w:tc>
      </w:tr>
      <w:tr w:rsidR="00847F23" w:rsidRPr="00913E39" w14:paraId="3AE84530" w14:textId="77777777" w:rsidTr="004F525C">
        <w:trPr>
          <w:trHeight w:val="20"/>
        </w:trPr>
        <w:tc>
          <w:tcPr>
            <w:tcW w:w="1344" w:type="dxa"/>
            <w:shd w:val="clear" w:color="auto" w:fill="auto"/>
          </w:tcPr>
          <w:p w14:paraId="76E9465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PBA</w:t>
            </w:r>
          </w:p>
        </w:tc>
        <w:tc>
          <w:tcPr>
            <w:tcW w:w="7716" w:type="dxa"/>
            <w:gridSpan w:val="2"/>
            <w:shd w:val="clear" w:color="auto" w:fill="auto"/>
          </w:tcPr>
          <w:p w14:paraId="6E3D260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Plani Buxhetor Afatmesëm</w:t>
            </w:r>
          </w:p>
        </w:tc>
      </w:tr>
      <w:tr w:rsidR="00847F23" w:rsidRPr="00913E39" w14:paraId="5E50CEA6" w14:textId="77777777" w:rsidTr="004F525C">
        <w:trPr>
          <w:trHeight w:val="20"/>
        </w:trPr>
        <w:tc>
          <w:tcPr>
            <w:tcW w:w="1344" w:type="dxa"/>
            <w:shd w:val="clear" w:color="auto" w:fill="auto"/>
          </w:tcPr>
          <w:p w14:paraId="7BB3254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SAMB</w:t>
            </w:r>
          </w:p>
        </w:tc>
        <w:tc>
          <w:tcPr>
            <w:tcW w:w="7716" w:type="dxa"/>
            <w:gridSpan w:val="2"/>
            <w:shd w:val="clear" w:color="auto" w:fill="auto"/>
          </w:tcPr>
          <w:p w14:paraId="22A991F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Strategjia Afatmesme e Menaxhimit të Borxhit</w:t>
            </w:r>
          </w:p>
        </w:tc>
      </w:tr>
      <w:tr w:rsidR="00847F23" w:rsidRPr="00913E39" w14:paraId="20BB43EA" w14:textId="77777777" w:rsidTr="004F525C">
        <w:trPr>
          <w:trHeight w:val="20"/>
        </w:trPr>
        <w:tc>
          <w:tcPr>
            <w:tcW w:w="1344" w:type="dxa"/>
            <w:shd w:val="clear" w:color="auto" w:fill="auto"/>
          </w:tcPr>
          <w:p w14:paraId="5D14990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PA</w:t>
            </w:r>
          </w:p>
        </w:tc>
        <w:tc>
          <w:tcPr>
            <w:tcW w:w="7716" w:type="dxa"/>
            <w:gridSpan w:val="2"/>
            <w:shd w:val="clear" w:color="auto" w:fill="auto"/>
          </w:tcPr>
          <w:p w14:paraId="7A40BDB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Programi Afatmesëm</w:t>
            </w:r>
          </w:p>
        </w:tc>
      </w:tr>
      <w:tr w:rsidR="00847F23" w:rsidRPr="00913E39" w14:paraId="28EFAD20" w14:textId="77777777" w:rsidTr="004F525C">
        <w:trPr>
          <w:trHeight w:val="20"/>
        </w:trPr>
        <w:tc>
          <w:tcPr>
            <w:tcW w:w="1344" w:type="dxa"/>
            <w:shd w:val="clear" w:color="auto" w:fill="auto"/>
          </w:tcPr>
          <w:p w14:paraId="4B293C7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SAMA</w:t>
            </w:r>
          </w:p>
        </w:tc>
        <w:tc>
          <w:tcPr>
            <w:tcW w:w="7716" w:type="dxa"/>
            <w:gridSpan w:val="2"/>
            <w:shd w:val="clear" w:color="auto" w:fill="auto"/>
          </w:tcPr>
          <w:p w14:paraId="0800FCD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Strategjia Afatmesme e të Ardhurave</w:t>
            </w:r>
          </w:p>
        </w:tc>
      </w:tr>
      <w:tr w:rsidR="00847F23" w:rsidRPr="00913E39" w14:paraId="3CA475A3" w14:textId="77777777" w:rsidTr="004F525C">
        <w:trPr>
          <w:trHeight w:val="20"/>
        </w:trPr>
        <w:tc>
          <w:tcPr>
            <w:tcW w:w="1344" w:type="dxa"/>
            <w:shd w:val="clear" w:color="auto" w:fill="auto"/>
          </w:tcPr>
          <w:p w14:paraId="0DD17E3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AKCESK</w:t>
            </w:r>
          </w:p>
        </w:tc>
        <w:tc>
          <w:tcPr>
            <w:tcW w:w="7716" w:type="dxa"/>
            <w:gridSpan w:val="2"/>
            <w:shd w:val="clear" w:color="auto" w:fill="auto"/>
          </w:tcPr>
          <w:p w14:paraId="38E4CD4B" w14:textId="77777777" w:rsidR="00847F23" w:rsidRPr="00913E39" w:rsidRDefault="00847F23" w:rsidP="004F525C">
            <w:pPr>
              <w:spacing w:after="0" w:line="240" w:lineRule="auto"/>
              <w:contextualSpacing/>
              <w:jc w:val="both"/>
              <w:rPr>
                <w:rFonts w:ascii="Garamond" w:hAnsi="Garamond"/>
                <w:sz w:val="18"/>
              </w:rPr>
            </w:pPr>
            <w:bookmarkStart w:id="54" w:name="_Hlk137575140"/>
            <w:r w:rsidRPr="00913E39">
              <w:rPr>
                <w:rFonts w:ascii="Garamond" w:hAnsi="Garamond"/>
                <w:sz w:val="18"/>
              </w:rPr>
              <w:t>Autoriteti Kombëtar për Certifikimin Elektronik dhe Sigurinë Kibernetike</w:t>
            </w:r>
            <w:bookmarkEnd w:id="54"/>
          </w:p>
        </w:tc>
      </w:tr>
      <w:tr w:rsidR="00847F23" w:rsidRPr="00913E39" w14:paraId="53DCA474" w14:textId="77777777" w:rsidTr="004F525C">
        <w:trPr>
          <w:trHeight w:val="20"/>
        </w:trPr>
        <w:tc>
          <w:tcPr>
            <w:tcW w:w="1344" w:type="dxa"/>
            <w:shd w:val="clear" w:color="auto" w:fill="auto"/>
          </w:tcPr>
          <w:p w14:paraId="0C41BB5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AKSHI</w:t>
            </w:r>
          </w:p>
        </w:tc>
        <w:tc>
          <w:tcPr>
            <w:tcW w:w="7716" w:type="dxa"/>
            <w:gridSpan w:val="2"/>
            <w:shd w:val="clear" w:color="auto" w:fill="auto"/>
          </w:tcPr>
          <w:p w14:paraId="50BBE8BE"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Agjencia Kombëtare e Shoqërisë së Informacionit</w:t>
            </w:r>
          </w:p>
        </w:tc>
      </w:tr>
      <w:tr w:rsidR="00847F23" w:rsidRPr="00913E39" w14:paraId="78C803DE" w14:textId="77777777" w:rsidTr="004F525C">
        <w:trPr>
          <w:trHeight w:val="20"/>
        </w:trPr>
        <w:tc>
          <w:tcPr>
            <w:tcW w:w="1344" w:type="dxa"/>
            <w:shd w:val="clear" w:color="auto" w:fill="auto"/>
          </w:tcPr>
          <w:p w14:paraId="529DD16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NATO</w:t>
            </w:r>
          </w:p>
        </w:tc>
        <w:tc>
          <w:tcPr>
            <w:tcW w:w="7716" w:type="dxa"/>
            <w:gridSpan w:val="2"/>
            <w:shd w:val="clear" w:color="auto" w:fill="auto"/>
          </w:tcPr>
          <w:p w14:paraId="0B773F6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Organizata e Traktatit të Atlantikut të Veriut</w:t>
            </w:r>
          </w:p>
        </w:tc>
      </w:tr>
      <w:tr w:rsidR="00847F23" w:rsidRPr="00913E39" w14:paraId="3565AB78" w14:textId="77777777" w:rsidTr="004F525C">
        <w:trPr>
          <w:trHeight w:val="20"/>
        </w:trPr>
        <w:tc>
          <w:tcPr>
            <w:tcW w:w="1344" w:type="dxa"/>
            <w:shd w:val="clear" w:color="auto" w:fill="auto"/>
          </w:tcPr>
          <w:p w14:paraId="2C49575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NBP</w:t>
            </w:r>
          </w:p>
        </w:tc>
        <w:tc>
          <w:tcPr>
            <w:tcW w:w="7716" w:type="dxa"/>
            <w:gridSpan w:val="2"/>
            <w:shd w:val="clear" w:color="auto" w:fill="auto"/>
          </w:tcPr>
          <w:p w14:paraId="14A913B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Plani Kombëtar për Zhvillimin e Qëndrueshëm të infrastrukturës Digjitale, </w:t>
            </w:r>
            <w:r w:rsidRPr="00913E39">
              <w:rPr>
                <w:rFonts w:ascii="Garamond" w:hAnsi="Garamond"/>
                <w:i/>
                <w:sz w:val="18"/>
              </w:rPr>
              <w:t>Broadband</w:t>
            </w:r>
          </w:p>
        </w:tc>
      </w:tr>
      <w:tr w:rsidR="00847F23" w:rsidRPr="00913E39" w14:paraId="138F3ECF" w14:textId="77777777" w:rsidTr="004F525C">
        <w:trPr>
          <w:trHeight w:val="20"/>
        </w:trPr>
        <w:tc>
          <w:tcPr>
            <w:tcW w:w="1344" w:type="dxa"/>
            <w:shd w:val="clear" w:color="auto" w:fill="auto"/>
          </w:tcPr>
          <w:p w14:paraId="186FF49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SKA</w:t>
            </w:r>
          </w:p>
        </w:tc>
        <w:tc>
          <w:tcPr>
            <w:tcW w:w="7716" w:type="dxa"/>
            <w:gridSpan w:val="2"/>
            <w:shd w:val="clear" w:color="auto" w:fill="auto"/>
          </w:tcPr>
          <w:p w14:paraId="1A06D7B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Strategjia Kombëtare e Arsimit</w:t>
            </w:r>
          </w:p>
        </w:tc>
      </w:tr>
      <w:tr w:rsidR="00847F23" w:rsidRPr="00913E39" w14:paraId="17C149A8" w14:textId="77777777" w:rsidTr="004F525C">
        <w:trPr>
          <w:trHeight w:val="20"/>
        </w:trPr>
        <w:tc>
          <w:tcPr>
            <w:tcW w:w="1344" w:type="dxa"/>
            <w:shd w:val="clear" w:color="auto" w:fill="auto"/>
          </w:tcPr>
          <w:p w14:paraId="79695A2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NGA</w:t>
            </w:r>
          </w:p>
        </w:tc>
        <w:tc>
          <w:tcPr>
            <w:tcW w:w="7716" w:type="dxa"/>
            <w:gridSpan w:val="2"/>
            <w:shd w:val="clear" w:color="auto" w:fill="auto"/>
          </w:tcPr>
          <w:p w14:paraId="59B5350E" w14:textId="21E4116A"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Rrjetet e </w:t>
            </w:r>
            <w:r w:rsidR="00225E16" w:rsidRPr="00913E39">
              <w:rPr>
                <w:rFonts w:ascii="Garamond" w:hAnsi="Garamond"/>
                <w:sz w:val="18"/>
              </w:rPr>
              <w:t>qasjes së gjeneratës së ardhshme</w:t>
            </w:r>
          </w:p>
        </w:tc>
      </w:tr>
      <w:tr w:rsidR="00847F23" w:rsidRPr="00913E39" w14:paraId="624E421B" w14:textId="77777777" w:rsidTr="004F525C">
        <w:trPr>
          <w:trHeight w:val="20"/>
        </w:trPr>
        <w:tc>
          <w:tcPr>
            <w:tcW w:w="1344" w:type="dxa"/>
            <w:shd w:val="clear" w:color="auto" w:fill="auto"/>
          </w:tcPr>
          <w:p w14:paraId="6D33774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SKSH</w:t>
            </w:r>
          </w:p>
        </w:tc>
        <w:tc>
          <w:tcPr>
            <w:tcW w:w="7716" w:type="dxa"/>
            <w:gridSpan w:val="2"/>
            <w:shd w:val="clear" w:color="auto" w:fill="auto"/>
          </w:tcPr>
          <w:p w14:paraId="6A733F3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Strategjia Kombëtare e Shëndetit</w:t>
            </w:r>
          </w:p>
        </w:tc>
      </w:tr>
      <w:tr w:rsidR="00847F23" w:rsidRPr="00913E39" w14:paraId="3ED0A776" w14:textId="77777777" w:rsidTr="004F525C">
        <w:trPr>
          <w:trHeight w:val="20"/>
        </w:trPr>
        <w:tc>
          <w:tcPr>
            <w:tcW w:w="1344" w:type="dxa"/>
            <w:shd w:val="clear" w:color="auto" w:fill="auto"/>
          </w:tcPr>
          <w:p w14:paraId="6F4AE71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KKIPA</w:t>
            </w:r>
          </w:p>
        </w:tc>
        <w:tc>
          <w:tcPr>
            <w:tcW w:w="7716" w:type="dxa"/>
            <w:gridSpan w:val="2"/>
            <w:shd w:val="clear" w:color="auto" w:fill="auto"/>
          </w:tcPr>
          <w:p w14:paraId="278F482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Koordinatori Kombëtar për IPA-n </w:t>
            </w:r>
          </w:p>
        </w:tc>
      </w:tr>
      <w:tr w:rsidR="00847F23" w:rsidRPr="00913E39" w14:paraId="0D9719A1" w14:textId="77777777" w:rsidTr="004F525C">
        <w:trPr>
          <w:trHeight w:val="20"/>
        </w:trPr>
        <w:tc>
          <w:tcPr>
            <w:tcW w:w="1344" w:type="dxa"/>
            <w:shd w:val="clear" w:color="auto" w:fill="auto"/>
          </w:tcPr>
          <w:p w14:paraId="65B52DC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NIS</w:t>
            </w:r>
          </w:p>
        </w:tc>
        <w:tc>
          <w:tcPr>
            <w:tcW w:w="7716" w:type="dxa"/>
            <w:gridSpan w:val="2"/>
            <w:shd w:val="clear" w:color="auto" w:fill="auto"/>
          </w:tcPr>
          <w:p w14:paraId="72AA62A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Sistemet e Rrjeteve dhe Informacionit</w:t>
            </w:r>
          </w:p>
        </w:tc>
      </w:tr>
      <w:tr w:rsidR="00847F23" w:rsidRPr="00913E39" w14:paraId="3719EDE5" w14:textId="77777777" w:rsidTr="004F525C">
        <w:trPr>
          <w:trHeight w:val="20"/>
        </w:trPr>
        <w:tc>
          <w:tcPr>
            <w:tcW w:w="1344" w:type="dxa"/>
            <w:shd w:val="clear" w:color="auto" w:fill="auto"/>
          </w:tcPr>
          <w:p w14:paraId="78BEE64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SNSZHBI</w:t>
            </w:r>
          </w:p>
        </w:tc>
        <w:tc>
          <w:tcPr>
            <w:tcW w:w="7716" w:type="dxa"/>
            <w:gridSpan w:val="2"/>
            <w:shd w:val="clear" w:color="auto" w:fill="auto"/>
          </w:tcPr>
          <w:p w14:paraId="4E94A20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Strategjia Ndërsektoriale për Zhvillimin e Biznesit dhe Investimet </w:t>
            </w:r>
          </w:p>
        </w:tc>
      </w:tr>
      <w:tr w:rsidR="00847F23" w:rsidRPr="00913E39" w14:paraId="40483D86" w14:textId="77777777" w:rsidTr="004F525C">
        <w:trPr>
          <w:trHeight w:val="20"/>
        </w:trPr>
        <w:tc>
          <w:tcPr>
            <w:tcW w:w="1344" w:type="dxa"/>
            <w:shd w:val="clear" w:color="auto" w:fill="auto"/>
          </w:tcPr>
          <w:p w14:paraId="78C838D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PKIE</w:t>
            </w:r>
          </w:p>
        </w:tc>
        <w:tc>
          <w:tcPr>
            <w:tcW w:w="7716" w:type="dxa"/>
            <w:gridSpan w:val="2"/>
            <w:shd w:val="clear" w:color="auto" w:fill="auto"/>
          </w:tcPr>
          <w:p w14:paraId="343A6BD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Plani Kombëtar për Integrimin Evropian </w:t>
            </w:r>
          </w:p>
        </w:tc>
      </w:tr>
      <w:tr w:rsidR="00847F23" w:rsidRPr="00913E39" w14:paraId="65F02F8D" w14:textId="77777777" w:rsidTr="004F525C">
        <w:trPr>
          <w:trHeight w:val="20"/>
        </w:trPr>
        <w:tc>
          <w:tcPr>
            <w:tcW w:w="1344" w:type="dxa"/>
            <w:shd w:val="clear" w:color="auto" w:fill="auto"/>
          </w:tcPr>
          <w:p w14:paraId="2E6D016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SKZHIE</w:t>
            </w:r>
          </w:p>
        </w:tc>
        <w:tc>
          <w:tcPr>
            <w:tcW w:w="7716" w:type="dxa"/>
            <w:gridSpan w:val="2"/>
            <w:shd w:val="clear" w:color="auto" w:fill="auto"/>
          </w:tcPr>
          <w:p w14:paraId="26DC2124" w14:textId="77777777" w:rsidR="00847F23" w:rsidRPr="00913E39" w:rsidRDefault="00847F23" w:rsidP="004F525C">
            <w:pPr>
              <w:spacing w:after="0" w:line="240" w:lineRule="auto"/>
              <w:contextualSpacing/>
              <w:rPr>
                <w:rFonts w:ascii="Garamond" w:hAnsi="Garamond"/>
                <w:sz w:val="18"/>
              </w:rPr>
            </w:pPr>
            <w:r w:rsidRPr="00913E39">
              <w:rPr>
                <w:rFonts w:ascii="Garamond" w:hAnsi="Garamond"/>
                <w:sz w:val="18"/>
              </w:rPr>
              <w:t>Strategjia Kombëtare për Zhvillim dhe Integrim Evropian</w:t>
            </w:r>
          </w:p>
        </w:tc>
      </w:tr>
      <w:tr w:rsidR="00847F23" w:rsidRPr="00913E39" w14:paraId="492F4DBC" w14:textId="77777777" w:rsidTr="004F525C">
        <w:trPr>
          <w:trHeight w:val="20"/>
        </w:trPr>
        <w:tc>
          <w:tcPr>
            <w:tcW w:w="1344" w:type="dxa"/>
            <w:shd w:val="clear" w:color="auto" w:fill="auto"/>
          </w:tcPr>
          <w:p w14:paraId="4A5D2D6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PKSZ</w:t>
            </w:r>
          </w:p>
        </w:tc>
        <w:tc>
          <w:tcPr>
            <w:tcW w:w="7716" w:type="dxa"/>
            <w:gridSpan w:val="2"/>
            <w:shd w:val="clear" w:color="auto" w:fill="auto"/>
          </w:tcPr>
          <w:p w14:paraId="73A2D76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Programi Kombëtar i Statistikave Zyrtare</w:t>
            </w:r>
          </w:p>
        </w:tc>
      </w:tr>
      <w:tr w:rsidR="00847F23" w:rsidRPr="00913E39" w14:paraId="4FF56299" w14:textId="77777777" w:rsidTr="004F525C">
        <w:trPr>
          <w:trHeight w:val="20"/>
        </w:trPr>
        <w:tc>
          <w:tcPr>
            <w:tcW w:w="1344" w:type="dxa"/>
            <w:shd w:val="clear" w:color="auto" w:fill="auto"/>
          </w:tcPr>
          <w:p w14:paraId="36C5F6B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OECD</w:t>
            </w:r>
          </w:p>
        </w:tc>
        <w:tc>
          <w:tcPr>
            <w:tcW w:w="7716" w:type="dxa"/>
            <w:gridSpan w:val="2"/>
            <w:shd w:val="clear" w:color="auto" w:fill="auto"/>
          </w:tcPr>
          <w:p w14:paraId="6397C1D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Organizata për Zhvillim dhe Bashkëpunim Ekonomik</w:t>
            </w:r>
          </w:p>
        </w:tc>
      </w:tr>
      <w:tr w:rsidR="00847F23" w:rsidRPr="00913E39" w14:paraId="1A1396E3" w14:textId="77777777" w:rsidTr="004F525C">
        <w:trPr>
          <w:trHeight w:val="20"/>
        </w:trPr>
        <w:tc>
          <w:tcPr>
            <w:tcW w:w="1344" w:type="dxa"/>
            <w:shd w:val="clear" w:color="auto" w:fill="auto"/>
          </w:tcPr>
          <w:p w14:paraId="13D4789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GZ</w:t>
            </w:r>
          </w:p>
        </w:tc>
        <w:tc>
          <w:tcPr>
            <w:tcW w:w="7716" w:type="dxa"/>
            <w:gridSpan w:val="2"/>
            <w:shd w:val="clear" w:color="auto" w:fill="auto"/>
          </w:tcPr>
          <w:p w14:paraId="592275F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Gazeta Zyrtare</w:t>
            </w:r>
          </w:p>
        </w:tc>
      </w:tr>
      <w:tr w:rsidR="00847F23" w:rsidRPr="00913E39" w14:paraId="375C3814" w14:textId="77777777" w:rsidTr="004F525C">
        <w:trPr>
          <w:trHeight w:val="20"/>
        </w:trPr>
        <w:tc>
          <w:tcPr>
            <w:tcW w:w="1344" w:type="dxa"/>
            <w:shd w:val="clear" w:color="auto" w:fill="auto"/>
          </w:tcPr>
          <w:p w14:paraId="7C90515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PO</w:t>
            </w:r>
          </w:p>
        </w:tc>
        <w:tc>
          <w:tcPr>
            <w:tcW w:w="7716" w:type="dxa"/>
            <w:gridSpan w:val="2"/>
            <w:shd w:val="clear" w:color="auto" w:fill="auto"/>
          </w:tcPr>
          <w:p w14:paraId="478E40E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Program Operacional</w:t>
            </w:r>
          </w:p>
        </w:tc>
      </w:tr>
      <w:tr w:rsidR="00847F23" w:rsidRPr="00913E39" w14:paraId="737C88DF" w14:textId="77777777" w:rsidTr="004F525C">
        <w:trPr>
          <w:trHeight w:val="20"/>
        </w:trPr>
        <w:tc>
          <w:tcPr>
            <w:tcW w:w="1344" w:type="dxa"/>
            <w:shd w:val="clear" w:color="auto" w:fill="auto"/>
          </w:tcPr>
          <w:p w14:paraId="67E03B8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OSFA</w:t>
            </w:r>
          </w:p>
        </w:tc>
        <w:tc>
          <w:tcPr>
            <w:tcW w:w="7716" w:type="dxa"/>
            <w:gridSpan w:val="2"/>
            <w:shd w:val="clear" w:color="auto" w:fill="auto"/>
          </w:tcPr>
          <w:p w14:paraId="2058388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Fondacioni Shoqëria e Hapur për Shqipërinë</w:t>
            </w:r>
          </w:p>
        </w:tc>
      </w:tr>
      <w:tr w:rsidR="00847F23" w:rsidRPr="00913E39" w14:paraId="36DC72DE" w14:textId="77777777" w:rsidTr="004F525C">
        <w:trPr>
          <w:trHeight w:val="20"/>
        </w:trPr>
        <w:tc>
          <w:tcPr>
            <w:tcW w:w="1344" w:type="dxa"/>
            <w:shd w:val="clear" w:color="auto" w:fill="auto"/>
          </w:tcPr>
          <w:p w14:paraId="0B9BD55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lastRenderedPageBreak/>
              <w:t>PAF</w:t>
            </w:r>
          </w:p>
        </w:tc>
        <w:tc>
          <w:tcPr>
            <w:tcW w:w="7716" w:type="dxa"/>
            <w:gridSpan w:val="2"/>
            <w:shd w:val="clear" w:color="auto" w:fill="auto"/>
          </w:tcPr>
          <w:p w14:paraId="7453331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Kuadri i vlerësimit të performancës </w:t>
            </w:r>
          </w:p>
        </w:tc>
      </w:tr>
      <w:tr w:rsidR="00847F23" w:rsidRPr="00913E39" w14:paraId="6079DF74" w14:textId="77777777" w:rsidTr="004F525C">
        <w:trPr>
          <w:trHeight w:val="20"/>
        </w:trPr>
        <w:tc>
          <w:tcPr>
            <w:tcW w:w="1344" w:type="dxa"/>
            <w:shd w:val="clear" w:color="auto" w:fill="auto"/>
          </w:tcPr>
          <w:p w14:paraId="422F836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RAP</w:t>
            </w:r>
          </w:p>
        </w:tc>
        <w:tc>
          <w:tcPr>
            <w:tcW w:w="7716" w:type="dxa"/>
            <w:gridSpan w:val="2"/>
            <w:shd w:val="clear" w:color="auto" w:fill="auto"/>
          </w:tcPr>
          <w:p w14:paraId="33D07DE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Reforma e Administratës Publike</w:t>
            </w:r>
          </w:p>
        </w:tc>
      </w:tr>
      <w:tr w:rsidR="00847F23" w:rsidRPr="00913E39" w14:paraId="52655717" w14:textId="77777777" w:rsidTr="004F525C">
        <w:trPr>
          <w:trHeight w:val="20"/>
        </w:trPr>
        <w:tc>
          <w:tcPr>
            <w:tcW w:w="1344" w:type="dxa"/>
            <w:shd w:val="clear" w:color="auto" w:fill="auto"/>
          </w:tcPr>
          <w:p w14:paraId="3E7E404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GP RAP</w:t>
            </w:r>
          </w:p>
        </w:tc>
        <w:tc>
          <w:tcPr>
            <w:tcW w:w="7716" w:type="dxa"/>
            <w:gridSpan w:val="2"/>
            <w:shd w:val="clear" w:color="auto" w:fill="auto"/>
          </w:tcPr>
          <w:p w14:paraId="0C73D2A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Grup i Posaçëm i Reformës së Administratës Publike</w:t>
            </w:r>
          </w:p>
        </w:tc>
      </w:tr>
      <w:tr w:rsidR="00847F23" w:rsidRPr="00913E39" w14:paraId="46E108C9" w14:textId="77777777" w:rsidTr="004F525C">
        <w:trPr>
          <w:trHeight w:val="20"/>
        </w:trPr>
        <w:tc>
          <w:tcPr>
            <w:tcW w:w="1344" w:type="dxa"/>
            <w:shd w:val="clear" w:color="auto" w:fill="auto"/>
          </w:tcPr>
          <w:p w14:paraId="14CAE1F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MFP</w:t>
            </w:r>
          </w:p>
        </w:tc>
        <w:tc>
          <w:tcPr>
            <w:tcW w:w="7716" w:type="dxa"/>
            <w:gridSpan w:val="2"/>
            <w:shd w:val="clear" w:color="auto" w:fill="auto"/>
          </w:tcPr>
          <w:p w14:paraId="464B03E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Menaxhimi Financiar Publik</w:t>
            </w:r>
          </w:p>
        </w:tc>
      </w:tr>
      <w:tr w:rsidR="00847F23" w:rsidRPr="00913E39" w14:paraId="29026AD8" w14:textId="77777777" w:rsidTr="004F525C">
        <w:trPr>
          <w:trHeight w:val="20"/>
        </w:trPr>
        <w:tc>
          <w:tcPr>
            <w:tcW w:w="1344" w:type="dxa"/>
            <w:shd w:val="clear" w:color="auto" w:fill="auto"/>
          </w:tcPr>
          <w:p w14:paraId="421AE16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KD MFP</w:t>
            </w:r>
          </w:p>
        </w:tc>
        <w:tc>
          <w:tcPr>
            <w:tcW w:w="7716" w:type="dxa"/>
            <w:gridSpan w:val="2"/>
            <w:shd w:val="clear" w:color="auto" w:fill="auto"/>
          </w:tcPr>
          <w:p w14:paraId="1C4548B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Komiteti Drejtues i Menaxhimit Financiar Publik </w:t>
            </w:r>
          </w:p>
        </w:tc>
      </w:tr>
      <w:tr w:rsidR="00847F23" w:rsidRPr="00913E39" w14:paraId="79B38505" w14:textId="77777777" w:rsidTr="004F525C">
        <w:trPr>
          <w:trHeight w:val="20"/>
        </w:trPr>
        <w:tc>
          <w:tcPr>
            <w:tcW w:w="1344" w:type="dxa"/>
            <w:shd w:val="clear" w:color="auto" w:fill="auto"/>
          </w:tcPr>
          <w:p w14:paraId="5CC9B15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PforR</w:t>
            </w:r>
          </w:p>
        </w:tc>
        <w:tc>
          <w:tcPr>
            <w:tcW w:w="7716" w:type="dxa"/>
            <w:gridSpan w:val="2"/>
            <w:shd w:val="clear" w:color="auto" w:fill="auto"/>
          </w:tcPr>
          <w:p w14:paraId="40A449E4" w14:textId="0C6AEAB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Program-për-</w:t>
            </w:r>
            <w:r w:rsidR="00AC3A3A" w:rsidRPr="00913E39">
              <w:rPr>
                <w:rFonts w:ascii="Garamond" w:hAnsi="Garamond"/>
                <w:sz w:val="18"/>
              </w:rPr>
              <w:t>rezultat</w:t>
            </w:r>
            <w:r w:rsidRPr="00913E39">
              <w:rPr>
                <w:rFonts w:ascii="Garamond" w:hAnsi="Garamond"/>
                <w:sz w:val="18"/>
              </w:rPr>
              <w:t>e</w:t>
            </w:r>
          </w:p>
        </w:tc>
      </w:tr>
      <w:tr w:rsidR="00847F23" w:rsidRPr="00913E39" w14:paraId="29B21772" w14:textId="77777777" w:rsidTr="004F525C">
        <w:trPr>
          <w:trHeight w:val="20"/>
        </w:trPr>
        <w:tc>
          <w:tcPr>
            <w:tcW w:w="1344" w:type="dxa"/>
            <w:shd w:val="clear" w:color="auto" w:fill="auto"/>
          </w:tcPr>
          <w:p w14:paraId="7702FEC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PISA</w:t>
            </w:r>
          </w:p>
        </w:tc>
        <w:tc>
          <w:tcPr>
            <w:tcW w:w="7716" w:type="dxa"/>
            <w:gridSpan w:val="2"/>
            <w:shd w:val="clear" w:color="auto" w:fill="auto"/>
          </w:tcPr>
          <w:p w14:paraId="48F63DE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Programi për Vlerësimin Ndërkombëtar të Studentëve</w:t>
            </w:r>
          </w:p>
        </w:tc>
      </w:tr>
      <w:tr w:rsidR="00847F23" w:rsidRPr="00913E39" w14:paraId="6C533092" w14:textId="77777777" w:rsidTr="004F525C">
        <w:trPr>
          <w:trHeight w:val="20"/>
        </w:trPr>
        <w:tc>
          <w:tcPr>
            <w:tcW w:w="1344" w:type="dxa"/>
            <w:shd w:val="clear" w:color="auto" w:fill="auto"/>
          </w:tcPr>
          <w:p w14:paraId="303A374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KM</w:t>
            </w:r>
          </w:p>
        </w:tc>
        <w:tc>
          <w:tcPr>
            <w:tcW w:w="7716" w:type="dxa"/>
            <w:gridSpan w:val="2"/>
            <w:shd w:val="clear" w:color="auto" w:fill="auto"/>
          </w:tcPr>
          <w:p w14:paraId="4468320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Kryeministria</w:t>
            </w:r>
          </w:p>
        </w:tc>
      </w:tr>
      <w:tr w:rsidR="00847F23" w:rsidRPr="00913E39" w14:paraId="3DFB2FB9" w14:textId="77777777" w:rsidTr="004F525C">
        <w:trPr>
          <w:trHeight w:val="20"/>
        </w:trPr>
        <w:tc>
          <w:tcPr>
            <w:tcW w:w="1344" w:type="dxa"/>
            <w:shd w:val="clear" w:color="auto" w:fill="auto"/>
          </w:tcPr>
          <w:p w14:paraId="4E7B339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SMIP</w:t>
            </w:r>
          </w:p>
        </w:tc>
        <w:tc>
          <w:tcPr>
            <w:tcW w:w="7716" w:type="dxa"/>
            <w:gridSpan w:val="2"/>
            <w:shd w:val="clear" w:color="auto" w:fill="auto"/>
          </w:tcPr>
          <w:p w14:paraId="67763C7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Sistemi i Menaxhimit të Informacionit Parauniversitar </w:t>
            </w:r>
          </w:p>
        </w:tc>
      </w:tr>
      <w:tr w:rsidR="00847F23" w:rsidRPr="00913E39" w14:paraId="13C50BD3" w14:textId="77777777" w:rsidTr="004F525C">
        <w:trPr>
          <w:trHeight w:val="20"/>
        </w:trPr>
        <w:tc>
          <w:tcPr>
            <w:tcW w:w="1344" w:type="dxa"/>
            <w:shd w:val="clear" w:color="auto" w:fill="auto"/>
          </w:tcPr>
          <w:p w14:paraId="68629B6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QA</w:t>
            </w:r>
          </w:p>
        </w:tc>
        <w:tc>
          <w:tcPr>
            <w:tcW w:w="7716" w:type="dxa"/>
            <w:gridSpan w:val="2"/>
            <w:shd w:val="clear" w:color="auto" w:fill="auto"/>
          </w:tcPr>
          <w:p w14:paraId="29F0BE66" w14:textId="65E8A88D"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Sigurimi i </w:t>
            </w:r>
            <w:r w:rsidR="006908E5" w:rsidRPr="00913E39">
              <w:rPr>
                <w:rFonts w:ascii="Garamond" w:hAnsi="Garamond"/>
                <w:sz w:val="18"/>
              </w:rPr>
              <w:t xml:space="preserve">cilësisë </w:t>
            </w:r>
          </w:p>
        </w:tc>
      </w:tr>
      <w:tr w:rsidR="00847F23" w:rsidRPr="00913E39" w14:paraId="320F6167" w14:textId="77777777" w:rsidTr="004F525C">
        <w:trPr>
          <w:trHeight w:val="20"/>
        </w:trPr>
        <w:tc>
          <w:tcPr>
            <w:tcW w:w="1344" w:type="dxa"/>
            <w:shd w:val="clear" w:color="auto" w:fill="auto"/>
          </w:tcPr>
          <w:p w14:paraId="09635D0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K&amp;D</w:t>
            </w:r>
          </w:p>
        </w:tc>
        <w:tc>
          <w:tcPr>
            <w:tcW w:w="7716" w:type="dxa"/>
            <w:gridSpan w:val="2"/>
            <w:shd w:val="clear" w:color="auto" w:fill="auto"/>
          </w:tcPr>
          <w:p w14:paraId="43F53C19" w14:textId="2DA3A05C"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Kërkimi dhe </w:t>
            </w:r>
            <w:r w:rsidR="006908E5" w:rsidRPr="00913E39">
              <w:rPr>
                <w:rFonts w:ascii="Garamond" w:hAnsi="Garamond"/>
                <w:sz w:val="18"/>
              </w:rPr>
              <w:t>zhvillimi</w:t>
            </w:r>
          </w:p>
        </w:tc>
      </w:tr>
      <w:tr w:rsidR="00847F23" w:rsidRPr="00913E39" w14:paraId="7AD3DAAD" w14:textId="77777777" w:rsidTr="004F525C">
        <w:trPr>
          <w:trHeight w:val="20"/>
        </w:trPr>
        <w:tc>
          <w:tcPr>
            <w:tcW w:w="1344" w:type="dxa"/>
            <w:shd w:val="clear" w:color="auto" w:fill="auto"/>
          </w:tcPr>
          <w:p w14:paraId="1318697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K&amp;I</w:t>
            </w:r>
          </w:p>
        </w:tc>
        <w:tc>
          <w:tcPr>
            <w:tcW w:w="7716" w:type="dxa"/>
            <w:gridSpan w:val="2"/>
            <w:shd w:val="clear" w:color="auto" w:fill="auto"/>
          </w:tcPr>
          <w:p w14:paraId="2A939550" w14:textId="18B666FD"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Kërkimi dhe </w:t>
            </w:r>
            <w:r w:rsidR="006908E5" w:rsidRPr="00913E39">
              <w:rPr>
                <w:rFonts w:ascii="Garamond" w:hAnsi="Garamond"/>
                <w:sz w:val="18"/>
              </w:rPr>
              <w:t>inovacioni</w:t>
            </w:r>
          </w:p>
        </w:tc>
      </w:tr>
      <w:tr w:rsidR="00847F23" w:rsidRPr="00913E39" w14:paraId="77205C08" w14:textId="77777777" w:rsidTr="004F525C">
        <w:trPr>
          <w:trHeight w:val="20"/>
        </w:trPr>
        <w:tc>
          <w:tcPr>
            <w:tcW w:w="1344" w:type="dxa"/>
            <w:shd w:val="clear" w:color="auto" w:fill="auto"/>
          </w:tcPr>
          <w:p w14:paraId="2C791D0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RA</w:t>
            </w:r>
          </w:p>
        </w:tc>
        <w:tc>
          <w:tcPr>
            <w:tcW w:w="7716" w:type="dxa"/>
            <w:gridSpan w:val="2"/>
            <w:shd w:val="clear" w:color="auto" w:fill="auto"/>
          </w:tcPr>
          <w:p w14:paraId="3D5B6AE3" w14:textId="340C1E89"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Fusha e </w:t>
            </w:r>
            <w:r w:rsidR="006908E5" w:rsidRPr="00913E39">
              <w:rPr>
                <w:rFonts w:ascii="Garamond" w:hAnsi="Garamond"/>
                <w:sz w:val="18"/>
              </w:rPr>
              <w:t>rezultateve</w:t>
            </w:r>
          </w:p>
        </w:tc>
      </w:tr>
      <w:tr w:rsidR="00847F23" w:rsidRPr="00913E39" w14:paraId="415B1170" w14:textId="77777777" w:rsidTr="004F525C">
        <w:trPr>
          <w:trHeight w:val="20"/>
        </w:trPr>
        <w:tc>
          <w:tcPr>
            <w:tcW w:w="1344" w:type="dxa"/>
            <w:shd w:val="clear" w:color="auto" w:fill="auto"/>
          </w:tcPr>
          <w:p w14:paraId="2F77896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DRAP</w:t>
            </w:r>
          </w:p>
        </w:tc>
        <w:tc>
          <w:tcPr>
            <w:tcW w:w="7716" w:type="dxa"/>
            <w:gridSpan w:val="2"/>
            <w:shd w:val="clear" w:color="auto" w:fill="auto"/>
          </w:tcPr>
          <w:p w14:paraId="17DE2C6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Drejtoria Rajonale e Arsimit Parauniversitar</w:t>
            </w:r>
          </w:p>
        </w:tc>
      </w:tr>
      <w:tr w:rsidR="00847F23" w:rsidRPr="00913E39" w14:paraId="6BC3DE6D" w14:textId="77777777" w:rsidTr="004F525C">
        <w:trPr>
          <w:trHeight w:val="20"/>
        </w:trPr>
        <w:tc>
          <w:tcPr>
            <w:tcW w:w="1344" w:type="dxa"/>
            <w:shd w:val="clear" w:color="auto" w:fill="auto"/>
          </w:tcPr>
          <w:p w14:paraId="5DB8C63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RHIS</w:t>
            </w:r>
          </w:p>
        </w:tc>
        <w:tc>
          <w:tcPr>
            <w:tcW w:w="7716" w:type="dxa"/>
            <w:gridSpan w:val="2"/>
            <w:shd w:val="clear" w:color="auto" w:fill="auto"/>
          </w:tcPr>
          <w:p w14:paraId="1499CFC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Sistemit Informativ Spitalor Rutinë</w:t>
            </w:r>
          </w:p>
        </w:tc>
      </w:tr>
      <w:tr w:rsidR="00847F23" w:rsidRPr="00913E39" w14:paraId="1D14D097" w14:textId="77777777" w:rsidTr="004F525C">
        <w:trPr>
          <w:trHeight w:val="20"/>
        </w:trPr>
        <w:tc>
          <w:tcPr>
            <w:tcW w:w="1344" w:type="dxa"/>
            <w:shd w:val="clear" w:color="auto" w:fill="auto"/>
          </w:tcPr>
          <w:p w14:paraId="5438E81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RIA</w:t>
            </w:r>
          </w:p>
        </w:tc>
        <w:tc>
          <w:tcPr>
            <w:tcW w:w="7716" w:type="dxa"/>
            <w:gridSpan w:val="2"/>
            <w:shd w:val="clear" w:color="auto" w:fill="auto"/>
          </w:tcPr>
          <w:p w14:paraId="262CBB29" w14:textId="23AE1ABD"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Projekti për </w:t>
            </w:r>
            <w:r w:rsidR="006908E5" w:rsidRPr="00913E39">
              <w:rPr>
                <w:rFonts w:ascii="Garamond" w:hAnsi="Garamond"/>
                <w:sz w:val="18"/>
              </w:rPr>
              <w:t>kërkim dhe inovacion</w:t>
            </w:r>
          </w:p>
        </w:tc>
      </w:tr>
      <w:tr w:rsidR="00847F23" w:rsidRPr="00913E39" w14:paraId="004EE166" w14:textId="77777777" w:rsidTr="004F525C">
        <w:trPr>
          <w:trHeight w:val="20"/>
        </w:trPr>
        <w:tc>
          <w:tcPr>
            <w:tcW w:w="1344" w:type="dxa"/>
            <w:shd w:val="clear" w:color="auto" w:fill="auto"/>
          </w:tcPr>
          <w:p w14:paraId="4292E94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RLAH</w:t>
            </w:r>
          </w:p>
        </w:tc>
        <w:tc>
          <w:tcPr>
            <w:tcW w:w="7716" w:type="dxa"/>
            <w:gridSpan w:val="2"/>
            <w:shd w:val="clear" w:color="auto" w:fill="auto"/>
          </w:tcPr>
          <w:p w14:paraId="190C1A05" w14:textId="1E393F24"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w:t>
            </w:r>
            <w:r w:rsidRPr="00913E39">
              <w:rPr>
                <w:rFonts w:ascii="Garamond" w:hAnsi="Garamond"/>
                <w:i/>
                <w:sz w:val="18"/>
              </w:rPr>
              <w:t>Roaming</w:t>
            </w:r>
            <w:r w:rsidRPr="00913E39">
              <w:rPr>
                <w:rFonts w:ascii="Garamond" w:hAnsi="Garamond"/>
                <w:sz w:val="18"/>
              </w:rPr>
              <w:t xml:space="preserve"> </w:t>
            </w:r>
            <w:r w:rsidR="006908E5" w:rsidRPr="00913E39">
              <w:rPr>
                <w:rFonts w:ascii="Garamond" w:hAnsi="Garamond"/>
                <w:sz w:val="18"/>
              </w:rPr>
              <w:t>njëlloj si në vendin tënd</w:t>
            </w:r>
            <w:r w:rsidRPr="00913E39">
              <w:rPr>
                <w:rFonts w:ascii="Garamond" w:hAnsi="Garamond"/>
                <w:sz w:val="18"/>
              </w:rPr>
              <w:t>)</w:t>
            </w:r>
          </w:p>
        </w:tc>
      </w:tr>
      <w:tr w:rsidR="00847F23" w:rsidRPr="00913E39" w14:paraId="502B11FB" w14:textId="77777777" w:rsidTr="004F525C">
        <w:trPr>
          <w:trHeight w:val="20"/>
        </w:trPr>
        <w:tc>
          <w:tcPr>
            <w:tcW w:w="1344" w:type="dxa"/>
            <w:shd w:val="clear" w:color="auto" w:fill="auto"/>
          </w:tcPr>
          <w:p w14:paraId="6D29C6A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SASPAC</w:t>
            </w:r>
          </w:p>
        </w:tc>
        <w:tc>
          <w:tcPr>
            <w:tcW w:w="7716" w:type="dxa"/>
            <w:gridSpan w:val="2"/>
            <w:shd w:val="clear" w:color="auto" w:fill="auto"/>
          </w:tcPr>
          <w:p w14:paraId="76B6717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Agjencia Shtetërore e Programimit Strategjik dhe Koordinimit të Ndihmës</w:t>
            </w:r>
          </w:p>
        </w:tc>
      </w:tr>
      <w:tr w:rsidR="00847F23" w:rsidRPr="00913E39" w14:paraId="1C633591" w14:textId="77777777" w:rsidTr="004F525C">
        <w:trPr>
          <w:trHeight w:val="20"/>
        </w:trPr>
        <w:tc>
          <w:tcPr>
            <w:tcW w:w="1344" w:type="dxa"/>
            <w:shd w:val="clear" w:color="auto" w:fill="auto"/>
          </w:tcPr>
          <w:p w14:paraId="1F5DB5D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KD</w:t>
            </w:r>
          </w:p>
        </w:tc>
        <w:tc>
          <w:tcPr>
            <w:tcW w:w="7716" w:type="dxa"/>
            <w:gridSpan w:val="2"/>
            <w:shd w:val="clear" w:color="auto" w:fill="auto"/>
          </w:tcPr>
          <w:p w14:paraId="69166D1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Komiteti Drejtues </w:t>
            </w:r>
          </w:p>
        </w:tc>
      </w:tr>
      <w:tr w:rsidR="00847F23" w:rsidRPr="00913E39" w14:paraId="7CA76A4A" w14:textId="77777777" w:rsidTr="004F525C">
        <w:trPr>
          <w:trHeight w:val="20"/>
        </w:trPr>
        <w:tc>
          <w:tcPr>
            <w:tcW w:w="1344" w:type="dxa"/>
            <w:shd w:val="clear" w:color="auto" w:fill="auto"/>
          </w:tcPr>
          <w:p w14:paraId="250AAFF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SCADA</w:t>
            </w:r>
          </w:p>
        </w:tc>
        <w:tc>
          <w:tcPr>
            <w:tcW w:w="7716" w:type="dxa"/>
            <w:gridSpan w:val="2"/>
            <w:shd w:val="clear" w:color="auto" w:fill="auto"/>
          </w:tcPr>
          <w:p w14:paraId="260DDB6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Kontrolli Mbikëqyrës dhe Sigurimi i të Dhënave</w:t>
            </w:r>
          </w:p>
        </w:tc>
      </w:tr>
      <w:tr w:rsidR="00847F23" w:rsidRPr="00913E39" w14:paraId="10CA7FF4" w14:textId="77777777" w:rsidTr="004F525C">
        <w:trPr>
          <w:trHeight w:val="20"/>
        </w:trPr>
        <w:tc>
          <w:tcPr>
            <w:tcW w:w="1344" w:type="dxa"/>
            <w:shd w:val="clear" w:color="auto" w:fill="auto"/>
          </w:tcPr>
          <w:p w14:paraId="3DA5919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OZHQ</w:t>
            </w:r>
          </w:p>
        </w:tc>
        <w:tc>
          <w:tcPr>
            <w:tcW w:w="7716" w:type="dxa"/>
            <w:gridSpan w:val="2"/>
            <w:shd w:val="clear" w:color="auto" w:fill="auto"/>
          </w:tcPr>
          <w:p w14:paraId="13CF3FAD" w14:textId="2403AFF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Objektiva të </w:t>
            </w:r>
            <w:r w:rsidR="006908E5" w:rsidRPr="00913E39">
              <w:rPr>
                <w:rFonts w:ascii="Garamond" w:hAnsi="Garamond"/>
                <w:sz w:val="18"/>
              </w:rPr>
              <w:t>zhvillimit të qëndrueshëm</w:t>
            </w:r>
          </w:p>
        </w:tc>
      </w:tr>
      <w:tr w:rsidR="00847F23" w:rsidRPr="00913E39" w14:paraId="6DB98B18" w14:textId="77777777" w:rsidTr="004F525C">
        <w:trPr>
          <w:trHeight w:val="20"/>
        </w:trPr>
        <w:tc>
          <w:tcPr>
            <w:tcW w:w="1344" w:type="dxa"/>
            <w:shd w:val="clear" w:color="auto" w:fill="auto"/>
          </w:tcPr>
          <w:p w14:paraId="439B7EA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SECO</w:t>
            </w:r>
          </w:p>
        </w:tc>
        <w:tc>
          <w:tcPr>
            <w:tcW w:w="7716" w:type="dxa"/>
            <w:gridSpan w:val="2"/>
            <w:shd w:val="clear" w:color="auto" w:fill="auto"/>
          </w:tcPr>
          <w:p w14:paraId="3F5652F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Komisioni Evropian dhe Sekretariati Shtetëror Zviceran për Çështje Ekonomike </w:t>
            </w:r>
          </w:p>
        </w:tc>
      </w:tr>
      <w:tr w:rsidR="00847F23" w:rsidRPr="00913E39" w14:paraId="15CC4426" w14:textId="77777777" w:rsidTr="004F525C">
        <w:trPr>
          <w:trHeight w:val="20"/>
        </w:trPr>
        <w:tc>
          <w:tcPr>
            <w:tcW w:w="1344" w:type="dxa"/>
            <w:shd w:val="clear" w:color="auto" w:fill="auto"/>
          </w:tcPr>
          <w:p w14:paraId="021A0ED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SIDA</w:t>
            </w:r>
          </w:p>
        </w:tc>
        <w:tc>
          <w:tcPr>
            <w:tcW w:w="7716" w:type="dxa"/>
            <w:gridSpan w:val="2"/>
            <w:shd w:val="clear" w:color="auto" w:fill="auto"/>
          </w:tcPr>
          <w:p w14:paraId="3CB8BA3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Agjencia Suedeze për Bashkëpunim dhe Zhvillim Ndërkombëtar</w:t>
            </w:r>
          </w:p>
        </w:tc>
      </w:tr>
      <w:tr w:rsidR="00847F23" w:rsidRPr="00913E39" w14:paraId="3ADA75FB" w14:textId="77777777" w:rsidTr="004F525C">
        <w:trPr>
          <w:trHeight w:val="20"/>
        </w:trPr>
        <w:tc>
          <w:tcPr>
            <w:tcW w:w="1344" w:type="dxa"/>
            <w:shd w:val="clear" w:color="auto" w:fill="auto"/>
          </w:tcPr>
          <w:p w14:paraId="585F157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SLA</w:t>
            </w:r>
          </w:p>
        </w:tc>
        <w:tc>
          <w:tcPr>
            <w:tcW w:w="7716" w:type="dxa"/>
            <w:gridSpan w:val="2"/>
            <w:shd w:val="clear" w:color="auto" w:fill="auto"/>
          </w:tcPr>
          <w:p w14:paraId="52C7176C" w14:textId="03C45CC0"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Marrëveshje në </w:t>
            </w:r>
            <w:r w:rsidR="006908E5" w:rsidRPr="00913E39">
              <w:rPr>
                <w:rFonts w:ascii="Garamond" w:hAnsi="Garamond"/>
                <w:sz w:val="18"/>
              </w:rPr>
              <w:t xml:space="preserve">nivel shërbimi </w:t>
            </w:r>
          </w:p>
        </w:tc>
      </w:tr>
      <w:tr w:rsidR="00847F23" w:rsidRPr="00913E39" w14:paraId="0E87E870" w14:textId="77777777" w:rsidTr="004F525C">
        <w:trPr>
          <w:trHeight w:val="20"/>
        </w:trPr>
        <w:tc>
          <w:tcPr>
            <w:tcW w:w="1344" w:type="dxa"/>
            <w:shd w:val="clear" w:color="auto" w:fill="auto"/>
          </w:tcPr>
          <w:p w14:paraId="69ECFFAA"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NVM</w:t>
            </w:r>
          </w:p>
        </w:tc>
        <w:tc>
          <w:tcPr>
            <w:tcW w:w="7716" w:type="dxa"/>
            <w:gridSpan w:val="2"/>
            <w:shd w:val="clear" w:color="auto" w:fill="auto"/>
          </w:tcPr>
          <w:p w14:paraId="441902A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Ndërmarrje të Vogla dhe të Mesme </w:t>
            </w:r>
          </w:p>
        </w:tc>
      </w:tr>
      <w:tr w:rsidR="00847F23" w:rsidRPr="00913E39" w14:paraId="66B4A304" w14:textId="77777777" w:rsidTr="004F525C">
        <w:trPr>
          <w:trHeight w:val="20"/>
        </w:trPr>
        <w:tc>
          <w:tcPr>
            <w:tcW w:w="1344" w:type="dxa"/>
            <w:shd w:val="clear" w:color="auto" w:fill="auto"/>
          </w:tcPr>
          <w:p w14:paraId="0EECB867"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SMIP</w:t>
            </w:r>
          </w:p>
        </w:tc>
        <w:tc>
          <w:tcPr>
            <w:tcW w:w="7716" w:type="dxa"/>
            <w:gridSpan w:val="2"/>
            <w:shd w:val="clear" w:color="auto" w:fill="auto"/>
          </w:tcPr>
          <w:p w14:paraId="2A6B053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Sistemi i Menaxhimit të Informacionit Parauniversitar </w:t>
            </w:r>
          </w:p>
        </w:tc>
      </w:tr>
      <w:tr w:rsidR="00847F23" w:rsidRPr="00913E39" w14:paraId="26715F94" w14:textId="77777777" w:rsidTr="004F525C">
        <w:trPr>
          <w:trHeight w:val="20"/>
        </w:trPr>
        <w:tc>
          <w:tcPr>
            <w:tcW w:w="1344" w:type="dxa"/>
            <w:shd w:val="clear" w:color="auto" w:fill="auto"/>
          </w:tcPr>
          <w:p w14:paraId="3ADEB09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QSO</w:t>
            </w:r>
          </w:p>
        </w:tc>
        <w:tc>
          <w:tcPr>
            <w:tcW w:w="7716" w:type="dxa"/>
            <w:gridSpan w:val="2"/>
            <w:shd w:val="clear" w:color="auto" w:fill="auto"/>
          </w:tcPr>
          <w:p w14:paraId="0C29460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Qendra Qeveritare Operacionale e Sigurisë</w:t>
            </w:r>
          </w:p>
        </w:tc>
      </w:tr>
      <w:tr w:rsidR="00847F23" w:rsidRPr="00913E39" w14:paraId="6E16A494" w14:textId="77777777" w:rsidTr="004F525C">
        <w:trPr>
          <w:trHeight w:val="20"/>
        </w:trPr>
        <w:tc>
          <w:tcPr>
            <w:tcW w:w="1344" w:type="dxa"/>
            <w:shd w:val="clear" w:color="auto" w:fill="auto"/>
          </w:tcPr>
          <w:p w14:paraId="666C781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KDS</w:t>
            </w:r>
          </w:p>
        </w:tc>
        <w:tc>
          <w:tcPr>
            <w:tcW w:w="7716" w:type="dxa"/>
            <w:gridSpan w:val="2"/>
            <w:shd w:val="clear" w:color="auto" w:fill="auto"/>
          </w:tcPr>
          <w:p w14:paraId="6A482DE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Komitet Drejtues Sektorial</w:t>
            </w:r>
          </w:p>
        </w:tc>
      </w:tr>
      <w:tr w:rsidR="00847F23" w:rsidRPr="00913E39" w14:paraId="1B546C8F" w14:textId="77777777" w:rsidTr="004F525C">
        <w:trPr>
          <w:trHeight w:val="20"/>
        </w:trPr>
        <w:tc>
          <w:tcPr>
            <w:tcW w:w="1344" w:type="dxa"/>
            <w:shd w:val="clear" w:color="auto" w:fill="auto"/>
          </w:tcPr>
          <w:p w14:paraId="75B4A68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STA</w:t>
            </w:r>
          </w:p>
        </w:tc>
        <w:tc>
          <w:tcPr>
            <w:tcW w:w="7716" w:type="dxa"/>
            <w:gridSpan w:val="2"/>
            <w:shd w:val="clear" w:color="auto" w:fill="auto"/>
          </w:tcPr>
          <w:p w14:paraId="2E66082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Agjencia Tatimore Suedeze </w:t>
            </w:r>
          </w:p>
        </w:tc>
      </w:tr>
      <w:tr w:rsidR="00847F23" w:rsidRPr="00913E39" w14:paraId="6A6F2769" w14:textId="77777777" w:rsidTr="004F525C">
        <w:trPr>
          <w:trHeight w:val="20"/>
        </w:trPr>
        <w:tc>
          <w:tcPr>
            <w:tcW w:w="1344" w:type="dxa"/>
            <w:shd w:val="clear" w:color="auto" w:fill="auto"/>
          </w:tcPr>
          <w:p w14:paraId="10D564F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SWOT</w:t>
            </w:r>
          </w:p>
        </w:tc>
        <w:tc>
          <w:tcPr>
            <w:tcW w:w="7716" w:type="dxa"/>
            <w:gridSpan w:val="2"/>
            <w:shd w:val="clear" w:color="auto" w:fill="auto"/>
          </w:tcPr>
          <w:p w14:paraId="65904335" w14:textId="73F4618B"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Pikat e forta, </w:t>
            </w:r>
            <w:r w:rsidR="005D6EAD" w:rsidRPr="00913E39">
              <w:rPr>
                <w:rFonts w:ascii="Garamond" w:hAnsi="Garamond"/>
                <w:sz w:val="18"/>
              </w:rPr>
              <w:t>pikat e dobëta, mundësitë, dhe kërcënimet</w:t>
            </w:r>
          </w:p>
        </w:tc>
      </w:tr>
      <w:tr w:rsidR="00847F23" w:rsidRPr="00913E39" w14:paraId="60EDE477" w14:textId="77777777" w:rsidTr="004F525C">
        <w:trPr>
          <w:trHeight w:val="20"/>
        </w:trPr>
        <w:tc>
          <w:tcPr>
            <w:tcW w:w="1344" w:type="dxa"/>
            <w:shd w:val="clear" w:color="auto" w:fill="auto"/>
          </w:tcPr>
          <w:p w14:paraId="4547DB3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AT</w:t>
            </w:r>
          </w:p>
        </w:tc>
        <w:tc>
          <w:tcPr>
            <w:tcW w:w="7716" w:type="dxa"/>
            <w:gridSpan w:val="2"/>
            <w:shd w:val="clear" w:color="auto" w:fill="auto"/>
          </w:tcPr>
          <w:p w14:paraId="70B167F4" w14:textId="597299E2"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Asistencë </w:t>
            </w:r>
            <w:r w:rsidR="005D6EAD" w:rsidRPr="00913E39">
              <w:rPr>
                <w:rFonts w:ascii="Garamond" w:hAnsi="Garamond"/>
                <w:sz w:val="18"/>
              </w:rPr>
              <w:t>teknike</w:t>
            </w:r>
          </w:p>
        </w:tc>
      </w:tr>
      <w:tr w:rsidR="00847F23" w:rsidRPr="00913E39" w14:paraId="43E09172" w14:textId="77777777" w:rsidTr="004F525C">
        <w:trPr>
          <w:trHeight w:val="20"/>
        </w:trPr>
        <w:tc>
          <w:tcPr>
            <w:tcW w:w="1344" w:type="dxa"/>
            <w:shd w:val="clear" w:color="auto" w:fill="auto"/>
          </w:tcPr>
          <w:p w14:paraId="2162879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KT</w:t>
            </w:r>
          </w:p>
        </w:tc>
        <w:tc>
          <w:tcPr>
            <w:tcW w:w="7716" w:type="dxa"/>
            <w:gridSpan w:val="2"/>
            <w:shd w:val="clear" w:color="auto" w:fill="auto"/>
          </w:tcPr>
          <w:p w14:paraId="5BF79373" w14:textId="4F8C8730"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Komitet </w:t>
            </w:r>
            <w:r w:rsidR="005D6EAD" w:rsidRPr="00913E39">
              <w:rPr>
                <w:rFonts w:ascii="Garamond" w:hAnsi="Garamond"/>
                <w:sz w:val="18"/>
              </w:rPr>
              <w:t xml:space="preserve">teknik </w:t>
            </w:r>
          </w:p>
        </w:tc>
      </w:tr>
      <w:tr w:rsidR="00847F23" w:rsidRPr="00913E39" w14:paraId="3E04330E" w14:textId="77777777" w:rsidTr="004F525C">
        <w:trPr>
          <w:trHeight w:val="20"/>
        </w:trPr>
        <w:tc>
          <w:tcPr>
            <w:tcW w:w="1344" w:type="dxa"/>
            <w:shd w:val="clear" w:color="auto" w:fill="auto"/>
          </w:tcPr>
          <w:p w14:paraId="1938A71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TLD</w:t>
            </w:r>
          </w:p>
        </w:tc>
        <w:tc>
          <w:tcPr>
            <w:tcW w:w="7716" w:type="dxa"/>
            <w:gridSpan w:val="2"/>
            <w:shd w:val="clear" w:color="auto" w:fill="auto"/>
          </w:tcPr>
          <w:p w14:paraId="2D700889" w14:textId="6AA6A42A" w:rsidR="00847F23" w:rsidRPr="00913E39" w:rsidRDefault="00847F23" w:rsidP="004F525C">
            <w:pPr>
              <w:spacing w:after="0" w:line="240" w:lineRule="auto"/>
              <w:contextualSpacing/>
              <w:jc w:val="both"/>
              <w:rPr>
                <w:rFonts w:ascii="Garamond" w:hAnsi="Garamond"/>
                <w:sz w:val="18"/>
              </w:rPr>
            </w:pPr>
            <w:r w:rsidRPr="00913E39">
              <w:rPr>
                <w:rFonts w:ascii="Garamond" w:hAnsi="Garamond"/>
                <w:i/>
                <w:sz w:val="18"/>
              </w:rPr>
              <w:t>Domain</w:t>
            </w:r>
            <w:r w:rsidRPr="00913E39">
              <w:rPr>
                <w:rFonts w:ascii="Garamond" w:hAnsi="Garamond"/>
                <w:sz w:val="18"/>
              </w:rPr>
              <w:t xml:space="preserve"> i </w:t>
            </w:r>
            <w:r w:rsidR="005D6EAD" w:rsidRPr="00913E39">
              <w:rPr>
                <w:rFonts w:ascii="Garamond" w:hAnsi="Garamond"/>
                <w:sz w:val="18"/>
              </w:rPr>
              <w:t>nivelit të lartë </w:t>
            </w:r>
          </w:p>
        </w:tc>
      </w:tr>
      <w:tr w:rsidR="00847F23" w:rsidRPr="00913E39" w14:paraId="009E3E9E" w14:textId="77777777" w:rsidTr="004F525C">
        <w:trPr>
          <w:trHeight w:val="20"/>
        </w:trPr>
        <w:tc>
          <w:tcPr>
            <w:tcW w:w="1344" w:type="dxa"/>
            <w:shd w:val="clear" w:color="auto" w:fill="auto"/>
          </w:tcPr>
          <w:p w14:paraId="42277E4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UNESCO</w:t>
            </w:r>
          </w:p>
        </w:tc>
        <w:tc>
          <w:tcPr>
            <w:tcW w:w="7716" w:type="dxa"/>
            <w:gridSpan w:val="2"/>
            <w:shd w:val="clear" w:color="auto" w:fill="auto"/>
          </w:tcPr>
          <w:p w14:paraId="00240346"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Organizata e Kombeve të Bashkuara për Edukim, Shkencë dhe Kulturë</w:t>
            </w:r>
          </w:p>
        </w:tc>
      </w:tr>
      <w:tr w:rsidR="00847F23" w:rsidRPr="00913E39" w14:paraId="0EDA72AF" w14:textId="77777777" w:rsidTr="004F525C">
        <w:trPr>
          <w:trHeight w:val="20"/>
        </w:trPr>
        <w:tc>
          <w:tcPr>
            <w:tcW w:w="1344" w:type="dxa"/>
            <w:shd w:val="clear" w:color="auto" w:fill="auto"/>
          </w:tcPr>
          <w:p w14:paraId="51D4F0F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UNICEF</w:t>
            </w:r>
          </w:p>
        </w:tc>
        <w:tc>
          <w:tcPr>
            <w:tcW w:w="7716" w:type="dxa"/>
            <w:gridSpan w:val="2"/>
            <w:shd w:val="clear" w:color="auto" w:fill="auto"/>
          </w:tcPr>
          <w:p w14:paraId="712E0DF5"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Fondi Ndërkombëtar i Emergjencës së OKB-së për Fëmijët</w:t>
            </w:r>
          </w:p>
        </w:tc>
      </w:tr>
      <w:tr w:rsidR="00847F23" w:rsidRPr="00913E39" w14:paraId="2CA02B7A" w14:textId="77777777" w:rsidTr="004F525C">
        <w:trPr>
          <w:trHeight w:val="20"/>
        </w:trPr>
        <w:tc>
          <w:tcPr>
            <w:tcW w:w="1344" w:type="dxa"/>
            <w:shd w:val="clear" w:color="auto" w:fill="auto"/>
          </w:tcPr>
          <w:p w14:paraId="6D6E4EA8"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USAID</w:t>
            </w:r>
          </w:p>
        </w:tc>
        <w:tc>
          <w:tcPr>
            <w:tcW w:w="7716" w:type="dxa"/>
            <w:gridSpan w:val="2"/>
            <w:shd w:val="clear" w:color="auto" w:fill="auto"/>
          </w:tcPr>
          <w:p w14:paraId="3BCC6DE1"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Agjencia e Shteteve të Bashkuara për Zhvillimin Ndërkombëtar</w:t>
            </w:r>
          </w:p>
        </w:tc>
      </w:tr>
      <w:tr w:rsidR="00847F23" w:rsidRPr="00913E39" w14:paraId="062172EE" w14:textId="77777777" w:rsidTr="004F525C">
        <w:trPr>
          <w:trHeight w:val="20"/>
        </w:trPr>
        <w:tc>
          <w:tcPr>
            <w:tcW w:w="1344" w:type="dxa"/>
            <w:shd w:val="clear" w:color="auto" w:fill="auto"/>
          </w:tcPr>
          <w:p w14:paraId="17B0BFE3"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TVSH</w:t>
            </w:r>
          </w:p>
        </w:tc>
        <w:tc>
          <w:tcPr>
            <w:tcW w:w="7716" w:type="dxa"/>
            <w:gridSpan w:val="2"/>
            <w:shd w:val="clear" w:color="auto" w:fill="auto"/>
          </w:tcPr>
          <w:p w14:paraId="72BE35C3" w14:textId="6B92A18A"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Tatimi mbi </w:t>
            </w:r>
            <w:r w:rsidR="005D6EAD" w:rsidRPr="00913E39">
              <w:rPr>
                <w:rFonts w:ascii="Garamond" w:hAnsi="Garamond"/>
                <w:sz w:val="18"/>
              </w:rPr>
              <w:t>vlerën e shtuar</w:t>
            </w:r>
          </w:p>
        </w:tc>
      </w:tr>
      <w:tr w:rsidR="00847F23" w:rsidRPr="00913E39" w14:paraId="7DEC728C" w14:textId="77777777" w:rsidTr="004F525C">
        <w:trPr>
          <w:trHeight w:val="20"/>
        </w:trPr>
        <w:tc>
          <w:tcPr>
            <w:tcW w:w="1344" w:type="dxa"/>
            <w:shd w:val="clear" w:color="auto" w:fill="auto"/>
          </w:tcPr>
          <w:p w14:paraId="4C42B5F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AFP</w:t>
            </w:r>
          </w:p>
        </w:tc>
        <w:tc>
          <w:tcPr>
            <w:tcW w:w="7716" w:type="dxa"/>
            <w:gridSpan w:val="2"/>
            <w:shd w:val="clear" w:color="auto" w:fill="auto"/>
          </w:tcPr>
          <w:p w14:paraId="364B32E6" w14:textId="4BA319F0"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Arsimi dhe </w:t>
            </w:r>
            <w:r w:rsidR="005D6EAD" w:rsidRPr="00913E39">
              <w:rPr>
                <w:rFonts w:ascii="Garamond" w:hAnsi="Garamond"/>
                <w:sz w:val="18"/>
              </w:rPr>
              <w:t>formimi profesional</w:t>
            </w:r>
          </w:p>
        </w:tc>
      </w:tr>
      <w:tr w:rsidR="00847F23" w:rsidRPr="00913E39" w14:paraId="774494B8" w14:textId="77777777" w:rsidTr="004F525C">
        <w:trPr>
          <w:trHeight w:val="20"/>
        </w:trPr>
        <w:tc>
          <w:tcPr>
            <w:tcW w:w="1344" w:type="dxa"/>
            <w:shd w:val="clear" w:color="auto" w:fill="auto"/>
          </w:tcPr>
          <w:p w14:paraId="72F3729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VHCN</w:t>
            </w:r>
          </w:p>
        </w:tc>
        <w:tc>
          <w:tcPr>
            <w:tcW w:w="7716" w:type="dxa"/>
            <w:gridSpan w:val="2"/>
            <w:shd w:val="clear" w:color="auto" w:fill="auto"/>
          </w:tcPr>
          <w:p w14:paraId="00813115" w14:textId="2EFA24B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Rrjete me </w:t>
            </w:r>
            <w:r w:rsidR="005D6EAD" w:rsidRPr="00913E39">
              <w:rPr>
                <w:rFonts w:ascii="Garamond" w:hAnsi="Garamond"/>
                <w:sz w:val="18"/>
              </w:rPr>
              <w:t>kapacitet shumë të lartë</w:t>
            </w:r>
          </w:p>
        </w:tc>
      </w:tr>
      <w:tr w:rsidR="00847F23" w:rsidRPr="00913E39" w14:paraId="7D1C8F2B" w14:textId="77777777" w:rsidTr="004F525C">
        <w:trPr>
          <w:trHeight w:val="20"/>
        </w:trPr>
        <w:tc>
          <w:tcPr>
            <w:tcW w:w="1344" w:type="dxa"/>
            <w:shd w:val="clear" w:color="auto" w:fill="auto"/>
          </w:tcPr>
          <w:p w14:paraId="1D0A497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VIDA</w:t>
            </w:r>
          </w:p>
        </w:tc>
        <w:tc>
          <w:tcPr>
            <w:tcW w:w="7716" w:type="dxa"/>
            <w:gridSpan w:val="2"/>
            <w:shd w:val="clear" w:color="auto" w:fill="auto"/>
          </w:tcPr>
          <w:p w14:paraId="2EB1FBFB"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VIES mbi Aplikacionet e Ndërveprimit dhe Ndarjes së të Dhënave</w:t>
            </w:r>
          </w:p>
        </w:tc>
      </w:tr>
      <w:tr w:rsidR="00847F23" w:rsidRPr="00913E39" w14:paraId="5A7A7BBE" w14:textId="77777777" w:rsidTr="004F525C">
        <w:trPr>
          <w:trHeight w:val="20"/>
        </w:trPr>
        <w:tc>
          <w:tcPr>
            <w:tcW w:w="1344" w:type="dxa"/>
            <w:shd w:val="clear" w:color="auto" w:fill="auto"/>
          </w:tcPr>
          <w:p w14:paraId="4BAD4D4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VIES</w:t>
            </w:r>
          </w:p>
        </w:tc>
        <w:tc>
          <w:tcPr>
            <w:tcW w:w="7716" w:type="dxa"/>
            <w:gridSpan w:val="2"/>
            <w:shd w:val="clear" w:color="auto" w:fill="auto"/>
          </w:tcPr>
          <w:p w14:paraId="527B2D02" w14:textId="293DF39A"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Sistemi i Shkëmbimit të Informacionit për TVSH</w:t>
            </w:r>
            <w:r w:rsidR="00827E64" w:rsidRPr="00913E39">
              <w:rPr>
                <w:rFonts w:ascii="Garamond" w:hAnsi="Garamond"/>
                <w:sz w:val="18"/>
              </w:rPr>
              <w:t>-në</w:t>
            </w:r>
          </w:p>
        </w:tc>
      </w:tr>
      <w:tr w:rsidR="00847F23" w:rsidRPr="00913E39" w14:paraId="168A0718" w14:textId="77777777" w:rsidTr="004F525C">
        <w:trPr>
          <w:trHeight w:val="20"/>
        </w:trPr>
        <w:tc>
          <w:tcPr>
            <w:tcW w:w="1344" w:type="dxa"/>
            <w:shd w:val="clear" w:color="auto" w:fill="auto"/>
          </w:tcPr>
          <w:p w14:paraId="27EA15F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Bb</w:t>
            </w:r>
          </w:p>
        </w:tc>
        <w:tc>
          <w:tcPr>
            <w:tcW w:w="7716" w:type="dxa"/>
            <w:gridSpan w:val="2"/>
            <w:shd w:val="clear" w:color="auto" w:fill="auto"/>
          </w:tcPr>
          <w:p w14:paraId="5A58AA4C"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Banka Botërore</w:t>
            </w:r>
          </w:p>
        </w:tc>
      </w:tr>
      <w:tr w:rsidR="00847F23" w:rsidRPr="00913E39" w14:paraId="56A20587" w14:textId="77777777" w:rsidTr="004F525C">
        <w:trPr>
          <w:trHeight w:val="20"/>
        </w:trPr>
        <w:tc>
          <w:tcPr>
            <w:tcW w:w="1344" w:type="dxa"/>
            <w:shd w:val="clear" w:color="auto" w:fill="auto"/>
          </w:tcPr>
          <w:p w14:paraId="483EE342"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BP</w:t>
            </w:r>
          </w:p>
        </w:tc>
        <w:tc>
          <w:tcPr>
            <w:tcW w:w="7716" w:type="dxa"/>
            <w:gridSpan w:val="2"/>
            <w:shd w:val="clear" w:color="auto" w:fill="auto"/>
          </w:tcPr>
          <w:p w14:paraId="2FA13604"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 xml:space="preserve">Ballkani Perëndimor </w:t>
            </w:r>
          </w:p>
        </w:tc>
      </w:tr>
      <w:tr w:rsidR="00847F23" w:rsidRPr="00913E39" w14:paraId="63DDFA3B" w14:textId="77777777" w:rsidTr="004F525C">
        <w:trPr>
          <w:trHeight w:val="20"/>
        </w:trPr>
        <w:tc>
          <w:tcPr>
            <w:tcW w:w="1344" w:type="dxa"/>
            <w:shd w:val="clear" w:color="auto" w:fill="auto"/>
          </w:tcPr>
          <w:p w14:paraId="20BAF039"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WBIF</w:t>
            </w:r>
          </w:p>
        </w:tc>
        <w:tc>
          <w:tcPr>
            <w:tcW w:w="7716" w:type="dxa"/>
            <w:gridSpan w:val="2"/>
            <w:shd w:val="clear" w:color="auto" w:fill="auto"/>
          </w:tcPr>
          <w:p w14:paraId="3E9E8EED"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Korniza e Investimeve në Ballkanin Perëndimor</w:t>
            </w:r>
          </w:p>
        </w:tc>
      </w:tr>
      <w:tr w:rsidR="00847F23" w:rsidRPr="00913E39" w14:paraId="13F0D053" w14:textId="77777777" w:rsidTr="004F525C">
        <w:trPr>
          <w:trHeight w:val="20"/>
        </w:trPr>
        <w:tc>
          <w:tcPr>
            <w:tcW w:w="1344" w:type="dxa"/>
            <w:shd w:val="clear" w:color="auto" w:fill="auto"/>
          </w:tcPr>
          <w:p w14:paraId="55D584FF"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CFCU</w:t>
            </w:r>
          </w:p>
        </w:tc>
        <w:tc>
          <w:tcPr>
            <w:tcW w:w="7716" w:type="dxa"/>
            <w:gridSpan w:val="2"/>
            <w:shd w:val="clear" w:color="auto" w:fill="auto"/>
          </w:tcPr>
          <w:p w14:paraId="7B5C0320" w14:textId="77777777" w:rsidR="00847F23" w:rsidRPr="00913E39" w:rsidRDefault="00847F23" w:rsidP="004F525C">
            <w:pPr>
              <w:spacing w:after="0" w:line="240" w:lineRule="auto"/>
              <w:contextualSpacing/>
              <w:jc w:val="both"/>
              <w:rPr>
                <w:rFonts w:ascii="Garamond" w:hAnsi="Garamond"/>
                <w:sz w:val="18"/>
              </w:rPr>
            </w:pPr>
            <w:r w:rsidRPr="00913E39">
              <w:rPr>
                <w:rFonts w:ascii="Garamond" w:hAnsi="Garamond"/>
                <w:sz w:val="18"/>
              </w:rPr>
              <w:t>Drejtoria e Përgjithshme për Financimin dhe Kontraktimin e Fondeve të Bashkimit Evropian, Bankës Botërore dhe Donatorëve të Tjerë</w:t>
            </w:r>
          </w:p>
        </w:tc>
      </w:tr>
    </w:tbl>
    <w:p w14:paraId="1874B0A2" w14:textId="77777777" w:rsidR="00847F23" w:rsidRPr="00913E39" w:rsidRDefault="00847F23" w:rsidP="004F525C">
      <w:pPr>
        <w:spacing w:after="0" w:line="240" w:lineRule="auto"/>
        <w:contextualSpacing/>
        <w:jc w:val="both"/>
        <w:rPr>
          <w:rFonts w:ascii="Garamond" w:hAnsi="Garamond"/>
          <w:sz w:val="18"/>
        </w:rPr>
      </w:pPr>
    </w:p>
    <w:bookmarkEnd w:id="1"/>
    <w:p w14:paraId="118BAC3B" w14:textId="77777777" w:rsidR="005D6EAD" w:rsidRPr="00913E39" w:rsidRDefault="005F4CBC" w:rsidP="005D6EAD">
      <w:pPr>
        <w:spacing w:after="0" w:line="240" w:lineRule="auto"/>
        <w:ind w:firstLine="284"/>
        <w:contextualSpacing/>
        <w:jc w:val="center"/>
        <w:rPr>
          <w:rFonts w:ascii="Garamond" w:hAnsi="Garamond"/>
          <w:sz w:val="24"/>
        </w:rPr>
      </w:pPr>
      <w:r w:rsidRPr="00913E39">
        <w:rPr>
          <w:rFonts w:ascii="Garamond" w:hAnsi="Garamond"/>
          <w:sz w:val="24"/>
        </w:rPr>
        <w:t>ANEKSI II</w:t>
      </w:r>
    </w:p>
    <w:p w14:paraId="2131E7A9" w14:textId="2C99562C" w:rsidR="005F4CBC" w:rsidRPr="00913E39" w:rsidRDefault="005F4CBC" w:rsidP="005D6EAD">
      <w:pPr>
        <w:spacing w:after="0" w:line="240" w:lineRule="auto"/>
        <w:ind w:firstLine="284"/>
        <w:contextualSpacing/>
        <w:jc w:val="center"/>
        <w:rPr>
          <w:rFonts w:ascii="Garamond" w:hAnsi="Garamond"/>
          <w:sz w:val="24"/>
        </w:rPr>
      </w:pPr>
      <w:r w:rsidRPr="00913E39">
        <w:rPr>
          <w:rFonts w:ascii="Garamond" w:hAnsi="Garamond"/>
          <w:sz w:val="24"/>
        </w:rPr>
        <w:t>KUSHTE TË PËRGJITHSHME</w:t>
      </w:r>
    </w:p>
    <w:p w14:paraId="5D8985CA" w14:textId="77777777" w:rsidR="005D6EAD" w:rsidRPr="00913E39" w:rsidRDefault="005D6EAD" w:rsidP="005D6EAD">
      <w:pPr>
        <w:spacing w:after="0" w:line="240" w:lineRule="auto"/>
        <w:ind w:firstLine="284"/>
        <w:rPr>
          <w:rFonts w:ascii="Garamond" w:hAnsi="Garamond"/>
          <w:sz w:val="24"/>
        </w:rPr>
      </w:pPr>
    </w:p>
    <w:p w14:paraId="5F5F1561" w14:textId="365B0988" w:rsidR="005F4CBC" w:rsidRPr="00913E39" w:rsidRDefault="005F4CBC" w:rsidP="005D6EAD">
      <w:pPr>
        <w:spacing w:after="0" w:line="240" w:lineRule="auto"/>
        <w:ind w:firstLine="284"/>
        <w:rPr>
          <w:rFonts w:ascii="Garamond" w:hAnsi="Garamond"/>
          <w:sz w:val="24"/>
        </w:rPr>
      </w:pPr>
      <w:r w:rsidRPr="00913E39">
        <w:rPr>
          <w:rFonts w:ascii="Garamond" w:hAnsi="Garamond"/>
          <w:b/>
          <w:sz w:val="24"/>
        </w:rPr>
        <w:t>Përmbajtja</w:t>
      </w:r>
    </w:p>
    <w:p w14:paraId="5DC408CC" w14:textId="4FE14411" w:rsidR="005F4CBC" w:rsidRPr="00913E39" w:rsidRDefault="005F4CBC" w:rsidP="00EF6A00">
      <w:pPr>
        <w:tabs>
          <w:tab w:val="right" w:leader="dot" w:pos="9016"/>
        </w:tabs>
        <w:spacing w:after="0" w:line="240" w:lineRule="auto"/>
        <w:ind w:left="284"/>
        <w:rPr>
          <w:rFonts w:ascii="Garamond" w:eastAsia="Times New Roman" w:hAnsi="Garamond" w:cs="Times New Roman"/>
          <w:sz w:val="24"/>
          <w:szCs w:val="24"/>
        </w:rPr>
      </w:pPr>
      <w:r w:rsidRPr="00913E39">
        <w:rPr>
          <w:rFonts w:ascii="Garamond" w:eastAsia="Times New Roman" w:hAnsi="Garamond" w:cs="Times New Roman"/>
          <w:sz w:val="24"/>
          <w:szCs w:val="24"/>
        </w:rPr>
        <w:t xml:space="preserve">Pjesa e parë: Dispozitat e zbatueshme për </w:t>
      </w:r>
      <w:r w:rsidR="005D6EAD" w:rsidRPr="00913E39">
        <w:rPr>
          <w:rFonts w:ascii="Garamond" w:eastAsia="Times New Roman" w:hAnsi="Garamond" w:cs="Times New Roman"/>
          <w:sz w:val="24"/>
          <w:szCs w:val="24"/>
        </w:rPr>
        <w:t>a</w:t>
      </w:r>
      <w:r w:rsidRPr="00913E39">
        <w:rPr>
          <w:rFonts w:ascii="Garamond" w:eastAsia="Times New Roman" w:hAnsi="Garamond" w:cs="Times New Roman"/>
          <w:sz w:val="24"/>
          <w:szCs w:val="24"/>
        </w:rPr>
        <w:t xml:space="preserve">ktivitetet për të cilat </w:t>
      </w:r>
      <w:r w:rsidR="005D6EAD" w:rsidRPr="00913E39">
        <w:rPr>
          <w:rFonts w:ascii="Garamond" w:eastAsia="Times New Roman" w:hAnsi="Garamond" w:cs="Times New Roman"/>
          <w:sz w:val="24"/>
          <w:szCs w:val="24"/>
        </w:rPr>
        <w:t>p</w:t>
      </w:r>
      <w:r w:rsidRPr="00913E39">
        <w:rPr>
          <w:rFonts w:ascii="Garamond" w:eastAsia="Times New Roman" w:hAnsi="Garamond" w:cs="Times New Roman"/>
          <w:sz w:val="24"/>
          <w:szCs w:val="24"/>
        </w:rPr>
        <w:t>ërfituesi i IPA III është Autoriteti Kontraktues sipas IMBC</w:t>
      </w:r>
      <w:r w:rsidR="005D6EAD" w:rsidRPr="00913E39">
        <w:rPr>
          <w:rFonts w:ascii="Garamond" w:eastAsia="Times New Roman" w:hAnsi="Garamond" w:cs="Times New Roman"/>
          <w:sz w:val="24"/>
          <w:szCs w:val="24"/>
        </w:rPr>
        <w:t>-së</w:t>
      </w:r>
      <w:r w:rsidRPr="00913E39">
        <w:rPr>
          <w:rFonts w:ascii="Garamond" w:eastAsia="Times New Roman" w:hAnsi="Garamond" w:cs="Times New Roman"/>
          <w:sz w:val="24"/>
          <w:szCs w:val="24"/>
        </w:rPr>
        <w:t xml:space="preserve"> </w:t>
      </w:r>
    </w:p>
    <w:p w14:paraId="44925CCA" w14:textId="6F53C48D"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1</w:t>
      </w:r>
      <w:r w:rsidR="005D6EAD" w:rsidRPr="00913E39">
        <w:rPr>
          <w:rFonts w:ascii="Garamond" w:hAnsi="Garamond"/>
          <w:sz w:val="24"/>
        </w:rPr>
        <w:t xml:space="preserve">. </w:t>
      </w:r>
      <w:r w:rsidRPr="00913E39">
        <w:rPr>
          <w:rFonts w:ascii="Garamond" w:hAnsi="Garamond"/>
          <w:sz w:val="24"/>
        </w:rPr>
        <w:t xml:space="preserve">Parime të përgjithshme </w:t>
      </w:r>
    </w:p>
    <w:p w14:paraId="3DFE93B0" w14:textId="02863812"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2</w:t>
      </w:r>
      <w:r w:rsidR="005D6EAD" w:rsidRPr="00913E39">
        <w:rPr>
          <w:rFonts w:ascii="Garamond" w:hAnsi="Garamond"/>
          <w:sz w:val="24"/>
        </w:rPr>
        <w:t>.</w:t>
      </w:r>
      <w:r w:rsidRPr="00913E39">
        <w:rPr>
          <w:rFonts w:ascii="Garamond" w:hAnsi="Garamond"/>
          <w:sz w:val="24"/>
        </w:rPr>
        <w:t xml:space="preserve"> Shpallja e kontratave fituese të prokurimit dhe </w:t>
      </w:r>
      <w:r w:rsidRPr="00913E39">
        <w:rPr>
          <w:rFonts w:ascii="Garamond" w:hAnsi="Garamond"/>
          <w:i/>
          <w:sz w:val="24"/>
        </w:rPr>
        <w:t>grantit</w:t>
      </w:r>
      <w:r w:rsidRPr="00913E39">
        <w:rPr>
          <w:rFonts w:ascii="Garamond" w:hAnsi="Garamond"/>
          <w:sz w:val="24"/>
        </w:rPr>
        <w:t xml:space="preserve"> </w:t>
      </w:r>
    </w:p>
    <w:p w14:paraId="6A74ACC3" w14:textId="3E1A3D6A"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2a</w:t>
      </w:r>
      <w:r w:rsidR="005D6EAD" w:rsidRPr="00913E39">
        <w:rPr>
          <w:rFonts w:ascii="Garamond" w:hAnsi="Garamond"/>
          <w:sz w:val="24"/>
        </w:rPr>
        <w:t>.</w:t>
      </w:r>
      <w:r w:rsidRPr="00913E39">
        <w:rPr>
          <w:rFonts w:ascii="Garamond" w:hAnsi="Garamond"/>
          <w:sz w:val="24"/>
        </w:rPr>
        <w:t xml:space="preserve"> Përjashtimi dhe masat administrative </w:t>
      </w:r>
    </w:p>
    <w:p w14:paraId="1914AF46" w14:textId="58935851"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3</w:t>
      </w:r>
      <w:r w:rsidR="005D6EAD" w:rsidRPr="00913E39">
        <w:rPr>
          <w:rFonts w:ascii="Garamond" w:hAnsi="Garamond"/>
          <w:sz w:val="24"/>
        </w:rPr>
        <w:t>.</w:t>
      </w:r>
      <w:r w:rsidRPr="00913E39">
        <w:rPr>
          <w:rFonts w:ascii="Garamond" w:hAnsi="Garamond"/>
          <w:sz w:val="24"/>
        </w:rPr>
        <w:t xml:space="preserve"> Komunikimi dhe vizibiliteti </w:t>
      </w:r>
    </w:p>
    <w:p w14:paraId="4994E2A0" w14:textId="7B09EB65"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4</w:t>
      </w:r>
      <w:r w:rsidR="005D6EAD" w:rsidRPr="00913E39">
        <w:rPr>
          <w:rFonts w:ascii="Garamond" w:hAnsi="Garamond"/>
          <w:sz w:val="24"/>
        </w:rPr>
        <w:t>.</w:t>
      </w:r>
      <w:r w:rsidRPr="00913E39">
        <w:rPr>
          <w:rFonts w:ascii="Garamond" w:hAnsi="Garamond"/>
          <w:sz w:val="24"/>
        </w:rPr>
        <w:t xml:space="preserve"> Kontrollet e mëpërparshme dhe vijuese për procedurat e granteve dhe prokurimit dhe kontrollet vijuese për kontratat dhe grantet që do të kryhen nga Komisioni </w:t>
      </w:r>
    </w:p>
    <w:p w14:paraId="6FC6F7ED" w14:textId="0A9F4535"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5</w:t>
      </w:r>
      <w:r w:rsidR="005D6EAD" w:rsidRPr="00913E39">
        <w:rPr>
          <w:rFonts w:ascii="Garamond" w:hAnsi="Garamond"/>
          <w:sz w:val="24"/>
        </w:rPr>
        <w:t>.</w:t>
      </w:r>
      <w:r w:rsidRPr="00913E39">
        <w:rPr>
          <w:rFonts w:ascii="Garamond" w:hAnsi="Garamond"/>
          <w:sz w:val="24"/>
        </w:rPr>
        <w:t xml:space="preserve"> Llogaritë bankare, sistemet e kontabilitetitit dhe shpenzimet e bëra </w:t>
      </w:r>
    </w:p>
    <w:p w14:paraId="3F223D34" w14:textId="7A746E8C"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6</w:t>
      </w:r>
      <w:r w:rsidR="005D6EAD" w:rsidRPr="00913E39">
        <w:rPr>
          <w:rFonts w:ascii="Garamond" w:hAnsi="Garamond"/>
          <w:sz w:val="24"/>
        </w:rPr>
        <w:t>.</w:t>
      </w:r>
      <w:r w:rsidRPr="00913E39">
        <w:rPr>
          <w:rFonts w:ascii="Garamond" w:hAnsi="Garamond"/>
          <w:sz w:val="24"/>
        </w:rPr>
        <w:t xml:space="preserve"> Dispozitat mbi pagesat e bëra nga Komisioni për përfituesin e IPA III </w:t>
      </w:r>
    </w:p>
    <w:p w14:paraId="1F92C258" w14:textId="4F52ED5E"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7</w:t>
      </w:r>
      <w:r w:rsidR="005D6EAD" w:rsidRPr="00913E39">
        <w:rPr>
          <w:rFonts w:ascii="Garamond" w:hAnsi="Garamond"/>
          <w:sz w:val="24"/>
        </w:rPr>
        <w:t>.</w:t>
      </w:r>
      <w:r w:rsidRPr="00913E39">
        <w:rPr>
          <w:rFonts w:ascii="Garamond" w:hAnsi="Garamond"/>
          <w:sz w:val="24"/>
        </w:rPr>
        <w:t xml:space="preserve"> Ndërprerja e pagesave </w:t>
      </w:r>
    </w:p>
    <w:p w14:paraId="5C366443" w14:textId="754166CE"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8</w:t>
      </w:r>
      <w:r w:rsidR="005D6EAD" w:rsidRPr="00913E39">
        <w:rPr>
          <w:rFonts w:ascii="Garamond" w:hAnsi="Garamond"/>
          <w:sz w:val="24"/>
        </w:rPr>
        <w:t>.</w:t>
      </w:r>
      <w:r w:rsidRPr="00913E39">
        <w:rPr>
          <w:rFonts w:ascii="Garamond" w:hAnsi="Garamond"/>
          <w:sz w:val="24"/>
        </w:rPr>
        <w:t xml:space="preserve"> Rikuperimi i fondeve </w:t>
      </w:r>
    </w:p>
    <w:p w14:paraId="2DB14452" w14:textId="4425727A" w:rsidR="005F4CBC" w:rsidRPr="00913E39" w:rsidRDefault="005F4CBC" w:rsidP="005F4CBC">
      <w:pPr>
        <w:spacing w:after="0" w:line="240" w:lineRule="auto"/>
        <w:ind w:firstLine="284"/>
        <w:rPr>
          <w:rFonts w:ascii="Garamond" w:hAnsi="Garamond"/>
          <w:sz w:val="24"/>
        </w:rPr>
      </w:pPr>
      <w:r w:rsidRPr="00913E39">
        <w:rPr>
          <w:rFonts w:ascii="Garamond" w:hAnsi="Garamond"/>
          <w:sz w:val="24"/>
        </w:rPr>
        <w:lastRenderedPageBreak/>
        <w:t>Neni 8a</w:t>
      </w:r>
      <w:r w:rsidR="005D6EAD" w:rsidRPr="00913E39">
        <w:rPr>
          <w:rFonts w:ascii="Garamond" w:hAnsi="Garamond"/>
          <w:sz w:val="24"/>
        </w:rPr>
        <w:t>.</w:t>
      </w:r>
      <w:r w:rsidRPr="00913E39">
        <w:rPr>
          <w:rFonts w:ascii="Garamond" w:hAnsi="Garamond"/>
          <w:sz w:val="24"/>
        </w:rPr>
        <w:t xml:space="preserve"> Ndryshimet financiare dhe ndërprerja</w:t>
      </w:r>
    </w:p>
    <w:p w14:paraId="0496B970" w14:textId="023BD14F"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9</w:t>
      </w:r>
      <w:r w:rsidR="005D6EAD" w:rsidRPr="00913E39">
        <w:rPr>
          <w:rFonts w:ascii="Garamond" w:hAnsi="Garamond"/>
          <w:sz w:val="24"/>
        </w:rPr>
        <w:t>.</w:t>
      </w:r>
      <w:r w:rsidRPr="00913E39">
        <w:rPr>
          <w:rFonts w:ascii="Garamond" w:hAnsi="Garamond"/>
          <w:sz w:val="24"/>
        </w:rPr>
        <w:t xml:space="preserve"> Parimet e përgjithshme për përzgjedhjen e veprimeve </w:t>
      </w:r>
    </w:p>
    <w:p w14:paraId="2554A148" w14:textId="69129B00"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10</w:t>
      </w:r>
      <w:r w:rsidR="005D6EAD" w:rsidRPr="00913E39">
        <w:rPr>
          <w:rFonts w:ascii="Garamond" w:hAnsi="Garamond"/>
          <w:sz w:val="24"/>
        </w:rPr>
        <w:t>.</w:t>
      </w:r>
      <w:r w:rsidRPr="00913E39">
        <w:rPr>
          <w:rFonts w:ascii="Garamond" w:hAnsi="Garamond"/>
          <w:sz w:val="24"/>
        </w:rPr>
        <w:t xml:space="preserve"> Procesverbal </w:t>
      </w:r>
      <w:r w:rsidR="005D6EAD" w:rsidRPr="00913E39">
        <w:rPr>
          <w:rFonts w:ascii="Garamond" w:hAnsi="Garamond"/>
          <w:sz w:val="24"/>
        </w:rPr>
        <w:t xml:space="preserve">konstatimi i veprimeve </w:t>
      </w:r>
    </w:p>
    <w:p w14:paraId="3ABC0559" w14:textId="59DD347F"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11</w:t>
      </w:r>
      <w:r w:rsidR="005D6EAD" w:rsidRPr="00913E39">
        <w:rPr>
          <w:rFonts w:ascii="Garamond" w:hAnsi="Garamond"/>
          <w:sz w:val="24"/>
        </w:rPr>
        <w:t>.</w:t>
      </w:r>
      <w:r w:rsidRPr="00913E39">
        <w:rPr>
          <w:rFonts w:ascii="Garamond" w:hAnsi="Garamond"/>
          <w:sz w:val="24"/>
        </w:rPr>
        <w:t xml:space="preserve"> Projekti madhor dhe marrëveshja dypalëshe  </w:t>
      </w:r>
    </w:p>
    <w:p w14:paraId="5A25F807" w14:textId="46987036" w:rsidR="005F4CBC" w:rsidRPr="00913E39" w:rsidRDefault="005F4CBC" w:rsidP="00EF6A00">
      <w:pPr>
        <w:tabs>
          <w:tab w:val="right" w:leader="dot" w:pos="9016"/>
        </w:tabs>
        <w:spacing w:after="0" w:line="240" w:lineRule="auto"/>
        <w:ind w:left="284"/>
        <w:rPr>
          <w:rFonts w:ascii="Garamond" w:eastAsia="Times New Roman" w:hAnsi="Garamond" w:cs="Times New Roman"/>
          <w:sz w:val="24"/>
          <w:szCs w:val="24"/>
        </w:rPr>
      </w:pPr>
      <w:r w:rsidRPr="00913E39">
        <w:rPr>
          <w:rFonts w:ascii="Garamond" w:eastAsia="Times New Roman" w:hAnsi="Garamond" w:cs="Times New Roman"/>
          <w:sz w:val="24"/>
          <w:szCs w:val="24"/>
        </w:rPr>
        <w:t xml:space="preserve">Pjesa e dytë: Dispozitat </w:t>
      </w:r>
      <w:r w:rsidR="005D6EAD" w:rsidRPr="00913E39">
        <w:rPr>
          <w:rFonts w:ascii="Garamond" w:eastAsia="Times New Roman" w:hAnsi="Garamond" w:cs="Times New Roman"/>
          <w:sz w:val="24"/>
          <w:szCs w:val="24"/>
        </w:rPr>
        <w:t>e zbatueshme për kët</w:t>
      </w:r>
      <w:r w:rsidRPr="00913E39">
        <w:rPr>
          <w:rFonts w:ascii="Garamond" w:eastAsia="Times New Roman" w:hAnsi="Garamond" w:cs="Times New Roman"/>
          <w:sz w:val="24"/>
          <w:szCs w:val="24"/>
        </w:rPr>
        <w:t xml:space="preserve">ë Marrëveshje Financimi në tërësi, pavarësisht nga mënyra e menaxhimit </w:t>
      </w:r>
    </w:p>
    <w:p w14:paraId="7DA9166E" w14:textId="5C474D98"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12</w:t>
      </w:r>
      <w:r w:rsidR="005D6EAD" w:rsidRPr="00913E39">
        <w:rPr>
          <w:rFonts w:ascii="Garamond" w:hAnsi="Garamond"/>
          <w:sz w:val="24"/>
        </w:rPr>
        <w:t>.</w:t>
      </w:r>
      <w:r w:rsidRPr="00913E39">
        <w:rPr>
          <w:rFonts w:ascii="Garamond" w:hAnsi="Garamond"/>
          <w:sz w:val="24"/>
        </w:rPr>
        <w:t xml:space="preserve"> Periudha e ekzekutimit </w:t>
      </w:r>
    </w:p>
    <w:p w14:paraId="5ACE7DC2" w14:textId="4C563C23"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13</w:t>
      </w:r>
      <w:r w:rsidR="005D6EAD" w:rsidRPr="00913E39">
        <w:rPr>
          <w:rFonts w:ascii="Garamond" w:hAnsi="Garamond"/>
          <w:sz w:val="24"/>
        </w:rPr>
        <w:t>.</w:t>
      </w:r>
      <w:r w:rsidRPr="00913E39">
        <w:rPr>
          <w:rFonts w:ascii="Garamond" w:hAnsi="Garamond"/>
          <w:sz w:val="24"/>
        </w:rPr>
        <w:t xml:space="preserve"> Lejet dhe autorizimi </w:t>
      </w:r>
    </w:p>
    <w:p w14:paraId="3EBB68CC" w14:textId="7F59E0D7"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14</w:t>
      </w:r>
      <w:r w:rsidR="005D6EAD" w:rsidRPr="00913E39">
        <w:rPr>
          <w:rFonts w:ascii="Garamond" w:hAnsi="Garamond"/>
          <w:sz w:val="24"/>
        </w:rPr>
        <w:t>.</w:t>
      </w:r>
      <w:r w:rsidRPr="00913E39">
        <w:rPr>
          <w:rFonts w:ascii="Garamond" w:hAnsi="Garamond"/>
          <w:sz w:val="24"/>
        </w:rPr>
        <w:t xml:space="preserve"> Kërkesat e raportimit </w:t>
      </w:r>
    </w:p>
    <w:p w14:paraId="36B03479" w14:textId="26E9B5EA"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15</w:t>
      </w:r>
      <w:r w:rsidR="005D6EAD" w:rsidRPr="00913E39">
        <w:rPr>
          <w:rFonts w:ascii="Garamond" w:hAnsi="Garamond"/>
          <w:sz w:val="24"/>
        </w:rPr>
        <w:t>.</w:t>
      </w:r>
      <w:r w:rsidRPr="00913E39">
        <w:rPr>
          <w:rFonts w:ascii="Garamond" w:hAnsi="Garamond"/>
          <w:sz w:val="24"/>
        </w:rPr>
        <w:t xml:space="preserve"> Të drejtat e pronësisë intelektuale </w:t>
      </w:r>
    </w:p>
    <w:p w14:paraId="20D9E20C" w14:textId="78FC1937"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16</w:t>
      </w:r>
      <w:r w:rsidR="005D6EAD" w:rsidRPr="00913E39">
        <w:rPr>
          <w:rFonts w:ascii="Garamond" w:hAnsi="Garamond"/>
          <w:sz w:val="24"/>
        </w:rPr>
        <w:t>.</w:t>
      </w:r>
      <w:r w:rsidRPr="00913E39">
        <w:rPr>
          <w:rFonts w:ascii="Garamond" w:hAnsi="Garamond"/>
          <w:sz w:val="24"/>
        </w:rPr>
        <w:t xml:space="preserve"> Konsultimi ndërmjet përfituesit IPA III dhe Komisionit </w:t>
      </w:r>
    </w:p>
    <w:p w14:paraId="61C1A2E6" w14:textId="7648BBD2"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17</w:t>
      </w:r>
      <w:r w:rsidR="005D6EAD" w:rsidRPr="00913E39">
        <w:rPr>
          <w:rFonts w:ascii="Garamond" w:hAnsi="Garamond"/>
          <w:sz w:val="24"/>
        </w:rPr>
        <w:t>.</w:t>
      </w:r>
      <w:r w:rsidRPr="00913E39">
        <w:rPr>
          <w:rFonts w:ascii="Garamond" w:hAnsi="Garamond"/>
          <w:sz w:val="24"/>
        </w:rPr>
        <w:t xml:space="preserve"> Ndryshimi i Marrëveshjes së Financimit </w:t>
      </w:r>
    </w:p>
    <w:p w14:paraId="5C9348C4" w14:textId="4FA0DBC3"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18</w:t>
      </w:r>
      <w:r w:rsidR="005D6EAD" w:rsidRPr="00913E39">
        <w:rPr>
          <w:rFonts w:ascii="Garamond" w:hAnsi="Garamond"/>
          <w:sz w:val="24"/>
        </w:rPr>
        <w:t>.</w:t>
      </w:r>
      <w:r w:rsidRPr="00913E39">
        <w:rPr>
          <w:rFonts w:ascii="Garamond" w:hAnsi="Garamond"/>
          <w:sz w:val="24"/>
        </w:rPr>
        <w:t xml:space="preserve"> Pezullimi i kësaj Marrëveshjeje Financimi </w:t>
      </w:r>
    </w:p>
    <w:p w14:paraId="195B60AC" w14:textId="3C20A323"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19</w:t>
      </w:r>
      <w:r w:rsidR="005D6EAD" w:rsidRPr="00913E39">
        <w:rPr>
          <w:rFonts w:ascii="Garamond" w:hAnsi="Garamond"/>
          <w:sz w:val="24"/>
        </w:rPr>
        <w:t>.</w:t>
      </w:r>
      <w:r w:rsidRPr="00913E39">
        <w:rPr>
          <w:rFonts w:ascii="Garamond" w:hAnsi="Garamond"/>
          <w:sz w:val="24"/>
        </w:rPr>
        <w:t xml:space="preserve"> Ndërprerja e kësaj Marrëveshjeje Financimi </w:t>
      </w:r>
    </w:p>
    <w:p w14:paraId="61985550" w14:textId="78EC5B3E"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20</w:t>
      </w:r>
      <w:r w:rsidR="005D6EAD" w:rsidRPr="00913E39">
        <w:rPr>
          <w:rFonts w:ascii="Garamond" w:hAnsi="Garamond"/>
          <w:sz w:val="24"/>
        </w:rPr>
        <w:t>.</w:t>
      </w:r>
      <w:r w:rsidRPr="00913E39">
        <w:rPr>
          <w:rFonts w:ascii="Garamond" w:hAnsi="Garamond"/>
          <w:sz w:val="24"/>
        </w:rPr>
        <w:t xml:space="preserve"> Ligji i zbatueshëm, zgjidhja e mosmarrëveshjeve </w:t>
      </w:r>
    </w:p>
    <w:p w14:paraId="2C0DCC0F" w14:textId="50605488" w:rsidR="005F4CBC" w:rsidRPr="00913E39" w:rsidRDefault="005F4CBC" w:rsidP="005F4CBC">
      <w:pPr>
        <w:spacing w:after="0" w:line="240" w:lineRule="auto"/>
        <w:ind w:firstLine="284"/>
        <w:rPr>
          <w:rFonts w:ascii="Garamond" w:hAnsi="Garamond"/>
          <w:sz w:val="24"/>
        </w:rPr>
      </w:pPr>
      <w:r w:rsidRPr="00913E39">
        <w:rPr>
          <w:rFonts w:ascii="Garamond" w:hAnsi="Garamond"/>
          <w:sz w:val="24"/>
        </w:rPr>
        <w:t>Neni 21</w:t>
      </w:r>
      <w:r w:rsidR="005D6EAD" w:rsidRPr="00913E39">
        <w:rPr>
          <w:rFonts w:ascii="Garamond" w:hAnsi="Garamond"/>
          <w:sz w:val="24"/>
        </w:rPr>
        <w:t>.</w:t>
      </w:r>
      <w:r w:rsidRPr="00913E39">
        <w:rPr>
          <w:rFonts w:ascii="Garamond" w:hAnsi="Garamond"/>
          <w:sz w:val="24"/>
        </w:rPr>
        <w:t xml:space="preserve"> Masat kufizuese të BE-së </w:t>
      </w:r>
    </w:p>
    <w:p w14:paraId="285A27CE" w14:textId="77777777" w:rsidR="005F4CBC" w:rsidRPr="00913E39" w:rsidRDefault="005F4CBC" w:rsidP="005F4CBC">
      <w:pPr>
        <w:spacing w:after="0" w:line="240" w:lineRule="auto"/>
        <w:ind w:firstLine="284"/>
        <w:rPr>
          <w:rFonts w:ascii="Garamond" w:hAnsi="Garamond"/>
          <w:sz w:val="24"/>
        </w:rPr>
      </w:pPr>
    </w:p>
    <w:p w14:paraId="693C3B79" w14:textId="77777777" w:rsidR="005D6EAD" w:rsidRPr="00913E39" w:rsidRDefault="005F4CBC" w:rsidP="005D6EAD">
      <w:pPr>
        <w:keepNext/>
        <w:spacing w:after="0" w:line="240" w:lineRule="auto"/>
        <w:ind w:firstLine="284"/>
        <w:jc w:val="center"/>
        <w:outlineLvl w:val="0"/>
        <w:rPr>
          <w:rFonts w:ascii="Garamond" w:hAnsi="Garamond"/>
          <w:b/>
          <w:kern w:val="32"/>
          <w:sz w:val="24"/>
        </w:rPr>
      </w:pPr>
      <w:r w:rsidRPr="00913E39">
        <w:rPr>
          <w:rFonts w:ascii="Garamond" w:hAnsi="Garamond"/>
          <w:b/>
          <w:kern w:val="32"/>
          <w:sz w:val="24"/>
        </w:rPr>
        <w:t>Pjesa e parë</w:t>
      </w:r>
    </w:p>
    <w:p w14:paraId="25B5C0D6" w14:textId="18DB665C" w:rsidR="005F4CBC" w:rsidRPr="00913E39" w:rsidRDefault="005F4CBC" w:rsidP="005D6EAD">
      <w:pPr>
        <w:keepNext/>
        <w:spacing w:after="0" w:line="240" w:lineRule="auto"/>
        <w:ind w:firstLine="284"/>
        <w:jc w:val="center"/>
        <w:outlineLvl w:val="0"/>
        <w:rPr>
          <w:rFonts w:ascii="Garamond" w:hAnsi="Garamond"/>
          <w:b/>
          <w:kern w:val="32"/>
          <w:sz w:val="24"/>
        </w:rPr>
      </w:pPr>
      <w:r w:rsidRPr="00913E39">
        <w:rPr>
          <w:rFonts w:ascii="Garamond" w:hAnsi="Garamond"/>
          <w:b/>
          <w:kern w:val="32"/>
          <w:sz w:val="24"/>
        </w:rPr>
        <w:t xml:space="preserve">Dispozitat e zbatueshme të </w:t>
      </w:r>
      <w:r w:rsidR="005D6EAD" w:rsidRPr="00913E39">
        <w:rPr>
          <w:rFonts w:ascii="Garamond" w:hAnsi="Garamond"/>
          <w:b/>
          <w:kern w:val="32"/>
          <w:sz w:val="24"/>
        </w:rPr>
        <w:t xml:space="preserve">aktiviteteve </w:t>
      </w:r>
      <w:r w:rsidRPr="00913E39">
        <w:rPr>
          <w:rFonts w:ascii="Garamond" w:hAnsi="Garamond"/>
          <w:b/>
          <w:kern w:val="32"/>
          <w:sz w:val="24"/>
        </w:rPr>
        <w:t xml:space="preserve">për të cilat </w:t>
      </w:r>
      <w:r w:rsidR="005D6EAD" w:rsidRPr="00913E39">
        <w:rPr>
          <w:rFonts w:ascii="Garamond" w:hAnsi="Garamond"/>
          <w:b/>
          <w:kern w:val="32"/>
          <w:sz w:val="24"/>
        </w:rPr>
        <w:t xml:space="preserve">përfituesi </w:t>
      </w:r>
      <w:r w:rsidRPr="00913E39">
        <w:rPr>
          <w:rFonts w:ascii="Garamond" w:hAnsi="Garamond"/>
          <w:b/>
          <w:kern w:val="32"/>
          <w:sz w:val="24"/>
        </w:rPr>
        <w:t>i IPA III është Autoriteti Kontraktues sipas IMBC</w:t>
      </w:r>
      <w:r w:rsidR="005D6EAD" w:rsidRPr="00913E39">
        <w:rPr>
          <w:rFonts w:ascii="Garamond" w:hAnsi="Garamond"/>
          <w:b/>
          <w:kern w:val="32"/>
          <w:sz w:val="24"/>
        </w:rPr>
        <w:t>-së</w:t>
      </w:r>
    </w:p>
    <w:p w14:paraId="48B391A8" w14:textId="77777777" w:rsidR="00346E87" w:rsidRPr="00913E39" w:rsidRDefault="00346E87" w:rsidP="005F4CBC">
      <w:pPr>
        <w:keepNext/>
        <w:spacing w:after="0" w:line="240" w:lineRule="auto"/>
        <w:ind w:firstLine="284"/>
        <w:outlineLvl w:val="1"/>
        <w:rPr>
          <w:rFonts w:ascii="Garamond" w:hAnsi="Garamond"/>
          <w:b/>
          <w:i/>
          <w:sz w:val="24"/>
        </w:rPr>
      </w:pPr>
    </w:p>
    <w:p w14:paraId="2BE7B18D" w14:textId="77777777" w:rsidR="00346E87" w:rsidRPr="00913E39" w:rsidRDefault="005F4CBC" w:rsidP="00346E87">
      <w:pPr>
        <w:keepNext/>
        <w:spacing w:after="0" w:line="240" w:lineRule="auto"/>
        <w:ind w:firstLine="284"/>
        <w:jc w:val="center"/>
        <w:outlineLvl w:val="1"/>
        <w:rPr>
          <w:rFonts w:ascii="Garamond" w:hAnsi="Garamond"/>
          <w:sz w:val="24"/>
        </w:rPr>
      </w:pPr>
      <w:r w:rsidRPr="00913E39">
        <w:rPr>
          <w:rFonts w:ascii="Garamond" w:hAnsi="Garamond"/>
          <w:sz w:val="24"/>
        </w:rPr>
        <w:t>Neni 1</w:t>
      </w:r>
    </w:p>
    <w:p w14:paraId="729327B1" w14:textId="77777777" w:rsidR="005F4CBC" w:rsidRPr="00913E39" w:rsidRDefault="005F4CBC" w:rsidP="00346E87">
      <w:pPr>
        <w:keepNext/>
        <w:spacing w:after="0" w:line="240" w:lineRule="auto"/>
        <w:ind w:firstLine="284"/>
        <w:jc w:val="center"/>
        <w:outlineLvl w:val="1"/>
        <w:rPr>
          <w:rFonts w:ascii="Garamond" w:hAnsi="Garamond"/>
          <w:b/>
          <w:sz w:val="24"/>
        </w:rPr>
      </w:pPr>
      <w:r w:rsidRPr="00913E39">
        <w:rPr>
          <w:rFonts w:ascii="Garamond" w:hAnsi="Garamond"/>
          <w:b/>
          <w:sz w:val="24"/>
        </w:rPr>
        <w:t>Parime të përgjithshme</w:t>
      </w:r>
    </w:p>
    <w:p w14:paraId="1266975B" w14:textId="77777777" w:rsidR="00346E87" w:rsidRPr="00913E39" w:rsidRDefault="00346E87" w:rsidP="005F4CBC">
      <w:pPr>
        <w:tabs>
          <w:tab w:val="left" w:pos="520"/>
        </w:tabs>
        <w:spacing w:after="0" w:line="240" w:lineRule="auto"/>
        <w:ind w:firstLine="284"/>
        <w:contextualSpacing/>
        <w:jc w:val="both"/>
        <w:rPr>
          <w:rFonts w:ascii="Garamond" w:hAnsi="Garamond"/>
          <w:sz w:val="24"/>
        </w:rPr>
      </w:pPr>
    </w:p>
    <w:p w14:paraId="04C940D3" w14:textId="61EF7DC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EF6A00" w:rsidRPr="00913E39">
        <w:rPr>
          <w:rFonts w:ascii="Garamond" w:hAnsi="Garamond"/>
          <w:sz w:val="24"/>
        </w:rPr>
        <w:t>.</w:t>
      </w:r>
      <w:r w:rsidRPr="00913E39">
        <w:rPr>
          <w:rFonts w:ascii="Garamond" w:hAnsi="Garamond"/>
          <w:sz w:val="24"/>
        </w:rPr>
        <w:t xml:space="preserve"> Qëllimi i </w:t>
      </w:r>
      <w:r w:rsidR="005D6EAD" w:rsidRPr="00913E39">
        <w:rPr>
          <w:rFonts w:ascii="Garamond" w:hAnsi="Garamond"/>
          <w:sz w:val="24"/>
        </w:rPr>
        <w:t xml:space="preserve">pjesës së parë është </w:t>
      </w:r>
      <w:r w:rsidRPr="00913E39">
        <w:rPr>
          <w:rFonts w:ascii="Garamond" w:hAnsi="Garamond"/>
          <w:sz w:val="24"/>
        </w:rPr>
        <w:t xml:space="preserve">përcaktimi i rregullave për realizimin e detyrave të besuara për zbatimin e buxhetit të parashikuara në </w:t>
      </w:r>
      <w:r w:rsidR="005D6EAD" w:rsidRPr="00913E39">
        <w:rPr>
          <w:rFonts w:ascii="Garamond" w:hAnsi="Garamond"/>
          <w:sz w:val="24"/>
        </w:rPr>
        <w:t xml:space="preserve">aneksin </w:t>
      </w:r>
      <w:r w:rsidRPr="00913E39">
        <w:rPr>
          <w:rFonts w:ascii="Garamond" w:hAnsi="Garamond"/>
          <w:sz w:val="24"/>
        </w:rPr>
        <w:t xml:space="preserve">I dhe përcaktimi i të drejtave dhe detyrimeve përkatësisht të përfituesit të IPA III dhe Komisionit në kryerjen e këtyre detyrave. </w:t>
      </w:r>
    </w:p>
    <w:p w14:paraId="37C88C0F" w14:textId="0C693B23"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 xml:space="preserve">Pjesa e </w:t>
      </w:r>
      <w:r w:rsidR="005D6EAD" w:rsidRPr="00913E39">
        <w:rPr>
          <w:rFonts w:ascii="Garamond" w:hAnsi="Garamond"/>
          <w:sz w:val="24"/>
        </w:rPr>
        <w:t xml:space="preserve">parë </w:t>
      </w:r>
      <w:r w:rsidRPr="00913E39">
        <w:rPr>
          <w:rFonts w:ascii="Garamond" w:hAnsi="Garamond"/>
          <w:sz w:val="24"/>
        </w:rPr>
        <w:t xml:space="preserve">do të zbatohet për detyrat e realizimit të buxhetit që i besohen përfituesit të IPA III vetëm në lidhje me kontributet e Unionit, ose të kombinuara me fondet e përfituesit të IPA III apo të një pale të tretë, në rast se këto fonde zbatohen me një bashkëfinancim. </w:t>
      </w:r>
    </w:p>
    <w:p w14:paraId="23B1F823"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EF6A00" w:rsidRPr="00913E39">
        <w:rPr>
          <w:rFonts w:ascii="Garamond" w:hAnsi="Garamond"/>
          <w:sz w:val="24"/>
        </w:rPr>
        <w:t>.</w:t>
      </w:r>
      <w:r w:rsidRPr="00913E39">
        <w:rPr>
          <w:rFonts w:ascii="Garamond" w:hAnsi="Garamond"/>
          <w:sz w:val="24"/>
        </w:rPr>
        <w:t xml:space="preserve"> Përfituesi IPA III mbetet përgjegjës për përmbushjen e detyrimeve të përcaktuara në këtë Marrëveshje Financimi dhe në Marrëveshjen Kornizë të Partneritetit Financiar (FFPA). Në përputhje me nenin 7, nenin 18, nenin 19 dhe nenin 21, Komisioni rezervon të drejtën të ndërpresë pagesat, dhe të pezullojë dhe/ose përfundojë këtë Marrëveshje Financimi.</w:t>
      </w:r>
    </w:p>
    <w:p w14:paraId="7D8924A3" w14:textId="648C80DE"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3</w:t>
      </w:r>
      <w:r w:rsidR="00EF6A00" w:rsidRPr="00913E39">
        <w:rPr>
          <w:rFonts w:ascii="Garamond" w:hAnsi="Garamond"/>
          <w:sz w:val="24"/>
        </w:rPr>
        <w:t>.</w:t>
      </w:r>
      <w:r w:rsidRPr="00913E39">
        <w:rPr>
          <w:rFonts w:ascii="Garamond" w:hAnsi="Garamond"/>
          <w:sz w:val="24"/>
        </w:rPr>
        <w:t xml:space="preserve"> Përfituesi i IPA III duhet të respektojë normën minimale të kontributeve të tij të përcaktuara në </w:t>
      </w:r>
      <w:r w:rsidR="005D6EAD" w:rsidRPr="00913E39">
        <w:rPr>
          <w:rFonts w:ascii="Garamond" w:hAnsi="Garamond"/>
          <w:sz w:val="24"/>
        </w:rPr>
        <w:t xml:space="preserve">aneksin </w:t>
      </w:r>
      <w:r w:rsidRPr="00913E39">
        <w:rPr>
          <w:rFonts w:ascii="Garamond" w:hAnsi="Garamond"/>
          <w:sz w:val="24"/>
        </w:rPr>
        <w:t>I. Në rastin kur kontributet jepen si nga përfituesi i IPA III ashtu edhe nga Bashkimi E</w:t>
      </w:r>
      <w:r w:rsidR="005D6EAD" w:rsidRPr="00913E39">
        <w:rPr>
          <w:rFonts w:ascii="Garamond" w:hAnsi="Garamond"/>
          <w:sz w:val="24"/>
        </w:rPr>
        <w:t>v</w:t>
      </w:r>
      <w:r w:rsidRPr="00913E39">
        <w:rPr>
          <w:rFonts w:ascii="Garamond" w:hAnsi="Garamond"/>
          <w:sz w:val="24"/>
        </w:rPr>
        <w:t xml:space="preserve">ropian, kontributi i përfituesit të IPA III do të vihet në dispozicion të paktën në fund të periudhës së zbatimit së programit. </w:t>
      </w:r>
    </w:p>
    <w:p w14:paraId="114F7DD3" w14:textId="7E901FA4"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4</w:t>
      </w:r>
      <w:r w:rsidR="00EF6A00" w:rsidRPr="00913E39">
        <w:rPr>
          <w:rFonts w:ascii="Garamond" w:hAnsi="Garamond"/>
          <w:sz w:val="24"/>
        </w:rPr>
        <w:t>.</w:t>
      </w:r>
      <w:r w:rsidRPr="00913E39">
        <w:rPr>
          <w:rFonts w:ascii="Garamond" w:hAnsi="Garamond"/>
          <w:sz w:val="24"/>
        </w:rPr>
        <w:t xml:space="preserve"> Masa e kontributit të BE-së e specifikuar në </w:t>
      </w:r>
      <w:r w:rsidR="005D6EAD" w:rsidRPr="00913E39">
        <w:rPr>
          <w:rFonts w:ascii="Garamond" w:hAnsi="Garamond"/>
          <w:sz w:val="24"/>
        </w:rPr>
        <w:t xml:space="preserve">aneksin </w:t>
      </w:r>
      <w:r w:rsidRPr="00913E39">
        <w:rPr>
          <w:rFonts w:ascii="Garamond" w:hAnsi="Garamond"/>
          <w:sz w:val="24"/>
        </w:rPr>
        <w:t>I dhe shuma maksimale e ndihmës IPA III bazohet në shumën e shpenzimeve publike të pranueshme. Shpenzim publik i pranueshëm është çdo kontribut publik për financimin e operacioneve, burimi i të cilit është buxheti i autoriteteve publike kombëtare, rajonale ose vendore të përfituesit të IPA III, buxheti i Unionit, buxheti i organeve të së drejtës publike ose buxheti i shoqatave të autoriteteve publike ose të organeve të së drejtës publike. Financimi i kredisë, aty ku përdoret, i jepet organit përgjegjës për të shlyer kredinë, subjekt publik ose privat. Shpenzimet e subjektit privat nuk mund të konsiderohen si shpenzime të pranueshme.</w:t>
      </w:r>
    </w:p>
    <w:p w14:paraId="319ABDD4"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5</w:t>
      </w:r>
      <w:r w:rsidR="00EF6A00" w:rsidRPr="00913E39">
        <w:rPr>
          <w:rFonts w:ascii="Garamond" w:hAnsi="Garamond"/>
          <w:sz w:val="24"/>
        </w:rPr>
        <w:t>.</w:t>
      </w:r>
      <w:r w:rsidRPr="00913E39">
        <w:rPr>
          <w:rFonts w:ascii="Garamond" w:hAnsi="Garamond"/>
          <w:sz w:val="24"/>
        </w:rPr>
        <w:t xml:space="preserve"> Për qëllim të zbatimit të nenit 25 të FFPA për mbrojtjen e të dhënave, të dhënat personale duhet të:</w:t>
      </w:r>
    </w:p>
    <w:p w14:paraId="18712E02" w14:textId="77777777" w:rsidR="005F4CBC" w:rsidRPr="00913E39" w:rsidRDefault="005F4CBC" w:rsidP="005F4CBC">
      <w:pPr>
        <w:tabs>
          <w:tab w:val="left" w:pos="860"/>
        </w:tabs>
        <w:spacing w:after="0" w:line="240" w:lineRule="auto"/>
        <w:ind w:firstLine="284"/>
        <w:contextualSpacing/>
        <w:rPr>
          <w:rFonts w:ascii="Garamond" w:hAnsi="Garamond"/>
          <w:sz w:val="24"/>
        </w:rPr>
      </w:pPr>
      <w:r w:rsidRPr="00913E39">
        <w:rPr>
          <w:rFonts w:ascii="Garamond" w:hAnsi="Garamond"/>
          <w:sz w:val="24"/>
        </w:rPr>
        <w:t>- përpunohen në mënyrë të ligjshme, të drejtë dhe transparente në lidhje me subjektin e të dhënave;</w:t>
      </w:r>
    </w:p>
    <w:p w14:paraId="48FEBAD9" w14:textId="77777777" w:rsidR="005F4CBC" w:rsidRPr="00913E39" w:rsidRDefault="005F4CBC" w:rsidP="005F4CBC">
      <w:pPr>
        <w:tabs>
          <w:tab w:val="left" w:pos="860"/>
        </w:tabs>
        <w:spacing w:after="0" w:line="240" w:lineRule="auto"/>
        <w:ind w:firstLine="284"/>
        <w:contextualSpacing/>
        <w:rPr>
          <w:rFonts w:ascii="Garamond" w:hAnsi="Garamond"/>
          <w:sz w:val="24"/>
        </w:rPr>
      </w:pPr>
      <w:r w:rsidRPr="00913E39">
        <w:rPr>
          <w:rFonts w:ascii="Garamond" w:hAnsi="Garamond"/>
          <w:sz w:val="24"/>
        </w:rPr>
        <w:t>- mblidhen për qëllime të përcaktuara, të qarta dhe legjitime dhe nuk përpunohen më tej në një mënyrë që është e papajtueshme me ato qëllime;</w:t>
      </w:r>
    </w:p>
    <w:p w14:paraId="6F52F28B" w14:textId="77777777" w:rsidR="005F4CBC" w:rsidRPr="00913E39" w:rsidRDefault="005F4CBC" w:rsidP="005F4CBC">
      <w:pPr>
        <w:tabs>
          <w:tab w:val="left" w:pos="860"/>
        </w:tabs>
        <w:spacing w:after="0" w:line="240" w:lineRule="auto"/>
        <w:ind w:firstLine="284"/>
        <w:contextualSpacing/>
        <w:rPr>
          <w:rFonts w:ascii="Garamond" w:hAnsi="Garamond"/>
          <w:sz w:val="24"/>
        </w:rPr>
      </w:pPr>
      <w:r w:rsidRPr="00913E39">
        <w:rPr>
          <w:rFonts w:ascii="Garamond" w:hAnsi="Garamond"/>
          <w:sz w:val="24"/>
        </w:rPr>
        <w:t>- janë të përshtatshme, të zbatueshme dhe të kufizuara në atë që është e nevojshme në lidhje me qëllimet për të cilat ato përpunohen;</w:t>
      </w:r>
    </w:p>
    <w:p w14:paraId="5C2FA4EC" w14:textId="77777777" w:rsidR="005F4CBC" w:rsidRPr="00913E39" w:rsidRDefault="005F4CBC" w:rsidP="005F4CBC">
      <w:pPr>
        <w:tabs>
          <w:tab w:val="left" w:pos="860"/>
        </w:tabs>
        <w:spacing w:after="0" w:line="240" w:lineRule="auto"/>
        <w:ind w:firstLine="284"/>
        <w:contextualSpacing/>
        <w:rPr>
          <w:rFonts w:ascii="Garamond" w:hAnsi="Garamond"/>
          <w:sz w:val="24"/>
        </w:rPr>
      </w:pPr>
      <w:r w:rsidRPr="00913E39">
        <w:rPr>
          <w:rFonts w:ascii="Garamond" w:hAnsi="Garamond"/>
          <w:sz w:val="24"/>
        </w:rPr>
        <w:t>- janë të sakta dhe, kur është e nevojshme, përditësohen;</w:t>
      </w:r>
    </w:p>
    <w:p w14:paraId="2AD6D744" w14:textId="3BB91D26" w:rsidR="005F4CBC" w:rsidRPr="00913E39" w:rsidRDefault="005F4CBC" w:rsidP="005F4CBC">
      <w:pPr>
        <w:tabs>
          <w:tab w:val="left" w:pos="860"/>
        </w:tabs>
        <w:spacing w:after="0" w:line="240" w:lineRule="auto"/>
        <w:ind w:firstLine="284"/>
        <w:contextualSpacing/>
        <w:rPr>
          <w:rFonts w:ascii="Garamond" w:hAnsi="Garamond"/>
          <w:sz w:val="24"/>
        </w:rPr>
      </w:pPr>
      <w:r w:rsidRPr="00913E39">
        <w:rPr>
          <w:rFonts w:ascii="Garamond" w:hAnsi="Garamond"/>
          <w:sz w:val="24"/>
        </w:rPr>
        <w:lastRenderedPageBreak/>
        <w:t>- përpunohen në një mënyrë që garanton sigurinë e duhur të të dhënave personale</w:t>
      </w:r>
      <w:r w:rsidR="005D6EAD" w:rsidRPr="00913E39">
        <w:rPr>
          <w:rFonts w:ascii="Garamond" w:hAnsi="Garamond"/>
          <w:sz w:val="24"/>
        </w:rPr>
        <w:t>;</w:t>
      </w:r>
      <w:r w:rsidRPr="00913E39">
        <w:rPr>
          <w:rFonts w:ascii="Garamond" w:hAnsi="Garamond"/>
          <w:sz w:val="24"/>
        </w:rPr>
        <w:t xml:space="preserve"> dhe</w:t>
      </w:r>
    </w:p>
    <w:p w14:paraId="0F0D03E7" w14:textId="77777777" w:rsidR="005F4CBC" w:rsidRPr="00913E39" w:rsidRDefault="005F4CBC" w:rsidP="005F4CBC">
      <w:pPr>
        <w:tabs>
          <w:tab w:val="left" w:pos="860"/>
        </w:tabs>
        <w:spacing w:after="0" w:line="240" w:lineRule="auto"/>
        <w:ind w:firstLine="284"/>
        <w:contextualSpacing/>
        <w:rPr>
          <w:rFonts w:ascii="Garamond" w:hAnsi="Garamond"/>
          <w:sz w:val="24"/>
        </w:rPr>
      </w:pPr>
      <w:r w:rsidRPr="00913E39">
        <w:rPr>
          <w:rFonts w:ascii="Garamond" w:hAnsi="Garamond"/>
          <w:sz w:val="24"/>
        </w:rPr>
        <w:t>- mbahen në një formë që lejon identifikimin e subjekteve të të dhënave për jo më shumë se sa është e nevojshme për qëllimet për të cilat përpunohen të dhënat personale.</w:t>
      </w:r>
    </w:p>
    <w:p w14:paraId="015B713D" w14:textId="046941F1"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Të dhënat personale të përfshira në dokumentet që duhen mbajtur nga përfituesi i IPA III në përputhje me paragrafin 2</w:t>
      </w:r>
      <w:r w:rsidR="005D6EAD" w:rsidRPr="00913E39">
        <w:rPr>
          <w:rFonts w:ascii="Garamond" w:hAnsi="Garamond"/>
          <w:sz w:val="24"/>
        </w:rPr>
        <w:t>,</w:t>
      </w:r>
      <w:r w:rsidRPr="00913E39">
        <w:rPr>
          <w:rFonts w:ascii="Garamond" w:hAnsi="Garamond"/>
          <w:sz w:val="24"/>
        </w:rPr>
        <w:t xml:space="preserve"> të nenit 2</w:t>
      </w:r>
      <w:r w:rsidR="005D6EAD" w:rsidRPr="00913E39">
        <w:rPr>
          <w:rFonts w:ascii="Garamond" w:hAnsi="Garamond"/>
          <w:sz w:val="24"/>
        </w:rPr>
        <w:t>,</w:t>
      </w:r>
      <w:r w:rsidRPr="00913E39">
        <w:rPr>
          <w:rFonts w:ascii="Garamond" w:hAnsi="Garamond"/>
          <w:sz w:val="24"/>
        </w:rPr>
        <w:t xml:space="preserve"> duhet të fshihen pasi të kenë mbaruar afatet e përcaktuara në atë paragraf.</w:t>
      </w:r>
    </w:p>
    <w:p w14:paraId="2C13ED1B" w14:textId="77777777" w:rsidR="005F4CBC" w:rsidRPr="00913E39" w:rsidRDefault="005F4CBC" w:rsidP="005F4CBC">
      <w:pPr>
        <w:spacing w:after="0" w:line="240" w:lineRule="auto"/>
        <w:ind w:firstLine="284"/>
        <w:jc w:val="both"/>
        <w:rPr>
          <w:rFonts w:ascii="Garamond" w:hAnsi="Garamond"/>
          <w:sz w:val="24"/>
        </w:rPr>
      </w:pPr>
    </w:p>
    <w:p w14:paraId="137BE447" w14:textId="77777777" w:rsidR="00727A4D" w:rsidRPr="00913E39" w:rsidRDefault="005F4CBC" w:rsidP="00727A4D">
      <w:pPr>
        <w:keepNext/>
        <w:spacing w:after="0" w:line="240" w:lineRule="auto"/>
        <w:ind w:firstLine="284"/>
        <w:jc w:val="center"/>
        <w:outlineLvl w:val="1"/>
        <w:rPr>
          <w:rFonts w:ascii="Garamond" w:hAnsi="Garamond"/>
          <w:sz w:val="24"/>
        </w:rPr>
      </w:pPr>
      <w:r w:rsidRPr="00913E39">
        <w:rPr>
          <w:rFonts w:ascii="Garamond" w:hAnsi="Garamond"/>
          <w:sz w:val="24"/>
        </w:rPr>
        <w:t>Neni 2</w:t>
      </w:r>
    </w:p>
    <w:p w14:paraId="12F13101" w14:textId="77777777" w:rsidR="005F4CBC" w:rsidRPr="00913E39" w:rsidRDefault="005F4CBC" w:rsidP="00727A4D">
      <w:pPr>
        <w:keepNext/>
        <w:spacing w:after="0" w:line="240" w:lineRule="auto"/>
        <w:ind w:firstLine="284"/>
        <w:jc w:val="center"/>
        <w:outlineLvl w:val="1"/>
        <w:rPr>
          <w:rFonts w:ascii="Garamond" w:hAnsi="Garamond"/>
          <w:b/>
          <w:sz w:val="24"/>
        </w:rPr>
      </w:pPr>
      <w:r w:rsidRPr="00913E39">
        <w:rPr>
          <w:rFonts w:ascii="Garamond" w:hAnsi="Garamond"/>
          <w:b/>
          <w:sz w:val="24"/>
        </w:rPr>
        <w:t>Shpallja e kontratave fituese të prokurimit dhe grantit</w:t>
      </w:r>
    </w:p>
    <w:p w14:paraId="49F1ADD8" w14:textId="77777777" w:rsidR="00727A4D" w:rsidRPr="00913E39" w:rsidRDefault="00727A4D" w:rsidP="00727A4D">
      <w:pPr>
        <w:keepNext/>
        <w:spacing w:after="0" w:line="240" w:lineRule="auto"/>
        <w:ind w:firstLine="284"/>
        <w:jc w:val="center"/>
        <w:outlineLvl w:val="1"/>
        <w:rPr>
          <w:rFonts w:ascii="Garamond" w:hAnsi="Garamond"/>
          <w:b/>
          <w:sz w:val="24"/>
        </w:rPr>
      </w:pPr>
    </w:p>
    <w:p w14:paraId="57A71BAF" w14:textId="61159E75"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EF6A00" w:rsidRPr="00913E39">
        <w:rPr>
          <w:rFonts w:ascii="Garamond" w:hAnsi="Garamond"/>
          <w:sz w:val="24"/>
        </w:rPr>
        <w:t>.</w:t>
      </w:r>
      <w:r w:rsidRPr="00913E39">
        <w:rPr>
          <w:rFonts w:ascii="Garamond" w:hAnsi="Garamond"/>
          <w:sz w:val="24"/>
        </w:rPr>
        <w:t xml:space="preserve"> Pa cenuar nenin 18(5) të FFPA, detyrat e referuara në paragrafin 1 të nenit 1 kryhen nga përfituesi i IPA III në përputhje me procedurat dhe dokumentet standarde të përcaktuara dhe të publikuara nga Komisioni për shpalljen e kontratave fituese të prokurimit dhe grantit në veprimet e jashtme, sidomos udhëzuesi praktik për procedurat e kontratave për veprimin e jashtëm të Bashkimit E</w:t>
      </w:r>
      <w:r w:rsidR="005D6EAD" w:rsidRPr="00913E39">
        <w:rPr>
          <w:rFonts w:ascii="Garamond" w:hAnsi="Garamond"/>
          <w:sz w:val="24"/>
        </w:rPr>
        <w:t>v</w:t>
      </w:r>
      <w:r w:rsidRPr="00913E39">
        <w:rPr>
          <w:rFonts w:ascii="Garamond" w:hAnsi="Garamond"/>
          <w:sz w:val="24"/>
        </w:rPr>
        <w:t xml:space="preserve">ropian (PRAG), në fuqi në kohën e fillimit të procedurës në fjalë, si edhe në përputhje me standardet e kërkuara për vizibilitetin dhe komunikimin të përmendura në </w:t>
      </w:r>
      <w:r w:rsidR="005D6EAD" w:rsidRPr="00913E39">
        <w:rPr>
          <w:rFonts w:ascii="Garamond" w:hAnsi="Garamond"/>
          <w:sz w:val="24"/>
        </w:rPr>
        <w:t>n</w:t>
      </w:r>
      <w:r w:rsidRPr="00913E39">
        <w:rPr>
          <w:rFonts w:ascii="Garamond" w:hAnsi="Garamond"/>
          <w:sz w:val="24"/>
        </w:rPr>
        <w:t>enin 3(2).</w:t>
      </w:r>
    </w:p>
    <w:p w14:paraId="40DDF36C" w14:textId="53846B94"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 xml:space="preserve">Përfituesi i IPA III kryen procedurat e shpalljes fituese të kontratave të prokurimit dhe dhënies së granteve, lidh kontratat përkatëse, dhe siguron që të gjitha dokumentet përkatëse për gjurmën e auditit të jenë në gjuhën e kësaj Marrëveshjeje Financimi. Për qëllimin e </w:t>
      </w:r>
      <w:r w:rsidR="005D6EAD" w:rsidRPr="00913E39">
        <w:rPr>
          <w:rFonts w:ascii="Garamond" w:hAnsi="Garamond"/>
          <w:sz w:val="24"/>
        </w:rPr>
        <w:t xml:space="preserve">pjesës së parë </w:t>
      </w:r>
      <w:r w:rsidRPr="00913E39">
        <w:rPr>
          <w:rFonts w:ascii="Garamond" w:hAnsi="Garamond"/>
          <w:sz w:val="24"/>
        </w:rPr>
        <w:t>të kësaj Marrëveshjeje Financimi, çdo referencë për kontratat e grantit do të interpretohet gjithashtu si referencë për marrëveshjet e kontributit dhe çdo referencë për përfituesit e grantit do të interpretohet gjithashtu si organizata që kanë nënshkruar marrëveshje kontributi.</w:t>
      </w:r>
    </w:p>
    <w:p w14:paraId="1DD050D3"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EF6A00" w:rsidRPr="00913E39">
        <w:rPr>
          <w:rFonts w:ascii="Garamond" w:hAnsi="Garamond"/>
          <w:sz w:val="24"/>
        </w:rPr>
        <w:t>.</w:t>
      </w:r>
      <w:r w:rsidRPr="00913E39">
        <w:rPr>
          <w:rFonts w:ascii="Garamond" w:hAnsi="Garamond"/>
          <w:sz w:val="24"/>
        </w:rPr>
        <w:t xml:space="preserve"> Pa cenuar nenin 49 të FFPA, përfituesi i IPA III do të mbajë të gjitha dokumentet përkatëse financiare dhe kontraktuale mbështetëse nga data e hyrjes në fuqi të kësaj Marrëveshjeje Financimi ose nga një datë më e hershme në rast se procedura e prokurimit, thirrja për propozime ose Procedura e drejtpërdrejtë e dhënies së grantit fillon përpara hyrjes në fuqi të kësaj Marrëveshjeje Financimi, për pesë vjet nga data e mbylljes së një programi. Përfituesi i IPA III do të mbajë në veçanti, sa më poshtë:</w:t>
      </w:r>
    </w:p>
    <w:p w14:paraId="5BB97948" w14:textId="77777777" w:rsidR="005F4CBC" w:rsidRPr="00913E39" w:rsidRDefault="005F4CBC" w:rsidP="005F4CBC">
      <w:pPr>
        <w:tabs>
          <w:tab w:val="left" w:pos="900"/>
        </w:tabs>
        <w:spacing w:after="0" w:line="240" w:lineRule="auto"/>
        <w:ind w:firstLine="284"/>
        <w:contextualSpacing/>
        <w:jc w:val="both"/>
        <w:rPr>
          <w:rFonts w:ascii="Garamond" w:hAnsi="Garamond"/>
          <w:sz w:val="24"/>
        </w:rPr>
      </w:pPr>
      <w:r w:rsidRPr="00913E39">
        <w:rPr>
          <w:rFonts w:ascii="Garamond" w:hAnsi="Garamond"/>
          <w:sz w:val="24"/>
        </w:rPr>
        <w:t>a) Procedurat e prokurimit:</w:t>
      </w:r>
    </w:p>
    <w:p w14:paraId="756E95B2" w14:textId="5E8D86DF" w:rsidR="005F4CBC" w:rsidRPr="00913E39" w:rsidRDefault="005F4CBC" w:rsidP="005F4CBC">
      <w:pPr>
        <w:tabs>
          <w:tab w:val="left" w:pos="1600"/>
        </w:tabs>
        <w:spacing w:after="0" w:line="240" w:lineRule="auto"/>
        <w:ind w:firstLine="284"/>
        <w:contextualSpacing/>
        <w:jc w:val="both"/>
        <w:rPr>
          <w:rFonts w:ascii="Garamond" w:hAnsi="Garamond"/>
          <w:sz w:val="24"/>
        </w:rPr>
      </w:pPr>
      <w:r w:rsidRPr="00913E39">
        <w:rPr>
          <w:rFonts w:ascii="Garamond" w:hAnsi="Garamond"/>
          <w:sz w:val="24"/>
        </w:rPr>
        <w:t>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njoftimin </w:t>
      </w:r>
      <w:r w:rsidRPr="00913E39">
        <w:rPr>
          <w:rFonts w:ascii="Garamond" w:hAnsi="Garamond"/>
          <w:sz w:val="24"/>
        </w:rPr>
        <w:t>e parashikimit me dëshminë e publikimit të njoftimit të prokurimit dhe çdo ko</w:t>
      </w:r>
      <w:r w:rsidR="005D6EAD" w:rsidRPr="00913E39">
        <w:rPr>
          <w:rFonts w:ascii="Garamond" w:hAnsi="Garamond"/>
          <w:sz w:val="24"/>
        </w:rPr>
        <w:t>r</w:t>
      </w:r>
      <w:r w:rsidRPr="00913E39">
        <w:rPr>
          <w:rFonts w:ascii="Garamond" w:hAnsi="Garamond"/>
          <w:sz w:val="24"/>
        </w:rPr>
        <w:t>rigjim të gabimeve;</w:t>
      </w:r>
    </w:p>
    <w:p w14:paraId="2E71C600" w14:textId="0BDB69F9" w:rsidR="005F4CBC" w:rsidRPr="00913E39" w:rsidRDefault="005F4CBC" w:rsidP="005F4CBC">
      <w:pPr>
        <w:tabs>
          <w:tab w:val="left" w:pos="1600"/>
        </w:tabs>
        <w:spacing w:after="0" w:line="240" w:lineRule="auto"/>
        <w:ind w:firstLine="284"/>
        <w:contextualSpacing/>
        <w:jc w:val="both"/>
        <w:rPr>
          <w:rFonts w:ascii="Garamond" w:hAnsi="Garamond"/>
          <w:sz w:val="24"/>
        </w:rPr>
      </w:pPr>
      <w:r w:rsidRPr="00913E39">
        <w:rPr>
          <w:rFonts w:ascii="Garamond" w:hAnsi="Garamond"/>
          <w:sz w:val="24"/>
        </w:rPr>
        <w:t>ii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caktimin </w:t>
      </w:r>
      <w:r w:rsidRPr="00913E39">
        <w:rPr>
          <w:rFonts w:ascii="Garamond" w:hAnsi="Garamond"/>
          <w:sz w:val="24"/>
        </w:rPr>
        <w:t>e panelit të listës përfundimtare;</w:t>
      </w:r>
    </w:p>
    <w:p w14:paraId="5DC5BD0C" w14:textId="0EDF84BC" w:rsidR="005F4CBC" w:rsidRPr="00913E39" w:rsidRDefault="005F4CBC" w:rsidP="005F4CBC">
      <w:pPr>
        <w:tabs>
          <w:tab w:val="left" w:pos="1600"/>
        </w:tabs>
        <w:spacing w:after="0" w:line="240" w:lineRule="auto"/>
        <w:ind w:firstLine="284"/>
        <w:contextualSpacing/>
        <w:jc w:val="both"/>
        <w:rPr>
          <w:rFonts w:ascii="Garamond" w:hAnsi="Garamond"/>
          <w:sz w:val="24"/>
        </w:rPr>
      </w:pPr>
      <w:r w:rsidRPr="00913E39">
        <w:rPr>
          <w:rFonts w:ascii="Garamond" w:hAnsi="Garamond"/>
          <w:sz w:val="24"/>
        </w:rPr>
        <w:t>iii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raportin </w:t>
      </w:r>
      <w:r w:rsidRPr="00913E39">
        <w:rPr>
          <w:rFonts w:ascii="Garamond" w:hAnsi="Garamond"/>
          <w:sz w:val="24"/>
        </w:rPr>
        <w:t xml:space="preserve">e listës përfundimtare (përfshirë anekset) dhe kërkesat; </w:t>
      </w:r>
    </w:p>
    <w:p w14:paraId="05F26767" w14:textId="6C510F41" w:rsidR="005F4CBC" w:rsidRPr="00913E39" w:rsidRDefault="005F4CBC" w:rsidP="005F4CBC">
      <w:pPr>
        <w:tabs>
          <w:tab w:val="left" w:pos="1640"/>
        </w:tabs>
        <w:spacing w:after="0" w:line="240" w:lineRule="auto"/>
        <w:ind w:firstLine="284"/>
        <w:contextualSpacing/>
        <w:jc w:val="both"/>
        <w:rPr>
          <w:rFonts w:ascii="Garamond" w:hAnsi="Garamond"/>
          <w:sz w:val="24"/>
        </w:rPr>
      </w:pPr>
      <w:r w:rsidRPr="00913E39">
        <w:rPr>
          <w:rFonts w:ascii="Garamond" w:hAnsi="Garamond"/>
          <w:sz w:val="24"/>
        </w:rPr>
        <w:t>iv</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dëshminë </w:t>
      </w:r>
      <w:r w:rsidRPr="00913E39">
        <w:rPr>
          <w:rFonts w:ascii="Garamond" w:hAnsi="Garamond"/>
          <w:sz w:val="24"/>
        </w:rPr>
        <w:t>e publikimit të njoftimit të listës përfundimtare;</w:t>
      </w:r>
    </w:p>
    <w:p w14:paraId="3F759F6D" w14:textId="6449354C" w:rsidR="005F4CBC" w:rsidRPr="00913E39" w:rsidRDefault="005F4CBC" w:rsidP="005F4CBC">
      <w:pPr>
        <w:tabs>
          <w:tab w:val="left" w:pos="1640"/>
        </w:tabs>
        <w:spacing w:after="0" w:line="240" w:lineRule="auto"/>
        <w:ind w:firstLine="284"/>
        <w:contextualSpacing/>
        <w:jc w:val="both"/>
        <w:rPr>
          <w:rFonts w:ascii="Garamond" w:hAnsi="Garamond"/>
          <w:sz w:val="24"/>
        </w:rPr>
      </w:pPr>
      <w:r w:rsidRPr="00913E39">
        <w:rPr>
          <w:rFonts w:ascii="Garamond" w:hAnsi="Garamond"/>
          <w:sz w:val="24"/>
        </w:rPr>
        <w:t>v</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shkresat </w:t>
      </w:r>
      <w:r w:rsidRPr="00913E39">
        <w:rPr>
          <w:rFonts w:ascii="Garamond" w:hAnsi="Garamond"/>
          <w:sz w:val="24"/>
        </w:rPr>
        <w:t>për kandidatët që nuk bëjnë pjesë në listën përfundimtare;</w:t>
      </w:r>
    </w:p>
    <w:p w14:paraId="1E71FD9A" w14:textId="612B4CB9" w:rsidR="005F4CBC" w:rsidRPr="00913E39" w:rsidRDefault="005F4CBC" w:rsidP="005F4CBC">
      <w:pPr>
        <w:tabs>
          <w:tab w:val="left" w:pos="1640"/>
        </w:tabs>
        <w:spacing w:after="0" w:line="240" w:lineRule="auto"/>
        <w:ind w:firstLine="284"/>
        <w:contextualSpacing/>
        <w:jc w:val="both"/>
        <w:rPr>
          <w:rFonts w:ascii="Garamond" w:hAnsi="Garamond"/>
          <w:sz w:val="24"/>
        </w:rPr>
      </w:pPr>
      <w:r w:rsidRPr="00913E39">
        <w:rPr>
          <w:rFonts w:ascii="Garamond" w:hAnsi="Garamond"/>
          <w:sz w:val="24"/>
        </w:rPr>
        <w:t>vi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ftesën </w:t>
      </w:r>
      <w:r w:rsidRPr="00913E39">
        <w:rPr>
          <w:rFonts w:ascii="Garamond" w:hAnsi="Garamond"/>
          <w:sz w:val="24"/>
        </w:rPr>
        <w:t>për tender ose ekuivalent;</w:t>
      </w:r>
    </w:p>
    <w:p w14:paraId="161AD118" w14:textId="7708D663" w:rsidR="005F4CBC" w:rsidRPr="00913E39" w:rsidRDefault="005F4CBC" w:rsidP="005F4CBC">
      <w:pPr>
        <w:tabs>
          <w:tab w:val="left" w:pos="1640"/>
        </w:tabs>
        <w:spacing w:after="0" w:line="240" w:lineRule="auto"/>
        <w:ind w:firstLine="284"/>
        <w:contextualSpacing/>
        <w:jc w:val="both"/>
        <w:rPr>
          <w:rFonts w:ascii="Garamond" w:hAnsi="Garamond"/>
          <w:sz w:val="24"/>
        </w:rPr>
      </w:pPr>
      <w:r w:rsidRPr="00913E39">
        <w:rPr>
          <w:rFonts w:ascii="Garamond" w:hAnsi="Garamond"/>
          <w:sz w:val="24"/>
        </w:rPr>
        <w:t>vii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dosjen </w:t>
      </w:r>
      <w:r w:rsidRPr="00913E39">
        <w:rPr>
          <w:rFonts w:ascii="Garamond" w:hAnsi="Garamond"/>
          <w:sz w:val="24"/>
        </w:rPr>
        <w:t>e tenderit përfshirë anekset, sqarimet, procesverbalet e mbledhjeve, dëshminë e publikimit;</w:t>
      </w:r>
    </w:p>
    <w:p w14:paraId="1DD43886" w14:textId="3B1310AE" w:rsidR="005F4CBC" w:rsidRPr="00913E39" w:rsidRDefault="005F4CBC" w:rsidP="005F4CBC">
      <w:pPr>
        <w:tabs>
          <w:tab w:val="left" w:pos="1640"/>
        </w:tabs>
        <w:spacing w:after="0" w:line="240" w:lineRule="auto"/>
        <w:ind w:firstLine="284"/>
        <w:contextualSpacing/>
        <w:jc w:val="both"/>
        <w:rPr>
          <w:rFonts w:ascii="Garamond" w:hAnsi="Garamond"/>
          <w:sz w:val="24"/>
        </w:rPr>
      </w:pPr>
      <w:r w:rsidRPr="00913E39">
        <w:rPr>
          <w:rFonts w:ascii="Garamond" w:hAnsi="Garamond"/>
          <w:sz w:val="24"/>
        </w:rPr>
        <w:t>viii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caktimin </w:t>
      </w:r>
      <w:r w:rsidRPr="00913E39">
        <w:rPr>
          <w:rFonts w:ascii="Garamond" w:hAnsi="Garamond"/>
          <w:sz w:val="24"/>
        </w:rPr>
        <w:t>e komisionit të vlerësimit;</w:t>
      </w:r>
    </w:p>
    <w:p w14:paraId="718925FF" w14:textId="239B93BC" w:rsidR="005F4CBC" w:rsidRPr="00913E39" w:rsidRDefault="005F4CBC" w:rsidP="005F4CBC">
      <w:pPr>
        <w:tabs>
          <w:tab w:val="left" w:pos="1640"/>
        </w:tabs>
        <w:spacing w:after="0" w:line="240" w:lineRule="auto"/>
        <w:ind w:firstLine="284"/>
        <w:contextualSpacing/>
        <w:jc w:val="both"/>
        <w:rPr>
          <w:rFonts w:ascii="Garamond" w:hAnsi="Garamond"/>
          <w:sz w:val="24"/>
        </w:rPr>
      </w:pPr>
      <w:r w:rsidRPr="00913E39">
        <w:rPr>
          <w:rFonts w:ascii="Garamond" w:hAnsi="Garamond"/>
          <w:sz w:val="24"/>
        </w:rPr>
        <w:t>ix</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raportin </w:t>
      </w:r>
      <w:r w:rsidRPr="00913E39">
        <w:rPr>
          <w:rFonts w:ascii="Garamond" w:hAnsi="Garamond"/>
          <w:sz w:val="24"/>
        </w:rPr>
        <w:t>për hapjen e tenderit përfshirë anekset;</w:t>
      </w:r>
    </w:p>
    <w:p w14:paraId="3583A61E" w14:textId="508BEDA7" w:rsidR="005F4CBC" w:rsidRPr="00913E39" w:rsidRDefault="005F4CBC" w:rsidP="005F4CBC">
      <w:pPr>
        <w:tabs>
          <w:tab w:val="left" w:pos="1640"/>
        </w:tabs>
        <w:spacing w:after="0" w:line="240" w:lineRule="auto"/>
        <w:ind w:firstLine="284"/>
        <w:contextualSpacing/>
        <w:jc w:val="both"/>
        <w:rPr>
          <w:rFonts w:ascii="Garamond" w:hAnsi="Garamond"/>
          <w:sz w:val="24"/>
        </w:rPr>
      </w:pPr>
      <w:r w:rsidRPr="00913E39">
        <w:rPr>
          <w:rFonts w:ascii="Garamond" w:hAnsi="Garamond"/>
          <w:sz w:val="24"/>
        </w:rPr>
        <w:t>x</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raportin </w:t>
      </w:r>
      <w:r w:rsidRPr="00913E39">
        <w:rPr>
          <w:rFonts w:ascii="Garamond" w:hAnsi="Garamond"/>
          <w:sz w:val="24"/>
        </w:rPr>
        <w:t>e vlerësimit/negocimit, përfshirë anekset dhe ofertat e pranuara;</w:t>
      </w:r>
      <w:r w:rsidR="006775C2" w:rsidRPr="00913E39">
        <w:rPr>
          <w:rStyle w:val="FootnoteReference"/>
          <w:rFonts w:ascii="Garamond" w:hAnsi="Garamond"/>
          <w:sz w:val="24"/>
        </w:rPr>
        <w:footnoteReference w:id="96"/>
      </w:r>
    </w:p>
    <w:p w14:paraId="168897C1" w14:textId="389AB7A0" w:rsidR="005F4CBC" w:rsidRPr="00913E39" w:rsidRDefault="005F4CBC" w:rsidP="005F4CBC">
      <w:pPr>
        <w:tabs>
          <w:tab w:val="left" w:pos="1640"/>
        </w:tabs>
        <w:spacing w:after="0" w:line="240" w:lineRule="auto"/>
        <w:ind w:firstLine="284"/>
        <w:contextualSpacing/>
        <w:jc w:val="both"/>
        <w:rPr>
          <w:rFonts w:ascii="Garamond" w:hAnsi="Garamond"/>
          <w:sz w:val="24"/>
        </w:rPr>
      </w:pPr>
      <w:r w:rsidRPr="00913E39">
        <w:rPr>
          <w:rFonts w:ascii="Garamond" w:hAnsi="Garamond"/>
          <w:sz w:val="24"/>
        </w:rPr>
        <w:t>xi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letër </w:t>
      </w:r>
      <w:r w:rsidRPr="00913E39">
        <w:rPr>
          <w:rFonts w:ascii="Garamond" w:hAnsi="Garamond"/>
          <w:sz w:val="24"/>
        </w:rPr>
        <w:t>njoftimin;</w:t>
      </w:r>
    </w:p>
    <w:p w14:paraId="11328C33" w14:textId="2145993E" w:rsidR="005F4CBC" w:rsidRPr="00913E39" w:rsidRDefault="005F4CBC" w:rsidP="005F4CBC">
      <w:pPr>
        <w:tabs>
          <w:tab w:val="left" w:pos="1640"/>
        </w:tabs>
        <w:spacing w:after="0" w:line="240" w:lineRule="auto"/>
        <w:ind w:firstLine="284"/>
        <w:contextualSpacing/>
        <w:jc w:val="both"/>
        <w:rPr>
          <w:rFonts w:ascii="Garamond" w:hAnsi="Garamond"/>
          <w:sz w:val="24"/>
        </w:rPr>
      </w:pPr>
      <w:r w:rsidRPr="00913E39">
        <w:rPr>
          <w:rFonts w:ascii="Garamond" w:hAnsi="Garamond"/>
          <w:sz w:val="24"/>
        </w:rPr>
        <w:t>xii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shkresën </w:t>
      </w:r>
      <w:r w:rsidRPr="00913E39">
        <w:rPr>
          <w:rFonts w:ascii="Garamond" w:hAnsi="Garamond"/>
          <w:sz w:val="24"/>
        </w:rPr>
        <w:t>përcjellëse për dorëzimin e kontratës;</w:t>
      </w:r>
    </w:p>
    <w:p w14:paraId="5B394622" w14:textId="611E38BA" w:rsidR="005F4CBC" w:rsidRPr="00913E39" w:rsidRDefault="005F4CBC" w:rsidP="005F4CBC">
      <w:pPr>
        <w:tabs>
          <w:tab w:val="left" w:pos="1700"/>
        </w:tabs>
        <w:spacing w:after="0" w:line="240" w:lineRule="auto"/>
        <w:ind w:firstLine="284"/>
        <w:contextualSpacing/>
        <w:jc w:val="both"/>
        <w:rPr>
          <w:rFonts w:ascii="Garamond" w:hAnsi="Garamond"/>
          <w:sz w:val="24"/>
        </w:rPr>
      </w:pPr>
      <w:r w:rsidRPr="00913E39">
        <w:rPr>
          <w:rFonts w:ascii="Garamond" w:hAnsi="Garamond"/>
          <w:sz w:val="24"/>
        </w:rPr>
        <w:t>xiii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shkresat </w:t>
      </w:r>
      <w:r w:rsidRPr="00913E39">
        <w:rPr>
          <w:rFonts w:ascii="Garamond" w:hAnsi="Garamond"/>
          <w:sz w:val="24"/>
        </w:rPr>
        <w:t>për kandidatët që nuk kanë fituar;</w:t>
      </w:r>
    </w:p>
    <w:p w14:paraId="3F447CBD" w14:textId="5F0D7CAF" w:rsidR="005F4CBC" w:rsidRPr="00913E39" w:rsidRDefault="005F4CBC" w:rsidP="005F4CBC">
      <w:pPr>
        <w:tabs>
          <w:tab w:val="left" w:pos="1700"/>
        </w:tabs>
        <w:spacing w:after="0" w:line="240" w:lineRule="auto"/>
        <w:ind w:firstLine="284"/>
        <w:contextualSpacing/>
        <w:jc w:val="both"/>
        <w:rPr>
          <w:rFonts w:ascii="Garamond" w:hAnsi="Garamond"/>
          <w:sz w:val="24"/>
        </w:rPr>
      </w:pPr>
      <w:r w:rsidRPr="00913E39">
        <w:rPr>
          <w:rFonts w:ascii="Garamond" w:hAnsi="Garamond"/>
          <w:sz w:val="24"/>
        </w:rPr>
        <w:t>xiv</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njoftimin </w:t>
      </w:r>
      <w:r w:rsidRPr="00913E39">
        <w:rPr>
          <w:rFonts w:ascii="Garamond" w:hAnsi="Garamond"/>
          <w:sz w:val="24"/>
        </w:rPr>
        <w:t>për dhënien/anulimin e kontratës fituese, përfshirë dëshminë e publikimit;</w:t>
      </w:r>
    </w:p>
    <w:p w14:paraId="41723833" w14:textId="5F0699E5" w:rsidR="005F4CBC" w:rsidRPr="00913E39" w:rsidRDefault="005F4CBC" w:rsidP="005F4CBC">
      <w:pPr>
        <w:tabs>
          <w:tab w:val="left" w:pos="1700"/>
          <w:tab w:val="left" w:pos="2560"/>
          <w:tab w:val="left" w:pos="3660"/>
          <w:tab w:val="left" w:pos="5080"/>
          <w:tab w:val="left" w:pos="5900"/>
          <w:tab w:val="left" w:pos="7520"/>
          <w:tab w:val="left" w:pos="8440"/>
          <w:tab w:val="left" w:pos="9020"/>
        </w:tabs>
        <w:spacing w:after="0" w:line="240" w:lineRule="auto"/>
        <w:ind w:firstLine="284"/>
        <w:contextualSpacing/>
        <w:jc w:val="both"/>
        <w:rPr>
          <w:rFonts w:ascii="Garamond" w:hAnsi="Garamond"/>
          <w:sz w:val="24"/>
        </w:rPr>
      </w:pPr>
      <w:r w:rsidRPr="00913E39">
        <w:rPr>
          <w:rFonts w:ascii="Garamond" w:hAnsi="Garamond"/>
          <w:sz w:val="24"/>
        </w:rPr>
        <w:t>xv</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kontratat </w:t>
      </w:r>
      <w:r w:rsidRPr="00913E39">
        <w:rPr>
          <w:rFonts w:ascii="Garamond" w:hAnsi="Garamond"/>
          <w:sz w:val="24"/>
        </w:rPr>
        <w:t>e nënshkruara, ndryshimet, klauzolat shtesë, raportet e zbatimit dhe korrespondencën përkatëse.</w:t>
      </w:r>
    </w:p>
    <w:p w14:paraId="55E2D8B0" w14:textId="77777777" w:rsidR="005F4CBC" w:rsidRPr="00913E39" w:rsidRDefault="005F4CBC" w:rsidP="005F4CBC">
      <w:pPr>
        <w:tabs>
          <w:tab w:val="left" w:pos="1000"/>
        </w:tabs>
        <w:spacing w:after="0" w:line="240" w:lineRule="auto"/>
        <w:ind w:firstLine="284"/>
        <w:contextualSpacing/>
        <w:jc w:val="both"/>
        <w:rPr>
          <w:rFonts w:ascii="Garamond" w:hAnsi="Garamond"/>
          <w:sz w:val="24"/>
        </w:rPr>
      </w:pPr>
      <w:r w:rsidRPr="00913E39">
        <w:rPr>
          <w:rFonts w:ascii="Garamond" w:hAnsi="Garamond"/>
          <w:sz w:val="24"/>
        </w:rPr>
        <w:t>b) Thirrjet për propozime dhe procedurat direkte për dhënien e granteve:</w:t>
      </w:r>
    </w:p>
    <w:p w14:paraId="5DDB154A" w14:textId="38075975" w:rsidR="005F4CBC" w:rsidRPr="00913E39" w:rsidRDefault="005F4CBC" w:rsidP="006775C2">
      <w:pPr>
        <w:tabs>
          <w:tab w:val="left" w:pos="1260"/>
        </w:tabs>
        <w:spacing w:after="0" w:line="240" w:lineRule="auto"/>
        <w:ind w:firstLine="284"/>
        <w:contextualSpacing/>
        <w:jc w:val="both"/>
        <w:rPr>
          <w:rFonts w:ascii="Garamond" w:hAnsi="Garamond"/>
          <w:sz w:val="24"/>
        </w:rPr>
      </w:pPr>
      <w:r w:rsidRPr="00913E39">
        <w:rPr>
          <w:rFonts w:ascii="Garamond" w:hAnsi="Garamond"/>
          <w:sz w:val="24"/>
        </w:rPr>
        <w:t>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caktimin </w:t>
      </w:r>
      <w:r w:rsidRPr="00913E39">
        <w:rPr>
          <w:rFonts w:ascii="Garamond" w:hAnsi="Garamond"/>
          <w:sz w:val="24"/>
        </w:rPr>
        <w:t>e komisionit të vlerësimit;</w:t>
      </w:r>
    </w:p>
    <w:p w14:paraId="38CC91B9" w14:textId="2F755DD0" w:rsidR="005F4CBC" w:rsidRPr="00913E39" w:rsidRDefault="005F4CBC" w:rsidP="005F4CBC">
      <w:pPr>
        <w:tabs>
          <w:tab w:val="left" w:pos="1260"/>
        </w:tabs>
        <w:spacing w:after="0" w:line="240" w:lineRule="auto"/>
        <w:ind w:firstLine="284"/>
        <w:contextualSpacing/>
        <w:jc w:val="both"/>
        <w:rPr>
          <w:rFonts w:ascii="Garamond" w:hAnsi="Garamond"/>
          <w:sz w:val="24"/>
        </w:rPr>
      </w:pPr>
      <w:r w:rsidRPr="00913E39">
        <w:rPr>
          <w:rFonts w:ascii="Garamond" w:hAnsi="Garamond"/>
          <w:sz w:val="24"/>
        </w:rPr>
        <w:t>ii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raportin </w:t>
      </w:r>
      <w:r w:rsidRPr="00913E39">
        <w:rPr>
          <w:rFonts w:ascii="Garamond" w:hAnsi="Garamond"/>
          <w:sz w:val="24"/>
        </w:rPr>
        <w:t>e hapjes dhe raportin administrativ përfshirë anekset dhe kërkesat e pranuara</w:t>
      </w:r>
      <w:r w:rsidR="00034663" w:rsidRPr="00913E39">
        <w:rPr>
          <w:rFonts w:ascii="Garamond" w:hAnsi="Garamond"/>
          <w:sz w:val="24"/>
        </w:rPr>
        <w:t>;</w:t>
      </w:r>
      <w:r w:rsidR="006775C2" w:rsidRPr="00913E39">
        <w:rPr>
          <w:rStyle w:val="FootnoteReference"/>
          <w:rFonts w:ascii="Garamond" w:hAnsi="Garamond"/>
          <w:sz w:val="24"/>
        </w:rPr>
        <w:footnoteReference w:id="97"/>
      </w:r>
    </w:p>
    <w:p w14:paraId="1AFF37E2" w14:textId="156CDC5A" w:rsidR="005F4CBC" w:rsidRPr="00913E39" w:rsidRDefault="005F4CBC" w:rsidP="005F4CBC">
      <w:pPr>
        <w:tabs>
          <w:tab w:val="left" w:pos="1260"/>
        </w:tabs>
        <w:spacing w:after="0" w:line="240" w:lineRule="auto"/>
        <w:ind w:firstLine="284"/>
        <w:contextualSpacing/>
        <w:jc w:val="both"/>
        <w:rPr>
          <w:rFonts w:ascii="Garamond" w:hAnsi="Garamond"/>
          <w:sz w:val="24"/>
        </w:rPr>
      </w:pPr>
      <w:r w:rsidRPr="00913E39">
        <w:rPr>
          <w:rFonts w:ascii="Garamond" w:hAnsi="Garamond"/>
          <w:sz w:val="24"/>
        </w:rPr>
        <w:t>iii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shkresat </w:t>
      </w:r>
      <w:r w:rsidRPr="00913E39">
        <w:rPr>
          <w:rFonts w:ascii="Garamond" w:hAnsi="Garamond"/>
          <w:sz w:val="24"/>
        </w:rPr>
        <w:t xml:space="preserve">për aplikantët e suksesshëm dhe të pasuksesshëm pas vlerësimit të dokumentit konceptual; </w:t>
      </w:r>
    </w:p>
    <w:p w14:paraId="4C0F8C21" w14:textId="1AFEB566" w:rsidR="005F4CBC" w:rsidRPr="00913E39" w:rsidRDefault="005F4CBC" w:rsidP="005F4CBC">
      <w:pPr>
        <w:tabs>
          <w:tab w:val="left" w:pos="1260"/>
        </w:tabs>
        <w:spacing w:after="0" w:line="240" w:lineRule="auto"/>
        <w:ind w:firstLine="284"/>
        <w:contextualSpacing/>
        <w:jc w:val="both"/>
        <w:rPr>
          <w:rFonts w:ascii="Garamond" w:hAnsi="Garamond"/>
          <w:sz w:val="24"/>
        </w:rPr>
      </w:pPr>
      <w:r w:rsidRPr="00913E39">
        <w:rPr>
          <w:rFonts w:ascii="Garamond" w:hAnsi="Garamond"/>
          <w:sz w:val="24"/>
        </w:rPr>
        <w:t>iv</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raportin </w:t>
      </w:r>
      <w:r w:rsidRPr="00913E39">
        <w:rPr>
          <w:rFonts w:ascii="Garamond" w:hAnsi="Garamond"/>
          <w:sz w:val="24"/>
        </w:rPr>
        <w:t>e vlerësimit të dokumentit konceptual;</w:t>
      </w:r>
    </w:p>
    <w:p w14:paraId="0B7F9C38" w14:textId="69FE6093" w:rsidR="005F4CBC" w:rsidRPr="00913E39" w:rsidRDefault="005F4CBC" w:rsidP="005F4CBC">
      <w:pPr>
        <w:tabs>
          <w:tab w:val="left" w:pos="1260"/>
        </w:tabs>
        <w:spacing w:after="0" w:line="240" w:lineRule="auto"/>
        <w:ind w:firstLine="284"/>
        <w:contextualSpacing/>
        <w:jc w:val="both"/>
        <w:rPr>
          <w:rFonts w:ascii="Garamond" w:hAnsi="Garamond"/>
          <w:sz w:val="24"/>
        </w:rPr>
      </w:pPr>
      <w:r w:rsidRPr="00913E39">
        <w:rPr>
          <w:rFonts w:ascii="Garamond" w:hAnsi="Garamond"/>
          <w:sz w:val="24"/>
        </w:rPr>
        <w:t>v</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raportin </w:t>
      </w:r>
      <w:r w:rsidRPr="00913E39">
        <w:rPr>
          <w:rFonts w:ascii="Garamond" w:hAnsi="Garamond"/>
          <w:sz w:val="24"/>
        </w:rPr>
        <w:t>e vlerësimit të kërkesës së plotë ose raportin e negocimit me anekset përkatëse;</w:t>
      </w:r>
    </w:p>
    <w:p w14:paraId="3998B5BC" w14:textId="4ECEBF00" w:rsidR="005F4CBC" w:rsidRPr="00913E39" w:rsidRDefault="005F4CBC" w:rsidP="005F4CBC">
      <w:pPr>
        <w:tabs>
          <w:tab w:val="left" w:pos="1260"/>
        </w:tabs>
        <w:spacing w:after="0" w:line="240" w:lineRule="auto"/>
        <w:ind w:firstLine="284"/>
        <w:contextualSpacing/>
        <w:jc w:val="both"/>
        <w:rPr>
          <w:rFonts w:ascii="Garamond" w:hAnsi="Garamond"/>
          <w:sz w:val="24"/>
        </w:rPr>
      </w:pPr>
      <w:r w:rsidRPr="00913E39">
        <w:rPr>
          <w:rFonts w:ascii="Garamond" w:hAnsi="Garamond"/>
          <w:sz w:val="24"/>
        </w:rPr>
        <w:lastRenderedPageBreak/>
        <w:t>vi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kontrollin </w:t>
      </w:r>
      <w:r w:rsidRPr="00913E39">
        <w:rPr>
          <w:rFonts w:ascii="Garamond" w:hAnsi="Garamond"/>
          <w:sz w:val="24"/>
        </w:rPr>
        <w:t>e përshtatshmërisë dhe dokumentet mbështetëse;</w:t>
      </w:r>
    </w:p>
    <w:p w14:paraId="3280B946" w14:textId="595F6D0E" w:rsidR="005F4CBC" w:rsidRPr="00913E39" w:rsidRDefault="005F4CBC" w:rsidP="005F4CBC">
      <w:pPr>
        <w:tabs>
          <w:tab w:val="left" w:pos="1260"/>
        </w:tabs>
        <w:spacing w:after="0" w:line="240" w:lineRule="auto"/>
        <w:ind w:firstLine="284"/>
        <w:contextualSpacing/>
        <w:jc w:val="both"/>
        <w:rPr>
          <w:rFonts w:ascii="Garamond" w:hAnsi="Garamond"/>
          <w:sz w:val="24"/>
        </w:rPr>
      </w:pPr>
      <w:r w:rsidRPr="00913E39">
        <w:rPr>
          <w:rFonts w:ascii="Garamond" w:hAnsi="Garamond"/>
          <w:sz w:val="24"/>
        </w:rPr>
        <w:t>vii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shkresat </w:t>
      </w:r>
      <w:r w:rsidRPr="00913E39">
        <w:rPr>
          <w:rFonts w:ascii="Garamond" w:hAnsi="Garamond"/>
          <w:sz w:val="24"/>
        </w:rPr>
        <w:t>për aplikantët e suksesshëm dhe të pasuksesshëm së bashku me listën e miratuar rezervë pas vlerësimit të aplikimit të plotë;</w:t>
      </w:r>
    </w:p>
    <w:p w14:paraId="0F509351" w14:textId="1BD2BF0C" w:rsidR="005F4CBC" w:rsidRPr="00913E39" w:rsidRDefault="005F4CBC" w:rsidP="005F4CBC">
      <w:pPr>
        <w:tabs>
          <w:tab w:val="left" w:pos="1280"/>
        </w:tabs>
        <w:spacing w:after="0" w:line="240" w:lineRule="auto"/>
        <w:ind w:firstLine="284"/>
        <w:contextualSpacing/>
        <w:jc w:val="both"/>
        <w:rPr>
          <w:rFonts w:ascii="Garamond" w:hAnsi="Garamond"/>
          <w:sz w:val="24"/>
        </w:rPr>
      </w:pPr>
      <w:r w:rsidRPr="00913E39">
        <w:rPr>
          <w:rFonts w:ascii="Garamond" w:hAnsi="Garamond"/>
          <w:sz w:val="24"/>
        </w:rPr>
        <w:t>viii</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shkresë </w:t>
      </w:r>
      <w:r w:rsidRPr="00913E39">
        <w:rPr>
          <w:rFonts w:ascii="Garamond" w:hAnsi="Garamond"/>
          <w:sz w:val="24"/>
        </w:rPr>
        <w:t>përcjellëse për dorëzimin e kontratës së grantit;</w:t>
      </w:r>
    </w:p>
    <w:p w14:paraId="21303895" w14:textId="066FC14C" w:rsidR="005F4CBC" w:rsidRPr="00913E39" w:rsidRDefault="005F4CBC" w:rsidP="005F4CBC">
      <w:pPr>
        <w:tabs>
          <w:tab w:val="left" w:pos="1260"/>
        </w:tabs>
        <w:spacing w:after="0" w:line="240" w:lineRule="auto"/>
        <w:ind w:firstLine="284"/>
        <w:contextualSpacing/>
        <w:jc w:val="both"/>
        <w:rPr>
          <w:rFonts w:ascii="Garamond" w:hAnsi="Garamond"/>
          <w:sz w:val="24"/>
        </w:rPr>
      </w:pPr>
      <w:r w:rsidRPr="00913E39">
        <w:rPr>
          <w:rFonts w:ascii="Garamond" w:hAnsi="Garamond"/>
          <w:sz w:val="24"/>
        </w:rPr>
        <w:t>ix</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njoftimin </w:t>
      </w:r>
      <w:r w:rsidRPr="00913E39">
        <w:rPr>
          <w:rFonts w:ascii="Garamond" w:hAnsi="Garamond"/>
          <w:sz w:val="24"/>
        </w:rPr>
        <w:t>i shpalljes/anulimit me dëshminë e publikimit;</w:t>
      </w:r>
    </w:p>
    <w:p w14:paraId="51F781C5" w14:textId="15AC73B3" w:rsidR="005F4CBC" w:rsidRPr="00913E39" w:rsidRDefault="005F4CBC" w:rsidP="005F4CBC">
      <w:pPr>
        <w:tabs>
          <w:tab w:val="left" w:pos="1260"/>
        </w:tabs>
        <w:spacing w:after="0" w:line="240" w:lineRule="auto"/>
        <w:ind w:firstLine="284"/>
        <w:contextualSpacing/>
        <w:jc w:val="both"/>
        <w:rPr>
          <w:rFonts w:ascii="Garamond" w:hAnsi="Garamond"/>
          <w:sz w:val="24"/>
        </w:rPr>
      </w:pPr>
      <w:r w:rsidRPr="00913E39">
        <w:rPr>
          <w:rFonts w:ascii="Garamond" w:hAnsi="Garamond"/>
          <w:sz w:val="24"/>
        </w:rPr>
        <w:t>x</w:t>
      </w:r>
      <w:r w:rsidR="005D6EAD" w:rsidRPr="00913E39">
        <w:rPr>
          <w:rFonts w:ascii="Garamond" w:hAnsi="Garamond"/>
          <w:sz w:val="24"/>
        </w:rPr>
        <w:t>.</w:t>
      </w:r>
      <w:r w:rsidRPr="00913E39">
        <w:rPr>
          <w:rFonts w:ascii="Garamond" w:hAnsi="Garamond"/>
          <w:sz w:val="24"/>
        </w:rPr>
        <w:t xml:space="preserve"> </w:t>
      </w:r>
      <w:r w:rsidR="005D6EAD" w:rsidRPr="00913E39">
        <w:rPr>
          <w:rFonts w:ascii="Garamond" w:hAnsi="Garamond"/>
          <w:sz w:val="24"/>
        </w:rPr>
        <w:t xml:space="preserve">kontratat </w:t>
      </w:r>
      <w:r w:rsidRPr="00913E39">
        <w:rPr>
          <w:rFonts w:ascii="Garamond" w:hAnsi="Garamond"/>
          <w:sz w:val="24"/>
        </w:rPr>
        <w:t>e nënshkruara, ndryshimet, kushtet dhe korrespondencën përkatëse.</w:t>
      </w:r>
    </w:p>
    <w:p w14:paraId="1F3A5403" w14:textId="34F79DF4"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Gjithashtu, dokumentet financiare dhe kontraktuale të përmendura në paragrafin 6(a) dhe (b) të këtij neni do të plotësohen me të gjitha dokumentet mbështetëse përkatëse siç kërkohet nga procedurat e përmendura në paragrafin 1</w:t>
      </w:r>
      <w:r w:rsidR="00606E39" w:rsidRPr="00913E39">
        <w:rPr>
          <w:rFonts w:ascii="Garamond" w:hAnsi="Garamond"/>
          <w:sz w:val="24"/>
        </w:rPr>
        <w:t>,</w:t>
      </w:r>
      <w:r w:rsidRPr="00913E39">
        <w:rPr>
          <w:rFonts w:ascii="Garamond" w:hAnsi="Garamond"/>
          <w:sz w:val="24"/>
        </w:rPr>
        <w:t xml:space="preserve"> si edhe i gjithë dokumentacioni përkatës në lidhje me pagesat, rikuperimet dhe shpenzimet operacionale, për shembull raporti i projektit dhe kontrolleve në terren, pranimi i furnizimeve dhe punimeve, garancitë, raportet e inxhinierëve të mbikëqyrjes.   </w:t>
      </w:r>
    </w:p>
    <w:p w14:paraId="1BB5AAB8" w14:textId="77777777" w:rsidR="005F4CBC" w:rsidRPr="00913E39" w:rsidRDefault="005F4CBC" w:rsidP="005F4CBC">
      <w:pPr>
        <w:tabs>
          <w:tab w:val="left" w:pos="540"/>
        </w:tabs>
        <w:spacing w:after="0" w:line="240" w:lineRule="auto"/>
        <w:ind w:firstLine="284"/>
        <w:contextualSpacing/>
        <w:jc w:val="both"/>
        <w:rPr>
          <w:rFonts w:ascii="Garamond" w:hAnsi="Garamond"/>
          <w:sz w:val="24"/>
        </w:rPr>
      </w:pPr>
      <w:r w:rsidRPr="00913E39">
        <w:rPr>
          <w:rFonts w:ascii="Garamond" w:hAnsi="Garamond"/>
          <w:sz w:val="24"/>
        </w:rPr>
        <w:t>3</w:t>
      </w:r>
      <w:r w:rsidR="00EF6A00" w:rsidRPr="00913E39">
        <w:rPr>
          <w:rFonts w:ascii="Garamond" w:hAnsi="Garamond"/>
          <w:sz w:val="24"/>
        </w:rPr>
        <w:t>.</w:t>
      </w:r>
      <w:r w:rsidRPr="00913E39">
        <w:rPr>
          <w:rFonts w:ascii="Garamond" w:hAnsi="Garamond"/>
          <w:sz w:val="24"/>
        </w:rPr>
        <w:t xml:space="preserve"> Operacionet e bashkë-financuara nga Bashkimit sipas Programit mund të marrin fonde edhe nga donatorë të tjerë siç janë organizatat ndërkombëtare, një Shtet Anëtar, një vend i tretë ose një organizatë rajonale.</w:t>
      </w:r>
    </w:p>
    <w:p w14:paraId="23630E17" w14:textId="77777777" w:rsidR="00727A4D" w:rsidRPr="00913E39" w:rsidRDefault="00727A4D" w:rsidP="005F4CBC">
      <w:pPr>
        <w:keepNext/>
        <w:spacing w:after="0" w:line="240" w:lineRule="auto"/>
        <w:ind w:firstLine="284"/>
        <w:outlineLvl w:val="1"/>
        <w:rPr>
          <w:rFonts w:ascii="Garamond" w:hAnsi="Garamond"/>
          <w:b/>
          <w:i/>
          <w:sz w:val="24"/>
        </w:rPr>
      </w:pPr>
    </w:p>
    <w:p w14:paraId="2A205981" w14:textId="77777777" w:rsidR="00727A4D" w:rsidRPr="00913E39" w:rsidRDefault="005F4CBC" w:rsidP="00727A4D">
      <w:pPr>
        <w:keepNext/>
        <w:spacing w:after="0" w:line="240" w:lineRule="auto"/>
        <w:ind w:firstLine="284"/>
        <w:jc w:val="center"/>
        <w:outlineLvl w:val="1"/>
        <w:rPr>
          <w:rFonts w:ascii="Garamond" w:hAnsi="Garamond"/>
          <w:sz w:val="24"/>
        </w:rPr>
      </w:pPr>
      <w:r w:rsidRPr="00913E39">
        <w:rPr>
          <w:rFonts w:ascii="Garamond" w:hAnsi="Garamond"/>
          <w:sz w:val="24"/>
        </w:rPr>
        <w:t xml:space="preserve">Neni 2a </w:t>
      </w:r>
    </w:p>
    <w:p w14:paraId="361678D7" w14:textId="77777777" w:rsidR="005F4CBC" w:rsidRPr="00913E39" w:rsidRDefault="005F4CBC" w:rsidP="00727A4D">
      <w:pPr>
        <w:keepNext/>
        <w:spacing w:after="0" w:line="240" w:lineRule="auto"/>
        <w:ind w:firstLine="284"/>
        <w:jc w:val="center"/>
        <w:outlineLvl w:val="1"/>
        <w:rPr>
          <w:rFonts w:ascii="Garamond" w:hAnsi="Garamond"/>
          <w:b/>
          <w:sz w:val="24"/>
        </w:rPr>
      </w:pPr>
      <w:r w:rsidRPr="00913E39">
        <w:rPr>
          <w:rFonts w:ascii="Garamond" w:hAnsi="Garamond"/>
          <w:b/>
          <w:sz w:val="24"/>
        </w:rPr>
        <w:t>Përjashtimi dhe masat administrative</w:t>
      </w:r>
    </w:p>
    <w:p w14:paraId="172694D1" w14:textId="77777777" w:rsidR="00727A4D" w:rsidRPr="00913E39" w:rsidRDefault="00727A4D" w:rsidP="005F4CBC">
      <w:pPr>
        <w:tabs>
          <w:tab w:val="left" w:pos="520"/>
        </w:tabs>
        <w:spacing w:after="0" w:line="240" w:lineRule="auto"/>
        <w:ind w:firstLine="284"/>
        <w:contextualSpacing/>
        <w:jc w:val="both"/>
        <w:rPr>
          <w:rFonts w:ascii="Garamond" w:hAnsi="Garamond"/>
          <w:sz w:val="24"/>
        </w:rPr>
      </w:pPr>
    </w:p>
    <w:p w14:paraId="3E27DF0E" w14:textId="77777777" w:rsidR="005F4CBC" w:rsidRPr="00913E39" w:rsidRDefault="005F4CBC" w:rsidP="005D6EAD">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EF6A00" w:rsidRPr="00913E39">
        <w:rPr>
          <w:rFonts w:ascii="Garamond" w:hAnsi="Garamond"/>
          <w:sz w:val="24"/>
        </w:rPr>
        <w:t>.</w:t>
      </w:r>
      <w:r w:rsidRPr="00913E39">
        <w:rPr>
          <w:rFonts w:ascii="Garamond" w:hAnsi="Garamond"/>
          <w:sz w:val="24"/>
        </w:rPr>
        <w:t xml:space="preserve"> Gjatë zbatimit të procedurave dhe dokumenteve standarde të përcaktuara dhe të publikuara nga Komisioni për shpalljen e kontratave fituese të prokurimit dhe grantit, përfituesi i IPA III duhet të sigurohet, në përputhje me rrethanat, që asnjë kontratë prokurim ose granti e financuar nga BE të mos i jepet një operatori ekonomik ose aplikuesi për grante, nëse operatori ose aplikanti për grante, ose vetë, ose nëpërmjet një personi me kompetenca përfaqësimi, vendimmarrëse ose kontrolli mbi të, është në një nga situatat e përjashtimit të parashikuara në procedurat përkatëse dhe dokumentet standarde të Komisionit.</w:t>
      </w:r>
    </w:p>
    <w:p w14:paraId="1AA500B8" w14:textId="77777777" w:rsidR="005F4CBC" w:rsidRPr="00913E39" w:rsidRDefault="005F4CBC" w:rsidP="005D6EAD">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727A4D" w:rsidRPr="00913E39">
        <w:rPr>
          <w:rFonts w:ascii="Garamond" w:hAnsi="Garamond"/>
          <w:sz w:val="24"/>
        </w:rPr>
        <w:t>.</w:t>
      </w:r>
      <w:r w:rsidRPr="00913E39">
        <w:rPr>
          <w:rFonts w:ascii="Garamond" w:hAnsi="Garamond"/>
          <w:sz w:val="24"/>
        </w:rPr>
        <w:t xml:space="preserve"> Përfituesi i IPA III duhet të informojë Komisionin menjëherë kur një kandidat, ofertues ose aplikant gjendet në një situatë përjashtimi të përmendur në paragrafin 1, ose ka kryer parregullsi dhe mashtrim siç përcaktohet në nenin 51 (5) të FFPA, ose ka shfaqur mangësi në përmbushjen e detyrimeve të tij kryesore për zbatimin e një angazhimi ligjor të financuar nga buxheti i Unionit.  </w:t>
      </w:r>
    </w:p>
    <w:p w14:paraId="47194425" w14:textId="6BA590F4" w:rsidR="005F4CBC" w:rsidRPr="00913E39" w:rsidRDefault="005F4CBC" w:rsidP="005D6EAD">
      <w:pPr>
        <w:spacing w:after="0" w:line="240" w:lineRule="auto"/>
        <w:ind w:firstLine="284"/>
        <w:contextualSpacing/>
        <w:jc w:val="both"/>
        <w:rPr>
          <w:rFonts w:ascii="Garamond" w:hAnsi="Garamond"/>
          <w:sz w:val="24"/>
        </w:rPr>
      </w:pPr>
      <w:r w:rsidRPr="00913E39">
        <w:rPr>
          <w:rFonts w:ascii="Garamond" w:hAnsi="Garamond"/>
          <w:sz w:val="24"/>
        </w:rPr>
        <w:t>3</w:t>
      </w:r>
      <w:r w:rsidR="00727A4D" w:rsidRPr="00913E39">
        <w:rPr>
          <w:rFonts w:ascii="Garamond" w:hAnsi="Garamond"/>
          <w:sz w:val="24"/>
        </w:rPr>
        <w:t>.</w:t>
      </w:r>
      <w:r w:rsidRPr="00913E39">
        <w:rPr>
          <w:rFonts w:ascii="Garamond" w:hAnsi="Garamond"/>
          <w:sz w:val="24"/>
        </w:rPr>
        <w:t xml:space="preserve"> Përfituesi i IPA III duhet të marrë parasysh informacionet që gjenden në Sistemin e Komisionit për Zbulim të Hershëm dhe Përjashtim (EDES) kur akordon kontratat e prokurimit dhe granteve. Njohja me informacionin mund të bëhet nëpërmjet pikës (pikave) të ndërlidhjes ose nëpërmjet konsultimeve duke përdorur mënyrat e mëposhtme: (Komisioni E</w:t>
      </w:r>
      <w:r w:rsidR="006775C2" w:rsidRPr="00913E39">
        <w:rPr>
          <w:rFonts w:ascii="Garamond" w:hAnsi="Garamond"/>
          <w:sz w:val="24"/>
        </w:rPr>
        <w:t>v</w:t>
      </w:r>
      <w:r w:rsidRPr="00913E39">
        <w:rPr>
          <w:rFonts w:ascii="Garamond" w:hAnsi="Garamond"/>
          <w:sz w:val="24"/>
        </w:rPr>
        <w:t xml:space="preserve">ropian, Drejtoria e Përgjithshme e Buxhetit, Kontabilisti i Komisionit, BRE2-13/505, B-1049 Bruksel, Belgjikë dhe nëpërmjet </w:t>
      </w:r>
      <w:r w:rsidRPr="00913E39">
        <w:rPr>
          <w:rFonts w:ascii="Garamond" w:hAnsi="Garamond"/>
          <w:i/>
          <w:sz w:val="24"/>
        </w:rPr>
        <w:t>e-mailit</w:t>
      </w:r>
      <w:r w:rsidRPr="00913E39">
        <w:rPr>
          <w:rFonts w:ascii="Garamond" w:hAnsi="Garamond"/>
          <w:sz w:val="24"/>
        </w:rPr>
        <w:t xml:space="preserve"> BUDG-C01-EXCL- DB@ec.europa.eu ku një kopje i drejtohet Komisionit të përcaktuar në nenin 3 të Kushteve të Veçanta). Çdo kontratë ose grant i lidhur me një kontraktor ose përfitues granti që është në një situatë përjashtimi në kohën e lidhjes së kontratës do të përjashtohet nga financimi i Unionit dhe mund të zbatohet mekanizmi i ndryshimeve financiare në përputhje me nenin 8a.</w:t>
      </w:r>
    </w:p>
    <w:p w14:paraId="298CB2A2" w14:textId="0734C2D6" w:rsidR="005F4CBC" w:rsidRPr="00913E39" w:rsidRDefault="005F4CBC" w:rsidP="006775C2">
      <w:pPr>
        <w:tabs>
          <w:tab w:val="left" w:pos="520"/>
        </w:tabs>
        <w:spacing w:after="0" w:line="240" w:lineRule="auto"/>
        <w:ind w:firstLine="284"/>
        <w:contextualSpacing/>
        <w:jc w:val="both"/>
        <w:rPr>
          <w:rFonts w:ascii="Garamond" w:hAnsi="Garamond"/>
          <w:sz w:val="24"/>
        </w:rPr>
      </w:pPr>
      <w:r w:rsidRPr="00913E39">
        <w:rPr>
          <w:rFonts w:ascii="Garamond" w:hAnsi="Garamond"/>
          <w:sz w:val="24"/>
        </w:rPr>
        <w:t>4</w:t>
      </w:r>
      <w:r w:rsidR="00727A4D" w:rsidRPr="00913E39">
        <w:rPr>
          <w:rFonts w:ascii="Garamond" w:hAnsi="Garamond"/>
          <w:sz w:val="24"/>
        </w:rPr>
        <w:t>.</w:t>
      </w:r>
      <w:r w:rsidRPr="00913E39">
        <w:rPr>
          <w:rFonts w:ascii="Garamond" w:hAnsi="Garamond"/>
          <w:sz w:val="24"/>
        </w:rPr>
        <w:t xml:space="preserve"> Kur përfituesi i IPA III merr dijeni për një situatë përjashtimi të përmendur në paragrafin 1 në</w:t>
      </w:r>
      <w:r w:rsidR="006775C2" w:rsidRPr="00913E39">
        <w:rPr>
          <w:rFonts w:ascii="Garamond" w:hAnsi="Garamond"/>
          <w:sz w:val="24"/>
        </w:rPr>
        <w:t xml:space="preserve"> </w:t>
      </w:r>
      <w:r w:rsidRPr="00913E39">
        <w:rPr>
          <w:rFonts w:ascii="Garamond" w:hAnsi="Garamond"/>
          <w:sz w:val="24"/>
        </w:rPr>
        <w:t xml:space="preserve">zbatim të detyrave të përshkruara në </w:t>
      </w:r>
      <w:r w:rsidR="006775C2" w:rsidRPr="00913E39">
        <w:rPr>
          <w:rFonts w:ascii="Garamond" w:hAnsi="Garamond"/>
          <w:sz w:val="24"/>
        </w:rPr>
        <w:t>a</w:t>
      </w:r>
      <w:r w:rsidRPr="00913E39">
        <w:rPr>
          <w:rFonts w:ascii="Garamond" w:hAnsi="Garamond"/>
          <w:sz w:val="24"/>
        </w:rPr>
        <w:t>neksin I, përfituesi i IPA III, sipas kushteve të legjislacionit të tij kombëtar, vendos ndaj operatorit ekonomik ose aplikantit të grantit refuzim nga procedura e dhënë dhe përjashtim nga procedurat e ardhshme të prokurimit ose dhënies së grantit. Përfituesi i IPA III mund të vendosë gjithashtu një gjobë financiare në përpjesëtim me vlerën e kontratës në fjalë. Refuzimet, përjashtimet dhe/ose gjobat financiare do të vendosen pas një procedure kundërshtuese që siguron të drejtën e mbrojtjes së personit në fjalë. Përfituesi i IPA III do të njoftojë Komisionin në përputhje me paragrafin 2.</w:t>
      </w:r>
    </w:p>
    <w:p w14:paraId="15ADC1C7" w14:textId="77777777" w:rsidR="005F4CBC" w:rsidRPr="00913E39" w:rsidRDefault="005F4CBC" w:rsidP="005D6EAD">
      <w:pPr>
        <w:spacing w:after="0" w:line="240" w:lineRule="auto"/>
        <w:ind w:firstLine="284"/>
        <w:jc w:val="both"/>
        <w:rPr>
          <w:rFonts w:ascii="Garamond" w:hAnsi="Garamond"/>
          <w:sz w:val="24"/>
        </w:rPr>
      </w:pPr>
    </w:p>
    <w:p w14:paraId="45EFA95D" w14:textId="13DF5C58" w:rsidR="00727A4D" w:rsidRPr="00913E39" w:rsidRDefault="005F4CBC" w:rsidP="005D6EAD">
      <w:pPr>
        <w:keepNext/>
        <w:spacing w:after="0" w:line="240" w:lineRule="auto"/>
        <w:ind w:firstLine="284"/>
        <w:jc w:val="center"/>
        <w:outlineLvl w:val="1"/>
        <w:rPr>
          <w:rFonts w:ascii="Garamond" w:hAnsi="Garamond"/>
          <w:sz w:val="24"/>
        </w:rPr>
      </w:pPr>
      <w:r w:rsidRPr="00913E39">
        <w:rPr>
          <w:rFonts w:ascii="Garamond" w:hAnsi="Garamond"/>
          <w:sz w:val="24"/>
        </w:rPr>
        <w:t>Neni 3</w:t>
      </w:r>
    </w:p>
    <w:p w14:paraId="164125DC" w14:textId="77777777" w:rsidR="005F4CBC" w:rsidRPr="00913E39" w:rsidRDefault="005F4CBC" w:rsidP="005D6EAD">
      <w:pPr>
        <w:keepNext/>
        <w:spacing w:after="0" w:line="240" w:lineRule="auto"/>
        <w:ind w:firstLine="284"/>
        <w:jc w:val="center"/>
        <w:outlineLvl w:val="1"/>
        <w:rPr>
          <w:rFonts w:ascii="Garamond" w:hAnsi="Garamond"/>
          <w:b/>
          <w:sz w:val="24"/>
        </w:rPr>
      </w:pPr>
      <w:r w:rsidRPr="00913E39">
        <w:rPr>
          <w:rFonts w:ascii="Garamond" w:hAnsi="Garamond"/>
          <w:b/>
          <w:sz w:val="24"/>
        </w:rPr>
        <w:t>Komunikimi dhe vizibiliteti</w:t>
      </w:r>
    </w:p>
    <w:p w14:paraId="5C5630ED" w14:textId="77777777" w:rsidR="00727A4D" w:rsidRPr="00913E39" w:rsidRDefault="00727A4D" w:rsidP="00727A4D">
      <w:pPr>
        <w:keepNext/>
        <w:spacing w:after="0" w:line="240" w:lineRule="auto"/>
        <w:ind w:firstLine="284"/>
        <w:jc w:val="center"/>
        <w:outlineLvl w:val="1"/>
        <w:rPr>
          <w:rFonts w:ascii="Garamond" w:hAnsi="Garamond"/>
          <w:b/>
          <w:i/>
          <w:sz w:val="24"/>
        </w:rPr>
      </w:pPr>
    </w:p>
    <w:p w14:paraId="719FE34A" w14:textId="6F158A82"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727A4D" w:rsidRPr="00913E39">
        <w:rPr>
          <w:rFonts w:ascii="Garamond" w:hAnsi="Garamond"/>
          <w:sz w:val="24"/>
        </w:rPr>
        <w:t>.</w:t>
      </w:r>
      <w:r w:rsidRPr="00913E39">
        <w:rPr>
          <w:rFonts w:ascii="Garamond" w:hAnsi="Garamond"/>
          <w:sz w:val="24"/>
        </w:rPr>
        <w:t xml:space="preserve"> Në përputhje me </w:t>
      </w:r>
      <w:r w:rsidR="005D6EAD" w:rsidRPr="00913E39">
        <w:rPr>
          <w:rFonts w:ascii="Garamond" w:hAnsi="Garamond"/>
          <w:sz w:val="24"/>
        </w:rPr>
        <w:t>n</w:t>
      </w:r>
      <w:r w:rsidRPr="00913E39">
        <w:rPr>
          <w:rFonts w:ascii="Garamond" w:hAnsi="Garamond"/>
          <w:sz w:val="24"/>
        </w:rPr>
        <w:t xml:space="preserve">enin 24 të FFPA, përfituesi i IPA III merr masa të nevojshme për të siguruar vizibilitetin e financimit të BE-së për aktivitetet që i janë besuar atij, dhe përgatit një plan koherent </w:t>
      </w:r>
      <w:r w:rsidRPr="00913E39">
        <w:rPr>
          <w:rFonts w:ascii="Garamond" w:hAnsi="Garamond"/>
          <w:sz w:val="24"/>
        </w:rPr>
        <w:lastRenderedPageBreak/>
        <w:t>aktivitetesh, vizibiliteti dhe komunikimi i cili duhet t</w:t>
      </w:r>
      <w:r w:rsidR="005222A5" w:rsidRPr="00913E39">
        <w:rPr>
          <w:rFonts w:ascii="Garamond" w:hAnsi="Garamond"/>
          <w:sz w:val="24"/>
        </w:rPr>
        <w:t>’</w:t>
      </w:r>
      <w:r w:rsidRPr="00913E39">
        <w:rPr>
          <w:rFonts w:ascii="Garamond" w:hAnsi="Garamond"/>
          <w:sz w:val="24"/>
        </w:rPr>
        <w:t>i paraqitet Komisionit për miratim brenda 2 muajve nga data e hyrjes në fuqi të Marrëveshjes së Financimit.</w:t>
      </w:r>
    </w:p>
    <w:p w14:paraId="1DDF7D01" w14:textId="1C107AAB"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5D6EAD" w:rsidRPr="00913E39">
        <w:rPr>
          <w:rFonts w:ascii="Garamond" w:hAnsi="Garamond"/>
          <w:sz w:val="24"/>
        </w:rPr>
        <w:t>.</w:t>
      </w:r>
      <w:r w:rsidRPr="00913E39">
        <w:rPr>
          <w:rFonts w:ascii="Garamond" w:hAnsi="Garamond"/>
          <w:sz w:val="24"/>
        </w:rPr>
        <w:t xml:space="preserve"> Këto aktivitete komunikimi dhe vizibiliteti duhet të jenë në përputhje me udhëzimin për veprimin e jashtëm mbi komunikimin dhe rritjen e vizibilitetit të BE-së të përcaktuar dhe të publikuar nga Komisioni në fuqi në kohën e aktiviteteve.</w:t>
      </w:r>
    </w:p>
    <w:p w14:paraId="21CB513A" w14:textId="77777777" w:rsidR="005F4CBC" w:rsidRPr="00913E39" w:rsidRDefault="005F4CBC" w:rsidP="005F4CBC">
      <w:pPr>
        <w:spacing w:after="0" w:line="240" w:lineRule="auto"/>
        <w:ind w:firstLine="284"/>
        <w:jc w:val="both"/>
        <w:rPr>
          <w:rFonts w:ascii="Garamond" w:hAnsi="Garamond"/>
          <w:sz w:val="24"/>
        </w:rPr>
      </w:pPr>
    </w:p>
    <w:p w14:paraId="0FF7EAF3" w14:textId="77777777" w:rsidR="00D40E62" w:rsidRPr="00913E39" w:rsidRDefault="005F4CBC" w:rsidP="00D40E62">
      <w:pPr>
        <w:keepNext/>
        <w:spacing w:after="0" w:line="240" w:lineRule="auto"/>
        <w:ind w:firstLine="284"/>
        <w:jc w:val="center"/>
        <w:outlineLvl w:val="1"/>
        <w:rPr>
          <w:rFonts w:ascii="Garamond" w:hAnsi="Garamond"/>
          <w:sz w:val="24"/>
        </w:rPr>
      </w:pPr>
      <w:r w:rsidRPr="00913E39">
        <w:rPr>
          <w:rFonts w:ascii="Garamond" w:hAnsi="Garamond"/>
          <w:sz w:val="24"/>
        </w:rPr>
        <w:t xml:space="preserve">Neni 4 </w:t>
      </w:r>
    </w:p>
    <w:p w14:paraId="34FD2DB1" w14:textId="77777777" w:rsidR="005F4CBC" w:rsidRPr="00913E39" w:rsidRDefault="005F4CBC" w:rsidP="00D40E62">
      <w:pPr>
        <w:keepNext/>
        <w:spacing w:after="0" w:line="240" w:lineRule="auto"/>
        <w:ind w:firstLine="284"/>
        <w:jc w:val="center"/>
        <w:outlineLvl w:val="1"/>
        <w:rPr>
          <w:rFonts w:ascii="Garamond" w:hAnsi="Garamond"/>
          <w:b/>
          <w:sz w:val="24"/>
        </w:rPr>
      </w:pPr>
      <w:r w:rsidRPr="00913E39">
        <w:rPr>
          <w:rFonts w:ascii="Garamond" w:hAnsi="Garamond"/>
          <w:b/>
          <w:sz w:val="24"/>
        </w:rPr>
        <w:t xml:space="preserve"> Kontrollet e mëpërparshmedhe vijuese për procedurat e granteve dhe prokurimit dhe kontrollet vijuese për kontratat dhe grantet që do të kryhen nga Komisioni</w:t>
      </w:r>
    </w:p>
    <w:p w14:paraId="6FCEA8BA" w14:textId="77777777" w:rsidR="005F4CBC" w:rsidRPr="00913E39" w:rsidRDefault="005F4CBC" w:rsidP="005F4CBC">
      <w:pPr>
        <w:spacing w:after="0" w:line="240" w:lineRule="auto"/>
        <w:ind w:firstLine="284"/>
        <w:jc w:val="both"/>
        <w:rPr>
          <w:rFonts w:ascii="Garamond" w:hAnsi="Garamond"/>
          <w:b/>
          <w:sz w:val="24"/>
        </w:rPr>
      </w:pPr>
    </w:p>
    <w:p w14:paraId="662BE812"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CB42B1" w:rsidRPr="00913E39">
        <w:rPr>
          <w:rFonts w:ascii="Garamond" w:hAnsi="Garamond"/>
          <w:sz w:val="24"/>
        </w:rPr>
        <w:t>.</w:t>
      </w:r>
      <w:r w:rsidRPr="00913E39">
        <w:rPr>
          <w:rFonts w:ascii="Garamond" w:hAnsi="Garamond"/>
          <w:sz w:val="24"/>
        </w:rPr>
        <w:t xml:space="preserve"> Komisioni ushtron kontrolle </w:t>
      </w:r>
      <w:r w:rsidRPr="00913E39">
        <w:rPr>
          <w:rFonts w:ascii="Garamond" w:hAnsi="Garamond"/>
          <w:i/>
          <w:sz w:val="24"/>
        </w:rPr>
        <w:t xml:space="preserve">vijuese </w:t>
      </w:r>
      <w:r w:rsidRPr="00913E39">
        <w:rPr>
          <w:rFonts w:ascii="Garamond" w:hAnsi="Garamond"/>
          <w:sz w:val="24"/>
        </w:rPr>
        <w:t xml:space="preserve">mbi procedurat e shpalljes së fituesve për prokurimin dhe grantet për fazat e mëposhtme: </w:t>
      </w:r>
    </w:p>
    <w:p w14:paraId="3D72E829"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a) njoftimi kontratës për prokurim, thirrjet për propozime dhe çdo ndryshim të tyre;</w:t>
      </w:r>
    </w:p>
    <w:p w14:paraId="7C413CC4" w14:textId="77777777"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b) dosje të tenderit dhe udhëzime për aplikantët për grantet;</w:t>
      </w:r>
    </w:p>
    <w:p w14:paraId="6DC51D2B" w14:textId="65B93E55"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 xml:space="preserve">c) përbërja e </w:t>
      </w:r>
      <w:r w:rsidR="005D6EAD" w:rsidRPr="00913E39">
        <w:rPr>
          <w:rFonts w:ascii="Garamond" w:hAnsi="Garamond"/>
          <w:sz w:val="24"/>
        </w:rPr>
        <w:t>komisioneve të vlerësimit</w:t>
      </w:r>
      <w:r w:rsidRPr="00913E39">
        <w:rPr>
          <w:rFonts w:ascii="Garamond" w:hAnsi="Garamond"/>
          <w:sz w:val="24"/>
        </w:rPr>
        <w:t>;</w:t>
      </w:r>
    </w:p>
    <w:p w14:paraId="3DFCDF1A" w14:textId="7B4D39B1"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d) raporte të vlerësimit, vendimi refuzimi dhe shpallje fituesi;</w:t>
      </w:r>
      <w:r w:rsidR="00816DD2">
        <w:rPr>
          <w:rStyle w:val="FootnoteReference"/>
          <w:rFonts w:ascii="Garamond" w:hAnsi="Garamond"/>
          <w:sz w:val="24"/>
        </w:rPr>
        <w:footnoteReference w:id="98"/>
      </w:r>
    </w:p>
    <w:p w14:paraId="2907B240" w14:textId="77777777"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 xml:space="preserve">e) dosje të kontratave dhe shtesave të kontratave. </w:t>
      </w:r>
    </w:p>
    <w:p w14:paraId="274E17DE" w14:textId="0E9930CD"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CB42B1" w:rsidRPr="00913E39">
        <w:rPr>
          <w:rFonts w:ascii="Garamond" w:hAnsi="Garamond"/>
          <w:sz w:val="24"/>
        </w:rPr>
        <w:t>.</w:t>
      </w:r>
      <w:r w:rsidRPr="00913E39">
        <w:rPr>
          <w:rFonts w:ascii="Garamond" w:hAnsi="Garamond"/>
          <w:sz w:val="24"/>
        </w:rPr>
        <w:t xml:space="preserve"> Lidhur me kontrollet </w:t>
      </w:r>
      <w:r w:rsidRPr="00913E39">
        <w:rPr>
          <w:rFonts w:ascii="Garamond" w:hAnsi="Garamond"/>
          <w:i/>
          <w:sz w:val="24"/>
        </w:rPr>
        <w:t>vijuese</w:t>
      </w:r>
      <w:r w:rsidR="005D6EAD" w:rsidRPr="00913E39">
        <w:rPr>
          <w:rFonts w:ascii="Garamond" w:hAnsi="Garamond"/>
          <w:i/>
          <w:sz w:val="24"/>
        </w:rPr>
        <w:t>,</w:t>
      </w:r>
      <w:r w:rsidRPr="00913E39">
        <w:rPr>
          <w:rFonts w:ascii="Garamond" w:hAnsi="Garamond"/>
          <w:i/>
          <w:sz w:val="24"/>
        </w:rPr>
        <w:t xml:space="preserve"> </w:t>
      </w:r>
      <w:r w:rsidRPr="00913E39">
        <w:rPr>
          <w:rFonts w:ascii="Garamond" w:hAnsi="Garamond"/>
          <w:sz w:val="24"/>
        </w:rPr>
        <w:t>Komisioni mund të vendosë pas vlerësimit të riskut:</w:t>
      </w:r>
    </w:p>
    <w:p w14:paraId="79F67896" w14:textId="77777777" w:rsidR="005F4CBC" w:rsidRPr="00913E39" w:rsidRDefault="005F4CBC" w:rsidP="005F4CBC">
      <w:pPr>
        <w:tabs>
          <w:tab w:val="left" w:pos="900"/>
        </w:tabs>
        <w:spacing w:after="0" w:line="240" w:lineRule="auto"/>
        <w:ind w:firstLine="284"/>
        <w:contextualSpacing/>
        <w:jc w:val="both"/>
        <w:rPr>
          <w:rFonts w:ascii="Garamond" w:hAnsi="Garamond"/>
          <w:sz w:val="24"/>
        </w:rPr>
      </w:pPr>
      <w:r w:rsidRPr="00913E39">
        <w:rPr>
          <w:rFonts w:ascii="Garamond" w:hAnsi="Garamond"/>
          <w:sz w:val="24"/>
        </w:rPr>
        <w:t xml:space="preserve">a) të kryejë kontrolle </w:t>
      </w:r>
      <w:r w:rsidRPr="00913E39">
        <w:rPr>
          <w:rFonts w:ascii="Garamond" w:hAnsi="Garamond"/>
          <w:i/>
          <w:sz w:val="24"/>
        </w:rPr>
        <w:t>vijuese</w:t>
      </w:r>
      <w:r w:rsidRPr="00913E39">
        <w:rPr>
          <w:rFonts w:ascii="Garamond" w:hAnsi="Garamond"/>
          <w:sz w:val="24"/>
        </w:rPr>
        <w:t xml:space="preserve"> për të gjitha dosjet, ose</w:t>
      </w:r>
    </w:p>
    <w:p w14:paraId="7F7D03A1" w14:textId="77777777"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 xml:space="preserve">b) të kryejë kontrolle </w:t>
      </w:r>
      <w:r w:rsidRPr="00913E39">
        <w:rPr>
          <w:rFonts w:ascii="Garamond" w:hAnsi="Garamond"/>
          <w:i/>
          <w:sz w:val="24"/>
        </w:rPr>
        <w:t>vijuese</w:t>
      </w:r>
      <w:r w:rsidRPr="00913E39">
        <w:rPr>
          <w:rFonts w:ascii="Garamond" w:hAnsi="Garamond"/>
          <w:sz w:val="24"/>
        </w:rPr>
        <w:t xml:space="preserve"> mbi një përzgjedhje të këtyre dosjeve, ose</w:t>
      </w:r>
    </w:p>
    <w:p w14:paraId="7A01427A" w14:textId="77777777"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 xml:space="preserve">c) të heqë dorë plotësisht nga kontrollet </w:t>
      </w:r>
      <w:r w:rsidRPr="00913E39">
        <w:rPr>
          <w:rFonts w:ascii="Garamond" w:hAnsi="Garamond"/>
          <w:i/>
          <w:sz w:val="24"/>
        </w:rPr>
        <w:t>vijuese</w:t>
      </w:r>
      <w:r w:rsidRPr="00913E39">
        <w:rPr>
          <w:rFonts w:ascii="Garamond" w:hAnsi="Garamond"/>
          <w:sz w:val="24"/>
        </w:rPr>
        <w:t>.</w:t>
      </w:r>
    </w:p>
    <w:p w14:paraId="1D60406D" w14:textId="4B4E7DA1"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3</w:t>
      </w:r>
      <w:r w:rsidR="00CB42B1" w:rsidRPr="00913E39">
        <w:rPr>
          <w:rFonts w:ascii="Garamond" w:hAnsi="Garamond"/>
          <w:sz w:val="24"/>
        </w:rPr>
        <w:t>.</w:t>
      </w:r>
      <w:r w:rsidRPr="00913E39">
        <w:rPr>
          <w:rFonts w:ascii="Garamond" w:hAnsi="Garamond"/>
          <w:sz w:val="24"/>
        </w:rPr>
        <w:t xml:space="preserve"> Nëse Komisioni vendos të kryejë kontrolle </w:t>
      </w:r>
      <w:r w:rsidRPr="00913E39">
        <w:rPr>
          <w:rFonts w:ascii="Garamond" w:hAnsi="Garamond"/>
          <w:i/>
          <w:sz w:val="24"/>
        </w:rPr>
        <w:t>vijuese</w:t>
      </w:r>
      <w:r w:rsidRPr="00913E39">
        <w:rPr>
          <w:rFonts w:ascii="Garamond" w:hAnsi="Garamond"/>
          <w:sz w:val="24"/>
        </w:rPr>
        <w:t xml:space="preserve">, në përputhje me paragrafin 2(a) pse (b), ai do të njoftojë përfituesin e IPA III për dosjet e përzgjedhura për kontrolle </w:t>
      </w:r>
      <w:r w:rsidRPr="00913E39">
        <w:rPr>
          <w:rFonts w:ascii="Garamond" w:hAnsi="Garamond"/>
          <w:i/>
          <w:sz w:val="24"/>
        </w:rPr>
        <w:t>vijuese</w:t>
      </w:r>
      <w:r w:rsidRPr="00913E39">
        <w:rPr>
          <w:rFonts w:ascii="Garamond" w:hAnsi="Garamond"/>
          <w:sz w:val="24"/>
        </w:rPr>
        <w:t>. Përfituesi i IPA III duhet t</w:t>
      </w:r>
      <w:r w:rsidR="005222A5" w:rsidRPr="00913E39">
        <w:rPr>
          <w:rFonts w:ascii="Garamond" w:hAnsi="Garamond"/>
          <w:sz w:val="24"/>
        </w:rPr>
        <w:t>’</w:t>
      </w:r>
      <w:r w:rsidRPr="00913E39">
        <w:rPr>
          <w:rFonts w:ascii="Garamond" w:hAnsi="Garamond"/>
          <w:sz w:val="24"/>
        </w:rPr>
        <w:t xml:space="preserve">i paraqesë Komisionit të gjithë dokumentacionin dhe informacionin e nevojshëm për dosjen e përzgjedhur për kontroll </w:t>
      </w:r>
      <w:r w:rsidRPr="00913E39">
        <w:rPr>
          <w:rFonts w:ascii="Garamond" w:hAnsi="Garamond"/>
          <w:i/>
          <w:sz w:val="24"/>
        </w:rPr>
        <w:t>vijuese</w:t>
      </w:r>
      <w:r w:rsidRPr="00913E39">
        <w:rPr>
          <w:rFonts w:ascii="Garamond" w:hAnsi="Garamond"/>
          <w:sz w:val="24"/>
        </w:rPr>
        <w:t xml:space="preserve"> brenda një muaji nga nënshkrimi i kontratës ose shtesës së kontratës.</w:t>
      </w:r>
    </w:p>
    <w:p w14:paraId="1094640D" w14:textId="230BC1C9"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4</w:t>
      </w:r>
      <w:r w:rsidR="00CB42B1" w:rsidRPr="00913E39">
        <w:rPr>
          <w:rFonts w:ascii="Garamond" w:hAnsi="Garamond"/>
          <w:sz w:val="24"/>
        </w:rPr>
        <w:t>.</w:t>
      </w:r>
      <w:r w:rsidRPr="00913E39">
        <w:rPr>
          <w:rFonts w:ascii="Garamond" w:hAnsi="Garamond"/>
          <w:sz w:val="24"/>
        </w:rPr>
        <w:t xml:space="preserve"> Komisioni mund të kryejë kontrolle </w:t>
      </w:r>
      <w:r w:rsidRPr="00913E39">
        <w:rPr>
          <w:rFonts w:ascii="Garamond" w:hAnsi="Garamond"/>
          <w:i/>
          <w:sz w:val="24"/>
        </w:rPr>
        <w:t>të</w:t>
      </w:r>
      <w:r w:rsidR="005D6EAD" w:rsidRPr="00913E39">
        <w:rPr>
          <w:rFonts w:ascii="Garamond" w:hAnsi="Garamond"/>
          <w:i/>
          <w:sz w:val="24"/>
        </w:rPr>
        <w:t xml:space="preserve"> </w:t>
      </w:r>
      <w:r w:rsidRPr="00913E39">
        <w:rPr>
          <w:rFonts w:ascii="Garamond" w:hAnsi="Garamond"/>
          <w:i/>
          <w:sz w:val="24"/>
        </w:rPr>
        <w:t xml:space="preserve">mëparshme </w:t>
      </w:r>
      <w:r w:rsidRPr="00913E39">
        <w:rPr>
          <w:rFonts w:ascii="Garamond" w:hAnsi="Garamond"/>
          <w:sz w:val="24"/>
        </w:rPr>
        <w:t xml:space="preserve">për miratimin e secilës prej fazave të përmendura në paragrafin 1 për procedurat e dhënies së kontratës që nuk janë përzgjedhur për kontroll </w:t>
      </w:r>
      <w:r w:rsidRPr="00913E39">
        <w:rPr>
          <w:rFonts w:ascii="Garamond" w:hAnsi="Garamond"/>
          <w:i/>
          <w:sz w:val="24"/>
        </w:rPr>
        <w:t>vijues.</w:t>
      </w:r>
      <w:r w:rsidRPr="00913E39">
        <w:rPr>
          <w:rFonts w:ascii="Garamond" w:hAnsi="Garamond"/>
          <w:sz w:val="24"/>
        </w:rPr>
        <w:t xml:space="preserve"> Përfituesi i IPA III do t</w:t>
      </w:r>
      <w:r w:rsidR="005222A5" w:rsidRPr="00913E39">
        <w:rPr>
          <w:rFonts w:ascii="Garamond" w:hAnsi="Garamond"/>
          <w:sz w:val="24"/>
        </w:rPr>
        <w:t>’</w:t>
      </w:r>
      <w:r w:rsidRPr="00913E39">
        <w:rPr>
          <w:rFonts w:ascii="Garamond" w:hAnsi="Garamond"/>
          <w:sz w:val="24"/>
        </w:rPr>
        <w:t xml:space="preserve">i japë Komisionit të gjithë dokumentacionin dhe informacionin e nevojshëm pasi të jetë informuar se një dosje është përzgjedhur për kontroll </w:t>
      </w:r>
      <w:r w:rsidRPr="00913E39">
        <w:rPr>
          <w:rFonts w:ascii="Garamond" w:hAnsi="Garamond"/>
          <w:i/>
          <w:sz w:val="24"/>
        </w:rPr>
        <w:t>të mëparshëm</w:t>
      </w:r>
      <w:r w:rsidRPr="00913E39">
        <w:rPr>
          <w:rFonts w:ascii="Garamond" w:hAnsi="Garamond"/>
          <w:sz w:val="24"/>
        </w:rPr>
        <w:t>, të paktën në momentin e dorëzimit të njoftimit të kontratës ose udhëzimeve për aplikantët për publikim.</w:t>
      </w:r>
    </w:p>
    <w:p w14:paraId="442349F8" w14:textId="5243C99E" w:rsidR="005F4CBC" w:rsidRPr="00816DD2" w:rsidRDefault="005F4CBC" w:rsidP="00816DD2">
      <w:pPr>
        <w:tabs>
          <w:tab w:val="left" w:pos="520"/>
        </w:tabs>
        <w:spacing w:after="0" w:line="240" w:lineRule="auto"/>
        <w:ind w:firstLine="284"/>
        <w:contextualSpacing/>
        <w:jc w:val="both"/>
        <w:rPr>
          <w:rFonts w:ascii="Garamond" w:hAnsi="Garamond"/>
          <w:i/>
          <w:sz w:val="24"/>
        </w:rPr>
      </w:pPr>
      <w:r w:rsidRPr="00913E39">
        <w:rPr>
          <w:rFonts w:ascii="Garamond" w:hAnsi="Garamond"/>
          <w:sz w:val="24"/>
        </w:rPr>
        <w:t>5</w:t>
      </w:r>
      <w:r w:rsidR="00CB42B1" w:rsidRPr="00913E39">
        <w:rPr>
          <w:rFonts w:ascii="Garamond" w:hAnsi="Garamond"/>
          <w:sz w:val="24"/>
        </w:rPr>
        <w:t>.</w:t>
      </w:r>
      <w:r w:rsidRPr="00913E39">
        <w:rPr>
          <w:rFonts w:ascii="Garamond" w:hAnsi="Garamond"/>
          <w:sz w:val="24"/>
        </w:rPr>
        <w:t xml:space="preserve"> Komisioni mund të vendosë të kryejë kontrolle </w:t>
      </w:r>
      <w:r w:rsidRPr="00913E39">
        <w:rPr>
          <w:rFonts w:ascii="Garamond" w:hAnsi="Garamond"/>
          <w:i/>
          <w:sz w:val="24"/>
        </w:rPr>
        <w:t>vijuese</w:t>
      </w:r>
      <w:r w:rsidRPr="00913E39">
        <w:rPr>
          <w:rFonts w:ascii="Garamond" w:hAnsi="Garamond"/>
          <w:sz w:val="24"/>
        </w:rPr>
        <w:t>, duke përfshirë auditimet dhe kontrollet në terren, në çdo kohë gjatë ose pas zbatimit të çdo kontrate ose granti të dhënë nga përfituesi i IPA III që rrjedh nga kjo Marrëveshje Financimi. Përfituesi i IPA III do t</w:t>
      </w:r>
      <w:r w:rsidR="005222A5" w:rsidRPr="00913E39">
        <w:rPr>
          <w:rFonts w:ascii="Garamond" w:hAnsi="Garamond"/>
          <w:sz w:val="24"/>
        </w:rPr>
        <w:t>’</w:t>
      </w:r>
      <w:r w:rsidRPr="00913E39">
        <w:rPr>
          <w:rFonts w:ascii="Garamond" w:hAnsi="Garamond"/>
          <w:sz w:val="24"/>
        </w:rPr>
        <w:t xml:space="preserve">i vërë në dispozicion Komisionit të gjithë dokumentacionin dhe informacionin e nevojshëm pasi të jetë informuar se një dosje është përzgjedhur për kontroll </w:t>
      </w:r>
      <w:r w:rsidRPr="00913E39">
        <w:rPr>
          <w:rFonts w:ascii="Garamond" w:hAnsi="Garamond"/>
          <w:i/>
          <w:sz w:val="24"/>
        </w:rPr>
        <w:t>vijues</w:t>
      </w:r>
      <w:r w:rsidRPr="00913E39">
        <w:rPr>
          <w:rFonts w:ascii="Garamond" w:hAnsi="Garamond"/>
          <w:sz w:val="24"/>
        </w:rPr>
        <w:t>. Komisioni mund të autorizojë një person ose një subjekt që të kryejë kontrolle në emër të tij.</w:t>
      </w:r>
    </w:p>
    <w:p w14:paraId="18D9790D" w14:textId="77777777" w:rsidR="00CB42B1" w:rsidRPr="00913E39" w:rsidRDefault="00CB42B1" w:rsidP="005F4CBC">
      <w:pPr>
        <w:keepNext/>
        <w:spacing w:after="0" w:line="240" w:lineRule="auto"/>
        <w:ind w:firstLine="284"/>
        <w:outlineLvl w:val="1"/>
        <w:rPr>
          <w:rFonts w:ascii="Garamond" w:hAnsi="Garamond"/>
          <w:b/>
          <w:i/>
          <w:sz w:val="24"/>
        </w:rPr>
      </w:pPr>
    </w:p>
    <w:p w14:paraId="6A05A5E9" w14:textId="77777777" w:rsidR="00CB42B1" w:rsidRPr="00913E39" w:rsidRDefault="005F4CBC" w:rsidP="00CB42B1">
      <w:pPr>
        <w:keepNext/>
        <w:spacing w:after="0" w:line="240" w:lineRule="auto"/>
        <w:ind w:firstLine="284"/>
        <w:jc w:val="center"/>
        <w:outlineLvl w:val="1"/>
        <w:rPr>
          <w:rFonts w:ascii="Garamond" w:hAnsi="Garamond"/>
          <w:sz w:val="24"/>
        </w:rPr>
      </w:pPr>
      <w:r w:rsidRPr="00913E39">
        <w:rPr>
          <w:rFonts w:ascii="Garamond" w:hAnsi="Garamond"/>
          <w:sz w:val="24"/>
        </w:rPr>
        <w:t>Neni 5</w:t>
      </w:r>
    </w:p>
    <w:p w14:paraId="75BAD2B4" w14:textId="77777777" w:rsidR="005F4CBC" w:rsidRPr="00913E39" w:rsidRDefault="005F4CBC" w:rsidP="00CB42B1">
      <w:pPr>
        <w:keepNext/>
        <w:spacing w:after="0" w:line="240" w:lineRule="auto"/>
        <w:ind w:firstLine="284"/>
        <w:jc w:val="center"/>
        <w:outlineLvl w:val="1"/>
        <w:rPr>
          <w:rFonts w:ascii="Garamond" w:hAnsi="Garamond"/>
          <w:b/>
          <w:sz w:val="24"/>
        </w:rPr>
      </w:pPr>
      <w:r w:rsidRPr="00913E39">
        <w:rPr>
          <w:rFonts w:ascii="Garamond" w:hAnsi="Garamond"/>
          <w:b/>
          <w:sz w:val="24"/>
        </w:rPr>
        <w:t>Llogaritë bankare, sistemet e kontabilitetiti dhe shpenzimet e pranuara</w:t>
      </w:r>
    </w:p>
    <w:p w14:paraId="1B323549" w14:textId="77777777" w:rsidR="005F4CBC" w:rsidRPr="00913E39" w:rsidRDefault="005F4CBC" w:rsidP="005F4CBC">
      <w:pPr>
        <w:spacing w:after="0" w:line="240" w:lineRule="auto"/>
        <w:ind w:firstLine="284"/>
        <w:jc w:val="both"/>
        <w:rPr>
          <w:rFonts w:ascii="Garamond" w:hAnsi="Garamond"/>
          <w:b/>
          <w:sz w:val="24"/>
        </w:rPr>
      </w:pPr>
    </w:p>
    <w:p w14:paraId="7032E897" w14:textId="60F490D3"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CB42B1" w:rsidRPr="00913E39">
        <w:rPr>
          <w:rFonts w:ascii="Garamond" w:hAnsi="Garamond"/>
          <w:sz w:val="24"/>
        </w:rPr>
        <w:t>.</w:t>
      </w:r>
      <w:r w:rsidRPr="00913E39">
        <w:rPr>
          <w:rFonts w:ascii="Garamond" w:hAnsi="Garamond"/>
          <w:sz w:val="24"/>
        </w:rPr>
        <w:t xml:space="preserve"> Pas hyrjes në fuqi të kësaj Marrëveshje Financimi, Organi i Kontabilitetit dhe Organi i Ndërmjetëm për Menaxhimin Financiar (IBFM) i përfituesit të IPA III që është autoriteti kontraktues për Programin hap të paktën një llogari financiare në euro dhe i paraqet Komisionit Formularin (</w:t>
      </w:r>
      <w:r w:rsidR="005D6EAD" w:rsidRPr="00913E39">
        <w:rPr>
          <w:rFonts w:ascii="Garamond" w:hAnsi="Garamond"/>
          <w:sz w:val="24"/>
        </w:rPr>
        <w:t>formularët</w:t>
      </w:r>
      <w:r w:rsidRPr="00913E39">
        <w:rPr>
          <w:rFonts w:ascii="Garamond" w:hAnsi="Garamond"/>
          <w:sz w:val="24"/>
        </w:rPr>
        <w:t>) e Identifikimit Financiar së bashku me mandatet përkatëse bankare. Bilanci i përgjithshëm bankar për Programin do të jetë shuma e bilanceve për të gjitha llogaritë bankare të Programit të mbajtura nga Organi i Kontabilitetit dhe të gjitha IBFM pjesëmarrëse në përfituesin IPA III. Raportimi për të gjitha llogaritë bankare të lidhura me çdo program regjistrohet nëpërmjet IPA-APP</w:t>
      </w:r>
      <w:r w:rsidR="00E06606" w:rsidRPr="00913E39">
        <w:rPr>
          <w:rStyle w:val="FootnoteReference"/>
          <w:rFonts w:ascii="Garamond" w:hAnsi="Garamond"/>
          <w:sz w:val="24"/>
        </w:rPr>
        <w:footnoteReference w:id="99"/>
      </w:r>
      <w:r w:rsidRPr="00913E39">
        <w:rPr>
          <w:rFonts w:ascii="Garamond" w:hAnsi="Garamond"/>
          <w:sz w:val="24"/>
        </w:rPr>
        <w:t>.</w:t>
      </w:r>
    </w:p>
    <w:p w14:paraId="6C11D619" w14:textId="3412CC3E"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CB42B1" w:rsidRPr="00913E39">
        <w:rPr>
          <w:rFonts w:ascii="Garamond" w:hAnsi="Garamond"/>
          <w:sz w:val="24"/>
        </w:rPr>
        <w:t>.</w:t>
      </w:r>
      <w:r w:rsidRPr="00913E39">
        <w:rPr>
          <w:rFonts w:ascii="Garamond" w:hAnsi="Garamond"/>
          <w:sz w:val="24"/>
        </w:rPr>
        <w:t xml:space="preserve"> Përfituesi IPA III duhet të përgatisë dhe t</w:t>
      </w:r>
      <w:r w:rsidR="005222A5" w:rsidRPr="00913E39">
        <w:rPr>
          <w:rFonts w:ascii="Garamond" w:hAnsi="Garamond"/>
          <w:sz w:val="24"/>
        </w:rPr>
        <w:t>’</w:t>
      </w:r>
      <w:r w:rsidRPr="00913E39">
        <w:rPr>
          <w:rFonts w:ascii="Garamond" w:hAnsi="Garamond"/>
          <w:sz w:val="24"/>
        </w:rPr>
        <w:t xml:space="preserve">i paraqesë Komisionit planet e parashikimit të disbursimit për kohëzgjatjen e Programit sipas modelit në pikën (d) të </w:t>
      </w:r>
      <w:r w:rsidR="005D6EAD" w:rsidRPr="00913E39">
        <w:rPr>
          <w:rFonts w:ascii="Garamond" w:hAnsi="Garamond"/>
          <w:sz w:val="24"/>
        </w:rPr>
        <w:t>a</w:t>
      </w:r>
      <w:r w:rsidRPr="00913E39">
        <w:rPr>
          <w:rFonts w:ascii="Garamond" w:hAnsi="Garamond"/>
          <w:sz w:val="24"/>
        </w:rPr>
        <w:t xml:space="preserve">neksit IV. Këto parashikime duhet të përditësohen dhe të paraqiten me çdo kërkesë për fonde të përmendur në nenin 6(2) dhe 6(3) me raportin </w:t>
      </w:r>
      <w:r w:rsidRPr="00913E39">
        <w:rPr>
          <w:rFonts w:ascii="Garamond" w:hAnsi="Garamond"/>
          <w:sz w:val="24"/>
        </w:rPr>
        <w:lastRenderedPageBreak/>
        <w:t xml:space="preserve">vjetor financiar të përmendur në nenin 14(4) dhe me parashikimin e kërkesave të mundshme për pagesë të përmendura në nenin 33(3) FFPA. Planet e parashikimit të disbursimit duhet të bazohen në nevojat reale dhe aktuale dhe të mbështeten nga analiza të hollësishme të dokumentuara (duke përfshirë kontraktimin e planifikuar dhe planifikimin e pagesës për kontratë) e cila do të vihet në dispozicion të Komisionit, nëse kërkohet. </w:t>
      </w:r>
    </w:p>
    <w:p w14:paraId="034F76FF"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3</w:t>
      </w:r>
      <w:r w:rsidR="00CB42B1" w:rsidRPr="00913E39">
        <w:rPr>
          <w:rFonts w:ascii="Garamond" w:hAnsi="Garamond"/>
          <w:sz w:val="24"/>
        </w:rPr>
        <w:t>.</w:t>
      </w:r>
      <w:r w:rsidRPr="00913E39">
        <w:rPr>
          <w:rFonts w:ascii="Garamond" w:hAnsi="Garamond"/>
          <w:sz w:val="24"/>
        </w:rPr>
        <w:t xml:space="preserve"> Planet fillestare për parashikimin e disbursimit duhet të përmbajnë një përmbledhje të parashikimeve vjetore të disbursimit për të gjithë periudhën e pranueshmërisë dhe parashikimet mujore të disbursimit për dymbëdhjetë muajt e parë të Programit. Planet e mëvonshme do të përmbajnë përmbledhje të parashikimeve vjetore të disbursimit për bilancin e periudhës së zbatimit të Programit dhe parashikimet mujore të disbursimit për katërmbëdhjetë muajt e tjerë.</w:t>
      </w:r>
    </w:p>
    <w:p w14:paraId="1A94B622" w14:textId="60806E5D"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4</w:t>
      </w:r>
      <w:r w:rsidR="00CB42B1" w:rsidRPr="00913E39">
        <w:rPr>
          <w:rFonts w:ascii="Garamond" w:hAnsi="Garamond"/>
          <w:sz w:val="24"/>
        </w:rPr>
        <w:t>.</w:t>
      </w:r>
      <w:r w:rsidRPr="00913E39">
        <w:rPr>
          <w:rFonts w:ascii="Garamond" w:hAnsi="Garamond"/>
          <w:sz w:val="24"/>
        </w:rPr>
        <w:t xml:space="preserve"> Kërkohet që përfituesi IPA III të krijojë dhe të ruajë një sistem kontabiliteti në përputhje me </w:t>
      </w:r>
      <w:r w:rsidR="005D6EAD" w:rsidRPr="00913E39">
        <w:rPr>
          <w:rFonts w:ascii="Garamond" w:hAnsi="Garamond"/>
          <w:sz w:val="24"/>
        </w:rPr>
        <w:t>k</w:t>
      </w:r>
      <w:r w:rsidRPr="00913E39">
        <w:rPr>
          <w:rFonts w:ascii="Garamond" w:hAnsi="Garamond"/>
          <w:sz w:val="24"/>
        </w:rPr>
        <w:t xml:space="preserve">lauzolën 4(3)(a) të </w:t>
      </w:r>
      <w:r w:rsidR="005D6EAD" w:rsidRPr="00913E39">
        <w:rPr>
          <w:rFonts w:ascii="Garamond" w:hAnsi="Garamond"/>
          <w:sz w:val="24"/>
        </w:rPr>
        <w:t>a</w:t>
      </w:r>
      <w:r w:rsidRPr="00913E39">
        <w:rPr>
          <w:rFonts w:ascii="Garamond" w:hAnsi="Garamond"/>
          <w:sz w:val="24"/>
        </w:rPr>
        <w:t>neksit A të FFPA</w:t>
      </w:r>
      <w:r w:rsidR="005D6EAD" w:rsidRPr="00913E39">
        <w:rPr>
          <w:rFonts w:ascii="Garamond" w:hAnsi="Garamond"/>
          <w:sz w:val="24"/>
        </w:rPr>
        <w:t>,</w:t>
      </w:r>
      <w:r w:rsidRPr="00913E39">
        <w:rPr>
          <w:rFonts w:ascii="Garamond" w:hAnsi="Garamond"/>
          <w:sz w:val="24"/>
        </w:rPr>
        <w:t xml:space="preserve"> i cili do të mbajë të paktën informacionin për kontratat e menaxhuara në kuadrin e Programit të treguar në </w:t>
      </w:r>
      <w:r w:rsidR="005D6EAD" w:rsidRPr="00913E39">
        <w:rPr>
          <w:rFonts w:ascii="Garamond" w:hAnsi="Garamond"/>
          <w:sz w:val="24"/>
        </w:rPr>
        <w:t>a</w:t>
      </w:r>
      <w:r w:rsidRPr="00913E39">
        <w:rPr>
          <w:rFonts w:ascii="Garamond" w:hAnsi="Garamond"/>
          <w:sz w:val="24"/>
        </w:rPr>
        <w:t>neksin V.</w:t>
      </w:r>
    </w:p>
    <w:p w14:paraId="561BF13F"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5</w:t>
      </w:r>
      <w:r w:rsidR="00CB42B1" w:rsidRPr="00913E39">
        <w:rPr>
          <w:rFonts w:ascii="Garamond" w:hAnsi="Garamond"/>
          <w:sz w:val="24"/>
        </w:rPr>
        <w:t>.</w:t>
      </w:r>
      <w:r w:rsidRPr="00913E39">
        <w:rPr>
          <w:rFonts w:ascii="Garamond" w:hAnsi="Garamond"/>
          <w:sz w:val="24"/>
        </w:rPr>
        <w:t xml:space="preserve"> Sipas nenit 57(2) të FFPA, shpenzimet e pranuara në sistemin e kontabilitetit të parashikuar sipas paragrafit 4 duhet të jenë bërë (nga një marrës), pranuar (nga Organi i Ndërmjetëm për Menaxhimin financiar) dhe paguar (nga Organi i Ndërmjetëm për Menaxhimin financiar) dhe të korrespondojnë me shpenzimet aktuale të provuara me dokumente mbështetëse dhe duhet të përdoren kur është e nevojshme për të likuiduar parafinancimin e paguar nga përfituesi i IPA III sipas kontratave lokale.</w:t>
      </w:r>
    </w:p>
    <w:p w14:paraId="0902E5E4" w14:textId="77777777" w:rsidR="005F4CBC" w:rsidRPr="00913E39" w:rsidRDefault="005F4CBC" w:rsidP="005F4CBC">
      <w:pPr>
        <w:spacing w:after="0" w:line="240" w:lineRule="auto"/>
        <w:ind w:firstLine="284"/>
        <w:jc w:val="both"/>
        <w:rPr>
          <w:rFonts w:ascii="Garamond" w:hAnsi="Garamond"/>
          <w:sz w:val="24"/>
        </w:rPr>
      </w:pPr>
    </w:p>
    <w:p w14:paraId="4F3A13CD" w14:textId="36B38A2C" w:rsidR="00CB42B1" w:rsidRPr="00913E39" w:rsidRDefault="005F4CBC" w:rsidP="00CB42B1">
      <w:pPr>
        <w:keepNext/>
        <w:spacing w:after="0" w:line="240" w:lineRule="auto"/>
        <w:ind w:firstLine="284"/>
        <w:jc w:val="center"/>
        <w:outlineLvl w:val="1"/>
        <w:rPr>
          <w:rFonts w:ascii="Garamond" w:hAnsi="Garamond"/>
          <w:sz w:val="24"/>
        </w:rPr>
      </w:pPr>
      <w:r w:rsidRPr="00913E39">
        <w:rPr>
          <w:rFonts w:ascii="Garamond" w:hAnsi="Garamond"/>
          <w:sz w:val="24"/>
        </w:rPr>
        <w:t>Neni 6</w:t>
      </w:r>
    </w:p>
    <w:p w14:paraId="02166D41" w14:textId="77777777" w:rsidR="005F4CBC" w:rsidRPr="00913E39" w:rsidRDefault="005F4CBC" w:rsidP="00CB42B1">
      <w:pPr>
        <w:keepNext/>
        <w:spacing w:after="0" w:line="240" w:lineRule="auto"/>
        <w:ind w:firstLine="284"/>
        <w:jc w:val="center"/>
        <w:outlineLvl w:val="1"/>
        <w:rPr>
          <w:rFonts w:ascii="Garamond" w:hAnsi="Garamond"/>
          <w:b/>
          <w:sz w:val="24"/>
        </w:rPr>
      </w:pPr>
      <w:r w:rsidRPr="00913E39">
        <w:rPr>
          <w:rFonts w:ascii="Garamond" w:hAnsi="Garamond"/>
          <w:b/>
          <w:sz w:val="24"/>
        </w:rPr>
        <w:t>Dispozitat mbi pagesat e bëra nga Komisioni për përfituesin e IPA III</w:t>
      </w:r>
    </w:p>
    <w:p w14:paraId="3169F88F" w14:textId="77777777" w:rsidR="005F4CBC" w:rsidRPr="00913E39" w:rsidRDefault="005F4CBC" w:rsidP="005F4CBC">
      <w:pPr>
        <w:spacing w:after="0" w:line="240" w:lineRule="auto"/>
        <w:ind w:firstLine="284"/>
        <w:jc w:val="both"/>
        <w:rPr>
          <w:rFonts w:ascii="Garamond" w:hAnsi="Garamond"/>
          <w:b/>
          <w:sz w:val="24"/>
        </w:rPr>
      </w:pPr>
    </w:p>
    <w:p w14:paraId="4971444B"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CB42B1" w:rsidRPr="00913E39">
        <w:rPr>
          <w:rFonts w:ascii="Garamond" w:hAnsi="Garamond"/>
          <w:sz w:val="24"/>
        </w:rPr>
        <w:t>.</w:t>
      </w:r>
      <w:r w:rsidRPr="00913E39">
        <w:rPr>
          <w:rFonts w:ascii="Garamond" w:hAnsi="Garamond"/>
          <w:sz w:val="24"/>
        </w:rPr>
        <w:t xml:space="preserve"> Çdo kërkesë për parafinancim do të përmbajë një deklaratë të shpenzimeve për Programin, duke përfshirë shumat e kontraktuara, të disbursuara dhe shpenzimet e njohura.</w:t>
      </w:r>
    </w:p>
    <w:p w14:paraId="1955C086" w14:textId="30BF99C6"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CB42B1" w:rsidRPr="00913E39">
        <w:rPr>
          <w:rFonts w:ascii="Garamond" w:hAnsi="Garamond"/>
          <w:sz w:val="24"/>
        </w:rPr>
        <w:t>.</w:t>
      </w:r>
      <w:r w:rsidRPr="00913E39">
        <w:rPr>
          <w:rFonts w:ascii="Garamond" w:hAnsi="Garamond"/>
          <w:sz w:val="24"/>
        </w:rPr>
        <w:t xml:space="preserve"> Përfituesi i IPA III duhet të paraqesë parashikimet e tij fillestare të disbursimit, të përgatitura sipas nenit 5(2), së bashku me kërkesën e pagesës së parë të parafinancimit. Pagesa e parë e parafinancimit duhet të jetë për 100% të disbursimeve të parashikuara për vitin e parë të planit të parashikimit për disbursimet. Parafinancimi do të mbështetet nga mandatet bankare për të gjitha llogaritë bankare të Programit, nëse është e aplikueshme.</w:t>
      </w:r>
    </w:p>
    <w:p w14:paraId="09C78EE7"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3</w:t>
      </w:r>
      <w:r w:rsidR="00CB42B1" w:rsidRPr="00913E39">
        <w:rPr>
          <w:rFonts w:ascii="Garamond" w:hAnsi="Garamond"/>
          <w:sz w:val="24"/>
        </w:rPr>
        <w:t>.</w:t>
      </w:r>
      <w:r w:rsidRPr="00913E39">
        <w:rPr>
          <w:rFonts w:ascii="Garamond" w:hAnsi="Garamond"/>
          <w:sz w:val="24"/>
        </w:rPr>
        <w:t xml:space="preserve"> Përfituesi i IPA III duhet të paraqesë kërkesat e pagesave vijuese të parafinancimit kur bilanci i përgjithshëm bankar për Programin bie nën nivelin e parashikimeve të disbursimit për pesë muajt e ardhshëm të Programit. </w:t>
      </w:r>
    </w:p>
    <w:p w14:paraId="759D3670" w14:textId="75A60B48"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4</w:t>
      </w:r>
      <w:r w:rsidR="00CB42B1" w:rsidRPr="00913E39">
        <w:rPr>
          <w:rFonts w:ascii="Garamond" w:hAnsi="Garamond"/>
          <w:sz w:val="24"/>
        </w:rPr>
        <w:t>.</w:t>
      </w:r>
      <w:r w:rsidRPr="00913E39">
        <w:rPr>
          <w:rFonts w:ascii="Garamond" w:hAnsi="Garamond"/>
          <w:sz w:val="24"/>
        </w:rPr>
        <w:t xml:space="preserve"> Çdo kërkesë për parafinancim shtesë duhet të përmbajë:</w:t>
      </w:r>
    </w:p>
    <w:p w14:paraId="2B3E56A2" w14:textId="277541A3" w:rsidR="005F4CBC" w:rsidRPr="00913E39" w:rsidRDefault="005F4CBC" w:rsidP="005F4CBC">
      <w:pPr>
        <w:tabs>
          <w:tab w:val="left" w:pos="1280"/>
        </w:tabs>
        <w:spacing w:after="0" w:line="240" w:lineRule="auto"/>
        <w:ind w:firstLine="284"/>
        <w:contextualSpacing/>
        <w:jc w:val="both"/>
        <w:rPr>
          <w:rFonts w:ascii="Garamond" w:hAnsi="Garamond"/>
          <w:sz w:val="24"/>
        </w:rPr>
      </w:pPr>
      <w:r w:rsidRPr="00913E39">
        <w:rPr>
          <w:rFonts w:ascii="Garamond" w:hAnsi="Garamond"/>
          <w:sz w:val="24"/>
        </w:rPr>
        <w:t xml:space="preserve">a) </w:t>
      </w:r>
      <w:r w:rsidR="00774A36" w:rsidRPr="00913E39">
        <w:rPr>
          <w:rFonts w:ascii="Garamond" w:hAnsi="Garamond"/>
          <w:sz w:val="24"/>
        </w:rPr>
        <w:t xml:space="preserve">bilancet </w:t>
      </w:r>
      <w:r w:rsidRPr="00913E39">
        <w:rPr>
          <w:rFonts w:ascii="Garamond" w:hAnsi="Garamond"/>
          <w:sz w:val="24"/>
        </w:rPr>
        <w:t xml:space="preserve">bankare për Programin në datën përfundimtare së kërkesës; </w:t>
      </w:r>
    </w:p>
    <w:p w14:paraId="118E46B7" w14:textId="39ADE871" w:rsidR="005F4CBC" w:rsidRPr="00913E39" w:rsidRDefault="005F4CBC" w:rsidP="005F4CBC">
      <w:pPr>
        <w:tabs>
          <w:tab w:val="left" w:pos="1280"/>
        </w:tabs>
        <w:spacing w:after="0" w:line="240" w:lineRule="auto"/>
        <w:ind w:firstLine="284"/>
        <w:contextualSpacing/>
        <w:jc w:val="both"/>
        <w:rPr>
          <w:rFonts w:ascii="Garamond" w:hAnsi="Garamond"/>
          <w:sz w:val="24"/>
        </w:rPr>
      </w:pPr>
      <w:r w:rsidRPr="00913E39">
        <w:rPr>
          <w:rFonts w:ascii="Garamond" w:hAnsi="Garamond"/>
          <w:sz w:val="24"/>
        </w:rPr>
        <w:t xml:space="preserve">b) </w:t>
      </w:r>
      <w:r w:rsidR="00774A36" w:rsidRPr="00913E39">
        <w:rPr>
          <w:rFonts w:ascii="Garamond" w:hAnsi="Garamond"/>
          <w:sz w:val="24"/>
        </w:rPr>
        <w:t xml:space="preserve">mandatet </w:t>
      </w:r>
      <w:r w:rsidRPr="00913E39">
        <w:rPr>
          <w:rFonts w:ascii="Garamond" w:hAnsi="Garamond"/>
          <w:sz w:val="24"/>
        </w:rPr>
        <w:t>bankare të përditësuara për të gjitha llogaritë bankare të Programit, nëse ka;</w:t>
      </w:r>
    </w:p>
    <w:p w14:paraId="1A3BA75C" w14:textId="0AFD0117" w:rsidR="005F4CBC" w:rsidRPr="00913E39" w:rsidRDefault="005F4CBC" w:rsidP="005F4CBC">
      <w:pPr>
        <w:tabs>
          <w:tab w:val="left" w:pos="1280"/>
        </w:tabs>
        <w:spacing w:after="0" w:line="240" w:lineRule="auto"/>
        <w:ind w:firstLine="284"/>
        <w:contextualSpacing/>
        <w:jc w:val="both"/>
        <w:rPr>
          <w:rFonts w:ascii="Garamond" w:hAnsi="Garamond"/>
          <w:sz w:val="24"/>
        </w:rPr>
      </w:pPr>
      <w:r w:rsidRPr="00913E39">
        <w:rPr>
          <w:rFonts w:ascii="Garamond" w:hAnsi="Garamond"/>
          <w:sz w:val="24"/>
        </w:rPr>
        <w:t xml:space="preserve">c) </w:t>
      </w:r>
      <w:r w:rsidR="00774A36" w:rsidRPr="00913E39">
        <w:rPr>
          <w:rFonts w:ascii="Garamond" w:hAnsi="Garamond"/>
          <w:sz w:val="24"/>
        </w:rPr>
        <w:t xml:space="preserve">një </w:t>
      </w:r>
      <w:r w:rsidRPr="00913E39">
        <w:rPr>
          <w:rFonts w:ascii="Garamond" w:hAnsi="Garamond"/>
          <w:sz w:val="24"/>
        </w:rPr>
        <w:t>plan parashikimi të disbursimeve për Programin për katërmbëdhjetë muajt e ardhshëm që nga dita e fundit e kërkesës të përmendur në nenin 5(2)</w:t>
      </w:r>
      <w:r w:rsidR="00774A36" w:rsidRPr="00913E39">
        <w:rPr>
          <w:rFonts w:ascii="Garamond" w:hAnsi="Garamond"/>
          <w:sz w:val="24"/>
        </w:rPr>
        <w:t>;</w:t>
      </w:r>
    </w:p>
    <w:p w14:paraId="7D9035D5" w14:textId="02AB24BD" w:rsidR="005F4CBC" w:rsidRPr="00913E39" w:rsidRDefault="005F4CBC" w:rsidP="005F4CBC">
      <w:pPr>
        <w:tabs>
          <w:tab w:val="left" w:pos="1280"/>
        </w:tabs>
        <w:spacing w:after="0" w:line="240" w:lineRule="auto"/>
        <w:ind w:firstLine="284"/>
        <w:contextualSpacing/>
        <w:jc w:val="both"/>
        <w:rPr>
          <w:rFonts w:ascii="Garamond" w:hAnsi="Garamond"/>
          <w:sz w:val="24"/>
        </w:rPr>
      </w:pPr>
      <w:r w:rsidRPr="00913E39">
        <w:rPr>
          <w:rFonts w:ascii="Garamond" w:hAnsi="Garamond"/>
          <w:sz w:val="24"/>
        </w:rPr>
        <w:t xml:space="preserve">d) </w:t>
      </w:r>
      <w:r w:rsidR="00774A36" w:rsidRPr="00913E39">
        <w:rPr>
          <w:rFonts w:ascii="Garamond" w:hAnsi="Garamond"/>
          <w:sz w:val="24"/>
        </w:rPr>
        <w:t xml:space="preserve">raportimi </w:t>
      </w:r>
      <w:r w:rsidRPr="00913E39">
        <w:rPr>
          <w:rFonts w:ascii="Garamond" w:hAnsi="Garamond"/>
          <w:sz w:val="24"/>
        </w:rPr>
        <w:t>i përditësuar në IPA-APP.</w:t>
      </w:r>
    </w:p>
    <w:p w14:paraId="206E1C2D" w14:textId="7E77FC38"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5</w:t>
      </w:r>
      <w:r w:rsidR="00CB42B1" w:rsidRPr="00913E39">
        <w:rPr>
          <w:rFonts w:ascii="Garamond" w:hAnsi="Garamond"/>
          <w:sz w:val="24"/>
        </w:rPr>
        <w:t>.</w:t>
      </w:r>
      <w:r w:rsidRPr="00913E39">
        <w:rPr>
          <w:rFonts w:ascii="Garamond" w:hAnsi="Garamond"/>
          <w:sz w:val="24"/>
        </w:rPr>
        <w:t xml:space="preserve"> Përfituesi i IPA III mund të kërkojë për çdo financim të mëvonshëm shumën e disbursimeve totale të parashikuara për katërmbëdhjetë muaj që nga data e kërkesës, pa bilancet e përmendura në paragrafin 4(a) në datën e fundit të kërkesës për fonde, të shtuar me çdo shumë të financuar nga përfituesi i IPA III sipas paragrafit 6 dhe që nuk është rimbursuar ende. Periudha prej katërmbëdhjetë muajsh e parashikimit të disbursimit mund të shtyhet nëse specifikohet </w:t>
      </w:r>
      <w:r w:rsidR="00774A36" w:rsidRPr="00913E39">
        <w:rPr>
          <w:rFonts w:ascii="Garamond" w:hAnsi="Garamond"/>
          <w:sz w:val="24"/>
        </w:rPr>
        <w:t>në kushtet e veçanta.</w:t>
      </w:r>
    </w:p>
    <w:p w14:paraId="3B3B9E20" w14:textId="7777777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Komisioni rezervon të drejtën të zbresë çdo pagesë të mëvonshme parafinancimi nëse bilancet e përgjithshme bankare të mbajtura nga përfituesi IPA III në kuadrin e këtij Programi tejkalojnë parashikimin e disbursimit për katërmbëdhjetë muajt e ardhshëm.</w:t>
      </w:r>
    </w:p>
    <w:p w14:paraId="792DF8CE" w14:textId="65421C40"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6</w:t>
      </w:r>
      <w:r w:rsidR="00CB42B1" w:rsidRPr="00913E39">
        <w:rPr>
          <w:rFonts w:ascii="Garamond" w:hAnsi="Garamond"/>
          <w:sz w:val="24"/>
        </w:rPr>
        <w:t>.</w:t>
      </w:r>
      <w:r w:rsidRPr="00913E39">
        <w:rPr>
          <w:rFonts w:ascii="Garamond" w:hAnsi="Garamond"/>
          <w:sz w:val="24"/>
        </w:rPr>
        <w:t xml:space="preserve"> Kur pagesa reduktohet sipas paragrafit 5, përfituesi i IPA III duhet të financojë Programin me burimet e veta deri në shumën e reduktimit. </w:t>
      </w:r>
      <w:r w:rsidR="00034663" w:rsidRPr="00913E39">
        <w:rPr>
          <w:rFonts w:ascii="Garamond" w:hAnsi="Garamond"/>
          <w:sz w:val="24"/>
        </w:rPr>
        <w:t>P</w:t>
      </w:r>
      <w:r w:rsidRPr="00913E39">
        <w:rPr>
          <w:rFonts w:ascii="Garamond" w:hAnsi="Garamond"/>
          <w:sz w:val="24"/>
        </w:rPr>
        <w:t>ërfituesi i IPA III mund të kërkojë më pas rimbursimin e financimit si pjesë e kërkesës së radhës për fonde siç specifikohet në paragrafin 5.</w:t>
      </w:r>
    </w:p>
    <w:p w14:paraId="73AEE61A" w14:textId="1812725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7</w:t>
      </w:r>
      <w:r w:rsidR="00CB42B1" w:rsidRPr="00913E39">
        <w:rPr>
          <w:rFonts w:ascii="Garamond" w:hAnsi="Garamond"/>
          <w:sz w:val="24"/>
        </w:rPr>
        <w:t>.</w:t>
      </w:r>
      <w:r w:rsidRPr="00913E39">
        <w:rPr>
          <w:rFonts w:ascii="Garamond" w:hAnsi="Garamond"/>
          <w:sz w:val="24"/>
        </w:rPr>
        <w:t xml:space="preserve"> Sipas nenit 33(1) të FFPA</w:t>
      </w:r>
      <w:r w:rsidR="00BD230E" w:rsidRPr="00913E39">
        <w:rPr>
          <w:rFonts w:ascii="Garamond" w:hAnsi="Garamond"/>
          <w:sz w:val="24"/>
        </w:rPr>
        <w:t>-së</w:t>
      </w:r>
      <w:r w:rsidRPr="00913E39">
        <w:rPr>
          <w:rFonts w:ascii="Garamond" w:hAnsi="Garamond"/>
          <w:sz w:val="24"/>
        </w:rPr>
        <w:t>, Komisioni rezervon të drejtën të përpunojë pagesa të pjesshme brenda kufijve të fondeve në dispozicion. Pasi fondet janë vënë sërish në dispozicion, Komisioni do të përpunojë menjëherë pagesën e shumës së mbetur.</w:t>
      </w:r>
    </w:p>
    <w:p w14:paraId="17BE699C" w14:textId="6CD14D26"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lastRenderedPageBreak/>
        <w:t>8</w:t>
      </w:r>
      <w:r w:rsidR="00CB42B1" w:rsidRPr="00913E39">
        <w:rPr>
          <w:rFonts w:ascii="Garamond" w:hAnsi="Garamond"/>
          <w:sz w:val="24"/>
        </w:rPr>
        <w:t>.</w:t>
      </w:r>
      <w:r w:rsidRPr="00913E39">
        <w:rPr>
          <w:rFonts w:ascii="Garamond" w:hAnsi="Garamond"/>
          <w:sz w:val="24"/>
        </w:rPr>
        <w:t xml:space="preserve"> Komisioni ka të drejtë të rikuperojë bilancet e tepërta bankare që kanë mbetur pa u përdorur për më shumë se dymbëdhjetë muaj. Para ushtrimit të kësaj të drejte, Komisioni fton përfituesin IPA III të japë arsyet e vonesës në disbursimin e fondeve dhe të demonstrojë nevojën e vazhdueshme për to gjatë dy muajve të ardhshëm.</w:t>
      </w:r>
    </w:p>
    <w:p w14:paraId="7EE64A61" w14:textId="16B94295"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6</w:t>
      </w:r>
      <w:r w:rsidR="00CB42B1" w:rsidRPr="00913E39">
        <w:rPr>
          <w:rFonts w:ascii="Garamond" w:hAnsi="Garamond"/>
          <w:sz w:val="24"/>
        </w:rPr>
        <w:t>.</w:t>
      </w:r>
      <w:r w:rsidRPr="00913E39">
        <w:rPr>
          <w:rFonts w:ascii="Garamond" w:hAnsi="Garamond"/>
          <w:sz w:val="24"/>
        </w:rPr>
        <w:t xml:space="preserve"> Interesat e gjeneruara nga llogaritë bankare të përdorura për këtë Program nuk do t</w:t>
      </w:r>
      <w:r w:rsidR="005222A5" w:rsidRPr="00913E39">
        <w:rPr>
          <w:rFonts w:ascii="Garamond" w:hAnsi="Garamond"/>
          <w:sz w:val="24"/>
        </w:rPr>
        <w:t>’</w:t>
      </w:r>
      <w:r w:rsidRPr="00913E39">
        <w:rPr>
          <w:rFonts w:ascii="Garamond" w:hAnsi="Garamond"/>
          <w:sz w:val="24"/>
        </w:rPr>
        <w:t>i ngarkohen Komisionit.</w:t>
      </w:r>
    </w:p>
    <w:p w14:paraId="63C05ABB" w14:textId="119B90E6" w:rsidR="005F4CBC" w:rsidRPr="00913E39" w:rsidRDefault="005F4CBC" w:rsidP="005F4CBC">
      <w:pPr>
        <w:tabs>
          <w:tab w:val="left" w:pos="540"/>
        </w:tabs>
        <w:spacing w:after="0" w:line="240" w:lineRule="auto"/>
        <w:ind w:firstLine="284"/>
        <w:contextualSpacing/>
        <w:jc w:val="both"/>
        <w:rPr>
          <w:rFonts w:ascii="Garamond" w:hAnsi="Garamond"/>
          <w:sz w:val="24"/>
        </w:rPr>
      </w:pPr>
      <w:r w:rsidRPr="00913E39">
        <w:rPr>
          <w:rFonts w:ascii="Garamond" w:hAnsi="Garamond"/>
          <w:sz w:val="24"/>
        </w:rPr>
        <w:t>7</w:t>
      </w:r>
      <w:r w:rsidR="00CB42B1" w:rsidRPr="00913E39">
        <w:rPr>
          <w:rFonts w:ascii="Garamond" w:hAnsi="Garamond"/>
          <w:sz w:val="24"/>
        </w:rPr>
        <w:t>.</w:t>
      </w:r>
      <w:r w:rsidRPr="00913E39">
        <w:rPr>
          <w:rFonts w:ascii="Garamond" w:hAnsi="Garamond"/>
          <w:sz w:val="24"/>
        </w:rPr>
        <w:t xml:space="preserve"> Sipas nenit 33(4) të FFPA</w:t>
      </w:r>
      <w:r w:rsidR="00BD230E" w:rsidRPr="00913E39">
        <w:rPr>
          <w:rFonts w:ascii="Garamond" w:hAnsi="Garamond"/>
          <w:sz w:val="24"/>
        </w:rPr>
        <w:t>-së</w:t>
      </w:r>
      <w:r w:rsidRPr="00913E39">
        <w:rPr>
          <w:rFonts w:ascii="Garamond" w:hAnsi="Garamond"/>
          <w:sz w:val="24"/>
        </w:rPr>
        <w:t>, nëse afati kohor për kërkesën e pagesës ndërpritet nga Komisioni për më shumë se dy muaj, përfituesi IPA III mund të kërkojë një vendim nga Komisioni nëse duhet të vazhdojë ndërprerja e afatit kohor.</w:t>
      </w:r>
    </w:p>
    <w:p w14:paraId="65659C8F" w14:textId="5B09616D" w:rsidR="005F4CBC" w:rsidRPr="00913E39" w:rsidRDefault="005F4CBC" w:rsidP="005F4CBC">
      <w:pPr>
        <w:tabs>
          <w:tab w:val="left" w:pos="540"/>
        </w:tabs>
        <w:spacing w:after="0" w:line="240" w:lineRule="auto"/>
        <w:ind w:firstLine="284"/>
        <w:contextualSpacing/>
        <w:jc w:val="both"/>
        <w:rPr>
          <w:rFonts w:ascii="Garamond" w:hAnsi="Garamond"/>
          <w:sz w:val="24"/>
        </w:rPr>
      </w:pPr>
      <w:r w:rsidRPr="00913E39">
        <w:rPr>
          <w:rFonts w:ascii="Garamond" w:hAnsi="Garamond"/>
          <w:sz w:val="24"/>
        </w:rPr>
        <w:t>8</w:t>
      </w:r>
      <w:r w:rsidR="00CB42B1" w:rsidRPr="00913E39">
        <w:rPr>
          <w:rFonts w:ascii="Garamond" w:hAnsi="Garamond"/>
          <w:sz w:val="24"/>
        </w:rPr>
        <w:t>.</w:t>
      </w:r>
      <w:r w:rsidRPr="00913E39">
        <w:rPr>
          <w:rFonts w:ascii="Garamond" w:hAnsi="Garamond"/>
          <w:sz w:val="24"/>
        </w:rPr>
        <w:t xml:space="preserve"> Deklarata përfundimtare e certifikuar e përmendur në </w:t>
      </w:r>
      <w:r w:rsidR="00774A36" w:rsidRPr="00913E39">
        <w:rPr>
          <w:rFonts w:ascii="Garamond" w:hAnsi="Garamond"/>
          <w:sz w:val="24"/>
        </w:rPr>
        <w:t>n</w:t>
      </w:r>
      <w:r w:rsidRPr="00913E39">
        <w:rPr>
          <w:rFonts w:ascii="Garamond" w:hAnsi="Garamond"/>
          <w:sz w:val="24"/>
        </w:rPr>
        <w:t>enin 36(1) (a) të FFPA</w:t>
      </w:r>
      <w:r w:rsidR="00BD230E" w:rsidRPr="00913E39">
        <w:rPr>
          <w:rFonts w:ascii="Garamond" w:hAnsi="Garamond"/>
          <w:sz w:val="24"/>
        </w:rPr>
        <w:t>-së</w:t>
      </w:r>
      <w:r w:rsidRPr="00913E39">
        <w:rPr>
          <w:rFonts w:ascii="Garamond" w:hAnsi="Garamond"/>
          <w:sz w:val="24"/>
        </w:rPr>
        <w:t xml:space="preserve"> i paraqitet NAO</w:t>
      </w:r>
      <w:r w:rsidR="00BD230E" w:rsidRPr="00913E39">
        <w:rPr>
          <w:rFonts w:ascii="Garamond" w:hAnsi="Garamond"/>
          <w:sz w:val="24"/>
        </w:rPr>
        <w:t>-s</w:t>
      </w:r>
      <w:r w:rsidRPr="00913E39">
        <w:rPr>
          <w:rFonts w:ascii="Garamond" w:hAnsi="Garamond"/>
          <w:sz w:val="24"/>
        </w:rPr>
        <w:t xml:space="preserve"> jo më vonë se gjashtëmbëdhjetë muaj pas përfundimit të periudhës së pranueshmërisë.</w:t>
      </w:r>
    </w:p>
    <w:p w14:paraId="063417FC" w14:textId="77777777" w:rsidR="005F4CBC" w:rsidRPr="00913E39" w:rsidRDefault="005F4CBC" w:rsidP="005F4CBC">
      <w:pPr>
        <w:spacing w:after="0" w:line="240" w:lineRule="auto"/>
        <w:ind w:firstLine="284"/>
        <w:jc w:val="both"/>
        <w:rPr>
          <w:rFonts w:ascii="Garamond" w:hAnsi="Garamond"/>
          <w:sz w:val="24"/>
        </w:rPr>
      </w:pPr>
    </w:p>
    <w:p w14:paraId="1788BF98" w14:textId="77777777" w:rsidR="00CB42B1" w:rsidRPr="00913E39" w:rsidRDefault="005F4CBC" w:rsidP="00CB42B1">
      <w:pPr>
        <w:keepNext/>
        <w:spacing w:after="0" w:line="240" w:lineRule="auto"/>
        <w:ind w:firstLine="284"/>
        <w:jc w:val="center"/>
        <w:outlineLvl w:val="1"/>
        <w:rPr>
          <w:rFonts w:ascii="Garamond" w:hAnsi="Garamond"/>
          <w:sz w:val="24"/>
        </w:rPr>
      </w:pPr>
      <w:r w:rsidRPr="00913E39">
        <w:rPr>
          <w:rFonts w:ascii="Garamond" w:hAnsi="Garamond"/>
          <w:sz w:val="24"/>
        </w:rPr>
        <w:t xml:space="preserve">Neni 7 </w:t>
      </w:r>
    </w:p>
    <w:p w14:paraId="742AE1AA" w14:textId="77777777" w:rsidR="005F4CBC" w:rsidRPr="00913E39" w:rsidRDefault="005F4CBC" w:rsidP="00CB42B1">
      <w:pPr>
        <w:keepNext/>
        <w:spacing w:after="0" w:line="240" w:lineRule="auto"/>
        <w:ind w:firstLine="284"/>
        <w:jc w:val="center"/>
        <w:outlineLvl w:val="1"/>
        <w:rPr>
          <w:rFonts w:ascii="Garamond" w:hAnsi="Garamond"/>
          <w:b/>
          <w:sz w:val="24"/>
        </w:rPr>
      </w:pPr>
      <w:r w:rsidRPr="00913E39">
        <w:rPr>
          <w:rFonts w:ascii="Garamond" w:hAnsi="Garamond"/>
          <w:b/>
          <w:sz w:val="24"/>
        </w:rPr>
        <w:t xml:space="preserve"> Ndërprerja e pagesave</w:t>
      </w:r>
    </w:p>
    <w:p w14:paraId="2C20207C" w14:textId="77777777" w:rsidR="005F4CBC" w:rsidRPr="00913E39" w:rsidRDefault="005F4CBC" w:rsidP="005F4CBC">
      <w:pPr>
        <w:spacing w:after="0" w:line="240" w:lineRule="auto"/>
        <w:ind w:firstLine="284"/>
        <w:jc w:val="both"/>
        <w:rPr>
          <w:rFonts w:ascii="Garamond" w:hAnsi="Garamond"/>
          <w:b/>
          <w:sz w:val="24"/>
        </w:rPr>
      </w:pPr>
    </w:p>
    <w:p w14:paraId="678AF3E9" w14:textId="734AC01F"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CB42B1" w:rsidRPr="00913E39">
        <w:rPr>
          <w:rFonts w:ascii="Garamond" w:hAnsi="Garamond"/>
          <w:sz w:val="24"/>
        </w:rPr>
        <w:t>.</w:t>
      </w:r>
      <w:r w:rsidRPr="00913E39">
        <w:rPr>
          <w:rFonts w:ascii="Garamond" w:hAnsi="Garamond"/>
          <w:sz w:val="24"/>
        </w:rPr>
        <w:t xml:space="preserve"> Pa cenuar pezullimin ose përfundimin e kësaj Marrëveshjeje Financimi në përputhje respektivisht me nenet 18 dhe 19, si dhe pa cenuar nenin 38 të FFPA</w:t>
      </w:r>
      <w:r w:rsidR="00E06606" w:rsidRPr="00913E39">
        <w:rPr>
          <w:rFonts w:ascii="Garamond" w:hAnsi="Garamond"/>
          <w:sz w:val="24"/>
        </w:rPr>
        <w:t>-së</w:t>
      </w:r>
      <w:r w:rsidRPr="00913E39">
        <w:rPr>
          <w:rFonts w:ascii="Garamond" w:hAnsi="Garamond"/>
          <w:sz w:val="24"/>
        </w:rPr>
        <w:t>, Komisioni mund të ndërpresë pagesat pjesërisht ose plotësisht, nëse:</w:t>
      </w:r>
    </w:p>
    <w:p w14:paraId="58BC1AB1"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a) Komisioni ka gjetur ose ka shqetësime serioze se përfituesi i IPA III ka kryer gabime të konsiderueshme, parregullsi apo mashtrime që vënë në dyshim ligjshmërinë ose rregullsinë e transaksioneve të veçanta të rëndësishme në zbatimin e Programit, ose nuk ka përmbushur detyrimet e tij në kuadrin e kësaj Marrëveshjeje Financimi, duke përfshirë detyrimet në lidhje me Komunikimin Strategjik dhe Diplomacinë Publike;</w:t>
      </w:r>
    </w:p>
    <w:p w14:paraId="4358EB77"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b</w:t>
      </w:r>
      <w:r w:rsidR="00CB42B1" w:rsidRPr="00913E39">
        <w:rPr>
          <w:rFonts w:ascii="Garamond" w:hAnsi="Garamond"/>
          <w:sz w:val="24"/>
        </w:rPr>
        <w:t>.</w:t>
      </w:r>
      <w:r w:rsidRPr="00913E39">
        <w:rPr>
          <w:rFonts w:ascii="Garamond" w:hAnsi="Garamond"/>
          <w:sz w:val="24"/>
        </w:rPr>
        <w:t xml:space="preserve"> Komisioni ka konstatuar ose ka shqetësime serioze nëse përfituesi i IPA III ka kryer gabime sistematike ose të përsëritura, parregullsi, mashtrime ose shkelje të detyrimeve në kuadrin e kësaj Marrëveshjeje Financimi apo të tjerave si kjo, me kusht që këto gabime, parregullsi, mashtrime ose shkelje të detyrimeve, të kenë ndikim material në zbatimin e Marrëveshjes së Financimit apo të vënë në dyshim </w:t>
      </w:r>
    </w:p>
    <w:p w14:paraId="454E150A" w14:textId="7777777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besueshmërinë e sistemit të brendshëm të kontrollit të përfituesit IPA III ose ligjshmërinë dhe rregullsinë e shpenzimeve kryesore.</w:t>
      </w:r>
    </w:p>
    <w:p w14:paraId="5F89EE2F" w14:textId="77777777" w:rsidR="005F4CBC" w:rsidRPr="00913E39" w:rsidRDefault="005F4CBC" w:rsidP="005F4CBC">
      <w:pPr>
        <w:spacing w:after="0" w:line="240" w:lineRule="auto"/>
        <w:ind w:firstLine="284"/>
        <w:jc w:val="both"/>
        <w:rPr>
          <w:rFonts w:ascii="Garamond" w:hAnsi="Garamond"/>
          <w:sz w:val="24"/>
        </w:rPr>
      </w:pPr>
    </w:p>
    <w:p w14:paraId="49835AD7" w14:textId="77777777" w:rsidR="00CB42B1" w:rsidRPr="00913E39" w:rsidRDefault="005F4CBC" w:rsidP="00CB42B1">
      <w:pPr>
        <w:keepNext/>
        <w:spacing w:after="0" w:line="240" w:lineRule="auto"/>
        <w:ind w:firstLine="284"/>
        <w:jc w:val="center"/>
        <w:outlineLvl w:val="1"/>
        <w:rPr>
          <w:rFonts w:ascii="Garamond" w:hAnsi="Garamond"/>
          <w:sz w:val="24"/>
        </w:rPr>
      </w:pPr>
      <w:r w:rsidRPr="00913E39">
        <w:rPr>
          <w:rFonts w:ascii="Garamond" w:hAnsi="Garamond"/>
          <w:sz w:val="24"/>
        </w:rPr>
        <w:t xml:space="preserve">Neni 8 </w:t>
      </w:r>
    </w:p>
    <w:p w14:paraId="4F40B4CF" w14:textId="77777777" w:rsidR="005F4CBC" w:rsidRPr="00913E39" w:rsidRDefault="005F4CBC" w:rsidP="00CB42B1">
      <w:pPr>
        <w:keepNext/>
        <w:spacing w:after="0" w:line="240" w:lineRule="auto"/>
        <w:ind w:firstLine="284"/>
        <w:jc w:val="center"/>
        <w:outlineLvl w:val="1"/>
        <w:rPr>
          <w:rFonts w:ascii="Garamond" w:hAnsi="Garamond"/>
          <w:b/>
          <w:sz w:val="24"/>
        </w:rPr>
      </w:pPr>
      <w:r w:rsidRPr="00913E39">
        <w:rPr>
          <w:rFonts w:ascii="Garamond" w:hAnsi="Garamond"/>
          <w:b/>
          <w:sz w:val="24"/>
        </w:rPr>
        <w:t>Rikuperimi i fondeve</w:t>
      </w:r>
    </w:p>
    <w:p w14:paraId="006546B7" w14:textId="77777777" w:rsidR="005F4CBC" w:rsidRPr="00913E39" w:rsidRDefault="005F4CBC" w:rsidP="005F4CBC">
      <w:pPr>
        <w:spacing w:after="0" w:line="240" w:lineRule="auto"/>
        <w:ind w:firstLine="284"/>
        <w:jc w:val="both"/>
        <w:rPr>
          <w:rFonts w:ascii="Garamond" w:hAnsi="Garamond"/>
          <w:b/>
          <w:sz w:val="24"/>
        </w:rPr>
      </w:pPr>
    </w:p>
    <w:p w14:paraId="485681F8" w14:textId="1C965632"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CB42B1" w:rsidRPr="00913E39">
        <w:rPr>
          <w:rFonts w:ascii="Garamond" w:hAnsi="Garamond"/>
          <w:sz w:val="24"/>
        </w:rPr>
        <w:t>.</w:t>
      </w:r>
      <w:r w:rsidRPr="00913E39">
        <w:rPr>
          <w:rFonts w:ascii="Garamond" w:hAnsi="Garamond"/>
          <w:sz w:val="24"/>
        </w:rPr>
        <w:t xml:space="preserve"> Përveç rasteve të përmendura në </w:t>
      </w:r>
      <w:r w:rsidR="00774A36" w:rsidRPr="00913E39">
        <w:rPr>
          <w:rFonts w:ascii="Garamond" w:hAnsi="Garamond"/>
          <w:sz w:val="24"/>
        </w:rPr>
        <w:t>n</w:t>
      </w:r>
      <w:r w:rsidRPr="00913E39">
        <w:rPr>
          <w:rFonts w:ascii="Garamond" w:hAnsi="Garamond"/>
          <w:sz w:val="24"/>
        </w:rPr>
        <w:t xml:space="preserve">enin 40 të FFPA-së, Komisioni mund të rikuperojë fondet nga përfituesi i IPA III siç parashikohet në </w:t>
      </w:r>
      <w:r w:rsidR="00774A36" w:rsidRPr="00913E39">
        <w:rPr>
          <w:rFonts w:ascii="Garamond" w:hAnsi="Garamond"/>
          <w:sz w:val="24"/>
        </w:rPr>
        <w:t>rregulloren e financimit</w:t>
      </w:r>
      <w:r w:rsidRPr="00913E39">
        <w:rPr>
          <w:rFonts w:ascii="Garamond" w:hAnsi="Garamond"/>
          <w:sz w:val="24"/>
        </w:rPr>
        <w:t xml:space="preserve">, veçanërisht në rastet e mëposhtme: </w:t>
      </w:r>
    </w:p>
    <w:p w14:paraId="39C4D65F" w14:textId="7C2BE193"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 xml:space="preserve">a) mosrealizimi i arritjes së objektivave dhe rezultateve të Programit të përcaktuara në </w:t>
      </w:r>
      <w:r w:rsidR="00774A36" w:rsidRPr="00913E39">
        <w:rPr>
          <w:rFonts w:ascii="Garamond" w:hAnsi="Garamond"/>
          <w:sz w:val="24"/>
        </w:rPr>
        <w:t xml:space="preserve">aneksin </w:t>
      </w:r>
      <w:r w:rsidRPr="00913E39">
        <w:rPr>
          <w:rFonts w:ascii="Garamond" w:hAnsi="Garamond"/>
          <w:sz w:val="24"/>
        </w:rPr>
        <w:t xml:space="preserve">I;  </w:t>
      </w:r>
    </w:p>
    <w:p w14:paraId="4F60C31E" w14:textId="39CFAF26"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 xml:space="preserve">b) mossigurimi i përdorimit të aseteve dhe produkteve për qëllimet e synuara të përcaktuara në </w:t>
      </w:r>
      <w:r w:rsidR="00774A36" w:rsidRPr="00913E39">
        <w:rPr>
          <w:rFonts w:ascii="Garamond" w:hAnsi="Garamond"/>
          <w:sz w:val="24"/>
        </w:rPr>
        <w:t xml:space="preserve">aneksin </w:t>
      </w:r>
      <w:r w:rsidRPr="00913E39">
        <w:rPr>
          <w:rFonts w:ascii="Garamond" w:hAnsi="Garamond"/>
          <w:sz w:val="24"/>
        </w:rPr>
        <w:t>I;</w:t>
      </w:r>
    </w:p>
    <w:p w14:paraId="4E2A301D"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c) shpenzime të papranueshme;</w:t>
      </w:r>
    </w:p>
    <w:p w14:paraId="438496AF" w14:textId="0E1FCC06"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 xml:space="preserve">d) mos respektimi i normës së bashkëfinancimit, siç parashikohet në </w:t>
      </w:r>
      <w:r w:rsidR="00774A36" w:rsidRPr="00913E39">
        <w:rPr>
          <w:rFonts w:ascii="Garamond" w:hAnsi="Garamond"/>
          <w:sz w:val="24"/>
        </w:rPr>
        <w:t xml:space="preserve">aneksin </w:t>
      </w:r>
      <w:r w:rsidRPr="00913E39">
        <w:rPr>
          <w:rFonts w:ascii="Garamond" w:hAnsi="Garamond"/>
          <w:sz w:val="24"/>
        </w:rPr>
        <w:t>I;</w:t>
      </w:r>
    </w:p>
    <w:p w14:paraId="5095A2B9"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e) shpenzime të krijuara si rezultat i gabimeve, parregullsive, mashtrimeve ose shkeljes së detyrimeve në zbatimin e Programit, veçanërisht në procedurën e prokurimit dhe dhënies së granteve.</w:t>
      </w:r>
    </w:p>
    <w:p w14:paraId="1790634F"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f) dobësi ose mangësi në menaxhim dhe sisteme kontrolli të përfituesit të IPA III që çojnë në aplikimin e korrigjimeve financiare,</w:t>
      </w:r>
    </w:p>
    <w:p w14:paraId="193E87D9" w14:textId="02D02528"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CB42B1" w:rsidRPr="00913E39">
        <w:rPr>
          <w:rFonts w:ascii="Garamond" w:hAnsi="Garamond"/>
          <w:sz w:val="24"/>
        </w:rPr>
        <w:t>.</w:t>
      </w:r>
      <w:r w:rsidRPr="00913E39">
        <w:rPr>
          <w:rFonts w:ascii="Garamond" w:hAnsi="Garamond"/>
          <w:sz w:val="24"/>
        </w:rPr>
        <w:t xml:space="preserve"> Në përputhje me të drejtën kombëtare, NAO</w:t>
      </w:r>
      <w:r w:rsidR="0010675C" w:rsidRPr="00913E39">
        <w:rPr>
          <w:rFonts w:ascii="Garamond" w:hAnsi="Garamond"/>
          <w:sz w:val="24"/>
        </w:rPr>
        <w:t>-ja</w:t>
      </w:r>
      <w:r w:rsidRPr="00913E39">
        <w:rPr>
          <w:rFonts w:ascii="Garamond" w:hAnsi="Garamond"/>
          <w:sz w:val="24"/>
        </w:rPr>
        <w:t xml:space="preserve"> rikuperon kontributin e Bashkimit që i paguhet përfituesit IPA III nga marrësit të cilët ishin në çdonjërën nga situatat e përcaktuara në paragrafin 1</w:t>
      </w:r>
      <w:r w:rsidR="0010675C" w:rsidRPr="00913E39">
        <w:rPr>
          <w:rFonts w:ascii="Garamond" w:hAnsi="Garamond"/>
          <w:sz w:val="24"/>
        </w:rPr>
        <w:t>,</w:t>
      </w:r>
      <w:r w:rsidRPr="00913E39">
        <w:rPr>
          <w:rFonts w:ascii="Garamond" w:hAnsi="Garamond"/>
          <w:sz w:val="24"/>
        </w:rPr>
        <w:t xml:space="preserve"> pikat </w:t>
      </w:r>
      <w:r w:rsidR="00774A36" w:rsidRPr="00913E39">
        <w:rPr>
          <w:rFonts w:ascii="Garamond" w:hAnsi="Garamond"/>
          <w:sz w:val="24"/>
        </w:rPr>
        <w:t>“</w:t>
      </w:r>
      <w:r w:rsidRPr="00913E39">
        <w:rPr>
          <w:rFonts w:ascii="Garamond" w:hAnsi="Garamond"/>
          <w:sz w:val="24"/>
        </w:rPr>
        <w:t>b</w:t>
      </w:r>
      <w:r w:rsidR="00774A36" w:rsidRPr="00913E39">
        <w:rPr>
          <w:rFonts w:ascii="Garamond" w:hAnsi="Garamond"/>
          <w:sz w:val="24"/>
        </w:rPr>
        <w:t>”</w:t>
      </w:r>
      <w:r w:rsidRPr="00913E39">
        <w:rPr>
          <w:rFonts w:ascii="Garamond" w:hAnsi="Garamond"/>
          <w:sz w:val="24"/>
        </w:rPr>
        <w:t xml:space="preserve"> ose </w:t>
      </w:r>
      <w:r w:rsidR="00774A36" w:rsidRPr="00913E39">
        <w:rPr>
          <w:rFonts w:ascii="Garamond" w:hAnsi="Garamond"/>
          <w:sz w:val="24"/>
        </w:rPr>
        <w:t>“</w:t>
      </w:r>
      <w:r w:rsidRPr="00913E39">
        <w:rPr>
          <w:rFonts w:ascii="Garamond" w:hAnsi="Garamond"/>
          <w:sz w:val="24"/>
        </w:rPr>
        <w:t>d</w:t>
      </w:r>
      <w:r w:rsidR="00774A36" w:rsidRPr="00913E39">
        <w:rPr>
          <w:rFonts w:ascii="Garamond" w:hAnsi="Garamond"/>
          <w:sz w:val="24"/>
        </w:rPr>
        <w:t>”</w:t>
      </w:r>
      <w:r w:rsidR="0010675C" w:rsidRPr="00913E39">
        <w:rPr>
          <w:rFonts w:ascii="Garamond" w:hAnsi="Garamond"/>
          <w:sz w:val="24"/>
        </w:rPr>
        <w:t>,</w:t>
      </w:r>
      <w:r w:rsidRPr="00913E39">
        <w:rPr>
          <w:rFonts w:ascii="Garamond" w:hAnsi="Garamond"/>
          <w:sz w:val="24"/>
        </w:rPr>
        <w:t xml:space="preserve"> të këtij </w:t>
      </w:r>
      <w:r w:rsidR="00774A36" w:rsidRPr="00913E39">
        <w:rPr>
          <w:rFonts w:ascii="Garamond" w:hAnsi="Garamond"/>
          <w:sz w:val="24"/>
        </w:rPr>
        <w:t>n</w:t>
      </w:r>
      <w:r w:rsidRPr="00913E39">
        <w:rPr>
          <w:rFonts w:ascii="Garamond" w:hAnsi="Garamond"/>
          <w:sz w:val="24"/>
        </w:rPr>
        <w:t>eni</w:t>
      </w:r>
      <w:r w:rsidR="0010675C" w:rsidRPr="00913E39">
        <w:rPr>
          <w:rFonts w:ascii="Garamond" w:hAnsi="Garamond"/>
          <w:sz w:val="24"/>
        </w:rPr>
        <w:t>,</w:t>
      </w:r>
      <w:r w:rsidRPr="00913E39">
        <w:rPr>
          <w:rFonts w:ascii="Garamond" w:hAnsi="Garamond"/>
          <w:sz w:val="24"/>
        </w:rPr>
        <w:t xml:space="preserve"> ose të përmendur në nenin 40 të FFPA</w:t>
      </w:r>
      <w:r w:rsidR="00660AF3" w:rsidRPr="00913E39">
        <w:rPr>
          <w:rFonts w:ascii="Garamond" w:hAnsi="Garamond"/>
          <w:sz w:val="24"/>
        </w:rPr>
        <w:t>-së</w:t>
      </w:r>
      <w:r w:rsidRPr="00913E39">
        <w:rPr>
          <w:rFonts w:ascii="Garamond" w:hAnsi="Garamond"/>
          <w:sz w:val="24"/>
        </w:rPr>
        <w:t>. Fakti që NAO</w:t>
      </w:r>
      <w:r w:rsidR="00660AF3" w:rsidRPr="00913E39">
        <w:rPr>
          <w:rFonts w:ascii="Garamond" w:hAnsi="Garamond"/>
          <w:sz w:val="24"/>
        </w:rPr>
        <w:t>-ja</w:t>
      </w:r>
      <w:r w:rsidRPr="00913E39">
        <w:rPr>
          <w:rFonts w:ascii="Garamond" w:hAnsi="Garamond"/>
          <w:sz w:val="24"/>
        </w:rPr>
        <w:t xml:space="preserve"> nuk arrin të rikuperojë një pjesë apo të gjitha fondet, nuk e pengon Komisionin të rikuperojë fondet nga përfituesi i IPA III.</w:t>
      </w:r>
    </w:p>
    <w:p w14:paraId="0EEE4183" w14:textId="314A5C07"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3</w:t>
      </w:r>
      <w:r w:rsidR="00CB42B1" w:rsidRPr="00913E39">
        <w:rPr>
          <w:rFonts w:ascii="Garamond" w:hAnsi="Garamond"/>
          <w:sz w:val="24"/>
        </w:rPr>
        <w:t>.</w:t>
      </w:r>
      <w:r w:rsidRPr="00913E39">
        <w:rPr>
          <w:rFonts w:ascii="Garamond" w:hAnsi="Garamond"/>
          <w:sz w:val="24"/>
        </w:rPr>
        <w:t xml:space="preserve"> Shumat e paguara në mënyrë të parregullt ose të rikuperuara nga përfituesi i IPA III, shumat nga garancitë financiare, të performancës dhe parafinancimit të paraqitura mbi bazën e procedurave të prokurimit dhe dhënies së granteve, shumat nga gjobat financiare të vendosura nga përfituesi IPA III </w:t>
      </w:r>
      <w:r w:rsidRPr="00913E39">
        <w:rPr>
          <w:rFonts w:ascii="Garamond" w:hAnsi="Garamond"/>
          <w:sz w:val="24"/>
        </w:rPr>
        <w:lastRenderedPageBreak/>
        <w:t>ndaj kandidatëve, tenderuesit, aplikantëve, kontraktuesve ose përfituesve të granteve për përfituesin IPA III ose do të përdoren sërish për Programin ose do t</w:t>
      </w:r>
      <w:r w:rsidR="005222A5" w:rsidRPr="00913E39">
        <w:rPr>
          <w:rFonts w:ascii="Garamond" w:hAnsi="Garamond"/>
          <w:sz w:val="24"/>
        </w:rPr>
        <w:t>’</w:t>
      </w:r>
      <w:r w:rsidRPr="00913E39">
        <w:rPr>
          <w:rFonts w:ascii="Garamond" w:hAnsi="Garamond"/>
          <w:sz w:val="24"/>
        </w:rPr>
        <w:t>i kthehen Komisionit.</w:t>
      </w:r>
    </w:p>
    <w:p w14:paraId="65540279" w14:textId="77777777" w:rsidR="00CB42B1" w:rsidRPr="00913E39" w:rsidRDefault="00CB42B1" w:rsidP="005F4CBC">
      <w:pPr>
        <w:keepNext/>
        <w:spacing w:after="0" w:line="240" w:lineRule="auto"/>
        <w:ind w:firstLine="284"/>
        <w:outlineLvl w:val="1"/>
        <w:rPr>
          <w:rFonts w:ascii="Garamond" w:hAnsi="Garamond"/>
          <w:b/>
          <w:i/>
          <w:sz w:val="24"/>
        </w:rPr>
      </w:pPr>
    </w:p>
    <w:p w14:paraId="62EFCB86" w14:textId="77777777" w:rsidR="00CB42B1" w:rsidRPr="00913E39" w:rsidRDefault="005F4CBC" w:rsidP="00CB42B1">
      <w:pPr>
        <w:keepNext/>
        <w:spacing w:after="0" w:line="240" w:lineRule="auto"/>
        <w:ind w:firstLine="284"/>
        <w:jc w:val="center"/>
        <w:outlineLvl w:val="1"/>
        <w:rPr>
          <w:rFonts w:ascii="Garamond" w:hAnsi="Garamond"/>
          <w:sz w:val="24"/>
        </w:rPr>
      </w:pPr>
      <w:r w:rsidRPr="00913E39">
        <w:rPr>
          <w:rFonts w:ascii="Garamond" w:hAnsi="Garamond"/>
          <w:sz w:val="24"/>
        </w:rPr>
        <w:t xml:space="preserve">Neni 8a </w:t>
      </w:r>
    </w:p>
    <w:p w14:paraId="245FBF47" w14:textId="77777777" w:rsidR="005F4CBC" w:rsidRPr="00913E39" w:rsidRDefault="005F4CBC" w:rsidP="00CB42B1">
      <w:pPr>
        <w:keepNext/>
        <w:spacing w:after="0" w:line="240" w:lineRule="auto"/>
        <w:ind w:firstLine="284"/>
        <w:jc w:val="center"/>
        <w:outlineLvl w:val="1"/>
        <w:rPr>
          <w:rFonts w:ascii="Garamond" w:hAnsi="Garamond"/>
          <w:b/>
          <w:sz w:val="24"/>
        </w:rPr>
      </w:pPr>
      <w:r w:rsidRPr="00913E39">
        <w:rPr>
          <w:rFonts w:ascii="Garamond" w:hAnsi="Garamond"/>
          <w:b/>
          <w:sz w:val="24"/>
        </w:rPr>
        <w:t xml:space="preserve"> Ndryshimet financiare dhe ndërprerja</w:t>
      </w:r>
    </w:p>
    <w:p w14:paraId="0839DA57" w14:textId="77777777" w:rsidR="005F4CBC" w:rsidRPr="00913E39" w:rsidRDefault="005F4CBC" w:rsidP="005F4CBC">
      <w:pPr>
        <w:spacing w:after="0" w:line="240" w:lineRule="auto"/>
        <w:ind w:firstLine="284"/>
        <w:jc w:val="both"/>
        <w:rPr>
          <w:rFonts w:ascii="Garamond" w:hAnsi="Garamond"/>
          <w:b/>
          <w:sz w:val="24"/>
        </w:rPr>
      </w:pPr>
    </w:p>
    <w:p w14:paraId="2E7A0363" w14:textId="6C673726"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Në vijim të neneve 42, 43 dhe 47 të FFPA</w:t>
      </w:r>
      <w:r w:rsidR="00225E16" w:rsidRPr="00913E39">
        <w:rPr>
          <w:rFonts w:ascii="Garamond" w:hAnsi="Garamond"/>
          <w:sz w:val="24"/>
        </w:rPr>
        <w:t>-Së</w:t>
      </w:r>
      <w:r w:rsidRPr="00913E39">
        <w:rPr>
          <w:rFonts w:ascii="Garamond" w:hAnsi="Garamond"/>
          <w:sz w:val="24"/>
        </w:rPr>
        <w:t>, Komisioni jep udhëzime plotësuese për procedurën e ekzaminimit dhe pranimit të llogarive, duke përfshirë ndryshimet financiare dhe ndërprerjen.</w:t>
      </w:r>
    </w:p>
    <w:p w14:paraId="19E0C742" w14:textId="77777777" w:rsidR="005F4CBC" w:rsidRPr="00913E39" w:rsidRDefault="005F4CBC" w:rsidP="005F4CBC">
      <w:pPr>
        <w:spacing w:after="0" w:line="240" w:lineRule="auto"/>
        <w:ind w:firstLine="284"/>
        <w:jc w:val="both"/>
        <w:rPr>
          <w:rFonts w:ascii="Garamond" w:hAnsi="Garamond"/>
          <w:sz w:val="24"/>
        </w:rPr>
      </w:pPr>
    </w:p>
    <w:p w14:paraId="5F48DDBB" w14:textId="77777777" w:rsidR="00CB42B1" w:rsidRPr="00913E39" w:rsidRDefault="005F4CBC" w:rsidP="00CB42B1">
      <w:pPr>
        <w:keepNext/>
        <w:spacing w:after="0" w:line="240" w:lineRule="auto"/>
        <w:ind w:firstLine="284"/>
        <w:jc w:val="center"/>
        <w:outlineLvl w:val="1"/>
        <w:rPr>
          <w:rFonts w:ascii="Garamond" w:hAnsi="Garamond"/>
          <w:sz w:val="24"/>
        </w:rPr>
      </w:pPr>
      <w:r w:rsidRPr="00913E39">
        <w:rPr>
          <w:rFonts w:ascii="Garamond" w:hAnsi="Garamond"/>
          <w:sz w:val="24"/>
        </w:rPr>
        <w:t xml:space="preserve">Neni 9 </w:t>
      </w:r>
    </w:p>
    <w:p w14:paraId="096F35F7" w14:textId="77777777" w:rsidR="005F4CBC" w:rsidRPr="00913E39" w:rsidRDefault="005F4CBC" w:rsidP="00CB42B1">
      <w:pPr>
        <w:keepNext/>
        <w:spacing w:after="0" w:line="240" w:lineRule="auto"/>
        <w:ind w:firstLine="284"/>
        <w:jc w:val="center"/>
        <w:outlineLvl w:val="1"/>
        <w:rPr>
          <w:rFonts w:ascii="Garamond" w:hAnsi="Garamond"/>
          <w:b/>
          <w:sz w:val="24"/>
        </w:rPr>
      </w:pPr>
      <w:r w:rsidRPr="00913E39">
        <w:rPr>
          <w:rFonts w:ascii="Garamond" w:hAnsi="Garamond"/>
          <w:b/>
          <w:sz w:val="24"/>
        </w:rPr>
        <w:t>Parimet e përgjithshme për përzgjedhjen e veprimeve</w:t>
      </w:r>
    </w:p>
    <w:p w14:paraId="0A75EED8" w14:textId="77777777" w:rsidR="005F4CBC" w:rsidRPr="00913E39" w:rsidRDefault="005F4CBC" w:rsidP="005F4CBC">
      <w:pPr>
        <w:spacing w:after="0" w:line="240" w:lineRule="auto"/>
        <w:ind w:firstLine="284"/>
        <w:jc w:val="both"/>
        <w:rPr>
          <w:rFonts w:ascii="Garamond" w:hAnsi="Garamond"/>
          <w:b/>
          <w:sz w:val="24"/>
        </w:rPr>
      </w:pPr>
    </w:p>
    <w:p w14:paraId="69588B17" w14:textId="77777777"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1</w:t>
      </w:r>
      <w:r w:rsidR="00CB42B1" w:rsidRPr="00913E39">
        <w:rPr>
          <w:rFonts w:ascii="Garamond" w:hAnsi="Garamond"/>
          <w:sz w:val="24"/>
        </w:rPr>
        <w:t>.</w:t>
      </w:r>
      <w:r w:rsidRPr="00913E39">
        <w:rPr>
          <w:rFonts w:ascii="Garamond" w:hAnsi="Garamond"/>
          <w:sz w:val="24"/>
        </w:rPr>
        <w:t xml:space="preserve"> Procedurat e përzgjedhjes duhet të plotësojnë parimet e transparencës, trajtimit të barabartë dhe mosdiskriminimit. Ato do të parandalojnë çdo konflikt interesi dhe do të sigurojnë përfshirjen e palëve të interesuara dhe njohjen e publikut me informacion.</w:t>
      </w:r>
    </w:p>
    <w:p w14:paraId="04DCDB28" w14:textId="77777777"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2</w:t>
      </w:r>
      <w:r w:rsidR="00CB42B1" w:rsidRPr="00913E39">
        <w:rPr>
          <w:rFonts w:ascii="Garamond" w:hAnsi="Garamond"/>
          <w:sz w:val="24"/>
        </w:rPr>
        <w:t>.</w:t>
      </w:r>
      <w:r w:rsidRPr="00913E39">
        <w:rPr>
          <w:rFonts w:ascii="Garamond" w:hAnsi="Garamond"/>
          <w:sz w:val="24"/>
        </w:rPr>
        <w:t xml:space="preserve"> Komiteti Sektorial i Monitorimit do të shqyrtojë dhe miratojë kriteret e përgjithshme për përzgjedhjen e veprimeve të përmendura në nenin 10 brenda gjashtë muajve nga hyrja në fuqi e kësaj Marrëveshjeje Financimi dhe do të miratojë çdo rishikim të këtyre kritereve në përputhje me nevojat e programimit.</w:t>
      </w:r>
    </w:p>
    <w:p w14:paraId="27D0534B" w14:textId="47F7A3CA"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3</w:t>
      </w:r>
      <w:r w:rsidR="00CB42B1" w:rsidRPr="00913E39">
        <w:rPr>
          <w:rFonts w:ascii="Garamond" w:hAnsi="Garamond"/>
          <w:sz w:val="24"/>
        </w:rPr>
        <w:t>.</w:t>
      </w:r>
      <w:r w:rsidRPr="00913E39">
        <w:rPr>
          <w:rFonts w:ascii="Garamond" w:hAnsi="Garamond"/>
          <w:sz w:val="24"/>
        </w:rPr>
        <w:t xml:space="preserve"> Në bazë të nenit 53(7) të FFPA</w:t>
      </w:r>
      <w:r w:rsidR="0010675C" w:rsidRPr="00913E39">
        <w:rPr>
          <w:rFonts w:ascii="Garamond" w:hAnsi="Garamond"/>
          <w:sz w:val="24"/>
        </w:rPr>
        <w:t>-së</w:t>
      </w:r>
      <w:r w:rsidRPr="00913E39">
        <w:rPr>
          <w:rFonts w:ascii="Garamond" w:hAnsi="Garamond"/>
          <w:sz w:val="24"/>
        </w:rPr>
        <w:t xml:space="preserve">, Komisioni mund të bashkëkryesojë mbledhjet e </w:t>
      </w:r>
      <w:r w:rsidR="0010675C" w:rsidRPr="00913E39">
        <w:rPr>
          <w:rFonts w:ascii="Garamond" w:hAnsi="Garamond"/>
          <w:sz w:val="24"/>
        </w:rPr>
        <w:t>komiteteve sektoriale të monitorimit.</w:t>
      </w:r>
    </w:p>
    <w:p w14:paraId="7E181BD7" w14:textId="77777777"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4</w:t>
      </w:r>
      <w:r w:rsidR="00CB42B1" w:rsidRPr="00913E39">
        <w:rPr>
          <w:rFonts w:ascii="Garamond" w:hAnsi="Garamond"/>
          <w:sz w:val="24"/>
        </w:rPr>
        <w:t>.</w:t>
      </w:r>
      <w:r w:rsidRPr="00913E39">
        <w:rPr>
          <w:rFonts w:ascii="Garamond" w:hAnsi="Garamond"/>
          <w:sz w:val="24"/>
        </w:rPr>
        <w:t xml:space="preserve"> Përfituesi i IPA III do të sigurojë që veprimet të përzgjidhen për financim dhe të miratohen në përputhje me kriteret dhe mekanizmat e zbatueshëm për programin, duke përfshirë programin përkatës operacional, dhe që ato të jenë në përputhje me rregullat përkatëse të Unionit dhe ato kombëtare.</w:t>
      </w:r>
    </w:p>
    <w:p w14:paraId="7DF0FEC3" w14:textId="77777777" w:rsidR="00CB42B1" w:rsidRPr="00913E39" w:rsidRDefault="00CB42B1" w:rsidP="005F4CBC">
      <w:pPr>
        <w:keepNext/>
        <w:spacing w:after="0" w:line="240" w:lineRule="auto"/>
        <w:ind w:firstLine="284"/>
        <w:jc w:val="both"/>
        <w:outlineLvl w:val="1"/>
        <w:rPr>
          <w:rFonts w:ascii="Garamond" w:hAnsi="Garamond"/>
          <w:b/>
          <w:i/>
          <w:sz w:val="24"/>
        </w:rPr>
      </w:pPr>
    </w:p>
    <w:p w14:paraId="216A8231" w14:textId="5F1AB06A" w:rsidR="00CB42B1" w:rsidRPr="00913E39" w:rsidRDefault="005F4CBC" w:rsidP="00CB42B1">
      <w:pPr>
        <w:keepNext/>
        <w:spacing w:after="0" w:line="240" w:lineRule="auto"/>
        <w:ind w:firstLine="284"/>
        <w:jc w:val="center"/>
        <w:outlineLvl w:val="1"/>
        <w:rPr>
          <w:rFonts w:ascii="Garamond" w:hAnsi="Garamond"/>
          <w:sz w:val="24"/>
        </w:rPr>
      </w:pPr>
      <w:r w:rsidRPr="00913E39">
        <w:rPr>
          <w:rFonts w:ascii="Garamond" w:hAnsi="Garamond"/>
          <w:sz w:val="24"/>
        </w:rPr>
        <w:t>Neni 10</w:t>
      </w:r>
    </w:p>
    <w:p w14:paraId="0E115551" w14:textId="28C9BA93" w:rsidR="005F4CBC" w:rsidRPr="00913E39" w:rsidRDefault="005F4CBC" w:rsidP="00CB42B1">
      <w:pPr>
        <w:keepNext/>
        <w:spacing w:after="0" w:line="240" w:lineRule="auto"/>
        <w:ind w:firstLine="284"/>
        <w:jc w:val="center"/>
        <w:outlineLvl w:val="1"/>
        <w:rPr>
          <w:rFonts w:ascii="Garamond" w:hAnsi="Garamond"/>
          <w:b/>
          <w:sz w:val="24"/>
        </w:rPr>
      </w:pPr>
      <w:r w:rsidRPr="00913E39">
        <w:rPr>
          <w:rFonts w:ascii="Garamond" w:hAnsi="Garamond"/>
          <w:b/>
          <w:sz w:val="24"/>
        </w:rPr>
        <w:t xml:space="preserve">Procesverbal </w:t>
      </w:r>
      <w:r w:rsidR="0010675C" w:rsidRPr="00913E39">
        <w:rPr>
          <w:rFonts w:ascii="Garamond" w:hAnsi="Garamond"/>
          <w:b/>
          <w:sz w:val="24"/>
        </w:rPr>
        <w:t>konstatimi i veprimeve</w:t>
      </w:r>
    </w:p>
    <w:p w14:paraId="4A02AACA" w14:textId="77777777" w:rsidR="005F4CBC" w:rsidRPr="00913E39" w:rsidRDefault="005F4CBC" w:rsidP="00CB42B1">
      <w:pPr>
        <w:spacing w:after="0" w:line="240" w:lineRule="auto"/>
        <w:ind w:firstLine="284"/>
        <w:jc w:val="center"/>
        <w:rPr>
          <w:rFonts w:ascii="Garamond" w:hAnsi="Garamond"/>
          <w:b/>
          <w:sz w:val="24"/>
        </w:rPr>
      </w:pPr>
    </w:p>
    <w:p w14:paraId="635EE138" w14:textId="1B28D05A"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1</w:t>
      </w:r>
      <w:r w:rsidR="00CB42B1" w:rsidRPr="00913E39">
        <w:rPr>
          <w:rFonts w:ascii="Garamond" w:hAnsi="Garamond"/>
          <w:sz w:val="24"/>
        </w:rPr>
        <w:t>.</w:t>
      </w:r>
      <w:r w:rsidRPr="00913E39">
        <w:rPr>
          <w:rFonts w:ascii="Garamond" w:hAnsi="Garamond"/>
          <w:sz w:val="24"/>
        </w:rPr>
        <w:t xml:space="preserve"> Për çdo veprim që nuk bie nën përkufizimin e projektit madhor të përmendur në nenin 3(f) dhe nenin 16(6) të FFPA</w:t>
      </w:r>
      <w:r w:rsidR="006A1DED" w:rsidRPr="00913E39">
        <w:rPr>
          <w:rFonts w:ascii="Garamond" w:hAnsi="Garamond"/>
          <w:sz w:val="24"/>
        </w:rPr>
        <w:t>-Së</w:t>
      </w:r>
      <w:r w:rsidRPr="00913E39">
        <w:rPr>
          <w:rFonts w:ascii="Garamond" w:hAnsi="Garamond"/>
          <w:sz w:val="24"/>
        </w:rPr>
        <w:t>, përfituesi i IPA III do të krijojë një procesverbal konstatimi për çdo veprim të përzgjedhur për bashkëfinancim të Unionit sipas Programit.</w:t>
      </w:r>
    </w:p>
    <w:p w14:paraId="49F31961" w14:textId="77777777"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2</w:t>
      </w:r>
      <w:r w:rsidR="00CB42B1" w:rsidRPr="00913E39">
        <w:rPr>
          <w:rFonts w:ascii="Garamond" w:hAnsi="Garamond"/>
          <w:sz w:val="24"/>
        </w:rPr>
        <w:t>.</w:t>
      </w:r>
      <w:r w:rsidRPr="00913E39">
        <w:rPr>
          <w:rFonts w:ascii="Garamond" w:hAnsi="Garamond"/>
          <w:sz w:val="24"/>
        </w:rPr>
        <w:t xml:space="preserve"> Procesverbal Konstatimi i Veprimeve duhet të përmbajë ndër të tjera elementet e mëposhtme:</w:t>
      </w:r>
    </w:p>
    <w:p w14:paraId="0E2177A2" w14:textId="77777777"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a) konstatimin e veprimit dhe institucionit përgjegjës për zbatimin e tij;</w:t>
      </w:r>
    </w:p>
    <w:p w14:paraId="34F729B7" w14:textId="77777777"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b) një përshkrim përmbledhës të veprimit dhe demonstrimin e përputhshmërisë së tij me programin;</w:t>
      </w:r>
    </w:p>
    <w:p w14:paraId="09081D3D" w14:textId="77777777"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c) rregullimet e zbatimit, risqet dhe supozimet;</w:t>
      </w:r>
    </w:p>
    <w:p w14:paraId="175652C7" w14:textId="77777777"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d) produktet e pritshme, rezultatet dhe ndikimi, duke përfshirë kontributet sipas parimeve thelbësore;</w:t>
      </w:r>
    </w:p>
    <w:p w14:paraId="65B256CF" w14:textId="77777777"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e) lidhjet me programet e tjera IPA, IPA II dhe IPA III;</w:t>
      </w:r>
    </w:p>
    <w:p w14:paraId="05B93E16" w14:textId="77777777"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f) marrëveshjet e financimit dhe buxhetin e parashikuar; dhe</w:t>
      </w:r>
    </w:p>
    <w:p w14:paraId="2E8F8146" w14:textId="77777777" w:rsidR="005F4CBC" w:rsidRPr="00913E39" w:rsidRDefault="005F4CBC" w:rsidP="005F4CBC">
      <w:pPr>
        <w:tabs>
          <w:tab w:val="left" w:pos="920"/>
        </w:tabs>
        <w:spacing w:after="0" w:line="240" w:lineRule="auto"/>
        <w:ind w:firstLine="284"/>
        <w:contextualSpacing/>
        <w:jc w:val="both"/>
        <w:rPr>
          <w:rFonts w:ascii="Garamond" w:hAnsi="Garamond"/>
          <w:sz w:val="24"/>
        </w:rPr>
      </w:pPr>
      <w:r w:rsidRPr="00913E39">
        <w:rPr>
          <w:rFonts w:ascii="Garamond" w:hAnsi="Garamond"/>
          <w:sz w:val="24"/>
        </w:rPr>
        <w:t>g) procedurat e parashikuara për tenderat dhe kontratat.</w:t>
      </w:r>
    </w:p>
    <w:p w14:paraId="525F2582" w14:textId="11C656B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 xml:space="preserve">Procesverbal </w:t>
      </w:r>
      <w:r w:rsidR="0010675C" w:rsidRPr="00913E39">
        <w:rPr>
          <w:rFonts w:ascii="Garamond" w:hAnsi="Garamond"/>
          <w:sz w:val="24"/>
        </w:rPr>
        <w:t xml:space="preserve">konstatimi i veprimit jepet në aneksin </w:t>
      </w:r>
      <w:r w:rsidRPr="00913E39">
        <w:rPr>
          <w:rFonts w:ascii="Garamond" w:hAnsi="Garamond"/>
          <w:sz w:val="24"/>
        </w:rPr>
        <w:t>VII.</w:t>
      </w:r>
    </w:p>
    <w:p w14:paraId="272EC638" w14:textId="3D01C69E"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3</w:t>
      </w:r>
      <w:r w:rsidR="00CB42B1" w:rsidRPr="00913E39">
        <w:rPr>
          <w:rFonts w:ascii="Garamond" w:hAnsi="Garamond"/>
          <w:sz w:val="24"/>
        </w:rPr>
        <w:t>.</w:t>
      </w:r>
      <w:r w:rsidRPr="00913E39">
        <w:rPr>
          <w:rFonts w:ascii="Garamond" w:hAnsi="Garamond"/>
          <w:sz w:val="24"/>
        </w:rPr>
        <w:t xml:space="preserve"> Përfituesi i IPA III do t</w:t>
      </w:r>
      <w:r w:rsidR="005222A5" w:rsidRPr="00913E39">
        <w:rPr>
          <w:rFonts w:ascii="Garamond" w:hAnsi="Garamond"/>
          <w:sz w:val="24"/>
        </w:rPr>
        <w:t>’</w:t>
      </w:r>
      <w:r w:rsidRPr="00913E39">
        <w:rPr>
          <w:rFonts w:ascii="Garamond" w:hAnsi="Garamond"/>
          <w:sz w:val="24"/>
        </w:rPr>
        <w:t>i transmetojë një kopje të procesverbal konstatimit të veprimit të Delegacionit të BE-së, i cili pas konsultimit me DG NEAR, do të dërgojë opinionin e tij. Pasi të jetë dhënë një opinion pozitiv mbi procesverbal konstatimi të veprimit, projekti mund të miratohet nga përfituesi IPA III.</w:t>
      </w:r>
    </w:p>
    <w:p w14:paraId="48770B97" w14:textId="7B22FFD3" w:rsidR="005F4CBC" w:rsidRPr="00913E39" w:rsidRDefault="005F4CBC" w:rsidP="005F4CBC">
      <w:pPr>
        <w:tabs>
          <w:tab w:val="left" w:pos="540"/>
        </w:tabs>
        <w:spacing w:after="0" w:line="240" w:lineRule="auto"/>
        <w:ind w:firstLine="284"/>
        <w:contextualSpacing/>
        <w:jc w:val="both"/>
        <w:rPr>
          <w:rFonts w:ascii="Garamond" w:hAnsi="Garamond"/>
          <w:sz w:val="24"/>
        </w:rPr>
      </w:pPr>
      <w:r w:rsidRPr="00913E39">
        <w:rPr>
          <w:rFonts w:ascii="Garamond" w:hAnsi="Garamond"/>
          <w:sz w:val="24"/>
        </w:rPr>
        <w:t>4</w:t>
      </w:r>
      <w:r w:rsidR="00CB42B1" w:rsidRPr="00913E39">
        <w:rPr>
          <w:rFonts w:ascii="Garamond" w:hAnsi="Garamond"/>
          <w:sz w:val="24"/>
        </w:rPr>
        <w:t>.</w:t>
      </w:r>
      <w:r w:rsidRPr="00913E39">
        <w:rPr>
          <w:rFonts w:ascii="Garamond" w:hAnsi="Garamond"/>
          <w:sz w:val="24"/>
        </w:rPr>
        <w:t xml:space="preserve"> Kur natyra e veprimit e justifikon, Komisioni mund të vendosë t</w:t>
      </w:r>
      <w:r w:rsidR="005222A5" w:rsidRPr="00913E39">
        <w:rPr>
          <w:rFonts w:ascii="Garamond" w:hAnsi="Garamond"/>
          <w:sz w:val="24"/>
        </w:rPr>
        <w:t>’</w:t>
      </w:r>
      <w:r w:rsidRPr="00913E39">
        <w:rPr>
          <w:rFonts w:ascii="Garamond" w:hAnsi="Garamond"/>
          <w:sz w:val="24"/>
        </w:rPr>
        <w:t xml:space="preserve">i kërkojë përfituesit të IPA III të zbatojë nenin 11 për një veprim të caktuar dhe të përgatisë një formular aplikimi, në përputhje me formatet e përcaktuara në </w:t>
      </w:r>
      <w:r w:rsidR="0010675C" w:rsidRPr="00913E39">
        <w:rPr>
          <w:rFonts w:ascii="Garamond" w:hAnsi="Garamond"/>
          <w:sz w:val="24"/>
        </w:rPr>
        <w:t xml:space="preserve">aneksin </w:t>
      </w:r>
      <w:r w:rsidRPr="00913E39">
        <w:rPr>
          <w:rFonts w:ascii="Garamond" w:hAnsi="Garamond"/>
          <w:sz w:val="24"/>
        </w:rPr>
        <w:t>VI të kësaj Marrëveshjeje Financimi.</w:t>
      </w:r>
    </w:p>
    <w:p w14:paraId="1A047101" w14:textId="77777777" w:rsidR="00CB42B1" w:rsidRPr="00913E39" w:rsidRDefault="00CB42B1" w:rsidP="005F4CBC">
      <w:pPr>
        <w:keepNext/>
        <w:spacing w:after="0" w:line="240" w:lineRule="auto"/>
        <w:ind w:firstLine="284"/>
        <w:jc w:val="both"/>
        <w:outlineLvl w:val="1"/>
        <w:rPr>
          <w:rFonts w:ascii="Garamond" w:hAnsi="Garamond"/>
          <w:b/>
          <w:sz w:val="24"/>
        </w:rPr>
      </w:pPr>
    </w:p>
    <w:p w14:paraId="37700257" w14:textId="77777777" w:rsidR="00CB42B1" w:rsidRPr="00913E39" w:rsidRDefault="005F4CBC" w:rsidP="00CB42B1">
      <w:pPr>
        <w:keepNext/>
        <w:spacing w:after="0" w:line="240" w:lineRule="auto"/>
        <w:ind w:firstLine="284"/>
        <w:jc w:val="center"/>
        <w:outlineLvl w:val="1"/>
        <w:rPr>
          <w:rFonts w:ascii="Garamond" w:hAnsi="Garamond"/>
          <w:sz w:val="24"/>
        </w:rPr>
      </w:pPr>
      <w:r w:rsidRPr="00913E39">
        <w:rPr>
          <w:rFonts w:ascii="Garamond" w:hAnsi="Garamond"/>
          <w:sz w:val="24"/>
        </w:rPr>
        <w:t xml:space="preserve">Neni 11 </w:t>
      </w:r>
    </w:p>
    <w:p w14:paraId="5F168850" w14:textId="77777777" w:rsidR="005F4CBC" w:rsidRPr="00913E39" w:rsidRDefault="005F4CBC" w:rsidP="00CB42B1">
      <w:pPr>
        <w:keepNext/>
        <w:spacing w:after="0" w:line="240" w:lineRule="auto"/>
        <w:ind w:firstLine="284"/>
        <w:jc w:val="center"/>
        <w:outlineLvl w:val="1"/>
        <w:rPr>
          <w:rFonts w:ascii="Garamond" w:hAnsi="Garamond"/>
          <w:b/>
          <w:sz w:val="24"/>
        </w:rPr>
      </w:pPr>
      <w:r w:rsidRPr="00913E39">
        <w:rPr>
          <w:rFonts w:ascii="Garamond" w:hAnsi="Garamond"/>
          <w:b/>
          <w:sz w:val="24"/>
        </w:rPr>
        <w:t xml:space="preserve"> Projekti madhor dhe marrëveshja dypalëshe</w:t>
      </w:r>
    </w:p>
    <w:p w14:paraId="7E78548D" w14:textId="77777777" w:rsidR="00CB42B1" w:rsidRPr="00913E39" w:rsidRDefault="00CB42B1" w:rsidP="005F4CBC">
      <w:pPr>
        <w:tabs>
          <w:tab w:val="left" w:pos="540"/>
        </w:tabs>
        <w:spacing w:after="0" w:line="240" w:lineRule="auto"/>
        <w:ind w:firstLine="284"/>
        <w:contextualSpacing/>
        <w:jc w:val="both"/>
        <w:rPr>
          <w:rFonts w:ascii="Garamond" w:hAnsi="Garamond"/>
          <w:sz w:val="24"/>
        </w:rPr>
      </w:pPr>
    </w:p>
    <w:p w14:paraId="6950B036" w14:textId="6085C0FB" w:rsidR="005F4CBC" w:rsidRPr="00913E39" w:rsidRDefault="005F4CBC" w:rsidP="005F4CBC">
      <w:pPr>
        <w:tabs>
          <w:tab w:val="left" w:pos="540"/>
        </w:tabs>
        <w:spacing w:after="0" w:line="240" w:lineRule="auto"/>
        <w:ind w:firstLine="284"/>
        <w:contextualSpacing/>
        <w:jc w:val="both"/>
        <w:rPr>
          <w:rFonts w:ascii="Garamond" w:hAnsi="Garamond"/>
          <w:sz w:val="24"/>
        </w:rPr>
      </w:pPr>
      <w:r w:rsidRPr="00913E39">
        <w:rPr>
          <w:rFonts w:ascii="Garamond" w:hAnsi="Garamond"/>
          <w:sz w:val="24"/>
        </w:rPr>
        <w:t>1</w:t>
      </w:r>
      <w:r w:rsidR="00CB42B1" w:rsidRPr="00913E39">
        <w:rPr>
          <w:rFonts w:ascii="Garamond" w:hAnsi="Garamond"/>
          <w:sz w:val="24"/>
        </w:rPr>
        <w:t>.</w:t>
      </w:r>
      <w:r w:rsidRPr="00913E39">
        <w:rPr>
          <w:rFonts w:ascii="Garamond" w:hAnsi="Garamond"/>
          <w:sz w:val="24"/>
        </w:rPr>
        <w:t xml:space="preserve"> Në përputhje me nenin 16(6) të FFPA, aplikimet për projekte madhore do t</w:t>
      </w:r>
      <w:r w:rsidR="005222A5" w:rsidRPr="00913E39">
        <w:rPr>
          <w:rFonts w:ascii="Garamond" w:hAnsi="Garamond"/>
          <w:sz w:val="24"/>
        </w:rPr>
        <w:t>’</w:t>
      </w:r>
      <w:r w:rsidRPr="00913E39">
        <w:rPr>
          <w:rFonts w:ascii="Garamond" w:hAnsi="Garamond"/>
          <w:sz w:val="24"/>
        </w:rPr>
        <w:t xml:space="preserve">i dorëzohen Komisionit për vlerësim duke përdorur </w:t>
      </w:r>
      <w:r w:rsidR="0010675C" w:rsidRPr="00913E39">
        <w:rPr>
          <w:rFonts w:ascii="Garamond" w:hAnsi="Garamond"/>
          <w:sz w:val="24"/>
        </w:rPr>
        <w:t xml:space="preserve">modelin e aplikimit për projekt madhor (aneksi </w:t>
      </w:r>
      <w:r w:rsidRPr="00913E39">
        <w:rPr>
          <w:rFonts w:ascii="Garamond" w:hAnsi="Garamond"/>
          <w:sz w:val="24"/>
        </w:rPr>
        <w:t>VI).</w:t>
      </w:r>
    </w:p>
    <w:p w14:paraId="578505B8" w14:textId="77777777" w:rsidR="005F4CBC" w:rsidRPr="00913E39" w:rsidRDefault="005F4CBC" w:rsidP="005F4CBC">
      <w:pPr>
        <w:tabs>
          <w:tab w:val="left" w:pos="540"/>
        </w:tabs>
        <w:spacing w:after="0" w:line="240" w:lineRule="auto"/>
        <w:ind w:firstLine="284"/>
        <w:contextualSpacing/>
        <w:jc w:val="both"/>
        <w:rPr>
          <w:rFonts w:ascii="Garamond" w:hAnsi="Garamond"/>
          <w:sz w:val="24"/>
        </w:rPr>
      </w:pPr>
      <w:r w:rsidRPr="00913E39">
        <w:rPr>
          <w:rFonts w:ascii="Garamond" w:hAnsi="Garamond"/>
          <w:sz w:val="24"/>
        </w:rPr>
        <w:lastRenderedPageBreak/>
        <w:t>2</w:t>
      </w:r>
      <w:r w:rsidR="00CB42B1" w:rsidRPr="00913E39">
        <w:rPr>
          <w:rFonts w:ascii="Garamond" w:hAnsi="Garamond"/>
          <w:sz w:val="24"/>
        </w:rPr>
        <w:t>.</w:t>
      </w:r>
      <w:r w:rsidRPr="00913E39">
        <w:rPr>
          <w:rFonts w:ascii="Garamond" w:hAnsi="Garamond"/>
          <w:sz w:val="24"/>
        </w:rPr>
        <w:t xml:space="preserve"> Vlerësimi i Komisionit përcakton objektin fizik dhe shpenzimet e pranueshme. Vlerësimi i Komisionit do të përmbyllet ose me një shkëmbim shkresash (përkatësisht me paraqitjen e aplikimit për projektin madhor nga përfituesi IPA III dhe përgjigjen nga Komisioni që e miraton atë) ose me nënshkrimin e një Marrëveshjeje Dypalëshe me përfituesin e IPA III, që përcakton elementet individuale dhe kërkesat që janë specifike për projektin.</w:t>
      </w:r>
    </w:p>
    <w:p w14:paraId="25395896" w14:textId="77777777" w:rsidR="005F4CBC" w:rsidRPr="00913E39" w:rsidRDefault="005F4CBC" w:rsidP="005F4CBC">
      <w:pPr>
        <w:tabs>
          <w:tab w:val="left" w:pos="540"/>
        </w:tabs>
        <w:spacing w:after="0" w:line="240" w:lineRule="auto"/>
        <w:ind w:firstLine="284"/>
        <w:contextualSpacing/>
        <w:jc w:val="both"/>
        <w:rPr>
          <w:rFonts w:ascii="Garamond" w:hAnsi="Garamond"/>
          <w:sz w:val="24"/>
        </w:rPr>
      </w:pPr>
      <w:r w:rsidRPr="00913E39">
        <w:rPr>
          <w:rFonts w:ascii="Garamond" w:hAnsi="Garamond"/>
          <w:sz w:val="24"/>
        </w:rPr>
        <w:t>3</w:t>
      </w:r>
      <w:r w:rsidR="00CB42B1" w:rsidRPr="00913E39">
        <w:rPr>
          <w:rFonts w:ascii="Garamond" w:hAnsi="Garamond"/>
          <w:sz w:val="24"/>
        </w:rPr>
        <w:t>.</w:t>
      </w:r>
      <w:r w:rsidRPr="00913E39">
        <w:rPr>
          <w:rFonts w:ascii="Garamond" w:hAnsi="Garamond"/>
          <w:sz w:val="24"/>
        </w:rPr>
        <w:t xml:space="preserve"> Marrëveshja dypalëshe ose shkëmbimi i shkresave, së paku, do të përmbajë informacionin e mëposhtëm:</w:t>
      </w:r>
    </w:p>
    <w:p w14:paraId="240825D2"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a) emrin e projektit;</w:t>
      </w:r>
    </w:p>
    <w:p w14:paraId="679FAD06"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b) vendndodhje e projektit;</w:t>
      </w:r>
    </w:p>
    <w:p w14:paraId="73BDA0CF"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c) një përshkrim konciz të projektit, i ndarë, sipas nevojës, në komponentë individualë;</w:t>
      </w:r>
    </w:p>
    <w:p w14:paraId="4CCF190A"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d) detajet e autoritetit përgjegjës për aplikimin e projektit, organit përgjegjës për zbatimin, autoritetit kontraktues dhe marrësit;</w:t>
      </w:r>
    </w:p>
    <w:p w14:paraId="40006794"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e) detajet e çdo institucioni financiar ndërkombëtar (IFI) ose donatorëve të tjerë të përfshirë në projekt;</w:t>
      </w:r>
    </w:p>
    <w:p w14:paraId="6A927586" w14:textId="42800AF6"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f) objektivat specifik</w:t>
      </w:r>
      <w:r w:rsidR="0010675C" w:rsidRPr="00913E39">
        <w:rPr>
          <w:rFonts w:ascii="Garamond" w:hAnsi="Garamond"/>
          <w:sz w:val="24"/>
        </w:rPr>
        <w:t>ë</w:t>
      </w:r>
      <w:r w:rsidRPr="00913E39">
        <w:rPr>
          <w:rFonts w:ascii="Garamond" w:hAnsi="Garamond"/>
          <w:sz w:val="24"/>
        </w:rPr>
        <w:t xml:space="preserve"> të projektit;</w:t>
      </w:r>
    </w:p>
    <w:p w14:paraId="0FB390F1"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g) një përmbledhje të rezultateve kryesore të analizës socialo-ekonomike të kosto-përfitimit;</w:t>
      </w:r>
    </w:p>
    <w:p w14:paraId="76CC194E"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h) një bilanc financiar;</w:t>
      </w:r>
    </w:p>
    <w:p w14:paraId="0EF3C88A"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i) një përmbledhje të konstatimeve kryesore të vlerësimit të ndikimit në mjedis;</w:t>
      </w:r>
    </w:p>
    <w:p w14:paraId="39610BB5"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j) vlerën totale të parashikuar të projektit, si dhe një zbërthim demonstrativ të vlerës së elementeve individuale të projektit;</w:t>
      </w:r>
    </w:p>
    <w:p w14:paraId="5B0AF3B9"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k) kostot totale të parashikuara të projektit të pranueshme dhe jo të pranueshme, shpenzimet totale publike, kontributin financiar të Unionit dhe normën e bashkëfinancimit të zbatueshëm për shpenzimet e pranueshme;</w:t>
      </w:r>
    </w:p>
    <w:p w14:paraId="4E34D94C"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l) çdo kusht specifik në lidhje me projektin;</w:t>
      </w:r>
    </w:p>
    <w:p w14:paraId="5C811153"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m) një plan prokurimi pasqyrues që tregon llojet specifike dhe vlerat e parashikuara të kontratave që do të tenderohen dhe, në rast të bashkëfinancimit paralel me IFI-të, identifikimin e kontratave që do të financohen nga IFI-të, si dhe një të dhënë për datën e fillimit të procedurës së tenderimit;</w:t>
      </w:r>
    </w:p>
    <w:p w14:paraId="5E827963"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n) një plan pasqyrimi të zbatimit;</w:t>
      </w:r>
    </w:p>
    <w:p w14:paraId="4E77BBCE"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o) një listë pasqyrimi të treguesve kryesorë që do të përdoren për të demonstruar arritjen e qëllimeve të projektit;</w:t>
      </w:r>
    </w:p>
    <w:p w14:paraId="626CBCCE"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p) datën nga e cila shpenzimet janë të pranueshme.</w:t>
      </w:r>
    </w:p>
    <w:p w14:paraId="0094050E" w14:textId="77777777" w:rsidR="005F4CBC" w:rsidRPr="00913E39" w:rsidRDefault="005F4CBC" w:rsidP="005F4CBC">
      <w:pPr>
        <w:tabs>
          <w:tab w:val="left" w:pos="540"/>
        </w:tabs>
        <w:spacing w:after="0" w:line="240" w:lineRule="auto"/>
        <w:ind w:firstLine="284"/>
        <w:contextualSpacing/>
        <w:jc w:val="both"/>
        <w:rPr>
          <w:rFonts w:ascii="Garamond" w:hAnsi="Garamond"/>
          <w:sz w:val="24"/>
        </w:rPr>
      </w:pPr>
      <w:r w:rsidRPr="00913E39">
        <w:rPr>
          <w:rFonts w:ascii="Garamond" w:hAnsi="Garamond"/>
          <w:sz w:val="24"/>
        </w:rPr>
        <w:t>4</w:t>
      </w:r>
      <w:r w:rsidR="00CB42B1" w:rsidRPr="00913E39">
        <w:rPr>
          <w:rFonts w:ascii="Garamond" w:hAnsi="Garamond"/>
          <w:sz w:val="24"/>
        </w:rPr>
        <w:t>.</w:t>
      </w:r>
      <w:r w:rsidRPr="00913E39">
        <w:rPr>
          <w:rFonts w:ascii="Garamond" w:hAnsi="Garamond"/>
          <w:sz w:val="24"/>
        </w:rPr>
        <w:t xml:space="preserve"> Procedura e prokurimit për një projekt madhor mund të nisë nga përfituesi IPA III pas hyrjes në fuqi të kësaj Marrëveshjeje Financimi. Asnjë kontratë prokurimi për një projekt madhor nuk mund të nënshkruhet para hyrjes në fuqi të Marrëveshjes Dypalëshe ose përfundimit të shkëmbimit të shkresave që miratojnë aplikimin e projektit madhor.</w:t>
      </w:r>
    </w:p>
    <w:p w14:paraId="499291DF"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5</w:t>
      </w:r>
      <w:r w:rsidR="00CB42B1" w:rsidRPr="00913E39">
        <w:rPr>
          <w:rFonts w:ascii="Garamond" w:hAnsi="Garamond"/>
          <w:sz w:val="24"/>
        </w:rPr>
        <w:t>.</w:t>
      </w:r>
      <w:r w:rsidRPr="00913E39">
        <w:rPr>
          <w:rFonts w:ascii="Garamond" w:hAnsi="Garamond"/>
          <w:sz w:val="24"/>
        </w:rPr>
        <w:t xml:space="preserve"> Modifikimet e projekteve madhore të miratuara i nënshtrohen kufizimeve dhe kushteve të përcaktuara në Marrëveshjen Dypalëshe ose në shkëmbimin e shkresave.</w:t>
      </w:r>
    </w:p>
    <w:p w14:paraId="51A8BF35" w14:textId="77777777" w:rsidR="00501FFD" w:rsidRPr="00913E39" w:rsidRDefault="00501FFD" w:rsidP="005F4CBC">
      <w:pPr>
        <w:keepNext/>
        <w:spacing w:after="0" w:line="240" w:lineRule="auto"/>
        <w:ind w:firstLine="284"/>
        <w:outlineLvl w:val="0"/>
        <w:rPr>
          <w:rFonts w:ascii="Garamond" w:hAnsi="Garamond"/>
          <w:b/>
          <w:kern w:val="32"/>
          <w:sz w:val="24"/>
        </w:rPr>
      </w:pPr>
    </w:p>
    <w:p w14:paraId="2AF82D90" w14:textId="77777777" w:rsidR="00501FFD" w:rsidRPr="00913E39" w:rsidRDefault="005F4CBC" w:rsidP="00501FFD">
      <w:pPr>
        <w:keepNext/>
        <w:spacing w:after="0" w:line="240" w:lineRule="auto"/>
        <w:ind w:firstLine="284"/>
        <w:jc w:val="center"/>
        <w:outlineLvl w:val="0"/>
        <w:rPr>
          <w:rFonts w:ascii="Garamond" w:hAnsi="Garamond"/>
          <w:b/>
          <w:kern w:val="32"/>
          <w:sz w:val="24"/>
        </w:rPr>
      </w:pPr>
      <w:r w:rsidRPr="00913E39">
        <w:rPr>
          <w:rFonts w:ascii="Garamond" w:hAnsi="Garamond"/>
          <w:b/>
          <w:kern w:val="32"/>
          <w:sz w:val="24"/>
        </w:rPr>
        <w:t>Pjesa e dytë</w:t>
      </w:r>
    </w:p>
    <w:p w14:paraId="16F3032A" w14:textId="1C619051" w:rsidR="005F4CBC" w:rsidRPr="00913E39" w:rsidRDefault="005F4CBC" w:rsidP="00501FFD">
      <w:pPr>
        <w:keepNext/>
        <w:spacing w:after="0" w:line="240" w:lineRule="auto"/>
        <w:ind w:firstLine="284"/>
        <w:jc w:val="center"/>
        <w:outlineLvl w:val="0"/>
        <w:rPr>
          <w:rFonts w:ascii="Garamond" w:hAnsi="Garamond"/>
          <w:b/>
          <w:kern w:val="32"/>
          <w:sz w:val="24"/>
        </w:rPr>
      </w:pPr>
      <w:r w:rsidRPr="00913E39">
        <w:rPr>
          <w:rFonts w:ascii="Garamond" w:hAnsi="Garamond"/>
          <w:b/>
          <w:kern w:val="32"/>
          <w:sz w:val="24"/>
        </w:rPr>
        <w:t xml:space="preserve">Dispozitat e </w:t>
      </w:r>
      <w:r w:rsidR="00501FFD" w:rsidRPr="00913E39">
        <w:rPr>
          <w:rFonts w:ascii="Garamond" w:hAnsi="Garamond"/>
          <w:b/>
          <w:kern w:val="32"/>
          <w:sz w:val="24"/>
        </w:rPr>
        <w:t>z</w:t>
      </w:r>
      <w:r w:rsidRPr="00913E39">
        <w:rPr>
          <w:rFonts w:ascii="Garamond" w:hAnsi="Garamond"/>
          <w:b/>
          <w:kern w:val="32"/>
          <w:sz w:val="24"/>
        </w:rPr>
        <w:t>batueshme për këtë Marrëveshje Financimi në tërësi, pavarësisht nga mënyra e menaxhimit</w:t>
      </w:r>
    </w:p>
    <w:p w14:paraId="03CD1776" w14:textId="77777777" w:rsidR="00CB42B1" w:rsidRPr="00913E39" w:rsidRDefault="00CB42B1" w:rsidP="005F4CBC">
      <w:pPr>
        <w:keepNext/>
        <w:spacing w:after="0" w:line="240" w:lineRule="auto"/>
        <w:ind w:firstLine="284"/>
        <w:outlineLvl w:val="1"/>
        <w:rPr>
          <w:rFonts w:ascii="Garamond" w:hAnsi="Garamond"/>
          <w:b/>
          <w:i/>
          <w:sz w:val="24"/>
        </w:rPr>
      </w:pPr>
    </w:p>
    <w:p w14:paraId="6E09BBFE" w14:textId="77777777" w:rsidR="00CB42B1" w:rsidRPr="00913E39" w:rsidRDefault="005F4CBC" w:rsidP="00CB42B1">
      <w:pPr>
        <w:keepNext/>
        <w:spacing w:after="0" w:line="240" w:lineRule="auto"/>
        <w:ind w:firstLine="284"/>
        <w:jc w:val="center"/>
        <w:outlineLvl w:val="1"/>
        <w:rPr>
          <w:rFonts w:ascii="Garamond" w:hAnsi="Garamond"/>
          <w:sz w:val="24"/>
        </w:rPr>
      </w:pPr>
      <w:r w:rsidRPr="00913E39">
        <w:rPr>
          <w:rFonts w:ascii="Garamond" w:hAnsi="Garamond"/>
          <w:sz w:val="24"/>
        </w:rPr>
        <w:t xml:space="preserve">Neni 12 </w:t>
      </w:r>
    </w:p>
    <w:p w14:paraId="067DECF9" w14:textId="77777777" w:rsidR="005F4CBC" w:rsidRPr="00913E39" w:rsidRDefault="005F4CBC" w:rsidP="00CB42B1">
      <w:pPr>
        <w:keepNext/>
        <w:spacing w:after="0" w:line="240" w:lineRule="auto"/>
        <w:ind w:firstLine="284"/>
        <w:jc w:val="center"/>
        <w:outlineLvl w:val="1"/>
        <w:rPr>
          <w:rFonts w:ascii="Garamond" w:hAnsi="Garamond"/>
          <w:b/>
          <w:sz w:val="24"/>
        </w:rPr>
      </w:pPr>
      <w:r w:rsidRPr="00913E39">
        <w:rPr>
          <w:rFonts w:ascii="Garamond" w:hAnsi="Garamond"/>
          <w:b/>
          <w:sz w:val="24"/>
        </w:rPr>
        <w:t>Periudha e pranueshmërisë</w:t>
      </w:r>
    </w:p>
    <w:p w14:paraId="27F8BCF0" w14:textId="77777777" w:rsidR="005F4CBC" w:rsidRPr="00913E39" w:rsidRDefault="005F4CBC" w:rsidP="005F4CBC">
      <w:pPr>
        <w:spacing w:after="0" w:line="240" w:lineRule="auto"/>
        <w:ind w:firstLine="284"/>
        <w:jc w:val="both"/>
        <w:rPr>
          <w:rFonts w:ascii="Garamond" w:hAnsi="Garamond"/>
          <w:b/>
          <w:sz w:val="24"/>
        </w:rPr>
      </w:pPr>
    </w:p>
    <w:p w14:paraId="0C750AAC" w14:textId="38D0AF5C"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CB42B1" w:rsidRPr="00913E39">
        <w:rPr>
          <w:rFonts w:ascii="Garamond" w:hAnsi="Garamond"/>
          <w:sz w:val="24"/>
        </w:rPr>
        <w:t>.</w:t>
      </w:r>
      <w:r w:rsidRPr="00913E39">
        <w:rPr>
          <w:rFonts w:ascii="Garamond" w:hAnsi="Garamond"/>
          <w:sz w:val="24"/>
        </w:rPr>
        <w:t xml:space="preserve"> Periudha e pranueshmërisë është periudha ku përfundojnë të gjitha aktivitetet operacionale të Programit. Kohëzgjatja e kësaj periudhe është e përcaktuar në nenin 2(2) të </w:t>
      </w:r>
      <w:r w:rsidR="00EC2869" w:rsidRPr="00913E39">
        <w:rPr>
          <w:rFonts w:ascii="Garamond" w:hAnsi="Garamond"/>
          <w:sz w:val="24"/>
        </w:rPr>
        <w:t>kushteve të veçanta</w:t>
      </w:r>
      <w:r w:rsidRPr="00913E39">
        <w:rPr>
          <w:rFonts w:ascii="Garamond" w:hAnsi="Garamond"/>
          <w:sz w:val="24"/>
        </w:rPr>
        <w:t>.</w:t>
      </w:r>
    </w:p>
    <w:p w14:paraId="012726E7" w14:textId="7777777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Kjo periudhë do të tregohet në marrëveshjet që do të lidhen nga përfituesi i IPA III dhe nga Komisioni në zbatimin e kësaj Marrëveshjeje Financimi, veçanërisht në marrëveshjet e kontributit, kontratat e prokurimit dhe kontratat e granteve.</w:t>
      </w:r>
    </w:p>
    <w:p w14:paraId="560C2B28" w14:textId="242DEF18"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CB42B1" w:rsidRPr="00913E39">
        <w:rPr>
          <w:rFonts w:ascii="Garamond" w:hAnsi="Garamond"/>
          <w:sz w:val="24"/>
        </w:rPr>
        <w:t>.</w:t>
      </w:r>
      <w:r w:rsidRPr="00913E39">
        <w:rPr>
          <w:rFonts w:ascii="Garamond" w:hAnsi="Garamond"/>
          <w:sz w:val="24"/>
        </w:rPr>
        <w:t xml:space="preserve"> Nëse nuk parashikohet ndryshe në nenin 7 të </w:t>
      </w:r>
      <w:r w:rsidR="00EC2869" w:rsidRPr="00913E39">
        <w:rPr>
          <w:rFonts w:ascii="Garamond" w:hAnsi="Garamond"/>
          <w:sz w:val="24"/>
        </w:rPr>
        <w:t>kushteve të veçanta</w:t>
      </w:r>
      <w:r w:rsidRPr="00913E39">
        <w:rPr>
          <w:rFonts w:ascii="Garamond" w:hAnsi="Garamond"/>
          <w:sz w:val="24"/>
        </w:rPr>
        <w:t xml:space="preserve">, kontratat dhe shtesat e nënshkruara, shpenzimet e kryera, pagesat e bëra nga autoritetet kombëtare si dhe çdo kosto tjetër që </w:t>
      </w:r>
      <w:r w:rsidRPr="00913E39">
        <w:rPr>
          <w:rFonts w:ascii="Garamond" w:hAnsi="Garamond"/>
          <w:sz w:val="24"/>
        </w:rPr>
        <w:lastRenderedPageBreak/>
        <w:t>lidhet me aktivitetet e Programit, do të jenë të pranueshme për financim nga BE vetëm nëse ato janë kryer gjatë periudhës së pranueshmërisë, pa cenuar paragrafin 3 të këtij neni.</w:t>
      </w:r>
    </w:p>
    <w:p w14:paraId="2BE08310"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3</w:t>
      </w:r>
      <w:r w:rsidR="00CB42B1" w:rsidRPr="00913E39">
        <w:rPr>
          <w:rFonts w:ascii="Garamond" w:hAnsi="Garamond"/>
          <w:sz w:val="24"/>
        </w:rPr>
        <w:t>.</w:t>
      </w:r>
      <w:r w:rsidRPr="00913E39">
        <w:rPr>
          <w:rFonts w:ascii="Garamond" w:hAnsi="Garamond"/>
          <w:sz w:val="24"/>
        </w:rPr>
        <w:t xml:space="preserve"> Në rastin e projekteve madhore, data e fillimit të periudhës së pranueshmërisë është data e miratimit të projektit madhor nga Komisioni, siç përcaktohet në marrëveshje dypalëshe ose shkëmbim shkresash.</w:t>
      </w:r>
    </w:p>
    <w:p w14:paraId="5F10C079" w14:textId="00A891DD"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4</w:t>
      </w:r>
      <w:r w:rsidR="00CB42B1" w:rsidRPr="00913E39">
        <w:rPr>
          <w:rFonts w:ascii="Garamond" w:hAnsi="Garamond"/>
          <w:sz w:val="24"/>
        </w:rPr>
        <w:t>.</w:t>
      </w:r>
      <w:r w:rsidRPr="00913E39">
        <w:rPr>
          <w:rFonts w:ascii="Garamond" w:hAnsi="Garamond"/>
          <w:sz w:val="24"/>
        </w:rPr>
        <w:t xml:space="preserve"> Sipas nenit 29(3)(b) të FFPA, dhe pa cenuar nenin 28 të tij dhe nenin 7 të </w:t>
      </w:r>
      <w:r w:rsidR="00EC2869" w:rsidRPr="00913E39">
        <w:rPr>
          <w:rFonts w:ascii="Garamond" w:hAnsi="Garamond"/>
          <w:sz w:val="24"/>
        </w:rPr>
        <w:t>kushteve të veçanta</w:t>
      </w:r>
      <w:r w:rsidRPr="00913E39">
        <w:rPr>
          <w:rFonts w:ascii="Garamond" w:hAnsi="Garamond"/>
          <w:sz w:val="24"/>
        </w:rPr>
        <w:t>, shpenzimet e mëposhtme të bëra nga përfituesi i IPA III nuk do të jenë të pranueshme për financim sipas kësaj marrëveshjeje financimi:</w:t>
      </w:r>
    </w:p>
    <w:p w14:paraId="20B4BC9F" w14:textId="77777777" w:rsidR="005F4CBC" w:rsidRPr="00913E39" w:rsidRDefault="005F4CBC" w:rsidP="005F4CBC">
      <w:pPr>
        <w:tabs>
          <w:tab w:val="left" w:pos="1220"/>
        </w:tabs>
        <w:spacing w:after="0" w:line="240" w:lineRule="auto"/>
        <w:ind w:firstLine="284"/>
        <w:contextualSpacing/>
        <w:jc w:val="both"/>
        <w:rPr>
          <w:rFonts w:ascii="Garamond" w:hAnsi="Garamond"/>
          <w:sz w:val="24"/>
        </w:rPr>
      </w:pPr>
      <w:r w:rsidRPr="00913E39">
        <w:rPr>
          <w:rFonts w:ascii="Garamond" w:hAnsi="Garamond"/>
          <w:sz w:val="24"/>
        </w:rPr>
        <w:t>a) tarifat bankare, kostot e garancive dhe tarifat e ngjashme;</w:t>
      </w:r>
    </w:p>
    <w:p w14:paraId="50B4F15C" w14:textId="77777777" w:rsidR="005F4CBC" w:rsidRPr="00913E39" w:rsidRDefault="005F4CBC" w:rsidP="005F4CBC">
      <w:pPr>
        <w:tabs>
          <w:tab w:val="left" w:pos="1220"/>
        </w:tabs>
        <w:spacing w:after="0" w:line="240" w:lineRule="auto"/>
        <w:ind w:firstLine="284"/>
        <w:contextualSpacing/>
        <w:jc w:val="both"/>
        <w:rPr>
          <w:rFonts w:ascii="Garamond" w:hAnsi="Garamond"/>
          <w:sz w:val="24"/>
        </w:rPr>
      </w:pPr>
      <w:r w:rsidRPr="00913E39">
        <w:rPr>
          <w:rFonts w:ascii="Garamond" w:hAnsi="Garamond"/>
          <w:sz w:val="24"/>
        </w:rPr>
        <w:t>b) gjobat e thjeshta dhe gjobat financiare;</w:t>
      </w:r>
    </w:p>
    <w:p w14:paraId="489C28D8" w14:textId="77777777" w:rsidR="005F4CBC" w:rsidRPr="00913E39" w:rsidRDefault="005F4CBC" w:rsidP="005F4CBC">
      <w:pPr>
        <w:tabs>
          <w:tab w:val="left" w:pos="1220"/>
        </w:tabs>
        <w:spacing w:after="0" w:line="240" w:lineRule="auto"/>
        <w:ind w:firstLine="284"/>
        <w:contextualSpacing/>
        <w:jc w:val="both"/>
        <w:rPr>
          <w:rFonts w:ascii="Garamond" w:hAnsi="Garamond"/>
          <w:sz w:val="24"/>
        </w:rPr>
      </w:pPr>
      <w:r w:rsidRPr="00913E39">
        <w:rPr>
          <w:rFonts w:ascii="Garamond" w:hAnsi="Garamond"/>
          <w:sz w:val="24"/>
        </w:rPr>
        <w:t>c) shpenzimet e proceseve gjyqësore;</w:t>
      </w:r>
    </w:p>
    <w:p w14:paraId="29D7B8D1" w14:textId="77777777" w:rsidR="005F4CBC" w:rsidRPr="00913E39" w:rsidRDefault="005F4CBC" w:rsidP="005F4CBC">
      <w:pPr>
        <w:tabs>
          <w:tab w:val="left" w:pos="1220"/>
        </w:tabs>
        <w:spacing w:after="0" w:line="240" w:lineRule="auto"/>
        <w:ind w:firstLine="284"/>
        <w:contextualSpacing/>
        <w:jc w:val="both"/>
        <w:rPr>
          <w:rFonts w:ascii="Garamond" w:hAnsi="Garamond"/>
          <w:sz w:val="24"/>
        </w:rPr>
      </w:pPr>
      <w:r w:rsidRPr="00913E39">
        <w:rPr>
          <w:rFonts w:ascii="Garamond" w:hAnsi="Garamond"/>
          <w:sz w:val="24"/>
        </w:rPr>
        <w:t>d) luhatjet e këmbimit valutor;</w:t>
      </w:r>
    </w:p>
    <w:p w14:paraId="53D9F54E" w14:textId="77777777" w:rsidR="005F4CBC" w:rsidRPr="00913E39" w:rsidRDefault="005F4CBC" w:rsidP="005F4CBC">
      <w:pPr>
        <w:tabs>
          <w:tab w:val="left" w:pos="1220"/>
        </w:tabs>
        <w:spacing w:after="0" w:line="240" w:lineRule="auto"/>
        <w:ind w:firstLine="284"/>
        <w:contextualSpacing/>
        <w:jc w:val="both"/>
        <w:rPr>
          <w:rFonts w:ascii="Garamond" w:hAnsi="Garamond"/>
          <w:sz w:val="24"/>
        </w:rPr>
      </w:pPr>
      <w:r w:rsidRPr="00913E39">
        <w:rPr>
          <w:rFonts w:ascii="Garamond" w:hAnsi="Garamond"/>
          <w:sz w:val="24"/>
        </w:rPr>
        <w:t>e) borxhet dhe detyrimet për kamatvonesën e borxhit (interesin);</w:t>
      </w:r>
    </w:p>
    <w:p w14:paraId="6BA480D5" w14:textId="77777777" w:rsidR="005F4CBC" w:rsidRPr="00913E39" w:rsidRDefault="005F4CBC" w:rsidP="005F4CBC">
      <w:pPr>
        <w:tabs>
          <w:tab w:val="left" w:pos="1220"/>
        </w:tabs>
        <w:spacing w:after="0" w:line="240" w:lineRule="auto"/>
        <w:ind w:firstLine="284"/>
        <w:contextualSpacing/>
        <w:jc w:val="both"/>
        <w:rPr>
          <w:rFonts w:ascii="Garamond" w:hAnsi="Garamond"/>
          <w:sz w:val="24"/>
        </w:rPr>
      </w:pPr>
      <w:r w:rsidRPr="00913E39">
        <w:rPr>
          <w:rFonts w:ascii="Garamond" w:hAnsi="Garamond"/>
          <w:sz w:val="24"/>
        </w:rPr>
        <w:t>f) dispozitat për humbjet, borxhet ose detyrimet vijuese të mundshme;</w:t>
      </w:r>
    </w:p>
    <w:p w14:paraId="20EF60DE" w14:textId="77777777" w:rsidR="005F4CBC" w:rsidRPr="00913E39" w:rsidRDefault="005F4CBC" w:rsidP="005F4CBC">
      <w:pPr>
        <w:tabs>
          <w:tab w:val="left" w:pos="1220"/>
        </w:tabs>
        <w:spacing w:after="0" w:line="240" w:lineRule="auto"/>
        <w:ind w:firstLine="284"/>
        <w:contextualSpacing/>
        <w:jc w:val="both"/>
        <w:rPr>
          <w:rFonts w:ascii="Garamond" w:hAnsi="Garamond"/>
          <w:sz w:val="24"/>
        </w:rPr>
      </w:pPr>
      <w:r w:rsidRPr="00913E39">
        <w:rPr>
          <w:rFonts w:ascii="Garamond" w:hAnsi="Garamond"/>
          <w:sz w:val="24"/>
        </w:rPr>
        <w:t>g) kreditë ndaj palëve të treta, nëse nuk specifikohet ndryshe në kushtet e veçanta;</w:t>
      </w:r>
    </w:p>
    <w:p w14:paraId="1A63F74C" w14:textId="77777777" w:rsidR="005F4CBC" w:rsidRPr="00913E39" w:rsidRDefault="005F4CBC" w:rsidP="005F4CBC">
      <w:pPr>
        <w:tabs>
          <w:tab w:val="left" w:pos="1220"/>
        </w:tabs>
        <w:spacing w:after="0" w:line="240" w:lineRule="auto"/>
        <w:ind w:firstLine="284"/>
        <w:contextualSpacing/>
        <w:jc w:val="both"/>
        <w:rPr>
          <w:rFonts w:ascii="Garamond" w:hAnsi="Garamond"/>
          <w:sz w:val="24"/>
        </w:rPr>
      </w:pPr>
      <w:r w:rsidRPr="00913E39">
        <w:rPr>
          <w:rFonts w:ascii="Garamond" w:hAnsi="Garamond"/>
          <w:sz w:val="24"/>
        </w:rPr>
        <w:t>h) interesin negativ të vendosur nga bankat ose institucionet e tjera financiare.</w:t>
      </w:r>
    </w:p>
    <w:p w14:paraId="0812DF80"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5</w:t>
      </w:r>
      <w:r w:rsidR="00CB42B1" w:rsidRPr="00913E39">
        <w:rPr>
          <w:rFonts w:ascii="Garamond" w:hAnsi="Garamond"/>
          <w:sz w:val="24"/>
        </w:rPr>
        <w:t>.</w:t>
      </w:r>
      <w:r w:rsidRPr="00913E39">
        <w:rPr>
          <w:rFonts w:ascii="Garamond" w:hAnsi="Garamond"/>
          <w:sz w:val="24"/>
        </w:rPr>
        <w:t xml:space="preserve"> Kontrata e prokurimit, kontrata e grantit ose marrëveshja e kontributit e cila nuk ka shkaktuar asnjë pagesë brenda dy viteve nga nënshkrimi i saj do të ndërpritet automatikisht dhe financimi i saj do të likuidohet, me përjashtim të rasteve të çështjeve gjyqësore para gjykatave ose organeve të arbitrazhit.</w:t>
      </w:r>
    </w:p>
    <w:p w14:paraId="5714F083" w14:textId="77777777" w:rsidR="00CB42B1" w:rsidRPr="00913E39" w:rsidRDefault="00CB42B1" w:rsidP="005F4CBC">
      <w:pPr>
        <w:keepNext/>
        <w:spacing w:after="0" w:line="240" w:lineRule="auto"/>
        <w:ind w:firstLine="284"/>
        <w:outlineLvl w:val="1"/>
        <w:rPr>
          <w:rFonts w:ascii="Garamond" w:hAnsi="Garamond"/>
          <w:b/>
          <w:i/>
          <w:sz w:val="24"/>
        </w:rPr>
      </w:pPr>
    </w:p>
    <w:p w14:paraId="595BC893" w14:textId="77777777" w:rsidR="00CB42B1" w:rsidRPr="00913E39" w:rsidRDefault="005F4CBC" w:rsidP="00CB42B1">
      <w:pPr>
        <w:keepNext/>
        <w:spacing w:after="0" w:line="240" w:lineRule="auto"/>
        <w:ind w:firstLine="284"/>
        <w:jc w:val="center"/>
        <w:outlineLvl w:val="1"/>
        <w:rPr>
          <w:rFonts w:ascii="Garamond" w:hAnsi="Garamond"/>
          <w:sz w:val="24"/>
        </w:rPr>
      </w:pPr>
      <w:r w:rsidRPr="00913E39">
        <w:rPr>
          <w:rFonts w:ascii="Garamond" w:hAnsi="Garamond"/>
          <w:sz w:val="24"/>
        </w:rPr>
        <w:t xml:space="preserve">Neni 13 </w:t>
      </w:r>
    </w:p>
    <w:p w14:paraId="312A9A54" w14:textId="77777777" w:rsidR="005F4CBC" w:rsidRPr="00913E39" w:rsidRDefault="005F4CBC" w:rsidP="00CB42B1">
      <w:pPr>
        <w:keepNext/>
        <w:spacing w:after="0" w:line="240" w:lineRule="auto"/>
        <w:ind w:firstLine="284"/>
        <w:jc w:val="center"/>
        <w:outlineLvl w:val="1"/>
        <w:rPr>
          <w:rFonts w:ascii="Garamond" w:hAnsi="Garamond"/>
          <w:b/>
          <w:sz w:val="24"/>
        </w:rPr>
      </w:pPr>
      <w:r w:rsidRPr="00913E39">
        <w:rPr>
          <w:rFonts w:ascii="Garamond" w:hAnsi="Garamond"/>
          <w:b/>
          <w:sz w:val="24"/>
        </w:rPr>
        <w:t>Lejet dhe autorizimi</w:t>
      </w:r>
    </w:p>
    <w:p w14:paraId="4A6F43B5" w14:textId="77777777" w:rsidR="005F4CBC" w:rsidRPr="00913E39" w:rsidRDefault="005F4CBC" w:rsidP="00CB42B1">
      <w:pPr>
        <w:spacing w:after="0" w:line="240" w:lineRule="auto"/>
        <w:ind w:firstLine="284"/>
        <w:jc w:val="center"/>
        <w:rPr>
          <w:rFonts w:ascii="Garamond" w:hAnsi="Garamond"/>
          <w:b/>
          <w:sz w:val="24"/>
        </w:rPr>
      </w:pPr>
    </w:p>
    <w:p w14:paraId="298563A0" w14:textId="5CCB7713"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Pa cenuar nenin 27 të FFPA</w:t>
      </w:r>
      <w:r w:rsidR="00EC2869" w:rsidRPr="00913E39">
        <w:rPr>
          <w:rFonts w:ascii="Garamond" w:hAnsi="Garamond"/>
          <w:sz w:val="24"/>
        </w:rPr>
        <w:t>-së</w:t>
      </w:r>
      <w:r w:rsidRPr="00913E39">
        <w:rPr>
          <w:rFonts w:ascii="Garamond" w:hAnsi="Garamond"/>
          <w:sz w:val="24"/>
        </w:rPr>
        <w:t>, çdo lloj leje dhe/ose autorizimi i kërkuar për zbatimin e Programit duhet të sigurohet në kohën e duhur nga autoritetet kompetente të përfituesit IPA III, në përputhje me të drejtën kombëtare.</w:t>
      </w:r>
    </w:p>
    <w:p w14:paraId="7D4BC80A" w14:textId="77777777" w:rsidR="00CB42B1" w:rsidRPr="00913E39" w:rsidRDefault="00CB42B1" w:rsidP="005F4CBC">
      <w:pPr>
        <w:keepNext/>
        <w:spacing w:after="0" w:line="240" w:lineRule="auto"/>
        <w:ind w:firstLine="284"/>
        <w:outlineLvl w:val="1"/>
        <w:rPr>
          <w:rFonts w:ascii="Garamond" w:hAnsi="Garamond"/>
          <w:b/>
          <w:sz w:val="24"/>
        </w:rPr>
      </w:pPr>
    </w:p>
    <w:p w14:paraId="5F461C72" w14:textId="77777777" w:rsidR="00CB42B1" w:rsidRPr="00913E39" w:rsidRDefault="005F4CBC" w:rsidP="00CB42B1">
      <w:pPr>
        <w:keepNext/>
        <w:spacing w:after="0" w:line="240" w:lineRule="auto"/>
        <w:ind w:firstLine="284"/>
        <w:jc w:val="center"/>
        <w:outlineLvl w:val="1"/>
        <w:rPr>
          <w:rFonts w:ascii="Garamond" w:hAnsi="Garamond"/>
          <w:sz w:val="24"/>
        </w:rPr>
      </w:pPr>
      <w:r w:rsidRPr="00913E39">
        <w:rPr>
          <w:rFonts w:ascii="Garamond" w:hAnsi="Garamond"/>
          <w:sz w:val="24"/>
        </w:rPr>
        <w:t>Neni 14</w:t>
      </w:r>
    </w:p>
    <w:p w14:paraId="1FBE2226" w14:textId="77777777" w:rsidR="005F4CBC" w:rsidRPr="00913E39" w:rsidRDefault="005F4CBC" w:rsidP="00CB42B1">
      <w:pPr>
        <w:keepNext/>
        <w:spacing w:after="0" w:line="240" w:lineRule="auto"/>
        <w:ind w:firstLine="284"/>
        <w:jc w:val="center"/>
        <w:outlineLvl w:val="1"/>
        <w:rPr>
          <w:rFonts w:ascii="Garamond" w:hAnsi="Garamond"/>
          <w:b/>
          <w:sz w:val="24"/>
        </w:rPr>
      </w:pPr>
      <w:r w:rsidRPr="00913E39">
        <w:rPr>
          <w:rFonts w:ascii="Garamond" w:hAnsi="Garamond"/>
          <w:b/>
          <w:sz w:val="24"/>
        </w:rPr>
        <w:t>Kërkesat e raportimit</w:t>
      </w:r>
    </w:p>
    <w:p w14:paraId="5C30D263" w14:textId="77777777" w:rsidR="005F4CBC" w:rsidRPr="00913E39" w:rsidRDefault="005F4CBC" w:rsidP="005F4CBC">
      <w:pPr>
        <w:spacing w:after="0" w:line="240" w:lineRule="auto"/>
        <w:ind w:firstLine="284"/>
        <w:jc w:val="both"/>
        <w:rPr>
          <w:rFonts w:ascii="Garamond" w:hAnsi="Garamond"/>
          <w:b/>
          <w:sz w:val="24"/>
        </w:rPr>
      </w:pPr>
    </w:p>
    <w:p w14:paraId="5803FDD9" w14:textId="30B3200B"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A3681E" w:rsidRPr="00913E39">
        <w:rPr>
          <w:rFonts w:ascii="Garamond" w:hAnsi="Garamond"/>
          <w:sz w:val="24"/>
        </w:rPr>
        <w:t>.</w:t>
      </w:r>
      <w:r w:rsidRPr="00913E39">
        <w:rPr>
          <w:rFonts w:ascii="Garamond" w:hAnsi="Garamond"/>
          <w:sz w:val="24"/>
        </w:rPr>
        <w:t xml:space="preserve"> Për qëllimin e kërkesave të përgjithshme të raportimit në Komision përcaktuar në </w:t>
      </w:r>
      <w:r w:rsidR="00604043" w:rsidRPr="00913E39">
        <w:rPr>
          <w:rFonts w:ascii="Garamond" w:hAnsi="Garamond"/>
          <w:sz w:val="24"/>
        </w:rPr>
        <w:t>n</w:t>
      </w:r>
      <w:r w:rsidRPr="00913E39">
        <w:rPr>
          <w:rFonts w:ascii="Garamond" w:hAnsi="Garamond"/>
          <w:sz w:val="24"/>
        </w:rPr>
        <w:t>enin 59 të FFPA</w:t>
      </w:r>
      <w:r w:rsidR="00604043" w:rsidRPr="00913E39">
        <w:rPr>
          <w:rFonts w:ascii="Garamond" w:hAnsi="Garamond"/>
          <w:sz w:val="24"/>
        </w:rPr>
        <w:t>-së</w:t>
      </w:r>
      <w:r w:rsidRPr="00913E39">
        <w:rPr>
          <w:rFonts w:ascii="Garamond" w:hAnsi="Garamond"/>
          <w:sz w:val="24"/>
        </w:rPr>
        <w:t xml:space="preserve"> mbi raportin vjetor për zbatimin e ndihmës IPA III, NIPAC do të përdorë modelin e dhënë në </w:t>
      </w:r>
      <w:r w:rsidR="00D37241" w:rsidRPr="00913E39">
        <w:rPr>
          <w:rFonts w:ascii="Garamond" w:hAnsi="Garamond"/>
          <w:sz w:val="24"/>
        </w:rPr>
        <w:t xml:space="preserve">aneksin </w:t>
      </w:r>
      <w:r w:rsidRPr="00913E39">
        <w:rPr>
          <w:rFonts w:ascii="Garamond" w:hAnsi="Garamond"/>
          <w:sz w:val="24"/>
        </w:rPr>
        <w:t>III.</w:t>
      </w:r>
    </w:p>
    <w:p w14:paraId="2C2E5E87" w14:textId="63B411B7"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2</w:t>
      </w:r>
      <w:r w:rsidR="00A3681E" w:rsidRPr="00913E39">
        <w:rPr>
          <w:rFonts w:ascii="Garamond" w:hAnsi="Garamond"/>
          <w:sz w:val="24"/>
        </w:rPr>
        <w:t>.</w:t>
      </w:r>
      <w:r w:rsidRPr="00913E39">
        <w:rPr>
          <w:rFonts w:ascii="Garamond" w:hAnsi="Garamond"/>
          <w:sz w:val="24"/>
        </w:rPr>
        <w:t xml:space="preserve"> Për qëllimin e nenit 60 të FFPA</w:t>
      </w:r>
      <w:r w:rsidR="00604043" w:rsidRPr="00913E39">
        <w:rPr>
          <w:rFonts w:ascii="Garamond" w:hAnsi="Garamond"/>
          <w:sz w:val="24"/>
        </w:rPr>
        <w:t>-së</w:t>
      </w:r>
      <w:r w:rsidRPr="00913E39">
        <w:rPr>
          <w:rFonts w:ascii="Garamond" w:hAnsi="Garamond"/>
          <w:sz w:val="24"/>
        </w:rPr>
        <w:t>, NIPAC</w:t>
      </w:r>
      <w:r w:rsidR="00604043" w:rsidRPr="00913E39">
        <w:rPr>
          <w:rFonts w:ascii="Garamond" w:hAnsi="Garamond"/>
          <w:sz w:val="24"/>
        </w:rPr>
        <w:t>-ja</w:t>
      </w:r>
      <w:r w:rsidRPr="00913E39">
        <w:rPr>
          <w:rFonts w:ascii="Garamond" w:hAnsi="Garamond"/>
          <w:sz w:val="24"/>
        </w:rPr>
        <w:t xml:space="preserve"> dorëzon te Komisioni një raport për realizimin e aktiviteteve nën menaxhimin indirekt nga përfituesi i IPA III të këtij Programit të paktën gjashtëmbëdhjetë muaj pas mbarimit të periudhës së pranueshmërisë. NIPAC</w:t>
      </w:r>
      <w:r w:rsidR="00604043" w:rsidRPr="00913E39">
        <w:rPr>
          <w:rFonts w:ascii="Garamond" w:hAnsi="Garamond"/>
          <w:sz w:val="24"/>
        </w:rPr>
        <w:t>-ja</w:t>
      </w:r>
      <w:r w:rsidRPr="00913E39">
        <w:rPr>
          <w:rFonts w:ascii="Garamond" w:hAnsi="Garamond"/>
          <w:sz w:val="24"/>
        </w:rPr>
        <w:t xml:space="preserve"> do të përdorë modelin e dhënë nga Komisioni.</w:t>
      </w:r>
    </w:p>
    <w:p w14:paraId="09ED1BB7" w14:textId="3D172101"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3</w:t>
      </w:r>
      <w:r w:rsidR="00A3681E" w:rsidRPr="00913E39">
        <w:rPr>
          <w:rFonts w:ascii="Garamond" w:hAnsi="Garamond"/>
          <w:sz w:val="24"/>
        </w:rPr>
        <w:t>.</w:t>
      </w:r>
      <w:r w:rsidRPr="00913E39">
        <w:rPr>
          <w:rFonts w:ascii="Garamond" w:hAnsi="Garamond"/>
          <w:sz w:val="24"/>
        </w:rPr>
        <w:t xml:space="preserve"> Për qëllimet e nenit 61(4) të FFPA</w:t>
      </w:r>
      <w:r w:rsidR="00604043" w:rsidRPr="00913E39">
        <w:rPr>
          <w:rFonts w:ascii="Garamond" w:hAnsi="Garamond"/>
          <w:sz w:val="24"/>
        </w:rPr>
        <w:t>-së</w:t>
      </w:r>
      <w:r w:rsidRPr="00913E39">
        <w:rPr>
          <w:rFonts w:ascii="Garamond" w:hAnsi="Garamond"/>
          <w:sz w:val="24"/>
        </w:rPr>
        <w:t>, NAO</w:t>
      </w:r>
      <w:r w:rsidR="00604043" w:rsidRPr="00913E39">
        <w:rPr>
          <w:rFonts w:ascii="Garamond" w:hAnsi="Garamond"/>
          <w:sz w:val="24"/>
        </w:rPr>
        <w:t>-ja</w:t>
      </w:r>
      <w:r w:rsidRPr="00913E39">
        <w:rPr>
          <w:rFonts w:ascii="Garamond" w:hAnsi="Garamond"/>
          <w:sz w:val="24"/>
        </w:rPr>
        <w:t xml:space="preserve"> duhet të paraqesë në format elektronik një kopje të të dhënave në sistemin e kontabilitetit të krijuar sipas nenit 4(4), deri në 15 janar të vitit të ardhshëm fiskal. Kjo duhet të mbështetet nga një raport përmbledhës i pa audituar financiar i nënshkruar, në përputhje me pikën c të </w:t>
      </w:r>
      <w:r w:rsidR="00D37241" w:rsidRPr="00913E39">
        <w:rPr>
          <w:rFonts w:ascii="Garamond" w:hAnsi="Garamond"/>
          <w:sz w:val="24"/>
        </w:rPr>
        <w:t xml:space="preserve">aneksit </w:t>
      </w:r>
      <w:r w:rsidRPr="00913E39">
        <w:rPr>
          <w:rFonts w:ascii="Garamond" w:hAnsi="Garamond"/>
          <w:sz w:val="24"/>
        </w:rPr>
        <w:t>III.</w:t>
      </w:r>
    </w:p>
    <w:p w14:paraId="684CF792" w14:textId="6EE20794"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4</w:t>
      </w:r>
      <w:r w:rsidR="00A3681E" w:rsidRPr="00913E39">
        <w:rPr>
          <w:rFonts w:ascii="Garamond" w:hAnsi="Garamond"/>
          <w:sz w:val="24"/>
        </w:rPr>
        <w:t>.</w:t>
      </w:r>
      <w:r w:rsidRPr="00913E39">
        <w:rPr>
          <w:rFonts w:ascii="Garamond" w:hAnsi="Garamond"/>
          <w:sz w:val="24"/>
        </w:rPr>
        <w:t xml:space="preserve"> Për qëllimin e kërkesave specifike të raportimit nën menaxhimin indirekt të përcaktuara në nenin 61 (2) (a) dhe 61 (3) të FFPA</w:t>
      </w:r>
      <w:r w:rsidR="00604043" w:rsidRPr="00913E39">
        <w:rPr>
          <w:rFonts w:ascii="Garamond" w:hAnsi="Garamond"/>
          <w:sz w:val="24"/>
        </w:rPr>
        <w:t>-së</w:t>
      </w:r>
      <w:r w:rsidRPr="00913E39">
        <w:rPr>
          <w:rFonts w:ascii="Garamond" w:hAnsi="Garamond"/>
          <w:sz w:val="24"/>
        </w:rPr>
        <w:t>, NAO</w:t>
      </w:r>
      <w:r w:rsidR="00604043" w:rsidRPr="00913E39">
        <w:rPr>
          <w:rFonts w:ascii="Garamond" w:hAnsi="Garamond"/>
          <w:sz w:val="24"/>
        </w:rPr>
        <w:t>-ja</w:t>
      </w:r>
      <w:r w:rsidRPr="00913E39">
        <w:rPr>
          <w:rFonts w:ascii="Garamond" w:hAnsi="Garamond"/>
          <w:sz w:val="24"/>
        </w:rPr>
        <w:t xml:space="preserve"> për përfituesin e IPA III përdor modelet e dhëna në pikat </w:t>
      </w:r>
      <w:r w:rsidR="00604043" w:rsidRPr="00913E39">
        <w:rPr>
          <w:rFonts w:ascii="Garamond" w:hAnsi="Garamond"/>
          <w:sz w:val="24"/>
        </w:rPr>
        <w:t>“</w:t>
      </w:r>
      <w:r w:rsidRPr="00913E39">
        <w:rPr>
          <w:rFonts w:ascii="Garamond" w:hAnsi="Garamond"/>
          <w:sz w:val="24"/>
        </w:rPr>
        <w:t>a</w:t>
      </w:r>
      <w:r w:rsidR="00604043" w:rsidRPr="00913E39">
        <w:rPr>
          <w:rFonts w:ascii="Garamond" w:hAnsi="Garamond"/>
          <w:sz w:val="24"/>
        </w:rPr>
        <w:t>”</w:t>
      </w:r>
      <w:r w:rsidRPr="00913E39">
        <w:rPr>
          <w:rFonts w:ascii="Garamond" w:hAnsi="Garamond"/>
          <w:sz w:val="24"/>
        </w:rPr>
        <w:t xml:space="preserve"> dhe </w:t>
      </w:r>
      <w:r w:rsidR="00604043" w:rsidRPr="00913E39">
        <w:rPr>
          <w:rFonts w:ascii="Garamond" w:hAnsi="Garamond"/>
          <w:sz w:val="24"/>
        </w:rPr>
        <w:t>“</w:t>
      </w:r>
      <w:r w:rsidRPr="00913E39">
        <w:rPr>
          <w:rFonts w:ascii="Garamond" w:hAnsi="Garamond"/>
          <w:sz w:val="24"/>
        </w:rPr>
        <w:t>b</w:t>
      </w:r>
      <w:r w:rsidR="00604043" w:rsidRPr="00913E39">
        <w:rPr>
          <w:rFonts w:ascii="Garamond" w:hAnsi="Garamond"/>
          <w:sz w:val="24"/>
        </w:rPr>
        <w:t>”</w:t>
      </w:r>
      <w:r w:rsidRPr="00913E39">
        <w:rPr>
          <w:rFonts w:ascii="Garamond" w:hAnsi="Garamond"/>
          <w:sz w:val="24"/>
        </w:rPr>
        <w:t xml:space="preserve"> të </w:t>
      </w:r>
      <w:r w:rsidR="00D37241" w:rsidRPr="00913E39">
        <w:rPr>
          <w:rFonts w:ascii="Garamond" w:hAnsi="Garamond"/>
          <w:sz w:val="24"/>
        </w:rPr>
        <w:t xml:space="preserve">aneksit </w:t>
      </w:r>
      <w:r w:rsidRPr="00913E39">
        <w:rPr>
          <w:rFonts w:ascii="Garamond" w:hAnsi="Garamond"/>
          <w:sz w:val="24"/>
        </w:rPr>
        <w:t>IV.</w:t>
      </w:r>
    </w:p>
    <w:p w14:paraId="6BC28FCD" w14:textId="77777777" w:rsidR="00A3681E" w:rsidRPr="00913E39" w:rsidRDefault="00A3681E" w:rsidP="005F4CBC">
      <w:pPr>
        <w:keepNext/>
        <w:spacing w:after="0" w:line="240" w:lineRule="auto"/>
        <w:ind w:firstLine="284"/>
        <w:outlineLvl w:val="1"/>
        <w:rPr>
          <w:rFonts w:ascii="Garamond" w:hAnsi="Garamond"/>
          <w:b/>
          <w:i/>
          <w:sz w:val="24"/>
        </w:rPr>
      </w:pPr>
    </w:p>
    <w:p w14:paraId="22139DAA" w14:textId="77777777" w:rsidR="005C67AB" w:rsidRPr="00913E39" w:rsidRDefault="005F4CBC" w:rsidP="00A3681E">
      <w:pPr>
        <w:keepNext/>
        <w:spacing w:after="0" w:line="240" w:lineRule="auto"/>
        <w:ind w:firstLine="284"/>
        <w:jc w:val="center"/>
        <w:outlineLvl w:val="1"/>
        <w:rPr>
          <w:rFonts w:ascii="Garamond" w:hAnsi="Garamond"/>
          <w:sz w:val="24"/>
        </w:rPr>
      </w:pPr>
      <w:r w:rsidRPr="00913E39">
        <w:rPr>
          <w:rFonts w:ascii="Garamond" w:hAnsi="Garamond"/>
          <w:sz w:val="24"/>
        </w:rPr>
        <w:t>Neni 15</w:t>
      </w:r>
    </w:p>
    <w:p w14:paraId="659455B4" w14:textId="77777777" w:rsidR="005F4CBC" w:rsidRPr="00913E39" w:rsidRDefault="005F4CBC" w:rsidP="00A3681E">
      <w:pPr>
        <w:keepNext/>
        <w:spacing w:after="0" w:line="240" w:lineRule="auto"/>
        <w:ind w:firstLine="284"/>
        <w:jc w:val="center"/>
        <w:outlineLvl w:val="1"/>
        <w:rPr>
          <w:rFonts w:ascii="Garamond" w:hAnsi="Garamond"/>
          <w:b/>
          <w:sz w:val="24"/>
        </w:rPr>
      </w:pPr>
      <w:r w:rsidRPr="00913E39">
        <w:rPr>
          <w:rFonts w:ascii="Garamond" w:hAnsi="Garamond"/>
          <w:b/>
          <w:sz w:val="24"/>
        </w:rPr>
        <w:t>Të drejtat e pronësisë intelektuale</w:t>
      </w:r>
    </w:p>
    <w:p w14:paraId="06A8B728" w14:textId="77777777" w:rsidR="005F4CBC" w:rsidRPr="00913E39" w:rsidRDefault="005F4CBC" w:rsidP="005F4CBC">
      <w:pPr>
        <w:spacing w:after="0" w:line="240" w:lineRule="auto"/>
        <w:ind w:firstLine="284"/>
        <w:jc w:val="both"/>
        <w:rPr>
          <w:rFonts w:ascii="Garamond" w:hAnsi="Garamond"/>
          <w:b/>
          <w:sz w:val="24"/>
        </w:rPr>
      </w:pPr>
    </w:p>
    <w:p w14:paraId="11872811"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5C67AB" w:rsidRPr="00913E39">
        <w:rPr>
          <w:rFonts w:ascii="Garamond" w:hAnsi="Garamond"/>
          <w:sz w:val="24"/>
        </w:rPr>
        <w:t>.</w:t>
      </w:r>
      <w:r w:rsidRPr="00913E39">
        <w:rPr>
          <w:rFonts w:ascii="Garamond" w:hAnsi="Garamond"/>
          <w:sz w:val="24"/>
        </w:rPr>
        <w:t xml:space="preserve"> Kontratat e financuara në kuadrin e e kësaj Marrëveshje Financimi duhet të sigurojnë që përfituesi IPA III të fitojë të gjitha të drejtat e nevojshme të pronësisë intelektuale në lidhje me teknologjinë e informacionit, studimet, vizatimet, planet, publikimin dhe çdo material tjetër të bërë për qëllime planifikimi, zbatimi, monitorimi dhe vlerësimi. </w:t>
      </w:r>
    </w:p>
    <w:p w14:paraId="0918BFF0" w14:textId="49B6CA4A"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lastRenderedPageBreak/>
        <w:t>2</w:t>
      </w:r>
      <w:r w:rsidR="005C67AB" w:rsidRPr="00913E39">
        <w:rPr>
          <w:rFonts w:ascii="Garamond" w:hAnsi="Garamond"/>
          <w:sz w:val="24"/>
        </w:rPr>
        <w:t>.</w:t>
      </w:r>
      <w:r w:rsidRPr="00913E39">
        <w:rPr>
          <w:rFonts w:ascii="Garamond" w:hAnsi="Garamond"/>
          <w:sz w:val="24"/>
        </w:rPr>
        <w:t xml:space="preserve"> Përfituesi IPA III duhet të garantojë që Komisioni, ose çdo organ apo person tjetër i autorizuar nga Komisioni, të ketë akses dhe të drejtën të përdorë këtë material. Komisioni do të përdorë këtë material vetëm për qëllimet e veta.</w:t>
      </w:r>
    </w:p>
    <w:p w14:paraId="158810AA" w14:textId="77777777" w:rsidR="005C67AB" w:rsidRPr="00913E39" w:rsidRDefault="005C67AB" w:rsidP="005F4CBC">
      <w:pPr>
        <w:keepNext/>
        <w:spacing w:after="0" w:line="240" w:lineRule="auto"/>
        <w:ind w:firstLine="284"/>
        <w:outlineLvl w:val="1"/>
        <w:rPr>
          <w:rFonts w:ascii="Garamond" w:hAnsi="Garamond"/>
          <w:b/>
          <w:i/>
          <w:sz w:val="24"/>
        </w:rPr>
      </w:pPr>
    </w:p>
    <w:p w14:paraId="1FF3FF42" w14:textId="77777777" w:rsidR="005C67AB" w:rsidRPr="00913E39" w:rsidRDefault="005F4CBC" w:rsidP="005C67AB">
      <w:pPr>
        <w:keepNext/>
        <w:spacing w:after="0" w:line="240" w:lineRule="auto"/>
        <w:ind w:firstLine="284"/>
        <w:jc w:val="center"/>
        <w:outlineLvl w:val="1"/>
        <w:rPr>
          <w:rFonts w:ascii="Garamond" w:hAnsi="Garamond"/>
          <w:sz w:val="24"/>
        </w:rPr>
      </w:pPr>
      <w:r w:rsidRPr="00913E39">
        <w:rPr>
          <w:rFonts w:ascii="Garamond" w:hAnsi="Garamond"/>
          <w:sz w:val="24"/>
        </w:rPr>
        <w:t xml:space="preserve">Neni 16 </w:t>
      </w:r>
    </w:p>
    <w:p w14:paraId="6E9454F9" w14:textId="77777777" w:rsidR="005F4CBC" w:rsidRPr="00913E39" w:rsidRDefault="005F4CBC" w:rsidP="005C67AB">
      <w:pPr>
        <w:keepNext/>
        <w:spacing w:after="0" w:line="240" w:lineRule="auto"/>
        <w:ind w:firstLine="284"/>
        <w:jc w:val="center"/>
        <w:outlineLvl w:val="1"/>
        <w:rPr>
          <w:rFonts w:ascii="Garamond" w:hAnsi="Garamond"/>
          <w:b/>
          <w:sz w:val="24"/>
        </w:rPr>
      </w:pPr>
      <w:r w:rsidRPr="00913E39">
        <w:rPr>
          <w:rFonts w:ascii="Garamond" w:hAnsi="Garamond"/>
          <w:b/>
          <w:sz w:val="24"/>
        </w:rPr>
        <w:t xml:space="preserve"> Konsultimi ndërmjet përfituesit IPA III dhe Komisionit</w:t>
      </w:r>
    </w:p>
    <w:p w14:paraId="4B8CD808" w14:textId="77777777" w:rsidR="005F4CBC" w:rsidRPr="00913E39" w:rsidRDefault="005F4CBC" w:rsidP="005F4CBC">
      <w:pPr>
        <w:spacing w:after="0" w:line="240" w:lineRule="auto"/>
        <w:ind w:firstLine="284"/>
        <w:jc w:val="both"/>
        <w:rPr>
          <w:rFonts w:ascii="Garamond" w:hAnsi="Garamond"/>
          <w:b/>
          <w:sz w:val="24"/>
        </w:rPr>
      </w:pPr>
    </w:p>
    <w:p w14:paraId="7548833E"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5C67AB" w:rsidRPr="00913E39">
        <w:rPr>
          <w:rFonts w:ascii="Garamond" w:hAnsi="Garamond"/>
          <w:sz w:val="24"/>
        </w:rPr>
        <w:t>.</w:t>
      </w:r>
      <w:r w:rsidRPr="00913E39">
        <w:rPr>
          <w:rFonts w:ascii="Garamond" w:hAnsi="Garamond"/>
          <w:sz w:val="24"/>
        </w:rPr>
        <w:t xml:space="preserve"> Përfituesi IPA III dhe Komisioni konsultohen me njëri-tjetrin para krijimit të ndonjë mosmarrëveshjeje në lidhje me zbatimin ose interpretimin e kësaj Marrëveshje Financimi më tej në zbatim të nenit 20.</w:t>
      </w:r>
    </w:p>
    <w:p w14:paraId="1DC6842D" w14:textId="5A59B4C3" w:rsidR="005F4CBC" w:rsidRPr="00913E39" w:rsidRDefault="005F4CBC" w:rsidP="00D061BD">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5C67AB" w:rsidRPr="00913E39">
        <w:rPr>
          <w:rFonts w:ascii="Garamond" w:hAnsi="Garamond"/>
          <w:sz w:val="24"/>
        </w:rPr>
        <w:t>.</w:t>
      </w:r>
      <w:r w:rsidRPr="00913E39">
        <w:rPr>
          <w:rFonts w:ascii="Garamond" w:hAnsi="Garamond"/>
          <w:sz w:val="24"/>
        </w:rPr>
        <w:t xml:space="preserve"> Nëse Komisioni vihet në dijeni të problemeve për kryerjen e procedurave në lidhje me zbatimin e kësaj Marrëveshje Financimi, ai vendos të gjitha kontaktet e nevojshme me përfituesin IPA III për të rregulluar dhe për të ndërmarrë çdo hap të nevojshëm.</w:t>
      </w:r>
    </w:p>
    <w:p w14:paraId="63C98717"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3</w:t>
      </w:r>
      <w:r w:rsidR="005C67AB" w:rsidRPr="00913E39">
        <w:rPr>
          <w:rFonts w:ascii="Garamond" w:hAnsi="Garamond"/>
          <w:sz w:val="24"/>
        </w:rPr>
        <w:t>.</w:t>
      </w:r>
      <w:r w:rsidRPr="00913E39">
        <w:rPr>
          <w:rFonts w:ascii="Garamond" w:hAnsi="Garamond"/>
          <w:sz w:val="24"/>
        </w:rPr>
        <w:t xml:space="preserve"> Konsultimi mund të çojë në një ndryshim, pezullim ose ndërprerjen e kësaj Marrëveshje Financimi. </w:t>
      </w:r>
    </w:p>
    <w:p w14:paraId="455067E7" w14:textId="13882F42"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4</w:t>
      </w:r>
      <w:r w:rsidR="005C67AB" w:rsidRPr="00913E39">
        <w:rPr>
          <w:rFonts w:ascii="Garamond" w:hAnsi="Garamond"/>
          <w:sz w:val="24"/>
        </w:rPr>
        <w:t>.</w:t>
      </w:r>
      <w:r w:rsidRPr="00913E39">
        <w:rPr>
          <w:rFonts w:ascii="Garamond" w:hAnsi="Garamond"/>
          <w:sz w:val="24"/>
        </w:rPr>
        <w:t xml:space="preserve"> Komisioni vë në dijeni rregullisht përfituesin IPA III mbi zbatimin e aktiviteteve të përshkruara në </w:t>
      </w:r>
      <w:r w:rsidR="00604043" w:rsidRPr="00913E39">
        <w:rPr>
          <w:rFonts w:ascii="Garamond" w:hAnsi="Garamond"/>
          <w:sz w:val="24"/>
        </w:rPr>
        <w:t xml:space="preserve">aneksin </w:t>
      </w:r>
      <w:r w:rsidRPr="00913E39">
        <w:rPr>
          <w:rFonts w:ascii="Garamond" w:hAnsi="Garamond"/>
          <w:sz w:val="24"/>
        </w:rPr>
        <w:t>I</w:t>
      </w:r>
      <w:r w:rsidR="00604043" w:rsidRPr="00913E39">
        <w:rPr>
          <w:rFonts w:ascii="Garamond" w:hAnsi="Garamond"/>
          <w:sz w:val="24"/>
        </w:rPr>
        <w:t>,</w:t>
      </w:r>
      <w:r w:rsidRPr="00913E39">
        <w:rPr>
          <w:rFonts w:ascii="Garamond" w:hAnsi="Garamond"/>
          <w:sz w:val="24"/>
        </w:rPr>
        <w:t xml:space="preserve"> të cilat nuk janë në </w:t>
      </w:r>
      <w:r w:rsidR="00604043" w:rsidRPr="00913E39">
        <w:rPr>
          <w:rFonts w:ascii="Garamond" w:hAnsi="Garamond"/>
          <w:sz w:val="24"/>
        </w:rPr>
        <w:t>pjesën e parë të kushteve të përgjithshme</w:t>
      </w:r>
      <w:r w:rsidRPr="00913E39">
        <w:rPr>
          <w:rFonts w:ascii="Garamond" w:hAnsi="Garamond"/>
          <w:sz w:val="24"/>
        </w:rPr>
        <w:t>.</w:t>
      </w:r>
    </w:p>
    <w:p w14:paraId="38AEEDFF" w14:textId="77777777" w:rsidR="005C67AB" w:rsidRPr="00913E39" w:rsidRDefault="005C67AB" w:rsidP="005F4CBC">
      <w:pPr>
        <w:keepNext/>
        <w:spacing w:after="0" w:line="240" w:lineRule="auto"/>
        <w:ind w:firstLine="284"/>
        <w:outlineLvl w:val="1"/>
        <w:rPr>
          <w:rFonts w:ascii="Garamond" w:hAnsi="Garamond"/>
          <w:b/>
          <w:i/>
          <w:sz w:val="24"/>
        </w:rPr>
      </w:pPr>
    </w:p>
    <w:p w14:paraId="29ED2AC0" w14:textId="77777777" w:rsidR="005C67AB" w:rsidRPr="00913E39" w:rsidRDefault="005F4CBC" w:rsidP="005C67AB">
      <w:pPr>
        <w:keepNext/>
        <w:spacing w:after="0" w:line="240" w:lineRule="auto"/>
        <w:ind w:firstLine="284"/>
        <w:jc w:val="center"/>
        <w:outlineLvl w:val="1"/>
        <w:rPr>
          <w:rFonts w:ascii="Garamond" w:hAnsi="Garamond"/>
          <w:sz w:val="24"/>
        </w:rPr>
      </w:pPr>
      <w:r w:rsidRPr="00913E39">
        <w:rPr>
          <w:rFonts w:ascii="Garamond" w:hAnsi="Garamond"/>
          <w:sz w:val="24"/>
        </w:rPr>
        <w:t xml:space="preserve">Neni 17 </w:t>
      </w:r>
    </w:p>
    <w:p w14:paraId="0A8DDCCC" w14:textId="77777777" w:rsidR="005F4CBC" w:rsidRPr="00913E39" w:rsidRDefault="005F4CBC" w:rsidP="005C67AB">
      <w:pPr>
        <w:keepNext/>
        <w:spacing w:after="0" w:line="240" w:lineRule="auto"/>
        <w:ind w:firstLine="284"/>
        <w:jc w:val="center"/>
        <w:outlineLvl w:val="1"/>
        <w:rPr>
          <w:rFonts w:ascii="Garamond" w:hAnsi="Garamond"/>
          <w:b/>
          <w:sz w:val="24"/>
        </w:rPr>
      </w:pPr>
      <w:r w:rsidRPr="00913E39">
        <w:rPr>
          <w:rFonts w:ascii="Garamond" w:hAnsi="Garamond"/>
          <w:b/>
          <w:sz w:val="24"/>
        </w:rPr>
        <w:t>Ndryshimi i Marrëveshjes së Financimit</w:t>
      </w:r>
    </w:p>
    <w:p w14:paraId="7F5C37CD" w14:textId="77777777" w:rsidR="005F4CBC" w:rsidRPr="00913E39" w:rsidRDefault="005F4CBC" w:rsidP="005F4CBC">
      <w:pPr>
        <w:spacing w:after="0" w:line="240" w:lineRule="auto"/>
        <w:ind w:firstLine="284"/>
        <w:jc w:val="both"/>
        <w:rPr>
          <w:rFonts w:ascii="Garamond" w:hAnsi="Garamond"/>
          <w:b/>
          <w:sz w:val="24"/>
        </w:rPr>
      </w:pPr>
    </w:p>
    <w:p w14:paraId="0FD5AE6F"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5C67AB" w:rsidRPr="00913E39">
        <w:rPr>
          <w:rFonts w:ascii="Garamond" w:hAnsi="Garamond"/>
          <w:sz w:val="24"/>
        </w:rPr>
        <w:t>.</w:t>
      </w:r>
      <w:r w:rsidRPr="00913E39">
        <w:rPr>
          <w:rFonts w:ascii="Garamond" w:hAnsi="Garamond"/>
          <w:sz w:val="24"/>
        </w:rPr>
        <w:t xml:space="preserve"> Çdo ndryshim i kësaj Marrëveshjeje Financimi bëhet me shkrim, përfshirë shkëmbimin e shkresave.</w:t>
      </w:r>
    </w:p>
    <w:p w14:paraId="13918EA6" w14:textId="06C47EAE"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5C67AB" w:rsidRPr="00913E39">
        <w:rPr>
          <w:rFonts w:ascii="Garamond" w:hAnsi="Garamond"/>
          <w:sz w:val="24"/>
        </w:rPr>
        <w:t>.</w:t>
      </w:r>
      <w:r w:rsidRPr="00913E39">
        <w:rPr>
          <w:rFonts w:ascii="Garamond" w:hAnsi="Garamond"/>
          <w:sz w:val="24"/>
        </w:rPr>
        <w:t xml:space="preserve"> Nëse përfituesi i IPA III kërkon një ndryshim, kërkesa duhet t</w:t>
      </w:r>
      <w:r w:rsidR="005222A5" w:rsidRPr="00913E39">
        <w:rPr>
          <w:rFonts w:ascii="Garamond" w:hAnsi="Garamond"/>
          <w:sz w:val="24"/>
        </w:rPr>
        <w:t>’</w:t>
      </w:r>
      <w:r w:rsidRPr="00913E39">
        <w:rPr>
          <w:rFonts w:ascii="Garamond" w:hAnsi="Garamond"/>
          <w:sz w:val="24"/>
        </w:rPr>
        <w:t>i paraqitet Komisionit të paktën tre muaj para se ky ndryshim të synohet të hyjë në fuqi, përveçse rasteve të justifikuara.</w:t>
      </w:r>
    </w:p>
    <w:p w14:paraId="521A443B" w14:textId="047B5739"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3</w:t>
      </w:r>
      <w:r w:rsidR="005C67AB" w:rsidRPr="00913E39">
        <w:rPr>
          <w:rFonts w:ascii="Garamond" w:hAnsi="Garamond"/>
          <w:sz w:val="24"/>
        </w:rPr>
        <w:t>.</w:t>
      </w:r>
      <w:r w:rsidRPr="00913E39">
        <w:rPr>
          <w:rFonts w:ascii="Garamond" w:hAnsi="Garamond"/>
          <w:sz w:val="24"/>
        </w:rPr>
        <w:t xml:space="preserve"> Komisioni mund të ndryshojë </w:t>
      </w:r>
      <w:r w:rsidR="00A5451D" w:rsidRPr="00913E39">
        <w:rPr>
          <w:rFonts w:ascii="Garamond" w:hAnsi="Garamond"/>
          <w:sz w:val="24"/>
        </w:rPr>
        <w:t xml:space="preserve">dokumentet në anekset </w:t>
      </w:r>
      <w:r w:rsidRPr="00913E39">
        <w:rPr>
          <w:rFonts w:ascii="Garamond" w:hAnsi="Garamond"/>
          <w:sz w:val="24"/>
        </w:rPr>
        <w:t>III</w:t>
      </w:r>
      <w:r w:rsidR="00A5451D" w:rsidRPr="00913E39">
        <w:rPr>
          <w:rFonts w:ascii="Garamond" w:hAnsi="Garamond"/>
          <w:sz w:val="24"/>
        </w:rPr>
        <w:t>–</w:t>
      </w:r>
      <w:r w:rsidRPr="00913E39">
        <w:rPr>
          <w:rFonts w:ascii="Garamond" w:hAnsi="Garamond"/>
          <w:sz w:val="24"/>
        </w:rPr>
        <w:t>VII</w:t>
      </w:r>
      <w:r w:rsidR="00A5451D" w:rsidRPr="00913E39">
        <w:rPr>
          <w:rFonts w:ascii="Garamond" w:hAnsi="Garamond"/>
          <w:sz w:val="24"/>
        </w:rPr>
        <w:t xml:space="preserve"> </w:t>
      </w:r>
      <w:r w:rsidRPr="00913E39">
        <w:rPr>
          <w:rFonts w:ascii="Garamond" w:hAnsi="Garamond"/>
          <w:sz w:val="24"/>
        </w:rPr>
        <w:t>pa qenë nevoja për ndryshimin e kësaj Marrëveshjeje Financimi. Përfituesi i IPA III informohen me shkrim për çdo ndryshim të tillë dhe hyrjen e tij në fuqi.</w:t>
      </w:r>
    </w:p>
    <w:p w14:paraId="54B861AD" w14:textId="77777777" w:rsidR="005C67AB" w:rsidRPr="00913E39" w:rsidRDefault="005C67AB" w:rsidP="005F4CBC">
      <w:pPr>
        <w:keepNext/>
        <w:spacing w:after="0" w:line="240" w:lineRule="auto"/>
        <w:ind w:firstLine="284"/>
        <w:outlineLvl w:val="1"/>
        <w:rPr>
          <w:rFonts w:ascii="Garamond" w:hAnsi="Garamond"/>
          <w:b/>
          <w:sz w:val="24"/>
        </w:rPr>
      </w:pPr>
    </w:p>
    <w:p w14:paraId="4088064F" w14:textId="77777777" w:rsidR="005C67AB" w:rsidRPr="00913E39" w:rsidRDefault="005F4CBC" w:rsidP="005C67AB">
      <w:pPr>
        <w:keepNext/>
        <w:spacing w:after="0" w:line="240" w:lineRule="auto"/>
        <w:ind w:firstLine="284"/>
        <w:jc w:val="center"/>
        <w:outlineLvl w:val="1"/>
        <w:rPr>
          <w:rFonts w:ascii="Garamond" w:hAnsi="Garamond"/>
          <w:sz w:val="24"/>
        </w:rPr>
      </w:pPr>
      <w:r w:rsidRPr="00913E39">
        <w:rPr>
          <w:rFonts w:ascii="Garamond" w:hAnsi="Garamond"/>
          <w:sz w:val="24"/>
        </w:rPr>
        <w:t xml:space="preserve">Neni 18 </w:t>
      </w:r>
    </w:p>
    <w:p w14:paraId="3D66E415" w14:textId="77777777" w:rsidR="005F4CBC" w:rsidRPr="00913E39" w:rsidRDefault="005F4CBC" w:rsidP="005C67AB">
      <w:pPr>
        <w:keepNext/>
        <w:spacing w:after="0" w:line="240" w:lineRule="auto"/>
        <w:ind w:firstLine="284"/>
        <w:jc w:val="center"/>
        <w:outlineLvl w:val="1"/>
        <w:rPr>
          <w:rFonts w:ascii="Garamond" w:hAnsi="Garamond"/>
          <w:b/>
          <w:sz w:val="24"/>
        </w:rPr>
      </w:pPr>
      <w:r w:rsidRPr="00913E39">
        <w:rPr>
          <w:rFonts w:ascii="Garamond" w:hAnsi="Garamond"/>
          <w:b/>
          <w:sz w:val="24"/>
        </w:rPr>
        <w:t>Pezullimi i kësaj Marrëveshjeje Financimi</w:t>
      </w:r>
    </w:p>
    <w:p w14:paraId="2F48DC3C" w14:textId="77777777" w:rsidR="005F4CBC" w:rsidRPr="00913E39" w:rsidRDefault="005F4CBC" w:rsidP="005C67AB">
      <w:pPr>
        <w:spacing w:after="0" w:line="240" w:lineRule="auto"/>
        <w:ind w:firstLine="284"/>
        <w:jc w:val="center"/>
        <w:rPr>
          <w:rFonts w:ascii="Garamond" w:hAnsi="Garamond"/>
          <w:b/>
          <w:sz w:val="24"/>
        </w:rPr>
      </w:pPr>
    </w:p>
    <w:p w14:paraId="1935C523" w14:textId="77777777" w:rsidR="005F4CBC" w:rsidRPr="00913E39" w:rsidRDefault="005F4CBC" w:rsidP="005F4CBC">
      <w:pPr>
        <w:tabs>
          <w:tab w:val="left" w:pos="460"/>
        </w:tabs>
        <w:spacing w:after="0" w:line="240" w:lineRule="auto"/>
        <w:ind w:firstLine="284"/>
        <w:contextualSpacing/>
        <w:jc w:val="both"/>
        <w:rPr>
          <w:rFonts w:ascii="Garamond" w:hAnsi="Garamond"/>
          <w:sz w:val="24"/>
        </w:rPr>
      </w:pPr>
      <w:r w:rsidRPr="00913E39">
        <w:rPr>
          <w:rFonts w:ascii="Garamond" w:hAnsi="Garamond"/>
          <w:sz w:val="24"/>
        </w:rPr>
        <w:t>1</w:t>
      </w:r>
      <w:r w:rsidR="005C67AB" w:rsidRPr="00913E39">
        <w:rPr>
          <w:rFonts w:ascii="Garamond" w:hAnsi="Garamond"/>
          <w:sz w:val="24"/>
        </w:rPr>
        <w:t>.</w:t>
      </w:r>
      <w:r w:rsidRPr="00913E39">
        <w:rPr>
          <w:rFonts w:ascii="Garamond" w:hAnsi="Garamond"/>
          <w:sz w:val="24"/>
        </w:rPr>
        <w:t xml:space="preserve"> Marrëveshja e Financimit mund të pezullohet në rastet e mëposhtme:   </w:t>
      </w:r>
    </w:p>
    <w:p w14:paraId="3ED8934D"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a) Komisioni mund të pezullojë zbatimin e kësaj Marrëveshjeje Financimi nëse përfituesi i IPA III shkel një detyrim sipas kësaj Marrëveshjeje Financimi;</w:t>
      </w:r>
    </w:p>
    <w:p w14:paraId="1597C4AC"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b) Komisioni mund të pezullojë zbatimin e kësaj Marrëveshjeje Financimi nëse përfituesi i IPA III shkel ndonjë detyrim të përcaktuar sipas procedurave dhe dokumenteve standarde të përmendura në nenin 18(2) të FFPA;</w:t>
      </w:r>
    </w:p>
    <w:p w14:paraId="7A60A9D6" w14:textId="1E247FA5"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c) Komisioni mund të pezullojë zbatimin e kësaj Marrëveshjeje Financimi nëse përfituesi i IPA III nuk përmbush kërkesat për t</w:t>
      </w:r>
      <w:r w:rsidR="005222A5" w:rsidRPr="00913E39">
        <w:rPr>
          <w:rFonts w:ascii="Garamond" w:hAnsi="Garamond"/>
          <w:sz w:val="24"/>
        </w:rPr>
        <w:t>’</w:t>
      </w:r>
      <w:r w:rsidRPr="00913E39">
        <w:rPr>
          <w:rFonts w:ascii="Garamond" w:hAnsi="Garamond"/>
          <w:sz w:val="24"/>
        </w:rPr>
        <w:t>i besuar detyrat e zbatimit të buxhetit;</w:t>
      </w:r>
    </w:p>
    <w:p w14:paraId="69606F26"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d) Komisioni mund të pezullojë zbatimin e kësaj Marrëveshjeje Financimi nëse përfituesi i IPA III vendos të pezullojë ose të pushojë procesin e anëtarësimit në BE;</w:t>
      </w:r>
    </w:p>
    <w:p w14:paraId="3395011D" w14:textId="77777777"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e) Komisioni mund të pezullojë këtë Marrëveshje Financimi nëse përfituesi i IPA III shkel detyrimin në lidhje me respektimin e të drejtave të njeriut, parimet demokratike dhe shtetit ligjor si dhe në rastet e rënda të korrupsionit ose nëse përfituesi i IPA III është fajtor për shkelje të rëndë profesionale të provuar me çdo mjet të justifikuar; Shkelje e rëndë profesionale duhet të kuptohet si një nga sa vijon:</w:t>
      </w:r>
    </w:p>
    <w:p w14:paraId="7658761F" w14:textId="1442E692" w:rsidR="005F4CBC" w:rsidRPr="00913E39" w:rsidRDefault="005C67AB" w:rsidP="005F4CBC">
      <w:pPr>
        <w:tabs>
          <w:tab w:val="left" w:pos="1220"/>
        </w:tabs>
        <w:spacing w:after="0" w:line="240" w:lineRule="auto"/>
        <w:ind w:firstLine="284"/>
        <w:contextualSpacing/>
        <w:jc w:val="both"/>
        <w:rPr>
          <w:rFonts w:ascii="Garamond" w:hAnsi="Garamond"/>
          <w:sz w:val="24"/>
        </w:rPr>
      </w:pPr>
      <w:r w:rsidRPr="00913E39">
        <w:rPr>
          <w:rFonts w:ascii="Garamond" w:hAnsi="Garamond"/>
          <w:sz w:val="24"/>
        </w:rPr>
        <w:t xml:space="preserve">- </w:t>
      </w:r>
      <w:r w:rsidR="005F4CBC" w:rsidRPr="00913E39">
        <w:rPr>
          <w:rFonts w:ascii="Garamond" w:hAnsi="Garamond"/>
          <w:sz w:val="24"/>
        </w:rPr>
        <w:t>shkelje e ligjeve ose rregulloreve në fuqi ose standardeve etike të profesionit të cilit i përket një person ose subjekt</w:t>
      </w:r>
      <w:r w:rsidR="008824FD" w:rsidRPr="00913E39">
        <w:rPr>
          <w:rFonts w:ascii="Garamond" w:hAnsi="Garamond"/>
          <w:sz w:val="24"/>
        </w:rPr>
        <w:t>;</w:t>
      </w:r>
      <w:r w:rsidR="005F4CBC" w:rsidRPr="00913E39">
        <w:rPr>
          <w:rFonts w:ascii="Garamond" w:hAnsi="Garamond"/>
          <w:sz w:val="24"/>
        </w:rPr>
        <w:t xml:space="preserve"> ose</w:t>
      </w:r>
    </w:p>
    <w:p w14:paraId="3AB87321" w14:textId="65942D61" w:rsidR="005F4CBC" w:rsidRPr="00913E39" w:rsidRDefault="005C67AB" w:rsidP="005F4CBC">
      <w:pPr>
        <w:tabs>
          <w:tab w:val="left" w:pos="1220"/>
        </w:tabs>
        <w:spacing w:after="0" w:line="240" w:lineRule="auto"/>
        <w:ind w:firstLine="284"/>
        <w:contextualSpacing/>
        <w:jc w:val="both"/>
        <w:rPr>
          <w:rFonts w:ascii="Garamond" w:hAnsi="Garamond"/>
          <w:sz w:val="24"/>
        </w:rPr>
      </w:pPr>
      <w:r w:rsidRPr="00913E39">
        <w:rPr>
          <w:rFonts w:ascii="Garamond" w:hAnsi="Garamond"/>
          <w:sz w:val="24"/>
        </w:rPr>
        <w:t xml:space="preserve">- </w:t>
      </w:r>
      <w:r w:rsidR="005F4CBC" w:rsidRPr="00913E39">
        <w:rPr>
          <w:rFonts w:ascii="Garamond" w:hAnsi="Garamond"/>
          <w:sz w:val="24"/>
        </w:rPr>
        <w:t>çdo sjellje e gabuar e një personi ose subjekti që ka ndikim në besueshmërinë e tij profesionale, kur kjo sjellje tregon qëllim të gabuar ose pakujdesi të rëndë.</w:t>
      </w:r>
    </w:p>
    <w:p w14:paraId="51259A2B" w14:textId="009DC0E0" w:rsidR="005F4CBC" w:rsidRPr="00913E39" w:rsidRDefault="005F4CBC" w:rsidP="005F4CBC">
      <w:pPr>
        <w:tabs>
          <w:tab w:val="left" w:pos="880"/>
        </w:tabs>
        <w:spacing w:after="0" w:line="240" w:lineRule="auto"/>
        <w:ind w:firstLine="284"/>
        <w:contextualSpacing/>
        <w:jc w:val="both"/>
        <w:rPr>
          <w:rFonts w:ascii="Garamond" w:hAnsi="Garamond"/>
          <w:sz w:val="24"/>
        </w:rPr>
      </w:pPr>
      <w:r w:rsidRPr="00913E39">
        <w:rPr>
          <w:rFonts w:ascii="Garamond" w:hAnsi="Garamond"/>
          <w:sz w:val="24"/>
        </w:rPr>
        <w:t xml:space="preserve">f) Marrëveshja e Financimit mund të pezullohet në rastet e të ndonjë fatkeqësie natyrore, siç përcaktohet më poshtë. </w:t>
      </w:r>
      <w:r w:rsidR="00850FC7" w:rsidRPr="00913E39">
        <w:rPr>
          <w:rFonts w:ascii="Garamond" w:hAnsi="Garamond"/>
          <w:sz w:val="24"/>
        </w:rPr>
        <w:t>“</w:t>
      </w:r>
      <w:r w:rsidRPr="00913E39">
        <w:rPr>
          <w:rFonts w:ascii="Garamond" w:hAnsi="Garamond"/>
          <w:sz w:val="24"/>
        </w:rPr>
        <w:t>Fatkeqësie natyrore</w:t>
      </w:r>
      <w:r w:rsidR="00850FC7" w:rsidRPr="00913E39">
        <w:rPr>
          <w:rFonts w:ascii="Garamond" w:hAnsi="Garamond"/>
          <w:sz w:val="24"/>
        </w:rPr>
        <w:t>”</w:t>
      </w:r>
      <w:r w:rsidRPr="00913E39">
        <w:rPr>
          <w:rFonts w:ascii="Garamond" w:hAnsi="Garamond"/>
          <w:sz w:val="24"/>
        </w:rPr>
        <w:t xml:space="preserve"> është çdo situatë ose ngjarje e paparashikueshme dhe e jashtëzakonshme përtej kontrollit të palëve që pengon secilën prej tyre në përmbushjen e detyrimeve të tyre, që nuk i caktohet një gabimi apo pakujdesie nga ana e tyre (ose nga ana e kontraktuesve, agjentëve apo të punësuarve të tyre) dhe që rezulton e pakapërcyeshme pavarësisht kujdesit të duhur. Defektet në </w:t>
      </w:r>
      <w:r w:rsidRPr="00913E39">
        <w:rPr>
          <w:rFonts w:ascii="Garamond" w:hAnsi="Garamond"/>
          <w:sz w:val="24"/>
        </w:rPr>
        <w:lastRenderedPageBreak/>
        <w:t xml:space="preserve">pajisje ose materiale apo vonesat në vënien e tyre në dispozicion, mosmarrëveshjet në punë, grevat ose vështirësitë financiare nuk mund të merren si fatkeqësie natyrore. </w:t>
      </w:r>
    </w:p>
    <w:p w14:paraId="2A985404" w14:textId="3EFD14A9"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Një palë nuk mund të shpallet në shkelje të detyrimeve të saj nëse pengohet t</w:t>
      </w:r>
      <w:r w:rsidR="005222A5" w:rsidRPr="00913E39">
        <w:rPr>
          <w:rFonts w:ascii="Garamond" w:hAnsi="Garamond"/>
          <w:sz w:val="24"/>
        </w:rPr>
        <w:t>’</w:t>
      </w:r>
      <w:r w:rsidRPr="00913E39">
        <w:rPr>
          <w:rFonts w:ascii="Garamond" w:hAnsi="Garamond"/>
          <w:sz w:val="24"/>
        </w:rPr>
        <w:t>i përmbushë ato nga një rast të ndonjë fatkeqësie natyrore për të cilën pala tjetër është informuar në mënyrën e duhur.  Një palë që përballet me fatkeqësi natyrore duhet të informojë palën tjetër pa vonesë, duke deklaruar natyrën, kohëzgjatjen e mundshme dhe efektet e parashikueshme të problemit, dhe ndonjë masë për minimizimin e dëmit të mundshëm. Nëse fatkeqësia natyrore ndikon vetëm në një pjesë të Programit, pezullimi i Marrëveshjes së Financimit mund të jetë i pjesshëm Asnjë nga Palët nuk mund të shpallet përgjegjëse për shkelje të detyrimeve të saj sipas kësaj Marrëveshjeje Financimi nëse pengohet në përmbushjen e tyre për shkak të një fatkeqësie natyrore, me kusht që të marrë masat për të minimizuar çdo dëm të mundshëm.</w:t>
      </w:r>
    </w:p>
    <w:p w14:paraId="30DBE29D"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5C67AB" w:rsidRPr="00913E39">
        <w:rPr>
          <w:rFonts w:ascii="Garamond" w:hAnsi="Garamond"/>
          <w:sz w:val="24"/>
        </w:rPr>
        <w:t>.</w:t>
      </w:r>
      <w:r w:rsidRPr="00913E39">
        <w:rPr>
          <w:rFonts w:ascii="Garamond" w:hAnsi="Garamond"/>
          <w:sz w:val="24"/>
        </w:rPr>
        <w:t xml:space="preserve"> Komisioni mund të pezullojë këtë Marrëveshje Financimi pa njoftim paraprak.</w:t>
      </w:r>
    </w:p>
    <w:p w14:paraId="7E916D9C"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3</w:t>
      </w:r>
      <w:r w:rsidR="005C67AB" w:rsidRPr="00913E39">
        <w:rPr>
          <w:rFonts w:ascii="Garamond" w:hAnsi="Garamond"/>
          <w:sz w:val="24"/>
        </w:rPr>
        <w:t>.</w:t>
      </w:r>
      <w:r w:rsidRPr="00913E39">
        <w:rPr>
          <w:rFonts w:ascii="Garamond" w:hAnsi="Garamond"/>
          <w:sz w:val="24"/>
        </w:rPr>
        <w:t xml:space="preserve"> Komisioni mund të marrë të gjitha masat e nevojshme paraprake para se të ndodhë pezullimi.</w:t>
      </w:r>
    </w:p>
    <w:p w14:paraId="2C26EBF0"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4</w:t>
      </w:r>
      <w:r w:rsidR="005C67AB" w:rsidRPr="00913E39">
        <w:rPr>
          <w:rFonts w:ascii="Garamond" w:hAnsi="Garamond"/>
          <w:sz w:val="24"/>
        </w:rPr>
        <w:t>.</w:t>
      </w:r>
      <w:r w:rsidRPr="00913E39">
        <w:rPr>
          <w:rFonts w:ascii="Garamond" w:hAnsi="Garamond"/>
          <w:sz w:val="24"/>
        </w:rPr>
        <w:t xml:space="preserve"> Në rastin kur njoftohet pezullimi, duhet të tregohen pasojat për kontratat e prokurimit në vijim apo që do të nënshkruhet dhe kontratat e granteve, si dhe marrëveshjet e kontributit.</w:t>
      </w:r>
    </w:p>
    <w:p w14:paraId="6C36302D"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5</w:t>
      </w:r>
      <w:r w:rsidR="005C67AB" w:rsidRPr="00913E39">
        <w:rPr>
          <w:rFonts w:ascii="Garamond" w:hAnsi="Garamond"/>
          <w:sz w:val="24"/>
        </w:rPr>
        <w:t>.</w:t>
      </w:r>
      <w:r w:rsidRPr="00913E39">
        <w:rPr>
          <w:rFonts w:ascii="Garamond" w:hAnsi="Garamond"/>
          <w:sz w:val="24"/>
        </w:rPr>
        <w:t xml:space="preserve"> Pezullimi i Marrëveshjes së Financimit bëhet pa cenuar ndërprerjen e pagesave dhe mbarimin e kësaj Marrëveshjeje Financimi nga Komisioni në përputhje me nenin 7 dhe nenin 19.</w:t>
      </w:r>
    </w:p>
    <w:p w14:paraId="75E30DF4" w14:textId="0E0E7595"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6</w:t>
      </w:r>
      <w:r w:rsidR="005C67AB" w:rsidRPr="00913E39">
        <w:rPr>
          <w:rFonts w:ascii="Garamond" w:hAnsi="Garamond"/>
          <w:sz w:val="24"/>
        </w:rPr>
        <w:t>.</w:t>
      </w:r>
      <w:r w:rsidRPr="00913E39">
        <w:rPr>
          <w:rFonts w:ascii="Garamond" w:hAnsi="Garamond"/>
          <w:sz w:val="24"/>
        </w:rPr>
        <w:t xml:space="preserve"> Palët e përfshira fillojnë zbatimin e Marrëveshjes së Financimit menjëherë pasi këtë e lejojnë kushtet me miratimin paraprak me shkrim të Komisionit. Kjo bëhet pa cenuar ndonjë ndryshim të kësaj Marrëveshjeje Financimi që mund të jetë i nevojshëm për të përshtatur Programin me kushtet e reja të zbatimit, duke përfshirë, nëse është e mundur, zgjatjen e periudhës së pranueshmërisë, ose ndërprerjen e kësaj Marrëveshjeje Financimi në përputhje me nenin 19.</w:t>
      </w:r>
    </w:p>
    <w:p w14:paraId="229B4127" w14:textId="77777777" w:rsidR="005C67AB" w:rsidRPr="00913E39" w:rsidRDefault="005C67AB" w:rsidP="005F4CBC">
      <w:pPr>
        <w:keepNext/>
        <w:spacing w:after="0" w:line="240" w:lineRule="auto"/>
        <w:ind w:firstLine="284"/>
        <w:outlineLvl w:val="1"/>
        <w:rPr>
          <w:rFonts w:ascii="Garamond" w:hAnsi="Garamond"/>
          <w:b/>
          <w:i/>
          <w:sz w:val="24"/>
        </w:rPr>
      </w:pPr>
    </w:p>
    <w:p w14:paraId="391F4438" w14:textId="77777777" w:rsidR="005C67AB" w:rsidRPr="00913E39" w:rsidRDefault="005F4CBC" w:rsidP="005C67AB">
      <w:pPr>
        <w:keepNext/>
        <w:spacing w:after="0" w:line="240" w:lineRule="auto"/>
        <w:ind w:firstLine="284"/>
        <w:jc w:val="center"/>
        <w:outlineLvl w:val="1"/>
        <w:rPr>
          <w:rFonts w:ascii="Garamond" w:hAnsi="Garamond"/>
          <w:sz w:val="24"/>
        </w:rPr>
      </w:pPr>
      <w:r w:rsidRPr="00913E39">
        <w:rPr>
          <w:rFonts w:ascii="Garamond" w:hAnsi="Garamond"/>
          <w:sz w:val="24"/>
        </w:rPr>
        <w:t xml:space="preserve">Neni 19 </w:t>
      </w:r>
    </w:p>
    <w:p w14:paraId="7F88E405" w14:textId="77777777" w:rsidR="005F4CBC" w:rsidRPr="00913E39" w:rsidRDefault="005F4CBC" w:rsidP="005C67AB">
      <w:pPr>
        <w:keepNext/>
        <w:spacing w:after="0" w:line="240" w:lineRule="auto"/>
        <w:ind w:firstLine="284"/>
        <w:jc w:val="center"/>
        <w:outlineLvl w:val="1"/>
        <w:rPr>
          <w:rFonts w:ascii="Garamond" w:hAnsi="Garamond"/>
          <w:b/>
          <w:sz w:val="24"/>
        </w:rPr>
      </w:pPr>
      <w:r w:rsidRPr="00913E39">
        <w:rPr>
          <w:rFonts w:ascii="Garamond" w:hAnsi="Garamond"/>
          <w:b/>
          <w:sz w:val="24"/>
        </w:rPr>
        <w:t>Ndërprerja e kësaj Marrëveshjeje Financimi</w:t>
      </w:r>
    </w:p>
    <w:p w14:paraId="41A07F30" w14:textId="77777777" w:rsidR="005F4CBC" w:rsidRPr="00913E39" w:rsidRDefault="005F4CBC" w:rsidP="005F4CBC">
      <w:pPr>
        <w:spacing w:after="0" w:line="240" w:lineRule="auto"/>
        <w:ind w:firstLine="284"/>
        <w:jc w:val="both"/>
        <w:rPr>
          <w:rFonts w:ascii="Garamond" w:hAnsi="Garamond"/>
          <w:b/>
          <w:sz w:val="24"/>
        </w:rPr>
      </w:pPr>
    </w:p>
    <w:p w14:paraId="453C3984"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1</w:t>
      </w:r>
      <w:r w:rsidR="005C67AB" w:rsidRPr="00913E39">
        <w:rPr>
          <w:rFonts w:ascii="Garamond" w:hAnsi="Garamond"/>
          <w:sz w:val="24"/>
        </w:rPr>
        <w:t>.</w:t>
      </w:r>
      <w:r w:rsidRPr="00913E39">
        <w:rPr>
          <w:rFonts w:ascii="Garamond" w:hAnsi="Garamond"/>
          <w:sz w:val="24"/>
        </w:rPr>
        <w:t xml:space="preserve"> Nëse çështjet që çuan në pezullimin e kësaj Marrëveshjeje Financimi nuk janë zgjidhur brenda një periudhe maksimale prej 180 ditësh, secila palë mund ta ndërpresë këtë Marrëveshje Financimi pas një njoftimi brenda 30 ditëve.</w:t>
      </w:r>
    </w:p>
    <w:p w14:paraId="32775811"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2</w:t>
      </w:r>
      <w:r w:rsidR="005C67AB" w:rsidRPr="00913E39">
        <w:rPr>
          <w:rFonts w:ascii="Garamond" w:hAnsi="Garamond"/>
          <w:sz w:val="24"/>
        </w:rPr>
        <w:t>.</w:t>
      </w:r>
      <w:r w:rsidRPr="00913E39">
        <w:rPr>
          <w:rFonts w:ascii="Garamond" w:hAnsi="Garamond"/>
          <w:sz w:val="24"/>
        </w:rPr>
        <w:t xml:space="preserve"> Në rastin kur njoftohet ndërprerja, duhet të tregohen pasojat për kontratat e prokurimit dhe granteve, marrëveshjet e kontributit në proces dhe këto kontrata ose grante dhe marrëveshje kontributi që do të nënshkruhen.</w:t>
      </w:r>
    </w:p>
    <w:p w14:paraId="277A5939" w14:textId="77777777" w:rsidR="005F4CBC" w:rsidRPr="00913E39" w:rsidRDefault="005F4CBC" w:rsidP="005F4CBC">
      <w:pPr>
        <w:tabs>
          <w:tab w:val="left" w:pos="520"/>
        </w:tabs>
        <w:spacing w:after="0" w:line="240" w:lineRule="auto"/>
        <w:ind w:firstLine="284"/>
        <w:contextualSpacing/>
        <w:jc w:val="both"/>
        <w:rPr>
          <w:rFonts w:ascii="Garamond" w:hAnsi="Garamond"/>
          <w:sz w:val="24"/>
        </w:rPr>
      </w:pPr>
      <w:r w:rsidRPr="00913E39">
        <w:rPr>
          <w:rFonts w:ascii="Garamond" w:hAnsi="Garamond"/>
          <w:sz w:val="24"/>
        </w:rPr>
        <w:t>3</w:t>
      </w:r>
      <w:r w:rsidR="005C67AB" w:rsidRPr="00913E39">
        <w:rPr>
          <w:rFonts w:ascii="Garamond" w:hAnsi="Garamond"/>
          <w:sz w:val="24"/>
        </w:rPr>
        <w:t>.</w:t>
      </w:r>
      <w:r w:rsidRPr="00913E39">
        <w:rPr>
          <w:rFonts w:ascii="Garamond" w:hAnsi="Garamond"/>
          <w:sz w:val="24"/>
        </w:rPr>
        <w:t xml:space="preserve"> Ndërprerja e Marrëveshjes së Financimit nuk përjashton mundësinë që Komisioni të bëjë ndryshime financiare në përputhje me nenet 43 dhe 44 të FFPA.</w:t>
      </w:r>
    </w:p>
    <w:p w14:paraId="1BBD9968" w14:textId="77777777" w:rsidR="005C67AB" w:rsidRPr="00913E39" w:rsidRDefault="005C67AB" w:rsidP="005F4CBC">
      <w:pPr>
        <w:keepNext/>
        <w:spacing w:after="0" w:line="240" w:lineRule="auto"/>
        <w:ind w:firstLine="284"/>
        <w:outlineLvl w:val="1"/>
        <w:rPr>
          <w:rFonts w:ascii="Garamond" w:hAnsi="Garamond"/>
          <w:b/>
          <w:i/>
          <w:sz w:val="24"/>
        </w:rPr>
      </w:pPr>
    </w:p>
    <w:p w14:paraId="53B2D903" w14:textId="77777777" w:rsidR="005C67AB" w:rsidRPr="00913E39" w:rsidRDefault="005F4CBC" w:rsidP="005C67AB">
      <w:pPr>
        <w:keepNext/>
        <w:spacing w:after="0" w:line="240" w:lineRule="auto"/>
        <w:ind w:firstLine="284"/>
        <w:jc w:val="center"/>
        <w:outlineLvl w:val="1"/>
        <w:rPr>
          <w:rFonts w:ascii="Garamond" w:hAnsi="Garamond"/>
          <w:sz w:val="24"/>
        </w:rPr>
      </w:pPr>
      <w:r w:rsidRPr="00913E39">
        <w:rPr>
          <w:rFonts w:ascii="Garamond" w:hAnsi="Garamond"/>
          <w:sz w:val="24"/>
        </w:rPr>
        <w:t xml:space="preserve">Neni 20 </w:t>
      </w:r>
    </w:p>
    <w:p w14:paraId="0F3C24B4" w14:textId="77777777" w:rsidR="005F4CBC" w:rsidRPr="00913E39" w:rsidRDefault="005F4CBC" w:rsidP="005C67AB">
      <w:pPr>
        <w:keepNext/>
        <w:spacing w:after="0" w:line="240" w:lineRule="auto"/>
        <w:ind w:firstLine="284"/>
        <w:jc w:val="center"/>
        <w:outlineLvl w:val="1"/>
        <w:rPr>
          <w:rFonts w:ascii="Garamond" w:hAnsi="Garamond"/>
          <w:b/>
          <w:sz w:val="24"/>
        </w:rPr>
      </w:pPr>
      <w:r w:rsidRPr="00913E39">
        <w:rPr>
          <w:rFonts w:ascii="Garamond" w:hAnsi="Garamond"/>
          <w:b/>
          <w:sz w:val="24"/>
        </w:rPr>
        <w:t>Ligji i zbatueshëm, zgjidhja e mosmarrëveshjeve</w:t>
      </w:r>
    </w:p>
    <w:p w14:paraId="1158D45A" w14:textId="77777777" w:rsidR="005F4CBC" w:rsidRPr="00913E39" w:rsidRDefault="005F4CBC" w:rsidP="005F4CBC">
      <w:pPr>
        <w:spacing w:after="0" w:line="240" w:lineRule="auto"/>
        <w:ind w:firstLine="284"/>
        <w:jc w:val="both"/>
        <w:rPr>
          <w:rFonts w:ascii="Garamond" w:hAnsi="Garamond"/>
          <w:b/>
          <w:sz w:val="24"/>
        </w:rPr>
      </w:pPr>
    </w:p>
    <w:p w14:paraId="17D734B3" w14:textId="77777777"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1</w:t>
      </w:r>
      <w:r w:rsidR="005C67AB" w:rsidRPr="00913E39">
        <w:rPr>
          <w:rFonts w:ascii="Garamond" w:hAnsi="Garamond"/>
          <w:sz w:val="24"/>
        </w:rPr>
        <w:t>.</w:t>
      </w:r>
      <w:r w:rsidRPr="00913E39">
        <w:rPr>
          <w:rFonts w:ascii="Garamond" w:hAnsi="Garamond"/>
          <w:sz w:val="24"/>
        </w:rPr>
        <w:t xml:space="preserve"> Kjo Marrëveshje rregullohet nga ligji i BE-së.</w:t>
      </w:r>
    </w:p>
    <w:p w14:paraId="360D6CC0" w14:textId="496DE473"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2</w:t>
      </w:r>
      <w:r w:rsidR="005C67AB" w:rsidRPr="00913E39">
        <w:rPr>
          <w:rFonts w:ascii="Garamond" w:hAnsi="Garamond"/>
          <w:sz w:val="24"/>
        </w:rPr>
        <w:t>.</w:t>
      </w:r>
      <w:r w:rsidRPr="00913E39">
        <w:rPr>
          <w:rFonts w:ascii="Garamond" w:hAnsi="Garamond"/>
          <w:sz w:val="24"/>
        </w:rPr>
        <w:t xml:space="preserve"> Nëse një mosmarrëveshje në lidhje me interpretimin, zbatimin ose vlefshmërinë e Marrëveshjes nuk mund të zgjidhet në mënyrë miqësore, ajo do të zgjidhet me arbitrazh në përputhje me Rregullat e Arbitrazhit të PCA</w:t>
      </w:r>
      <w:r w:rsidR="006A1DED" w:rsidRPr="00913E39">
        <w:rPr>
          <w:rFonts w:ascii="Garamond" w:hAnsi="Garamond"/>
          <w:sz w:val="24"/>
        </w:rPr>
        <w:t>-Së</w:t>
      </w:r>
      <w:r w:rsidRPr="00913E39">
        <w:rPr>
          <w:rFonts w:ascii="Garamond" w:hAnsi="Garamond"/>
          <w:sz w:val="24"/>
        </w:rPr>
        <w:t xml:space="preserve"> të vitit 2012, sipas sa vijon:</w:t>
      </w:r>
    </w:p>
    <w:p w14:paraId="3C11E4A8" w14:textId="77777777" w:rsidR="005F4CBC" w:rsidRPr="00913E39" w:rsidRDefault="005F4CBC" w:rsidP="005F4CBC">
      <w:pPr>
        <w:tabs>
          <w:tab w:val="left" w:pos="1000"/>
        </w:tabs>
        <w:spacing w:after="0" w:line="240" w:lineRule="auto"/>
        <w:ind w:firstLine="284"/>
        <w:contextualSpacing/>
        <w:jc w:val="both"/>
        <w:rPr>
          <w:rFonts w:ascii="Garamond" w:hAnsi="Garamond"/>
          <w:sz w:val="24"/>
        </w:rPr>
      </w:pPr>
      <w:r w:rsidRPr="00913E39">
        <w:rPr>
          <w:rFonts w:ascii="Garamond" w:hAnsi="Garamond"/>
          <w:sz w:val="24"/>
        </w:rPr>
        <w:t>a) Përbërja e panelit</w:t>
      </w:r>
    </w:p>
    <w:p w14:paraId="157DD1E2" w14:textId="33FF0FB8"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 xml:space="preserve">Për pretendimet prej 500.000 </w:t>
      </w:r>
      <w:r w:rsidR="008824FD" w:rsidRPr="00913E39">
        <w:rPr>
          <w:rFonts w:ascii="Garamond" w:hAnsi="Garamond"/>
          <w:sz w:val="24"/>
        </w:rPr>
        <w:t>e</w:t>
      </w:r>
      <w:r w:rsidRPr="00913E39">
        <w:rPr>
          <w:rFonts w:ascii="Garamond" w:hAnsi="Garamond"/>
          <w:sz w:val="24"/>
        </w:rPr>
        <w:t>uro ose më shumë: paneli do të përbëhet nga tre gjyqtarë. Secila palë do të caktojë një gjyqtar brenda 40 ditëve kalendarike pas dërgimit të njoftimit të arbitrazhit. Dy gjyqtarët e emëruar nga palët do të caktojnë nga ana e tyre një gjyqtar të tretë për të vepruar si gjyqtar kryesues.</w:t>
      </w:r>
    </w:p>
    <w:p w14:paraId="16E97E35" w14:textId="38994445"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Për pretendimet nën 500</w:t>
      </w:r>
      <w:r w:rsidR="008824FD" w:rsidRPr="00913E39">
        <w:rPr>
          <w:rFonts w:ascii="Garamond" w:hAnsi="Garamond"/>
          <w:sz w:val="24"/>
        </w:rPr>
        <w:t>.</w:t>
      </w:r>
      <w:r w:rsidRPr="00913E39">
        <w:rPr>
          <w:rFonts w:ascii="Garamond" w:hAnsi="Garamond"/>
          <w:sz w:val="24"/>
        </w:rPr>
        <w:t>000 euro: paneli do të përbëhet nga një gjyqtar, përveçse kur palët bien dakord ndryshe.</w:t>
      </w:r>
    </w:p>
    <w:p w14:paraId="62A8219F" w14:textId="3825DF5D" w:rsidR="005F4CBC" w:rsidRPr="00913E39" w:rsidRDefault="005F4CBC" w:rsidP="00856C2E">
      <w:pPr>
        <w:spacing w:after="0" w:line="240" w:lineRule="auto"/>
        <w:ind w:firstLine="284"/>
        <w:jc w:val="both"/>
        <w:rPr>
          <w:rFonts w:ascii="Garamond" w:hAnsi="Garamond"/>
          <w:sz w:val="24"/>
        </w:rPr>
      </w:pPr>
      <w:r w:rsidRPr="00913E39">
        <w:rPr>
          <w:rFonts w:ascii="Garamond" w:hAnsi="Garamond"/>
          <w:sz w:val="24"/>
        </w:rPr>
        <w:t>Nëse trupi gjykues nuk përbëhet brenda 80 ditëve kalendarike pas dërgimit të njoftimit të arbitrazhit</w:t>
      </w:r>
      <w:r w:rsidR="00856C2E">
        <w:rPr>
          <w:rFonts w:ascii="Garamond" w:hAnsi="Garamond"/>
          <w:sz w:val="24"/>
        </w:rPr>
        <w:t xml:space="preserve"> </w:t>
      </w:r>
      <w:r w:rsidRPr="00913E39">
        <w:rPr>
          <w:rFonts w:ascii="Garamond" w:hAnsi="Garamond"/>
          <w:sz w:val="24"/>
        </w:rPr>
        <w:t>secila palë mund t</w:t>
      </w:r>
      <w:r w:rsidR="005222A5" w:rsidRPr="00913E39">
        <w:rPr>
          <w:rFonts w:ascii="Garamond" w:hAnsi="Garamond"/>
          <w:sz w:val="24"/>
        </w:rPr>
        <w:t>’</w:t>
      </w:r>
      <w:r w:rsidRPr="00913E39">
        <w:rPr>
          <w:rFonts w:ascii="Garamond" w:hAnsi="Garamond"/>
          <w:sz w:val="24"/>
        </w:rPr>
        <w:t>i kërkojë Sekretariatit të PCA-së ose autoritetit tjetër të paanshëm të pranueshëm në mënyrë reciproke të caktojë gjyqtarin</w:t>
      </w:r>
      <w:r w:rsidR="008824FD" w:rsidRPr="00913E39">
        <w:rPr>
          <w:rFonts w:ascii="Garamond" w:hAnsi="Garamond"/>
          <w:sz w:val="24"/>
        </w:rPr>
        <w:t>/</w:t>
      </w:r>
      <w:r w:rsidRPr="00913E39">
        <w:rPr>
          <w:rFonts w:ascii="Garamond" w:hAnsi="Garamond"/>
          <w:sz w:val="24"/>
        </w:rPr>
        <w:t>ët e nevojshëm.</w:t>
      </w:r>
    </w:p>
    <w:p w14:paraId="671EC37A" w14:textId="478538AA" w:rsidR="005F4CBC" w:rsidRPr="00913E39" w:rsidRDefault="005F4CBC" w:rsidP="005F4CBC">
      <w:pPr>
        <w:tabs>
          <w:tab w:val="left" w:pos="1000"/>
        </w:tabs>
        <w:spacing w:after="0" w:line="240" w:lineRule="auto"/>
        <w:ind w:firstLine="284"/>
        <w:contextualSpacing/>
        <w:jc w:val="both"/>
        <w:rPr>
          <w:rFonts w:ascii="Garamond" w:hAnsi="Garamond"/>
          <w:sz w:val="24"/>
        </w:rPr>
      </w:pPr>
      <w:r w:rsidRPr="00913E39">
        <w:rPr>
          <w:rFonts w:ascii="Garamond" w:hAnsi="Garamond"/>
          <w:sz w:val="24"/>
        </w:rPr>
        <w:t>b) Selia</w:t>
      </w:r>
      <w:r w:rsidR="008824FD" w:rsidRPr="00913E39">
        <w:rPr>
          <w:rFonts w:ascii="Garamond" w:hAnsi="Garamond"/>
          <w:sz w:val="24"/>
        </w:rPr>
        <w:t>:</w:t>
      </w:r>
    </w:p>
    <w:p w14:paraId="223DFCAF" w14:textId="5B0AC71B"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Selia e panelit të arbitrazhit do të jetë Haga, Holandë.</w:t>
      </w:r>
    </w:p>
    <w:p w14:paraId="3F13857D" w14:textId="579DD4C7" w:rsidR="005F4CBC" w:rsidRPr="00913E39" w:rsidRDefault="005F4CBC" w:rsidP="005F4CBC">
      <w:pPr>
        <w:tabs>
          <w:tab w:val="left" w:pos="1000"/>
        </w:tabs>
        <w:spacing w:after="0" w:line="240" w:lineRule="auto"/>
        <w:ind w:firstLine="284"/>
        <w:contextualSpacing/>
        <w:jc w:val="both"/>
        <w:rPr>
          <w:rFonts w:ascii="Garamond" w:hAnsi="Garamond"/>
          <w:sz w:val="24"/>
        </w:rPr>
      </w:pPr>
      <w:r w:rsidRPr="00913E39">
        <w:rPr>
          <w:rFonts w:ascii="Garamond" w:hAnsi="Garamond"/>
          <w:sz w:val="24"/>
        </w:rPr>
        <w:lastRenderedPageBreak/>
        <w:t>c) Gjuha</w:t>
      </w:r>
      <w:r w:rsidR="008824FD" w:rsidRPr="00913E39">
        <w:rPr>
          <w:rFonts w:ascii="Garamond" w:hAnsi="Garamond"/>
          <w:sz w:val="24"/>
        </w:rPr>
        <w:t>:</w:t>
      </w:r>
    </w:p>
    <w:p w14:paraId="6AF4E3ED" w14:textId="03055090"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Gjuha e proceseve do të jetë anglishtja ose një gjuhë tjetër zyrtare e Bashkimit E</w:t>
      </w:r>
      <w:r w:rsidR="008824FD" w:rsidRPr="00913E39">
        <w:rPr>
          <w:rFonts w:ascii="Garamond" w:hAnsi="Garamond"/>
          <w:sz w:val="24"/>
        </w:rPr>
        <w:t>v</w:t>
      </w:r>
      <w:r w:rsidRPr="00913E39">
        <w:rPr>
          <w:rFonts w:ascii="Garamond" w:hAnsi="Garamond"/>
          <w:sz w:val="24"/>
        </w:rPr>
        <w:t xml:space="preserve">ropian e pranueshme në mënyrë reciproke. Provat mund të paraqiten në gjuhë të tjera, nëse palët bien dakord. </w:t>
      </w:r>
    </w:p>
    <w:p w14:paraId="4FD8DAEE" w14:textId="77777777" w:rsidR="005F4CBC" w:rsidRPr="00913E39" w:rsidRDefault="005F4CBC" w:rsidP="005F4CBC">
      <w:pPr>
        <w:tabs>
          <w:tab w:val="left" w:pos="1000"/>
        </w:tabs>
        <w:spacing w:after="0" w:line="240" w:lineRule="auto"/>
        <w:ind w:firstLine="284"/>
        <w:contextualSpacing/>
        <w:jc w:val="both"/>
        <w:rPr>
          <w:rFonts w:ascii="Garamond" w:hAnsi="Garamond"/>
          <w:sz w:val="24"/>
        </w:rPr>
      </w:pPr>
      <w:r w:rsidRPr="00913E39">
        <w:rPr>
          <w:rFonts w:ascii="Garamond" w:hAnsi="Garamond"/>
          <w:sz w:val="24"/>
        </w:rPr>
        <w:t>d) Procedura</w:t>
      </w:r>
    </w:p>
    <w:p w14:paraId="4D53C296" w14:textId="7777777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Përjashtohet përdorimi i masave të sigurimit, ndërhyrjet e palëve të treta dhe ndërhyrjet me ndërmjetës.</w:t>
      </w:r>
    </w:p>
    <w:p w14:paraId="215CE470" w14:textId="7777777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Nëse një palë i kërkon panelit që të trajtojë informacionin ose materialin në mënyrë konfidenciale, vendimi do të merret në formë të një urdhri të arsyetuar dhe pas dëgjimit të palës tjetër (10 ditë kalendarike për të paraqitur parashtrimet). Paneli do të vlerësojë arsyet e kërkesës, natyrën e informacionit dhe të drejtën për mbrojtje efektive gjyqësore. Paneli në veçanti:</w:t>
      </w:r>
    </w:p>
    <w:p w14:paraId="03B45E67" w14:textId="17EEFB8B" w:rsidR="005F4CBC" w:rsidRPr="00913E39" w:rsidRDefault="005F4CBC" w:rsidP="005F4CBC">
      <w:pPr>
        <w:tabs>
          <w:tab w:val="left" w:pos="1280"/>
        </w:tabs>
        <w:spacing w:after="0" w:line="240" w:lineRule="auto"/>
        <w:ind w:firstLine="284"/>
        <w:contextualSpacing/>
        <w:jc w:val="both"/>
        <w:rPr>
          <w:rFonts w:ascii="Garamond" w:hAnsi="Garamond"/>
          <w:sz w:val="24"/>
        </w:rPr>
      </w:pPr>
      <w:r w:rsidRPr="00913E39">
        <w:rPr>
          <w:rFonts w:ascii="Garamond" w:hAnsi="Garamond"/>
          <w:sz w:val="24"/>
        </w:rPr>
        <w:t>- mund t</w:t>
      </w:r>
      <w:r w:rsidR="005222A5" w:rsidRPr="00913E39">
        <w:rPr>
          <w:rFonts w:ascii="Garamond" w:hAnsi="Garamond"/>
          <w:sz w:val="24"/>
        </w:rPr>
        <w:t>’</w:t>
      </w:r>
      <w:r w:rsidRPr="00913E39">
        <w:rPr>
          <w:rFonts w:ascii="Garamond" w:hAnsi="Garamond"/>
          <w:sz w:val="24"/>
        </w:rPr>
        <w:t>i nënshtrojë dhënien e informacionit masave specifike ose</w:t>
      </w:r>
    </w:p>
    <w:p w14:paraId="3996545C" w14:textId="6E81C9F5" w:rsidR="005F4CBC" w:rsidRPr="00913E39" w:rsidRDefault="005F4CBC" w:rsidP="005F4CBC">
      <w:pPr>
        <w:tabs>
          <w:tab w:val="left" w:pos="1280"/>
        </w:tabs>
        <w:spacing w:after="0" w:line="240" w:lineRule="auto"/>
        <w:ind w:firstLine="284"/>
        <w:contextualSpacing/>
        <w:jc w:val="both"/>
        <w:rPr>
          <w:rFonts w:ascii="Garamond" w:hAnsi="Garamond"/>
          <w:sz w:val="24"/>
        </w:rPr>
      </w:pPr>
      <w:r w:rsidRPr="00913E39">
        <w:rPr>
          <w:rFonts w:ascii="Garamond" w:hAnsi="Garamond"/>
          <w:sz w:val="24"/>
        </w:rPr>
        <w:t>- mund të vendosë kundër nxjerrjes së informacionit, por të urdhërojë dhënien e një versioni jo-konfidencial ose përmbledhje të informacionit ose materialit, që përmban informacion të mjaftueshëm për t</w:t>
      </w:r>
      <w:r w:rsidR="005222A5" w:rsidRPr="00913E39">
        <w:rPr>
          <w:rFonts w:ascii="Garamond" w:hAnsi="Garamond"/>
          <w:sz w:val="24"/>
        </w:rPr>
        <w:t>’</w:t>
      </w:r>
      <w:r w:rsidRPr="00913E39">
        <w:rPr>
          <w:rFonts w:ascii="Garamond" w:hAnsi="Garamond"/>
          <w:sz w:val="24"/>
        </w:rPr>
        <w:t>i mundësuar palës tjetër të shprehë pikëpamjet e saj në një mënyrë të kuptueshme.</w:t>
      </w:r>
    </w:p>
    <w:p w14:paraId="572F1713" w14:textId="7777777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Nëse panelit i kërkohet të shqyrtojë çështjen me dyer të mbyllura, vendimi merret pasi të dëgjojë palën tjetër (10 ditë kalendarike për të paraqitur parashtrimet). Paneli do të marrë parasysh arsyet e kërkesës dhe kundërshtimet e palës tjetër (nëse ka).</w:t>
      </w:r>
    </w:p>
    <w:p w14:paraId="449522F2" w14:textId="23D06A1F"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Nëse panelit i kërkohet të interpretojë ose zbatojë ligjin e Bashkimit E</w:t>
      </w:r>
      <w:r w:rsidR="00633B19" w:rsidRPr="00913E39">
        <w:rPr>
          <w:rFonts w:ascii="Garamond" w:hAnsi="Garamond"/>
          <w:sz w:val="24"/>
        </w:rPr>
        <w:t>v</w:t>
      </w:r>
      <w:r w:rsidRPr="00913E39">
        <w:rPr>
          <w:rFonts w:ascii="Garamond" w:hAnsi="Garamond"/>
          <w:sz w:val="24"/>
        </w:rPr>
        <w:t>ropian, ai do të pezullojë procedurën dhe do t</w:t>
      </w:r>
      <w:r w:rsidR="005222A5" w:rsidRPr="00913E39">
        <w:rPr>
          <w:rFonts w:ascii="Garamond" w:hAnsi="Garamond"/>
          <w:sz w:val="24"/>
        </w:rPr>
        <w:t>’</w:t>
      </w:r>
      <w:r w:rsidRPr="00913E39">
        <w:rPr>
          <w:rFonts w:ascii="Garamond" w:hAnsi="Garamond"/>
          <w:sz w:val="24"/>
        </w:rPr>
        <w:t xml:space="preserve">i kërkojë </w:t>
      </w:r>
      <w:r w:rsidR="00633B19" w:rsidRPr="00913E39">
        <w:rPr>
          <w:rFonts w:ascii="Garamond" w:hAnsi="Garamond"/>
          <w:sz w:val="24"/>
        </w:rPr>
        <w:t>“</w:t>
      </w:r>
      <w:r w:rsidRPr="00913E39">
        <w:rPr>
          <w:rFonts w:ascii="Garamond" w:hAnsi="Garamond"/>
          <w:sz w:val="24"/>
        </w:rPr>
        <w:t>Kryetarit të Gjykatës së Lartë të Parisit</w:t>
      </w:r>
      <w:r w:rsidR="00633B19" w:rsidRPr="00913E39">
        <w:rPr>
          <w:rFonts w:ascii="Garamond" w:hAnsi="Garamond"/>
          <w:sz w:val="24"/>
        </w:rPr>
        <w:t>”</w:t>
      </w:r>
      <w:r w:rsidRPr="00913E39">
        <w:rPr>
          <w:rFonts w:ascii="Garamond" w:hAnsi="Garamond"/>
          <w:sz w:val="24"/>
        </w:rPr>
        <w:t xml:space="preserve"> (</w:t>
      </w:r>
      <w:r w:rsidRPr="00913E39">
        <w:rPr>
          <w:rFonts w:ascii="Garamond" w:hAnsi="Garamond"/>
          <w:i/>
          <w:sz w:val="24"/>
        </w:rPr>
        <w:t xml:space="preserve">Président du Tribunal de grande instance de Paris, </w:t>
      </w:r>
      <w:r w:rsidR="005222A5" w:rsidRPr="00913E39">
        <w:rPr>
          <w:rFonts w:ascii="Garamond" w:hAnsi="Garamond"/>
          <w:i/>
          <w:sz w:val="24"/>
        </w:rPr>
        <w:t>‘</w:t>
      </w:r>
      <w:r w:rsidRPr="00913E39">
        <w:rPr>
          <w:rFonts w:ascii="Garamond" w:hAnsi="Garamond"/>
          <w:i/>
          <w:sz w:val="24"/>
        </w:rPr>
        <w:t>juge d</w:t>
      </w:r>
      <w:r w:rsidR="005222A5" w:rsidRPr="00913E39">
        <w:rPr>
          <w:rFonts w:ascii="Garamond" w:hAnsi="Garamond"/>
          <w:i/>
          <w:sz w:val="24"/>
        </w:rPr>
        <w:t>’</w:t>
      </w:r>
      <w:r w:rsidRPr="00913E39">
        <w:rPr>
          <w:rFonts w:ascii="Garamond" w:hAnsi="Garamond"/>
          <w:i/>
          <w:sz w:val="24"/>
        </w:rPr>
        <w:t>appui</w:t>
      </w:r>
      <w:r w:rsidR="005222A5" w:rsidRPr="00913E39">
        <w:rPr>
          <w:rFonts w:ascii="Garamond" w:hAnsi="Garamond"/>
          <w:i/>
          <w:sz w:val="24"/>
        </w:rPr>
        <w:t>’</w:t>
      </w:r>
      <w:r w:rsidRPr="00913E39">
        <w:rPr>
          <w:rFonts w:ascii="Garamond" w:hAnsi="Garamond"/>
          <w:sz w:val="24"/>
        </w:rPr>
        <w:t>), në përputhje me nenet 1460 dhe 1505 të Kodit të Procedurës Civile Franceze të kërkojë një vendim paraprak nga Gjykata e Drejtësisë e Bashkimit E</w:t>
      </w:r>
      <w:r w:rsidR="00633B19" w:rsidRPr="00913E39">
        <w:rPr>
          <w:rFonts w:ascii="Garamond" w:hAnsi="Garamond"/>
          <w:sz w:val="24"/>
        </w:rPr>
        <w:t>v</w:t>
      </w:r>
      <w:r w:rsidRPr="00913E39">
        <w:rPr>
          <w:rFonts w:ascii="Garamond" w:hAnsi="Garamond"/>
          <w:sz w:val="24"/>
        </w:rPr>
        <w:t xml:space="preserve">ropian në përputhje me nenin 267 TFBE. Proceset para tribunalit të arbitrazhit do të rifillojnë pasi të merret vendimi nga </w:t>
      </w:r>
      <w:r w:rsidRPr="00913E39">
        <w:rPr>
          <w:rFonts w:ascii="Garamond" w:hAnsi="Garamond"/>
          <w:i/>
          <w:sz w:val="24"/>
        </w:rPr>
        <w:t>juge d</w:t>
      </w:r>
      <w:r w:rsidR="005222A5" w:rsidRPr="00913E39">
        <w:rPr>
          <w:rFonts w:ascii="Garamond" w:hAnsi="Garamond"/>
          <w:i/>
          <w:sz w:val="24"/>
        </w:rPr>
        <w:t>’</w:t>
      </w:r>
      <w:r w:rsidRPr="00913E39">
        <w:rPr>
          <w:rFonts w:ascii="Garamond" w:hAnsi="Garamond"/>
          <w:i/>
          <w:sz w:val="24"/>
        </w:rPr>
        <w:t>appui</w:t>
      </w:r>
      <w:r w:rsidRPr="00913E39">
        <w:rPr>
          <w:rFonts w:ascii="Garamond" w:hAnsi="Garamond"/>
          <w:sz w:val="24"/>
        </w:rPr>
        <w:t>. Vendimi i Gjykatës së Drejtësisë dhe i gjyqtarit është i detyrueshëm për panelin.</w:t>
      </w:r>
    </w:p>
    <w:p w14:paraId="286A7F19" w14:textId="7777777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Vendimi i arbitrazhit do të jetë përfundimtar dhe detyrues për palët dhe do të zbatohet prej tyre pa vonesë.</w:t>
      </w:r>
    </w:p>
    <w:p w14:paraId="189AAC1D" w14:textId="7777777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Megjithatë, secila palë mund të kërkojë që vendimi të rishikohet nga Gjykata e Apelit të Hagës (</w:t>
      </w:r>
      <w:r w:rsidRPr="00913E39">
        <w:rPr>
          <w:rFonts w:ascii="Garamond" w:hAnsi="Garamond"/>
          <w:i/>
          <w:sz w:val="24"/>
        </w:rPr>
        <w:t>Gerechtshof Den Haag</w:t>
      </w:r>
      <w:r w:rsidRPr="00913E39">
        <w:rPr>
          <w:rFonts w:ascii="Garamond" w:hAnsi="Garamond"/>
          <w:sz w:val="24"/>
        </w:rPr>
        <w:t>) në bazë të ligjit kombëtar të zbatueshëm. Në këtë rast, vendimi nuk do të konsiderohet përfundimtar deri në përfundimin e kësaj procedure. Vendimi i gjykatës rishikuese është i detyrueshëm për panelin.</w:t>
      </w:r>
    </w:p>
    <w:p w14:paraId="00C999B3" w14:textId="77777777" w:rsidR="005F4CBC" w:rsidRPr="00913E39" w:rsidRDefault="005F4CBC" w:rsidP="005F4CBC">
      <w:pPr>
        <w:tabs>
          <w:tab w:val="left" w:pos="1000"/>
        </w:tabs>
        <w:spacing w:after="0" w:line="240" w:lineRule="auto"/>
        <w:ind w:firstLine="284"/>
        <w:contextualSpacing/>
        <w:jc w:val="both"/>
        <w:rPr>
          <w:rFonts w:ascii="Garamond" w:hAnsi="Garamond"/>
          <w:sz w:val="24"/>
        </w:rPr>
      </w:pPr>
      <w:r w:rsidRPr="00913E39">
        <w:rPr>
          <w:rFonts w:ascii="Garamond" w:hAnsi="Garamond"/>
          <w:sz w:val="24"/>
        </w:rPr>
        <w:t>e) Shpenzime</w:t>
      </w:r>
    </w:p>
    <w:p w14:paraId="511A0E3D" w14:textId="7777777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Shpenzimet e arbitrazhit do të përbëhen nga:</w:t>
      </w:r>
    </w:p>
    <w:p w14:paraId="6FA12C6D" w14:textId="5E951322" w:rsidR="005F4CBC" w:rsidRPr="00913E39" w:rsidRDefault="005F4CBC" w:rsidP="005F4CBC">
      <w:pPr>
        <w:tabs>
          <w:tab w:val="left" w:pos="1300"/>
        </w:tabs>
        <w:spacing w:after="0" w:line="240" w:lineRule="auto"/>
        <w:ind w:firstLine="284"/>
        <w:contextualSpacing/>
        <w:rPr>
          <w:rFonts w:ascii="Garamond" w:hAnsi="Garamond"/>
          <w:sz w:val="24"/>
        </w:rPr>
      </w:pPr>
      <w:r w:rsidRPr="00913E39">
        <w:rPr>
          <w:rFonts w:ascii="Garamond" w:hAnsi="Garamond"/>
          <w:sz w:val="24"/>
        </w:rPr>
        <w:t>- tarifat dhe shpenzimet e arsyeshme të gjyqtarëve</w:t>
      </w:r>
      <w:r w:rsidR="00633B19" w:rsidRPr="00913E39">
        <w:rPr>
          <w:rFonts w:ascii="Garamond" w:hAnsi="Garamond"/>
          <w:sz w:val="24"/>
        </w:rPr>
        <w:t>;</w:t>
      </w:r>
    </w:p>
    <w:p w14:paraId="153236FB" w14:textId="180BE482" w:rsidR="005F4CBC" w:rsidRPr="00913E39" w:rsidRDefault="005F4CBC" w:rsidP="005F4CBC">
      <w:pPr>
        <w:tabs>
          <w:tab w:val="left" w:pos="1300"/>
        </w:tabs>
        <w:spacing w:after="0" w:line="240" w:lineRule="auto"/>
        <w:ind w:firstLine="284"/>
        <w:contextualSpacing/>
        <w:rPr>
          <w:rFonts w:ascii="Garamond" w:hAnsi="Garamond"/>
          <w:sz w:val="24"/>
        </w:rPr>
      </w:pPr>
      <w:r w:rsidRPr="00913E39">
        <w:rPr>
          <w:rFonts w:ascii="Garamond" w:hAnsi="Garamond"/>
          <w:sz w:val="24"/>
        </w:rPr>
        <w:t>- shpenzimet e arsyeshme të ekspertëve dhe dëshmitarëve të miratuar nga paneli</w:t>
      </w:r>
      <w:r w:rsidR="00633B19" w:rsidRPr="00913E39">
        <w:rPr>
          <w:rFonts w:ascii="Garamond" w:hAnsi="Garamond"/>
          <w:sz w:val="24"/>
        </w:rPr>
        <w:t>;</w:t>
      </w:r>
      <w:r w:rsidRPr="00913E39">
        <w:rPr>
          <w:rFonts w:ascii="Garamond" w:hAnsi="Garamond"/>
          <w:sz w:val="24"/>
        </w:rPr>
        <w:t xml:space="preserve"> dhe</w:t>
      </w:r>
    </w:p>
    <w:p w14:paraId="4273E585" w14:textId="77777777" w:rsidR="005F4CBC" w:rsidRPr="00913E39" w:rsidRDefault="005F4CBC" w:rsidP="005F4CBC">
      <w:pPr>
        <w:tabs>
          <w:tab w:val="left" w:pos="1300"/>
        </w:tabs>
        <w:spacing w:after="0" w:line="240" w:lineRule="auto"/>
        <w:ind w:firstLine="284"/>
        <w:contextualSpacing/>
        <w:rPr>
          <w:rFonts w:ascii="Garamond" w:hAnsi="Garamond"/>
          <w:sz w:val="24"/>
        </w:rPr>
      </w:pPr>
      <w:r w:rsidRPr="00913E39">
        <w:rPr>
          <w:rFonts w:ascii="Garamond" w:hAnsi="Garamond"/>
          <w:sz w:val="24"/>
        </w:rPr>
        <w:t>- tarifat dhe shpenzimet e Sekretariatit të PCA për procedurat e arbitrazhit (p.sh. ushqimi, sigurimi i nëpunësve, sallës, përkthimit).</w:t>
      </w:r>
    </w:p>
    <w:p w14:paraId="7338EAD7" w14:textId="7777777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Tarifat e gjyqtarëve nuk duhet të kalojnë:</w:t>
      </w:r>
    </w:p>
    <w:p w14:paraId="69963DE7" w14:textId="1D58467E" w:rsidR="005F4CBC" w:rsidRPr="00913E39" w:rsidRDefault="005F4CBC" w:rsidP="005F4CBC">
      <w:pPr>
        <w:tabs>
          <w:tab w:val="left" w:pos="1280"/>
        </w:tabs>
        <w:spacing w:after="0" w:line="240" w:lineRule="auto"/>
        <w:ind w:firstLine="284"/>
        <w:contextualSpacing/>
        <w:rPr>
          <w:rFonts w:ascii="Garamond" w:hAnsi="Garamond"/>
          <w:sz w:val="24"/>
        </w:rPr>
      </w:pPr>
      <w:r w:rsidRPr="00913E39">
        <w:rPr>
          <w:rFonts w:ascii="Garamond" w:hAnsi="Garamond"/>
          <w:sz w:val="24"/>
        </w:rPr>
        <w:t xml:space="preserve">- 30.000 </w:t>
      </w:r>
      <w:r w:rsidR="00633B19" w:rsidRPr="00913E39">
        <w:rPr>
          <w:rFonts w:ascii="Garamond" w:hAnsi="Garamond"/>
          <w:sz w:val="24"/>
        </w:rPr>
        <w:t>e</w:t>
      </w:r>
      <w:r w:rsidRPr="00913E39">
        <w:rPr>
          <w:rFonts w:ascii="Garamond" w:hAnsi="Garamond"/>
          <w:sz w:val="24"/>
        </w:rPr>
        <w:t>uro për gjyqtar nëse shuma e kontestuar është nën 1 000 000 euro</w:t>
      </w:r>
      <w:r w:rsidR="00633B19" w:rsidRPr="00913E39">
        <w:rPr>
          <w:rFonts w:ascii="Garamond" w:hAnsi="Garamond"/>
          <w:sz w:val="24"/>
        </w:rPr>
        <w:t>;</w:t>
      </w:r>
    </w:p>
    <w:p w14:paraId="43D1B43D" w14:textId="77777777" w:rsidR="005F4CBC" w:rsidRPr="00913E39" w:rsidRDefault="005F4CBC" w:rsidP="005F4CBC">
      <w:pPr>
        <w:tabs>
          <w:tab w:val="left" w:pos="1280"/>
        </w:tabs>
        <w:spacing w:after="0" w:line="240" w:lineRule="auto"/>
        <w:ind w:firstLine="284"/>
        <w:contextualSpacing/>
        <w:rPr>
          <w:rFonts w:ascii="Garamond" w:hAnsi="Garamond"/>
          <w:sz w:val="24"/>
        </w:rPr>
      </w:pPr>
      <w:r w:rsidRPr="00913E39">
        <w:rPr>
          <w:rFonts w:ascii="Garamond" w:hAnsi="Garamond"/>
          <w:sz w:val="24"/>
        </w:rPr>
        <w:t>- 15% të shumës së kontestuar nëse kjo shumë është mbi 1 000 000 euro. Në çdo rast, tarifat e gjyqtarëve nuk duhet të kalojnë 300 000 euro.</w:t>
      </w:r>
    </w:p>
    <w:p w14:paraId="5EFC6286" w14:textId="7777777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Shpenzimet e arbitrazhit do të përballohen nga palët në pjesë të barabarta, përveçse nëse është rënë dakord ndryshe.</w:t>
      </w:r>
    </w:p>
    <w:p w14:paraId="135C8AC5" w14:textId="77777777"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Palët do të përballojnë shpenzimet e tyre të përfaqësimit ligjor dhe shpenzimet e tjera të kryera prej tyre në lidhje me arbitrazhin.</w:t>
      </w:r>
    </w:p>
    <w:p w14:paraId="6044641B" w14:textId="77777777" w:rsidR="005F4CBC" w:rsidRPr="00913E39" w:rsidRDefault="005F4CBC" w:rsidP="005F4CBC">
      <w:pPr>
        <w:tabs>
          <w:tab w:val="left" w:pos="1000"/>
        </w:tabs>
        <w:spacing w:after="0" w:line="240" w:lineRule="auto"/>
        <w:ind w:firstLine="284"/>
        <w:contextualSpacing/>
        <w:jc w:val="both"/>
        <w:rPr>
          <w:rFonts w:ascii="Garamond" w:hAnsi="Garamond"/>
          <w:sz w:val="24"/>
        </w:rPr>
      </w:pPr>
      <w:r w:rsidRPr="00913E39">
        <w:rPr>
          <w:rFonts w:ascii="Garamond" w:hAnsi="Garamond"/>
          <w:sz w:val="24"/>
        </w:rPr>
        <w:t>f) Të drejtat dhe liritë</w:t>
      </w:r>
    </w:p>
    <w:p w14:paraId="3AC15705" w14:textId="5BC1A06E" w:rsidR="005F4CBC" w:rsidRPr="00913E39" w:rsidRDefault="005F4CBC" w:rsidP="005F4CBC">
      <w:pPr>
        <w:spacing w:after="0" w:line="240" w:lineRule="auto"/>
        <w:ind w:firstLine="284"/>
        <w:jc w:val="both"/>
        <w:rPr>
          <w:rFonts w:ascii="Garamond" w:hAnsi="Garamond"/>
          <w:sz w:val="24"/>
        </w:rPr>
      </w:pPr>
      <w:r w:rsidRPr="00913E39">
        <w:rPr>
          <w:rFonts w:ascii="Garamond" w:hAnsi="Garamond"/>
          <w:sz w:val="24"/>
        </w:rPr>
        <w:t>Marrëveshja për të ndjekur arbitrazhin sipas Rregullave të Arbitrazhit të PCA-së të vitit 2012 nuk përbën dhe nuk mund të interpretohet si heqje dorë nga ë drejtat dhe liritë e ndonjërës prej palëve, për të cilat ato kanë të drejtë.</w:t>
      </w:r>
    </w:p>
    <w:p w14:paraId="26343448" w14:textId="77777777" w:rsidR="005C67AB" w:rsidRPr="00913E39" w:rsidRDefault="005C67AB" w:rsidP="005C67AB">
      <w:pPr>
        <w:keepNext/>
        <w:spacing w:after="0" w:line="240" w:lineRule="auto"/>
        <w:ind w:firstLine="284"/>
        <w:jc w:val="center"/>
        <w:outlineLvl w:val="1"/>
        <w:rPr>
          <w:rFonts w:ascii="Garamond" w:hAnsi="Garamond"/>
          <w:b/>
          <w:sz w:val="24"/>
        </w:rPr>
      </w:pPr>
    </w:p>
    <w:p w14:paraId="3BC6835A" w14:textId="77777777" w:rsidR="005C67AB" w:rsidRPr="00913E39" w:rsidRDefault="005F4CBC" w:rsidP="005C67AB">
      <w:pPr>
        <w:keepNext/>
        <w:spacing w:after="0" w:line="240" w:lineRule="auto"/>
        <w:ind w:firstLine="284"/>
        <w:jc w:val="center"/>
        <w:outlineLvl w:val="1"/>
        <w:rPr>
          <w:rFonts w:ascii="Garamond" w:hAnsi="Garamond"/>
          <w:sz w:val="24"/>
        </w:rPr>
      </w:pPr>
      <w:r w:rsidRPr="00913E39">
        <w:rPr>
          <w:rFonts w:ascii="Garamond" w:hAnsi="Garamond"/>
          <w:sz w:val="24"/>
        </w:rPr>
        <w:t xml:space="preserve">Neni 21 </w:t>
      </w:r>
    </w:p>
    <w:p w14:paraId="49A9DB54" w14:textId="77777777" w:rsidR="005F4CBC" w:rsidRPr="00913E39" w:rsidRDefault="005F4CBC" w:rsidP="005C67AB">
      <w:pPr>
        <w:keepNext/>
        <w:spacing w:after="0" w:line="240" w:lineRule="auto"/>
        <w:ind w:firstLine="284"/>
        <w:jc w:val="center"/>
        <w:outlineLvl w:val="1"/>
        <w:rPr>
          <w:rFonts w:ascii="Garamond" w:hAnsi="Garamond"/>
          <w:b/>
          <w:sz w:val="24"/>
        </w:rPr>
      </w:pPr>
      <w:r w:rsidRPr="00913E39">
        <w:rPr>
          <w:rFonts w:ascii="Garamond" w:hAnsi="Garamond"/>
          <w:b/>
          <w:sz w:val="24"/>
        </w:rPr>
        <w:t xml:space="preserve"> Masat kufizuese të BE-së</w:t>
      </w:r>
    </w:p>
    <w:p w14:paraId="144FF1DF" w14:textId="77777777" w:rsidR="005F4CBC" w:rsidRPr="00913E39" w:rsidRDefault="005F4CBC" w:rsidP="005C67AB">
      <w:pPr>
        <w:spacing w:after="0" w:line="240" w:lineRule="auto"/>
        <w:ind w:firstLine="284"/>
        <w:jc w:val="center"/>
        <w:rPr>
          <w:rFonts w:ascii="Garamond" w:hAnsi="Garamond"/>
          <w:b/>
          <w:sz w:val="24"/>
        </w:rPr>
      </w:pPr>
    </w:p>
    <w:p w14:paraId="59FEAF02" w14:textId="2E348ADB"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1</w:t>
      </w:r>
      <w:r w:rsidR="00633B19" w:rsidRPr="00913E39">
        <w:rPr>
          <w:rFonts w:ascii="Garamond" w:hAnsi="Garamond"/>
          <w:sz w:val="24"/>
        </w:rPr>
        <w:t>.</w:t>
      </w:r>
      <w:r w:rsidRPr="00913E39">
        <w:rPr>
          <w:rFonts w:ascii="Garamond" w:hAnsi="Garamond"/>
          <w:sz w:val="24"/>
        </w:rPr>
        <w:t xml:space="preserve"> Përkufizime</w:t>
      </w:r>
      <w:r w:rsidR="00A22AA7" w:rsidRPr="00913E39">
        <w:rPr>
          <w:rFonts w:ascii="Garamond" w:hAnsi="Garamond"/>
          <w:sz w:val="24"/>
        </w:rPr>
        <w:t>:</w:t>
      </w:r>
    </w:p>
    <w:p w14:paraId="1A8CC602" w14:textId="77777777" w:rsidR="005F4CBC" w:rsidRPr="00913E39" w:rsidRDefault="005F4CBC" w:rsidP="005F4CBC">
      <w:pPr>
        <w:tabs>
          <w:tab w:val="left" w:pos="1000"/>
        </w:tabs>
        <w:spacing w:after="0" w:line="240" w:lineRule="auto"/>
        <w:ind w:firstLine="284"/>
        <w:contextualSpacing/>
        <w:jc w:val="both"/>
        <w:rPr>
          <w:rFonts w:ascii="Garamond" w:hAnsi="Garamond"/>
          <w:sz w:val="24"/>
        </w:rPr>
      </w:pPr>
      <w:r w:rsidRPr="00913E39">
        <w:rPr>
          <w:rFonts w:ascii="Garamond" w:hAnsi="Garamond"/>
          <w:sz w:val="24"/>
        </w:rPr>
        <w:lastRenderedPageBreak/>
        <w:t xml:space="preserve">a) </w:t>
      </w:r>
      <w:r w:rsidR="00850FC7" w:rsidRPr="00913E39">
        <w:rPr>
          <w:rFonts w:ascii="Garamond" w:hAnsi="Garamond"/>
          <w:sz w:val="24"/>
        </w:rPr>
        <w:t>“</w:t>
      </w:r>
      <w:r w:rsidRPr="00913E39">
        <w:rPr>
          <w:rFonts w:ascii="Garamond" w:hAnsi="Garamond"/>
          <w:sz w:val="24"/>
        </w:rPr>
        <w:t>Masa kufizuese të BE-së</w:t>
      </w:r>
      <w:r w:rsidR="00850FC7" w:rsidRPr="00913E39">
        <w:rPr>
          <w:rFonts w:ascii="Garamond" w:hAnsi="Garamond"/>
          <w:sz w:val="24"/>
        </w:rPr>
        <w:t>”</w:t>
      </w:r>
      <w:r w:rsidRPr="00913E39">
        <w:rPr>
          <w:rFonts w:ascii="Garamond" w:hAnsi="Garamond"/>
          <w:sz w:val="24"/>
        </w:rPr>
        <w:t xml:space="preserve"> janë masa kufizuese të miratuara në bazë të Traktatit të Bashkimit Europian (TEU) ose të Traktatit për Funksionimin e Bashkimit Europian (TFBE).</w:t>
      </w:r>
    </w:p>
    <w:p w14:paraId="2594EBE2" w14:textId="0B63F8A5" w:rsidR="005F4CBC" w:rsidRPr="00913E39" w:rsidRDefault="005F4CBC" w:rsidP="005F4CBC">
      <w:pPr>
        <w:tabs>
          <w:tab w:val="left" w:pos="1000"/>
        </w:tabs>
        <w:spacing w:after="0" w:line="240" w:lineRule="auto"/>
        <w:ind w:firstLine="284"/>
        <w:contextualSpacing/>
        <w:jc w:val="both"/>
        <w:rPr>
          <w:rFonts w:ascii="Garamond" w:hAnsi="Garamond"/>
          <w:sz w:val="24"/>
        </w:rPr>
      </w:pPr>
      <w:r w:rsidRPr="00913E39">
        <w:rPr>
          <w:rFonts w:ascii="Garamond" w:hAnsi="Garamond"/>
          <w:sz w:val="24"/>
        </w:rPr>
        <w:t xml:space="preserve">b) </w:t>
      </w:r>
      <w:r w:rsidR="00850FC7" w:rsidRPr="00913E39">
        <w:rPr>
          <w:rFonts w:ascii="Garamond" w:hAnsi="Garamond"/>
          <w:sz w:val="24"/>
        </w:rPr>
        <w:t>“</w:t>
      </w:r>
      <w:r w:rsidRPr="00913E39">
        <w:rPr>
          <w:rFonts w:ascii="Garamond" w:hAnsi="Garamond"/>
          <w:sz w:val="24"/>
        </w:rPr>
        <w:t>Subjekt i kufizuar</w:t>
      </w:r>
      <w:r w:rsidR="00850FC7" w:rsidRPr="00913E39">
        <w:rPr>
          <w:rFonts w:ascii="Garamond" w:hAnsi="Garamond"/>
          <w:sz w:val="24"/>
        </w:rPr>
        <w:t>”</w:t>
      </w:r>
      <w:r w:rsidRPr="00913E39">
        <w:rPr>
          <w:rFonts w:ascii="Garamond" w:hAnsi="Garamond"/>
          <w:sz w:val="24"/>
        </w:rPr>
        <w:t xml:space="preserve"> është çdo subjekt, individ ose grup individësh të përcaktuar nga BE-ja si subjekt i Masave Kufizuese të BE-së</w:t>
      </w:r>
      <w:r w:rsidR="00BD3368" w:rsidRPr="00913E39">
        <w:rPr>
          <w:rStyle w:val="FootnoteReference"/>
          <w:rFonts w:ascii="Garamond" w:hAnsi="Garamond"/>
          <w:sz w:val="24"/>
        </w:rPr>
        <w:footnoteReference w:id="100"/>
      </w:r>
      <w:r w:rsidRPr="00913E39">
        <w:rPr>
          <w:rFonts w:ascii="Garamond" w:hAnsi="Garamond"/>
          <w:sz w:val="24"/>
        </w:rPr>
        <w:t>.</w:t>
      </w:r>
    </w:p>
    <w:p w14:paraId="5D29F692" w14:textId="45E25F6C"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2</w:t>
      </w:r>
      <w:r w:rsidR="005C67AB" w:rsidRPr="00913E39">
        <w:rPr>
          <w:rFonts w:ascii="Garamond" w:hAnsi="Garamond"/>
          <w:sz w:val="24"/>
        </w:rPr>
        <w:t>.</w:t>
      </w:r>
      <w:r w:rsidRPr="00913E39">
        <w:rPr>
          <w:rFonts w:ascii="Garamond" w:hAnsi="Garamond"/>
          <w:sz w:val="24"/>
        </w:rPr>
        <w:t xml:space="preserve"> Në të gjitha marrëdhëniet e tyre, Palët pranojnë se sipas ligjit të BE-së, asnjë fond ose burim ekonomik i BE-së nuk duhet të vihet në dispozicion të drejtpërdrejtë ose të tërthortë, të </w:t>
      </w:r>
      <w:r w:rsidR="00633B19" w:rsidRPr="00913E39">
        <w:rPr>
          <w:rFonts w:ascii="Garamond" w:hAnsi="Garamond"/>
          <w:sz w:val="24"/>
        </w:rPr>
        <w:t>personave të kufizuar ose për të mir</w:t>
      </w:r>
      <w:r w:rsidRPr="00913E39">
        <w:rPr>
          <w:rFonts w:ascii="Garamond" w:hAnsi="Garamond"/>
          <w:sz w:val="24"/>
        </w:rPr>
        <w:t>ën e tyre.</w:t>
      </w:r>
    </w:p>
    <w:p w14:paraId="2DE52518" w14:textId="77777777"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3</w:t>
      </w:r>
      <w:r w:rsidR="005C67AB" w:rsidRPr="00913E39">
        <w:rPr>
          <w:rFonts w:ascii="Garamond" w:hAnsi="Garamond"/>
          <w:sz w:val="24"/>
        </w:rPr>
        <w:t>.</w:t>
      </w:r>
      <w:r w:rsidRPr="00913E39">
        <w:rPr>
          <w:rFonts w:ascii="Garamond" w:hAnsi="Garamond"/>
          <w:sz w:val="24"/>
        </w:rPr>
        <w:t xml:space="preserve"> Përfituesi i IPA III do të sigurojë që asnjë transaksion që i nënshtrohet një identifikimi të verifikuar ndaj listës së sanksioneve të BE-së, të mos përfitojë drejtpërdrejt ose tërthorazi nga financimi i BE-së. Përfituesi i IPA III angazhohet të sigurojë këtë detyrim:</w:t>
      </w:r>
    </w:p>
    <w:p w14:paraId="4ACCCC54" w14:textId="56AA73DC" w:rsidR="005F4CBC" w:rsidRPr="00913E39" w:rsidRDefault="005F4CBC" w:rsidP="005F4CBC">
      <w:pPr>
        <w:tabs>
          <w:tab w:val="left" w:pos="1000"/>
        </w:tabs>
        <w:spacing w:after="0" w:line="240" w:lineRule="auto"/>
        <w:ind w:firstLine="284"/>
        <w:contextualSpacing/>
        <w:jc w:val="both"/>
        <w:rPr>
          <w:rFonts w:ascii="Garamond" w:hAnsi="Garamond"/>
          <w:sz w:val="24"/>
        </w:rPr>
      </w:pPr>
      <w:r w:rsidRPr="00913E39">
        <w:rPr>
          <w:rFonts w:ascii="Garamond" w:hAnsi="Garamond"/>
          <w:sz w:val="24"/>
        </w:rPr>
        <w:t xml:space="preserve">a) duke kontrolluar për shkelje të listës së sanksioneve të BE-së, përpara se të lidhë dhe para se të bëjë pagesa sipas marrëveshjeve përkatëse, çdo kontraktor, përfitues granti dhe përfitues përfundimtar me të cilin </w:t>
      </w:r>
      <w:r w:rsidR="003E66AE" w:rsidRPr="00913E39">
        <w:rPr>
          <w:rFonts w:ascii="Garamond" w:hAnsi="Garamond"/>
          <w:sz w:val="24"/>
        </w:rPr>
        <w:t>p</w:t>
      </w:r>
      <w:r w:rsidRPr="00913E39">
        <w:rPr>
          <w:rFonts w:ascii="Garamond" w:hAnsi="Garamond"/>
          <w:sz w:val="24"/>
        </w:rPr>
        <w:t>ërfituesi i IPA III ka ose pritet të ketë një marrëdhënie të drejtpërdrejtë kontraktuale (marrësi i drejtpërdrejtë), në mënyrë që të vlerësohet nëse ky marrës është një subjekt i kufizuar.</w:t>
      </w:r>
    </w:p>
    <w:p w14:paraId="2DC79EB7" w14:textId="77777777" w:rsidR="005F4CBC" w:rsidRPr="00913E39" w:rsidRDefault="005F4CBC" w:rsidP="005F4CBC">
      <w:pPr>
        <w:tabs>
          <w:tab w:val="left" w:pos="1000"/>
        </w:tabs>
        <w:spacing w:after="0" w:line="240" w:lineRule="auto"/>
        <w:ind w:firstLine="284"/>
        <w:contextualSpacing/>
        <w:jc w:val="both"/>
        <w:rPr>
          <w:rFonts w:ascii="Garamond" w:hAnsi="Garamond"/>
          <w:sz w:val="24"/>
        </w:rPr>
      </w:pPr>
      <w:r w:rsidRPr="00913E39">
        <w:rPr>
          <w:rFonts w:ascii="Garamond" w:hAnsi="Garamond"/>
          <w:sz w:val="24"/>
        </w:rPr>
        <w:t>b) duke kontrolluar ose duke përdorur mjete të tjera të përshtatshme (që mund të përfshijnë një verifikim vijues) mbi bazën e një qasjeje të bazuar në risk, që asnjë subjekt që do ta merrte indirekt financimin e BE-së nuk është subjekt i kufizuar.</w:t>
      </w:r>
    </w:p>
    <w:p w14:paraId="5E20910B" w14:textId="2497DDA7"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4</w:t>
      </w:r>
      <w:r w:rsidR="005C67AB" w:rsidRPr="00913E39">
        <w:rPr>
          <w:rFonts w:ascii="Garamond" w:hAnsi="Garamond"/>
          <w:sz w:val="24"/>
        </w:rPr>
        <w:t>.</w:t>
      </w:r>
      <w:r w:rsidRPr="00913E39">
        <w:rPr>
          <w:rFonts w:ascii="Garamond" w:hAnsi="Garamond"/>
          <w:sz w:val="24"/>
        </w:rPr>
        <w:t xml:space="preserve"> Në rast se </w:t>
      </w:r>
      <w:r w:rsidR="00633B19" w:rsidRPr="00913E39">
        <w:rPr>
          <w:rFonts w:ascii="Garamond" w:hAnsi="Garamond"/>
          <w:sz w:val="24"/>
        </w:rPr>
        <w:t>p</w:t>
      </w:r>
      <w:r w:rsidRPr="00913E39">
        <w:rPr>
          <w:rFonts w:ascii="Garamond" w:hAnsi="Garamond"/>
          <w:sz w:val="24"/>
        </w:rPr>
        <w:t>ërfituesi i IPA III vlerëson se ndonjë nga përfituesit (direkt ose indirekt) të fondeve të BE-së është një subjekt i kufizuar, përfituesi i IPA III duhet të informojë menjëherë Komisionin.</w:t>
      </w:r>
    </w:p>
    <w:p w14:paraId="2269468A" w14:textId="77777777"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5</w:t>
      </w:r>
      <w:r w:rsidR="005C67AB" w:rsidRPr="00913E39">
        <w:rPr>
          <w:rFonts w:ascii="Garamond" w:hAnsi="Garamond"/>
          <w:sz w:val="24"/>
        </w:rPr>
        <w:t>.</w:t>
      </w:r>
      <w:r w:rsidRPr="00913E39">
        <w:rPr>
          <w:rFonts w:ascii="Garamond" w:hAnsi="Garamond"/>
          <w:sz w:val="24"/>
        </w:rPr>
        <w:t xml:space="preserve"> Pa cenuar detyrimin në pikën 3 më sipër, nëse Komisioni vlerëson se përdorimi i ndihmës financiare të Unionit sipas IPA III rezulton ose ka rezultuar në shkelje të masave kufizuese të BE-së, shumat përkatëse nuk do të jenë të pranueshme për ndihmën financiare të Unionit sipas IPA III. Kjo nuk cenon të drejtën që mund të ketë Komisioni për të pezulluar ose ndërprerë veprimin e prekur nga një shkelje e tillë, për të rikuperuar çdo financim të BE-së të kontribuar nga Komisioni, ose për të pezulluar ose ndërprerë këtë marrëveshje financimi.</w:t>
      </w:r>
    </w:p>
    <w:p w14:paraId="3BC3D30E" w14:textId="77777777" w:rsidR="005F4CBC" w:rsidRPr="00913E39" w:rsidRDefault="005F4CBC" w:rsidP="005F4CBC">
      <w:pPr>
        <w:tabs>
          <w:tab w:val="left" w:pos="560"/>
        </w:tabs>
        <w:spacing w:after="0" w:line="240" w:lineRule="auto"/>
        <w:ind w:firstLine="284"/>
        <w:contextualSpacing/>
        <w:jc w:val="both"/>
        <w:rPr>
          <w:rFonts w:ascii="Garamond" w:hAnsi="Garamond"/>
          <w:sz w:val="24"/>
        </w:rPr>
      </w:pPr>
      <w:r w:rsidRPr="00913E39">
        <w:rPr>
          <w:rFonts w:ascii="Garamond" w:hAnsi="Garamond"/>
          <w:sz w:val="24"/>
        </w:rPr>
        <w:t>6</w:t>
      </w:r>
      <w:r w:rsidR="005C67AB" w:rsidRPr="00913E39">
        <w:rPr>
          <w:rFonts w:ascii="Garamond" w:hAnsi="Garamond"/>
          <w:sz w:val="24"/>
        </w:rPr>
        <w:t>.</w:t>
      </w:r>
      <w:r w:rsidRPr="00913E39">
        <w:rPr>
          <w:rFonts w:ascii="Garamond" w:hAnsi="Garamond"/>
          <w:sz w:val="24"/>
        </w:rPr>
        <w:t xml:space="preserve"> Përcaktimi i masave korrigjuese do të bëhet në përputhje me parimin e proporcionalitetit. Masat korrigjuese do të zbatohen vetëm për fondet e BE-së të vëna në dispozicion, ose në dobi të, një përfituesi për periudhën gjatë së cilës ai ka mbetur subjekt i kufizuar.</w:t>
      </w:r>
    </w:p>
    <w:p w14:paraId="14E3C155" w14:textId="79F85FBE" w:rsidR="005F4CBC" w:rsidRPr="00913E39" w:rsidRDefault="005F4CBC" w:rsidP="00BD3368">
      <w:pPr>
        <w:tabs>
          <w:tab w:val="left" w:pos="560"/>
        </w:tabs>
        <w:spacing w:after="0" w:line="240" w:lineRule="auto"/>
        <w:ind w:firstLine="284"/>
        <w:contextualSpacing/>
        <w:jc w:val="both"/>
        <w:rPr>
          <w:rFonts w:ascii="Garamond" w:hAnsi="Garamond"/>
          <w:sz w:val="24"/>
        </w:rPr>
      </w:pPr>
      <w:r w:rsidRPr="00913E39">
        <w:rPr>
          <w:rFonts w:ascii="Garamond" w:hAnsi="Garamond"/>
          <w:sz w:val="24"/>
        </w:rPr>
        <w:t>7</w:t>
      </w:r>
      <w:r w:rsidR="005C67AB" w:rsidRPr="00913E39">
        <w:rPr>
          <w:rFonts w:ascii="Garamond" w:hAnsi="Garamond"/>
          <w:sz w:val="24"/>
        </w:rPr>
        <w:t>.</w:t>
      </w:r>
      <w:r w:rsidRPr="00913E39">
        <w:rPr>
          <w:rFonts w:ascii="Garamond" w:hAnsi="Garamond"/>
          <w:sz w:val="24"/>
        </w:rPr>
        <w:t xml:space="preserve"> Kjo klauzolë nuk prek përjashtimet e përfshira në </w:t>
      </w:r>
      <w:r w:rsidR="00BD3368" w:rsidRPr="00913E39">
        <w:rPr>
          <w:rFonts w:ascii="Garamond" w:hAnsi="Garamond"/>
          <w:sz w:val="24"/>
        </w:rPr>
        <w:t xml:space="preserve">masat kufizuese </w:t>
      </w:r>
      <w:r w:rsidRPr="00913E39">
        <w:rPr>
          <w:rFonts w:ascii="Garamond" w:hAnsi="Garamond"/>
          <w:sz w:val="24"/>
        </w:rPr>
        <w:t>të BE-së.</w:t>
      </w:r>
    </w:p>
    <w:p w14:paraId="461F4408" w14:textId="77777777" w:rsidR="005F4CBC" w:rsidRPr="00913E39" w:rsidRDefault="005F4CBC" w:rsidP="005C67AB">
      <w:pPr>
        <w:spacing w:after="0" w:line="240" w:lineRule="auto"/>
        <w:rPr>
          <w:rFonts w:ascii="Garamond" w:hAnsi="Garamond"/>
          <w:sz w:val="24"/>
        </w:rPr>
      </w:pPr>
    </w:p>
    <w:p w14:paraId="3881BE20" w14:textId="3FC9C75D" w:rsidR="00903B69" w:rsidRPr="00913E39" w:rsidRDefault="00903B69" w:rsidP="00B917EE">
      <w:pPr>
        <w:pStyle w:val="Heading1"/>
        <w:spacing w:before="0" w:after="0"/>
        <w:ind w:firstLine="284"/>
        <w:jc w:val="center"/>
        <w:rPr>
          <w:rFonts w:ascii="Garamond" w:hAnsi="Garamond"/>
          <w:b w:val="0"/>
          <w:sz w:val="24"/>
          <w:lang w:val="sq-AL"/>
        </w:rPr>
      </w:pPr>
      <w:bookmarkStart w:id="55" w:name="_Toc63956566"/>
      <w:bookmarkStart w:id="56" w:name="_Toc89780002"/>
      <w:r w:rsidRPr="00913E39">
        <w:rPr>
          <w:rFonts w:ascii="Garamond" w:hAnsi="Garamond"/>
          <w:sz w:val="24"/>
          <w:lang w:val="sq-AL"/>
        </w:rPr>
        <w:t>Format i raportit vjetor për zbatimin e</w:t>
      </w:r>
      <w:bookmarkEnd w:id="55"/>
      <w:bookmarkEnd w:id="56"/>
      <w:r w:rsidRPr="00913E39">
        <w:rPr>
          <w:rFonts w:ascii="Garamond" w:hAnsi="Garamond"/>
          <w:sz w:val="24"/>
          <w:lang w:val="sq-AL"/>
        </w:rPr>
        <w:t xml:space="preserve"> </w:t>
      </w:r>
      <w:bookmarkStart w:id="57" w:name="_Toc63956567"/>
      <w:bookmarkStart w:id="58" w:name="_Toc89780003"/>
      <w:r w:rsidRPr="00913E39">
        <w:rPr>
          <w:rFonts w:ascii="Garamond" w:hAnsi="Garamond"/>
          <w:sz w:val="24"/>
          <w:lang w:val="sq-AL"/>
        </w:rPr>
        <w:t>Instrumentit të Ndihmës Para</w:t>
      </w:r>
      <w:r w:rsidR="00AF4AE2" w:rsidRPr="00913E39">
        <w:rPr>
          <w:rFonts w:ascii="Garamond" w:hAnsi="Garamond"/>
          <w:sz w:val="24"/>
          <w:lang w:val="sq-AL"/>
        </w:rPr>
        <w:t>a</w:t>
      </w:r>
      <w:r w:rsidRPr="00913E39">
        <w:rPr>
          <w:rFonts w:ascii="Garamond" w:hAnsi="Garamond"/>
          <w:sz w:val="24"/>
          <w:lang w:val="sq-AL"/>
        </w:rPr>
        <w:t>derimit</w:t>
      </w:r>
      <w:bookmarkEnd w:id="57"/>
      <w:bookmarkEnd w:id="58"/>
      <w:r w:rsidRPr="00913E39">
        <w:rPr>
          <w:rFonts w:ascii="Garamond" w:hAnsi="Garamond"/>
          <w:sz w:val="24"/>
          <w:lang w:val="sq-AL"/>
        </w:rPr>
        <w:t xml:space="preserve"> i paraqitur nga Koordinatori Kombëtar për IPA-n</w:t>
      </w:r>
    </w:p>
    <w:p w14:paraId="6467A10C" w14:textId="77777777" w:rsidR="00903B69" w:rsidRPr="00913E39" w:rsidRDefault="00903B69" w:rsidP="00B917EE">
      <w:pPr>
        <w:spacing w:after="0" w:line="240" w:lineRule="auto"/>
        <w:ind w:firstLine="284"/>
        <w:jc w:val="center"/>
        <w:rPr>
          <w:rFonts w:ascii="Garamond" w:hAnsi="Garamond"/>
          <w:i/>
          <w:sz w:val="24"/>
          <w:szCs w:val="24"/>
        </w:rPr>
      </w:pPr>
      <w:r w:rsidRPr="00913E39">
        <w:rPr>
          <w:rFonts w:ascii="Garamond" w:hAnsi="Garamond"/>
          <w:i/>
          <w:sz w:val="24"/>
          <w:szCs w:val="24"/>
        </w:rPr>
        <w:t>(në përputhje me nenin 59 të Marrëveshjes Kornizë të Partneritetit Financiar)</w:t>
      </w:r>
    </w:p>
    <w:p w14:paraId="769A37E0" w14:textId="77777777" w:rsidR="00903B69" w:rsidRPr="00913E39" w:rsidRDefault="00903B69" w:rsidP="00B917EE">
      <w:pPr>
        <w:spacing w:after="0" w:line="240" w:lineRule="auto"/>
        <w:ind w:firstLine="284"/>
        <w:jc w:val="center"/>
        <w:rPr>
          <w:rFonts w:ascii="Garamond" w:hAnsi="Garamond"/>
          <w:b/>
          <w:bCs/>
          <w:kern w:val="32"/>
          <w:sz w:val="24"/>
          <w:szCs w:val="24"/>
        </w:rPr>
      </w:pPr>
    </w:p>
    <w:p w14:paraId="7B96B84D" w14:textId="77777777" w:rsidR="00C4677B" w:rsidRPr="00913E39" w:rsidRDefault="00903B69" w:rsidP="00B917EE">
      <w:pPr>
        <w:tabs>
          <w:tab w:val="left" w:pos="6237"/>
        </w:tabs>
        <w:spacing w:after="0" w:line="240" w:lineRule="auto"/>
        <w:ind w:firstLine="284"/>
        <w:jc w:val="right"/>
        <w:rPr>
          <w:rFonts w:ascii="Garamond" w:hAnsi="Garamond"/>
          <w:sz w:val="24"/>
          <w:szCs w:val="24"/>
        </w:rPr>
      </w:pPr>
      <w:r w:rsidRPr="00913E39">
        <w:rPr>
          <w:rFonts w:ascii="Garamond" w:hAnsi="Garamond"/>
          <w:sz w:val="24"/>
          <w:szCs w:val="24"/>
        </w:rPr>
        <w:t xml:space="preserve">Periudha që mbulon raportimi: </w:t>
      </w:r>
    </w:p>
    <w:p w14:paraId="155E8982" w14:textId="27EE49EC" w:rsidR="00903B69" w:rsidRPr="00913E39" w:rsidRDefault="00903B69" w:rsidP="00B917EE">
      <w:pPr>
        <w:tabs>
          <w:tab w:val="left" w:pos="6237"/>
        </w:tabs>
        <w:spacing w:after="0" w:line="240" w:lineRule="auto"/>
        <w:ind w:firstLine="284"/>
        <w:jc w:val="right"/>
        <w:rPr>
          <w:rFonts w:ascii="Garamond" w:hAnsi="Garamond"/>
          <w:sz w:val="24"/>
          <w:szCs w:val="24"/>
        </w:rPr>
      </w:pPr>
      <w:r w:rsidRPr="00913E39">
        <w:rPr>
          <w:rFonts w:ascii="Garamond" w:hAnsi="Garamond"/>
          <w:sz w:val="24"/>
          <w:szCs w:val="24"/>
        </w:rPr>
        <w:t>01/01/20XX-31/12/20XX</w:t>
      </w:r>
    </w:p>
    <w:p w14:paraId="66CE00E3" w14:textId="77777777" w:rsidR="00903B69" w:rsidRPr="00913E39" w:rsidRDefault="00903B69" w:rsidP="00B917EE">
      <w:pPr>
        <w:tabs>
          <w:tab w:val="left" w:pos="6237"/>
        </w:tabs>
        <w:spacing w:after="0" w:line="240" w:lineRule="auto"/>
        <w:ind w:firstLine="284"/>
        <w:jc w:val="right"/>
        <w:rPr>
          <w:rFonts w:ascii="Garamond" w:hAnsi="Garamond"/>
          <w:sz w:val="24"/>
          <w:szCs w:val="24"/>
        </w:rPr>
      </w:pPr>
      <w:r w:rsidRPr="00913E39">
        <w:rPr>
          <w:rFonts w:ascii="Garamond" w:hAnsi="Garamond"/>
          <w:sz w:val="24"/>
          <w:szCs w:val="24"/>
        </w:rPr>
        <w:t>Raport i bërë më XX/XX/20XX</w:t>
      </w:r>
    </w:p>
    <w:p w14:paraId="0804FB4E" w14:textId="77777777" w:rsidR="00B917EE" w:rsidRPr="00913E39" w:rsidRDefault="00B917EE" w:rsidP="00B917EE">
      <w:pPr>
        <w:spacing w:after="0" w:line="240" w:lineRule="auto"/>
        <w:ind w:firstLine="284"/>
        <w:jc w:val="center"/>
        <w:rPr>
          <w:rFonts w:ascii="Garamond" w:hAnsi="Garamond"/>
          <w:b/>
          <w:sz w:val="24"/>
          <w:szCs w:val="24"/>
        </w:rPr>
      </w:pPr>
    </w:p>
    <w:p w14:paraId="422995F5" w14:textId="482410DA" w:rsidR="00903B69" w:rsidRPr="00913E39" w:rsidRDefault="00903B69" w:rsidP="00B917EE">
      <w:pPr>
        <w:spacing w:after="0" w:line="240" w:lineRule="auto"/>
        <w:ind w:firstLine="284"/>
        <w:jc w:val="center"/>
        <w:rPr>
          <w:rFonts w:ascii="Garamond" w:hAnsi="Garamond"/>
          <w:b/>
          <w:i/>
          <w:sz w:val="24"/>
          <w:szCs w:val="24"/>
        </w:rPr>
      </w:pPr>
      <w:r w:rsidRPr="00913E39">
        <w:rPr>
          <w:rFonts w:ascii="Garamond" w:hAnsi="Garamond"/>
          <w:b/>
          <w:sz w:val="24"/>
          <w:szCs w:val="24"/>
        </w:rPr>
        <w:t>Raporti Vjetor për Zbatimin e Instrumentit për Ndihmën Para</w:t>
      </w:r>
      <w:r w:rsidR="00BD3368" w:rsidRPr="00913E39">
        <w:rPr>
          <w:rFonts w:ascii="Garamond" w:hAnsi="Garamond"/>
          <w:b/>
          <w:sz w:val="24"/>
          <w:szCs w:val="24"/>
        </w:rPr>
        <w:t>a</w:t>
      </w:r>
      <w:r w:rsidRPr="00913E39">
        <w:rPr>
          <w:rFonts w:ascii="Garamond" w:hAnsi="Garamond"/>
          <w:b/>
          <w:sz w:val="24"/>
          <w:szCs w:val="24"/>
        </w:rPr>
        <w:t>derimit në menaxhim direkt dhe indirekt nga &lt;</w:t>
      </w:r>
      <w:r w:rsidRPr="00913E39">
        <w:rPr>
          <w:rFonts w:ascii="Garamond" w:hAnsi="Garamond"/>
          <w:b/>
          <w:i/>
          <w:sz w:val="24"/>
          <w:szCs w:val="24"/>
        </w:rPr>
        <w:t>përfituesi i IPA-s&gt;</w:t>
      </w:r>
    </w:p>
    <w:p w14:paraId="506AC1CD" w14:textId="77777777" w:rsidR="00B917EE" w:rsidRPr="00913E39" w:rsidRDefault="00B917EE" w:rsidP="00B917EE">
      <w:pPr>
        <w:spacing w:after="0" w:line="240" w:lineRule="auto"/>
        <w:ind w:firstLine="284"/>
        <w:jc w:val="both"/>
        <w:rPr>
          <w:rFonts w:ascii="Garamond" w:hAnsi="Garamond"/>
          <w:b/>
          <w:sz w:val="24"/>
          <w:szCs w:val="24"/>
        </w:rPr>
      </w:pPr>
    </w:p>
    <w:p w14:paraId="2A99C199" w14:textId="77777777" w:rsidR="00903B69" w:rsidRPr="00913E39" w:rsidRDefault="00903B69" w:rsidP="00B917EE">
      <w:pPr>
        <w:spacing w:after="0" w:line="240" w:lineRule="auto"/>
        <w:ind w:firstLine="284"/>
        <w:jc w:val="both"/>
        <w:rPr>
          <w:rFonts w:ascii="Garamond" w:hAnsi="Garamond"/>
          <w:b/>
          <w:bCs/>
          <w:sz w:val="24"/>
          <w:szCs w:val="24"/>
        </w:rPr>
      </w:pPr>
      <w:r w:rsidRPr="00913E39">
        <w:rPr>
          <w:rFonts w:ascii="Garamond" w:hAnsi="Garamond"/>
          <w:b/>
          <w:sz w:val="24"/>
          <w:szCs w:val="24"/>
        </w:rPr>
        <w:t>I. Përmbledhje ekzekutive</w:t>
      </w:r>
    </w:p>
    <w:p w14:paraId="67A4C22D" w14:textId="5E9DEDC0" w:rsidR="00903B69" w:rsidRPr="00913E39" w:rsidRDefault="00903B69" w:rsidP="00B917EE">
      <w:pPr>
        <w:spacing w:after="0" w:line="240" w:lineRule="auto"/>
        <w:ind w:firstLine="284"/>
        <w:jc w:val="both"/>
        <w:rPr>
          <w:rFonts w:ascii="Garamond" w:hAnsi="Garamond"/>
          <w:sz w:val="24"/>
          <w:szCs w:val="24"/>
        </w:rPr>
      </w:pPr>
      <w:r w:rsidRPr="00913E39">
        <w:rPr>
          <w:rFonts w:ascii="Garamond" w:hAnsi="Garamond"/>
          <w:sz w:val="24"/>
          <w:szCs w:val="24"/>
        </w:rPr>
        <w:t xml:space="preserve">Kjo pjesë duhet të evidentojë rezultatet kryesore të përgjithshme siç raportohen në </w:t>
      </w:r>
      <w:r w:rsidR="00BD3368" w:rsidRPr="00913E39">
        <w:rPr>
          <w:rFonts w:ascii="Garamond" w:hAnsi="Garamond"/>
          <w:sz w:val="24"/>
          <w:szCs w:val="24"/>
        </w:rPr>
        <w:t>p</w:t>
      </w:r>
      <w:r w:rsidRPr="00913E39">
        <w:rPr>
          <w:rFonts w:ascii="Garamond" w:hAnsi="Garamond"/>
          <w:sz w:val="24"/>
          <w:szCs w:val="24"/>
        </w:rPr>
        <w:t>jesën II, duke u fokusuar në:</w:t>
      </w:r>
    </w:p>
    <w:p w14:paraId="36BA3002" w14:textId="17320FDA" w:rsidR="00903B69" w:rsidRPr="00913E39" w:rsidRDefault="00903B69" w:rsidP="00B917EE">
      <w:pPr>
        <w:autoSpaceDE w:val="0"/>
        <w:autoSpaceDN w:val="0"/>
        <w:adjustRightInd w:val="0"/>
        <w:spacing w:after="0" w:line="240" w:lineRule="auto"/>
        <w:ind w:firstLine="284"/>
        <w:jc w:val="both"/>
        <w:rPr>
          <w:rFonts w:ascii="Garamond" w:eastAsia="Calibri" w:hAnsi="Garamond"/>
          <w:sz w:val="24"/>
          <w:szCs w:val="24"/>
        </w:rPr>
      </w:pPr>
      <w:r w:rsidRPr="00913E39">
        <w:rPr>
          <w:rFonts w:ascii="Garamond" w:eastAsia="Calibri" w:hAnsi="Garamond"/>
          <w:sz w:val="24"/>
          <w:szCs w:val="24"/>
        </w:rPr>
        <w:t xml:space="preserve">- </w:t>
      </w:r>
      <w:r w:rsidR="00BD3368" w:rsidRPr="00913E39">
        <w:rPr>
          <w:rFonts w:ascii="Garamond" w:eastAsia="Calibri" w:hAnsi="Garamond"/>
          <w:sz w:val="24"/>
          <w:szCs w:val="24"/>
        </w:rPr>
        <w:t>p</w:t>
      </w:r>
      <w:r w:rsidRPr="00913E39">
        <w:rPr>
          <w:rFonts w:ascii="Garamond" w:eastAsia="Calibri" w:hAnsi="Garamond"/>
          <w:sz w:val="24"/>
          <w:szCs w:val="24"/>
        </w:rPr>
        <w:t xml:space="preserve">rogresin në arritjen e objektivave të akteve strategjike gjithëpërfshirëse të IPA-s </w:t>
      </w:r>
      <w:r w:rsidR="00BD3368" w:rsidRPr="00913E39">
        <w:rPr>
          <w:rFonts w:ascii="Garamond" w:eastAsia="Calibri" w:hAnsi="Garamond"/>
          <w:sz w:val="24"/>
          <w:szCs w:val="24"/>
        </w:rPr>
        <w:t xml:space="preserve">(dokumentet strategjike të vendit </w:t>
      </w:r>
      <w:r w:rsidRPr="00913E39">
        <w:rPr>
          <w:rFonts w:ascii="Garamond" w:eastAsia="Calibri" w:hAnsi="Garamond"/>
          <w:sz w:val="24"/>
          <w:szCs w:val="24"/>
        </w:rPr>
        <w:t>sipas IPA II dhe Kuadrit të Programimit IPA III)</w:t>
      </w:r>
      <w:r w:rsidR="00BD3368" w:rsidRPr="00913E39">
        <w:rPr>
          <w:rFonts w:ascii="Garamond" w:eastAsia="Calibri" w:hAnsi="Garamond"/>
          <w:sz w:val="24"/>
          <w:szCs w:val="24"/>
        </w:rPr>
        <w:t>;</w:t>
      </w:r>
    </w:p>
    <w:p w14:paraId="1FD099A4" w14:textId="1432B6EF" w:rsidR="00903B69" w:rsidRPr="00913E39" w:rsidRDefault="00903B69" w:rsidP="00B917EE">
      <w:pPr>
        <w:autoSpaceDE w:val="0"/>
        <w:autoSpaceDN w:val="0"/>
        <w:adjustRightInd w:val="0"/>
        <w:spacing w:after="0" w:line="240" w:lineRule="auto"/>
        <w:ind w:firstLine="284"/>
        <w:jc w:val="both"/>
        <w:rPr>
          <w:rFonts w:ascii="Garamond" w:eastAsia="Calibri" w:hAnsi="Garamond"/>
          <w:sz w:val="24"/>
          <w:szCs w:val="24"/>
        </w:rPr>
      </w:pPr>
      <w:r w:rsidRPr="00913E39">
        <w:rPr>
          <w:rFonts w:ascii="Garamond" w:eastAsia="Calibri" w:hAnsi="Garamond"/>
          <w:sz w:val="24"/>
          <w:szCs w:val="24"/>
        </w:rPr>
        <w:t xml:space="preserve">- </w:t>
      </w:r>
      <w:r w:rsidR="00BD3368" w:rsidRPr="00913E39">
        <w:rPr>
          <w:rFonts w:ascii="Garamond" w:eastAsia="Calibri" w:hAnsi="Garamond"/>
          <w:sz w:val="24"/>
          <w:szCs w:val="24"/>
        </w:rPr>
        <w:t>a</w:t>
      </w:r>
      <w:r w:rsidRPr="00913E39">
        <w:rPr>
          <w:rFonts w:ascii="Garamond" w:eastAsia="Calibri" w:hAnsi="Garamond"/>
          <w:sz w:val="24"/>
          <w:szCs w:val="24"/>
        </w:rPr>
        <w:t>rritjet dhe sfidat kryesore në programimin, zbatimin dhe masat korrigjuese të ndërmarra, duke përfshirë ndjekjen e rekomandimeve më të rëndësishme të monitorimit, vlerësimit dhe/ose auditimit</w:t>
      </w:r>
      <w:r w:rsidR="00BD3368" w:rsidRPr="00913E39">
        <w:rPr>
          <w:rFonts w:ascii="Garamond" w:eastAsia="Calibri" w:hAnsi="Garamond"/>
          <w:sz w:val="24"/>
          <w:szCs w:val="24"/>
        </w:rPr>
        <w:t>;</w:t>
      </w:r>
    </w:p>
    <w:p w14:paraId="20A2E50C" w14:textId="7EA6FDCD" w:rsidR="00903B69" w:rsidRPr="00913E39" w:rsidRDefault="00903B69" w:rsidP="00B917EE">
      <w:pPr>
        <w:autoSpaceDE w:val="0"/>
        <w:autoSpaceDN w:val="0"/>
        <w:adjustRightInd w:val="0"/>
        <w:spacing w:after="0" w:line="240" w:lineRule="auto"/>
        <w:ind w:firstLine="284"/>
        <w:jc w:val="both"/>
        <w:rPr>
          <w:rFonts w:ascii="Garamond" w:eastAsia="Calibri" w:hAnsi="Garamond"/>
          <w:sz w:val="24"/>
          <w:szCs w:val="24"/>
        </w:rPr>
      </w:pPr>
      <w:r w:rsidRPr="00913E39">
        <w:rPr>
          <w:rFonts w:ascii="Garamond" w:eastAsia="Calibri" w:hAnsi="Garamond"/>
          <w:sz w:val="24"/>
          <w:szCs w:val="24"/>
        </w:rPr>
        <w:t xml:space="preserve">- </w:t>
      </w:r>
      <w:r w:rsidR="00BD3368" w:rsidRPr="00913E39">
        <w:rPr>
          <w:rFonts w:ascii="Garamond" w:eastAsia="Calibri" w:hAnsi="Garamond"/>
          <w:sz w:val="24"/>
          <w:szCs w:val="24"/>
        </w:rPr>
        <w:t>p</w:t>
      </w:r>
      <w:r w:rsidRPr="00913E39">
        <w:rPr>
          <w:rFonts w:ascii="Garamond" w:eastAsia="Calibri" w:hAnsi="Garamond"/>
          <w:sz w:val="24"/>
          <w:szCs w:val="24"/>
        </w:rPr>
        <w:t xml:space="preserve">lotësimi me veprimet e shumë vendeve dhe mbështetja nga donatorë të tjerë (përfshirë </w:t>
      </w:r>
      <w:r w:rsidR="00BD3368" w:rsidRPr="00913E39">
        <w:rPr>
          <w:rFonts w:ascii="Garamond" w:eastAsia="Calibri" w:hAnsi="Garamond"/>
          <w:sz w:val="24"/>
          <w:szCs w:val="24"/>
        </w:rPr>
        <w:t>ekipin evropian</w:t>
      </w:r>
      <w:r w:rsidRPr="00913E39">
        <w:rPr>
          <w:rFonts w:ascii="Garamond" w:eastAsia="Calibri" w:hAnsi="Garamond"/>
          <w:sz w:val="24"/>
          <w:szCs w:val="24"/>
        </w:rPr>
        <w:t>, nëse është e nevojshme)</w:t>
      </w:r>
      <w:r w:rsidR="00BD3368" w:rsidRPr="00913E39">
        <w:rPr>
          <w:rFonts w:ascii="Garamond" w:eastAsia="Calibri" w:hAnsi="Garamond"/>
          <w:sz w:val="24"/>
          <w:szCs w:val="24"/>
        </w:rPr>
        <w:t>;</w:t>
      </w:r>
    </w:p>
    <w:p w14:paraId="2439C73E" w14:textId="671FCFD9" w:rsidR="00903B69" w:rsidRPr="00913E39" w:rsidRDefault="00903B69" w:rsidP="00B917EE">
      <w:pPr>
        <w:autoSpaceDE w:val="0"/>
        <w:autoSpaceDN w:val="0"/>
        <w:adjustRightInd w:val="0"/>
        <w:spacing w:after="0" w:line="240" w:lineRule="auto"/>
        <w:ind w:firstLine="284"/>
        <w:jc w:val="both"/>
        <w:rPr>
          <w:rFonts w:ascii="Garamond" w:eastAsia="Calibri" w:hAnsi="Garamond"/>
          <w:sz w:val="24"/>
          <w:szCs w:val="24"/>
        </w:rPr>
      </w:pPr>
      <w:r w:rsidRPr="00913E39">
        <w:rPr>
          <w:rFonts w:ascii="Garamond" w:eastAsia="Calibri" w:hAnsi="Garamond"/>
          <w:sz w:val="24"/>
          <w:szCs w:val="24"/>
        </w:rPr>
        <w:lastRenderedPageBreak/>
        <w:t xml:space="preserve">- </w:t>
      </w:r>
      <w:r w:rsidR="00BD3368" w:rsidRPr="00913E39">
        <w:rPr>
          <w:rFonts w:ascii="Garamond" w:eastAsia="Calibri" w:hAnsi="Garamond"/>
          <w:sz w:val="24"/>
          <w:szCs w:val="24"/>
        </w:rPr>
        <w:t xml:space="preserve">arritjet </w:t>
      </w:r>
      <w:r w:rsidRPr="00913E39">
        <w:rPr>
          <w:rFonts w:ascii="Garamond" w:eastAsia="Calibri" w:hAnsi="Garamond"/>
          <w:sz w:val="24"/>
          <w:szCs w:val="24"/>
        </w:rPr>
        <w:t>kryesore me aktivitetet e komunikimit dhe vizibilitetit</w:t>
      </w:r>
      <w:r w:rsidR="00BD3368" w:rsidRPr="00913E39">
        <w:rPr>
          <w:rFonts w:ascii="Garamond" w:eastAsia="Calibri" w:hAnsi="Garamond"/>
          <w:sz w:val="24"/>
          <w:szCs w:val="24"/>
        </w:rPr>
        <w:t>;</w:t>
      </w:r>
    </w:p>
    <w:p w14:paraId="579D4CBF" w14:textId="213EC1A6" w:rsidR="00903B69" w:rsidRPr="00913E39" w:rsidRDefault="00903B69" w:rsidP="00B917EE">
      <w:pPr>
        <w:autoSpaceDE w:val="0"/>
        <w:autoSpaceDN w:val="0"/>
        <w:adjustRightInd w:val="0"/>
        <w:spacing w:after="0" w:line="240" w:lineRule="auto"/>
        <w:ind w:firstLine="284"/>
        <w:jc w:val="both"/>
        <w:rPr>
          <w:rFonts w:ascii="Garamond" w:eastAsia="Calibri" w:hAnsi="Garamond"/>
          <w:sz w:val="24"/>
          <w:szCs w:val="24"/>
        </w:rPr>
      </w:pPr>
      <w:r w:rsidRPr="00913E39">
        <w:rPr>
          <w:rFonts w:ascii="Garamond" w:eastAsia="Calibri" w:hAnsi="Garamond"/>
          <w:sz w:val="24"/>
          <w:szCs w:val="24"/>
        </w:rPr>
        <w:t xml:space="preserve">- </w:t>
      </w:r>
      <w:r w:rsidR="00BD3368" w:rsidRPr="00913E39">
        <w:rPr>
          <w:rFonts w:ascii="Garamond" w:eastAsia="Calibri" w:hAnsi="Garamond"/>
          <w:sz w:val="24"/>
          <w:szCs w:val="24"/>
        </w:rPr>
        <w:t xml:space="preserve">rekomandimet kryesore të koordinatorit kombëtar </w:t>
      </w:r>
      <w:r w:rsidRPr="00913E39">
        <w:rPr>
          <w:rFonts w:ascii="Garamond" w:eastAsia="Calibri" w:hAnsi="Garamond"/>
          <w:sz w:val="24"/>
          <w:szCs w:val="24"/>
        </w:rPr>
        <w:t>për IPA për periudhën e ardhshme</w:t>
      </w:r>
      <w:r w:rsidR="00BD3368" w:rsidRPr="00913E39">
        <w:rPr>
          <w:rFonts w:ascii="Garamond" w:eastAsia="Calibri" w:hAnsi="Garamond"/>
          <w:sz w:val="24"/>
          <w:szCs w:val="24"/>
        </w:rPr>
        <w:t>.</w:t>
      </w:r>
    </w:p>
    <w:p w14:paraId="48961035" w14:textId="0F587A1D" w:rsidR="00903B69" w:rsidRPr="00913E39" w:rsidRDefault="00903B69" w:rsidP="00B917EE">
      <w:pPr>
        <w:spacing w:after="0" w:line="240" w:lineRule="auto"/>
        <w:ind w:firstLine="284"/>
        <w:jc w:val="both"/>
        <w:rPr>
          <w:rFonts w:ascii="Garamond" w:hAnsi="Garamond"/>
          <w:b/>
          <w:bCs/>
          <w:sz w:val="24"/>
          <w:szCs w:val="24"/>
        </w:rPr>
      </w:pPr>
      <w:r w:rsidRPr="00913E39">
        <w:rPr>
          <w:rFonts w:ascii="Garamond" w:hAnsi="Garamond"/>
          <w:b/>
          <w:sz w:val="24"/>
          <w:szCs w:val="24"/>
        </w:rPr>
        <w:t xml:space="preserve">II. Zbatimi i ndihmës IPA për </w:t>
      </w:r>
      <w:r w:rsidR="00BD230E" w:rsidRPr="00913E39">
        <w:rPr>
          <w:rFonts w:ascii="Garamond" w:hAnsi="Garamond"/>
          <w:b/>
          <w:sz w:val="24"/>
          <w:szCs w:val="24"/>
        </w:rPr>
        <w:t>aperturën</w:t>
      </w:r>
      <w:r w:rsidRPr="00913E39">
        <w:rPr>
          <w:rFonts w:ascii="Garamond" w:hAnsi="Garamond"/>
          <w:b/>
          <w:sz w:val="24"/>
          <w:szCs w:val="24"/>
        </w:rPr>
        <w:t xml:space="preserve">/prioritetin kryesor IPA dhe Sektorin IPA II </w:t>
      </w:r>
    </w:p>
    <w:p w14:paraId="3FF88C68" w14:textId="77777777" w:rsidR="00903B69" w:rsidRPr="00913E39" w:rsidRDefault="00903B69" w:rsidP="00B917EE">
      <w:pPr>
        <w:spacing w:after="0" w:line="240" w:lineRule="auto"/>
        <w:ind w:firstLine="284"/>
        <w:jc w:val="both"/>
        <w:rPr>
          <w:rFonts w:ascii="Garamond" w:hAnsi="Garamond"/>
          <w:sz w:val="24"/>
          <w:szCs w:val="24"/>
        </w:rPr>
      </w:pPr>
      <w:r w:rsidRPr="00913E39">
        <w:rPr>
          <w:rFonts w:ascii="Garamond" w:hAnsi="Garamond"/>
          <w:sz w:val="24"/>
          <w:szCs w:val="24"/>
        </w:rPr>
        <w:t>Informacioni i dhënë në këtë pjesë duhet të bazohet/lidhet me informacionin e dhënë në tabelën 1 më poshtë.</w:t>
      </w:r>
    </w:p>
    <w:p w14:paraId="3D2F52BD" w14:textId="77777777" w:rsidR="00903B69" w:rsidRPr="00913E39" w:rsidRDefault="00903B69" w:rsidP="00B917EE">
      <w:pPr>
        <w:spacing w:after="0" w:line="240" w:lineRule="auto"/>
        <w:ind w:firstLine="284"/>
        <w:jc w:val="both"/>
        <w:rPr>
          <w:rFonts w:ascii="Garamond" w:hAnsi="Garamond"/>
          <w:sz w:val="24"/>
          <w:szCs w:val="24"/>
        </w:rPr>
      </w:pPr>
      <w:r w:rsidRPr="00913E39">
        <w:rPr>
          <w:rFonts w:ascii="Garamond" w:hAnsi="Garamond"/>
          <w:sz w:val="24"/>
          <w:szCs w:val="24"/>
        </w:rPr>
        <w:t xml:space="preserve">Kjo pjesë duhet të përfshijë një përmbledhje për aperturë/prioritet kryesor (ndihma IPA III) dhe për sektor (ndihma IPA II) të organizuar si më poshtë: </w:t>
      </w:r>
    </w:p>
    <w:p w14:paraId="5B85F825" w14:textId="77777777" w:rsidR="00903B69" w:rsidRPr="00913E39" w:rsidDel="00296A5F" w:rsidRDefault="00903B69" w:rsidP="00B917EE">
      <w:pPr>
        <w:spacing w:after="0" w:line="240" w:lineRule="auto"/>
        <w:ind w:firstLine="284"/>
        <w:jc w:val="both"/>
        <w:rPr>
          <w:rFonts w:ascii="Garamond" w:hAnsi="Garamond"/>
          <w:b/>
          <w:sz w:val="24"/>
          <w:szCs w:val="24"/>
        </w:rPr>
      </w:pPr>
      <w:r w:rsidRPr="00913E39">
        <w:rPr>
          <w:rFonts w:ascii="Garamond" w:hAnsi="Garamond"/>
          <w:b/>
          <w:sz w:val="24"/>
          <w:szCs w:val="24"/>
        </w:rPr>
        <w:t>Sektori IPA II: &lt;emri(emrat) e sektorit</w:t>
      </w:r>
      <w:r w:rsidRPr="00913E39" w:rsidDel="00296A5F">
        <w:rPr>
          <w:rStyle w:val="FootnoteReference"/>
          <w:rFonts w:ascii="Garamond" w:hAnsi="Garamond"/>
          <w:b/>
          <w:sz w:val="24"/>
          <w:szCs w:val="24"/>
        </w:rPr>
        <w:footnoteReference w:id="101"/>
      </w:r>
      <w:r w:rsidRPr="00913E39">
        <w:rPr>
          <w:rFonts w:ascii="Garamond" w:hAnsi="Garamond"/>
          <w:b/>
          <w:i/>
          <w:sz w:val="24"/>
          <w:szCs w:val="24"/>
        </w:rPr>
        <w:t>&gt;</w:t>
      </w:r>
    </w:p>
    <w:p w14:paraId="3D8D9B54" w14:textId="77777777" w:rsidR="00903B69" w:rsidRPr="00913E39" w:rsidRDefault="00903B69" w:rsidP="00B917EE">
      <w:pPr>
        <w:spacing w:after="0" w:line="240" w:lineRule="auto"/>
        <w:ind w:firstLine="284"/>
        <w:jc w:val="both"/>
        <w:rPr>
          <w:rFonts w:ascii="Garamond" w:hAnsi="Garamond"/>
          <w:b/>
          <w:sz w:val="24"/>
          <w:szCs w:val="24"/>
        </w:rPr>
      </w:pPr>
      <w:r w:rsidRPr="00913E39">
        <w:rPr>
          <w:rFonts w:ascii="Garamond" w:hAnsi="Garamond"/>
          <w:b/>
          <w:sz w:val="24"/>
          <w:szCs w:val="24"/>
        </w:rPr>
        <w:t>Apertura IPA III: &lt;numri dhe emri i aperturës&gt; / Prioriteti kryesor: &lt;emri (emrat) e prioritetit kryesor</w:t>
      </w:r>
      <w:r w:rsidRPr="00913E39">
        <w:rPr>
          <w:rStyle w:val="FootnoteReference"/>
          <w:rFonts w:ascii="Garamond" w:hAnsi="Garamond"/>
          <w:b/>
          <w:sz w:val="24"/>
          <w:szCs w:val="24"/>
        </w:rPr>
        <w:footnoteReference w:id="102"/>
      </w:r>
      <w:r w:rsidRPr="00913E39">
        <w:rPr>
          <w:rFonts w:ascii="Garamond" w:hAnsi="Garamond"/>
          <w:b/>
          <w:sz w:val="24"/>
          <w:szCs w:val="24"/>
        </w:rPr>
        <w:t>&gt;</w:t>
      </w:r>
    </w:p>
    <w:p w14:paraId="7C8CB0F7" w14:textId="77777777" w:rsidR="00903B69" w:rsidRPr="00913E39" w:rsidRDefault="00903B69" w:rsidP="00B917EE">
      <w:pPr>
        <w:spacing w:after="0" w:line="240" w:lineRule="auto"/>
        <w:ind w:firstLine="284"/>
        <w:jc w:val="both"/>
        <w:rPr>
          <w:rFonts w:ascii="Garamond" w:hAnsi="Garamond"/>
          <w:sz w:val="24"/>
          <w:szCs w:val="24"/>
        </w:rPr>
      </w:pPr>
      <w:r w:rsidRPr="00913E39">
        <w:rPr>
          <w:rFonts w:ascii="Garamond" w:hAnsi="Garamond"/>
          <w:sz w:val="24"/>
          <w:szCs w:val="24"/>
        </w:rPr>
        <w:t>Duhet të sigurohet informacioni i mëposhtëm:</w:t>
      </w:r>
    </w:p>
    <w:p w14:paraId="3C6DF090" w14:textId="225ED8D3" w:rsidR="00903B69" w:rsidRPr="00913E39" w:rsidRDefault="00903B69" w:rsidP="00B917EE">
      <w:pPr>
        <w:spacing w:after="0" w:line="240" w:lineRule="auto"/>
        <w:ind w:firstLine="284"/>
        <w:jc w:val="both"/>
        <w:rPr>
          <w:rFonts w:ascii="Garamond" w:hAnsi="Garamond"/>
          <w:sz w:val="24"/>
          <w:szCs w:val="24"/>
        </w:rPr>
      </w:pPr>
      <w:r w:rsidRPr="00913E39">
        <w:rPr>
          <w:rFonts w:ascii="Garamond" w:hAnsi="Garamond"/>
          <w:sz w:val="24"/>
          <w:szCs w:val="24"/>
        </w:rPr>
        <w:t>1. Përfshirja e përfituesit të IPA-s në programim</w:t>
      </w:r>
      <w:r w:rsidR="00BD3368" w:rsidRPr="00913E39">
        <w:rPr>
          <w:rFonts w:ascii="Garamond" w:hAnsi="Garamond"/>
          <w:sz w:val="24"/>
          <w:szCs w:val="24"/>
        </w:rPr>
        <w:t>;</w:t>
      </w:r>
    </w:p>
    <w:p w14:paraId="60B28F77" w14:textId="3991B6CA" w:rsidR="00903B69" w:rsidRPr="00913E39" w:rsidRDefault="00903B69" w:rsidP="00B917EE">
      <w:pPr>
        <w:spacing w:after="0" w:line="240" w:lineRule="auto"/>
        <w:ind w:firstLine="284"/>
        <w:jc w:val="both"/>
        <w:rPr>
          <w:rFonts w:ascii="Garamond" w:hAnsi="Garamond"/>
          <w:sz w:val="24"/>
          <w:szCs w:val="24"/>
        </w:rPr>
      </w:pPr>
      <w:r w:rsidRPr="00913E39">
        <w:rPr>
          <w:rFonts w:ascii="Garamond" w:hAnsi="Garamond"/>
          <w:sz w:val="24"/>
          <w:szCs w:val="24"/>
        </w:rPr>
        <w:t xml:space="preserve">2. Progresi i bërë në zbatim për të arritur objektivat e përshkruar në aktet kyçe strategjike dhe të programimit (treguesit përkatës të rezultateve/produkteve duhet të jepen në </w:t>
      </w:r>
      <w:r w:rsidR="00BD3368" w:rsidRPr="00913E39">
        <w:rPr>
          <w:rFonts w:ascii="Garamond" w:hAnsi="Garamond"/>
          <w:sz w:val="24"/>
          <w:szCs w:val="24"/>
        </w:rPr>
        <w:t>a</w:t>
      </w:r>
      <w:r w:rsidRPr="00913E39">
        <w:rPr>
          <w:rFonts w:ascii="Garamond" w:hAnsi="Garamond"/>
          <w:sz w:val="24"/>
          <w:szCs w:val="24"/>
        </w:rPr>
        <w:t>neksin 1)</w:t>
      </w:r>
      <w:r w:rsidR="00BD3368" w:rsidRPr="00913E39">
        <w:rPr>
          <w:rFonts w:ascii="Garamond" w:hAnsi="Garamond"/>
          <w:sz w:val="24"/>
          <w:szCs w:val="24"/>
        </w:rPr>
        <w:t>;</w:t>
      </w:r>
    </w:p>
    <w:p w14:paraId="3D36A930" w14:textId="483A9F1B" w:rsidR="00903B69" w:rsidRPr="00913E39" w:rsidRDefault="00903B69" w:rsidP="00B917EE">
      <w:pPr>
        <w:spacing w:after="0" w:line="240" w:lineRule="auto"/>
        <w:ind w:firstLine="284"/>
        <w:jc w:val="both"/>
        <w:rPr>
          <w:rFonts w:ascii="Garamond" w:hAnsi="Garamond"/>
          <w:sz w:val="24"/>
          <w:szCs w:val="24"/>
        </w:rPr>
      </w:pPr>
      <w:r w:rsidRPr="00913E39">
        <w:rPr>
          <w:rFonts w:ascii="Garamond" w:hAnsi="Garamond"/>
          <w:sz w:val="24"/>
          <w:szCs w:val="24"/>
        </w:rPr>
        <w:t>3. Problemet e hasura në zbatim dhe masat e nd</w:t>
      </w:r>
      <w:r w:rsidR="00BD3368" w:rsidRPr="00913E39">
        <w:rPr>
          <w:rFonts w:ascii="Garamond" w:hAnsi="Garamond"/>
          <w:sz w:val="24"/>
          <w:szCs w:val="24"/>
        </w:rPr>
        <w:t>r</w:t>
      </w:r>
      <w:r w:rsidRPr="00913E39">
        <w:rPr>
          <w:rFonts w:ascii="Garamond" w:hAnsi="Garamond"/>
          <w:sz w:val="24"/>
          <w:szCs w:val="24"/>
        </w:rPr>
        <w:t>yshme të marra dhe/ose të planifikuara, dhe rekomandimet për veprime të mëtejshme, në mënyrë që të sigurohet qëndrueshmëria</w:t>
      </w:r>
      <w:r w:rsidRPr="00913E39">
        <w:rPr>
          <w:rStyle w:val="FootnoteReference"/>
          <w:rFonts w:ascii="Garamond" w:hAnsi="Garamond"/>
          <w:sz w:val="24"/>
          <w:szCs w:val="24"/>
        </w:rPr>
        <w:footnoteReference w:id="103"/>
      </w:r>
      <w:r w:rsidR="00BD3368" w:rsidRPr="00913E39">
        <w:rPr>
          <w:rFonts w:ascii="Garamond" w:hAnsi="Garamond"/>
          <w:sz w:val="24"/>
          <w:szCs w:val="24"/>
        </w:rPr>
        <w:t>;</w:t>
      </w:r>
    </w:p>
    <w:p w14:paraId="750571EC" w14:textId="6DD55FF2" w:rsidR="00903B69" w:rsidRPr="00913E39" w:rsidRDefault="00903B69" w:rsidP="00B917EE">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sz w:val="24"/>
          <w:szCs w:val="24"/>
        </w:rPr>
        <w:t>4. Rezultatet kryesore të monitorimit, vlerësimeve dhe/ose audit dhe vijueshmëria e tyre</w:t>
      </w:r>
      <w:r w:rsidR="00BD3368" w:rsidRPr="00913E39">
        <w:rPr>
          <w:rFonts w:ascii="Garamond" w:eastAsia="Calibri" w:hAnsi="Garamond" w:cs="Calibri"/>
          <w:sz w:val="24"/>
          <w:szCs w:val="24"/>
        </w:rPr>
        <w:t>;</w:t>
      </w:r>
    </w:p>
    <w:p w14:paraId="6CF0629E" w14:textId="027F2BE8" w:rsidR="00903B69" w:rsidRPr="00913E39" w:rsidRDefault="00903B69" w:rsidP="00B917EE">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sz w:val="24"/>
          <w:szCs w:val="24"/>
        </w:rPr>
        <w:t xml:space="preserve">5. Plotësimi me instrumente të tjera dhe koordinimi me donatorët e tjerë/IFI, brenda dritares/prioritetit tematik (IPA III) ose sektorit (IPA II) (p.sh. nëpërmjet </w:t>
      </w:r>
      <w:r w:rsidR="00BD3368" w:rsidRPr="00913E39">
        <w:rPr>
          <w:rFonts w:ascii="Garamond" w:eastAsia="Calibri" w:hAnsi="Garamond" w:cs="Calibri"/>
          <w:sz w:val="24"/>
          <w:szCs w:val="24"/>
        </w:rPr>
        <w:t>ekipit evropian</w:t>
      </w:r>
      <w:r w:rsidRPr="00913E39">
        <w:rPr>
          <w:rFonts w:ascii="Garamond" w:eastAsia="Calibri" w:hAnsi="Garamond" w:cs="Calibri"/>
          <w:sz w:val="24"/>
          <w:szCs w:val="24"/>
        </w:rPr>
        <w:t>)</w:t>
      </w:r>
      <w:r w:rsidR="00BD3368" w:rsidRPr="00913E39">
        <w:rPr>
          <w:rFonts w:ascii="Garamond" w:eastAsia="Calibri" w:hAnsi="Garamond" w:cs="Calibri"/>
          <w:sz w:val="24"/>
          <w:szCs w:val="24"/>
        </w:rPr>
        <w:t>;</w:t>
      </w:r>
    </w:p>
    <w:p w14:paraId="5D043937" w14:textId="133A5CC0" w:rsidR="00903B69" w:rsidRPr="00913E39" w:rsidRDefault="00903B69" w:rsidP="00B917EE">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sz w:val="24"/>
          <w:szCs w:val="24"/>
        </w:rPr>
        <w:t>6. Vlerësimi i ndikimit të ndihmës IPA në përmirësimin e qasjes sektoriale, duke përfshirë strategjitë sektoriale, kapacitetet institucionale, financimin</w:t>
      </w:r>
      <w:r w:rsidR="00BD3368" w:rsidRPr="00913E39">
        <w:rPr>
          <w:rFonts w:ascii="Garamond" w:eastAsia="Calibri" w:hAnsi="Garamond" w:cs="Calibri"/>
          <w:sz w:val="24"/>
          <w:szCs w:val="24"/>
        </w:rPr>
        <w:t xml:space="preserve"> </w:t>
      </w:r>
      <w:r w:rsidRPr="00913E39">
        <w:rPr>
          <w:rFonts w:ascii="Garamond" w:eastAsia="Calibri" w:hAnsi="Garamond" w:cs="Calibri"/>
          <w:sz w:val="24"/>
          <w:szCs w:val="24"/>
        </w:rPr>
        <w:t>dhe shtrirjen e sigurimit të koherencës së tyre me planifikimin e politikave strategjike kombëtare dhe kuadrit buxhetor</w:t>
      </w:r>
      <w:r w:rsidR="00BD3368" w:rsidRPr="00913E39">
        <w:rPr>
          <w:rFonts w:ascii="Garamond" w:eastAsia="Calibri" w:hAnsi="Garamond" w:cs="Calibri"/>
          <w:sz w:val="24"/>
          <w:szCs w:val="24"/>
        </w:rPr>
        <w:t>.</w:t>
      </w:r>
    </w:p>
    <w:p w14:paraId="0613C987" w14:textId="0EDBD3D8" w:rsidR="00903B69" w:rsidRPr="00913E39" w:rsidRDefault="00903B69" w:rsidP="00B917EE">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sz w:val="24"/>
          <w:szCs w:val="24"/>
        </w:rPr>
        <w:t>7. Veprimtari komunikimi dhe vizibiliteti</w:t>
      </w:r>
      <w:r w:rsidR="00BD3368" w:rsidRPr="00913E39">
        <w:rPr>
          <w:rFonts w:ascii="Garamond" w:eastAsia="Calibri" w:hAnsi="Garamond" w:cs="Calibri"/>
          <w:sz w:val="24"/>
          <w:szCs w:val="24"/>
        </w:rPr>
        <w:t>.</w:t>
      </w:r>
    </w:p>
    <w:p w14:paraId="4026EBA7"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sz w:val="24"/>
          <w:szCs w:val="24"/>
        </w:rPr>
        <w:t xml:space="preserve">Në rast të </w:t>
      </w:r>
      <w:r w:rsidRPr="00913E39">
        <w:rPr>
          <w:rFonts w:ascii="Garamond" w:eastAsia="Calibri" w:hAnsi="Garamond" w:cs="Calibri"/>
          <w:b/>
          <w:bCs/>
          <w:sz w:val="24"/>
          <w:szCs w:val="24"/>
        </w:rPr>
        <w:t>menaxhimit indirekt nga vendi përfitues (IMBC)</w:t>
      </w:r>
      <w:r w:rsidRPr="00913E39">
        <w:rPr>
          <w:rFonts w:ascii="Garamond" w:eastAsia="Calibri" w:hAnsi="Garamond" w:cs="Calibri"/>
          <w:sz w:val="24"/>
          <w:szCs w:val="24"/>
        </w:rPr>
        <w:t>, informacioni i mëposhtëm duhet të përfshihet gjithashtu:</w:t>
      </w:r>
    </w:p>
    <w:p w14:paraId="302B3492" w14:textId="0C7933ED" w:rsidR="00903B69" w:rsidRPr="00913E39" w:rsidRDefault="00903B69" w:rsidP="00B917EE">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sz w:val="24"/>
          <w:szCs w:val="24"/>
        </w:rPr>
        <w:t>8. Informacion për realizmin e veprimeve</w:t>
      </w:r>
      <w:r w:rsidR="00BD3368" w:rsidRPr="00913E39">
        <w:rPr>
          <w:rFonts w:ascii="Garamond" w:eastAsia="Calibri" w:hAnsi="Garamond" w:cs="Calibri"/>
          <w:sz w:val="24"/>
          <w:szCs w:val="24"/>
        </w:rPr>
        <w:t>.</w:t>
      </w:r>
    </w:p>
    <w:p w14:paraId="048C82C9" w14:textId="50EE90F5" w:rsidR="00903B69" w:rsidRPr="00913E39" w:rsidRDefault="00903B69" w:rsidP="00B917EE">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sz w:val="24"/>
          <w:szCs w:val="24"/>
        </w:rPr>
        <w:t>9. Vlerësim i shkurtër mbi funksionimin e strukturave zbatuese dhe çdo çështje kryesore që haset në zbatimin e detyrave të besuara p.sh. vonesat në kontraktim dhe masat vijuese të marra/të planifikuara</w:t>
      </w:r>
      <w:r w:rsidR="00BD3368" w:rsidRPr="00913E39">
        <w:rPr>
          <w:rFonts w:ascii="Garamond" w:eastAsia="Calibri" w:hAnsi="Garamond" w:cs="Calibri"/>
          <w:sz w:val="24"/>
          <w:szCs w:val="24"/>
        </w:rPr>
        <w:t>.</w:t>
      </w:r>
    </w:p>
    <w:p w14:paraId="1D81FFE9" w14:textId="6B3BF479" w:rsidR="00903B69" w:rsidRPr="00913E39" w:rsidRDefault="00903B69" w:rsidP="00B917EE">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sz w:val="24"/>
          <w:szCs w:val="24"/>
        </w:rPr>
        <w:t>10. Aktivitetet e zbatuara të monitorimit, vlerësimit dhe/ose auditimit, rezultatet kryesore të auditit dhe mësimet e nxjerra, rekomandimet, masat vijuese dhe ndryshimet e ndërmarra</w:t>
      </w:r>
      <w:r w:rsidR="00BD3368" w:rsidRPr="00913E39">
        <w:rPr>
          <w:rFonts w:ascii="Garamond" w:eastAsia="Calibri" w:hAnsi="Garamond" w:cs="Calibri"/>
          <w:sz w:val="24"/>
          <w:szCs w:val="24"/>
        </w:rPr>
        <w:t>.</w:t>
      </w:r>
    </w:p>
    <w:p w14:paraId="1F434B8A" w14:textId="120FEDD3" w:rsidR="00903B69" w:rsidRPr="00913E39" w:rsidRDefault="00903B69" w:rsidP="00B917EE">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b/>
          <w:bCs/>
          <w:sz w:val="24"/>
          <w:szCs w:val="24"/>
        </w:rPr>
        <w:t>Programet IPA për Zhvillimin Rural (IPARD)</w:t>
      </w:r>
      <w:r w:rsidRPr="00913E39">
        <w:rPr>
          <w:rFonts w:ascii="Garamond" w:eastAsia="Calibri" w:hAnsi="Garamond" w:cs="Calibri"/>
          <w:sz w:val="24"/>
          <w:szCs w:val="24"/>
        </w:rPr>
        <w:t xml:space="preserve"> duhet të mbulohen si një pjesë e veçantë nën </w:t>
      </w:r>
      <w:r w:rsidR="00BD3368" w:rsidRPr="00913E39">
        <w:rPr>
          <w:rFonts w:ascii="Garamond" w:eastAsia="Calibri" w:hAnsi="Garamond" w:cs="Calibri"/>
          <w:sz w:val="24"/>
          <w:szCs w:val="24"/>
        </w:rPr>
        <w:t>a</w:t>
      </w:r>
      <w:r w:rsidRPr="00913E39">
        <w:rPr>
          <w:rFonts w:ascii="Garamond" w:eastAsia="Calibri" w:hAnsi="Garamond" w:cs="Calibri"/>
          <w:sz w:val="24"/>
          <w:szCs w:val="24"/>
        </w:rPr>
        <w:t>perturën 4 IPA III / Sektori IPA II për bujqësinë dhe zhvillimin rural. Meqenëse programet IPARD i nënshtrohen raportimit të veçantë, pjesa duhet të përfshijë vetëm një përmbledhje të progresit të përgjithshëm me zbatimin dhe të nxjerrë në pah çështjet më të rëndësishme. Informacioni kryesor duhet të theksohet gjithashtu në përmbledhjen ekzekutive (sipas rastit).</w:t>
      </w:r>
    </w:p>
    <w:p w14:paraId="73B5A1F4" w14:textId="2F6EFA5C" w:rsidR="00903B69" w:rsidRPr="00913E39" w:rsidRDefault="00903B69" w:rsidP="00B917EE">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b/>
          <w:bCs/>
          <w:sz w:val="24"/>
          <w:szCs w:val="24"/>
        </w:rPr>
        <w:t>Programet operacionale IPA II</w:t>
      </w:r>
      <w:r w:rsidRPr="00913E39">
        <w:rPr>
          <w:rFonts w:ascii="Garamond" w:eastAsia="Calibri" w:hAnsi="Garamond" w:cs="Calibri"/>
          <w:sz w:val="24"/>
          <w:szCs w:val="24"/>
        </w:rPr>
        <w:t xml:space="preserve"> duhet të mbulohen nga sektori përkatës që ofron informacion mbi pikat 1-10 (sipas rastit). </w:t>
      </w:r>
      <w:r w:rsidRPr="00913E39">
        <w:rPr>
          <w:rFonts w:ascii="Garamond" w:eastAsia="Calibri" w:hAnsi="Garamond" w:cs="Calibri"/>
          <w:b/>
          <w:bCs/>
          <w:sz w:val="24"/>
          <w:szCs w:val="24"/>
        </w:rPr>
        <w:t>Programet operacionale IPA III</w:t>
      </w:r>
      <w:r w:rsidRPr="00913E39">
        <w:rPr>
          <w:rFonts w:ascii="Garamond" w:eastAsia="Calibri" w:hAnsi="Garamond" w:cs="Calibri"/>
          <w:sz w:val="24"/>
          <w:szCs w:val="24"/>
        </w:rPr>
        <w:t xml:space="preserve"> duhet të mbulohen në aperturën përkatëse kryesore dhe të përfshijnë vetëm një përmbledhje të progresit të përgjithshëm për zbatimin dhe të theksojnë çështjet më të rëndësishme. Informacioni kryesor duhet të theksohet</w:t>
      </w:r>
      <w:r w:rsidR="00BD3368" w:rsidRPr="00913E39">
        <w:rPr>
          <w:rFonts w:ascii="Garamond" w:eastAsia="Calibri" w:hAnsi="Garamond" w:cs="Calibri"/>
          <w:sz w:val="24"/>
          <w:szCs w:val="24"/>
        </w:rPr>
        <w:t>,</w:t>
      </w:r>
      <w:r w:rsidRPr="00913E39">
        <w:rPr>
          <w:rFonts w:ascii="Garamond" w:eastAsia="Calibri" w:hAnsi="Garamond" w:cs="Calibri"/>
          <w:sz w:val="24"/>
          <w:szCs w:val="24"/>
        </w:rPr>
        <w:t xml:space="preserve"> gjithashtu</w:t>
      </w:r>
      <w:r w:rsidR="00BD3368" w:rsidRPr="00913E39">
        <w:rPr>
          <w:rFonts w:ascii="Garamond" w:eastAsia="Calibri" w:hAnsi="Garamond" w:cs="Calibri"/>
          <w:sz w:val="24"/>
          <w:szCs w:val="24"/>
        </w:rPr>
        <w:t>,</w:t>
      </w:r>
      <w:r w:rsidRPr="00913E39">
        <w:rPr>
          <w:rFonts w:ascii="Garamond" w:eastAsia="Calibri" w:hAnsi="Garamond" w:cs="Calibri"/>
          <w:sz w:val="24"/>
          <w:szCs w:val="24"/>
        </w:rPr>
        <w:t xml:space="preserve"> në përmbledhjen ekzekutive sipas rëndësisë. Programet operacionale IPA III do t</w:t>
      </w:r>
      <w:r w:rsidR="005222A5" w:rsidRPr="00913E39">
        <w:rPr>
          <w:rFonts w:ascii="Garamond" w:eastAsia="Calibri" w:hAnsi="Garamond" w:cs="Calibri"/>
          <w:sz w:val="24"/>
          <w:szCs w:val="24"/>
        </w:rPr>
        <w:t>’</w:t>
      </w:r>
      <w:r w:rsidRPr="00913E39">
        <w:rPr>
          <w:rFonts w:ascii="Garamond" w:eastAsia="Calibri" w:hAnsi="Garamond" w:cs="Calibri"/>
          <w:sz w:val="24"/>
          <w:szCs w:val="24"/>
        </w:rPr>
        <w:t>i nënshtrohen një raportimi më të detajuar sipas një modeli raportimi që do t</w:t>
      </w:r>
      <w:r w:rsidR="005222A5" w:rsidRPr="00913E39">
        <w:rPr>
          <w:rFonts w:ascii="Garamond" w:eastAsia="Calibri" w:hAnsi="Garamond" w:cs="Calibri"/>
          <w:sz w:val="24"/>
          <w:szCs w:val="24"/>
        </w:rPr>
        <w:t>’</w:t>
      </w:r>
      <w:r w:rsidRPr="00913E39">
        <w:rPr>
          <w:rFonts w:ascii="Garamond" w:eastAsia="Calibri" w:hAnsi="Garamond" w:cs="Calibri"/>
          <w:sz w:val="24"/>
          <w:szCs w:val="24"/>
        </w:rPr>
        <w:t xml:space="preserve">i bashkëngjitet Marrëveshjeve të Financimit. </w:t>
      </w:r>
    </w:p>
    <w:p w14:paraId="1A131005"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sz w:val="24"/>
          <w:szCs w:val="24"/>
        </w:rPr>
        <w:t xml:space="preserve"> </w:t>
      </w:r>
      <w:r w:rsidRPr="00913E39">
        <w:rPr>
          <w:rFonts w:ascii="Garamond" w:eastAsia="Calibri" w:hAnsi="Garamond" w:cs="Calibri"/>
          <w:b/>
          <w:bCs/>
          <w:sz w:val="24"/>
          <w:szCs w:val="24"/>
        </w:rPr>
        <w:t>Programet e bashkëpunimit territorial</w:t>
      </w:r>
      <w:r w:rsidRPr="00913E39">
        <w:rPr>
          <w:rFonts w:ascii="Garamond" w:eastAsia="Calibri" w:hAnsi="Garamond" w:cs="Calibri"/>
          <w:sz w:val="24"/>
          <w:szCs w:val="24"/>
        </w:rPr>
        <w:t xml:space="preserve"> duhet të mbulohen nga Dritarja 5 IPA III / Sektori IPA II për bashkëpunimin territorial dhe rajonal. Kjo pjesë</w:t>
      </w:r>
      <w:r w:rsidRPr="00913E39">
        <w:rPr>
          <w:rFonts w:ascii="Garamond" w:eastAsia="Calibri" w:hAnsi="Garamond" w:cs="Calibri"/>
          <w:b/>
          <w:bCs/>
          <w:sz w:val="24"/>
          <w:szCs w:val="24"/>
        </w:rPr>
        <w:t xml:space="preserve"> </w:t>
      </w:r>
      <w:r w:rsidRPr="00913E39">
        <w:rPr>
          <w:rFonts w:ascii="Garamond" w:eastAsia="Calibri" w:hAnsi="Garamond" w:cs="Calibri"/>
          <w:sz w:val="24"/>
          <w:szCs w:val="24"/>
        </w:rPr>
        <w:t>duhet të japë një pasqyrë shumë të shkurtër të programeve të bashkëpunimit territorial ku merr pjesë përfituesi IPA:</w:t>
      </w:r>
    </w:p>
    <w:p w14:paraId="685A4563" w14:textId="6D64B4D7" w:rsidR="00903B69" w:rsidRPr="00913E39" w:rsidRDefault="00903B69" w:rsidP="00B917EE">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Symbol"/>
          <w:sz w:val="24"/>
          <w:szCs w:val="24"/>
        </w:rPr>
        <w:t xml:space="preserve">- </w:t>
      </w:r>
      <w:r w:rsidRPr="00913E39">
        <w:rPr>
          <w:rFonts w:ascii="Garamond" w:eastAsia="Calibri" w:hAnsi="Garamond" w:cs="Calibri"/>
          <w:sz w:val="24"/>
          <w:szCs w:val="24"/>
        </w:rPr>
        <w:t xml:space="preserve">Për </w:t>
      </w:r>
      <w:r w:rsidRPr="00913E39">
        <w:rPr>
          <w:rFonts w:ascii="Garamond" w:eastAsia="Calibri" w:hAnsi="Garamond" w:cs="Calibri"/>
          <w:b/>
          <w:bCs/>
          <w:sz w:val="24"/>
          <w:szCs w:val="24"/>
        </w:rPr>
        <w:t xml:space="preserve">programet e bashkëpunimit ndërshtetëror </w:t>
      </w:r>
      <w:r w:rsidRPr="00913E39">
        <w:rPr>
          <w:rFonts w:ascii="Garamond" w:eastAsia="Calibri" w:hAnsi="Garamond" w:cs="Calibri"/>
          <w:b/>
          <w:bCs/>
          <w:i/>
          <w:sz w:val="24"/>
          <w:szCs w:val="24"/>
        </w:rPr>
        <w:t>Interreg</w:t>
      </w:r>
      <w:r w:rsidRPr="00913E39">
        <w:rPr>
          <w:rFonts w:ascii="Garamond" w:eastAsia="Calibri" w:hAnsi="Garamond" w:cs="Calibri"/>
          <w:b/>
          <w:bCs/>
          <w:sz w:val="24"/>
          <w:szCs w:val="24"/>
        </w:rPr>
        <w:t xml:space="preserve"> (CBC) me Shtetet Anëtare dhe programet e bashkëpunimit ndërkombëtar dhe ndërrajonal</w:t>
      </w:r>
      <w:r w:rsidRPr="00913E39">
        <w:rPr>
          <w:rFonts w:ascii="Garamond" w:eastAsia="Calibri" w:hAnsi="Garamond" w:cs="Calibri"/>
          <w:sz w:val="24"/>
          <w:szCs w:val="24"/>
        </w:rPr>
        <w:t xml:space="preserve">, maksimumi një paragraf për program, </w:t>
      </w:r>
      <w:r w:rsidRPr="00913E39">
        <w:rPr>
          <w:rFonts w:ascii="Garamond" w:eastAsia="Calibri" w:hAnsi="Garamond" w:cs="Calibri"/>
          <w:sz w:val="24"/>
          <w:szCs w:val="24"/>
        </w:rPr>
        <w:lastRenderedPageBreak/>
        <w:t>që tregon progresin e përgjithshëm me zbatimin (p.sh. programi i miratuar/i pamiratuar, thirrjet e planifikuara etj.) dhe thekson më së shumti çështjet e rëndësime në zbatim.</w:t>
      </w:r>
    </w:p>
    <w:p w14:paraId="6A24E24B" w14:textId="79B26057" w:rsidR="00903B69" w:rsidRPr="00913E39" w:rsidRDefault="00903B69" w:rsidP="00BD3368">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Symbol"/>
          <w:sz w:val="24"/>
          <w:szCs w:val="24"/>
        </w:rPr>
        <w:t xml:space="preserve">- </w:t>
      </w:r>
      <w:r w:rsidRPr="00913E39">
        <w:rPr>
          <w:rFonts w:ascii="Garamond" w:eastAsia="Calibri" w:hAnsi="Garamond" w:cs="Calibri"/>
          <w:sz w:val="24"/>
          <w:szCs w:val="24"/>
        </w:rPr>
        <w:t xml:space="preserve">Për </w:t>
      </w:r>
      <w:r w:rsidRPr="00913E39">
        <w:rPr>
          <w:rFonts w:ascii="Garamond" w:eastAsia="Calibri" w:hAnsi="Garamond" w:cs="Calibri"/>
          <w:b/>
          <w:bCs/>
          <w:sz w:val="24"/>
          <w:szCs w:val="24"/>
        </w:rPr>
        <w:t>programet CBC ndërmjet përfituesve të IPA-së</w:t>
      </w:r>
      <w:r w:rsidRPr="00913E39">
        <w:rPr>
          <w:rFonts w:ascii="Garamond" w:eastAsia="Calibri" w:hAnsi="Garamond" w:cs="Calibri"/>
          <w:sz w:val="24"/>
          <w:szCs w:val="24"/>
        </w:rPr>
        <w:t xml:space="preserve">, një përmbledhje maksimumi gjysmë faqe për program, që jep një pasqyrë të zbatimit (p.sh. programi i miratuar/Komiteti i Përbashkët i Monitorimit, i krijuar/ </w:t>
      </w:r>
      <w:r w:rsidR="00BD3368" w:rsidRPr="00913E39">
        <w:rPr>
          <w:rFonts w:ascii="Garamond" w:eastAsia="Calibri" w:hAnsi="Garamond" w:cs="Calibri"/>
          <w:sz w:val="24"/>
          <w:szCs w:val="24"/>
        </w:rPr>
        <w:t>t</w:t>
      </w:r>
      <w:r w:rsidRPr="00913E39">
        <w:rPr>
          <w:rFonts w:ascii="Garamond" w:eastAsia="Calibri" w:hAnsi="Garamond" w:cs="Calibri"/>
          <w:sz w:val="24"/>
          <w:szCs w:val="24"/>
        </w:rPr>
        <w:t>akimet e JMC-së në periudhën e raportimit, thirrje për propozime të mbyllura/në proces/të planifikuara dhe projekte strategjike (nëse ka). Përmbledhja duhet të fokusohet në problemet e hasura gjatë zbatimit dhe masat e ndryshme të marra dhe/ose të planifikuara, si dhe rekomandimet për veprime të mëtejshme. Raportet vjetore të zbatimit për CBC</w:t>
      </w:r>
      <w:r w:rsidR="00801431" w:rsidRPr="00913E39">
        <w:rPr>
          <w:rFonts w:ascii="Garamond" w:eastAsia="Calibri" w:hAnsi="Garamond" w:cs="Calibri"/>
          <w:sz w:val="24"/>
          <w:szCs w:val="24"/>
        </w:rPr>
        <w:t>-në</w:t>
      </w:r>
      <w:r w:rsidRPr="00913E39">
        <w:rPr>
          <w:rFonts w:ascii="Garamond" w:eastAsia="Calibri" w:hAnsi="Garamond" w:cs="Calibri"/>
          <w:sz w:val="24"/>
          <w:szCs w:val="24"/>
        </w:rPr>
        <w:t xml:space="preserve"> (siç përmendet në nenin 80 të Marrëveshjes Kornizë të Partneritetit Financiar) duhet të përfshihen si aneks. </w:t>
      </w:r>
    </w:p>
    <w:p w14:paraId="240A56B3" w14:textId="0039332F" w:rsidR="00903B69" w:rsidRPr="00913E39" w:rsidRDefault="00903B69" w:rsidP="00BD3368">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sz w:val="24"/>
          <w:szCs w:val="24"/>
        </w:rPr>
        <w:t xml:space="preserve">Në rastin e </w:t>
      </w:r>
      <w:r w:rsidRPr="00913E39">
        <w:rPr>
          <w:rFonts w:ascii="Garamond" w:eastAsia="Calibri" w:hAnsi="Garamond" w:cs="Calibri"/>
          <w:b/>
          <w:bCs/>
          <w:sz w:val="24"/>
          <w:szCs w:val="24"/>
        </w:rPr>
        <w:t>IMBC</w:t>
      </w:r>
      <w:r w:rsidR="00024529" w:rsidRPr="00913E39">
        <w:rPr>
          <w:rFonts w:ascii="Garamond" w:eastAsia="Calibri" w:hAnsi="Garamond" w:cs="Calibri"/>
          <w:b/>
          <w:bCs/>
          <w:sz w:val="24"/>
          <w:szCs w:val="24"/>
        </w:rPr>
        <w:t>-së</w:t>
      </w:r>
      <w:r w:rsidRPr="00913E39">
        <w:rPr>
          <w:rFonts w:ascii="Garamond" w:eastAsia="Calibri" w:hAnsi="Garamond" w:cs="Calibri"/>
          <w:sz w:val="24"/>
          <w:szCs w:val="24"/>
        </w:rPr>
        <w:t xml:space="preserve">, informacioni i mëposhtëm duhet të përfshihet gjithashtu nga </w:t>
      </w:r>
      <w:r w:rsidR="00BD3368" w:rsidRPr="00913E39">
        <w:rPr>
          <w:rFonts w:ascii="Garamond" w:eastAsia="Calibri" w:hAnsi="Garamond" w:cs="Calibri"/>
          <w:sz w:val="24"/>
          <w:szCs w:val="24"/>
        </w:rPr>
        <w:t>s</w:t>
      </w:r>
      <w:r w:rsidRPr="00913E39">
        <w:rPr>
          <w:rFonts w:ascii="Garamond" w:eastAsia="Calibri" w:hAnsi="Garamond" w:cs="Calibri"/>
          <w:sz w:val="24"/>
          <w:szCs w:val="24"/>
        </w:rPr>
        <w:t xml:space="preserve">hteti kryesor: </w:t>
      </w:r>
    </w:p>
    <w:p w14:paraId="3BACE9BE" w14:textId="15593E2B" w:rsidR="00903B69" w:rsidRPr="00913E39" w:rsidRDefault="00903B69" w:rsidP="00BD3368">
      <w:pPr>
        <w:autoSpaceDE w:val="0"/>
        <w:autoSpaceDN w:val="0"/>
        <w:adjustRightInd w:val="0"/>
        <w:spacing w:after="0" w:line="240" w:lineRule="auto"/>
        <w:ind w:firstLine="284"/>
        <w:jc w:val="both"/>
        <w:rPr>
          <w:rFonts w:ascii="Garamond" w:eastAsia="Calibri" w:hAnsi="Garamond" w:cs="Calibri"/>
          <w:sz w:val="24"/>
          <w:szCs w:val="24"/>
        </w:rPr>
      </w:pPr>
      <w:r w:rsidRPr="00913E39">
        <w:rPr>
          <w:rFonts w:ascii="Garamond" w:eastAsia="Calibri" w:hAnsi="Garamond" w:cs="Calibri"/>
          <w:sz w:val="24"/>
          <w:szCs w:val="24"/>
        </w:rPr>
        <w:t>1. Vlerësim i shkurtër mbi funksionimin e strukturave zbatuese dhe çdo problem domethënës që haset në zbatimin e detyrave të besuara p.sh. vonesat në kontraktim dhe masat vijuese të marra/planifikuara</w:t>
      </w:r>
      <w:r w:rsidR="00BD3368" w:rsidRPr="00913E39">
        <w:rPr>
          <w:rFonts w:ascii="Garamond" w:eastAsia="Calibri" w:hAnsi="Garamond" w:cs="Calibri"/>
          <w:sz w:val="24"/>
          <w:szCs w:val="24"/>
        </w:rPr>
        <w:t>;</w:t>
      </w:r>
    </w:p>
    <w:p w14:paraId="738FFA42" w14:textId="62CFA79C" w:rsidR="00903B69" w:rsidRPr="00913E39" w:rsidRDefault="00903B69" w:rsidP="00B917EE">
      <w:pPr>
        <w:autoSpaceDE w:val="0"/>
        <w:autoSpaceDN w:val="0"/>
        <w:adjustRightInd w:val="0"/>
        <w:spacing w:after="0" w:line="240" w:lineRule="auto"/>
        <w:ind w:firstLine="284"/>
        <w:rPr>
          <w:rFonts w:ascii="Garamond" w:eastAsia="Calibri" w:hAnsi="Garamond" w:cs="Calibri"/>
          <w:sz w:val="24"/>
          <w:szCs w:val="24"/>
        </w:rPr>
      </w:pPr>
      <w:r w:rsidRPr="00913E39">
        <w:rPr>
          <w:rFonts w:ascii="Garamond" w:eastAsia="Calibri" w:hAnsi="Garamond" w:cs="Calibri"/>
          <w:sz w:val="24"/>
          <w:szCs w:val="24"/>
        </w:rPr>
        <w:t>2. Rekomandime për masa të mëtejshme</w:t>
      </w:r>
      <w:r w:rsidR="00BD3368" w:rsidRPr="00913E39">
        <w:rPr>
          <w:rFonts w:ascii="Garamond" w:eastAsia="Calibri" w:hAnsi="Garamond" w:cs="Calibri"/>
          <w:sz w:val="24"/>
          <w:szCs w:val="24"/>
        </w:rPr>
        <w:t>.</w:t>
      </w:r>
    </w:p>
    <w:p w14:paraId="7580A6D1" w14:textId="77777777" w:rsidR="00B917EE" w:rsidRPr="00913E39" w:rsidRDefault="00B917EE" w:rsidP="00B917EE">
      <w:pPr>
        <w:spacing w:after="0" w:line="240" w:lineRule="auto"/>
        <w:ind w:firstLine="284"/>
        <w:rPr>
          <w:rStyle w:val="normaltextrun"/>
          <w:rFonts w:ascii="Garamond" w:hAnsi="Garamond"/>
          <w:b/>
          <w:bCs/>
          <w:sz w:val="24"/>
          <w:szCs w:val="24"/>
          <w:shd w:val="clear" w:color="auto" w:fill="FFFFFF"/>
        </w:rPr>
      </w:pPr>
    </w:p>
    <w:p w14:paraId="638C8F0B" w14:textId="77F104AA" w:rsidR="00903B69" w:rsidRPr="00913E39" w:rsidRDefault="00903B69" w:rsidP="00B917EE">
      <w:pPr>
        <w:spacing w:after="0" w:line="240" w:lineRule="auto"/>
        <w:ind w:firstLine="284"/>
        <w:rPr>
          <w:rFonts w:ascii="Garamond" w:hAnsi="Garamond"/>
          <w:bCs/>
          <w:i/>
          <w:sz w:val="24"/>
          <w:szCs w:val="24"/>
        </w:rPr>
      </w:pPr>
      <w:r w:rsidRPr="00913E39">
        <w:rPr>
          <w:rStyle w:val="normaltextrun"/>
          <w:rFonts w:ascii="Garamond" w:hAnsi="Garamond"/>
          <w:bCs/>
          <w:i/>
          <w:sz w:val="24"/>
          <w:szCs w:val="24"/>
          <w:shd w:val="clear" w:color="auto" w:fill="FFFFFF"/>
        </w:rPr>
        <w:t>Tabela 1. Vështrim i përgjithshëm i zbatimit në nivel veprimi</w:t>
      </w:r>
    </w:p>
    <w:p w14:paraId="22588139" w14:textId="77777777" w:rsidR="00903B69" w:rsidRPr="00913E39" w:rsidRDefault="00697DA0" w:rsidP="00407654">
      <w:pPr>
        <w:spacing w:after="0" w:line="240" w:lineRule="auto"/>
        <w:ind w:firstLine="284"/>
        <w:jc w:val="center"/>
        <w:rPr>
          <w:rFonts w:ascii="Garamond" w:hAnsi="Garamond"/>
          <w:sz w:val="24"/>
          <w:szCs w:val="24"/>
        </w:rPr>
      </w:pPr>
      <w:r>
        <w:rPr>
          <w:rFonts w:ascii="Garamond" w:hAnsi="Garamond"/>
          <w:sz w:val="24"/>
          <w:szCs w:val="24"/>
        </w:rPr>
        <w:pict w14:anchorId="1263B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05pt;height:267.1pt">
            <v:imagedata r:id="rId48" o:title="" cropbottom="2062f"/>
          </v:shape>
        </w:pict>
      </w:r>
    </w:p>
    <w:p w14:paraId="38623496" w14:textId="77777777" w:rsidR="00903B69" w:rsidRPr="00913E39" w:rsidRDefault="00903B69" w:rsidP="00B917EE">
      <w:pPr>
        <w:spacing w:after="0" w:line="240" w:lineRule="auto"/>
        <w:ind w:firstLine="284"/>
        <w:rPr>
          <w:rFonts w:ascii="Garamond" w:hAnsi="Garamond"/>
          <w:i/>
          <w:sz w:val="24"/>
          <w:szCs w:val="24"/>
        </w:rPr>
      </w:pPr>
      <w:r w:rsidRPr="00913E39">
        <w:rPr>
          <w:rFonts w:ascii="Garamond" w:hAnsi="Garamond"/>
          <w:i/>
          <w:sz w:val="24"/>
          <w:szCs w:val="24"/>
        </w:rPr>
        <w:t xml:space="preserve">Shtoni sa tabela të jetë nevoja: </w:t>
      </w:r>
    </w:p>
    <w:p w14:paraId="2A881FE8" w14:textId="77777777" w:rsidR="00903B69" w:rsidRPr="00913E39" w:rsidRDefault="00697DA0" w:rsidP="00DC21E3">
      <w:pPr>
        <w:spacing w:after="0" w:line="240" w:lineRule="auto"/>
        <w:ind w:firstLine="284"/>
        <w:jc w:val="center"/>
        <w:rPr>
          <w:rFonts w:ascii="Garamond" w:hAnsi="Garamond"/>
          <w:b/>
          <w:bCs/>
          <w:sz w:val="24"/>
          <w:szCs w:val="24"/>
        </w:rPr>
      </w:pPr>
      <w:r>
        <w:rPr>
          <w:rFonts w:ascii="Garamond" w:eastAsia="Calibri" w:hAnsi="Garamond"/>
          <w:sz w:val="24"/>
          <w:szCs w:val="24"/>
        </w:rPr>
        <w:pict w14:anchorId="16CB5398">
          <v:shape id="_x0000_i1026" type="#_x0000_t75" style="width:6in;height:202.05pt">
            <v:imagedata r:id="rId49" o:title="" cropbottom="3393f"/>
          </v:shape>
        </w:pict>
      </w:r>
    </w:p>
    <w:p w14:paraId="30C09289" w14:textId="77777777" w:rsidR="00801431" w:rsidRPr="00913E39" w:rsidRDefault="00801431" w:rsidP="00B917EE">
      <w:pPr>
        <w:spacing w:after="0" w:line="240" w:lineRule="auto"/>
        <w:ind w:firstLine="284"/>
        <w:rPr>
          <w:rFonts w:ascii="Garamond" w:hAnsi="Garamond"/>
          <w:b/>
          <w:bCs/>
          <w:sz w:val="24"/>
          <w:szCs w:val="24"/>
        </w:rPr>
      </w:pPr>
    </w:p>
    <w:p w14:paraId="433CD0B6" w14:textId="4E94900A" w:rsidR="00903B69" w:rsidRPr="00913E39" w:rsidRDefault="00903B69" w:rsidP="00B917EE">
      <w:pPr>
        <w:spacing w:after="0" w:line="240" w:lineRule="auto"/>
        <w:ind w:firstLine="284"/>
        <w:rPr>
          <w:rFonts w:ascii="Garamond" w:hAnsi="Garamond"/>
          <w:b/>
          <w:bCs/>
          <w:sz w:val="24"/>
          <w:szCs w:val="24"/>
        </w:rPr>
      </w:pPr>
      <w:r w:rsidRPr="00913E39">
        <w:rPr>
          <w:rFonts w:ascii="Garamond" w:hAnsi="Garamond"/>
          <w:b/>
          <w:bCs/>
          <w:sz w:val="24"/>
          <w:szCs w:val="24"/>
        </w:rPr>
        <w:t>Aneksi 1</w:t>
      </w:r>
      <w:r w:rsidR="00814FCE" w:rsidRPr="00913E39">
        <w:rPr>
          <w:rFonts w:ascii="Garamond" w:hAnsi="Garamond"/>
          <w:b/>
          <w:bCs/>
          <w:sz w:val="24"/>
          <w:szCs w:val="24"/>
        </w:rPr>
        <w:t>.</w:t>
      </w:r>
      <w:r w:rsidRPr="00913E39">
        <w:rPr>
          <w:rFonts w:ascii="Garamond" w:hAnsi="Garamond"/>
          <w:b/>
          <w:bCs/>
          <w:sz w:val="24"/>
          <w:szCs w:val="24"/>
        </w:rPr>
        <w:t xml:space="preserve"> Rezultati/treguesit e produktit për veprim IPA</w:t>
      </w:r>
    </w:p>
    <w:p w14:paraId="0F1FB042" w14:textId="77777777" w:rsidR="00903B69" w:rsidRPr="00913E39" w:rsidRDefault="00903B69" w:rsidP="00B917EE">
      <w:pPr>
        <w:spacing w:after="0" w:line="240" w:lineRule="auto"/>
        <w:ind w:firstLine="284"/>
        <w:jc w:val="both"/>
        <w:rPr>
          <w:rFonts w:ascii="Garamond" w:hAnsi="Garamond"/>
          <w:i/>
          <w:iCs/>
          <w:sz w:val="24"/>
          <w:szCs w:val="24"/>
        </w:rPr>
      </w:pPr>
      <w:r w:rsidRPr="00913E39">
        <w:rPr>
          <w:rFonts w:ascii="Garamond" w:hAnsi="Garamond"/>
          <w:i/>
          <w:iCs/>
          <w:sz w:val="24"/>
          <w:szCs w:val="24"/>
        </w:rPr>
        <w:lastRenderedPageBreak/>
        <w:t xml:space="preserve">Ky aneks duhet të përfshijë një përditësim vjetor të treguesve të përfshirë në dokumentet përmbledhëse të veprimit IPA II dhe dokumentet e veprimit IPA III, duke mbuluar veprimet si në menaxhimin direkt ashtu edhe në atë indirekt. Aneksi preferohet të përgatitet në Excel ose në një sistem të mbledhjes së të dhënave online të përdorur nga përfituesi i IPA III, me tabela të veçanta për veprimet IPA II dhe veprimet IPA III sipas modelit të mëposhtëm. Duhet theksuar se piketat kërkohen vetëm për treguesit IPA II. </w:t>
      </w:r>
    </w:p>
    <w:p w14:paraId="4DB99B28" w14:textId="77777777" w:rsidR="00903B69" w:rsidRPr="00913E39" w:rsidRDefault="00903B69" w:rsidP="00B917EE">
      <w:pPr>
        <w:spacing w:after="0" w:line="240" w:lineRule="auto"/>
        <w:ind w:firstLine="284"/>
        <w:rPr>
          <w:rFonts w:ascii="Garamond" w:hAnsi="Garamond"/>
          <w:b/>
          <w:bCs/>
          <w:sz w:val="24"/>
          <w:szCs w:val="24"/>
        </w:rPr>
      </w:pPr>
      <w:r w:rsidRPr="00913E39">
        <w:rPr>
          <w:rFonts w:ascii="Garamond" w:hAnsi="Garamond"/>
          <w:b/>
          <w:bCs/>
          <w:sz w:val="24"/>
          <w:szCs w:val="24"/>
        </w:rPr>
        <w:t>Treguesit IPA II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A0" w:firstRow="1" w:lastRow="0" w:firstColumn="1" w:lastColumn="0" w:noHBand="1" w:noVBand="1"/>
      </w:tblPr>
      <w:tblGrid>
        <w:gridCol w:w="1279"/>
        <w:gridCol w:w="883"/>
        <w:gridCol w:w="927"/>
        <w:gridCol w:w="1826"/>
        <w:gridCol w:w="812"/>
        <w:gridCol w:w="946"/>
        <w:gridCol w:w="754"/>
        <w:gridCol w:w="800"/>
        <w:gridCol w:w="833"/>
      </w:tblGrid>
      <w:tr w:rsidR="00903B69" w:rsidRPr="00913E39" w14:paraId="76507662" w14:textId="77777777" w:rsidTr="00B917EE">
        <w:trPr>
          <w:trHeight w:val="20"/>
        </w:trPr>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14:paraId="64823CCC" w14:textId="77777777" w:rsidR="00903B69" w:rsidRPr="00913E39" w:rsidRDefault="00903B69" w:rsidP="00B917EE">
            <w:pPr>
              <w:spacing w:after="0" w:line="240" w:lineRule="auto"/>
              <w:rPr>
                <w:rFonts w:ascii="Garamond" w:hAnsi="Garamond"/>
                <w:sz w:val="20"/>
                <w:szCs w:val="24"/>
              </w:rPr>
            </w:pPr>
            <w:r w:rsidRPr="00913E39">
              <w:rPr>
                <w:rFonts w:ascii="Garamond" w:hAnsi="Garamond"/>
                <w:b/>
                <w:bCs/>
                <w:sz w:val="20"/>
                <w:szCs w:val="24"/>
              </w:rPr>
              <w:t>Program veprimi një vjeçar/ shumëvjeçar</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14:paraId="73635432" w14:textId="77777777" w:rsidR="00903B69" w:rsidRPr="00913E39" w:rsidRDefault="00903B69" w:rsidP="00B917EE">
            <w:pPr>
              <w:spacing w:after="0" w:line="240" w:lineRule="auto"/>
              <w:rPr>
                <w:rFonts w:ascii="Garamond" w:hAnsi="Garamond"/>
                <w:sz w:val="20"/>
                <w:szCs w:val="24"/>
              </w:rPr>
            </w:pPr>
            <w:r w:rsidRPr="00913E39">
              <w:rPr>
                <w:rFonts w:ascii="Garamond" w:hAnsi="Garamond"/>
                <w:b/>
                <w:bCs/>
                <w:sz w:val="20"/>
                <w:szCs w:val="24"/>
              </w:rPr>
              <w:t>Projekti</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44A1E632" w14:textId="77777777" w:rsidR="00903B69" w:rsidRPr="00913E39" w:rsidRDefault="00903B69" w:rsidP="00B917EE">
            <w:pPr>
              <w:spacing w:after="0" w:line="240" w:lineRule="auto"/>
              <w:rPr>
                <w:rFonts w:ascii="Garamond" w:hAnsi="Garamond"/>
                <w:sz w:val="20"/>
                <w:szCs w:val="24"/>
              </w:rPr>
            </w:pPr>
            <w:r w:rsidRPr="00913E39">
              <w:rPr>
                <w:rFonts w:ascii="Garamond" w:hAnsi="Garamond"/>
                <w:b/>
                <w:bCs/>
                <w:sz w:val="20"/>
                <w:szCs w:val="24"/>
              </w:rPr>
              <w:t>Sektori</w:t>
            </w:r>
          </w:p>
        </w:tc>
        <w:tc>
          <w:tcPr>
            <w:tcW w:w="1102" w:type="pct"/>
            <w:tcBorders>
              <w:top w:val="single" w:sz="4" w:space="0" w:color="auto"/>
              <w:left w:val="single" w:sz="4" w:space="0" w:color="auto"/>
              <w:bottom w:val="single" w:sz="4" w:space="0" w:color="auto"/>
              <w:right w:val="single" w:sz="4" w:space="0" w:color="auto"/>
            </w:tcBorders>
            <w:shd w:val="clear" w:color="auto" w:fill="auto"/>
            <w:vAlign w:val="center"/>
          </w:tcPr>
          <w:p w14:paraId="1208D286" w14:textId="77777777" w:rsidR="00903B69" w:rsidRPr="00913E39" w:rsidRDefault="00903B69" w:rsidP="00B917EE">
            <w:pPr>
              <w:spacing w:after="0" w:line="240" w:lineRule="auto"/>
              <w:rPr>
                <w:rFonts w:ascii="Garamond" w:hAnsi="Garamond"/>
                <w:sz w:val="20"/>
                <w:szCs w:val="24"/>
              </w:rPr>
            </w:pPr>
            <w:r w:rsidRPr="00913E39">
              <w:rPr>
                <w:rFonts w:ascii="Garamond" w:hAnsi="Garamond"/>
                <w:b/>
                <w:bCs/>
                <w:sz w:val="20"/>
                <w:szCs w:val="24"/>
              </w:rPr>
              <w:t>Treguesi</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78127A8" w14:textId="77777777" w:rsidR="00903B69" w:rsidRPr="00913E39" w:rsidRDefault="00903B69" w:rsidP="00B917EE">
            <w:pPr>
              <w:spacing w:after="0" w:line="240" w:lineRule="auto"/>
              <w:rPr>
                <w:rFonts w:ascii="Garamond" w:hAnsi="Garamond"/>
                <w:sz w:val="20"/>
                <w:szCs w:val="24"/>
              </w:rPr>
            </w:pPr>
            <w:r w:rsidRPr="00913E39">
              <w:rPr>
                <w:rFonts w:ascii="Garamond" w:hAnsi="Garamond"/>
                <w:b/>
                <w:bCs/>
                <w:sz w:val="20"/>
                <w:szCs w:val="24"/>
              </w:rPr>
              <w:t>Burimi</w:t>
            </w:r>
            <w:r w:rsidRPr="00913E39">
              <w:rPr>
                <w:rFonts w:ascii="Garamond" w:hAnsi="Garamond"/>
                <w:sz w:val="20"/>
                <w:szCs w:val="24"/>
              </w:rPr>
              <w:t xml:space="preserve"> </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0DB5516" w14:textId="77777777" w:rsidR="00903B69" w:rsidRPr="00913E39" w:rsidRDefault="00903B69" w:rsidP="00B917EE">
            <w:pPr>
              <w:spacing w:after="0" w:line="240" w:lineRule="auto"/>
              <w:rPr>
                <w:rFonts w:ascii="Garamond" w:hAnsi="Garamond"/>
                <w:sz w:val="20"/>
                <w:szCs w:val="24"/>
              </w:rPr>
            </w:pPr>
            <w:r w:rsidRPr="00913E39">
              <w:rPr>
                <w:rFonts w:ascii="Garamond" w:hAnsi="Garamond"/>
                <w:b/>
                <w:bCs/>
                <w:sz w:val="20"/>
                <w:szCs w:val="24"/>
              </w:rPr>
              <w:t>Baza e referimit</w:t>
            </w:r>
            <w:r w:rsidRPr="00913E39">
              <w:rPr>
                <w:rFonts w:ascii="Garamond" w:hAnsi="Garamond"/>
                <w:sz w:val="20"/>
                <w:szCs w:val="24"/>
              </w:rPr>
              <w:t xml:space="preserve"> </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695C0CF9" w14:textId="77777777" w:rsidR="00903B69" w:rsidRPr="00913E39" w:rsidRDefault="00903B69" w:rsidP="00B917EE">
            <w:pPr>
              <w:spacing w:after="0" w:line="240" w:lineRule="auto"/>
              <w:rPr>
                <w:rFonts w:ascii="Garamond" w:hAnsi="Garamond"/>
                <w:sz w:val="20"/>
                <w:szCs w:val="24"/>
              </w:rPr>
            </w:pPr>
            <w:r w:rsidRPr="00913E39">
              <w:rPr>
                <w:rFonts w:ascii="Garamond" w:hAnsi="Garamond"/>
                <w:b/>
                <w:bCs/>
                <w:sz w:val="20"/>
                <w:szCs w:val="24"/>
              </w:rPr>
              <w:t>Piketa</w:t>
            </w:r>
            <w:r w:rsidRPr="00913E39">
              <w:rPr>
                <w:rFonts w:ascii="Garamond" w:hAnsi="Garamond"/>
                <w:sz w:val="20"/>
                <w:szCs w:val="24"/>
              </w:rPr>
              <w:t xml:space="preserve"> (20xx) </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0B6AA073" w14:textId="77777777" w:rsidR="00903B69" w:rsidRPr="00913E39" w:rsidRDefault="00903B69" w:rsidP="00B917EE">
            <w:pPr>
              <w:spacing w:after="0" w:line="240" w:lineRule="auto"/>
              <w:rPr>
                <w:rFonts w:ascii="Garamond" w:hAnsi="Garamond"/>
                <w:sz w:val="20"/>
                <w:szCs w:val="24"/>
              </w:rPr>
            </w:pPr>
            <w:r w:rsidRPr="00913E39">
              <w:rPr>
                <w:rFonts w:ascii="Garamond" w:hAnsi="Garamond"/>
                <w:b/>
                <w:bCs/>
                <w:sz w:val="20"/>
                <w:szCs w:val="24"/>
              </w:rPr>
              <w:t>Fokusi</w:t>
            </w:r>
            <w:r w:rsidRPr="00913E39">
              <w:rPr>
                <w:rFonts w:ascii="Garamond" w:hAnsi="Garamond"/>
                <w:sz w:val="20"/>
                <w:szCs w:val="24"/>
              </w:rPr>
              <w:t xml:space="preserve"> </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14:paraId="149A1626" w14:textId="77777777" w:rsidR="00903B69" w:rsidRPr="00913E39" w:rsidRDefault="00903B69" w:rsidP="00B917EE">
            <w:pPr>
              <w:spacing w:after="0" w:line="240" w:lineRule="auto"/>
              <w:rPr>
                <w:rFonts w:ascii="Garamond" w:hAnsi="Garamond"/>
                <w:sz w:val="20"/>
                <w:szCs w:val="24"/>
              </w:rPr>
            </w:pPr>
            <w:r w:rsidRPr="00913E39">
              <w:rPr>
                <w:rFonts w:ascii="Garamond" w:hAnsi="Garamond"/>
                <w:b/>
                <w:bCs/>
                <w:sz w:val="20"/>
                <w:szCs w:val="24"/>
              </w:rPr>
              <w:t>Vlera aktuale (20xx)</w:t>
            </w:r>
            <w:r w:rsidRPr="00913E39">
              <w:rPr>
                <w:rFonts w:ascii="Garamond" w:hAnsi="Garamond"/>
                <w:sz w:val="20"/>
                <w:szCs w:val="24"/>
              </w:rPr>
              <w:t xml:space="preserve"> </w:t>
            </w:r>
          </w:p>
        </w:tc>
      </w:tr>
      <w:tr w:rsidR="00903B69" w:rsidRPr="00913E39" w14:paraId="09822CA4" w14:textId="77777777" w:rsidTr="00B917EE">
        <w:trPr>
          <w:trHeight w:val="20"/>
        </w:trPr>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14:paraId="07DA91DB" w14:textId="77777777" w:rsidR="00903B69" w:rsidRPr="00913E39" w:rsidRDefault="00903B69" w:rsidP="00B917EE">
            <w:pPr>
              <w:spacing w:after="0" w:line="240" w:lineRule="auto"/>
              <w:rPr>
                <w:rFonts w:ascii="Garamond" w:hAnsi="Garamond"/>
                <w:sz w:val="20"/>
                <w:szCs w:val="24"/>
              </w:rPr>
            </w:pPr>
            <w:r w:rsidRPr="00913E39">
              <w:rPr>
                <w:rFonts w:ascii="Garamond" w:hAnsi="Garamond"/>
                <w:i/>
                <w:iCs/>
                <w:sz w:val="20"/>
                <w:szCs w:val="24"/>
              </w:rPr>
              <w:t>programi një vjeçar i veprimit</w:t>
            </w:r>
            <w:r w:rsidRPr="00913E39">
              <w:rPr>
                <w:rFonts w:ascii="Garamond" w:hAnsi="Garamond"/>
                <w:sz w:val="20"/>
                <w:szCs w:val="24"/>
              </w:rPr>
              <w:t xml:space="preserve"> </w:t>
            </w:r>
            <w:r w:rsidRPr="00913E39">
              <w:rPr>
                <w:rFonts w:ascii="Garamond" w:hAnsi="Garamond"/>
                <w:i/>
                <w:iCs/>
                <w:sz w:val="20"/>
                <w:szCs w:val="24"/>
              </w:rPr>
              <w:t>20xx</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14:paraId="671A2299" w14:textId="77777777" w:rsidR="00903B69" w:rsidRPr="00913E39" w:rsidRDefault="00903B69" w:rsidP="00B917EE">
            <w:pPr>
              <w:spacing w:after="0" w:line="240" w:lineRule="auto"/>
              <w:rPr>
                <w:rFonts w:ascii="Garamond" w:hAnsi="Garamond"/>
                <w:sz w:val="20"/>
                <w:szCs w:val="24"/>
              </w:rPr>
            </w:pPr>
            <w:r w:rsidRPr="00913E39">
              <w:rPr>
                <w:rFonts w:ascii="Garamond" w:hAnsi="Garamond"/>
                <w:i/>
                <w:iCs/>
                <w:sz w:val="20"/>
                <w:szCs w:val="24"/>
              </w:rPr>
              <w:t>Projekti 1:</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70AE2F94" w14:textId="77777777" w:rsidR="00903B69" w:rsidRPr="00913E39" w:rsidRDefault="00903B69" w:rsidP="00B917EE">
            <w:pPr>
              <w:spacing w:after="0" w:line="240" w:lineRule="auto"/>
              <w:rPr>
                <w:rFonts w:ascii="Garamond" w:hAnsi="Garamond"/>
                <w:sz w:val="20"/>
                <w:szCs w:val="24"/>
              </w:rPr>
            </w:pPr>
            <w:r w:rsidRPr="00913E39">
              <w:rPr>
                <w:rFonts w:ascii="Garamond" w:hAnsi="Garamond"/>
                <w:i/>
                <w:iCs/>
                <w:sz w:val="20"/>
                <w:szCs w:val="24"/>
              </w:rPr>
              <w:t>Transporti</w:t>
            </w:r>
          </w:p>
        </w:tc>
        <w:tc>
          <w:tcPr>
            <w:tcW w:w="1102" w:type="pct"/>
            <w:tcBorders>
              <w:top w:val="single" w:sz="4" w:space="0" w:color="auto"/>
              <w:left w:val="single" w:sz="4" w:space="0" w:color="auto"/>
              <w:bottom w:val="single" w:sz="4" w:space="0" w:color="auto"/>
              <w:right w:val="single" w:sz="4" w:space="0" w:color="auto"/>
            </w:tcBorders>
            <w:shd w:val="clear" w:color="auto" w:fill="auto"/>
            <w:vAlign w:val="center"/>
          </w:tcPr>
          <w:p w14:paraId="65644576" w14:textId="77777777" w:rsidR="00903B69" w:rsidRPr="00913E39" w:rsidRDefault="00903B69" w:rsidP="00B917EE">
            <w:pPr>
              <w:spacing w:after="0" w:line="240" w:lineRule="auto"/>
              <w:rPr>
                <w:rFonts w:ascii="Garamond" w:hAnsi="Garamond"/>
                <w:sz w:val="20"/>
                <w:szCs w:val="24"/>
              </w:rPr>
            </w:pPr>
            <w:r w:rsidRPr="00913E39">
              <w:rPr>
                <w:rFonts w:ascii="Garamond" w:hAnsi="Garamond"/>
                <w:i/>
                <w:iCs/>
                <w:sz w:val="20"/>
                <w:szCs w:val="24"/>
              </w:rPr>
              <w:t>Shkurtimi i kohës mesatare të udhëtimit për pasagjerët ndërmjet qendrave kryesore urbane me anë të mjeteve të transportit</w:t>
            </w:r>
            <w:r w:rsidRPr="00913E39">
              <w:rPr>
                <w:rFonts w:ascii="Garamond" w:hAnsi="Garamond"/>
                <w:sz w:val="20"/>
                <w:szCs w:val="24"/>
              </w:rPr>
              <w:t xml:space="preserve"> </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52C9B415"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0E58E8"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04757681"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294FEB83"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14:paraId="7A0AC05A"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r>
      <w:tr w:rsidR="00903B69" w:rsidRPr="00913E39" w14:paraId="029DBDCB" w14:textId="77777777" w:rsidTr="00B917EE">
        <w:trPr>
          <w:trHeight w:val="20"/>
        </w:trPr>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14:paraId="61F75170" w14:textId="744CE99D" w:rsidR="00903B69" w:rsidRPr="00913E39" w:rsidRDefault="00903B69" w:rsidP="00B917EE">
            <w:pPr>
              <w:spacing w:after="0" w:line="240" w:lineRule="auto"/>
              <w:rPr>
                <w:rFonts w:ascii="Garamond" w:hAnsi="Garamond"/>
                <w:sz w:val="20"/>
                <w:szCs w:val="24"/>
              </w:rPr>
            </w:pPr>
            <w:r w:rsidRPr="00913E39">
              <w:rPr>
                <w:rFonts w:ascii="Garamond" w:hAnsi="Garamond"/>
                <w:i/>
                <w:iCs/>
                <w:sz w:val="20"/>
                <w:szCs w:val="24"/>
              </w:rPr>
              <w:t>programi shumëvjeçar i veprimit 20xx-20xx</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14:paraId="67FC28ED" w14:textId="77777777" w:rsidR="00903B69" w:rsidRPr="00913E39" w:rsidRDefault="00903B69" w:rsidP="00B917EE">
            <w:pPr>
              <w:spacing w:after="0" w:line="240" w:lineRule="auto"/>
              <w:rPr>
                <w:rFonts w:ascii="Garamond" w:hAnsi="Garamond"/>
                <w:sz w:val="20"/>
                <w:szCs w:val="24"/>
              </w:rPr>
            </w:pPr>
            <w:r w:rsidRPr="00913E39">
              <w:rPr>
                <w:rFonts w:ascii="Garamond" w:hAnsi="Garamond"/>
                <w:i/>
                <w:iCs/>
                <w:sz w:val="20"/>
                <w:szCs w:val="24"/>
              </w:rPr>
              <w:t>Projekti 1:</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4FBAF3DF" w14:textId="77777777" w:rsidR="00903B69" w:rsidRPr="00913E39" w:rsidRDefault="00903B69" w:rsidP="00B917EE">
            <w:pPr>
              <w:spacing w:after="0" w:line="240" w:lineRule="auto"/>
              <w:rPr>
                <w:rFonts w:ascii="Garamond" w:hAnsi="Garamond"/>
                <w:sz w:val="20"/>
                <w:szCs w:val="24"/>
              </w:rPr>
            </w:pPr>
            <w:r w:rsidRPr="00913E39">
              <w:rPr>
                <w:rFonts w:ascii="Garamond" w:hAnsi="Garamond"/>
                <w:i/>
                <w:iCs/>
                <w:sz w:val="20"/>
                <w:szCs w:val="24"/>
              </w:rPr>
              <w:t>Mjedisi</w:t>
            </w:r>
          </w:p>
        </w:tc>
        <w:tc>
          <w:tcPr>
            <w:tcW w:w="1102" w:type="pct"/>
            <w:tcBorders>
              <w:top w:val="single" w:sz="4" w:space="0" w:color="auto"/>
              <w:left w:val="single" w:sz="4" w:space="0" w:color="auto"/>
              <w:bottom w:val="single" w:sz="4" w:space="0" w:color="auto"/>
              <w:right w:val="single" w:sz="4" w:space="0" w:color="auto"/>
            </w:tcBorders>
            <w:shd w:val="clear" w:color="auto" w:fill="auto"/>
            <w:vAlign w:val="center"/>
          </w:tcPr>
          <w:p w14:paraId="522AA1CE" w14:textId="77777777" w:rsidR="00903B69" w:rsidRPr="00913E39" w:rsidRDefault="00903B69" w:rsidP="00B917EE">
            <w:pPr>
              <w:spacing w:after="0" w:line="240" w:lineRule="auto"/>
              <w:rPr>
                <w:rFonts w:ascii="Garamond" w:hAnsi="Garamond"/>
                <w:sz w:val="20"/>
                <w:szCs w:val="24"/>
              </w:rPr>
            </w:pPr>
            <w:r w:rsidRPr="00913E39">
              <w:rPr>
                <w:rFonts w:ascii="Garamond" w:hAnsi="Garamond"/>
                <w:i/>
                <w:iCs/>
                <w:sz w:val="20"/>
                <w:szCs w:val="24"/>
              </w:rPr>
              <w:t>Ulja e kostos së transportit për njësi të produktit</w:t>
            </w:r>
            <w:r w:rsidRPr="00913E39">
              <w:rPr>
                <w:rFonts w:ascii="Garamond" w:hAnsi="Garamond"/>
                <w:sz w:val="20"/>
                <w:szCs w:val="24"/>
              </w:rPr>
              <w:t xml:space="preserve"> </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488E35F9"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2B97F01"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714A1244"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41ABB0CA"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14:paraId="72AA1969"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r>
      <w:tr w:rsidR="00903B69" w:rsidRPr="00913E39" w14:paraId="4EC02A69" w14:textId="77777777" w:rsidTr="00B917EE">
        <w:trPr>
          <w:trHeight w:val="20"/>
        </w:trPr>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14:paraId="7886D6E8" w14:textId="77777777" w:rsidR="00903B69" w:rsidRPr="00913E39" w:rsidRDefault="00903B69" w:rsidP="00B917EE">
            <w:pPr>
              <w:spacing w:after="0" w:line="240" w:lineRule="auto"/>
              <w:rPr>
                <w:rFonts w:ascii="Garamond" w:hAnsi="Garamond"/>
                <w:sz w:val="20"/>
                <w:szCs w:val="24"/>
              </w:rPr>
            </w:pPr>
            <w:r w:rsidRPr="00913E39">
              <w:rPr>
                <w:rFonts w:ascii="Garamond" w:hAnsi="Garamond"/>
                <w:i/>
                <w:iCs/>
                <w:sz w:val="20"/>
                <w:szCs w:val="24"/>
              </w:rPr>
              <w:t>[Shtoni sa rreshta të jetë nevoja……..]</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14:paraId="67EF6B08" w14:textId="77777777" w:rsidR="00903B69" w:rsidRPr="00913E39" w:rsidRDefault="00903B69" w:rsidP="00B917EE">
            <w:pPr>
              <w:spacing w:after="0" w:line="240" w:lineRule="auto"/>
              <w:rPr>
                <w:rFonts w:ascii="Garamond" w:hAnsi="Garamond"/>
                <w:sz w:val="20"/>
                <w:szCs w:val="24"/>
              </w:rPr>
            </w:pPr>
            <w:r w:rsidRPr="00913E39">
              <w:rPr>
                <w:rFonts w:ascii="Garamond" w:hAnsi="Garamond"/>
                <w:i/>
                <w:iCs/>
                <w:sz w:val="20"/>
                <w:szCs w:val="24"/>
              </w:rPr>
              <w:t>……</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66EA0046" w14:textId="77777777" w:rsidR="00903B69" w:rsidRPr="00913E39" w:rsidRDefault="00903B69" w:rsidP="00B917EE">
            <w:pPr>
              <w:spacing w:after="0" w:line="240" w:lineRule="auto"/>
              <w:rPr>
                <w:rFonts w:ascii="Garamond" w:hAnsi="Garamond"/>
                <w:sz w:val="20"/>
                <w:szCs w:val="24"/>
              </w:rPr>
            </w:pPr>
            <w:r w:rsidRPr="00913E39">
              <w:rPr>
                <w:rFonts w:ascii="Garamond" w:hAnsi="Garamond"/>
                <w:i/>
                <w:iCs/>
                <w:sz w:val="20"/>
                <w:szCs w:val="24"/>
              </w:rPr>
              <w:t>……</w:t>
            </w:r>
          </w:p>
        </w:tc>
        <w:tc>
          <w:tcPr>
            <w:tcW w:w="1102" w:type="pct"/>
            <w:tcBorders>
              <w:top w:val="single" w:sz="4" w:space="0" w:color="auto"/>
              <w:left w:val="single" w:sz="4" w:space="0" w:color="auto"/>
              <w:bottom w:val="single" w:sz="4" w:space="0" w:color="auto"/>
              <w:right w:val="single" w:sz="4" w:space="0" w:color="auto"/>
            </w:tcBorders>
            <w:shd w:val="clear" w:color="auto" w:fill="auto"/>
            <w:vAlign w:val="center"/>
          </w:tcPr>
          <w:p w14:paraId="3A196CA0" w14:textId="77777777" w:rsidR="00903B69" w:rsidRPr="00913E39" w:rsidRDefault="00903B69" w:rsidP="00B917EE">
            <w:pPr>
              <w:spacing w:after="0" w:line="240" w:lineRule="auto"/>
              <w:rPr>
                <w:rFonts w:ascii="Garamond" w:hAnsi="Garamond"/>
                <w:sz w:val="20"/>
                <w:szCs w:val="24"/>
              </w:rPr>
            </w:pPr>
            <w:r w:rsidRPr="00913E39">
              <w:rPr>
                <w:rFonts w:ascii="Garamond" w:hAnsi="Garamond"/>
                <w:i/>
                <w:iCs/>
                <w:sz w:val="20"/>
                <w:szCs w:val="24"/>
              </w:rPr>
              <w:t>……</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C68FEE1"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306E5E3"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1AAE21E4"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2556D4F0" w14:textId="77777777" w:rsidR="00903B69" w:rsidRPr="00913E39" w:rsidRDefault="00903B69" w:rsidP="00B917EE">
            <w:pPr>
              <w:spacing w:after="0" w:line="240" w:lineRule="auto"/>
              <w:rPr>
                <w:rFonts w:ascii="Garamond" w:hAnsi="Garamond"/>
                <w:sz w:val="20"/>
                <w:szCs w:val="24"/>
              </w:rPr>
            </w:pPr>
            <w:r w:rsidRPr="00913E39">
              <w:rPr>
                <w:rFonts w:ascii="Garamond" w:hAnsi="Garamond"/>
                <w:sz w:val="20"/>
                <w:szCs w:val="24"/>
              </w:rPr>
              <w:t xml:space="preserve"> </w:t>
            </w:r>
          </w:p>
        </w:tc>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14:paraId="0F33BC01" w14:textId="77777777" w:rsidR="00903B69" w:rsidRPr="00913E39" w:rsidRDefault="00903B69" w:rsidP="00B917EE">
            <w:pPr>
              <w:spacing w:after="0" w:line="240" w:lineRule="auto"/>
              <w:rPr>
                <w:rFonts w:ascii="Garamond" w:hAnsi="Garamond"/>
                <w:sz w:val="20"/>
                <w:szCs w:val="24"/>
              </w:rPr>
            </w:pPr>
          </w:p>
        </w:tc>
      </w:tr>
    </w:tbl>
    <w:p w14:paraId="2FE2EE1D" w14:textId="77777777" w:rsidR="00801431" w:rsidRPr="00913E39" w:rsidRDefault="00801431" w:rsidP="00B917EE">
      <w:pPr>
        <w:spacing w:after="0" w:line="240" w:lineRule="auto"/>
        <w:ind w:firstLine="284"/>
        <w:rPr>
          <w:rFonts w:ascii="Garamond" w:hAnsi="Garamond"/>
          <w:b/>
          <w:bCs/>
          <w:sz w:val="24"/>
          <w:szCs w:val="24"/>
        </w:rPr>
      </w:pPr>
    </w:p>
    <w:p w14:paraId="3D27D2E4" w14:textId="62E96C0C" w:rsidR="00903B69" w:rsidRPr="00913E39" w:rsidRDefault="00903B69" w:rsidP="00B917EE">
      <w:pPr>
        <w:spacing w:after="0" w:line="240" w:lineRule="auto"/>
        <w:ind w:firstLine="284"/>
        <w:rPr>
          <w:rFonts w:ascii="Garamond" w:hAnsi="Garamond"/>
          <w:b/>
          <w:bCs/>
          <w:sz w:val="24"/>
          <w:szCs w:val="24"/>
        </w:rPr>
      </w:pPr>
      <w:r w:rsidRPr="00913E39">
        <w:rPr>
          <w:rFonts w:ascii="Garamond" w:hAnsi="Garamond"/>
          <w:b/>
          <w:bCs/>
          <w:sz w:val="24"/>
          <w:szCs w:val="24"/>
        </w:rPr>
        <w:t>Treguesit IPA III</w:t>
      </w:r>
    </w:p>
    <w:p w14:paraId="3BD23903" w14:textId="77777777" w:rsidR="00903B69" w:rsidRPr="00913E39" w:rsidRDefault="00697DA0" w:rsidP="00B917EE">
      <w:pPr>
        <w:spacing w:after="0" w:line="240" w:lineRule="auto"/>
        <w:jc w:val="center"/>
        <w:rPr>
          <w:rFonts w:ascii="Garamond" w:hAnsi="Garamond"/>
          <w:b/>
          <w:sz w:val="24"/>
          <w:szCs w:val="24"/>
        </w:rPr>
      </w:pPr>
      <w:r>
        <w:rPr>
          <w:rFonts w:ascii="Garamond" w:hAnsi="Garamond"/>
          <w:b/>
          <w:sz w:val="24"/>
          <w:szCs w:val="24"/>
        </w:rPr>
        <w:pict w14:anchorId="1152BF25">
          <v:shape id="_x0000_i1027" type="#_x0000_t75" style="width:490.05pt;height:2in;visibility:visible">
            <v:imagedata r:id="rId50" o:title=""/>
          </v:shape>
        </w:pict>
      </w:r>
    </w:p>
    <w:p w14:paraId="0AE20D2C" w14:textId="77777777" w:rsidR="00B917EE" w:rsidRPr="00913E39" w:rsidRDefault="00B917EE" w:rsidP="00B917EE">
      <w:pPr>
        <w:spacing w:after="0" w:line="240" w:lineRule="auto"/>
        <w:jc w:val="center"/>
        <w:rPr>
          <w:rFonts w:ascii="Garamond" w:hAnsi="Garamond"/>
          <w:b/>
          <w:bCs/>
          <w:sz w:val="24"/>
          <w:szCs w:val="24"/>
        </w:rPr>
      </w:pPr>
    </w:p>
    <w:p w14:paraId="1D2005BD" w14:textId="6523AEBA" w:rsidR="00903B69" w:rsidRPr="00913E39" w:rsidRDefault="00903B69" w:rsidP="00B917EE">
      <w:pPr>
        <w:spacing w:after="0" w:line="240" w:lineRule="auto"/>
        <w:ind w:firstLine="284"/>
        <w:rPr>
          <w:rFonts w:ascii="Garamond" w:hAnsi="Garamond"/>
          <w:i/>
          <w:iCs/>
          <w:sz w:val="24"/>
          <w:szCs w:val="24"/>
        </w:rPr>
      </w:pPr>
      <w:r w:rsidRPr="00913E39">
        <w:rPr>
          <w:rFonts w:ascii="Garamond" w:hAnsi="Garamond"/>
          <w:b/>
          <w:bCs/>
          <w:sz w:val="24"/>
          <w:szCs w:val="24"/>
        </w:rPr>
        <w:t>Aneksi 2</w:t>
      </w:r>
      <w:r w:rsidR="00814FCE" w:rsidRPr="00913E39">
        <w:rPr>
          <w:rFonts w:ascii="Garamond" w:hAnsi="Garamond"/>
          <w:b/>
          <w:bCs/>
          <w:sz w:val="24"/>
          <w:szCs w:val="24"/>
        </w:rPr>
        <w:t>.</w:t>
      </w:r>
      <w:r w:rsidRPr="00913E39">
        <w:rPr>
          <w:rFonts w:ascii="Garamond" w:hAnsi="Garamond"/>
          <w:b/>
          <w:bCs/>
          <w:sz w:val="24"/>
          <w:szCs w:val="24"/>
        </w:rPr>
        <w:t xml:space="preserve"> Transparenca, vizibiliteti, aktivitetet e informimit dhe komunikimit </w:t>
      </w:r>
    </w:p>
    <w:p w14:paraId="7088D256" w14:textId="77777777" w:rsidR="00903B69" w:rsidRPr="00913E39" w:rsidRDefault="00903B69" w:rsidP="00B917EE">
      <w:pPr>
        <w:spacing w:after="0" w:line="240" w:lineRule="auto"/>
        <w:ind w:firstLine="284"/>
        <w:jc w:val="both"/>
        <w:rPr>
          <w:rFonts w:ascii="Garamond" w:hAnsi="Garamond"/>
          <w:i/>
          <w:iCs/>
          <w:sz w:val="24"/>
          <w:szCs w:val="24"/>
        </w:rPr>
      </w:pPr>
      <w:r w:rsidRPr="00913E39">
        <w:rPr>
          <w:rFonts w:ascii="Garamond" w:hAnsi="Garamond"/>
          <w:i/>
          <w:iCs/>
          <w:sz w:val="24"/>
          <w:szCs w:val="24"/>
        </w:rPr>
        <w:t>Ky aneks (maksimumi një faqe) duhet të jepet vetëm për veprimet e administruara në menaxhim indirekt në përputhje me kërkesat e përcaktuara nga Marrëveshja Kornizë IPA II dhe Marrëveshja Kornizë e Partneritetit Financiar IPA III.</w:t>
      </w:r>
    </w:p>
    <w:p w14:paraId="4BFA33AA" w14:textId="17E594AA" w:rsidR="00903B69" w:rsidRPr="00913E39" w:rsidRDefault="00903B69" w:rsidP="00B917EE">
      <w:pPr>
        <w:spacing w:after="0" w:line="240" w:lineRule="auto"/>
        <w:ind w:firstLine="284"/>
        <w:jc w:val="both"/>
        <w:rPr>
          <w:rFonts w:ascii="Garamond" w:hAnsi="Garamond"/>
          <w:b/>
          <w:bCs/>
          <w:sz w:val="24"/>
          <w:szCs w:val="24"/>
        </w:rPr>
      </w:pPr>
      <w:r w:rsidRPr="00913E39">
        <w:rPr>
          <w:rFonts w:ascii="Garamond" w:hAnsi="Garamond"/>
          <w:b/>
          <w:bCs/>
          <w:sz w:val="24"/>
          <w:szCs w:val="24"/>
        </w:rPr>
        <w:t>Aneksi 3</w:t>
      </w:r>
      <w:r w:rsidR="00814FCE" w:rsidRPr="00913E39">
        <w:rPr>
          <w:rFonts w:ascii="Garamond" w:hAnsi="Garamond"/>
          <w:b/>
          <w:bCs/>
          <w:sz w:val="24"/>
          <w:szCs w:val="24"/>
        </w:rPr>
        <w:t>.</w:t>
      </w:r>
      <w:r w:rsidRPr="00913E39">
        <w:rPr>
          <w:rFonts w:ascii="Garamond" w:hAnsi="Garamond"/>
          <w:b/>
          <w:bCs/>
          <w:sz w:val="24"/>
          <w:szCs w:val="24"/>
        </w:rPr>
        <w:t xml:space="preserve"> Histori suksesi </w:t>
      </w:r>
    </w:p>
    <w:p w14:paraId="589CD580" w14:textId="2FCCE7E8" w:rsidR="00903B69" w:rsidRPr="00913E39" w:rsidRDefault="00903B69" w:rsidP="00B917EE">
      <w:pPr>
        <w:spacing w:after="0" w:line="240" w:lineRule="auto"/>
        <w:ind w:firstLine="284"/>
        <w:jc w:val="both"/>
        <w:rPr>
          <w:rFonts w:ascii="Garamond" w:hAnsi="Garamond"/>
          <w:i/>
          <w:iCs/>
          <w:sz w:val="24"/>
          <w:szCs w:val="24"/>
        </w:rPr>
      </w:pPr>
      <w:r w:rsidRPr="00913E39">
        <w:rPr>
          <w:rFonts w:ascii="Garamond" w:hAnsi="Garamond"/>
          <w:i/>
          <w:iCs/>
          <w:sz w:val="24"/>
          <w:szCs w:val="24"/>
        </w:rPr>
        <w:t>Ky aneks duhet të jepet vetëm për veprimet e administruara në menaxhimin indirekt. (Vini re, kjo pjesë mund të përdoret për raportin vjetor mbi zbatimin e instrumenteve të veprimit të jashtëm të Bashkimit E</w:t>
      </w:r>
      <w:r w:rsidR="00801431" w:rsidRPr="00913E39">
        <w:rPr>
          <w:rFonts w:ascii="Garamond" w:hAnsi="Garamond"/>
          <w:i/>
          <w:iCs/>
          <w:sz w:val="24"/>
          <w:szCs w:val="24"/>
        </w:rPr>
        <w:t>v</w:t>
      </w:r>
      <w:r w:rsidRPr="00913E39">
        <w:rPr>
          <w:rFonts w:ascii="Garamond" w:hAnsi="Garamond"/>
          <w:i/>
          <w:iCs/>
          <w:sz w:val="24"/>
          <w:szCs w:val="24"/>
        </w:rPr>
        <w:t>ropian të përgatitur nga Komisioni E</w:t>
      </w:r>
      <w:r w:rsidR="00801431" w:rsidRPr="00913E39">
        <w:rPr>
          <w:rFonts w:ascii="Garamond" w:hAnsi="Garamond"/>
          <w:i/>
          <w:iCs/>
          <w:sz w:val="24"/>
          <w:szCs w:val="24"/>
        </w:rPr>
        <w:t>v</w:t>
      </w:r>
      <w:r w:rsidRPr="00913E39">
        <w:rPr>
          <w:rFonts w:ascii="Garamond" w:hAnsi="Garamond"/>
          <w:i/>
          <w:iCs/>
          <w:sz w:val="24"/>
          <w:szCs w:val="24"/>
        </w:rPr>
        <w:t>ropian</w:t>
      </w:r>
      <w:r w:rsidR="00801431" w:rsidRPr="00913E39">
        <w:rPr>
          <w:rFonts w:ascii="Garamond" w:hAnsi="Garamond"/>
          <w:i/>
          <w:iCs/>
          <w:sz w:val="24"/>
          <w:szCs w:val="24"/>
        </w:rPr>
        <w:t>.</w:t>
      </w:r>
      <w:r w:rsidRPr="00913E39">
        <w:rPr>
          <w:rFonts w:ascii="Garamond" w:hAnsi="Garamond"/>
          <w:i/>
          <w:iCs/>
          <w:sz w:val="24"/>
          <w:szCs w:val="24"/>
        </w:rPr>
        <w:t>)</w:t>
      </w:r>
    </w:p>
    <w:p w14:paraId="13B77A0D" w14:textId="4F8663B6" w:rsidR="00903B69" w:rsidRPr="00913E39" w:rsidRDefault="00903B69" w:rsidP="00B917EE">
      <w:pPr>
        <w:spacing w:after="0" w:line="240" w:lineRule="auto"/>
        <w:ind w:firstLine="284"/>
        <w:rPr>
          <w:rFonts w:ascii="Garamond" w:hAnsi="Garamond"/>
          <w:sz w:val="24"/>
          <w:szCs w:val="24"/>
        </w:rPr>
      </w:pPr>
      <w:r w:rsidRPr="00913E39">
        <w:rPr>
          <w:rFonts w:ascii="Garamond" w:hAnsi="Garamond"/>
          <w:b/>
          <w:bCs/>
          <w:sz w:val="24"/>
          <w:szCs w:val="24"/>
        </w:rPr>
        <w:t>Aneksi 4</w:t>
      </w:r>
      <w:r w:rsidR="00814FCE" w:rsidRPr="00913E39">
        <w:rPr>
          <w:rFonts w:ascii="Garamond" w:hAnsi="Garamond"/>
          <w:b/>
          <w:bCs/>
          <w:sz w:val="24"/>
          <w:szCs w:val="24"/>
        </w:rPr>
        <w:t>.</w:t>
      </w:r>
      <w:r w:rsidRPr="00913E39">
        <w:rPr>
          <w:rFonts w:ascii="Garamond" w:hAnsi="Garamond"/>
          <w:b/>
          <w:bCs/>
          <w:sz w:val="24"/>
          <w:szCs w:val="24"/>
        </w:rPr>
        <w:t xml:space="preserve"> Plani vjetor i prokurimit </w:t>
      </w:r>
    </w:p>
    <w:p w14:paraId="00D20371" w14:textId="77777777" w:rsidR="00903B69" w:rsidRPr="00913E39" w:rsidRDefault="00903B69" w:rsidP="00B917EE">
      <w:pPr>
        <w:spacing w:after="0" w:line="240" w:lineRule="auto"/>
        <w:ind w:firstLine="284"/>
        <w:jc w:val="both"/>
        <w:rPr>
          <w:rFonts w:ascii="Garamond" w:hAnsi="Garamond"/>
          <w:i/>
          <w:iCs/>
          <w:sz w:val="24"/>
          <w:szCs w:val="24"/>
        </w:rPr>
      </w:pPr>
      <w:r w:rsidRPr="00913E39">
        <w:rPr>
          <w:rFonts w:ascii="Garamond" w:hAnsi="Garamond"/>
          <w:i/>
          <w:iCs/>
          <w:sz w:val="24"/>
          <w:szCs w:val="24"/>
        </w:rPr>
        <w:t>Ky aneks duhet të jepet vetëm për veprimet e menaxhuara në menaxhimin indirekt.</w:t>
      </w:r>
    </w:p>
    <w:p w14:paraId="13DABACE" w14:textId="77777777" w:rsidR="00B917EE" w:rsidRPr="00913E39" w:rsidRDefault="00B917EE" w:rsidP="00B917EE">
      <w:pPr>
        <w:tabs>
          <w:tab w:val="center" w:pos="4320"/>
          <w:tab w:val="right" w:pos="8640"/>
        </w:tabs>
        <w:autoSpaceDE w:val="0"/>
        <w:autoSpaceDN w:val="0"/>
        <w:adjustRightInd w:val="0"/>
        <w:spacing w:after="0" w:line="240" w:lineRule="auto"/>
        <w:ind w:firstLine="284"/>
        <w:jc w:val="center"/>
        <w:rPr>
          <w:rFonts w:ascii="Garamond" w:eastAsia="Calibri" w:hAnsi="Garamond" w:cs="Garamond"/>
          <w:sz w:val="24"/>
          <w:szCs w:val="24"/>
        </w:rPr>
      </w:pPr>
    </w:p>
    <w:p w14:paraId="493D1F84" w14:textId="5E39FCDD" w:rsidR="00407654" w:rsidRPr="00913E39" w:rsidRDefault="00E528B3" w:rsidP="00B917EE">
      <w:pPr>
        <w:tabs>
          <w:tab w:val="center" w:pos="4320"/>
          <w:tab w:val="right" w:pos="8640"/>
        </w:tabs>
        <w:autoSpaceDE w:val="0"/>
        <w:autoSpaceDN w:val="0"/>
        <w:adjustRightInd w:val="0"/>
        <w:spacing w:after="0" w:line="240" w:lineRule="auto"/>
        <w:ind w:firstLine="284"/>
        <w:jc w:val="center"/>
        <w:rPr>
          <w:rFonts w:ascii="Garamond" w:eastAsia="Calibri" w:hAnsi="Garamond" w:cs="Garamond"/>
          <w:sz w:val="24"/>
          <w:szCs w:val="24"/>
        </w:rPr>
      </w:pPr>
      <w:r>
        <w:rPr>
          <w:rFonts w:ascii="Garamond" w:eastAsia="Calibri" w:hAnsi="Garamond" w:cs="Garamond"/>
          <w:noProof/>
          <w:sz w:val="24"/>
          <w:szCs w:val="24"/>
        </w:rPr>
        <w:drawing>
          <wp:inline distT="0" distB="0" distL="0" distR="0" wp14:anchorId="71A68EE9" wp14:editId="0BC3BC1A">
            <wp:extent cx="6024494" cy="776890"/>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 tab.jpg"/>
                    <pic:cNvPicPr/>
                  </pic:nvPicPr>
                  <pic:blipFill rotWithShape="1">
                    <a:blip r:embed="rId51" cstate="print">
                      <a:extLst>
                        <a:ext uri="{28A0092B-C50C-407E-A947-70E740481C1C}">
                          <a14:useLocalDpi xmlns:a14="http://schemas.microsoft.com/office/drawing/2010/main" val="0"/>
                        </a:ext>
                      </a:extLst>
                    </a:blip>
                    <a:srcRect t="14563"/>
                    <a:stretch/>
                  </pic:blipFill>
                  <pic:spPr bwMode="auto">
                    <a:xfrm>
                      <a:off x="0" y="0"/>
                      <a:ext cx="6078132" cy="783807"/>
                    </a:xfrm>
                    <a:prstGeom prst="rect">
                      <a:avLst/>
                    </a:prstGeom>
                    <a:ln>
                      <a:noFill/>
                    </a:ln>
                    <a:extLst>
                      <a:ext uri="{53640926-AAD7-44D8-BBD7-CCE9431645EC}">
                        <a14:shadowObscured xmlns:a14="http://schemas.microsoft.com/office/drawing/2010/main"/>
                      </a:ext>
                    </a:extLst>
                  </pic:spPr>
                </pic:pic>
              </a:graphicData>
            </a:graphic>
          </wp:inline>
        </w:drawing>
      </w:r>
    </w:p>
    <w:p w14:paraId="50DC8E99" w14:textId="77777777" w:rsidR="0030787B" w:rsidRPr="00913E39" w:rsidRDefault="0030787B" w:rsidP="0030787B">
      <w:pPr>
        <w:tabs>
          <w:tab w:val="center" w:pos="4320"/>
          <w:tab w:val="right" w:pos="8640"/>
        </w:tabs>
        <w:autoSpaceDE w:val="0"/>
        <w:autoSpaceDN w:val="0"/>
        <w:adjustRightInd w:val="0"/>
        <w:spacing w:after="0" w:line="240" w:lineRule="auto"/>
        <w:ind w:firstLine="284"/>
        <w:jc w:val="both"/>
        <w:rPr>
          <w:rFonts w:ascii="Garamond" w:eastAsia="Calibri" w:hAnsi="Garamond" w:cs="Garamond"/>
          <w:sz w:val="24"/>
          <w:szCs w:val="24"/>
        </w:rPr>
      </w:pPr>
    </w:p>
    <w:p w14:paraId="51AA7C32" w14:textId="77777777" w:rsidR="0030787B" w:rsidRPr="00913E39" w:rsidRDefault="001A5959" w:rsidP="001A5959">
      <w:pPr>
        <w:tabs>
          <w:tab w:val="center" w:pos="4320"/>
          <w:tab w:val="right" w:pos="8640"/>
        </w:tabs>
        <w:autoSpaceDE w:val="0"/>
        <w:autoSpaceDN w:val="0"/>
        <w:adjustRightInd w:val="0"/>
        <w:spacing w:after="0" w:line="240" w:lineRule="auto"/>
        <w:ind w:firstLine="284"/>
        <w:rPr>
          <w:rFonts w:ascii="Garamond" w:eastAsia="Calibri" w:hAnsi="Garamond" w:cs="Garamond"/>
          <w:sz w:val="24"/>
          <w:szCs w:val="24"/>
        </w:rPr>
      </w:pPr>
      <w:r w:rsidRPr="00913E39">
        <w:rPr>
          <w:rFonts w:ascii="Garamond" w:eastAsia="Calibri" w:hAnsi="Garamond" w:cs="Garamond"/>
          <w:noProof/>
          <w:sz w:val="24"/>
          <w:szCs w:val="24"/>
        </w:rPr>
        <w:drawing>
          <wp:inline distT="0" distB="0" distL="0" distR="0" wp14:anchorId="2335CC9D" wp14:editId="61F77A2D">
            <wp:extent cx="6145399" cy="137795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 4b.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49161" cy="1378794"/>
                    </a:xfrm>
                    <a:prstGeom prst="rect">
                      <a:avLst/>
                    </a:prstGeom>
                  </pic:spPr>
                </pic:pic>
              </a:graphicData>
            </a:graphic>
          </wp:inline>
        </w:drawing>
      </w:r>
      <w:r w:rsidRPr="00913E39">
        <w:rPr>
          <w:rFonts w:ascii="Garamond" w:eastAsia="Calibri" w:hAnsi="Garamond" w:cs="Garamond"/>
          <w:noProof/>
          <w:sz w:val="24"/>
          <w:szCs w:val="24"/>
        </w:rPr>
        <w:drawing>
          <wp:inline distT="0" distB="0" distL="0" distR="0" wp14:anchorId="6E16F3B3" wp14:editId="019014B0">
            <wp:extent cx="6038602" cy="100965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 4c.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046315" cy="1010940"/>
                    </a:xfrm>
                    <a:prstGeom prst="rect">
                      <a:avLst/>
                    </a:prstGeom>
                  </pic:spPr>
                </pic:pic>
              </a:graphicData>
            </a:graphic>
          </wp:inline>
        </w:drawing>
      </w:r>
      <w:r w:rsidRPr="00913E39">
        <w:rPr>
          <w:rFonts w:ascii="Garamond" w:eastAsia="Calibri" w:hAnsi="Garamond" w:cs="Garamond"/>
          <w:noProof/>
          <w:sz w:val="24"/>
          <w:szCs w:val="24"/>
        </w:rPr>
        <w:drawing>
          <wp:inline distT="0" distB="0" distL="0" distR="0" wp14:anchorId="0F7664C1" wp14:editId="4C03F829">
            <wp:extent cx="5985163" cy="10255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 4d.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90257" cy="1026398"/>
                    </a:xfrm>
                    <a:prstGeom prst="rect">
                      <a:avLst/>
                    </a:prstGeom>
                  </pic:spPr>
                </pic:pic>
              </a:graphicData>
            </a:graphic>
          </wp:inline>
        </w:drawing>
      </w:r>
      <w:r w:rsidRPr="00913E39">
        <w:rPr>
          <w:rFonts w:ascii="Garamond" w:eastAsia="Calibri" w:hAnsi="Garamond" w:cs="Garamond"/>
          <w:noProof/>
          <w:sz w:val="24"/>
          <w:szCs w:val="24"/>
        </w:rPr>
        <w:drawing>
          <wp:inline distT="0" distB="0" distL="0" distR="0" wp14:anchorId="4F541D24" wp14:editId="68EEC0F2">
            <wp:extent cx="5919849" cy="1630045"/>
            <wp:effectExtent l="0" t="0" r="508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 4e.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24673" cy="1631373"/>
                    </a:xfrm>
                    <a:prstGeom prst="rect">
                      <a:avLst/>
                    </a:prstGeom>
                  </pic:spPr>
                </pic:pic>
              </a:graphicData>
            </a:graphic>
          </wp:inline>
        </w:drawing>
      </w:r>
    </w:p>
    <w:p w14:paraId="146B7AEF" w14:textId="77777777" w:rsidR="001A5959" w:rsidRPr="00913E39" w:rsidRDefault="001A5959" w:rsidP="0030787B">
      <w:pPr>
        <w:tabs>
          <w:tab w:val="center" w:pos="4320"/>
          <w:tab w:val="right" w:pos="8640"/>
        </w:tabs>
        <w:autoSpaceDE w:val="0"/>
        <w:autoSpaceDN w:val="0"/>
        <w:adjustRightInd w:val="0"/>
        <w:spacing w:after="0" w:line="240" w:lineRule="auto"/>
        <w:ind w:firstLine="284"/>
        <w:jc w:val="both"/>
        <w:rPr>
          <w:rFonts w:ascii="Garamond" w:eastAsia="Calibri" w:hAnsi="Garamond" w:cs="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F2604F" w:rsidRPr="00913E39" w14:paraId="18E46134" w14:textId="77777777" w:rsidTr="001A5959">
        <w:trPr>
          <w:trHeight w:val="20"/>
        </w:trPr>
        <w:tc>
          <w:tcPr>
            <w:tcW w:w="9070" w:type="dxa"/>
            <w:hideMark/>
          </w:tcPr>
          <w:p w14:paraId="7A57E475" w14:textId="77777777"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Të dhëna kryesore</w:t>
            </w:r>
          </w:p>
        </w:tc>
      </w:tr>
      <w:tr w:rsidR="00F2604F" w:rsidRPr="00913E39" w14:paraId="0621A94D" w14:textId="77777777" w:rsidTr="001A5959">
        <w:trPr>
          <w:trHeight w:val="20"/>
        </w:trPr>
        <w:tc>
          <w:tcPr>
            <w:tcW w:w="9070" w:type="dxa"/>
            <w:hideMark/>
          </w:tcPr>
          <w:p w14:paraId="0C71D5BF" w14:textId="77777777" w:rsidR="00F2604F" w:rsidRPr="00913E39" w:rsidRDefault="00F2604F" w:rsidP="00F2604F">
            <w:pPr>
              <w:tabs>
                <w:tab w:val="center" w:pos="4320"/>
                <w:tab w:val="right" w:pos="8640"/>
              </w:tabs>
              <w:autoSpaceDE w:val="0"/>
              <w:autoSpaceDN w:val="0"/>
              <w:adjustRightInd w:val="0"/>
              <w:jc w:val="both"/>
              <w:rPr>
                <w:rFonts w:ascii="Garamond" w:hAnsi="Garamond"/>
                <w:sz w:val="24"/>
                <w:lang w:val="sq-AL"/>
              </w:rPr>
            </w:pPr>
            <w:r w:rsidRPr="00913E39">
              <w:rPr>
                <w:rFonts w:ascii="Garamond" w:hAnsi="Garamond"/>
                <w:sz w:val="24"/>
                <w:lang w:val="sq-AL"/>
              </w:rPr>
              <w:t>Për çdo kontratë lokale kërkohet informacioni:</w:t>
            </w:r>
          </w:p>
        </w:tc>
      </w:tr>
      <w:tr w:rsidR="00F2604F" w:rsidRPr="00913E39" w14:paraId="4E2F9BCF" w14:textId="77777777" w:rsidTr="001A5959">
        <w:trPr>
          <w:trHeight w:val="20"/>
        </w:trPr>
        <w:tc>
          <w:tcPr>
            <w:tcW w:w="9070" w:type="dxa"/>
            <w:hideMark/>
          </w:tcPr>
          <w:p w14:paraId="5468A931" w14:textId="77777777" w:rsidR="00F2604F" w:rsidRPr="00913E39" w:rsidRDefault="00F2604F" w:rsidP="00F2604F">
            <w:pPr>
              <w:tabs>
                <w:tab w:val="center" w:pos="4320"/>
                <w:tab w:val="right" w:pos="8640"/>
              </w:tabs>
              <w:autoSpaceDE w:val="0"/>
              <w:autoSpaceDN w:val="0"/>
              <w:adjustRightInd w:val="0"/>
              <w:jc w:val="both"/>
              <w:rPr>
                <w:rFonts w:ascii="Garamond" w:hAnsi="Garamond"/>
                <w:sz w:val="24"/>
                <w:lang w:val="sq-AL"/>
              </w:rPr>
            </w:pPr>
          </w:p>
        </w:tc>
      </w:tr>
      <w:tr w:rsidR="00F2604F" w:rsidRPr="00913E39" w14:paraId="2CBF7219" w14:textId="77777777" w:rsidTr="001A5959">
        <w:trPr>
          <w:trHeight w:val="20"/>
        </w:trPr>
        <w:tc>
          <w:tcPr>
            <w:tcW w:w="9070" w:type="dxa"/>
            <w:hideMark/>
          </w:tcPr>
          <w:p w14:paraId="13793A54" w14:textId="77777777"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1. Vendim i BE-së</w:t>
            </w:r>
          </w:p>
        </w:tc>
      </w:tr>
      <w:tr w:rsidR="00F2604F" w:rsidRPr="00913E39" w14:paraId="6AA4530C" w14:textId="77777777" w:rsidTr="001A5959">
        <w:trPr>
          <w:trHeight w:val="20"/>
        </w:trPr>
        <w:tc>
          <w:tcPr>
            <w:tcW w:w="9070" w:type="dxa"/>
            <w:hideMark/>
          </w:tcPr>
          <w:p w14:paraId="4788EACB" w14:textId="734C7B56"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Referenca e Programit, p</w:t>
            </w:r>
            <w:r w:rsidR="00801431" w:rsidRPr="00913E39">
              <w:rPr>
                <w:rFonts w:ascii="Garamond" w:hAnsi="Garamond"/>
                <w:i/>
                <w:sz w:val="24"/>
                <w:lang w:val="sq-AL"/>
              </w:rPr>
              <w:t>.</w:t>
            </w:r>
            <w:r w:rsidRPr="00913E39">
              <w:rPr>
                <w:rFonts w:ascii="Garamond" w:hAnsi="Garamond"/>
                <w:i/>
                <w:sz w:val="24"/>
                <w:lang w:val="sq-AL"/>
              </w:rPr>
              <w:t>sh</w:t>
            </w:r>
            <w:r w:rsidR="00801431" w:rsidRPr="00913E39">
              <w:rPr>
                <w:rFonts w:ascii="Garamond" w:hAnsi="Garamond"/>
                <w:i/>
                <w:sz w:val="24"/>
                <w:lang w:val="sq-AL"/>
              </w:rPr>
              <w:t>.</w:t>
            </w:r>
            <w:r w:rsidR="00095C9D" w:rsidRPr="00913E39">
              <w:rPr>
                <w:rFonts w:ascii="Garamond" w:hAnsi="Garamond"/>
                <w:i/>
                <w:sz w:val="24"/>
                <w:lang w:val="sq-AL"/>
              </w:rPr>
              <w:t>,</w:t>
            </w:r>
            <w:r w:rsidRPr="00913E39">
              <w:rPr>
                <w:rFonts w:ascii="Garamond" w:hAnsi="Garamond"/>
                <w:i/>
                <w:sz w:val="24"/>
                <w:lang w:val="sq-AL"/>
              </w:rPr>
              <w:t xml:space="preserve"> Program Veprimi Vjetor 2022</w:t>
            </w:r>
          </w:p>
        </w:tc>
      </w:tr>
      <w:tr w:rsidR="00F2604F" w:rsidRPr="00913E39" w14:paraId="18A9C8EC" w14:textId="77777777" w:rsidTr="001A5959">
        <w:trPr>
          <w:trHeight w:val="20"/>
        </w:trPr>
        <w:tc>
          <w:tcPr>
            <w:tcW w:w="9070" w:type="dxa"/>
            <w:hideMark/>
          </w:tcPr>
          <w:p w14:paraId="3D12E361"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0D20D19E" w14:textId="77777777" w:rsidTr="001A5959">
        <w:trPr>
          <w:trHeight w:val="20"/>
        </w:trPr>
        <w:tc>
          <w:tcPr>
            <w:tcW w:w="9070" w:type="dxa"/>
            <w:hideMark/>
          </w:tcPr>
          <w:p w14:paraId="448DC08E" w14:textId="77777777"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2. Kontratë BE</w:t>
            </w:r>
          </w:p>
        </w:tc>
      </w:tr>
      <w:tr w:rsidR="00F2604F" w:rsidRPr="00913E39" w14:paraId="585CBD86" w14:textId="77777777" w:rsidTr="001A5959">
        <w:trPr>
          <w:trHeight w:val="20"/>
        </w:trPr>
        <w:tc>
          <w:tcPr>
            <w:tcW w:w="9070" w:type="dxa"/>
            <w:hideMark/>
          </w:tcPr>
          <w:p w14:paraId="3F165F8F" w14:textId="17019F2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 Numër reference OPSYS i Marrëveshjes së Financimit, p</w:t>
            </w:r>
            <w:r w:rsidR="00801431" w:rsidRPr="00913E39">
              <w:rPr>
                <w:rFonts w:ascii="Garamond" w:hAnsi="Garamond"/>
                <w:i/>
                <w:sz w:val="24"/>
                <w:lang w:val="sq-AL"/>
              </w:rPr>
              <w:t>.</w:t>
            </w:r>
            <w:r w:rsidRPr="00913E39">
              <w:rPr>
                <w:rFonts w:ascii="Garamond" w:hAnsi="Garamond"/>
                <w:i/>
                <w:sz w:val="24"/>
                <w:lang w:val="sq-AL"/>
              </w:rPr>
              <w:t>sh</w:t>
            </w:r>
            <w:r w:rsidR="00801431" w:rsidRPr="00913E39">
              <w:rPr>
                <w:rFonts w:ascii="Garamond" w:hAnsi="Garamond"/>
                <w:i/>
                <w:sz w:val="24"/>
                <w:lang w:val="sq-AL"/>
              </w:rPr>
              <w:t>.</w:t>
            </w:r>
            <w:r w:rsidRPr="00913E39">
              <w:rPr>
                <w:rFonts w:ascii="Garamond" w:hAnsi="Garamond"/>
                <w:i/>
                <w:sz w:val="24"/>
                <w:lang w:val="sq-AL"/>
              </w:rPr>
              <w:t xml:space="preserve"> 2014/031-878</w:t>
            </w:r>
          </w:p>
        </w:tc>
      </w:tr>
      <w:tr w:rsidR="00F2604F" w:rsidRPr="00913E39" w14:paraId="386DB0D4" w14:textId="77777777" w:rsidTr="001A5959">
        <w:trPr>
          <w:trHeight w:val="20"/>
        </w:trPr>
        <w:tc>
          <w:tcPr>
            <w:tcW w:w="9070" w:type="dxa"/>
            <w:hideMark/>
          </w:tcPr>
          <w:p w14:paraId="78DFAFF1"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32B83B4D" w14:textId="77777777" w:rsidTr="001A5959">
        <w:trPr>
          <w:trHeight w:val="20"/>
        </w:trPr>
        <w:tc>
          <w:tcPr>
            <w:tcW w:w="9070" w:type="dxa"/>
            <w:hideMark/>
          </w:tcPr>
          <w:p w14:paraId="63258DA7" w14:textId="77777777"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3. Titulli</w:t>
            </w:r>
          </w:p>
        </w:tc>
      </w:tr>
      <w:tr w:rsidR="00F2604F" w:rsidRPr="00913E39" w14:paraId="6B401AA2" w14:textId="77777777" w:rsidTr="001A5959">
        <w:trPr>
          <w:trHeight w:val="20"/>
        </w:trPr>
        <w:tc>
          <w:tcPr>
            <w:tcW w:w="9070" w:type="dxa"/>
            <w:hideMark/>
          </w:tcPr>
          <w:p w14:paraId="60C7C792" w14:textId="0C83EDCB"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 Titulli </w:t>
            </w:r>
            <w:r w:rsidR="00801431" w:rsidRPr="00913E39">
              <w:rPr>
                <w:rFonts w:ascii="Garamond" w:hAnsi="Garamond"/>
                <w:i/>
                <w:sz w:val="24"/>
                <w:lang w:val="sq-AL"/>
              </w:rPr>
              <w:t>i</w:t>
            </w:r>
            <w:r w:rsidRPr="00913E39">
              <w:rPr>
                <w:rFonts w:ascii="Garamond" w:hAnsi="Garamond"/>
                <w:i/>
                <w:sz w:val="24"/>
                <w:lang w:val="sq-AL"/>
              </w:rPr>
              <w:t xml:space="preserve"> </w:t>
            </w:r>
            <w:r w:rsidR="00801431" w:rsidRPr="00913E39">
              <w:rPr>
                <w:rFonts w:ascii="Garamond" w:hAnsi="Garamond"/>
                <w:i/>
                <w:sz w:val="24"/>
                <w:lang w:val="sq-AL"/>
              </w:rPr>
              <w:t>kontratës lokale</w:t>
            </w:r>
          </w:p>
        </w:tc>
      </w:tr>
      <w:tr w:rsidR="00F2604F" w:rsidRPr="00913E39" w14:paraId="697FDB52" w14:textId="77777777" w:rsidTr="001A5959">
        <w:trPr>
          <w:trHeight w:val="20"/>
        </w:trPr>
        <w:tc>
          <w:tcPr>
            <w:tcW w:w="9070" w:type="dxa"/>
            <w:hideMark/>
          </w:tcPr>
          <w:p w14:paraId="154A9697"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50E6157E" w14:textId="77777777" w:rsidTr="001A5959">
        <w:trPr>
          <w:trHeight w:val="20"/>
        </w:trPr>
        <w:tc>
          <w:tcPr>
            <w:tcW w:w="9070" w:type="dxa"/>
            <w:hideMark/>
          </w:tcPr>
          <w:p w14:paraId="690DC908" w14:textId="2168569D"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4. Referenca e </w:t>
            </w:r>
            <w:r w:rsidR="00801431" w:rsidRPr="00913E39">
              <w:rPr>
                <w:rFonts w:ascii="Garamond" w:hAnsi="Garamond"/>
                <w:b/>
                <w:sz w:val="24"/>
                <w:lang w:val="sq-AL"/>
              </w:rPr>
              <w:t>kontratës lokale</w:t>
            </w:r>
          </w:p>
        </w:tc>
      </w:tr>
      <w:tr w:rsidR="00F2604F" w:rsidRPr="00913E39" w14:paraId="37D42D5F" w14:textId="77777777" w:rsidTr="001A5959">
        <w:trPr>
          <w:trHeight w:val="20"/>
        </w:trPr>
        <w:tc>
          <w:tcPr>
            <w:tcW w:w="9070" w:type="dxa"/>
            <w:hideMark/>
          </w:tcPr>
          <w:p w14:paraId="25D35798" w14:textId="77777777"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p>
        </w:tc>
      </w:tr>
      <w:tr w:rsidR="00F2604F" w:rsidRPr="00913E39" w14:paraId="0816B516" w14:textId="77777777" w:rsidTr="001A5959">
        <w:trPr>
          <w:trHeight w:val="20"/>
        </w:trPr>
        <w:tc>
          <w:tcPr>
            <w:tcW w:w="9070" w:type="dxa"/>
            <w:hideMark/>
          </w:tcPr>
          <w:p w14:paraId="61DD7678" w14:textId="58F859A4"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5. Formulari i </w:t>
            </w:r>
            <w:r w:rsidR="00801431" w:rsidRPr="00913E39">
              <w:rPr>
                <w:rFonts w:ascii="Garamond" w:hAnsi="Garamond"/>
                <w:b/>
                <w:sz w:val="24"/>
                <w:lang w:val="sq-AL"/>
              </w:rPr>
              <w:t xml:space="preserve">kontraktorit/subjektit juridik </w:t>
            </w:r>
            <w:r w:rsidRPr="00913E39">
              <w:rPr>
                <w:rFonts w:ascii="Garamond" w:hAnsi="Garamond"/>
                <w:b/>
                <w:sz w:val="24"/>
                <w:lang w:val="sq-AL"/>
              </w:rPr>
              <w:t>(LEF)</w:t>
            </w:r>
          </w:p>
        </w:tc>
      </w:tr>
      <w:tr w:rsidR="00F2604F" w:rsidRPr="00913E39" w14:paraId="76FE7B9E" w14:textId="77777777" w:rsidTr="001A5959">
        <w:trPr>
          <w:trHeight w:val="20"/>
        </w:trPr>
        <w:tc>
          <w:tcPr>
            <w:tcW w:w="9070" w:type="dxa"/>
            <w:hideMark/>
          </w:tcPr>
          <w:p w14:paraId="6A2DB826" w14:textId="77777777"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p>
        </w:tc>
      </w:tr>
      <w:tr w:rsidR="00F2604F" w:rsidRPr="00913E39" w14:paraId="7C40F795" w14:textId="77777777" w:rsidTr="001A5959">
        <w:trPr>
          <w:trHeight w:val="20"/>
        </w:trPr>
        <w:tc>
          <w:tcPr>
            <w:tcW w:w="9070" w:type="dxa"/>
            <w:hideMark/>
          </w:tcPr>
          <w:p w14:paraId="1BD9593B" w14:textId="77777777"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6. Lloji i kontratës</w:t>
            </w:r>
          </w:p>
        </w:tc>
      </w:tr>
      <w:tr w:rsidR="00F2604F" w:rsidRPr="00913E39" w14:paraId="04D5156B" w14:textId="77777777" w:rsidTr="001A5959">
        <w:trPr>
          <w:trHeight w:val="20"/>
        </w:trPr>
        <w:tc>
          <w:tcPr>
            <w:tcW w:w="9070" w:type="dxa"/>
            <w:hideMark/>
          </w:tcPr>
          <w:p w14:paraId="63671673" w14:textId="3ACF93A3"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 p.sh</w:t>
            </w:r>
            <w:r w:rsidR="00801431" w:rsidRPr="00913E39">
              <w:rPr>
                <w:rFonts w:ascii="Garamond" w:hAnsi="Garamond"/>
                <w:i/>
                <w:sz w:val="24"/>
                <w:lang w:val="sq-AL"/>
              </w:rPr>
              <w:t>.</w:t>
            </w:r>
            <w:r w:rsidRPr="00913E39">
              <w:rPr>
                <w:rFonts w:ascii="Garamond" w:hAnsi="Garamond"/>
                <w:i/>
                <w:sz w:val="24"/>
                <w:lang w:val="sq-AL"/>
              </w:rPr>
              <w:t xml:space="preserve"> grant, shërbim, furnizim, punime, binjakëzim...</w:t>
            </w:r>
          </w:p>
        </w:tc>
      </w:tr>
      <w:tr w:rsidR="00F2604F" w:rsidRPr="00913E39" w14:paraId="0018874F" w14:textId="77777777" w:rsidTr="001A5959">
        <w:trPr>
          <w:trHeight w:val="20"/>
        </w:trPr>
        <w:tc>
          <w:tcPr>
            <w:tcW w:w="9070" w:type="dxa"/>
            <w:hideMark/>
          </w:tcPr>
          <w:p w14:paraId="7DA362F7"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7F04F56A" w14:textId="77777777" w:rsidTr="001A5959">
        <w:trPr>
          <w:trHeight w:val="20"/>
        </w:trPr>
        <w:tc>
          <w:tcPr>
            <w:tcW w:w="9070" w:type="dxa"/>
            <w:hideMark/>
          </w:tcPr>
          <w:p w14:paraId="480B92A1" w14:textId="77777777"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7. Data e nënshkrimit të kontratës</w:t>
            </w:r>
          </w:p>
        </w:tc>
      </w:tr>
      <w:tr w:rsidR="00F2604F" w:rsidRPr="00913E39" w14:paraId="6CF1CF1F" w14:textId="77777777" w:rsidTr="001A5959">
        <w:trPr>
          <w:trHeight w:val="20"/>
        </w:trPr>
        <w:tc>
          <w:tcPr>
            <w:tcW w:w="9070" w:type="dxa"/>
            <w:hideMark/>
          </w:tcPr>
          <w:p w14:paraId="7C47E38F"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Data e nënshkrimit të kontratës nga pala e fundit </w:t>
            </w:r>
          </w:p>
        </w:tc>
      </w:tr>
      <w:tr w:rsidR="00F2604F" w:rsidRPr="00913E39" w14:paraId="0C2D8797" w14:textId="77777777" w:rsidTr="001A5959">
        <w:trPr>
          <w:trHeight w:val="20"/>
        </w:trPr>
        <w:tc>
          <w:tcPr>
            <w:tcW w:w="9070" w:type="dxa"/>
            <w:hideMark/>
          </w:tcPr>
          <w:p w14:paraId="13A3C0F1"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1A3E7826" w14:textId="77777777" w:rsidTr="001A5959">
        <w:trPr>
          <w:trHeight w:val="20"/>
        </w:trPr>
        <w:tc>
          <w:tcPr>
            <w:tcW w:w="9070" w:type="dxa"/>
            <w:hideMark/>
          </w:tcPr>
          <w:p w14:paraId="49B75B82" w14:textId="77777777"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8. Data e fillimit të zbatimit të kontratës</w:t>
            </w:r>
          </w:p>
        </w:tc>
      </w:tr>
      <w:tr w:rsidR="00F2604F" w:rsidRPr="00913E39" w14:paraId="701785EB" w14:textId="77777777" w:rsidTr="001A5959">
        <w:trPr>
          <w:trHeight w:val="20"/>
        </w:trPr>
        <w:tc>
          <w:tcPr>
            <w:tcW w:w="9070" w:type="dxa"/>
            <w:hideMark/>
          </w:tcPr>
          <w:p w14:paraId="69940F30"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Data e nënshkrimit për kontraktorin, data e nënshkrimit për autoritetin kontraktues, data në të cilën kontrata hyn në fuqi dhe data në të cilën fillon zbatimi i kontratës janë koncepte të ndryshme, të cilat mund të jenë të gjitha në të njëjtën ditë ose mund të jenë ditë të ndryshme. </w:t>
            </w:r>
          </w:p>
        </w:tc>
      </w:tr>
      <w:tr w:rsidR="00F2604F" w:rsidRPr="00913E39" w14:paraId="3A884E78" w14:textId="77777777" w:rsidTr="001A5959">
        <w:trPr>
          <w:trHeight w:val="20"/>
        </w:trPr>
        <w:tc>
          <w:tcPr>
            <w:tcW w:w="9070" w:type="dxa"/>
            <w:hideMark/>
          </w:tcPr>
          <w:p w14:paraId="51796E46" w14:textId="3C8262A2"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Në veçanti, data e fillimit të zbatimit të kontratës (= dita e parë në të cilën mund të krijohen kostot e pranueshme sipas kontratës) mund të përcaktohet pasi kontrata të jetë nënshkruar përmes një klauzole përkatëse në kontratë, </w:t>
            </w:r>
            <w:r w:rsidRPr="00913E39">
              <w:rPr>
                <w:rFonts w:ascii="Garamond" w:hAnsi="Garamond"/>
                <w:i/>
                <w:sz w:val="24"/>
                <w:lang w:val="sq-AL"/>
              </w:rPr>
              <w:lastRenderedPageBreak/>
              <w:t xml:space="preserve">një urdhri administrativ etj. Sistemi juaj mund të mbajë të gjitha këto data; por për qëllimet e raportit përfundimtar të fundvitit data kritike është data e fillimit të zbatimit. </w:t>
            </w:r>
          </w:p>
        </w:tc>
      </w:tr>
      <w:tr w:rsidR="00F2604F" w:rsidRPr="00913E39" w14:paraId="4FC6C74D" w14:textId="77777777" w:rsidTr="001A5959">
        <w:trPr>
          <w:trHeight w:val="20"/>
        </w:trPr>
        <w:tc>
          <w:tcPr>
            <w:tcW w:w="9070" w:type="dxa"/>
            <w:hideMark/>
          </w:tcPr>
          <w:p w14:paraId="1A371FAC"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6DDF9CEE" w14:textId="77777777" w:rsidTr="001A5959">
        <w:trPr>
          <w:trHeight w:val="20"/>
        </w:trPr>
        <w:tc>
          <w:tcPr>
            <w:tcW w:w="9070" w:type="dxa"/>
            <w:hideMark/>
          </w:tcPr>
          <w:p w14:paraId="17D8A932" w14:textId="5E954903"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9</w:t>
            </w:r>
            <w:r w:rsidR="00801431" w:rsidRPr="00913E39">
              <w:rPr>
                <w:rFonts w:ascii="Garamond" w:hAnsi="Garamond"/>
                <w:b/>
                <w:sz w:val="24"/>
                <w:lang w:val="sq-AL"/>
              </w:rPr>
              <w:t>.</w:t>
            </w:r>
            <w:r w:rsidRPr="00913E39">
              <w:rPr>
                <w:rFonts w:ascii="Garamond" w:hAnsi="Garamond"/>
                <w:b/>
                <w:sz w:val="24"/>
                <w:lang w:val="sq-AL"/>
              </w:rPr>
              <w:t xml:space="preserve"> Data e mbarimit të zbatimit të kontratës</w:t>
            </w:r>
          </w:p>
        </w:tc>
      </w:tr>
      <w:tr w:rsidR="00F2604F" w:rsidRPr="00913E39" w14:paraId="740FA69A" w14:textId="77777777" w:rsidTr="001A5959">
        <w:trPr>
          <w:trHeight w:val="20"/>
        </w:trPr>
        <w:tc>
          <w:tcPr>
            <w:tcW w:w="9070" w:type="dxa"/>
            <w:hideMark/>
          </w:tcPr>
          <w:p w14:paraId="36945863" w14:textId="710EBAC3"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Rregulluar për ndryshime aty ku është e nevojshme. Kjo zakonisht nuk është e njëjtë me datën e fundit të përfundimit, ku kjo përfshin kohën për faturimin, periudhat e garancisë etj. </w:t>
            </w:r>
          </w:p>
        </w:tc>
      </w:tr>
      <w:tr w:rsidR="00F2604F" w:rsidRPr="00913E39" w14:paraId="594DC584" w14:textId="77777777" w:rsidTr="001A5959">
        <w:trPr>
          <w:trHeight w:val="20"/>
        </w:trPr>
        <w:tc>
          <w:tcPr>
            <w:tcW w:w="9070" w:type="dxa"/>
            <w:hideMark/>
          </w:tcPr>
          <w:p w14:paraId="17775D94"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Data e përfundimit të zbatimit të kontratës është dita e fundit në të cilën mund të kryhen kostot e pranueshme sipas kontratës. Kontrata mund të lejojë kohë shtesë për finalizimin e administrimit të kontratës ose një periudhë ndërmjet pranimit të përkohshëm dhe përfundimtar të punës së kryer; por kjo kohë shtesë nuk është e rëndësishme për raportin përfundimtar të fundvitit. </w:t>
            </w:r>
          </w:p>
        </w:tc>
      </w:tr>
      <w:tr w:rsidR="00F2604F" w:rsidRPr="00913E39" w14:paraId="50DF8DC1" w14:textId="77777777" w:rsidTr="001A5959">
        <w:trPr>
          <w:trHeight w:val="20"/>
        </w:trPr>
        <w:tc>
          <w:tcPr>
            <w:tcW w:w="9070" w:type="dxa"/>
            <w:hideMark/>
          </w:tcPr>
          <w:p w14:paraId="179F2F20"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6BAD77A1" w14:textId="77777777" w:rsidTr="001A5959">
        <w:trPr>
          <w:trHeight w:val="20"/>
        </w:trPr>
        <w:tc>
          <w:tcPr>
            <w:tcW w:w="9070" w:type="dxa"/>
            <w:hideMark/>
          </w:tcPr>
          <w:p w14:paraId="2B4E089F" w14:textId="77777777"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10. Statusi i kontratës</w:t>
            </w:r>
          </w:p>
        </w:tc>
      </w:tr>
      <w:tr w:rsidR="00F2604F" w:rsidRPr="00913E39" w14:paraId="5A7240AC" w14:textId="77777777" w:rsidTr="001A5959">
        <w:trPr>
          <w:trHeight w:val="20"/>
        </w:trPr>
        <w:tc>
          <w:tcPr>
            <w:tcW w:w="9070" w:type="dxa"/>
            <w:hideMark/>
          </w:tcPr>
          <w:p w14:paraId="78D33A58"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HAPUR, MBYLLUR, NDËRPRERË, PA FILLUAR (nëse data e fillimit të aktiviteteve është pas datës së përfundimit)</w:t>
            </w:r>
          </w:p>
        </w:tc>
      </w:tr>
      <w:tr w:rsidR="00F2604F" w:rsidRPr="00913E39" w14:paraId="51BB977A" w14:textId="77777777" w:rsidTr="001A5959">
        <w:trPr>
          <w:trHeight w:val="20"/>
        </w:trPr>
        <w:tc>
          <w:tcPr>
            <w:tcW w:w="9070" w:type="dxa"/>
            <w:hideMark/>
          </w:tcPr>
          <w:p w14:paraId="6C27E651"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6A7D452E" w14:textId="77777777" w:rsidTr="001A5959">
        <w:trPr>
          <w:trHeight w:val="20"/>
        </w:trPr>
        <w:tc>
          <w:tcPr>
            <w:tcW w:w="9070" w:type="dxa"/>
            <w:hideMark/>
          </w:tcPr>
          <w:p w14:paraId="24AF0C72" w14:textId="496CF053"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11. IPA BE </w:t>
            </w:r>
            <w:r w:rsidR="00095C9D" w:rsidRPr="00913E39">
              <w:rPr>
                <w:rFonts w:ascii="Garamond" w:hAnsi="Garamond"/>
                <w:b/>
                <w:sz w:val="24"/>
                <w:lang w:val="sq-AL"/>
              </w:rPr>
              <w:t>–</w:t>
            </w:r>
            <w:r w:rsidRPr="00913E39">
              <w:rPr>
                <w:rFonts w:ascii="Garamond" w:hAnsi="Garamond"/>
                <w:b/>
                <w:sz w:val="24"/>
                <w:lang w:val="sq-AL"/>
              </w:rPr>
              <w:t xml:space="preserve"> vlera</w:t>
            </w:r>
            <w:r w:rsidR="00095C9D" w:rsidRPr="00913E39">
              <w:rPr>
                <w:rFonts w:ascii="Garamond" w:hAnsi="Garamond"/>
                <w:b/>
                <w:sz w:val="24"/>
                <w:lang w:val="sq-AL"/>
              </w:rPr>
              <w:t xml:space="preserve"> </w:t>
            </w:r>
            <w:r w:rsidRPr="00913E39">
              <w:rPr>
                <w:rFonts w:ascii="Garamond" w:hAnsi="Garamond"/>
                <w:b/>
                <w:sz w:val="24"/>
                <w:lang w:val="sq-AL"/>
              </w:rPr>
              <w:t>fillestare e kontratës</w:t>
            </w:r>
          </w:p>
        </w:tc>
      </w:tr>
      <w:tr w:rsidR="00F2604F" w:rsidRPr="00913E39" w14:paraId="78FB1EC3" w14:textId="77777777" w:rsidTr="001A5959">
        <w:trPr>
          <w:trHeight w:val="20"/>
        </w:trPr>
        <w:tc>
          <w:tcPr>
            <w:tcW w:w="9070" w:type="dxa"/>
            <w:hideMark/>
          </w:tcPr>
          <w:p w14:paraId="62D3F8C2"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 Shuma fillestare ligjore e angazhimit të pjesës IPA (financimi i BE-së)</w:t>
            </w:r>
          </w:p>
        </w:tc>
      </w:tr>
      <w:tr w:rsidR="00F2604F" w:rsidRPr="00913E39" w14:paraId="01A1C0F4" w14:textId="77777777" w:rsidTr="001A5959">
        <w:trPr>
          <w:trHeight w:val="20"/>
        </w:trPr>
        <w:tc>
          <w:tcPr>
            <w:tcW w:w="9070" w:type="dxa"/>
            <w:hideMark/>
          </w:tcPr>
          <w:p w14:paraId="54D81B72"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40AECEF9" w14:textId="77777777" w:rsidTr="001A5959">
        <w:trPr>
          <w:trHeight w:val="20"/>
        </w:trPr>
        <w:tc>
          <w:tcPr>
            <w:tcW w:w="9070" w:type="dxa"/>
            <w:hideMark/>
          </w:tcPr>
          <w:p w14:paraId="357410A1" w14:textId="06DA4565"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12. IPA BE </w:t>
            </w:r>
            <w:r w:rsidR="00095C9D" w:rsidRPr="00913E39">
              <w:rPr>
                <w:rFonts w:ascii="Garamond" w:hAnsi="Garamond"/>
                <w:b/>
                <w:sz w:val="24"/>
                <w:lang w:val="sq-AL"/>
              </w:rPr>
              <w:t>–</w:t>
            </w:r>
            <w:r w:rsidRPr="00913E39">
              <w:rPr>
                <w:rFonts w:ascii="Garamond" w:hAnsi="Garamond"/>
                <w:b/>
                <w:sz w:val="24"/>
                <w:lang w:val="sq-AL"/>
              </w:rPr>
              <w:t xml:space="preserve"> vlera</w:t>
            </w:r>
            <w:r w:rsidR="00095C9D" w:rsidRPr="00913E39">
              <w:rPr>
                <w:rFonts w:ascii="Garamond" w:hAnsi="Garamond"/>
                <w:b/>
                <w:sz w:val="24"/>
                <w:lang w:val="sq-AL"/>
              </w:rPr>
              <w:t xml:space="preserve"> </w:t>
            </w:r>
            <w:r w:rsidRPr="00913E39">
              <w:rPr>
                <w:rFonts w:ascii="Garamond" w:hAnsi="Garamond"/>
                <w:b/>
                <w:sz w:val="24"/>
                <w:lang w:val="sq-AL"/>
              </w:rPr>
              <w:t>aktuale e kontratës</w:t>
            </w:r>
          </w:p>
        </w:tc>
      </w:tr>
      <w:tr w:rsidR="00F2604F" w:rsidRPr="00913E39" w14:paraId="79E2DE42" w14:textId="77777777" w:rsidTr="001A5959">
        <w:trPr>
          <w:trHeight w:val="20"/>
        </w:trPr>
        <w:tc>
          <w:tcPr>
            <w:tcW w:w="9070" w:type="dxa"/>
            <w:hideMark/>
          </w:tcPr>
          <w:p w14:paraId="0D470DA3"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Shumat pas ndryshimeve (sipas rastit) </w:t>
            </w:r>
          </w:p>
        </w:tc>
      </w:tr>
      <w:tr w:rsidR="00F2604F" w:rsidRPr="00913E39" w14:paraId="2A7F6141" w14:textId="77777777" w:rsidTr="001A5959">
        <w:trPr>
          <w:trHeight w:val="20"/>
        </w:trPr>
        <w:tc>
          <w:tcPr>
            <w:tcW w:w="9070" w:type="dxa"/>
            <w:hideMark/>
          </w:tcPr>
          <w:p w14:paraId="0F758516"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Vlera aktuale e kontratës do të përfshijë çdo ndryshim të shumave të kontraktuara përmes një shtese që ndryshon kontratën. </w:t>
            </w:r>
          </w:p>
        </w:tc>
      </w:tr>
      <w:tr w:rsidR="00F2604F" w:rsidRPr="00913E39" w14:paraId="1157FA9B" w14:textId="77777777" w:rsidTr="001A5959">
        <w:trPr>
          <w:trHeight w:val="20"/>
        </w:trPr>
        <w:tc>
          <w:tcPr>
            <w:tcW w:w="9070" w:type="dxa"/>
            <w:hideMark/>
          </w:tcPr>
          <w:p w14:paraId="73C2C04B"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63649B31" w14:textId="77777777" w:rsidTr="001A5959">
        <w:trPr>
          <w:trHeight w:val="20"/>
        </w:trPr>
        <w:tc>
          <w:tcPr>
            <w:tcW w:w="9070" w:type="dxa"/>
            <w:hideMark/>
          </w:tcPr>
          <w:p w14:paraId="7735BB6F" w14:textId="0EE1B962"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13. IPA BE </w:t>
            </w:r>
            <w:r w:rsidR="00095C9D" w:rsidRPr="00913E39">
              <w:rPr>
                <w:rFonts w:ascii="Garamond" w:hAnsi="Garamond"/>
                <w:b/>
                <w:sz w:val="24"/>
                <w:lang w:val="sq-AL"/>
              </w:rPr>
              <w:t>–</w:t>
            </w:r>
            <w:r w:rsidRPr="00913E39">
              <w:rPr>
                <w:rFonts w:ascii="Garamond" w:hAnsi="Garamond"/>
                <w:b/>
                <w:sz w:val="24"/>
                <w:lang w:val="sq-AL"/>
              </w:rPr>
              <w:t xml:space="preserve"> </w:t>
            </w:r>
            <w:r w:rsidR="00095C9D" w:rsidRPr="00913E39">
              <w:rPr>
                <w:rFonts w:ascii="Garamond" w:hAnsi="Garamond"/>
                <w:b/>
                <w:sz w:val="24"/>
                <w:lang w:val="sq-AL"/>
              </w:rPr>
              <w:t>s</w:t>
            </w:r>
            <w:r w:rsidRPr="00913E39">
              <w:rPr>
                <w:rFonts w:ascii="Garamond" w:hAnsi="Garamond"/>
                <w:b/>
                <w:sz w:val="24"/>
                <w:lang w:val="sq-AL"/>
              </w:rPr>
              <w:t>huma</w:t>
            </w:r>
            <w:r w:rsidR="00095C9D" w:rsidRPr="00913E39">
              <w:rPr>
                <w:rFonts w:ascii="Garamond" w:hAnsi="Garamond"/>
                <w:b/>
                <w:sz w:val="24"/>
                <w:lang w:val="sq-AL"/>
              </w:rPr>
              <w:t xml:space="preserve"> </w:t>
            </w:r>
            <w:r w:rsidRPr="00913E39">
              <w:rPr>
                <w:rFonts w:ascii="Garamond" w:hAnsi="Garamond"/>
                <w:b/>
                <w:sz w:val="24"/>
                <w:lang w:val="sq-AL"/>
              </w:rPr>
              <w:t>e paguar</w:t>
            </w:r>
          </w:p>
        </w:tc>
      </w:tr>
      <w:tr w:rsidR="00F2604F" w:rsidRPr="00913E39" w14:paraId="676FD6C3" w14:textId="77777777" w:rsidTr="001A5959">
        <w:trPr>
          <w:trHeight w:val="20"/>
        </w:trPr>
        <w:tc>
          <w:tcPr>
            <w:tcW w:w="9070" w:type="dxa"/>
            <w:hideMark/>
          </w:tcPr>
          <w:p w14:paraId="25A28909" w14:textId="00AF4276"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Shuma totale e paguar sipas kontratës; d.m.th</w:t>
            </w:r>
            <w:r w:rsidR="00801431" w:rsidRPr="00913E39">
              <w:rPr>
                <w:rFonts w:ascii="Garamond" w:hAnsi="Garamond"/>
                <w:i/>
                <w:sz w:val="24"/>
                <w:lang w:val="sq-AL"/>
              </w:rPr>
              <w:t>.</w:t>
            </w:r>
            <w:r w:rsidRPr="00913E39">
              <w:rPr>
                <w:rFonts w:ascii="Garamond" w:hAnsi="Garamond"/>
                <w:i/>
                <w:sz w:val="24"/>
                <w:lang w:val="sq-AL"/>
              </w:rPr>
              <w:t xml:space="preserve"> pagesat e parafinancimit + shuma e faturave të paguara drejtpërdrejt – rikuperimet). </w:t>
            </w:r>
          </w:p>
        </w:tc>
      </w:tr>
      <w:tr w:rsidR="00F2604F" w:rsidRPr="00913E39" w14:paraId="2F68F584" w14:textId="77777777" w:rsidTr="001A5959">
        <w:trPr>
          <w:trHeight w:val="20"/>
        </w:trPr>
        <w:tc>
          <w:tcPr>
            <w:tcW w:w="9070" w:type="dxa"/>
            <w:hideMark/>
          </w:tcPr>
          <w:p w14:paraId="488EF565"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4B7AC25B" w14:textId="77777777" w:rsidTr="001A5959">
        <w:trPr>
          <w:trHeight w:val="20"/>
        </w:trPr>
        <w:tc>
          <w:tcPr>
            <w:tcW w:w="9070" w:type="dxa"/>
            <w:hideMark/>
          </w:tcPr>
          <w:p w14:paraId="689F89EA" w14:textId="77777777"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14. RAL</w:t>
            </w:r>
          </w:p>
        </w:tc>
      </w:tr>
      <w:tr w:rsidR="00F2604F" w:rsidRPr="00913E39" w14:paraId="02D2FE40" w14:textId="77777777" w:rsidTr="001A5959">
        <w:trPr>
          <w:trHeight w:val="20"/>
        </w:trPr>
        <w:tc>
          <w:tcPr>
            <w:tcW w:w="9070" w:type="dxa"/>
            <w:hideMark/>
          </w:tcPr>
          <w:p w14:paraId="3F7EE990" w14:textId="10868176" w:rsidR="00F2604F" w:rsidRPr="00913E39" w:rsidRDefault="00850FC7"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cs="Garamond"/>
                <w:i/>
                <w:iCs/>
                <w:sz w:val="24"/>
                <w:lang w:val="sq-AL"/>
              </w:rPr>
              <w:t>“</w:t>
            </w:r>
            <w:r w:rsidR="00F2604F" w:rsidRPr="00913E39">
              <w:rPr>
                <w:rFonts w:ascii="Garamond" w:hAnsi="Garamond"/>
                <w:i/>
                <w:sz w:val="24"/>
                <w:lang w:val="sq-AL"/>
              </w:rPr>
              <w:t>Reste à likuidues</w:t>
            </w:r>
            <w:r w:rsidRPr="00913E39">
              <w:rPr>
                <w:rFonts w:ascii="Garamond" w:hAnsi="Garamond" w:cs="Garamond"/>
                <w:i/>
                <w:iCs/>
                <w:sz w:val="24"/>
                <w:lang w:val="sq-AL"/>
              </w:rPr>
              <w:t>”</w:t>
            </w:r>
            <w:r w:rsidR="00F2604F" w:rsidRPr="00913E39">
              <w:rPr>
                <w:rFonts w:ascii="Garamond" w:hAnsi="Garamond"/>
                <w:i/>
                <w:sz w:val="24"/>
                <w:lang w:val="sq-AL"/>
              </w:rPr>
              <w:t xml:space="preserve"> është </w:t>
            </w:r>
            <w:r w:rsidRPr="00913E39">
              <w:rPr>
                <w:rFonts w:ascii="Garamond" w:hAnsi="Garamond" w:cs="Garamond"/>
                <w:i/>
                <w:iCs/>
                <w:sz w:val="24"/>
                <w:lang w:val="sq-AL"/>
              </w:rPr>
              <w:t>“</w:t>
            </w:r>
            <w:r w:rsidR="00F2604F" w:rsidRPr="00913E39">
              <w:rPr>
                <w:rFonts w:ascii="Garamond" w:hAnsi="Garamond"/>
                <w:i/>
                <w:sz w:val="24"/>
                <w:lang w:val="sq-AL"/>
              </w:rPr>
              <w:t>angazhimi i mbetur për t</w:t>
            </w:r>
            <w:r w:rsidR="005222A5" w:rsidRPr="00913E39">
              <w:rPr>
                <w:rFonts w:ascii="Garamond" w:hAnsi="Garamond"/>
                <w:i/>
                <w:sz w:val="24"/>
                <w:lang w:val="sq-AL"/>
              </w:rPr>
              <w:t>’</w:t>
            </w:r>
            <w:r w:rsidR="00F2604F" w:rsidRPr="00913E39">
              <w:rPr>
                <w:rFonts w:ascii="Garamond" w:hAnsi="Garamond"/>
                <w:i/>
                <w:sz w:val="24"/>
                <w:lang w:val="sq-AL"/>
              </w:rPr>
              <w:t>u likuiduar</w:t>
            </w:r>
            <w:r w:rsidRPr="00913E39">
              <w:rPr>
                <w:rFonts w:ascii="Garamond" w:hAnsi="Garamond" w:cs="Garamond"/>
                <w:i/>
                <w:iCs/>
                <w:sz w:val="24"/>
                <w:lang w:val="sq-AL"/>
              </w:rPr>
              <w:t>”</w:t>
            </w:r>
            <w:r w:rsidR="00F2604F" w:rsidRPr="00913E39">
              <w:rPr>
                <w:rFonts w:ascii="Garamond" w:hAnsi="Garamond"/>
                <w:i/>
                <w:sz w:val="24"/>
                <w:lang w:val="sq-AL"/>
              </w:rPr>
              <w:t xml:space="preserve"> </w:t>
            </w:r>
          </w:p>
        </w:tc>
      </w:tr>
      <w:tr w:rsidR="00F2604F" w:rsidRPr="00913E39" w14:paraId="410DFA01" w14:textId="77777777" w:rsidTr="001A5959">
        <w:trPr>
          <w:trHeight w:val="20"/>
        </w:trPr>
        <w:tc>
          <w:tcPr>
            <w:tcW w:w="9070" w:type="dxa"/>
            <w:hideMark/>
          </w:tcPr>
          <w:p w14:paraId="737094EB"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Shuma e angazhuar, por e papaguar ende për përfituesit dhe kontraktorët nga shuma e BE-së në IPA. </w:t>
            </w:r>
          </w:p>
        </w:tc>
      </w:tr>
      <w:tr w:rsidR="00F2604F" w:rsidRPr="00913E39" w14:paraId="45E642C1" w14:textId="77777777" w:rsidTr="001A5959">
        <w:trPr>
          <w:trHeight w:val="20"/>
        </w:trPr>
        <w:tc>
          <w:tcPr>
            <w:tcW w:w="9070" w:type="dxa"/>
            <w:hideMark/>
          </w:tcPr>
          <w:p w14:paraId="503CC1DE"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4D75AA6A" w14:textId="77777777" w:rsidTr="001A5959">
        <w:trPr>
          <w:trHeight w:val="20"/>
        </w:trPr>
        <w:tc>
          <w:tcPr>
            <w:tcW w:w="9070" w:type="dxa"/>
            <w:hideMark/>
          </w:tcPr>
          <w:p w14:paraId="2D9BCF8A" w14:textId="3710C283"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15. IPA BE </w:t>
            </w:r>
            <w:r w:rsidR="00095C9D" w:rsidRPr="00913E39">
              <w:rPr>
                <w:rFonts w:ascii="Garamond" w:hAnsi="Garamond"/>
                <w:b/>
                <w:sz w:val="24"/>
                <w:lang w:val="sq-AL"/>
              </w:rPr>
              <w:t>–</w:t>
            </w:r>
            <w:r w:rsidRPr="00913E39">
              <w:rPr>
                <w:rFonts w:ascii="Garamond" w:hAnsi="Garamond"/>
                <w:b/>
                <w:sz w:val="24"/>
                <w:lang w:val="sq-AL"/>
              </w:rPr>
              <w:t xml:space="preserve"> </w:t>
            </w:r>
            <w:r w:rsidR="00095C9D" w:rsidRPr="00913E39">
              <w:rPr>
                <w:rFonts w:ascii="Garamond" w:hAnsi="Garamond"/>
                <w:b/>
                <w:sz w:val="24"/>
                <w:lang w:val="sq-AL"/>
              </w:rPr>
              <w:t>r</w:t>
            </w:r>
            <w:r w:rsidRPr="00913E39">
              <w:rPr>
                <w:rFonts w:ascii="Garamond" w:hAnsi="Garamond"/>
                <w:b/>
                <w:sz w:val="24"/>
                <w:lang w:val="sq-AL"/>
              </w:rPr>
              <w:t>ikuperimet</w:t>
            </w:r>
            <w:r w:rsidR="00095C9D" w:rsidRPr="00913E39">
              <w:rPr>
                <w:rFonts w:ascii="Garamond" w:hAnsi="Garamond"/>
                <w:b/>
                <w:sz w:val="24"/>
                <w:lang w:val="sq-AL"/>
              </w:rPr>
              <w:t xml:space="preserve"> </w:t>
            </w:r>
          </w:p>
        </w:tc>
      </w:tr>
      <w:tr w:rsidR="00F2604F" w:rsidRPr="00913E39" w14:paraId="3C4BC58B" w14:textId="77777777" w:rsidTr="001A5959">
        <w:trPr>
          <w:trHeight w:val="20"/>
        </w:trPr>
        <w:tc>
          <w:tcPr>
            <w:tcW w:w="9070" w:type="dxa"/>
            <w:hideMark/>
          </w:tcPr>
          <w:p w14:paraId="361770B6"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Vlera totale e rikuperimeve (si rikuperimet e parafinancimit dhe rikuperimet e shpenzimeve) të bëra sipas kontratës (aty ku është e nevojshme). </w:t>
            </w:r>
          </w:p>
        </w:tc>
      </w:tr>
      <w:tr w:rsidR="00F2604F" w:rsidRPr="00913E39" w14:paraId="36723670" w14:textId="77777777" w:rsidTr="001A5959">
        <w:trPr>
          <w:trHeight w:val="20"/>
        </w:trPr>
        <w:tc>
          <w:tcPr>
            <w:tcW w:w="9070" w:type="dxa"/>
            <w:hideMark/>
          </w:tcPr>
          <w:p w14:paraId="41E62DA7"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Rikuperimet zakonisht do të jenë të parafinancimit. Rikuperimet e parafinancimit janë thjesht transferta në para, të cilat nuk kanë ndikim në koston totale. Herë pas here, rikuperimet do të jenë kundrejt pagesave për shpenzime, të cilat fillimisht janë pranuar si të pranueshme, por më pas janë refuzuar në bazë të informacionit të ri. Rikuperimet e shpenzimeve do të zvogëlojnë koston totale të raportuar për kontratën (ju lutemi shihni pikën 19.). </w:t>
            </w:r>
          </w:p>
        </w:tc>
      </w:tr>
      <w:tr w:rsidR="00F2604F" w:rsidRPr="00913E39" w14:paraId="32AFB86E" w14:textId="77777777" w:rsidTr="001A5959">
        <w:trPr>
          <w:trHeight w:val="20"/>
        </w:trPr>
        <w:tc>
          <w:tcPr>
            <w:tcW w:w="9070" w:type="dxa"/>
            <w:hideMark/>
          </w:tcPr>
          <w:p w14:paraId="569F2733"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1A3611B4" w14:textId="77777777" w:rsidTr="001A5959">
        <w:trPr>
          <w:trHeight w:val="20"/>
        </w:trPr>
        <w:tc>
          <w:tcPr>
            <w:tcW w:w="9070" w:type="dxa"/>
            <w:hideMark/>
          </w:tcPr>
          <w:p w14:paraId="1A4312D4" w14:textId="662695CC"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16. IPA BE </w:t>
            </w:r>
            <w:r w:rsidR="00095C9D" w:rsidRPr="00913E39">
              <w:rPr>
                <w:rFonts w:ascii="Garamond" w:hAnsi="Garamond"/>
                <w:b/>
                <w:sz w:val="24"/>
                <w:lang w:val="sq-AL"/>
              </w:rPr>
              <w:t>–</w:t>
            </w:r>
            <w:r w:rsidRPr="00913E39">
              <w:rPr>
                <w:rFonts w:ascii="Garamond" w:hAnsi="Garamond"/>
                <w:b/>
                <w:sz w:val="24"/>
                <w:lang w:val="sq-AL"/>
              </w:rPr>
              <w:t xml:space="preserve"> </w:t>
            </w:r>
            <w:r w:rsidR="00095C9D" w:rsidRPr="00913E39">
              <w:rPr>
                <w:rFonts w:ascii="Garamond" w:hAnsi="Garamond"/>
                <w:b/>
                <w:sz w:val="24"/>
                <w:lang w:val="sq-AL"/>
              </w:rPr>
              <w:t>p</w:t>
            </w:r>
            <w:r w:rsidRPr="00913E39">
              <w:rPr>
                <w:rFonts w:ascii="Garamond" w:hAnsi="Garamond"/>
                <w:b/>
                <w:sz w:val="24"/>
                <w:lang w:val="sq-AL"/>
              </w:rPr>
              <w:t>arafinancimi</w:t>
            </w:r>
            <w:r w:rsidR="00095C9D" w:rsidRPr="00913E39">
              <w:rPr>
                <w:rFonts w:ascii="Garamond" w:hAnsi="Garamond"/>
                <w:b/>
                <w:sz w:val="24"/>
                <w:lang w:val="sq-AL"/>
              </w:rPr>
              <w:t xml:space="preserve"> </w:t>
            </w:r>
            <w:r w:rsidRPr="00913E39">
              <w:rPr>
                <w:rFonts w:ascii="Garamond" w:hAnsi="Garamond"/>
                <w:b/>
                <w:sz w:val="24"/>
                <w:lang w:val="sq-AL"/>
              </w:rPr>
              <w:t>i paguar</w:t>
            </w:r>
          </w:p>
        </w:tc>
      </w:tr>
      <w:tr w:rsidR="00F2604F" w:rsidRPr="00913E39" w14:paraId="0DEB7F9D" w14:textId="77777777" w:rsidTr="001A5959">
        <w:trPr>
          <w:trHeight w:val="20"/>
        </w:trPr>
        <w:tc>
          <w:tcPr>
            <w:tcW w:w="9070" w:type="dxa"/>
            <w:hideMark/>
          </w:tcPr>
          <w:p w14:paraId="2751F332"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Vlera totale e parafinancimit të paguar sipas kontratës (aty ku është e nevojshme). </w:t>
            </w:r>
          </w:p>
        </w:tc>
      </w:tr>
      <w:tr w:rsidR="00F2604F" w:rsidRPr="00913E39" w14:paraId="61B7D178" w14:textId="77777777" w:rsidTr="001A5959">
        <w:trPr>
          <w:trHeight w:val="20"/>
        </w:trPr>
        <w:tc>
          <w:tcPr>
            <w:tcW w:w="9070" w:type="dxa"/>
            <w:hideMark/>
          </w:tcPr>
          <w:p w14:paraId="1E8B513A" w14:textId="071FED38"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Parafinancimi është një pagesë që synon t</w:t>
            </w:r>
            <w:r w:rsidR="005222A5" w:rsidRPr="00913E39">
              <w:rPr>
                <w:rFonts w:ascii="Garamond" w:hAnsi="Garamond"/>
                <w:i/>
                <w:sz w:val="24"/>
                <w:lang w:val="sq-AL"/>
              </w:rPr>
              <w:t>’</w:t>
            </w:r>
            <w:r w:rsidRPr="00913E39">
              <w:rPr>
                <w:rFonts w:ascii="Garamond" w:hAnsi="Garamond"/>
                <w:i/>
                <w:sz w:val="24"/>
                <w:lang w:val="sq-AL"/>
              </w:rPr>
              <w:t xml:space="preserve">i sigurojë përfituesit një parapagim, d.m.th. një paradhënie në para. Si i tillë, ai paguhet përpara dorëzimit të mallrave dhe shërbimeve (në rastin e kontratave të prokurimit) dhe përpara krijimit të kostove të pranueshme nga përfituesit (në rastin e kontratave të grantit). Parafinancimi njihet në bilanc kur paratë i transferohen marrësit. </w:t>
            </w:r>
          </w:p>
        </w:tc>
      </w:tr>
      <w:tr w:rsidR="00F2604F" w:rsidRPr="00913E39" w14:paraId="6A0A05E7" w14:textId="77777777" w:rsidTr="001A5959">
        <w:trPr>
          <w:trHeight w:val="20"/>
        </w:trPr>
        <w:tc>
          <w:tcPr>
            <w:tcW w:w="9070" w:type="dxa"/>
            <w:hideMark/>
          </w:tcPr>
          <w:p w14:paraId="63EBD9A9"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6D94DEA0" w14:textId="77777777" w:rsidTr="001A5959">
        <w:trPr>
          <w:trHeight w:val="20"/>
        </w:trPr>
        <w:tc>
          <w:tcPr>
            <w:tcW w:w="9070" w:type="dxa"/>
            <w:hideMark/>
          </w:tcPr>
          <w:p w14:paraId="1D916322" w14:textId="0119FF54"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17. IPA BE </w:t>
            </w:r>
            <w:r w:rsidR="00095C9D" w:rsidRPr="00913E39">
              <w:rPr>
                <w:rFonts w:ascii="Garamond" w:hAnsi="Garamond"/>
                <w:b/>
                <w:sz w:val="24"/>
                <w:lang w:val="sq-AL"/>
              </w:rPr>
              <w:t>–</w:t>
            </w:r>
            <w:r w:rsidRPr="00913E39">
              <w:rPr>
                <w:rFonts w:ascii="Garamond" w:hAnsi="Garamond"/>
                <w:b/>
                <w:sz w:val="24"/>
                <w:lang w:val="sq-AL"/>
              </w:rPr>
              <w:t xml:space="preserve"> </w:t>
            </w:r>
            <w:r w:rsidR="00095C9D" w:rsidRPr="00913E39">
              <w:rPr>
                <w:rFonts w:ascii="Garamond" w:hAnsi="Garamond"/>
                <w:b/>
                <w:sz w:val="24"/>
                <w:lang w:val="sq-AL"/>
              </w:rPr>
              <w:t>p</w:t>
            </w:r>
            <w:r w:rsidRPr="00913E39">
              <w:rPr>
                <w:rFonts w:ascii="Garamond" w:hAnsi="Garamond"/>
                <w:b/>
                <w:sz w:val="24"/>
                <w:lang w:val="sq-AL"/>
              </w:rPr>
              <w:t>arafinancimi</w:t>
            </w:r>
            <w:r w:rsidR="00095C9D" w:rsidRPr="00913E39">
              <w:rPr>
                <w:rFonts w:ascii="Garamond" w:hAnsi="Garamond"/>
                <w:b/>
                <w:sz w:val="24"/>
                <w:lang w:val="sq-AL"/>
              </w:rPr>
              <w:t xml:space="preserve"> </w:t>
            </w:r>
            <w:r w:rsidRPr="00913E39">
              <w:rPr>
                <w:rFonts w:ascii="Garamond" w:hAnsi="Garamond"/>
                <w:b/>
                <w:sz w:val="24"/>
                <w:lang w:val="sq-AL"/>
              </w:rPr>
              <w:t>i likuiduar</w:t>
            </w:r>
          </w:p>
        </w:tc>
      </w:tr>
      <w:tr w:rsidR="00F2604F" w:rsidRPr="00913E39" w14:paraId="03AF7ED8" w14:textId="77777777" w:rsidTr="001A5959">
        <w:trPr>
          <w:trHeight w:val="20"/>
        </w:trPr>
        <w:tc>
          <w:tcPr>
            <w:tcW w:w="9070" w:type="dxa"/>
            <w:hideMark/>
          </w:tcPr>
          <w:p w14:paraId="032D80B6"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Vlera totale e parafinancimit është likuiduar. </w:t>
            </w:r>
          </w:p>
        </w:tc>
      </w:tr>
      <w:tr w:rsidR="00F2604F" w:rsidRPr="00913E39" w14:paraId="1F09488F" w14:textId="77777777" w:rsidTr="001A5959">
        <w:trPr>
          <w:trHeight w:val="20"/>
        </w:trPr>
        <w:tc>
          <w:tcPr>
            <w:tcW w:w="9070" w:type="dxa"/>
            <w:hideMark/>
          </w:tcPr>
          <w:p w14:paraId="7EA1C4D6" w14:textId="6EDC2B1F"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Pagesa e parafinancimit njihet si aktiv. Në përputhje me rregullin përkatës të kontabilitetit, aktivi i parafinancimit në përgjithësi çregjistrohet (d.m.th. likuidohet/zbritet) si më poshtë: </w:t>
            </w:r>
          </w:p>
        </w:tc>
      </w:tr>
      <w:tr w:rsidR="00F2604F" w:rsidRPr="00913E39" w14:paraId="7C2A7A9B" w14:textId="77777777" w:rsidTr="001A5959">
        <w:trPr>
          <w:trHeight w:val="20"/>
        </w:trPr>
        <w:tc>
          <w:tcPr>
            <w:tcW w:w="9070" w:type="dxa"/>
            <w:hideMark/>
          </w:tcPr>
          <w:p w14:paraId="42316633" w14:textId="51C98BE1" w:rsidR="00F2604F" w:rsidRPr="00913E39" w:rsidRDefault="00801431"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w:t>
            </w:r>
            <w:r w:rsidR="00F2604F" w:rsidRPr="00913E39">
              <w:rPr>
                <w:rFonts w:ascii="Garamond" w:hAnsi="Garamond"/>
                <w:i/>
                <w:sz w:val="24"/>
                <w:lang w:val="sq-AL"/>
              </w:rPr>
              <w:t xml:space="preserve"> nëse shuma e një faturë të përkohshme/përfundimtare ose pretendimi për kosto, ose një pjesë e saj, justifikon përdorimin e një parafinancimi, atëherë vleftësimi i këtyre shpenzimeve të pranueshme do të gjenerojë një likuidim të parafinancimit;</w:t>
            </w:r>
          </w:p>
        </w:tc>
      </w:tr>
      <w:tr w:rsidR="00F2604F" w:rsidRPr="00913E39" w14:paraId="35D020AB" w14:textId="77777777" w:rsidTr="001A5959">
        <w:trPr>
          <w:trHeight w:val="20"/>
        </w:trPr>
        <w:tc>
          <w:tcPr>
            <w:tcW w:w="9070" w:type="dxa"/>
            <w:hideMark/>
          </w:tcPr>
          <w:p w14:paraId="04AE8279" w14:textId="3C0822EF" w:rsidR="00F2604F" w:rsidRPr="00913E39" w:rsidRDefault="00801431"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w:t>
            </w:r>
            <w:r w:rsidR="00F2604F" w:rsidRPr="00913E39">
              <w:rPr>
                <w:rFonts w:ascii="Garamond" w:hAnsi="Garamond"/>
                <w:i/>
                <w:sz w:val="24"/>
                <w:lang w:val="sq-AL"/>
              </w:rPr>
              <w:t xml:space="preserve"> nëse përfituesi nuk përdor (një pjesë të) parafinancimit, atëherë shuma e parafinancimit do të rikuperohet pjesërisht ose tërësisht nga përfituesi.</w:t>
            </w:r>
          </w:p>
        </w:tc>
      </w:tr>
      <w:tr w:rsidR="00F2604F" w:rsidRPr="00913E39" w14:paraId="73A9C0E0" w14:textId="77777777" w:rsidTr="001A5959">
        <w:trPr>
          <w:trHeight w:val="20"/>
        </w:trPr>
        <w:tc>
          <w:tcPr>
            <w:tcW w:w="9070" w:type="dxa"/>
            <w:hideMark/>
          </w:tcPr>
          <w:p w14:paraId="0C820941"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47481056" w14:textId="77777777" w:rsidTr="001A5959">
        <w:trPr>
          <w:trHeight w:val="20"/>
        </w:trPr>
        <w:tc>
          <w:tcPr>
            <w:tcW w:w="9070" w:type="dxa"/>
            <w:hideMark/>
          </w:tcPr>
          <w:p w14:paraId="52594F67" w14:textId="5A2A9154"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18. IPA BE </w:t>
            </w:r>
            <w:r w:rsidR="00095C9D" w:rsidRPr="00913E39">
              <w:rPr>
                <w:rFonts w:ascii="Garamond" w:hAnsi="Garamond"/>
                <w:b/>
                <w:sz w:val="24"/>
                <w:lang w:val="sq-AL"/>
              </w:rPr>
              <w:t>–</w:t>
            </w:r>
            <w:r w:rsidRPr="00913E39">
              <w:rPr>
                <w:rFonts w:ascii="Garamond" w:hAnsi="Garamond"/>
                <w:b/>
                <w:sz w:val="24"/>
                <w:lang w:val="sq-AL"/>
              </w:rPr>
              <w:t xml:space="preserve"> </w:t>
            </w:r>
            <w:r w:rsidR="00095C9D" w:rsidRPr="00913E39">
              <w:rPr>
                <w:rFonts w:ascii="Garamond" w:hAnsi="Garamond"/>
                <w:b/>
                <w:sz w:val="24"/>
                <w:lang w:val="sq-AL"/>
              </w:rPr>
              <w:t>p</w:t>
            </w:r>
            <w:r w:rsidRPr="00913E39">
              <w:rPr>
                <w:rFonts w:ascii="Garamond" w:hAnsi="Garamond"/>
                <w:b/>
                <w:sz w:val="24"/>
                <w:lang w:val="sq-AL"/>
              </w:rPr>
              <w:t>arafinancimi</w:t>
            </w:r>
            <w:r w:rsidR="00095C9D" w:rsidRPr="00913E39">
              <w:rPr>
                <w:rFonts w:ascii="Garamond" w:hAnsi="Garamond"/>
                <w:b/>
                <w:sz w:val="24"/>
                <w:lang w:val="sq-AL"/>
              </w:rPr>
              <w:t xml:space="preserve"> </w:t>
            </w:r>
            <w:r w:rsidRPr="00913E39">
              <w:rPr>
                <w:rFonts w:ascii="Garamond" w:hAnsi="Garamond"/>
                <w:b/>
                <w:sz w:val="24"/>
                <w:lang w:val="sq-AL"/>
              </w:rPr>
              <w:t>i hapur</w:t>
            </w:r>
          </w:p>
        </w:tc>
      </w:tr>
      <w:tr w:rsidR="00F2604F" w:rsidRPr="00913E39" w14:paraId="638B3164" w14:textId="77777777" w:rsidTr="001A5959">
        <w:trPr>
          <w:trHeight w:val="20"/>
        </w:trPr>
        <w:tc>
          <w:tcPr>
            <w:tcW w:w="9070" w:type="dxa"/>
            <w:hideMark/>
          </w:tcPr>
          <w:p w14:paraId="32A79EFD" w14:textId="1F310FC1"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Totalet e 16 dhe 17 do të japin parafinancimin total të hapur (të palikuiduar) të paguar sipas programit, d.m.th. parafinancimi i paguar - parafinancimin i likuiduar </w:t>
            </w:r>
          </w:p>
        </w:tc>
      </w:tr>
      <w:tr w:rsidR="00F2604F" w:rsidRPr="00913E39" w14:paraId="12394579" w14:textId="77777777" w:rsidTr="001A5959">
        <w:trPr>
          <w:trHeight w:val="20"/>
        </w:trPr>
        <w:tc>
          <w:tcPr>
            <w:tcW w:w="9070" w:type="dxa"/>
            <w:hideMark/>
          </w:tcPr>
          <w:p w14:paraId="6DF2AF3A"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1ED653F5" w14:textId="77777777" w:rsidTr="001A5959">
        <w:trPr>
          <w:trHeight w:val="20"/>
        </w:trPr>
        <w:tc>
          <w:tcPr>
            <w:tcW w:w="9070" w:type="dxa"/>
            <w:hideMark/>
          </w:tcPr>
          <w:p w14:paraId="3A2B011C" w14:textId="24B1BAF0"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19. IPA BE </w:t>
            </w:r>
            <w:r w:rsidR="00095C9D" w:rsidRPr="00913E39">
              <w:rPr>
                <w:rFonts w:ascii="Garamond" w:hAnsi="Garamond"/>
                <w:b/>
                <w:sz w:val="24"/>
                <w:lang w:val="sq-AL"/>
              </w:rPr>
              <w:t>–</w:t>
            </w:r>
            <w:r w:rsidRPr="00913E39">
              <w:rPr>
                <w:rFonts w:ascii="Garamond" w:hAnsi="Garamond"/>
                <w:b/>
                <w:sz w:val="24"/>
                <w:lang w:val="sq-AL"/>
              </w:rPr>
              <w:t xml:space="preserve"> </w:t>
            </w:r>
            <w:r w:rsidR="00095C9D" w:rsidRPr="00913E39">
              <w:rPr>
                <w:rFonts w:ascii="Garamond" w:hAnsi="Garamond"/>
                <w:b/>
                <w:sz w:val="24"/>
                <w:lang w:val="sq-AL"/>
              </w:rPr>
              <w:t>k</w:t>
            </w:r>
            <w:r w:rsidRPr="00913E39">
              <w:rPr>
                <w:rFonts w:ascii="Garamond" w:hAnsi="Garamond"/>
                <w:b/>
                <w:sz w:val="24"/>
                <w:lang w:val="sq-AL"/>
              </w:rPr>
              <w:t>ostot</w:t>
            </w:r>
            <w:r w:rsidR="00095C9D" w:rsidRPr="00913E39">
              <w:rPr>
                <w:rFonts w:ascii="Garamond" w:hAnsi="Garamond"/>
                <w:b/>
                <w:sz w:val="24"/>
                <w:lang w:val="sq-AL"/>
              </w:rPr>
              <w:t xml:space="preserve"> </w:t>
            </w:r>
            <w:r w:rsidRPr="00913E39">
              <w:rPr>
                <w:rFonts w:ascii="Garamond" w:hAnsi="Garamond"/>
                <w:b/>
                <w:sz w:val="24"/>
                <w:lang w:val="sq-AL"/>
              </w:rPr>
              <w:t>e pranuara</w:t>
            </w:r>
          </w:p>
        </w:tc>
      </w:tr>
      <w:tr w:rsidR="00F2604F" w:rsidRPr="00913E39" w14:paraId="34A6FBF4" w14:textId="77777777" w:rsidTr="001A5959">
        <w:trPr>
          <w:trHeight w:val="20"/>
        </w:trPr>
        <w:tc>
          <w:tcPr>
            <w:tcW w:w="9070" w:type="dxa"/>
            <w:hideMark/>
          </w:tcPr>
          <w:p w14:paraId="1F5FAE1B"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lastRenderedPageBreak/>
              <w:t xml:space="preserve">Kostot totale të pranueshme të bëra, të pranuara, të paguara (pagesa direkte e kostove plus likuidimi i parafinancimit sipas kontratës) dhe të vërtetuara me dokumente mbështetëse. </w:t>
            </w:r>
          </w:p>
        </w:tc>
      </w:tr>
      <w:tr w:rsidR="00F2604F" w:rsidRPr="00913E39" w14:paraId="34F3D876" w14:textId="77777777" w:rsidTr="001A5959">
        <w:trPr>
          <w:trHeight w:val="20"/>
        </w:trPr>
        <w:tc>
          <w:tcPr>
            <w:tcW w:w="9070" w:type="dxa"/>
            <w:hideMark/>
          </w:tcPr>
          <w:p w14:paraId="051C97AF" w14:textId="38362C4A"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Ajo llogaritet me formulën e mëposhtme: 19 = 12 (IPA BE-Vlera aktuale e kontratës) – 14 (RAL) – 18 (IPA BE-Parafinancimi i hapur) – 15 (IPA BE – Rikuperimet) Ju lutemi përfshini në llogaritjen e </w:t>
            </w:r>
            <w:r w:rsidR="005222A5" w:rsidRPr="00913E39">
              <w:rPr>
                <w:rFonts w:ascii="Garamond" w:hAnsi="Garamond"/>
                <w:i/>
                <w:sz w:val="24"/>
                <w:lang w:val="sq-AL"/>
              </w:rPr>
              <w:t>‘</w:t>
            </w:r>
            <w:r w:rsidRPr="00913E39">
              <w:rPr>
                <w:rFonts w:ascii="Garamond" w:hAnsi="Garamond"/>
                <w:i/>
                <w:sz w:val="24"/>
                <w:lang w:val="sq-AL"/>
              </w:rPr>
              <w:t>IPA BE - Kostot e pranuara</w:t>
            </w:r>
            <w:r w:rsidR="005222A5" w:rsidRPr="00913E39">
              <w:rPr>
                <w:rFonts w:ascii="Garamond" w:hAnsi="Garamond"/>
                <w:i/>
                <w:sz w:val="24"/>
                <w:lang w:val="sq-AL"/>
              </w:rPr>
              <w:t>’</w:t>
            </w:r>
            <w:r w:rsidRPr="00913E39">
              <w:rPr>
                <w:rFonts w:ascii="Garamond" w:hAnsi="Garamond"/>
                <w:i/>
                <w:sz w:val="24"/>
                <w:lang w:val="sq-AL"/>
              </w:rPr>
              <w:t xml:space="preserve"> vetëm rikuperimet e shpenzimeve që zbresin koston e pranuar (+19 bis (IPA BE – kosto e krijuar dhe e pranuar ende e papaguar) – VETËM nëse nuk jeni në gjendje të krijoni një shtyllë të veçantë 19 bis në raport) </w:t>
            </w:r>
          </w:p>
        </w:tc>
      </w:tr>
      <w:tr w:rsidR="00F2604F" w:rsidRPr="00913E39" w14:paraId="3CDDCE23" w14:textId="77777777" w:rsidTr="001A5959">
        <w:trPr>
          <w:trHeight w:val="20"/>
        </w:trPr>
        <w:tc>
          <w:tcPr>
            <w:tcW w:w="9070" w:type="dxa"/>
            <w:hideMark/>
          </w:tcPr>
          <w:p w14:paraId="09C3F013"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Kostot do të përfaqësojnë vlerën e pranueshme të punës që: </w:t>
            </w:r>
          </w:p>
        </w:tc>
      </w:tr>
      <w:tr w:rsidR="00A56912" w:rsidRPr="00913E39" w14:paraId="5C901A1F" w14:textId="77777777" w:rsidTr="001A5959">
        <w:trPr>
          <w:trHeight w:val="20"/>
        </w:trPr>
        <w:tc>
          <w:tcPr>
            <w:tcW w:w="9070" w:type="dxa"/>
            <w:hideMark/>
          </w:tcPr>
          <w:p w14:paraId="2439E843" w14:textId="2B668F9A" w:rsidR="00F2604F" w:rsidRPr="00913E39" w:rsidRDefault="00C4677B"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w:t>
            </w:r>
            <w:r w:rsidR="00F2604F" w:rsidRPr="00913E39">
              <w:rPr>
                <w:rFonts w:ascii="Garamond" w:hAnsi="Garamond"/>
                <w:i/>
                <w:sz w:val="24"/>
                <w:lang w:val="sq-AL"/>
              </w:rPr>
              <w:t xml:space="preserve"> janë kryer sipas kontratës, janë pranuar, paguar nga autoriteti kontraktues (drejtpërsëdrejti ose nëpërmjet parafinancimit të likuiduar) dhe janë provuar me dokumente mbështetëse, </w:t>
            </w:r>
          </w:p>
        </w:tc>
      </w:tr>
      <w:tr w:rsidR="00F2604F" w:rsidRPr="00913E39" w14:paraId="7FAD8356" w14:textId="77777777" w:rsidTr="001A5959">
        <w:trPr>
          <w:trHeight w:val="20"/>
        </w:trPr>
        <w:tc>
          <w:tcPr>
            <w:tcW w:w="9070" w:type="dxa"/>
            <w:hideMark/>
          </w:tcPr>
          <w:p w14:paraId="1F46F18D" w14:textId="4499DD91" w:rsidR="00F2604F" w:rsidRPr="00913E39" w:rsidRDefault="00C4677B"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w:t>
            </w:r>
            <w:r w:rsidR="00F2604F" w:rsidRPr="00913E39">
              <w:rPr>
                <w:rFonts w:ascii="Garamond" w:hAnsi="Garamond"/>
                <w:i/>
                <w:sz w:val="24"/>
                <w:lang w:val="sq-AL"/>
              </w:rPr>
              <w:t xml:space="preserve"> janë kryer dhe paguar nga kontraktori (aty ku është e nevojshme - nënkontraktorëve ose nga përfituesit e granteve, për shembull) dhe janë pranuar dhe paguar nga autoriteti kontraktues; Në rastin e kostove të përkohshme, pranimi përfundimtar kuptohet se varet nga rezultati përfundimtar i kontratës. </w:t>
            </w:r>
          </w:p>
        </w:tc>
      </w:tr>
      <w:tr w:rsidR="00F2604F" w:rsidRPr="00913E39" w14:paraId="63242266" w14:textId="77777777" w:rsidTr="001A5959">
        <w:trPr>
          <w:trHeight w:val="20"/>
        </w:trPr>
        <w:tc>
          <w:tcPr>
            <w:tcW w:w="9070" w:type="dxa"/>
            <w:hideMark/>
          </w:tcPr>
          <w:p w14:paraId="3E9487A2"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Vini re se: </w:t>
            </w:r>
          </w:p>
        </w:tc>
      </w:tr>
      <w:tr w:rsidR="00F2604F" w:rsidRPr="00913E39" w14:paraId="05703D68" w14:textId="77777777" w:rsidTr="001A5959">
        <w:trPr>
          <w:trHeight w:val="20"/>
        </w:trPr>
        <w:tc>
          <w:tcPr>
            <w:tcW w:w="9070" w:type="dxa"/>
            <w:hideMark/>
          </w:tcPr>
          <w:p w14:paraId="7C488701"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Kostot e akumuluara (vlera e parashikuar e punës së kryer, por ende të pafaturuar) nuk kërkohen.</w:t>
            </w:r>
          </w:p>
        </w:tc>
      </w:tr>
      <w:tr w:rsidR="00F2604F" w:rsidRPr="00913E39" w14:paraId="4F2ABF51" w14:textId="77777777" w:rsidTr="001A5959">
        <w:trPr>
          <w:trHeight w:val="20"/>
        </w:trPr>
        <w:tc>
          <w:tcPr>
            <w:tcW w:w="9070" w:type="dxa"/>
            <w:hideMark/>
          </w:tcPr>
          <w:p w14:paraId="3DF084FD"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Shumat e angazhuara por të papaguara nuk janë kosto për qëllimin e këtij raporti.</w:t>
            </w:r>
          </w:p>
        </w:tc>
      </w:tr>
      <w:tr w:rsidR="00F2604F" w:rsidRPr="00913E39" w14:paraId="620F5994" w14:textId="77777777" w:rsidTr="001A5959">
        <w:trPr>
          <w:trHeight w:val="20"/>
        </w:trPr>
        <w:tc>
          <w:tcPr>
            <w:tcW w:w="9070" w:type="dxa"/>
            <w:hideMark/>
          </w:tcPr>
          <w:p w14:paraId="35FA655C"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Parafinancimi i paguar ose nga autoriteti kontraktues ose nga kontraktori (ku është e nevojshme) nuk është kosto.</w:t>
            </w:r>
          </w:p>
        </w:tc>
      </w:tr>
      <w:tr w:rsidR="00F2604F" w:rsidRPr="00913E39" w14:paraId="67978AB7" w14:textId="77777777" w:rsidTr="001A5959">
        <w:trPr>
          <w:trHeight w:val="20"/>
        </w:trPr>
        <w:tc>
          <w:tcPr>
            <w:tcW w:w="9070" w:type="dxa"/>
            <w:hideMark/>
          </w:tcPr>
          <w:p w14:paraId="01EC76D5"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223AE09A" w14:textId="77777777" w:rsidTr="001A5959">
        <w:trPr>
          <w:trHeight w:val="20"/>
        </w:trPr>
        <w:tc>
          <w:tcPr>
            <w:tcW w:w="9070" w:type="dxa"/>
            <w:hideMark/>
          </w:tcPr>
          <w:p w14:paraId="3BB1774F" w14:textId="0C77D814"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19 bis. IPA BE </w:t>
            </w:r>
            <w:r w:rsidR="00095C9D" w:rsidRPr="00913E39">
              <w:rPr>
                <w:rFonts w:ascii="Garamond" w:hAnsi="Garamond"/>
                <w:b/>
                <w:sz w:val="24"/>
                <w:lang w:val="sq-AL"/>
              </w:rPr>
              <w:t>–</w:t>
            </w:r>
            <w:r w:rsidRPr="00913E39">
              <w:rPr>
                <w:rFonts w:ascii="Garamond" w:hAnsi="Garamond"/>
                <w:b/>
                <w:sz w:val="24"/>
                <w:lang w:val="sq-AL"/>
              </w:rPr>
              <w:t xml:space="preserve"> </w:t>
            </w:r>
            <w:r w:rsidR="00095C9D" w:rsidRPr="00913E39">
              <w:rPr>
                <w:rFonts w:ascii="Garamond" w:hAnsi="Garamond"/>
                <w:b/>
                <w:sz w:val="24"/>
                <w:lang w:val="sq-AL"/>
              </w:rPr>
              <w:t>k</w:t>
            </w:r>
            <w:r w:rsidRPr="00913E39">
              <w:rPr>
                <w:rFonts w:ascii="Garamond" w:hAnsi="Garamond"/>
                <w:b/>
                <w:sz w:val="24"/>
                <w:lang w:val="sq-AL"/>
              </w:rPr>
              <w:t>ostot</w:t>
            </w:r>
            <w:r w:rsidR="00095C9D" w:rsidRPr="00913E39">
              <w:rPr>
                <w:rFonts w:ascii="Garamond" w:hAnsi="Garamond"/>
                <w:b/>
                <w:sz w:val="24"/>
                <w:lang w:val="sq-AL"/>
              </w:rPr>
              <w:t xml:space="preserve"> </w:t>
            </w:r>
            <w:r w:rsidRPr="00913E39">
              <w:rPr>
                <w:rFonts w:ascii="Garamond" w:hAnsi="Garamond"/>
                <w:b/>
                <w:sz w:val="24"/>
                <w:lang w:val="sq-AL"/>
              </w:rPr>
              <w:t>e kryera dhe të pranuara të papaguara</w:t>
            </w:r>
          </w:p>
        </w:tc>
      </w:tr>
      <w:tr w:rsidR="00F2604F" w:rsidRPr="00913E39" w14:paraId="3FC9FA30" w14:textId="77777777" w:rsidTr="001A5959">
        <w:trPr>
          <w:trHeight w:val="20"/>
        </w:trPr>
        <w:tc>
          <w:tcPr>
            <w:tcW w:w="9070" w:type="dxa"/>
            <w:hideMark/>
          </w:tcPr>
          <w:p w14:paraId="47C731B0"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Shembuj janë: </w:t>
            </w:r>
          </w:p>
        </w:tc>
      </w:tr>
      <w:tr w:rsidR="00F2604F" w:rsidRPr="00913E39" w14:paraId="25B84C7E" w14:textId="77777777" w:rsidTr="001A5959">
        <w:trPr>
          <w:trHeight w:val="20"/>
        </w:trPr>
        <w:tc>
          <w:tcPr>
            <w:tcW w:w="9070" w:type="dxa"/>
            <w:hideMark/>
          </w:tcPr>
          <w:p w14:paraId="428FE7B1"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faturat në qarkullim që janë vërtetuar të sakta (të kryera dhe të pranuara) por që do të paguhen vetëm në periudhën e ardhshme raportuese ose</w:t>
            </w:r>
          </w:p>
        </w:tc>
      </w:tr>
      <w:tr w:rsidR="00F2604F" w:rsidRPr="00913E39" w14:paraId="07D0922D" w14:textId="77777777" w:rsidTr="001A5959">
        <w:trPr>
          <w:trHeight w:val="20"/>
        </w:trPr>
        <w:tc>
          <w:tcPr>
            <w:tcW w:w="9070" w:type="dxa"/>
            <w:hideMark/>
          </w:tcPr>
          <w:p w14:paraId="2A5B336C"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shumat e mbajtur për garanci.</w:t>
            </w:r>
          </w:p>
        </w:tc>
      </w:tr>
      <w:tr w:rsidR="00F2604F" w:rsidRPr="00913E39" w14:paraId="5FD447BB" w14:textId="77777777" w:rsidTr="001A5959">
        <w:trPr>
          <w:trHeight w:val="20"/>
        </w:trPr>
        <w:tc>
          <w:tcPr>
            <w:tcW w:w="9070" w:type="dxa"/>
            <w:hideMark/>
          </w:tcPr>
          <w:p w14:paraId="678476F3" w14:textId="31FB21D6" w:rsidR="00F2604F" w:rsidRPr="00913E39" w:rsidRDefault="009B7298"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Ju lutemi, vini re</w:t>
            </w:r>
            <w:r w:rsidR="00F2604F" w:rsidRPr="00913E39">
              <w:rPr>
                <w:rFonts w:ascii="Garamond" w:hAnsi="Garamond"/>
                <w:i/>
                <w:sz w:val="24"/>
                <w:lang w:val="sq-AL"/>
              </w:rPr>
              <w:t>: Nëse ju - p.sh. për arsye teknike – nuk mund ta zbatoni këtë shtyllë në raportin tuaj, ju lutemi shtoni shumat përkatëse në mënyrë të jashtëzakonshme direkt në kolonën 19 duke njoftuar arsyen e përfshirjes së tyre p</w:t>
            </w:r>
            <w:r w:rsidR="00C645AF" w:rsidRPr="00913E39">
              <w:rPr>
                <w:rFonts w:ascii="Garamond" w:hAnsi="Garamond"/>
                <w:i/>
                <w:sz w:val="24"/>
                <w:lang w:val="sq-AL"/>
              </w:rPr>
              <w:t>.</w:t>
            </w:r>
            <w:r w:rsidR="00F2604F" w:rsidRPr="00913E39">
              <w:rPr>
                <w:rFonts w:ascii="Garamond" w:hAnsi="Garamond"/>
                <w:i/>
                <w:sz w:val="24"/>
                <w:lang w:val="sq-AL"/>
              </w:rPr>
              <w:t>sh</w:t>
            </w:r>
            <w:r w:rsidR="00C645AF" w:rsidRPr="00913E39">
              <w:rPr>
                <w:rFonts w:ascii="Garamond" w:hAnsi="Garamond"/>
                <w:i/>
                <w:sz w:val="24"/>
                <w:lang w:val="sq-AL"/>
              </w:rPr>
              <w:t>.</w:t>
            </w:r>
            <w:r w:rsidR="00F2604F" w:rsidRPr="00913E39">
              <w:rPr>
                <w:rFonts w:ascii="Garamond" w:hAnsi="Garamond"/>
                <w:i/>
                <w:sz w:val="24"/>
                <w:lang w:val="sq-AL"/>
              </w:rPr>
              <w:t xml:space="preserve">: </w:t>
            </w:r>
            <w:r w:rsidR="00850FC7" w:rsidRPr="00913E39">
              <w:rPr>
                <w:rFonts w:ascii="Garamond" w:hAnsi="Garamond" w:cs="Garamond"/>
                <w:i/>
                <w:iCs/>
                <w:sz w:val="24"/>
                <w:lang w:val="sq-AL"/>
              </w:rPr>
              <w:t>“</w:t>
            </w:r>
            <w:r w:rsidR="00F2604F" w:rsidRPr="00913E39">
              <w:rPr>
                <w:rFonts w:ascii="Garamond" w:hAnsi="Garamond"/>
                <w:i/>
                <w:sz w:val="24"/>
                <w:lang w:val="sq-AL"/>
              </w:rPr>
              <w:t xml:space="preserve">Shtylla 19 përfshin koston e kryer, të pranuar por të papaguar ende, në shumën </w:t>
            </w:r>
            <w:r w:rsidR="00850FC7" w:rsidRPr="00913E39">
              <w:rPr>
                <w:rFonts w:ascii="Garamond" w:hAnsi="Garamond" w:cs="Garamond"/>
                <w:i/>
                <w:iCs/>
                <w:sz w:val="24"/>
                <w:lang w:val="sq-AL"/>
              </w:rPr>
              <w:t>“</w:t>
            </w:r>
            <w:r w:rsidR="00F2604F" w:rsidRPr="00913E39">
              <w:rPr>
                <w:rFonts w:ascii="Garamond" w:hAnsi="Garamond" w:cs="Garamond"/>
                <w:i/>
                <w:iCs/>
                <w:sz w:val="24"/>
                <w:lang w:val="sq-AL"/>
              </w:rPr>
              <w:t>(...)</w:t>
            </w:r>
            <w:r w:rsidR="00850FC7" w:rsidRPr="00913E39">
              <w:rPr>
                <w:rFonts w:ascii="Garamond" w:hAnsi="Garamond" w:cs="Garamond"/>
                <w:i/>
                <w:iCs/>
                <w:sz w:val="24"/>
                <w:lang w:val="sq-AL"/>
              </w:rPr>
              <w:t>”</w:t>
            </w:r>
            <w:r w:rsidR="00F2604F" w:rsidRPr="00913E39">
              <w:rPr>
                <w:rFonts w:ascii="Garamond" w:hAnsi="Garamond" w:cs="Garamond"/>
                <w:i/>
                <w:iCs/>
                <w:sz w:val="24"/>
                <w:lang w:val="sq-AL"/>
              </w:rPr>
              <w:t>,</w:t>
            </w:r>
            <w:r w:rsidR="00F2604F" w:rsidRPr="00913E39">
              <w:rPr>
                <w:rFonts w:ascii="Garamond" w:hAnsi="Garamond"/>
                <w:i/>
                <w:sz w:val="24"/>
                <w:lang w:val="sq-AL"/>
              </w:rPr>
              <w:t xml:space="preserve"> për arsyen e mëposhtme</w:t>
            </w:r>
            <w:r w:rsidR="00F2604F" w:rsidRPr="00913E39">
              <w:rPr>
                <w:rFonts w:ascii="Garamond" w:hAnsi="Garamond" w:cs="Garamond"/>
                <w:i/>
                <w:iCs/>
                <w:sz w:val="24"/>
                <w:lang w:val="sq-AL"/>
              </w:rPr>
              <w:t>:</w:t>
            </w:r>
            <w:r w:rsidR="00850FC7" w:rsidRPr="00913E39">
              <w:rPr>
                <w:rFonts w:ascii="Garamond" w:hAnsi="Garamond" w:cs="Garamond"/>
                <w:i/>
                <w:iCs/>
                <w:sz w:val="24"/>
                <w:lang w:val="sq-AL"/>
              </w:rPr>
              <w:t>”</w:t>
            </w:r>
            <w:r w:rsidR="00F2604F" w:rsidRPr="00913E39">
              <w:rPr>
                <w:rFonts w:ascii="Garamond" w:hAnsi="Garamond" w:cs="Garamond"/>
                <w:i/>
                <w:iCs/>
                <w:sz w:val="24"/>
                <w:lang w:val="sq-AL"/>
              </w:rPr>
              <w:t>(...)</w:t>
            </w:r>
            <w:r w:rsidR="00850FC7" w:rsidRPr="00913E39">
              <w:rPr>
                <w:rFonts w:ascii="Garamond" w:hAnsi="Garamond" w:cs="Garamond"/>
                <w:i/>
                <w:iCs/>
                <w:sz w:val="24"/>
                <w:lang w:val="sq-AL"/>
              </w:rPr>
              <w:t>”</w:t>
            </w:r>
            <w:r w:rsidR="00F2604F" w:rsidRPr="00913E39">
              <w:rPr>
                <w:rFonts w:ascii="Garamond" w:hAnsi="Garamond"/>
                <w:i/>
                <w:sz w:val="24"/>
                <w:lang w:val="sq-AL"/>
              </w:rPr>
              <w:t xml:space="preserve"> ose na informoni me një shkresë shoqëruese për shumat përkatëse për kontratë. </w:t>
            </w:r>
          </w:p>
        </w:tc>
      </w:tr>
      <w:tr w:rsidR="00F2604F" w:rsidRPr="00913E39" w14:paraId="7909218A" w14:textId="77777777" w:rsidTr="001A5959">
        <w:trPr>
          <w:trHeight w:val="20"/>
        </w:trPr>
        <w:tc>
          <w:tcPr>
            <w:tcW w:w="9070" w:type="dxa"/>
            <w:hideMark/>
          </w:tcPr>
          <w:p w14:paraId="6DD0A9A5" w14:textId="65932F16" w:rsidR="00F2604F" w:rsidRPr="00913E39" w:rsidRDefault="009B7298"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Ju lutemi, vini re</w:t>
            </w:r>
            <w:r w:rsidR="00F2604F" w:rsidRPr="00913E39">
              <w:rPr>
                <w:rFonts w:ascii="Garamond" w:hAnsi="Garamond"/>
                <w:i/>
                <w:sz w:val="24"/>
                <w:lang w:val="sq-AL"/>
              </w:rPr>
              <w:t xml:space="preserve"> më tej se shumat e hedhura në këtë shtyllë konsiderohen si kosto të kryera dhe pranohen vetëm për qëllimin e këtij raporti përfundimtar në fund të vitit, por jo për qëllimin e Raportit Vjetor Financiar ose të </w:t>
            </w:r>
            <w:r w:rsidRPr="00913E39">
              <w:rPr>
                <w:rFonts w:ascii="Garamond" w:hAnsi="Garamond"/>
                <w:i/>
                <w:sz w:val="24"/>
                <w:lang w:val="sq-AL"/>
              </w:rPr>
              <w:t xml:space="preserve">kërkesës për fonde ku </w:t>
            </w:r>
            <w:r w:rsidR="00F2604F" w:rsidRPr="00913E39">
              <w:rPr>
                <w:rFonts w:ascii="Garamond" w:hAnsi="Garamond"/>
                <w:i/>
                <w:sz w:val="24"/>
                <w:lang w:val="sq-AL"/>
              </w:rPr>
              <w:t xml:space="preserve">duhet të konsiderohen vetëm kostot e pranuara (të kryera, të pranuara, të paguara dhe të vërtetuara me dokumente mbështetëse). </w:t>
            </w:r>
          </w:p>
        </w:tc>
      </w:tr>
      <w:tr w:rsidR="00F2604F" w:rsidRPr="00913E39" w14:paraId="58676E5F" w14:textId="77777777" w:rsidTr="001A5959">
        <w:trPr>
          <w:trHeight w:val="20"/>
        </w:trPr>
        <w:tc>
          <w:tcPr>
            <w:tcW w:w="9070" w:type="dxa"/>
            <w:hideMark/>
          </w:tcPr>
          <w:p w14:paraId="6E589C0C"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Kur kostot raportohen me faturë (zakonisht prokurime) </w:t>
            </w:r>
          </w:p>
        </w:tc>
      </w:tr>
      <w:tr w:rsidR="00F2604F" w:rsidRPr="00913E39" w14:paraId="511F24AD" w14:textId="77777777" w:rsidTr="001A5959">
        <w:trPr>
          <w:trHeight w:val="20"/>
        </w:trPr>
        <w:tc>
          <w:tcPr>
            <w:tcW w:w="9070" w:type="dxa"/>
            <w:hideMark/>
          </w:tcPr>
          <w:p w14:paraId="13020FA7"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46299248" w14:textId="77777777" w:rsidTr="001A5959">
        <w:trPr>
          <w:trHeight w:val="20"/>
        </w:trPr>
        <w:tc>
          <w:tcPr>
            <w:tcW w:w="9070" w:type="dxa"/>
            <w:hideMark/>
          </w:tcPr>
          <w:p w14:paraId="32CEE4BA" w14:textId="501C9BBA"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20. Kostot në qarkullim </w:t>
            </w:r>
            <w:r w:rsidR="00095C9D" w:rsidRPr="00913E39">
              <w:rPr>
                <w:rFonts w:ascii="Garamond" w:hAnsi="Garamond"/>
                <w:b/>
                <w:sz w:val="24"/>
                <w:lang w:val="sq-AL"/>
              </w:rPr>
              <w:t>–</w:t>
            </w:r>
            <w:r w:rsidRPr="00913E39">
              <w:rPr>
                <w:rFonts w:ascii="Garamond" w:hAnsi="Garamond"/>
                <w:b/>
                <w:sz w:val="24"/>
                <w:lang w:val="sq-AL"/>
              </w:rPr>
              <w:t xml:space="preserve"> </w:t>
            </w:r>
            <w:r w:rsidR="00095C9D" w:rsidRPr="00913E39">
              <w:rPr>
                <w:rFonts w:ascii="Garamond" w:hAnsi="Garamond"/>
                <w:b/>
                <w:sz w:val="24"/>
                <w:lang w:val="sq-AL"/>
              </w:rPr>
              <w:t>s</w:t>
            </w:r>
            <w:r w:rsidRPr="00913E39">
              <w:rPr>
                <w:rFonts w:ascii="Garamond" w:hAnsi="Garamond"/>
                <w:b/>
                <w:sz w:val="24"/>
                <w:lang w:val="sq-AL"/>
              </w:rPr>
              <w:t>huma</w:t>
            </w:r>
            <w:r w:rsidR="00095C9D" w:rsidRPr="00913E39">
              <w:rPr>
                <w:rFonts w:ascii="Garamond" w:hAnsi="Garamond"/>
                <w:b/>
                <w:sz w:val="24"/>
                <w:lang w:val="sq-AL"/>
              </w:rPr>
              <w:t xml:space="preserve"> </w:t>
            </w:r>
            <w:r w:rsidRPr="00913E39">
              <w:rPr>
                <w:rFonts w:ascii="Garamond" w:hAnsi="Garamond"/>
                <w:b/>
                <w:sz w:val="24"/>
                <w:lang w:val="sq-AL"/>
              </w:rPr>
              <w:t>e faturës (përpara vlerësimit të shumës së pranueshme)</w:t>
            </w:r>
          </w:p>
        </w:tc>
      </w:tr>
      <w:tr w:rsidR="00F2604F" w:rsidRPr="00913E39" w14:paraId="2812FC36" w14:textId="77777777" w:rsidTr="001A5959">
        <w:trPr>
          <w:trHeight w:val="20"/>
        </w:trPr>
        <w:tc>
          <w:tcPr>
            <w:tcW w:w="9070" w:type="dxa"/>
            <w:hideMark/>
          </w:tcPr>
          <w:p w14:paraId="43DD9E69"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Faturat dhe raportet e marra por akoma të pa miratuara. </w:t>
            </w:r>
          </w:p>
        </w:tc>
      </w:tr>
      <w:tr w:rsidR="00F2604F" w:rsidRPr="00913E39" w14:paraId="089CAF69" w14:textId="77777777" w:rsidTr="001A5959">
        <w:trPr>
          <w:trHeight w:val="20"/>
        </w:trPr>
        <w:tc>
          <w:tcPr>
            <w:tcW w:w="9070" w:type="dxa"/>
            <w:hideMark/>
          </w:tcPr>
          <w:p w14:paraId="7B6263D4"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Kur nuk ka faturë dhe kostot identifikohen nga një raport financiar (zakonisht grante) </w:t>
            </w:r>
          </w:p>
        </w:tc>
      </w:tr>
      <w:tr w:rsidR="00F2604F" w:rsidRPr="00913E39" w14:paraId="2C98F18A" w14:textId="77777777" w:rsidTr="001A5959">
        <w:trPr>
          <w:trHeight w:val="20"/>
        </w:trPr>
        <w:tc>
          <w:tcPr>
            <w:tcW w:w="9070" w:type="dxa"/>
            <w:hideMark/>
          </w:tcPr>
          <w:p w14:paraId="7E01F820"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2D9A6410" w14:textId="77777777" w:rsidTr="001A5959">
        <w:trPr>
          <w:trHeight w:val="20"/>
        </w:trPr>
        <w:tc>
          <w:tcPr>
            <w:tcW w:w="9070" w:type="dxa"/>
            <w:hideMark/>
          </w:tcPr>
          <w:p w14:paraId="0277162D" w14:textId="2CCFA680" w:rsidR="00F2604F" w:rsidRPr="00913E39" w:rsidRDefault="00F2604F" w:rsidP="00F2604F">
            <w:pPr>
              <w:tabs>
                <w:tab w:val="center" w:pos="4320"/>
                <w:tab w:val="right" w:pos="8640"/>
              </w:tabs>
              <w:autoSpaceDE w:val="0"/>
              <w:autoSpaceDN w:val="0"/>
              <w:adjustRightInd w:val="0"/>
              <w:jc w:val="both"/>
              <w:rPr>
                <w:rFonts w:ascii="Garamond" w:hAnsi="Garamond"/>
                <w:b/>
                <w:sz w:val="24"/>
                <w:lang w:val="sq-AL"/>
              </w:rPr>
            </w:pPr>
            <w:r w:rsidRPr="00913E39">
              <w:rPr>
                <w:rFonts w:ascii="Garamond" w:hAnsi="Garamond"/>
                <w:b/>
                <w:sz w:val="24"/>
                <w:lang w:val="sq-AL"/>
              </w:rPr>
              <w:t xml:space="preserve">20. Kostot në qarkullim </w:t>
            </w:r>
            <w:r w:rsidR="00095C9D" w:rsidRPr="00913E39">
              <w:rPr>
                <w:rFonts w:ascii="Garamond" w:hAnsi="Garamond"/>
                <w:b/>
                <w:sz w:val="24"/>
                <w:lang w:val="sq-AL"/>
              </w:rPr>
              <w:t>–</w:t>
            </w:r>
            <w:r w:rsidRPr="00913E39">
              <w:rPr>
                <w:rFonts w:ascii="Garamond" w:hAnsi="Garamond"/>
                <w:b/>
                <w:sz w:val="24"/>
                <w:lang w:val="sq-AL"/>
              </w:rPr>
              <w:t xml:space="preserve"> </w:t>
            </w:r>
            <w:r w:rsidR="00095C9D" w:rsidRPr="00913E39">
              <w:rPr>
                <w:rFonts w:ascii="Garamond" w:hAnsi="Garamond"/>
                <w:b/>
                <w:sz w:val="24"/>
                <w:lang w:val="sq-AL"/>
              </w:rPr>
              <w:t>s</w:t>
            </w:r>
            <w:r w:rsidRPr="00913E39">
              <w:rPr>
                <w:rFonts w:ascii="Garamond" w:hAnsi="Garamond"/>
                <w:b/>
                <w:sz w:val="24"/>
                <w:lang w:val="sq-AL"/>
              </w:rPr>
              <w:t>huma</w:t>
            </w:r>
            <w:r w:rsidR="00095C9D" w:rsidRPr="00913E39">
              <w:rPr>
                <w:rFonts w:ascii="Garamond" w:hAnsi="Garamond"/>
                <w:b/>
                <w:sz w:val="24"/>
                <w:lang w:val="sq-AL"/>
              </w:rPr>
              <w:t xml:space="preserve"> </w:t>
            </w:r>
            <w:r w:rsidRPr="00913E39">
              <w:rPr>
                <w:rFonts w:ascii="Garamond" w:hAnsi="Garamond"/>
                <w:b/>
                <w:sz w:val="24"/>
                <w:lang w:val="sq-AL"/>
              </w:rPr>
              <w:t>e raportit financiar (përpara vlerësimit të shumës së pranueshme)</w:t>
            </w:r>
          </w:p>
        </w:tc>
      </w:tr>
      <w:tr w:rsidR="00F2604F" w:rsidRPr="00913E39" w14:paraId="14E346B7" w14:textId="77777777" w:rsidTr="001A5959">
        <w:trPr>
          <w:trHeight w:val="20"/>
        </w:trPr>
        <w:tc>
          <w:tcPr>
            <w:tcW w:w="9070" w:type="dxa"/>
            <w:hideMark/>
          </w:tcPr>
          <w:p w14:paraId="16FD77A2"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r w:rsidRPr="00913E39">
              <w:rPr>
                <w:rFonts w:ascii="Garamond" w:hAnsi="Garamond"/>
                <w:i/>
                <w:sz w:val="24"/>
                <w:lang w:val="sq-AL"/>
              </w:rPr>
              <w:t xml:space="preserve">Raportet e mara por akoma të pa miratuara. </w:t>
            </w:r>
          </w:p>
        </w:tc>
      </w:tr>
      <w:tr w:rsidR="00F2604F" w:rsidRPr="00913E39" w14:paraId="58146676" w14:textId="77777777" w:rsidTr="001A5959">
        <w:trPr>
          <w:trHeight w:val="20"/>
        </w:trPr>
        <w:tc>
          <w:tcPr>
            <w:tcW w:w="9070" w:type="dxa"/>
            <w:hideMark/>
          </w:tcPr>
          <w:p w14:paraId="6E1C8B2E" w14:textId="77777777" w:rsidR="00F2604F" w:rsidRPr="00913E39" w:rsidRDefault="00F2604F" w:rsidP="00F2604F">
            <w:pPr>
              <w:tabs>
                <w:tab w:val="center" w:pos="4320"/>
                <w:tab w:val="right" w:pos="8640"/>
              </w:tabs>
              <w:autoSpaceDE w:val="0"/>
              <w:autoSpaceDN w:val="0"/>
              <w:adjustRightInd w:val="0"/>
              <w:jc w:val="both"/>
              <w:rPr>
                <w:rFonts w:ascii="Garamond" w:hAnsi="Garamond"/>
                <w:i/>
                <w:sz w:val="24"/>
                <w:lang w:val="sq-AL"/>
              </w:rPr>
            </w:pPr>
          </w:p>
        </w:tc>
      </w:tr>
      <w:tr w:rsidR="00F2604F" w:rsidRPr="00913E39" w14:paraId="4E8DB1C1" w14:textId="77777777" w:rsidTr="001A5959">
        <w:trPr>
          <w:trHeight w:val="20"/>
        </w:trPr>
        <w:tc>
          <w:tcPr>
            <w:tcW w:w="9070" w:type="dxa"/>
            <w:hideMark/>
          </w:tcPr>
          <w:p w14:paraId="21AB955C" w14:textId="77777777" w:rsidR="00F2604F" w:rsidRPr="00913E39" w:rsidRDefault="00F2604F" w:rsidP="00F2604F">
            <w:pPr>
              <w:tabs>
                <w:tab w:val="center" w:pos="4320"/>
                <w:tab w:val="right" w:pos="8640"/>
              </w:tabs>
              <w:autoSpaceDE w:val="0"/>
              <w:autoSpaceDN w:val="0"/>
              <w:adjustRightInd w:val="0"/>
              <w:jc w:val="both"/>
              <w:rPr>
                <w:rFonts w:ascii="Garamond" w:hAnsi="Garamond"/>
                <w:sz w:val="24"/>
                <w:lang w:val="sq-AL"/>
              </w:rPr>
            </w:pPr>
          </w:p>
        </w:tc>
      </w:tr>
    </w:tbl>
    <w:p w14:paraId="2CE90FF5" w14:textId="77777777" w:rsidR="00F2604F" w:rsidRPr="00913E39" w:rsidRDefault="00F2604F" w:rsidP="0030787B">
      <w:pPr>
        <w:tabs>
          <w:tab w:val="center" w:pos="4320"/>
          <w:tab w:val="right" w:pos="8640"/>
        </w:tabs>
        <w:autoSpaceDE w:val="0"/>
        <w:autoSpaceDN w:val="0"/>
        <w:adjustRightInd w:val="0"/>
        <w:spacing w:after="0" w:line="240" w:lineRule="auto"/>
        <w:ind w:firstLine="284"/>
        <w:jc w:val="both"/>
        <w:rPr>
          <w:rFonts w:ascii="Garamond" w:eastAsia="Calibri" w:hAnsi="Garamond" w:cs="Garamond"/>
          <w:sz w:val="24"/>
          <w:szCs w:val="24"/>
        </w:rPr>
      </w:pPr>
    </w:p>
    <w:p w14:paraId="0415F17D" w14:textId="0CA3E35E" w:rsidR="00903B69" w:rsidRPr="00913E39" w:rsidRDefault="00095C9D" w:rsidP="00B917EE">
      <w:pPr>
        <w:tabs>
          <w:tab w:val="center" w:pos="4320"/>
          <w:tab w:val="right" w:pos="8640"/>
        </w:tabs>
        <w:autoSpaceDE w:val="0"/>
        <w:autoSpaceDN w:val="0"/>
        <w:adjustRightInd w:val="0"/>
        <w:spacing w:after="0" w:line="240" w:lineRule="auto"/>
        <w:ind w:firstLine="284"/>
        <w:jc w:val="center"/>
        <w:rPr>
          <w:rFonts w:ascii="Garamond" w:eastAsia="Calibri" w:hAnsi="Garamond" w:cs="Garamond"/>
          <w:sz w:val="24"/>
          <w:szCs w:val="24"/>
        </w:rPr>
      </w:pPr>
      <w:r w:rsidRPr="00913E39">
        <w:rPr>
          <w:rFonts w:ascii="Garamond" w:eastAsia="Calibri" w:hAnsi="Garamond" w:cs="Garamond"/>
          <w:sz w:val="24"/>
          <w:szCs w:val="24"/>
        </w:rPr>
        <w:t>ANEKSI V I MARRËVESHJES SË FINANCIMIT</w:t>
      </w:r>
    </w:p>
    <w:p w14:paraId="58DE06D3" w14:textId="3816737C" w:rsidR="00903B69" w:rsidRPr="00913E39" w:rsidRDefault="00095C9D" w:rsidP="00B917EE">
      <w:pPr>
        <w:autoSpaceDE w:val="0"/>
        <w:autoSpaceDN w:val="0"/>
        <w:adjustRightInd w:val="0"/>
        <w:spacing w:after="0" w:line="240" w:lineRule="auto"/>
        <w:ind w:firstLine="284"/>
        <w:jc w:val="center"/>
        <w:rPr>
          <w:rFonts w:ascii="Garamond" w:eastAsia="Calibri" w:hAnsi="Garamond" w:cs="Garamond"/>
          <w:sz w:val="24"/>
          <w:szCs w:val="24"/>
        </w:rPr>
      </w:pPr>
      <w:r w:rsidRPr="00913E39">
        <w:rPr>
          <w:rFonts w:ascii="Garamond" w:eastAsia="Calibri" w:hAnsi="Garamond" w:cs="Garamond"/>
          <w:sz w:val="24"/>
          <w:szCs w:val="24"/>
        </w:rPr>
        <w:t>SPECIFIKIMET MINIMALE TË SISTEMIT TË KONTABILITETIT ME BAZË RRITËSE</w:t>
      </w:r>
    </w:p>
    <w:p w14:paraId="58B8B241"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p>
    <w:p w14:paraId="409B4D24"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Sistemi i kontabilitetit të përfituesit IPA III duhet të plotësojë kërkesat e mëposhtme:</w:t>
      </w:r>
    </w:p>
    <w:p w14:paraId="20EB3CA4" w14:textId="01D4D4D6"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1. Të pasqyrojë strukturën organizative të vënë në funksion për sistemet e kontrollit të brendshëm të përshtatur për kryerjen e detyrave. Në veçanti, para autorizimit të një operacioni, të gjitha aspektet (si ato operacionale dhe financiare) e operacionit duhet të verifikohen nga anëtarë të stafit dhe jo nga personi që ka nisur operacionin. Personi që merret me verifikimin nuk mund të jetë nën varësinë e iniciuesit të transaksionit.</w:t>
      </w:r>
    </w:p>
    <w:p w14:paraId="7B821BE4"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2. Të përfshijë gjurmën e auditit për të gjitha transaksionet dhe ndryshimet.</w:t>
      </w:r>
    </w:p>
    <w:p w14:paraId="4975027F"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lastRenderedPageBreak/>
        <w:t>3. Të ketë sigurinë e duhur fizike dhe elektronike, duke përfshirë sistemet mbështetëse dhe ato të rikuperimit.</w:t>
      </w:r>
    </w:p>
    <w:p w14:paraId="28EDA7F7"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4. Sistemi i kontabilitetit duhet të mbajë të paktën informacionin e mëposhtëm për kontratat lokale të menaxhuara sipas secilit program:</w:t>
      </w:r>
    </w:p>
    <w:p w14:paraId="405182CD"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a) Referenca e kontratës;</w:t>
      </w:r>
    </w:p>
    <w:p w14:paraId="1213C4AC"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b) Vlera e kontratës, duke përfshirë çdo ndryshim;</w:t>
      </w:r>
    </w:p>
    <w:p w14:paraId="1B6CB7EE"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c) Datat e nënshkrimit të kontratës (nga të dyja palët);</w:t>
      </w:r>
    </w:p>
    <w:p w14:paraId="34D8D6D7"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d) Data për fillimin e zbatimit të kontratës;</w:t>
      </w:r>
    </w:p>
    <w:p w14:paraId="7DB6C47A"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Kjo datë jepet përveç datës së nënshkrimit të kontratës dhe mund të ndryshojë prej saj, si në rastin kur data për fillimin e punimeve të kontratës jepet pas nënshkrimit të kontratës me anë të një Urdhri Administrativ.</w:t>
      </w:r>
    </w:p>
    <w:p w14:paraId="679C7C5F"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e) Data për përfundimin e zbatimit të kontratës, duke përfshirë çdo ndryshim;</w:t>
      </w:r>
    </w:p>
    <w:p w14:paraId="795C32AF" w14:textId="45AB0F9D"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Kjo është data e fundit në të cilën mund të krijohen kosto të pranueshme. Kjo datë nuk përfshin asnjë periudhë garancie apo kohën e lejuar për përgatitjen e raportit nga kontraktuesi.</w:t>
      </w:r>
    </w:p>
    <w:p w14:paraId="61114C2C"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f) Totali i paguar (</w:t>
      </w:r>
      <w:r w:rsidRPr="00913E39">
        <w:rPr>
          <w:rFonts w:ascii="Garamond" w:eastAsia="Calibri" w:hAnsi="Garamond" w:cs="Garamond"/>
          <w:i/>
          <w:sz w:val="24"/>
          <w:szCs w:val="24"/>
        </w:rPr>
        <w:t>cash</w:t>
      </w:r>
      <w:r w:rsidRPr="00913E39">
        <w:rPr>
          <w:rFonts w:ascii="Garamond" w:eastAsia="Calibri" w:hAnsi="Garamond" w:cs="Garamond"/>
          <w:sz w:val="24"/>
          <w:szCs w:val="24"/>
        </w:rPr>
        <w:t>) sipas kontratës;</w:t>
      </w:r>
    </w:p>
    <w:p w14:paraId="6FA423B3"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g) Parafinancimi i paguar sipas kontratës;</w:t>
      </w:r>
    </w:p>
    <w:p w14:paraId="06FA8391"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Njohja shprehimisht dhe regjistrimi në pasqyrën financiare i parafinancimit të kërkuar me kontratë.</w:t>
      </w:r>
    </w:p>
    <w:p w14:paraId="5395F6C4"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h) Shpenzimet e pranuara – direkte (sipas kontratës);</w:t>
      </w:r>
    </w:p>
    <w:p w14:paraId="3B2893AC" w14:textId="5CF5B9DB"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Njohja shprehimisht e kostos si pagesë e shpenzimeve të vitit. Disa pagesa do të mbulojnë direkt shpenzimet që janë bërë. Nuk përfshihet parafinancimi. Pagesat mund të jenë përfundimtare kur parafinancimi të jetë likuiduar ose mund të jenë pagesa të përkohshme kur parafinancimi të jetë likuiduar ose kur kontrata nuk përfshin dispozitën e parafinancimit.</w:t>
      </w:r>
    </w:p>
    <w:p w14:paraId="1EB5F87D"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i) Shpenzimet e pranuara – indirekte (sipas kontratës);</w:t>
      </w:r>
    </w:p>
    <w:p w14:paraId="460AA66E" w14:textId="4E82E34F"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 xml:space="preserve">Njohja shprehimisht e kostos si pagesë e shpenzimeve të vitit. Disa fatura apo pretendime për shpenzime të paraqitura nga kontraktuesi apo përfituesi i grantit do të kenë lidhje me shpenzimet që janë mbuluar nga parafinancimi i paguar më parë gjatë periudhës së zbatimit të kontratës apo marrëveshjes së grantit. Në këto raste, pagesa e bërë do të jetë më e vogël se kostoja e raportuar. Ajo mund të jetë edhe zero nëse e gjithë kostoja mbulohet nga parafinancimi (me siguri ajo do të jetë zero nëse kostot e raportuara janë të pamjaftueshme për të absorbuar parafinancimin dhe për bilancin e pashfrytëzuar të parafinancimit nxirret një urdhër rikuperimi). Në të gjitha këto raste sistemi duhet të regjistrojë vlerën e plotë të kostos së pranueshme të raportuar si shpenzime për vitin dhe të reduktojë bilancin e parafinancimit nga shuma e kostos së kompensuar kundrejt parafinancimit kur përcakton shumën që do të paguhet. </w:t>
      </w:r>
    </w:p>
    <w:p w14:paraId="219FADB1"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 xml:space="preserve">j) Urdhra rikuperimi për të reduktuar parafinancimin (sipas kontratës); </w:t>
      </w:r>
    </w:p>
    <w:p w14:paraId="05D73014"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Pranimi i reduktimit të parafinancimit në pasqyrën financiare pas rikuperimit të parafinancimit të pashfrytëzuar.</w:t>
      </w:r>
    </w:p>
    <w:p w14:paraId="2B5C1B66"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 xml:space="preserve">k) Urdhra rikuperimi për të zbritur koston (sipas kontratës); </w:t>
      </w:r>
    </w:p>
    <w:p w14:paraId="0793F15F" w14:textId="1E46BA0B"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 xml:space="preserve">Kur rikuperimi është bërë kundrejt kostos që është pranuar më parë – mundësisht pas një hetimi për mashtrim. Në këto raste, kostot e regjistruara për vitin duhet të zbriten nëse kostoja është pranuar në të njëjtin vit si rikuperim pasues; ose të ardhurat duhet të regjistrohen kur kostoja është pranuar në një vit më herët se ai i rikuperimit. </w:t>
      </w:r>
    </w:p>
    <w:p w14:paraId="519F90C5"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l) Data e faturës së furnizuesit për çdo faturë apo dokument tjetër të shoqëruar me një raport financiar që mundësojnë shpenzimet e pranuara;</w:t>
      </w:r>
    </w:p>
    <w:p w14:paraId="7181A570" w14:textId="77777777" w:rsidR="00903B69" w:rsidRPr="00913E39" w:rsidRDefault="00903B69" w:rsidP="00B917EE">
      <w:pPr>
        <w:autoSpaceDE w:val="0"/>
        <w:autoSpaceDN w:val="0"/>
        <w:adjustRightInd w:val="0"/>
        <w:spacing w:after="0" w:line="240" w:lineRule="auto"/>
        <w:ind w:firstLine="284"/>
        <w:jc w:val="both"/>
        <w:rPr>
          <w:rFonts w:ascii="Garamond" w:eastAsia="Calibri" w:hAnsi="Garamond" w:cs="Garamond"/>
          <w:sz w:val="24"/>
          <w:szCs w:val="24"/>
        </w:rPr>
      </w:pPr>
      <w:r w:rsidRPr="00913E39">
        <w:rPr>
          <w:rFonts w:ascii="Garamond" w:eastAsia="Calibri" w:hAnsi="Garamond" w:cs="Garamond"/>
          <w:sz w:val="24"/>
          <w:szCs w:val="24"/>
        </w:rPr>
        <w:t>m) Të dhëna në kontekstin e rikuperimit për shpenzimet e papranueshme dhe rikuperimet.</w:t>
      </w:r>
    </w:p>
    <w:p w14:paraId="15B4ABA8" w14:textId="77777777" w:rsidR="0090197C" w:rsidRPr="00913E39" w:rsidRDefault="0090197C" w:rsidP="009C2266">
      <w:pPr>
        <w:ind w:firstLine="284"/>
        <w:jc w:val="center"/>
        <w:rPr>
          <w:rFonts w:ascii="Garamond" w:hAnsi="Garamond"/>
          <w:b/>
          <w:smallCaps/>
          <w:u w:val="single"/>
        </w:rPr>
      </w:pPr>
      <w:bookmarkStart w:id="59" w:name="_Toc379806625"/>
      <w:bookmarkStart w:id="60" w:name="_Toc398909116"/>
      <w:bookmarkStart w:id="61" w:name="_Toc379806624"/>
      <w:bookmarkStart w:id="62" w:name="_Toc398909115"/>
      <w:bookmarkStart w:id="63" w:name="_Toc73090729"/>
      <w:bookmarkStart w:id="64" w:name="_Toc47101939"/>
      <w:bookmarkStart w:id="65" w:name="_Toc51270433"/>
    </w:p>
    <w:p w14:paraId="4F2A0A25" w14:textId="77777777" w:rsidR="0090197C" w:rsidRPr="00913E39" w:rsidRDefault="0090197C" w:rsidP="00E8580A">
      <w:pPr>
        <w:spacing w:after="0" w:line="240" w:lineRule="auto"/>
        <w:ind w:firstLine="284"/>
        <w:jc w:val="center"/>
        <w:rPr>
          <w:rFonts w:ascii="Garamond" w:hAnsi="Garamond"/>
          <w:smallCaps/>
          <w:sz w:val="24"/>
          <w:szCs w:val="24"/>
        </w:rPr>
      </w:pPr>
      <w:r w:rsidRPr="00913E39">
        <w:rPr>
          <w:rFonts w:ascii="Garamond" w:hAnsi="Garamond"/>
          <w:smallCaps/>
          <w:sz w:val="24"/>
          <w:szCs w:val="24"/>
        </w:rPr>
        <w:t xml:space="preserve">IPA III </w:t>
      </w:r>
    </w:p>
    <w:p w14:paraId="1AD41D89" w14:textId="77777777" w:rsidR="0090197C" w:rsidRPr="00913E39" w:rsidRDefault="00E8580A" w:rsidP="00E8580A">
      <w:pPr>
        <w:spacing w:after="0" w:line="240" w:lineRule="auto"/>
        <w:ind w:firstLine="284"/>
        <w:jc w:val="center"/>
        <w:rPr>
          <w:rFonts w:ascii="Garamond" w:hAnsi="Garamond"/>
          <w:smallCaps/>
          <w:sz w:val="24"/>
          <w:szCs w:val="24"/>
        </w:rPr>
      </w:pPr>
      <w:r w:rsidRPr="00913E39">
        <w:rPr>
          <w:rFonts w:ascii="Garamond" w:hAnsi="Garamond"/>
          <w:smallCaps/>
          <w:sz w:val="24"/>
          <w:szCs w:val="24"/>
        </w:rPr>
        <w:lastRenderedPageBreak/>
        <w:t>APLIKIM PËR PROJEKT MADHOR</w:t>
      </w:r>
      <w:r w:rsidR="0090197C" w:rsidRPr="00913E39">
        <w:rPr>
          <w:rStyle w:val="FootnoteReference"/>
          <w:rFonts w:ascii="Garamond" w:hAnsi="Garamond"/>
          <w:smallCaps/>
          <w:sz w:val="24"/>
          <w:szCs w:val="24"/>
        </w:rPr>
        <w:footnoteReference w:id="104"/>
      </w:r>
    </w:p>
    <w:p w14:paraId="567DE06B" w14:textId="77777777" w:rsidR="00E8580A" w:rsidRPr="00913E39" w:rsidRDefault="00E8580A" w:rsidP="00E8580A">
      <w:pPr>
        <w:spacing w:after="0" w:line="240" w:lineRule="auto"/>
        <w:ind w:firstLine="284"/>
        <w:jc w:val="center"/>
        <w:rPr>
          <w:rFonts w:ascii="Garamond" w:hAnsi="Garamond"/>
          <w:sz w:val="24"/>
          <w:szCs w:val="24"/>
        </w:rPr>
      </w:pPr>
    </w:p>
    <w:bookmarkEnd w:id="59"/>
    <w:bookmarkEnd w:id="60"/>
    <w:bookmarkEnd w:id="61"/>
    <w:bookmarkEnd w:id="62"/>
    <w:bookmarkEnd w:id="63"/>
    <w:bookmarkEnd w:id="64"/>
    <w:bookmarkEnd w:id="65"/>
    <w:p w14:paraId="361745EF" w14:textId="77777777" w:rsidR="0090197C" w:rsidRPr="00913E39" w:rsidRDefault="0090197C" w:rsidP="00E8580A">
      <w:pPr>
        <w:pStyle w:val="Heading1"/>
        <w:spacing w:before="0" w:after="0"/>
        <w:ind w:firstLine="284"/>
        <w:jc w:val="both"/>
        <w:rPr>
          <w:rFonts w:ascii="Garamond" w:hAnsi="Garamond"/>
          <w:b w:val="0"/>
          <w:sz w:val="24"/>
          <w:lang w:val="sq-AL"/>
        </w:rPr>
      </w:pPr>
      <w:r w:rsidRPr="00913E39">
        <w:rPr>
          <w:rFonts w:ascii="Garamond" w:hAnsi="Garamond"/>
          <w:b w:val="0"/>
          <w:sz w:val="24"/>
          <w:lang w:val="sq-AL"/>
        </w:rPr>
        <w:t xml:space="preserve">1. PËRMBLEDHËSE </w:t>
      </w:r>
    </w:p>
    <w:p w14:paraId="35E2AC3B" w14:textId="730D6AEE" w:rsidR="0090197C" w:rsidRPr="00913E39" w:rsidRDefault="0090197C" w:rsidP="00E8580A">
      <w:pPr>
        <w:pStyle w:val="Heading2"/>
        <w:spacing w:before="0" w:after="0"/>
        <w:ind w:firstLine="284"/>
        <w:jc w:val="both"/>
        <w:rPr>
          <w:rFonts w:ascii="Garamond" w:hAnsi="Garamond"/>
          <w:b w:val="0"/>
          <w:sz w:val="24"/>
          <w:lang w:val="sq-AL"/>
        </w:rPr>
      </w:pPr>
      <w:r w:rsidRPr="00913E39">
        <w:rPr>
          <w:rFonts w:ascii="Garamond" w:hAnsi="Garamond"/>
          <w:b w:val="0"/>
          <w:sz w:val="24"/>
          <w:lang w:val="sq-AL"/>
        </w:rPr>
        <w:t xml:space="preserve">1.1 Tabela </w:t>
      </w:r>
      <w:r w:rsidR="00095C9D" w:rsidRPr="00913E39">
        <w:rPr>
          <w:rFonts w:ascii="Garamond" w:hAnsi="Garamond"/>
          <w:b w:val="0"/>
          <w:sz w:val="24"/>
          <w:lang w:val="sq-AL"/>
        </w:rPr>
        <w:t>p</w:t>
      </w:r>
      <w:r w:rsidRPr="00913E39">
        <w:rPr>
          <w:rFonts w:ascii="Garamond" w:hAnsi="Garamond"/>
          <w:b w:val="0"/>
          <w:sz w:val="24"/>
          <w:lang w:val="sq-AL"/>
        </w:rPr>
        <w:t>ërmbledhëse e Programit</w:t>
      </w:r>
    </w:p>
    <w:tbl>
      <w:tblPr>
        <w:tblW w:w="9072" w:type="dxa"/>
        <w:tblInd w:w="250" w:type="dxa"/>
        <w:tblLayout w:type="fixed"/>
        <w:tblLook w:val="01E0" w:firstRow="1" w:lastRow="1" w:firstColumn="1" w:lastColumn="1" w:noHBand="0" w:noVBand="0"/>
      </w:tblPr>
      <w:tblGrid>
        <w:gridCol w:w="2094"/>
        <w:gridCol w:w="23"/>
        <w:gridCol w:w="2986"/>
        <w:gridCol w:w="1134"/>
        <w:gridCol w:w="1418"/>
        <w:gridCol w:w="1417"/>
      </w:tblGrid>
      <w:tr w:rsidR="0090197C" w:rsidRPr="00913E39" w14:paraId="03ED2C28"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53F61512" w14:textId="77777777" w:rsidR="0090197C" w:rsidRPr="00913E39" w:rsidRDefault="0090197C" w:rsidP="00882ABD">
            <w:pPr>
              <w:spacing w:after="0" w:line="240" w:lineRule="auto"/>
              <w:rPr>
                <w:rFonts w:ascii="Garamond" w:hAnsi="Garamond"/>
                <w:b/>
                <w:sz w:val="20"/>
                <w:szCs w:val="20"/>
              </w:rPr>
            </w:pPr>
            <w:r w:rsidRPr="00913E39">
              <w:rPr>
                <w:rFonts w:ascii="Garamond" w:hAnsi="Garamond"/>
                <w:b/>
                <w:bCs/>
                <w:sz w:val="20"/>
                <w:szCs w:val="20"/>
              </w:rPr>
              <w:t>Titulli i projektit</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229331E0"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[titull]</w:t>
            </w:r>
          </w:p>
        </w:tc>
      </w:tr>
      <w:tr w:rsidR="0090197C" w:rsidRPr="00913E39" w14:paraId="1410DC08" w14:textId="77777777" w:rsidTr="00882ABD">
        <w:trPr>
          <w:trHeight w:val="20"/>
        </w:trPr>
        <w:tc>
          <w:tcPr>
            <w:tcW w:w="2094" w:type="dxa"/>
            <w:vMerge w:val="restart"/>
            <w:tcBorders>
              <w:top w:val="single" w:sz="4" w:space="0" w:color="auto"/>
              <w:left w:val="single" w:sz="4" w:space="0" w:color="auto"/>
              <w:right w:val="single" w:sz="4" w:space="0" w:color="auto"/>
            </w:tcBorders>
            <w:shd w:val="clear" w:color="auto" w:fill="auto"/>
            <w:vAlign w:val="center"/>
          </w:tcPr>
          <w:p w14:paraId="3CC39C79" w14:textId="2609637B" w:rsidR="0090197C" w:rsidRPr="00913E39" w:rsidRDefault="0090197C" w:rsidP="00882ABD">
            <w:pPr>
              <w:spacing w:after="0" w:line="240" w:lineRule="auto"/>
              <w:rPr>
                <w:rFonts w:ascii="Garamond" w:hAnsi="Garamond"/>
                <w:b/>
                <w:bCs/>
                <w:sz w:val="20"/>
                <w:szCs w:val="20"/>
              </w:rPr>
            </w:pPr>
            <w:r w:rsidRPr="00913E39">
              <w:rPr>
                <w:rFonts w:ascii="Garamond" w:hAnsi="Garamond"/>
                <w:b/>
                <w:sz w:val="20"/>
                <w:szCs w:val="20"/>
              </w:rPr>
              <w:t>Program Operacional</w:t>
            </w:r>
            <w:r w:rsidRPr="00913E39">
              <w:rPr>
                <w:rFonts w:ascii="Garamond" w:hAnsi="Garamond"/>
                <w:i/>
                <w:sz w:val="20"/>
                <w:szCs w:val="20"/>
              </w:rPr>
              <w:t xml:space="preserve"> </w:t>
            </w:r>
            <w:r w:rsidRPr="00913E39">
              <w:rPr>
                <w:rFonts w:ascii="Garamond" w:hAnsi="Garamond"/>
                <w:b/>
                <w:bCs/>
                <w:sz w:val="20"/>
                <w:szCs w:val="20"/>
              </w:rPr>
              <w:t>Shumëvjeçar</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3756B2A9" w14:textId="55CC8274"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Program Operacional Shumëvjeçar për [sektorin (sektorët)</w:t>
            </w:r>
            <w:r w:rsidR="00095C9D" w:rsidRPr="00913E39">
              <w:rPr>
                <w:rFonts w:ascii="Garamond" w:hAnsi="Garamond"/>
                <w:sz w:val="20"/>
                <w:szCs w:val="20"/>
              </w:rPr>
              <w:t>,</w:t>
            </w:r>
            <w:r w:rsidRPr="00913E39">
              <w:rPr>
                <w:rFonts w:ascii="Garamond" w:hAnsi="Garamond"/>
                <w:sz w:val="20"/>
                <w:szCs w:val="20"/>
              </w:rPr>
              <w:t xml:space="preserve"> p.sh., mjedisi] në favor të [vendi përfitues] për [vitet]</w:t>
            </w:r>
          </w:p>
        </w:tc>
      </w:tr>
      <w:tr w:rsidR="0090197C" w:rsidRPr="00913E39" w14:paraId="6C305CBF" w14:textId="77777777" w:rsidTr="00882ABD">
        <w:trPr>
          <w:trHeight w:val="20"/>
        </w:trPr>
        <w:tc>
          <w:tcPr>
            <w:tcW w:w="2094" w:type="dxa"/>
            <w:vMerge/>
            <w:tcBorders>
              <w:left w:val="single" w:sz="4" w:space="0" w:color="auto"/>
              <w:bottom w:val="single" w:sz="4" w:space="0" w:color="auto"/>
              <w:right w:val="single" w:sz="4" w:space="0" w:color="auto"/>
            </w:tcBorders>
            <w:shd w:val="clear" w:color="auto" w:fill="auto"/>
          </w:tcPr>
          <w:p w14:paraId="65D5E231" w14:textId="77777777" w:rsidR="0090197C" w:rsidRPr="00913E39" w:rsidDel="00E20375" w:rsidRDefault="0090197C" w:rsidP="00882ABD">
            <w:pPr>
              <w:spacing w:after="0" w:line="240" w:lineRule="auto"/>
              <w:rPr>
                <w:rFonts w:ascii="Garamond" w:hAnsi="Garamond"/>
                <w:b/>
                <w:sz w:val="20"/>
              </w:rPr>
            </w:pP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59534FFC" w14:textId="77777777" w:rsidR="0090197C" w:rsidRPr="00913E39" w:rsidRDefault="0090197C" w:rsidP="00882ABD">
            <w:pPr>
              <w:spacing w:after="0" w:line="240" w:lineRule="auto"/>
              <w:rPr>
                <w:rFonts w:ascii="Garamond" w:hAnsi="Garamond"/>
                <w:sz w:val="20"/>
              </w:rPr>
            </w:pPr>
            <w:r w:rsidRPr="00913E39">
              <w:rPr>
                <w:rFonts w:ascii="Garamond" w:hAnsi="Garamond"/>
                <w:sz w:val="20"/>
              </w:rPr>
              <w:t>Miratuar me vendimin e Komisionit [# dhe data]</w:t>
            </w:r>
          </w:p>
        </w:tc>
      </w:tr>
      <w:tr w:rsidR="0090197C" w:rsidRPr="00913E39" w14:paraId="74A44429" w14:textId="77777777" w:rsidTr="00882ABD">
        <w:trPr>
          <w:trHeight w:val="20"/>
        </w:trPr>
        <w:tc>
          <w:tcPr>
            <w:tcW w:w="2094" w:type="dxa"/>
            <w:vMerge/>
            <w:tcBorders>
              <w:left w:val="single" w:sz="4" w:space="0" w:color="auto"/>
              <w:bottom w:val="single" w:sz="4" w:space="0" w:color="auto"/>
              <w:right w:val="single" w:sz="4" w:space="0" w:color="auto"/>
            </w:tcBorders>
            <w:shd w:val="clear" w:color="auto" w:fill="auto"/>
          </w:tcPr>
          <w:p w14:paraId="1663024D" w14:textId="77777777" w:rsidR="0090197C" w:rsidRPr="00913E39" w:rsidDel="00E20375" w:rsidRDefault="0090197C" w:rsidP="00882ABD">
            <w:pPr>
              <w:spacing w:after="0" w:line="240" w:lineRule="auto"/>
              <w:rPr>
                <w:rFonts w:ascii="Garamond" w:hAnsi="Garamond"/>
                <w:b/>
                <w:sz w:val="20"/>
              </w:rPr>
            </w:pP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6F5C01A3" w14:textId="062DFADA" w:rsidR="0090197C" w:rsidRPr="00913E39" w:rsidRDefault="0090197C" w:rsidP="00882ABD">
            <w:pPr>
              <w:spacing w:after="0" w:line="240" w:lineRule="auto"/>
              <w:rPr>
                <w:rFonts w:ascii="Garamond" w:hAnsi="Garamond"/>
                <w:sz w:val="20"/>
              </w:rPr>
            </w:pPr>
            <w:r w:rsidRPr="00913E39">
              <w:rPr>
                <w:rFonts w:ascii="Garamond" w:hAnsi="Garamond"/>
                <w:sz w:val="20"/>
              </w:rPr>
              <w:t xml:space="preserve">Ref: OPSYS/PINTV: [# Në rast se projektet </w:t>
            </w:r>
            <w:r w:rsidR="00095C9D" w:rsidRPr="00913E39">
              <w:rPr>
                <w:rFonts w:ascii="Garamond" w:hAnsi="Garamond"/>
                <w:sz w:val="20"/>
              </w:rPr>
              <w:t>m</w:t>
            </w:r>
            <w:r w:rsidRPr="00913E39">
              <w:rPr>
                <w:rFonts w:ascii="Garamond" w:hAnsi="Garamond"/>
                <w:sz w:val="20"/>
              </w:rPr>
              <w:t>adhore do të ekzistojnë si subjekte më vete në]</w:t>
            </w:r>
          </w:p>
          <w:p w14:paraId="37B7B6DD"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Ref JAD: [#]</w:t>
            </w:r>
          </w:p>
          <w:p w14:paraId="1DEEFE73"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Ref ACT: [#]</w:t>
            </w:r>
          </w:p>
        </w:tc>
      </w:tr>
      <w:tr w:rsidR="0090197C" w:rsidRPr="00913E39" w14:paraId="61BEC415"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5CD7D68C" w14:textId="71E2D4C4" w:rsidR="0090197C" w:rsidRPr="00913E39" w:rsidDel="00E20375" w:rsidRDefault="0090197C" w:rsidP="00882ABD">
            <w:pPr>
              <w:spacing w:after="0" w:line="240" w:lineRule="auto"/>
              <w:rPr>
                <w:rFonts w:ascii="Garamond" w:hAnsi="Garamond"/>
                <w:b/>
                <w:bCs/>
                <w:sz w:val="20"/>
                <w:szCs w:val="20"/>
              </w:rPr>
            </w:pPr>
            <w:r w:rsidRPr="00913E39">
              <w:rPr>
                <w:rFonts w:ascii="Garamond" w:hAnsi="Garamond"/>
                <w:b/>
                <w:bCs/>
                <w:sz w:val="20"/>
                <w:szCs w:val="20"/>
              </w:rPr>
              <w:t>Akti bazë/</w:t>
            </w:r>
            <w:r w:rsidR="009B7298" w:rsidRPr="00913E39">
              <w:rPr>
                <w:rFonts w:ascii="Garamond" w:hAnsi="Garamond"/>
                <w:b/>
                <w:bCs/>
                <w:sz w:val="20"/>
                <w:szCs w:val="20"/>
              </w:rPr>
              <w:t>ref</w:t>
            </w:r>
            <w:r w:rsidRPr="00913E39">
              <w:rPr>
                <w:rFonts w:ascii="Garamond" w:hAnsi="Garamond"/>
                <w:b/>
                <w:bCs/>
                <w:sz w:val="20"/>
                <w:szCs w:val="20"/>
              </w:rPr>
              <w:t>. Programit</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5F4EAA39"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 xml:space="preserve">Financuar sipas Instrumentit të Ndihmës para Aderimit (IPA III) </w:t>
            </w:r>
          </w:p>
          <w:p w14:paraId="67E54617"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Kuadri i Programimit IPA III</w:t>
            </w:r>
          </w:p>
        </w:tc>
      </w:tr>
      <w:tr w:rsidR="0090197C" w:rsidRPr="00913E39" w14:paraId="24265C19"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6E7550C3" w14:textId="77777777" w:rsidR="0090197C" w:rsidRPr="00913E39" w:rsidRDefault="0090197C" w:rsidP="00882ABD">
            <w:pPr>
              <w:pStyle w:val="Text1"/>
              <w:spacing w:before="0" w:after="0"/>
              <w:ind w:left="0"/>
              <w:jc w:val="left"/>
              <w:rPr>
                <w:rFonts w:ascii="Garamond" w:hAnsi="Garamond"/>
                <w:b/>
                <w:bCs/>
                <w:sz w:val="20"/>
              </w:rPr>
            </w:pPr>
            <w:r w:rsidRPr="00913E39">
              <w:rPr>
                <w:rFonts w:ascii="Garamond" w:hAnsi="Garamond"/>
                <w:b/>
                <w:bCs/>
                <w:sz w:val="20"/>
              </w:rPr>
              <w:t>Plani Ekonomik dhe i Investimeve (PEI)</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25A841B3" w14:textId="77777777"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[Po/Jo]</w:t>
            </w:r>
          </w:p>
          <w:p w14:paraId="42ED496B" w14:textId="77777777" w:rsidR="0090197C" w:rsidRPr="00913E39" w:rsidRDefault="0090197C" w:rsidP="00882ABD">
            <w:pPr>
              <w:spacing w:after="0" w:line="240" w:lineRule="auto"/>
              <w:rPr>
                <w:rFonts w:ascii="Garamond" w:hAnsi="Garamond"/>
                <w:sz w:val="20"/>
              </w:rPr>
            </w:pPr>
          </w:p>
        </w:tc>
      </w:tr>
      <w:tr w:rsidR="0090197C" w:rsidRPr="00913E39" w14:paraId="526D518F"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6EA7F6D5" w14:textId="19F34B4A" w:rsidR="0090197C" w:rsidRPr="00913E39" w:rsidRDefault="0090197C" w:rsidP="00882ABD">
            <w:pPr>
              <w:spacing w:after="0" w:line="240" w:lineRule="auto"/>
              <w:rPr>
                <w:rFonts w:ascii="Garamond" w:hAnsi="Garamond"/>
                <w:b/>
                <w:bCs/>
                <w:sz w:val="20"/>
                <w:szCs w:val="20"/>
              </w:rPr>
            </w:pPr>
            <w:r w:rsidRPr="00913E39">
              <w:rPr>
                <w:rFonts w:ascii="Garamond" w:hAnsi="Garamond"/>
                <w:b/>
                <w:sz w:val="20"/>
                <w:szCs w:val="20"/>
              </w:rPr>
              <w:t xml:space="preserve">Programi </w:t>
            </w:r>
            <w:r w:rsidR="009B7298" w:rsidRPr="00913E39">
              <w:rPr>
                <w:rFonts w:ascii="Garamond" w:hAnsi="Garamond"/>
                <w:b/>
                <w:sz w:val="20"/>
                <w:szCs w:val="20"/>
              </w:rPr>
              <w:t xml:space="preserve">kryesor (pionier) </w:t>
            </w:r>
            <w:r w:rsidRPr="00913E39">
              <w:rPr>
                <w:rFonts w:ascii="Garamond" w:hAnsi="Garamond"/>
                <w:b/>
                <w:sz w:val="20"/>
                <w:szCs w:val="20"/>
              </w:rPr>
              <w:t>PEI</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3CB53BB8" w14:textId="564C2C23"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&lt;Nëse po, specifikoni prioritetin/prioritetet kryesore</w:t>
            </w:r>
            <w:r w:rsidRPr="00913E39">
              <w:rPr>
                <w:rStyle w:val="FootnoteReference"/>
                <w:rFonts w:ascii="Garamond" w:eastAsia="DengXian" w:hAnsi="Garamond"/>
                <w:sz w:val="20"/>
                <w:lang w:eastAsia="de-DE"/>
              </w:rPr>
              <w:footnoteReference w:id="105"/>
            </w:r>
            <w:r w:rsidRPr="00913E39">
              <w:rPr>
                <w:rFonts w:ascii="Garamond" w:hAnsi="Garamond"/>
                <w:sz w:val="20"/>
              </w:rPr>
              <w:t xml:space="preserve"> dhe pjesën </w:t>
            </w:r>
            <w:r w:rsidR="009B7298" w:rsidRPr="00913E39">
              <w:rPr>
                <w:rFonts w:ascii="Garamond" w:hAnsi="Garamond"/>
                <w:sz w:val="20"/>
              </w:rPr>
              <w:t xml:space="preserve">e fushës prioritare </w:t>
            </w:r>
            <w:r w:rsidRPr="00913E39">
              <w:rPr>
                <w:rFonts w:ascii="Garamond" w:hAnsi="Garamond"/>
                <w:sz w:val="20"/>
              </w:rPr>
              <w:t>(FP) (FP) %&gt;</w:t>
            </w:r>
            <w:r w:rsidRPr="00913E39">
              <w:rPr>
                <w:rStyle w:val="FootnoteReference"/>
                <w:rFonts w:ascii="Garamond" w:eastAsia="DengXian" w:hAnsi="Garamond"/>
                <w:sz w:val="20"/>
                <w:lang w:eastAsia="de-DE"/>
              </w:rPr>
              <w:footnoteReference w:id="106"/>
            </w:r>
          </w:p>
          <w:p w14:paraId="0FC0E2E1"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[Po/Jo]</w:t>
            </w:r>
          </w:p>
          <w:p w14:paraId="75CC8DD4" w14:textId="4CAC5AD9" w:rsidR="0090197C" w:rsidRPr="00913E39" w:rsidRDefault="0090197C" w:rsidP="00882ABD">
            <w:pPr>
              <w:pStyle w:val="Text1"/>
              <w:spacing w:before="0" w:after="0"/>
              <w:ind w:left="0"/>
              <w:rPr>
                <w:rFonts w:ascii="Garamond" w:hAnsi="Garamond"/>
                <w:sz w:val="20"/>
              </w:rPr>
            </w:pPr>
            <w:r w:rsidRPr="00913E39">
              <w:rPr>
                <w:rFonts w:ascii="Garamond" w:hAnsi="Garamond"/>
                <w:sz w:val="20"/>
              </w:rPr>
              <w:t>[Prioritetet: Transporti</w:t>
            </w:r>
            <w:r w:rsidR="009B7298" w:rsidRPr="00913E39">
              <w:rPr>
                <w:rFonts w:ascii="Garamond" w:hAnsi="Garamond"/>
                <w:sz w:val="20"/>
              </w:rPr>
              <w:t>, energjia, mjedisi dhe përshtatja me klimën, zhvillimi digjital</w:t>
            </w:r>
            <w:r w:rsidRPr="00913E39">
              <w:rPr>
                <w:rFonts w:ascii="Garamond" w:hAnsi="Garamond"/>
                <w:sz w:val="20"/>
              </w:rPr>
              <w:t xml:space="preserve">, Zhvillimi ekonomik (përfsh. sektorin privat tregtinë dhe mbështetjen makroekonomike), Zhvillimi njerëzor (përfsh. kapitalin njerëzor dhe rininë), </w:t>
            </w:r>
            <w:r w:rsidR="009B7298" w:rsidRPr="00913E39">
              <w:rPr>
                <w:rFonts w:ascii="Garamond" w:hAnsi="Garamond"/>
                <w:sz w:val="20"/>
              </w:rPr>
              <w:t>p</w:t>
            </w:r>
            <w:r w:rsidRPr="00913E39">
              <w:rPr>
                <w:rFonts w:ascii="Garamond" w:hAnsi="Garamond"/>
                <w:sz w:val="20"/>
              </w:rPr>
              <w:t xml:space="preserve">ërshtatja me sistemin shëndetësor, </w:t>
            </w:r>
            <w:r w:rsidR="009B7298" w:rsidRPr="00913E39">
              <w:rPr>
                <w:rFonts w:ascii="Garamond" w:hAnsi="Garamond"/>
                <w:sz w:val="20"/>
              </w:rPr>
              <w:t>migracioni dhe lëvizshmëria, bujqësia, siguria ushqimore dhe zhvillimi rural, sundimi i ligjit, qeverisja dhe reforma e administratës publike</w:t>
            </w:r>
            <w:r w:rsidRPr="00913E39">
              <w:rPr>
                <w:rFonts w:ascii="Garamond" w:hAnsi="Garamond"/>
                <w:sz w:val="20"/>
              </w:rPr>
              <w:t xml:space="preserve">, </w:t>
            </w:r>
            <w:r w:rsidR="00850FC7" w:rsidRPr="00913E39">
              <w:rPr>
                <w:rFonts w:ascii="Garamond" w:hAnsi="Garamond"/>
                <w:sz w:val="20"/>
              </w:rPr>
              <w:t>“</w:t>
            </w:r>
            <w:r w:rsidR="009B7298" w:rsidRPr="00913E39">
              <w:rPr>
                <w:rFonts w:ascii="Garamond" w:hAnsi="Garamond"/>
                <w:sz w:val="20"/>
              </w:rPr>
              <w:t>t</w:t>
            </w:r>
            <w:r w:rsidRPr="00913E39">
              <w:rPr>
                <w:rFonts w:ascii="Garamond" w:hAnsi="Garamond"/>
                <w:sz w:val="20"/>
              </w:rPr>
              <w:t>jetër</w:t>
            </w:r>
            <w:r w:rsidR="00850FC7" w:rsidRPr="00913E39">
              <w:rPr>
                <w:rFonts w:ascii="Garamond" w:hAnsi="Garamond"/>
                <w:sz w:val="20"/>
              </w:rPr>
              <w:t>”</w:t>
            </w:r>
            <w:r w:rsidR="009B7298" w:rsidRPr="00913E39">
              <w:rPr>
                <w:rFonts w:ascii="Garamond" w:hAnsi="Garamond"/>
                <w:sz w:val="20"/>
              </w:rPr>
              <w:t>.</w:t>
            </w:r>
            <w:r w:rsidRPr="00913E39">
              <w:rPr>
                <w:rFonts w:ascii="Garamond" w:hAnsi="Garamond"/>
                <w:sz w:val="20"/>
              </w:rPr>
              <w:t xml:space="preserve"> </w:t>
            </w:r>
          </w:p>
          <w:p w14:paraId="4369F1C8" w14:textId="3322DEEC"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 xml:space="preserve">Programet </w:t>
            </w:r>
            <w:r w:rsidR="009B7298" w:rsidRPr="00913E39">
              <w:rPr>
                <w:rFonts w:ascii="Garamond" w:hAnsi="Garamond"/>
                <w:sz w:val="20"/>
              </w:rPr>
              <w:t>kryesore (pioniere</w:t>
            </w:r>
            <w:r w:rsidRPr="00913E39">
              <w:rPr>
                <w:rFonts w:ascii="Garamond" w:hAnsi="Garamond"/>
                <w:sz w:val="20"/>
              </w:rPr>
              <w:t xml:space="preserve">): </w:t>
            </w:r>
            <w:r w:rsidR="00850FC7" w:rsidRPr="00913E39">
              <w:rPr>
                <w:rFonts w:ascii="Garamond" w:hAnsi="Garamond"/>
                <w:sz w:val="20"/>
              </w:rPr>
              <w:t>“</w:t>
            </w:r>
            <w:r w:rsidRPr="00913E39">
              <w:rPr>
                <w:rFonts w:ascii="Garamond" w:hAnsi="Garamond"/>
                <w:sz w:val="20"/>
              </w:rPr>
              <w:t>I</w:t>
            </w:r>
            <w:r w:rsidR="009B7298" w:rsidRPr="00913E39">
              <w:rPr>
                <w:rFonts w:ascii="Garamond" w:hAnsi="Garamond"/>
                <w:sz w:val="20"/>
              </w:rPr>
              <w:t>.</w:t>
            </w:r>
            <w:r w:rsidRPr="00913E39">
              <w:rPr>
                <w:rFonts w:ascii="Garamond" w:hAnsi="Garamond"/>
                <w:sz w:val="20"/>
              </w:rPr>
              <w:t xml:space="preserve"> Lidhja Lindje-Perëndim</w:t>
            </w:r>
            <w:r w:rsidR="00850FC7" w:rsidRPr="00913E39">
              <w:rPr>
                <w:rFonts w:ascii="Garamond" w:hAnsi="Garamond"/>
                <w:sz w:val="20"/>
              </w:rPr>
              <w:t>”</w:t>
            </w:r>
            <w:r w:rsidRPr="00913E39">
              <w:rPr>
                <w:rFonts w:ascii="Garamond" w:hAnsi="Garamond"/>
                <w:sz w:val="20"/>
              </w:rPr>
              <w:t xml:space="preserve">, </w:t>
            </w:r>
            <w:r w:rsidR="009B7298" w:rsidRPr="00913E39">
              <w:rPr>
                <w:rFonts w:ascii="Garamond" w:hAnsi="Garamond"/>
                <w:sz w:val="20"/>
              </w:rPr>
              <w:t>“</w:t>
            </w:r>
            <w:r w:rsidRPr="00913E39">
              <w:rPr>
                <w:rFonts w:ascii="Garamond" w:hAnsi="Garamond"/>
                <w:sz w:val="20"/>
              </w:rPr>
              <w:t>II</w:t>
            </w:r>
            <w:r w:rsidR="009B7298" w:rsidRPr="00913E39">
              <w:rPr>
                <w:rFonts w:ascii="Garamond" w:hAnsi="Garamond"/>
                <w:sz w:val="20"/>
              </w:rPr>
              <w:t>.</w:t>
            </w:r>
            <w:r w:rsidRPr="00913E39">
              <w:rPr>
                <w:rFonts w:ascii="Garamond" w:hAnsi="Garamond"/>
                <w:sz w:val="20"/>
              </w:rPr>
              <w:t xml:space="preserve"> Lidhja Veri-Jug</w:t>
            </w:r>
            <w:r w:rsidR="00850FC7" w:rsidRPr="00913E39">
              <w:rPr>
                <w:rFonts w:ascii="Garamond" w:hAnsi="Garamond"/>
                <w:sz w:val="20"/>
              </w:rPr>
              <w:t>”</w:t>
            </w:r>
            <w:r w:rsidRPr="00913E39">
              <w:rPr>
                <w:rFonts w:ascii="Garamond" w:hAnsi="Garamond"/>
                <w:sz w:val="20"/>
              </w:rPr>
              <w:t xml:space="preserve">, </w:t>
            </w:r>
            <w:r w:rsidR="00850FC7" w:rsidRPr="00913E39">
              <w:rPr>
                <w:rFonts w:ascii="Garamond" w:hAnsi="Garamond"/>
                <w:sz w:val="20"/>
              </w:rPr>
              <w:t>“</w:t>
            </w:r>
            <w:r w:rsidRPr="00913E39">
              <w:rPr>
                <w:rFonts w:ascii="Garamond" w:hAnsi="Garamond"/>
                <w:sz w:val="20"/>
              </w:rPr>
              <w:t>III</w:t>
            </w:r>
            <w:r w:rsidR="009B7298" w:rsidRPr="00913E39">
              <w:rPr>
                <w:rFonts w:ascii="Garamond" w:hAnsi="Garamond"/>
                <w:sz w:val="20"/>
              </w:rPr>
              <w:t>.</w:t>
            </w:r>
            <w:r w:rsidRPr="00913E39">
              <w:rPr>
                <w:rFonts w:ascii="Garamond" w:hAnsi="Garamond"/>
                <w:sz w:val="20"/>
              </w:rPr>
              <w:t xml:space="preserve"> Lidhja rajoneve bregdetare</w:t>
            </w:r>
            <w:r w:rsidR="00850FC7" w:rsidRPr="00913E39">
              <w:rPr>
                <w:rFonts w:ascii="Garamond" w:hAnsi="Garamond"/>
                <w:sz w:val="20"/>
              </w:rPr>
              <w:t>”</w:t>
            </w:r>
            <w:r w:rsidRPr="00913E39">
              <w:rPr>
                <w:rFonts w:ascii="Garamond" w:hAnsi="Garamond"/>
                <w:sz w:val="20"/>
              </w:rPr>
              <w:t xml:space="preserve">, </w:t>
            </w:r>
            <w:r w:rsidR="00850FC7" w:rsidRPr="00913E39">
              <w:rPr>
                <w:rFonts w:ascii="Garamond" w:hAnsi="Garamond"/>
                <w:sz w:val="20"/>
              </w:rPr>
              <w:t>“</w:t>
            </w:r>
            <w:r w:rsidRPr="00913E39">
              <w:rPr>
                <w:rFonts w:ascii="Garamond" w:hAnsi="Garamond"/>
                <w:sz w:val="20"/>
              </w:rPr>
              <w:t>IV</w:t>
            </w:r>
            <w:r w:rsidR="009B7298" w:rsidRPr="00913E39">
              <w:rPr>
                <w:rFonts w:ascii="Garamond" w:hAnsi="Garamond"/>
                <w:sz w:val="20"/>
              </w:rPr>
              <w:t>.</w:t>
            </w:r>
            <w:r w:rsidRPr="00913E39">
              <w:rPr>
                <w:rFonts w:ascii="Garamond" w:hAnsi="Garamond"/>
                <w:sz w:val="20"/>
              </w:rPr>
              <w:t xml:space="preserve"> Energjia e </w:t>
            </w:r>
            <w:r w:rsidR="009B7298" w:rsidRPr="00913E39">
              <w:rPr>
                <w:rFonts w:ascii="Garamond" w:hAnsi="Garamond"/>
                <w:sz w:val="20"/>
              </w:rPr>
              <w:t>rinovueshme</w:t>
            </w:r>
            <w:r w:rsidRPr="00913E39">
              <w:rPr>
                <w:rFonts w:ascii="Garamond" w:hAnsi="Garamond"/>
                <w:sz w:val="20"/>
              </w:rPr>
              <w:t xml:space="preserve">, </w:t>
            </w:r>
            <w:r w:rsidR="00850FC7" w:rsidRPr="00913E39">
              <w:rPr>
                <w:rFonts w:ascii="Garamond" w:hAnsi="Garamond"/>
                <w:sz w:val="20"/>
              </w:rPr>
              <w:t>“</w:t>
            </w:r>
            <w:r w:rsidRPr="00913E39">
              <w:rPr>
                <w:rFonts w:ascii="Garamond" w:hAnsi="Garamond"/>
                <w:sz w:val="20"/>
              </w:rPr>
              <w:t>V</w:t>
            </w:r>
            <w:r w:rsidR="009B7298" w:rsidRPr="00913E39">
              <w:rPr>
                <w:rFonts w:ascii="Garamond" w:hAnsi="Garamond"/>
                <w:sz w:val="20"/>
              </w:rPr>
              <w:t>.</w:t>
            </w:r>
            <w:r w:rsidRPr="00913E39">
              <w:rPr>
                <w:rFonts w:ascii="Garamond" w:hAnsi="Garamond"/>
                <w:sz w:val="20"/>
              </w:rPr>
              <w:t xml:space="preserve"> Tranzicioni i </w:t>
            </w:r>
            <w:r w:rsidR="009B7298" w:rsidRPr="00913E39">
              <w:rPr>
                <w:rFonts w:ascii="Garamond" w:hAnsi="Garamond"/>
                <w:sz w:val="20"/>
              </w:rPr>
              <w:t>qymyrit</w:t>
            </w:r>
            <w:r w:rsidR="00850FC7" w:rsidRPr="00913E39">
              <w:rPr>
                <w:rFonts w:ascii="Garamond" w:hAnsi="Garamond"/>
                <w:sz w:val="20"/>
              </w:rPr>
              <w:t>”</w:t>
            </w:r>
            <w:r w:rsidRPr="00913E39">
              <w:rPr>
                <w:rFonts w:ascii="Garamond" w:hAnsi="Garamond"/>
                <w:sz w:val="20"/>
              </w:rPr>
              <w:t xml:space="preserve">, </w:t>
            </w:r>
            <w:r w:rsidR="00850FC7" w:rsidRPr="00913E39">
              <w:rPr>
                <w:rFonts w:ascii="Garamond" w:hAnsi="Garamond"/>
                <w:sz w:val="20"/>
              </w:rPr>
              <w:t>“</w:t>
            </w:r>
            <w:r w:rsidRPr="00913E39">
              <w:rPr>
                <w:rFonts w:ascii="Garamond" w:hAnsi="Garamond"/>
                <w:sz w:val="20"/>
              </w:rPr>
              <w:t>VI</w:t>
            </w:r>
            <w:r w:rsidR="009B7298" w:rsidRPr="00913E39">
              <w:rPr>
                <w:rFonts w:ascii="Garamond" w:hAnsi="Garamond"/>
                <w:sz w:val="20"/>
              </w:rPr>
              <w:t>.</w:t>
            </w:r>
            <w:r w:rsidRPr="00913E39">
              <w:rPr>
                <w:rFonts w:ascii="Garamond" w:hAnsi="Garamond"/>
                <w:sz w:val="20"/>
              </w:rPr>
              <w:t xml:space="preserve"> Vala e </w:t>
            </w:r>
            <w:r w:rsidR="009B7298" w:rsidRPr="00913E39">
              <w:rPr>
                <w:rFonts w:ascii="Garamond" w:hAnsi="Garamond"/>
                <w:sz w:val="20"/>
              </w:rPr>
              <w:t>rinovimit</w:t>
            </w:r>
            <w:r w:rsidR="00850FC7" w:rsidRPr="00913E39">
              <w:rPr>
                <w:rFonts w:ascii="Garamond" w:hAnsi="Garamond"/>
                <w:sz w:val="20"/>
              </w:rPr>
              <w:t>”</w:t>
            </w:r>
            <w:r w:rsidRPr="00913E39">
              <w:rPr>
                <w:rFonts w:ascii="Garamond" w:hAnsi="Garamond"/>
                <w:sz w:val="20"/>
              </w:rPr>
              <w:t xml:space="preserve">, </w:t>
            </w:r>
            <w:r w:rsidR="00850FC7" w:rsidRPr="00913E39">
              <w:rPr>
                <w:rFonts w:ascii="Garamond" w:hAnsi="Garamond"/>
                <w:sz w:val="20"/>
              </w:rPr>
              <w:t>“</w:t>
            </w:r>
            <w:r w:rsidRPr="00913E39">
              <w:rPr>
                <w:rFonts w:ascii="Garamond" w:hAnsi="Garamond"/>
                <w:sz w:val="20"/>
              </w:rPr>
              <w:t>VII</w:t>
            </w:r>
            <w:r w:rsidR="009B7298" w:rsidRPr="00913E39">
              <w:rPr>
                <w:rFonts w:ascii="Garamond" w:hAnsi="Garamond"/>
                <w:sz w:val="20"/>
              </w:rPr>
              <w:t>.</w:t>
            </w:r>
            <w:r w:rsidRPr="00913E39">
              <w:rPr>
                <w:rFonts w:ascii="Garamond" w:hAnsi="Garamond"/>
                <w:sz w:val="20"/>
              </w:rPr>
              <w:t xml:space="preserve"> Uji i bardhë dhe ujërat e zeza</w:t>
            </w:r>
            <w:r w:rsidR="009B7298" w:rsidRPr="00913E39">
              <w:rPr>
                <w:rFonts w:ascii="Garamond" w:hAnsi="Garamond"/>
                <w:sz w:val="20"/>
              </w:rPr>
              <w:t>”,</w:t>
            </w:r>
            <w:r w:rsidRPr="00913E39">
              <w:rPr>
                <w:rFonts w:ascii="Garamond" w:hAnsi="Garamond"/>
                <w:sz w:val="20"/>
              </w:rPr>
              <w:t xml:space="preserve"> </w:t>
            </w:r>
            <w:r w:rsidR="00850FC7" w:rsidRPr="00913E39">
              <w:rPr>
                <w:rFonts w:ascii="Garamond" w:hAnsi="Garamond"/>
                <w:sz w:val="20"/>
              </w:rPr>
              <w:t>“</w:t>
            </w:r>
            <w:r w:rsidRPr="00913E39">
              <w:rPr>
                <w:rFonts w:ascii="Garamond" w:hAnsi="Garamond"/>
                <w:sz w:val="20"/>
              </w:rPr>
              <w:t>VIII</w:t>
            </w:r>
            <w:r w:rsidR="00095C9D" w:rsidRPr="00913E39">
              <w:rPr>
                <w:rFonts w:ascii="Garamond" w:hAnsi="Garamond"/>
                <w:sz w:val="20"/>
              </w:rPr>
              <w:t>.</w:t>
            </w:r>
            <w:r w:rsidRPr="00913E39">
              <w:rPr>
                <w:rFonts w:ascii="Garamond" w:hAnsi="Garamond"/>
                <w:sz w:val="20"/>
              </w:rPr>
              <w:t xml:space="preserve"> Infrastruktura di</w:t>
            </w:r>
            <w:r w:rsidR="009B7298" w:rsidRPr="00913E39">
              <w:rPr>
                <w:rFonts w:ascii="Garamond" w:hAnsi="Garamond"/>
                <w:sz w:val="20"/>
              </w:rPr>
              <w:t>gj</w:t>
            </w:r>
            <w:r w:rsidRPr="00913E39">
              <w:rPr>
                <w:rFonts w:ascii="Garamond" w:hAnsi="Garamond"/>
                <w:sz w:val="20"/>
              </w:rPr>
              <w:t>itale</w:t>
            </w:r>
            <w:r w:rsidR="00850FC7" w:rsidRPr="00913E39">
              <w:rPr>
                <w:rFonts w:ascii="Garamond" w:hAnsi="Garamond"/>
                <w:sz w:val="20"/>
              </w:rPr>
              <w:t>”</w:t>
            </w:r>
            <w:r w:rsidRPr="00913E39">
              <w:rPr>
                <w:rFonts w:ascii="Garamond" w:hAnsi="Garamond"/>
                <w:sz w:val="20"/>
              </w:rPr>
              <w:t xml:space="preserve">, </w:t>
            </w:r>
            <w:r w:rsidR="00850FC7" w:rsidRPr="00913E39">
              <w:rPr>
                <w:rFonts w:ascii="Garamond" w:hAnsi="Garamond"/>
                <w:sz w:val="20"/>
              </w:rPr>
              <w:t>“</w:t>
            </w:r>
            <w:r w:rsidRPr="00913E39">
              <w:rPr>
                <w:rFonts w:ascii="Garamond" w:hAnsi="Garamond"/>
                <w:sz w:val="20"/>
              </w:rPr>
              <w:t>IX</w:t>
            </w:r>
            <w:r w:rsidR="009B7298" w:rsidRPr="00913E39">
              <w:rPr>
                <w:rFonts w:ascii="Garamond" w:hAnsi="Garamond"/>
                <w:sz w:val="20"/>
              </w:rPr>
              <w:t>.</w:t>
            </w:r>
            <w:r w:rsidRPr="00913E39">
              <w:rPr>
                <w:rFonts w:ascii="Garamond" w:hAnsi="Garamond"/>
                <w:sz w:val="20"/>
              </w:rPr>
              <w:t xml:space="preserve"> Mbështetja e konkurrueshmërisë</w:t>
            </w:r>
            <w:r w:rsidR="00850FC7" w:rsidRPr="00913E39">
              <w:rPr>
                <w:rFonts w:ascii="Garamond" w:hAnsi="Garamond"/>
                <w:sz w:val="20"/>
              </w:rPr>
              <w:t>”</w:t>
            </w:r>
            <w:r w:rsidRPr="00913E39">
              <w:rPr>
                <w:rFonts w:ascii="Garamond" w:hAnsi="Garamond"/>
                <w:sz w:val="20"/>
              </w:rPr>
              <w:t xml:space="preserve">, </w:t>
            </w:r>
            <w:r w:rsidR="00850FC7" w:rsidRPr="00913E39">
              <w:rPr>
                <w:rFonts w:ascii="Garamond" w:hAnsi="Garamond"/>
                <w:sz w:val="20"/>
              </w:rPr>
              <w:t>“</w:t>
            </w:r>
            <w:r w:rsidRPr="00913E39">
              <w:rPr>
                <w:rFonts w:ascii="Garamond" w:hAnsi="Garamond"/>
                <w:sz w:val="20"/>
              </w:rPr>
              <w:t>X</w:t>
            </w:r>
            <w:r w:rsidR="00095C9D" w:rsidRPr="00913E39">
              <w:rPr>
                <w:rFonts w:ascii="Garamond" w:hAnsi="Garamond"/>
                <w:sz w:val="20"/>
              </w:rPr>
              <w:t>.</w:t>
            </w:r>
            <w:r w:rsidRPr="00913E39">
              <w:rPr>
                <w:rFonts w:ascii="Garamond" w:hAnsi="Garamond"/>
                <w:sz w:val="20"/>
              </w:rPr>
              <w:t xml:space="preserve"> Garancia </w:t>
            </w:r>
            <w:r w:rsidR="009B7298" w:rsidRPr="00913E39">
              <w:rPr>
                <w:rFonts w:ascii="Garamond" w:hAnsi="Garamond"/>
                <w:sz w:val="20"/>
              </w:rPr>
              <w:t>r</w:t>
            </w:r>
            <w:r w:rsidRPr="00913E39">
              <w:rPr>
                <w:rFonts w:ascii="Garamond" w:hAnsi="Garamond"/>
                <w:sz w:val="20"/>
              </w:rPr>
              <w:t>inore</w:t>
            </w:r>
            <w:r w:rsidR="00850FC7" w:rsidRPr="00913E39">
              <w:rPr>
                <w:rFonts w:ascii="Garamond" w:hAnsi="Garamond"/>
                <w:sz w:val="20"/>
              </w:rPr>
              <w:t>”</w:t>
            </w:r>
            <w:r w:rsidRPr="00913E39">
              <w:rPr>
                <w:rFonts w:ascii="Garamond" w:hAnsi="Garamond"/>
                <w:sz w:val="20"/>
              </w:rPr>
              <w:t>]</w:t>
            </w:r>
          </w:p>
        </w:tc>
      </w:tr>
      <w:tr w:rsidR="0090197C" w:rsidRPr="00913E39" w14:paraId="29260B5E"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46DEB4DD" w14:textId="77777777" w:rsidR="0090197C" w:rsidRPr="00913E39" w:rsidRDefault="0090197C" w:rsidP="00882ABD">
            <w:pPr>
              <w:spacing w:after="0" w:line="240" w:lineRule="auto"/>
              <w:rPr>
                <w:rFonts w:ascii="Garamond" w:hAnsi="Garamond"/>
                <w:b/>
                <w:bCs/>
                <w:i/>
                <w:sz w:val="20"/>
                <w:szCs w:val="20"/>
              </w:rPr>
            </w:pPr>
            <w:r w:rsidRPr="00913E39">
              <w:rPr>
                <w:rFonts w:ascii="Garamond" w:hAnsi="Garamond"/>
                <w:b/>
                <w:bCs/>
                <w:i/>
                <w:sz w:val="20"/>
                <w:szCs w:val="20"/>
              </w:rPr>
              <w:t xml:space="preserve">Team Europe </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68CD5AEC"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Po/Jo</w:t>
            </w:r>
          </w:p>
        </w:tc>
      </w:tr>
      <w:tr w:rsidR="0090197C" w:rsidRPr="00913E39" w14:paraId="6A7D9020"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338EE3C0" w14:textId="77777777" w:rsidR="0090197C" w:rsidRPr="00913E39" w:rsidRDefault="0090197C" w:rsidP="00882ABD">
            <w:pPr>
              <w:spacing w:after="0" w:line="240" w:lineRule="auto"/>
              <w:rPr>
                <w:rFonts w:ascii="Garamond" w:hAnsi="Garamond"/>
                <w:b/>
                <w:bCs/>
                <w:sz w:val="20"/>
                <w:szCs w:val="20"/>
              </w:rPr>
            </w:pPr>
            <w:r w:rsidRPr="00913E39">
              <w:rPr>
                <w:rFonts w:ascii="Garamond" w:hAnsi="Garamond"/>
                <w:b/>
                <w:sz w:val="20"/>
                <w:szCs w:val="20"/>
              </w:rPr>
              <w:t>Përfitues (it) e projektit</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0BC404FC" w14:textId="2DDFC9FC"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Projekti do të zbatohet në &lt;Rajoni&gt;, &lt;Shteti&gt;,&lt;</w:t>
            </w:r>
            <w:r w:rsidR="00095C9D" w:rsidRPr="00913E39">
              <w:rPr>
                <w:rFonts w:ascii="Garamond" w:hAnsi="Garamond"/>
                <w:sz w:val="20"/>
                <w:szCs w:val="20"/>
              </w:rPr>
              <w:t>Vendndodhja/</w:t>
            </w:r>
            <w:r w:rsidRPr="00913E39">
              <w:rPr>
                <w:rFonts w:ascii="Garamond" w:hAnsi="Garamond"/>
                <w:sz w:val="20"/>
                <w:szCs w:val="20"/>
              </w:rPr>
              <w:t>et</w:t>
            </w:r>
            <w:r w:rsidR="00095C9D" w:rsidRPr="00913E39">
              <w:rPr>
                <w:rFonts w:ascii="Garamond" w:hAnsi="Garamond"/>
                <w:sz w:val="20"/>
                <w:szCs w:val="20"/>
              </w:rPr>
              <w:t>,</w:t>
            </w:r>
            <w:r w:rsidRPr="00913E39">
              <w:rPr>
                <w:rFonts w:ascii="Garamond" w:hAnsi="Garamond"/>
                <w:sz w:val="20"/>
                <w:szCs w:val="20"/>
              </w:rPr>
              <w:t xml:space="preserve"> nëse ka&gt;</w:t>
            </w:r>
          </w:p>
          <w:p w14:paraId="79FFEEEA"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Nëse ka, përmendni mbulimin gjeografik të zgjeruar siç tregohet në pjesën 1.3 më poshtë.</w:t>
            </w:r>
          </w:p>
        </w:tc>
      </w:tr>
      <w:tr w:rsidR="0090197C" w:rsidRPr="00913E39" w14:paraId="51418D00" w14:textId="77777777" w:rsidTr="00882ABD">
        <w:trPr>
          <w:trHeight w:val="20"/>
        </w:trPr>
        <w:tc>
          <w:tcPr>
            <w:tcW w:w="9072" w:type="dxa"/>
            <w:gridSpan w:val="6"/>
            <w:tcBorders>
              <w:top w:val="single" w:sz="4" w:space="0" w:color="auto"/>
              <w:left w:val="single" w:sz="4" w:space="0" w:color="auto"/>
              <w:bottom w:val="single" w:sz="4" w:space="0" w:color="auto"/>
              <w:right w:val="single" w:sz="4" w:space="0" w:color="auto"/>
            </w:tcBorders>
            <w:shd w:val="clear" w:color="auto" w:fill="D0CECE"/>
          </w:tcPr>
          <w:p w14:paraId="6E0F050C" w14:textId="77777777" w:rsidR="0090197C" w:rsidRPr="00913E39" w:rsidRDefault="0090197C" w:rsidP="00882ABD">
            <w:pPr>
              <w:spacing w:after="0" w:line="240" w:lineRule="auto"/>
              <w:jc w:val="center"/>
              <w:rPr>
                <w:rFonts w:ascii="Garamond" w:hAnsi="Garamond"/>
                <w:bCs/>
                <w:sz w:val="20"/>
                <w:szCs w:val="20"/>
              </w:rPr>
            </w:pPr>
            <w:r w:rsidRPr="00913E39">
              <w:rPr>
                <w:rFonts w:ascii="Garamond" w:hAnsi="Garamond"/>
                <w:bCs/>
                <w:sz w:val="20"/>
                <w:szCs w:val="20"/>
              </w:rPr>
              <w:t xml:space="preserve">FUSHAT PRIORITARE: </w:t>
            </w:r>
          </w:p>
        </w:tc>
      </w:tr>
      <w:tr w:rsidR="0090197C" w:rsidRPr="00913E39" w14:paraId="2509951F"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5ACB2BB7" w14:textId="77777777" w:rsidR="0090197C" w:rsidRPr="00913E39" w:rsidRDefault="0090197C" w:rsidP="00882ABD">
            <w:pPr>
              <w:spacing w:after="0" w:line="240" w:lineRule="auto"/>
              <w:rPr>
                <w:rFonts w:ascii="Garamond" w:hAnsi="Garamond"/>
                <w:b/>
                <w:bCs/>
                <w:sz w:val="20"/>
                <w:szCs w:val="20"/>
              </w:rPr>
            </w:pPr>
            <w:r w:rsidRPr="00913E39">
              <w:rPr>
                <w:rFonts w:ascii="Garamond" w:hAnsi="Garamond"/>
                <w:b/>
                <w:bCs/>
                <w:sz w:val="20"/>
                <w:szCs w:val="20"/>
              </w:rPr>
              <w:t>Dritare dhe prioritet kryesore</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3F58E8D7"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Dritare: [#: titulli i aperturës]</w:t>
            </w:r>
          </w:p>
          <w:p w14:paraId="50E96662"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Prioriteti kryesor: [titulli i prioritetit kryesor]</w:t>
            </w:r>
          </w:p>
        </w:tc>
      </w:tr>
      <w:tr w:rsidR="0090197C" w:rsidRPr="00913E39" w14:paraId="2A431441"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7BAA7FBA" w14:textId="0E76E412" w:rsidR="0090197C" w:rsidRPr="00913E39" w:rsidRDefault="0090197C" w:rsidP="00882ABD">
            <w:pPr>
              <w:spacing w:after="0" w:line="240" w:lineRule="auto"/>
              <w:rPr>
                <w:rFonts w:ascii="Garamond" w:hAnsi="Garamond"/>
                <w:b/>
                <w:bCs/>
                <w:sz w:val="20"/>
                <w:szCs w:val="20"/>
              </w:rPr>
            </w:pPr>
            <w:r w:rsidRPr="00913E39">
              <w:rPr>
                <w:rFonts w:ascii="Garamond" w:hAnsi="Garamond"/>
                <w:b/>
                <w:sz w:val="20"/>
                <w:szCs w:val="20"/>
              </w:rPr>
              <w:t xml:space="preserve">Objektiva të </w:t>
            </w:r>
            <w:r w:rsidR="00095C9D" w:rsidRPr="00913E39">
              <w:rPr>
                <w:rFonts w:ascii="Garamond" w:hAnsi="Garamond"/>
                <w:b/>
                <w:sz w:val="20"/>
                <w:szCs w:val="20"/>
              </w:rPr>
              <w:t xml:space="preserve">zhvillimit të qëndrueshëm </w:t>
            </w:r>
            <w:r w:rsidRPr="00913E39">
              <w:rPr>
                <w:rFonts w:ascii="Garamond" w:hAnsi="Garamond"/>
                <w:b/>
                <w:sz w:val="20"/>
                <w:szCs w:val="20"/>
              </w:rPr>
              <w:t>(OZHQ)</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56F30EFC" w14:textId="77777777"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 xml:space="preserve">OZHQ kryesor (vetëm 1): </w:t>
            </w:r>
          </w:p>
          <w:p w14:paraId="4592C2AC"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OZHQ (deri në 9) të tjera të rëndësishme dhe, sipas rastit, objektivat:</w:t>
            </w:r>
          </w:p>
        </w:tc>
      </w:tr>
      <w:tr w:rsidR="0090197C" w:rsidRPr="00913E39" w14:paraId="53E1FC4B"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6A6CDE4C" w14:textId="77777777" w:rsidR="0090197C" w:rsidRPr="00913E39" w:rsidRDefault="0090197C" w:rsidP="00882ABD">
            <w:pPr>
              <w:spacing w:after="0" w:line="240" w:lineRule="auto"/>
              <w:rPr>
                <w:rFonts w:ascii="Garamond" w:hAnsi="Garamond"/>
                <w:b/>
                <w:bCs/>
                <w:sz w:val="20"/>
                <w:szCs w:val="20"/>
              </w:rPr>
            </w:pPr>
            <w:r w:rsidRPr="00913E39">
              <w:rPr>
                <w:rFonts w:ascii="Garamond" w:hAnsi="Garamond"/>
                <w:b/>
                <w:bCs/>
                <w:sz w:val="20"/>
                <w:szCs w:val="20"/>
              </w:rPr>
              <w:lastRenderedPageBreak/>
              <w:t>Kodi (et) DAC</w:t>
            </w:r>
            <w:r w:rsidRPr="00913E39">
              <w:rPr>
                <w:rStyle w:val="FootnoteReference"/>
                <w:rFonts w:ascii="Garamond" w:hAnsi="Garamond"/>
                <w:sz w:val="20"/>
              </w:rPr>
              <w:footnoteReference w:id="107"/>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6D98FDE5" w14:textId="77777777"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&lt;Kodi kryesor i DAC – sektori- përqindja&gt;</w:t>
            </w:r>
          </w:p>
          <w:p w14:paraId="215136CD" w14:textId="370D1031"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 xml:space="preserve">&lt;nënkodi 1 – sektori- përqindja&gt; </w:t>
            </w:r>
          </w:p>
          <w:p w14:paraId="43B00CA5" w14:textId="7BEED370"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&lt;nënkodi 2 – sektori- përqindja&gt; etj</w:t>
            </w:r>
            <w:r w:rsidR="009B31EE" w:rsidRPr="00913E39">
              <w:rPr>
                <w:rFonts w:ascii="Garamond" w:hAnsi="Garamond"/>
                <w:sz w:val="20"/>
                <w:szCs w:val="20"/>
              </w:rPr>
              <w:t>.</w:t>
            </w:r>
          </w:p>
        </w:tc>
      </w:tr>
      <w:tr w:rsidR="0090197C" w:rsidRPr="00913E39" w14:paraId="732F0799"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1F98A7BC" w14:textId="77777777" w:rsidR="0090197C" w:rsidRPr="00913E39" w:rsidRDefault="0090197C" w:rsidP="00882ABD">
            <w:pPr>
              <w:spacing w:after="0" w:line="240" w:lineRule="auto"/>
              <w:rPr>
                <w:rFonts w:ascii="Garamond" w:hAnsi="Garamond"/>
                <w:b/>
                <w:bCs/>
                <w:sz w:val="20"/>
                <w:szCs w:val="20"/>
              </w:rPr>
            </w:pPr>
            <w:r w:rsidRPr="00913E39">
              <w:rPr>
                <w:rFonts w:ascii="Garamond" w:hAnsi="Garamond"/>
                <w:b/>
                <w:bCs/>
                <w:sz w:val="20"/>
                <w:szCs w:val="20"/>
              </w:rPr>
              <w:t xml:space="preserve">Mënyra kryesore e ofrimit </w:t>
            </w:r>
            <w:hyperlink r:id="rId56">
              <w:r w:rsidRPr="00913E39">
                <w:rPr>
                  <w:rStyle w:val="Hyperlink"/>
                  <w:rFonts w:ascii="Garamond" w:hAnsi="Garamond"/>
                  <w:b/>
                  <w:bCs/>
                  <w:color w:val="auto"/>
                  <w:sz w:val="20"/>
                  <w:szCs w:val="20"/>
                </w:rPr>
                <w:t>@</w:t>
              </w:r>
            </w:hyperlink>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3E678CA5" w14:textId="77777777"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 xml:space="preserve">&lt;Mënyra 1&gt;&lt;Kodi i mënyrës&gt; </w:t>
            </w:r>
          </w:p>
          <w:p w14:paraId="258B7C5F" w14:textId="77777777" w:rsidR="0090197C" w:rsidRPr="00913E39" w:rsidRDefault="0090197C" w:rsidP="00882ABD">
            <w:pPr>
              <w:pStyle w:val="Text1"/>
              <w:spacing w:before="0" w:after="0"/>
              <w:ind w:left="0"/>
              <w:jc w:val="left"/>
              <w:rPr>
                <w:rFonts w:ascii="Garamond" w:hAnsi="Garamond"/>
                <w:sz w:val="20"/>
              </w:rPr>
            </w:pPr>
            <w:r w:rsidRPr="00913E39">
              <w:rPr>
                <w:rFonts w:ascii="Garamond" w:hAnsi="Garamond"/>
                <w:i/>
                <w:sz w:val="20"/>
              </w:rPr>
              <w:t>Shembull: Banka Botërore- 44001</w:t>
            </w:r>
          </w:p>
        </w:tc>
      </w:tr>
      <w:tr w:rsidR="0090197C" w:rsidRPr="00913E39" w14:paraId="2E15B377"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6E437689" w14:textId="77777777" w:rsidR="0090197C" w:rsidRPr="00913E39" w:rsidRDefault="0090197C" w:rsidP="00882ABD">
            <w:pPr>
              <w:spacing w:after="0" w:line="240" w:lineRule="auto"/>
              <w:rPr>
                <w:rFonts w:ascii="Garamond" w:hAnsi="Garamond"/>
                <w:b/>
                <w:bCs/>
                <w:sz w:val="20"/>
                <w:szCs w:val="20"/>
              </w:rPr>
            </w:pPr>
            <w:r w:rsidRPr="00913E39">
              <w:rPr>
                <w:rFonts w:ascii="Garamond" w:hAnsi="Garamond"/>
                <w:b/>
                <w:bCs/>
                <w:sz w:val="20"/>
                <w:szCs w:val="20"/>
              </w:rPr>
              <w:t>Synimet</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2D274CA6" w14:textId="77777777"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&lt;Luteni të tregoni (nëse ka) objektivin e shpenzimit për të cilin kontribuon ky projekt (i mundshëm) &gt;</w:t>
            </w:r>
          </w:p>
          <w:p w14:paraId="57B43EEA" w14:textId="77777777" w:rsidR="0090197C" w:rsidRPr="00913E39" w:rsidRDefault="0090197C" w:rsidP="00882ABD">
            <w:pPr>
              <w:pStyle w:val="Text1"/>
              <w:spacing w:before="0" w:after="0"/>
              <w:ind w:left="0"/>
              <w:jc w:val="left"/>
              <w:rPr>
                <w:rFonts w:ascii="Garamond" w:eastAsia="MS Gothic" w:hAnsi="Garamond"/>
                <w:sz w:val="20"/>
              </w:rPr>
            </w:pPr>
            <w:r w:rsidRPr="00913E39">
              <w:rPr>
                <w:rFonts w:ascii="Segoe UI Symbol" w:eastAsia="MS Gothic" w:hAnsi="Segoe UI Symbol"/>
                <w:sz w:val="20"/>
              </w:rPr>
              <w:t>☐</w:t>
            </w:r>
            <w:r w:rsidRPr="00913E39">
              <w:rPr>
                <w:rFonts w:ascii="Garamond" w:hAnsi="Garamond"/>
                <w:sz w:val="20"/>
              </w:rPr>
              <w:t xml:space="preserve"> Klima</w:t>
            </w:r>
          </w:p>
          <w:p w14:paraId="38DE8334" w14:textId="77777777" w:rsidR="0090197C" w:rsidRPr="00913E39" w:rsidRDefault="0090197C" w:rsidP="00882ABD">
            <w:pPr>
              <w:pStyle w:val="Text1"/>
              <w:spacing w:before="0" w:after="0"/>
              <w:ind w:left="0"/>
              <w:jc w:val="left"/>
              <w:rPr>
                <w:rFonts w:ascii="Garamond" w:eastAsia="MS Gothic" w:hAnsi="Garamond"/>
                <w:sz w:val="20"/>
              </w:rPr>
            </w:pPr>
            <w:r w:rsidRPr="00913E39">
              <w:rPr>
                <w:rFonts w:ascii="Segoe UI Symbol" w:eastAsia="MS Gothic" w:hAnsi="Segoe UI Symbol"/>
                <w:sz w:val="20"/>
              </w:rPr>
              <w:t>☐</w:t>
            </w:r>
            <w:r w:rsidRPr="00913E39">
              <w:rPr>
                <w:rFonts w:ascii="Garamond" w:hAnsi="Garamond"/>
                <w:sz w:val="20"/>
              </w:rPr>
              <w:t xml:space="preserve"> Gjinia</w:t>
            </w:r>
          </w:p>
          <w:p w14:paraId="4B5C46D2" w14:textId="77777777" w:rsidR="0090197C" w:rsidRPr="00913E39" w:rsidRDefault="0090197C" w:rsidP="00882ABD">
            <w:pPr>
              <w:pStyle w:val="Text1"/>
              <w:spacing w:before="0" w:after="0"/>
              <w:ind w:left="0"/>
              <w:jc w:val="left"/>
              <w:rPr>
                <w:rFonts w:ascii="Garamond" w:hAnsi="Garamond"/>
                <w:sz w:val="20"/>
              </w:rPr>
            </w:pPr>
            <w:r w:rsidRPr="00913E39">
              <w:rPr>
                <w:rFonts w:ascii="Segoe UI Symbol" w:eastAsia="MS Gothic" w:hAnsi="Segoe UI Symbol"/>
                <w:sz w:val="20"/>
              </w:rPr>
              <w:t>☐</w:t>
            </w:r>
            <w:r w:rsidRPr="00913E39">
              <w:rPr>
                <w:rFonts w:ascii="Garamond" w:hAnsi="Garamond"/>
                <w:sz w:val="20"/>
              </w:rPr>
              <w:t xml:space="preserve"> Biodiversiteti</w:t>
            </w:r>
          </w:p>
        </w:tc>
      </w:tr>
      <w:tr w:rsidR="0090197C" w:rsidRPr="00913E39" w14:paraId="00B6CAE5" w14:textId="77777777" w:rsidTr="00882ABD">
        <w:trPr>
          <w:trHeight w:val="20"/>
        </w:trPr>
        <w:tc>
          <w:tcPr>
            <w:tcW w:w="2117" w:type="dxa"/>
            <w:gridSpan w:val="2"/>
            <w:vMerge w:val="restart"/>
            <w:tcBorders>
              <w:top w:val="single" w:sz="4" w:space="0" w:color="auto"/>
              <w:left w:val="single" w:sz="4" w:space="0" w:color="auto"/>
              <w:right w:val="single" w:sz="4" w:space="0" w:color="auto"/>
            </w:tcBorders>
            <w:shd w:val="clear" w:color="auto" w:fill="auto"/>
          </w:tcPr>
          <w:p w14:paraId="1192B985" w14:textId="77777777" w:rsidR="0090197C" w:rsidRPr="00913E39" w:rsidRDefault="0090197C" w:rsidP="00882ABD">
            <w:pPr>
              <w:spacing w:after="0" w:line="240" w:lineRule="auto"/>
              <w:rPr>
                <w:rFonts w:ascii="Garamond" w:hAnsi="Garamond"/>
                <w:sz w:val="20"/>
                <w:szCs w:val="20"/>
              </w:rPr>
            </w:pPr>
            <w:r w:rsidRPr="00913E39">
              <w:rPr>
                <w:rFonts w:ascii="Garamond" w:hAnsi="Garamond"/>
                <w:b/>
                <w:bCs/>
                <w:sz w:val="20"/>
                <w:szCs w:val="20"/>
              </w:rPr>
              <w:t>Treguesit</w:t>
            </w:r>
            <w:r w:rsidRPr="00913E39">
              <w:rPr>
                <w:rStyle w:val="FootnoteReference"/>
                <w:rFonts w:ascii="Garamond" w:hAnsi="Garamond"/>
                <w:b/>
                <w:sz w:val="20"/>
              </w:rPr>
              <w:footnoteReference w:id="108"/>
            </w:r>
          </w:p>
          <w:p w14:paraId="44E3DC43" w14:textId="77777777" w:rsidR="0090197C" w:rsidRPr="00913E39" w:rsidRDefault="0090197C" w:rsidP="00882ABD">
            <w:pPr>
              <w:spacing w:after="0" w:line="240" w:lineRule="auto"/>
              <w:rPr>
                <w:rFonts w:ascii="Garamond" w:hAnsi="Garamond"/>
                <w:b/>
                <w:bCs/>
                <w:sz w:val="20"/>
                <w:szCs w:val="20"/>
              </w:rPr>
            </w:pPr>
            <w:r w:rsidRPr="00913E39">
              <w:rPr>
                <w:rFonts w:ascii="Garamond" w:hAnsi="Garamond"/>
                <w:b/>
                <w:sz w:val="20"/>
                <w:szCs w:val="20"/>
              </w:rPr>
              <w:t xml:space="preserve"> (nga formulari DAC)</w:t>
            </w: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7485D1F9" w14:textId="77777777" w:rsidR="0090197C" w:rsidRPr="00913E39" w:rsidRDefault="0090197C" w:rsidP="00882ABD">
            <w:pPr>
              <w:spacing w:after="0" w:line="240" w:lineRule="auto"/>
              <w:rPr>
                <w:rFonts w:ascii="Garamond" w:hAnsi="Garamond"/>
                <w:b/>
                <w:sz w:val="20"/>
                <w:szCs w:val="20"/>
              </w:rPr>
            </w:pPr>
            <w:r w:rsidRPr="00913E39">
              <w:rPr>
                <w:rFonts w:ascii="Garamond" w:hAnsi="Garamond"/>
                <w:b/>
                <w:sz w:val="20"/>
                <w:szCs w:val="20"/>
              </w:rPr>
              <w:t>Objekti i përgjithshëm i politikave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D54347" w14:textId="77777777" w:rsidR="0090197C" w:rsidRPr="00913E39" w:rsidRDefault="0090197C" w:rsidP="00882ABD">
            <w:pPr>
              <w:spacing w:after="0" w:line="240" w:lineRule="auto"/>
              <w:jc w:val="center"/>
              <w:rPr>
                <w:rFonts w:ascii="Garamond" w:hAnsi="Garamond"/>
                <w:b/>
                <w:sz w:val="20"/>
                <w:szCs w:val="20"/>
              </w:rPr>
            </w:pPr>
            <w:r w:rsidRPr="00913E39">
              <w:rPr>
                <w:rFonts w:ascii="Garamond" w:hAnsi="Garamond"/>
                <w:b/>
                <w:sz w:val="20"/>
                <w:szCs w:val="20"/>
              </w:rPr>
              <w:t>Nuk synohet</w:t>
            </w:r>
          </w:p>
        </w:tc>
        <w:tc>
          <w:tcPr>
            <w:tcW w:w="1418" w:type="dxa"/>
            <w:tcBorders>
              <w:top w:val="single" w:sz="4" w:space="0" w:color="auto"/>
              <w:left w:val="single" w:sz="4" w:space="0" w:color="auto"/>
              <w:bottom w:val="single" w:sz="4" w:space="0" w:color="auto"/>
              <w:right w:val="single" w:sz="4" w:space="0" w:color="auto"/>
            </w:tcBorders>
          </w:tcPr>
          <w:p w14:paraId="2C82E485" w14:textId="77777777" w:rsidR="0090197C" w:rsidRPr="00913E39" w:rsidRDefault="0090197C" w:rsidP="00882ABD">
            <w:pPr>
              <w:spacing w:after="0" w:line="240" w:lineRule="auto"/>
              <w:jc w:val="center"/>
              <w:rPr>
                <w:rFonts w:ascii="Garamond" w:hAnsi="Garamond"/>
                <w:b/>
                <w:sz w:val="20"/>
                <w:szCs w:val="20"/>
              </w:rPr>
            </w:pPr>
            <w:r w:rsidRPr="00913E39">
              <w:rPr>
                <w:rFonts w:ascii="Garamond" w:hAnsi="Garamond"/>
                <w:b/>
                <w:sz w:val="20"/>
                <w:szCs w:val="20"/>
              </w:rPr>
              <w:t>Objektiv i rëndësishëm</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485811B" w14:textId="77777777" w:rsidR="0090197C" w:rsidRPr="00913E39" w:rsidRDefault="0090197C" w:rsidP="00882ABD">
            <w:pPr>
              <w:spacing w:after="0" w:line="240" w:lineRule="auto"/>
              <w:jc w:val="center"/>
              <w:rPr>
                <w:rFonts w:ascii="Garamond" w:hAnsi="Garamond"/>
                <w:b/>
                <w:sz w:val="20"/>
                <w:szCs w:val="20"/>
              </w:rPr>
            </w:pPr>
            <w:r w:rsidRPr="00913E39">
              <w:rPr>
                <w:rFonts w:ascii="Garamond" w:hAnsi="Garamond"/>
                <w:b/>
                <w:sz w:val="20"/>
                <w:szCs w:val="20"/>
              </w:rPr>
              <w:t>Objektivi kryesor</w:t>
            </w:r>
          </w:p>
        </w:tc>
      </w:tr>
      <w:tr w:rsidR="0090197C" w:rsidRPr="00913E39" w14:paraId="06300AE1" w14:textId="77777777" w:rsidTr="00882ABD">
        <w:trPr>
          <w:trHeight w:val="20"/>
        </w:trPr>
        <w:tc>
          <w:tcPr>
            <w:tcW w:w="2117" w:type="dxa"/>
            <w:gridSpan w:val="2"/>
            <w:vMerge/>
            <w:tcBorders>
              <w:left w:val="single" w:sz="4" w:space="0" w:color="auto"/>
              <w:right w:val="single" w:sz="4" w:space="0" w:color="auto"/>
            </w:tcBorders>
            <w:shd w:val="clear" w:color="auto" w:fill="auto"/>
          </w:tcPr>
          <w:p w14:paraId="7F925DBF"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2D236F2F" w14:textId="77777777" w:rsidR="0090197C" w:rsidRPr="00913E39" w:rsidRDefault="0090197C" w:rsidP="00882ABD">
            <w:pPr>
              <w:spacing w:after="0" w:line="240" w:lineRule="auto"/>
              <w:rPr>
                <w:rFonts w:ascii="Garamond" w:hAnsi="Garamond"/>
                <w:b/>
                <w:sz w:val="20"/>
                <w:szCs w:val="20"/>
              </w:rPr>
            </w:pPr>
            <w:r w:rsidRPr="00913E39">
              <w:rPr>
                <w:rFonts w:ascii="Garamond" w:hAnsi="Garamond"/>
                <w:sz w:val="20"/>
                <w:szCs w:val="20"/>
              </w:rPr>
              <w:t>Pjesëmarrje në zhvillim/qeverisja e mirë</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6D3AC3"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507418C4"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0E6ED73"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36D3EC00" w14:textId="77777777" w:rsidTr="00882ABD">
        <w:trPr>
          <w:trHeight w:val="20"/>
        </w:trPr>
        <w:tc>
          <w:tcPr>
            <w:tcW w:w="2117" w:type="dxa"/>
            <w:gridSpan w:val="2"/>
            <w:vMerge/>
            <w:tcBorders>
              <w:left w:val="single" w:sz="4" w:space="0" w:color="auto"/>
              <w:right w:val="single" w:sz="4" w:space="0" w:color="auto"/>
            </w:tcBorders>
            <w:shd w:val="clear" w:color="auto" w:fill="auto"/>
          </w:tcPr>
          <w:p w14:paraId="7C1E12C1"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28C27F15"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Ndihma për mjedisin</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9223F7"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297AA4AE"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10C7AE7"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31236D13" w14:textId="77777777" w:rsidTr="00882ABD">
        <w:trPr>
          <w:trHeight w:val="20"/>
        </w:trPr>
        <w:tc>
          <w:tcPr>
            <w:tcW w:w="2117" w:type="dxa"/>
            <w:gridSpan w:val="2"/>
            <w:vMerge/>
            <w:tcBorders>
              <w:left w:val="single" w:sz="4" w:space="0" w:color="auto"/>
              <w:right w:val="single" w:sz="4" w:space="0" w:color="auto"/>
            </w:tcBorders>
            <w:shd w:val="clear" w:color="auto" w:fill="auto"/>
          </w:tcPr>
          <w:p w14:paraId="7B118E0B"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6B83383A"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Barazia gjinore, emancipimi i grave dhe vajzave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410E935"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37CF4B87"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6915981"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7D56762D" w14:textId="77777777" w:rsidTr="00882ABD">
        <w:trPr>
          <w:trHeight w:val="20"/>
        </w:trPr>
        <w:tc>
          <w:tcPr>
            <w:tcW w:w="2117" w:type="dxa"/>
            <w:gridSpan w:val="2"/>
            <w:vMerge/>
            <w:tcBorders>
              <w:left w:val="single" w:sz="4" w:space="0" w:color="auto"/>
              <w:right w:val="single" w:sz="4" w:space="0" w:color="auto"/>
            </w:tcBorders>
            <w:shd w:val="clear" w:color="auto" w:fill="auto"/>
          </w:tcPr>
          <w:p w14:paraId="371C491F"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532DEE39"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Shëndeti riprodhues, i nënës së porsalindurit dhe fëmijës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418D0E2"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67122F36"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FAA24E7"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07D9E065" w14:textId="77777777" w:rsidTr="00882ABD">
        <w:trPr>
          <w:trHeight w:val="20"/>
        </w:trPr>
        <w:tc>
          <w:tcPr>
            <w:tcW w:w="2117" w:type="dxa"/>
            <w:gridSpan w:val="2"/>
            <w:vMerge/>
            <w:tcBorders>
              <w:left w:val="single" w:sz="4" w:space="0" w:color="auto"/>
              <w:right w:val="single" w:sz="4" w:space="0" w:color="auto"/>
            </w:tcBorders>
            <w:shd w:val="clear" w:color="auto" w:fill="auto"/>
          </w:tcPr>
          <w:p w14:paraId="79008864"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247D61D6" w14:textId="585A5D68"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 xml:space="preserve">Reduktimi i </w:t>
            </w:r>
            <w:r w:rsidR="00B10CE8" w:rsidRPr="00913E39">
              <w:rPr>
                <w:rFonts w:ascii="Garamond" w:hAnsi="Garamond"/>
                <w:sz w:val="20"/>
                <w:szCs w:val="20"/>
              </w:rPr>
              <w:t>riskut nga katastrofat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1F0BCE"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3714DF76"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6CD9500"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7A0140B7" w14:textId="77777777" w:rsidTr="00882ABD">
        <w:trPr>
          <w:trHeight w:val="20"/>
        </w:trPr>
        <w:tc>
          <w:tcPr>
            <w:tcW w:w="2117" w:type="dxa"/>
            <w:gridSpan w:val="2"/>
            <w:vMerge/>
            <w:tcBorders>
              <w:left w:val="single" w:sz="4" w:space="0" w:color="auto"/>
              <w:right w:val="single" w:sz="4" w:space="0" w:color="auto"/>
            </w:tcBorders>
            <w:shd w:val="clear" w:color="auto" w:fill="auto"/>
          </w:tcPr>
          <w:p w14:paraId="4C82296E"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387C3747" w14:textId="77777777"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Përfshirja e invalidëve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61823A"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07CD9FF9"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67ED012"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18E053EF" w14:textId="77777777" w:rsidTr="00882ABD">
        <w:trPr>
          <w:trHeight w:val="20"/>
        </w:trPr>
        <w:tc>
          <w:tcPr>
            <w:tcW w:w="2117" w:type="dxa"/>
            <w:gridSpan w:val="2"/>
            <w:vMerge/>
            <w:tcBorders>
              <w:left w:val="single" w:sz="4" w:space="0" w:color="auto"/>
              <w:right w:val="single" w:sz="4" w:space="0" w:color="auto"/>
            </w:tcBorders>
            <w:shd w:val="clear" w:color="auto" w:fill="auto"/>
          </w:tcPr>
          <w:p w14:paraId="1D1CA831"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6F6D0F14"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Ushqyerja</w:t>
            </w:r>
            <w:r w:rsidRPr="00913E39">
              <w:rPr>
                <w:rStyle w:val="FootnoteReference"/>
                <w:rFonts w:ascii="Garamond" w:hAnsi="Garamond"/>
                <w:sz w:val="20"/>
              </w:rPr>
              <w:footnoteReference w:id="109"/>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5E863B5"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7F45F0E4"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9374860"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63C8BBB8" w14:textId="77777777" w:rsidTr="00882ABD">
        <w:trPr>
          <w:trHeight w:val="20"/>
        </w:trPr>
        <w:tc>
          <w:tcPr>
            <w:tcW w:w="2117" w:type="dxa"/>
            <w:gridSpan w:val="2"/>
            <w:vMerge/>
            <w:tcBorders>
              <w:left w:val="single" w:sz="4" w:space="0" w:color="auto"/>
              <w:right w:val="single" w:sz="4" w:space="0" w:color="auto"/>
            </w:tcBorders>
            <w:shd w:val="clear" w:color="auto" w:fill="auto"/>
          </w:tcPr>
          <w:p w14:paraId="7100AF1E"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424B140D" w14:textId="77777777" w:rsidR="0090197C" w:rsidRPr="00913E39" w:rsidRDefault="0090197C" w:rsidP="00882ABD">
            <w:pPr>
              <w:spacing w:after="0" w:line="240" w:lineRule="auto"/>
              <w:rPr>
                <w:rFonts w:ascii="Garamond" w:hAnsi="Garamond"/>
                <w:b/>
                <w:sz w:val="20"/>
                <w:szCs w:val="20"/>
              </w:rPr>
            </w:pPr>
            <w:r w:rsidRPr="00913E39">
              <w:rPr>
                <w:rFonts w:ascii="Garamond" w:hAnsi="Garamond"/>
                <w:b/>
                <w:sz w:val="20"/>
                <w:szCs w:val="20"/>
              </w:rPr>
              <w:t>Treguesit e Konventës RIO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4CFDD4" w14:textId="77777777" w:rsidR="0090197C" w:rsidRPr="00913E39" w:rsidRDefault="0090197C" w:rsidP="00882ABD">
            <w:pPr>
              <w:spacing w:after="0" w:line="240" w:lineRule="auto"/>
              <w:jc w:val="center"/>
              <w:rPr>
                <w:rFonts w:ascii="Garamond" w:hAnsi="Garamond"/>
                <w:b/>
                <w:sz w:val="20"/>
                <w:szCs w:val="20"/>
              </w:rPr>
            </w:pPr>
            <w:r w:rsidRPr="00913E39">
              <w:rPr>
                <w:rFonts w:ascii="Garamond" w:hAnsi="Garamond"/>
                <w:b/>
                <w:sz w:val="20"/>
                <w:szCs w:val="20"/>
              </w:rPr>
              <w:t>Nuk synohet</w:t>
            </w:r>
          </w:p>
        </w:tc>
        <w:tc>
          <w:tcPr>
            <w:tcW w:w="1418" w:type="dxa"/>
            <w:tcBorders>
              <w:top w:val="single" w:sz="4" w:space="0" w:color="auto"/>
              <w:left w:val="single" w:sz="4" w:space="0" w:color="auto"/>
              <w:bottom w:val="single" w:sz="4" w:space="0" w:color="auto"/>
              <w:right w:val="single" w:sz="4" w:space="0" w:color="auto"/>
            </w:tcBorders>
          </w:tcPr>
          <w:p w14:paraId="05B29652" w14:textId="77777777" w:rsidR="0090197C" w:rsidRPr="00913E39" w:rsidRDefault="0090197C" w:rsidP="00882ABD">
            <w:pPr>
              <w:spacing w:after="0" w:line="240" w:lineRule="auto"/>
              <w:jc w:val="center"/>
              <w:rPr>
                <w:rFonts w:ascii="Garamond" w:hAnsi="Garamond"/>
                <w:b/>
                <w:sz w:val="20"/>
                <w:szCs w:val="20"/>
              </w:rPr>
            </w:pPr>
            <w:r w:rsidRPr="00913E39">
              <w:rPr>
                <w:rFonts w:ascii="Garamond" w:hAnsi="Garamond"/>
                <w:b/>
                <w:sz w:val="20"/>
                <w:szCs w:val="20"/>
              </w:rPr>
              <w:t>Objektiv i rëndësishëm</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F3D7546" w14:textId="77777777" w:rsidR="0090197C" w:rsidRPr="00913E39" w:rsidRDefault="0090197C" w:rsidP="00882ABD">
            <w:pPr>
              <w:spacing w:after="0" w:line="240" w:lineRule="auto"/>
              <w:jc w:val="center"/>
              <w:rPr>
                <w:rFonts w:ascii="Garamond" w:hAnsi="Garamond"/>
                <w:b/>
                <w:sz w:val="20"/>
                <w:szCs w:val="20"/>
              </w:rPr>
            </w:pPr>
            <w:r w:rsidRPr="00913E39">
              <w:rPr>
                <w:rFonts w:ascii="Garamond" w:hAnsi="Garamond"/>
                <w:b/>
                <w:sz w:val="20"/>
                <w:szCs w:val="20"/>
              </w:rPr>
              <w:t>Objektivi kryesor</w:t>
            </w:r>
          </w:p>
        </w:tc>
      </w:tr>
      <w:tr w:rsidR="0090197C" w:rsidRPr="00913E39" w14:paraId="441F3C23" w14:textId="77777777" w:rsidTr="00882ABD">
        <w:trPr>
          <w:trHeight w:val="20"/>
        </w:trPr>
        <w:tc>
          <w:tcPr>
            <w:tcW w:w="2117" w:type="dxa"/>
            <w:gridSpan w:val="2"/>
            <w:vMerge/>
            <w:tcBorders>
              <w:left w:val="single" w:sz="4" w:space="0" w:color="auto"/>
              <w:right w:val="single" w:sz="4" w:space="0" w:color="auto"/>
            </w:tcBorders>
            <w:shd w:val="clear" w:color="auto" w:fill="auto"/>
          </w:tcPr>
          <w:p w14:paraId="26D67203"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0BE0B3B6" w14:textId="77777777" w:rsidR="0090197C" w:rsidRPr="00913E39" w:rsidRDefault="0090197C" w:rsidP="00882ABD">
            <w:pPr>
              <w:spacing w:after="0" w:line="240" w:lineRule="auto"/>
              <w:rPr>
                <w:rFonts w:ascii="Garamond" w:hAnsi="Garamond"/>
                <w:b/>
                <w:sz w:val="20"/>
                <w:szCs w:val="20"/>
              </w:rPr>
            </w:pPr>
            <w:r w:rsidRPr="00913E39">
              <w:rPr>
                <w:rFonts w:ascii="Garamond" w:hAnsi="Garamond"/>
                <w:sz w:val="20"/>
                <w:szCs w:val="20"/>
              </w:rPr>
              <w:t>Diversiteti biologjik</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5AFFB2"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2C101A72"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0D34589"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1AD5BABE" w14:textId="77777777" w:rsidTr="00882ABD">
        <w:trPr>
          <w:trHeight w:val="20"/>
        </w:trPr>
        <w:tc>
          <w:tcPr>
            <w:tcW w:w="2117" w:type="dxa"/>
            <w:gridSpan w:val="2"/>
            <w:vMerge/>
            <w:tcBorders>
              <w:left w:val="single" w:sz="4" w:space="0" w:color="auto"/>
              <w:right w:val="single" w:sz="4" w:space="0" w:color="auto"/>
            </w:tcBorders>
            <w:shd w:val="clear" w:color="auto" w:fill="auto"/>
          </w:tcPr>
          <w:p w14:paraId="7D52DA5D"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6E900A4F" w14:textId="77777777" w:rsidR="0090197C" w:rsidRPr="00913E39" w:rsidRDefault="0090197C" w:rsidP="00882ABD">
            <w:pPr>
              <w:spacing w:after="0" w:line="240" w:lineRule="auto"/>
              <w:rPr>
                <w:rFonts w:ascii="Garamond" w:hAnsi="Garamond"/>
                <w:b/>
                <w:sz w:val="20"/>
                <w:szCs w:val="20"/>
              </w:rPr>
            </w:pPr>
            <w:r w:rsidRPr="00913E39">
              <w:rPr>
                <w:rFonts w:ascii="Garamond" w:hAnsi="Garamond"/>
                <w:sz w:val="20"/>
                <w:szCs w:val="20"/>
              </w:rPr>
              <w:t>Lufta kundër thatësirës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E86187"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3BF23004"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528D73A"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681336F0" w14:textId="77777777" w:rsidTr="00882ABD">
        <w:trPr>
          <w:trHeight w:val="20"/>
        </w:trPr>
        <w:tc>
          <w:tcPr>
            <w:tcW w:w="2117" w:type="dxa"/>
            <w:gridSpan w:val="2"/>
            <w:vMerge/>
            <w:tcBorders>
              <w:left w:val="single" w:sz="4" w:space="0" w:color="auto"/>
              <w:right w:val="single" w:sz="4" w:space="0" w:color="auto"/>
            </w:tcBorders>
            <w:shd w:val="clear" w:color="auto" w:fill="auto"/>
          </w:tcPr>
          <w:p w14:paraId="1469C95E"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395ED36C" w14:textId="77777777" w:rsidR="0090197C" w:rsidRPr="00913E39" w:rsidRDefault="0090197C" w:rsidP="00882ABD">
            <w:pPr>
              <w:spacing w:after="0" w:line="240" w:lineRule="auto"/>
              <w:rPr>
                <w:rFonts w:ascii="Garamond" w:hAnsi="Garamond"/>
                <w:b/>
                <w:sz w:val="20"/>
                <w:szCs w:val="20"/>
              </w:rPr>
            </w:pPr>
            <w:r w:rsidRPr="00913E39">
              <w:rPr>
                <w:rFonts w:ascii="Garamond" w:hAnsi="Garamond"/>
                <w:sz w:val="20"/>
                <w:szCs w:val="20"/>
              </w:rPr>
              <w:t>Zbutja e ndryshimit të klimës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E19986"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3ACB6180"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76851B4"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3E7E2ADB" w14:textId="77777777" w:rsidTr="00882ABD">
        <w:trPr>
          <w:trHeight w:val="20"/>
        </w:trPr>
        <w:tc>
          <w:tcPr>
            <w:tcW w:w="2117" w:type="dxa"/>
            <w:gridSpan w:val="2"/>
            <w:vMerge/>
            <w:tcBorders>
              <w:left w:val="single" w:sz="4" w:space="0" w:color="auto"/>
              <w:bottom w:val="single" w:sz="4" w:space="0" w:color="auto"/>
              <w:right w:val="single" w:sz="4" w:space="0" w:color="auto"/>
            </w:tcBorders>
            <w:shd w:val="clear" w:color="auto" w:fill="auto"/>
          </w:tcPr>
          <w:p w14:paraId="442F7924"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6C473FC1" w14:textId="77777777" w:rsidR="0090197C" w:rsidRPr="00913E39" w:rsidRDefault="0090197C" w:rsidP="00882ABD">
            <w:pPr>
              <w:spacing w:after="0" w:line="240" w:lineRule="auto"/>
              <w:rPr>
                <w:rFonts w:ascii="Garamond" w:hAnsi="Garamond"/>
                <w:b/>
                <w:sz w:val="20"/>
                <w:szCs w:val="20"/>
              </w:rPr>
            </w:pPr>
            <w:r w:rsidRPr="00913E39">
              <w:rPr>
                <w:rFonts w:ascii="Garamond" w:hAnsi="Garamond"/>
                <w:sz w:val="20"/>
                <w:szCs w:val="20"/>
              </w:rPr>
              <w:t>Përshtatja me ndryshimin e klimës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465BB9D"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4DDB2A1C"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BEB573A"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26BED91A" w14:textId="77777777" w:rsidTr="00882ABD">
        <w:trPr>
          <w:trHeight w:val="20"/>
        </w:trPr>
        <w:tc>
          <w:tcPr>
            <w:tcW w:w="2117" w:type="dxa"/>
            <w:gridSpan w:val="2"/>
            <w:vMerge w:val="restart"/>
            <w:tcBorders>
              <w:top w:val="single" w:sz="4" w:space="0" w:color="auto"/>
              <w:left w:val="single" w:sz="4" w:space="0" w:color="auto"/>
              <w:right w:val="single" w:sz="4" w:space="0" w:color="auto"/>
            </w:tcBorders>
            <w:shd w:val="clear" w:color="auto" w:fill="auto"/>
          </w:tcPr>
          <w:p w14:paraId="093EE4DC" w14:textId="77777777" w:rsidR="0090197C" w:rsidRPr="00913E39" w:rsidRDefault="0090197C" w:rsidP="00882ABD">
            <w:pPr>
              <w:spacing w:after="0" w:line="240" w:lineRule="auto"/>
              <w:rPr>
                <w:rFonts w:ascii="Garamond" w:hAnsi="Garamond"/>
                <w:b/>
                <w:bCs/>
                <w:sz w:val="20"/>
                <w:szCs w:val="20"/>
              </w:rPr>
            </w:pPr>
            <w:r w:rsidRPr="00913E39">
              <w:rPr>
                <w:rFonts w:ascii="Garamond" w:hAnsi="Garamond"/>
                <w:b/>
                <w:bCs/>
                <w:sz w:val="20"/>
                <w:szCs w:val="20"/>
              </w:rPr>
              <w:t>Treguesit e brendshëm</w:t>
            </w:r>
            <w:r w:rsidRPr="00913E39">
              <w:rPr>
                <w:rStyle w:val="FootnoteReference"/>
                <w:rFonts w:ascii="Garamond" w:hAnsi="Garamond"/>
                <w:b/>
                <w:sz w:val="20"/>
              </w:rPr>
              <w:footnoteReference w:id="110"/>
            </w:r>
            <w:r w:rsidRPr="00913E39">
              <w:rPr>
                <w:rFonts w:ascii="Garamond" w:hAnsi="Garamond"/>
                <w:b/>
                <w:bCs/>
                <w:sz w:val="20"/>
                <w:szCs w:val="20"/>
              </w:rPr>
              <w:t xml:space="preserve"> dhe titujt</w:t>
            </w: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4CDE8278" w14:textId="77777777" w:rsidR="0090197C" w:rsidRPr="00913E39" w:rsidRDefault="0090197C" w:rsidP="00882ABD">
            <w:pPr>
              <w:spacing w:after="0" w:line="240" w:lineRule="auto"/>
              <w:rPr>
                <w:rFonts w:ascii="Garamond" w:hAnsi="Garamond"/>
                <w:b/>
                <w:sz w:val="20"/>
                <w:szCs w:val="20"/>
              </w:rPr>
            </w:pPr>
            <w:r w:rsidRPr="00913E39">
              <w:rPr>
                <w:rFonts w:ascii="Garamond" w:hAnsi="Garamond"/>
                <w:b/>
                <w:sz w:val="20"/>
                <w:szCs w:val="20"/>
              </w:rPr>
              <w:t>Objektivat e politikave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40186D" w14:textId="77777777" w:rsidR="0090197C" w:rsidRPr="00913E39" w:rsidRDefault="0090197C" w:rsidP="00882ABD">
            <w:pPr>
              <w:spacing w:after="0" w:line="240" w:lineRule="auto"/>
              <w:jc w:val="center"/>
              <w:rPr>
                <w:rFonts w:ascii="Garamond" w:hAnsi="Garamond"/>
                <w:b/>
                <w:sz w:val="20"/>
                <w:szCs w:val="20"/>
              </w:rPr>
            </w:pPr>
            <w:r w:rsidRPr="00913E39">
              <w:rPr>
                <w:rFonts w:ascii="Garamond" w:hAnsi="Garamond"/>
                <w:b/>
                <w:sz w:val="20"/>
                <w:szCs w:val="20"/>
              </w:rPr>
              <w:t>Nuk synohet</w:t>
            </w:r>
          </w:p>
        </w:tc>
        <w:tc>
          <w:tcPr>
            <w:tcW w:w="1418" w:type="dxa"/>
            <w:tcBorders>
              <w:top w:val="single" w:sz="4" w:space="0" w:color="auto"/>
              <w:left w:val="single" w:sz="4" w:space="0" w:color="auto"/>
              <w:bottom w:val="single" w:sz="4" w:space="0" w:color="auto"/>
              <w:right w:val="single" w:sz="4" w:space="0" w:color="auto"/>
            </w:tcBorders>
          </w:tcPr>
          <w:p w14:paraId="28F5D77B" w14:textId="77777777" w:rsidR="0090197C" w:rsidRPr="00913E39" w:rsidRDefault="0090197C" w:rsidP="00882ABD">
            <w:pPr>
              <w:spacing w:after="0" w:line="240" w:lineRule="auto"/>
              <w:jc w:val="center"/>
              <w:rPr>
                <w:rFonts w:ascii="Garamond" w:hAnsi="Garamond"/>
                <w:b/>
                <w:sz w:val="20"/>
                <w:szCs w:val="20"/>
              </w:rPr>
            </w:pPr>
            <w:r w:rsidRPr="00913E39">
              <w:rPr>
                <w:rFonts w:ascii="Garamond" w:hAnsi="Garamond"/>
                <w:b/>
                <w:sz w:val="20"/>
                <w:szCs w:val="20"/>
              </w:rPr>
              <w:t>Objektiv i rëndësishëm</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A5840E7" w14:textId="77777777" w:rsidR="0090197C" w:rsidRPr="00913E39" w:rsidRDefault="0090197C" w:rsidP="00882ABD">
            <w:pPr>
              <w:spacing w:after="0" w:line="240" w:lineRule="auto"/>
              <w:jc w:val="center"/>
              <w:rPr>
                <w:rFonts w:ascii="Garamond" w:hAnsi="Garamond"/>
                <w:b/>
                <w:sz w:val="20"/>
                <w:szCs w:val="20"/>
              </w:rPr>
            </w:pPr>
            <w:r w:rsidRPr="00913E39">
              <w:rPr>
                <w:rFonts w:ascii="Garamond" w:hAnsi="Garamond"/>
                <w:b/>
                <w:sz w:val="20"/>
                <w:szCs w:val="20"/>
              </w:rPr>
              <w:t>Objektivi kryesor</w:t>
            </w:r>
          </w:p>
        </w:tc>
      </w:tr>
      <w:tr w:rsidR="0090197C" w:rsidRPr="00913E39" w14:paraId="2B0D9B5C" w14:textId="77777777" w:rsidTr="00882ABD">
        <w:trPr>
          <w:trHeight w:val="20"/>
        </w:trPr>
        <w:tc>
          <w:tcPr>
            <w:tcW w:w="2117" w:type="dxa"/>
            <w:gridSpan w:val="2"/>
            <w:vMerge/>
            <w:tcBorders>
              <w:left w:val="single" w:sz="4" w:space="0" w:color="auto"/>
              <w:right w:val="single" w:sz="4" w:space="0" w:color="auto"/>
            </w:tcBorders>
            <w:shd w:val="clear" w:color="auto" w:fill="auto"/>
          </w:tcPr>
          <w:p w14:paraId="029B859A"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23611F8B" w14:textId="69714EB6" w:rsidR="0090197C" w:rsidRPr="00913E39" w:rsidRDefault="0090197C" w:rsidP="00882ABD">
            <w:pPr>
              <w:spacing w:after="0" w:line="240" w:lineRule="auto"/>
              <w:rPr>
                <w:rFonts w:ascii="Garamond" w:hAnsi="Garamond"/>
                <w:b/>
                <w:sz w:val="20"/>
                <w:szCs w:val="20"/>
              </w:rPr>
            </w:pPr>
            <w:r w:rsidRPr="00913E39">
              <w:rPr>
                <w:rFonts w:ascii="Garamond" w:hAnsi="Garamond"/>
                <w:sz w:val="20"/>
                <w:szCs w:val="20"/>
              </w:rPr>
              <w:t>Di</w:t>
            </w:r>
            <w:r w:rsidR="00042B57" w:rsidRPr="00913E39">
              <w:rPr>
                <w:rFonts w:ascii="Garamond" w:hAnsi="Garamond"/>
                <w:sz w:val="20"/>
                <w:szCs w:val="20"/>
              </w:rPr>
              <w:t>gj</w:t>
            </w:r>
            <w:r w:rsidRPr="00913E39">
              <w:rPr>
                <w:rFonts w:ascii="Garamond" w:hAnsi="Garamond"/>
                <w:sz w:val="20"/>
                <w:szCs w:val="20"/>
              </w:rPr>
              <w:t>italizimi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03CC9F"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0CCDD84A"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FEF5145"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385B5101" w14:textId="77777777" w:rsidTr="00882ABD">
        <w:trPr>
          <w:trHeight w:val="20"/>
        </w:trPr>
        <w:tc>
          <w:tcPr>
            <w:tcW w:w="2117" w:type="dxa"/>
            <w:gridSpan w:val="2"/>
            <w:vMerge/>
            <w:tcBorders>
              <w:left w:val="single" w:sz="4" w:space="0" w:color="auto"/>
              <w:right w:val="single" w:sz="4" w:space="0" w:color="auto"/>
            </w:tcBorders>
            <w:shd w:val="clear" w:color="auto" w:fill="auto"/>
          </w:tcPr>
          <w:p w14:paraId="440DE35A"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63D7BFBF" w14:textId="77777777"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Titujt</w:t>
            </w:r>
            <w:r w:rsidRPr="00913E39">
              <w:rPr>
                <w:rStyle w:val="FootnoteReference"/>
                <w:rFonts w:ascii="Garamond" w:eastAsia="DengXian" w:hAnsi="Garamond"/>
                <w:sz w:val="20"/>
              </w:rPr>
              <w:footnoteReference w:id="111"/>
            </w:r>
          </w:p>
          <w:p w14:paraId="66E3EA3C" w14:textId="267EF882" w:rsidR="0090197C" w:rsidRPr="00913E39" w:rsidRDefault="0090197C" w:rsidP="00882ABD">
            <w:pPr>
              <w:pStyle w:val="Text1"/>
              <w:spacing w:before="0" w:after="0"/>
              <w:ind w:left="0"/>
              <w:jc w:val="left"/>
              <w:rPr>
                <w:rFonts w:ascii="Garamond" w:eastAsia="Calibri" w:hAnsi="Garamond"/>
                <w:sz w:val="20"/>
              </w:rPr>
            </w:pPr>
            <w:r w:rsidRPr="00913E39">
              <w:rPr>
                <w:rFonts w:ascii="Garamond" w:hAnsi="Garamond"/>
                <w:sz w:val="20"/>
              </w:rPr>
              <w:t>lidhja di</w:t>
            </w:r>
            <w:r w:rsidR="00042B57" w:rsidRPr="00913E39">
              <w:rPr>
                <w:rFonts w:ascii="Garamond" w:hAnsi="Garamond"/>
                <w:sz w:val="20"/>
              </w:rPr>
              <w:t>gj</w:t>
            </w:r>
            <w:r w:rsidRPr="00913E39">
              <w:rPr>
                <w:rFonts w:ascii="Garamond" w:hAnsi="Garamond"/>
                <w:sz w:val="20"/>
              </w:rPr>
              <w:t xml:space="preserve">itale </w:t>
            </w:r>
          </w:p>
          <w:p w14:paraId="509DF68F" w14:textId="6C99F1EC" w:rsidR="0090197C" w:rsidRPr="00913E39" w:rsidRDefault="0090197C" w:rsidP="00882ABD">
            <w:pPr>
              <w:pStyle w:val="Text1"/>
              <w:spacing w:before="0" w:after="0"/>
              <w:ind w:left="0"/>
              <w:jc w:val="left"/>
              <w:rPr>
                <w:rFonts w:ascii="Garamond" w:eastAsia="Calibri" w:hAnsi="Garamond"/>
                <w:sz w:val="20"/>
              </w:rPr>
            </w:pPr>
            <w:r w:rsidRPr="00913E39">
              <w:rPr>
                <w:rFonts w:ascii="Garamond" w:hAnsi="Garamond"/>
                <w:sz w:val="20"/>
              </w:rPr>
              <w:t>menaxhimi d</w:t>
            </w:r>
            <w:r w:rsidR="00042B57" w:rsidRPr="00913E39">
              <w:rPr>
                <w:rFonts w:ascii="Garamond" w:hAnsi="Garamond"/>
                <w:sz w:val="20"/>
              </w:rPr>
              <w:t>igj</w:t>
            </w:r>
            <w:r w:rsidRPr="00913E39">
              <w:rPr>
                <w:rFonts w:ascii="Garamond" w:hAnsi="Garamond"/>
                <w:sz w:val="20"/>
              </w:rPr>
              <w:t xml:space="preserve">ital </w:t>
            </w:r>
          </w:p>
          <w:p w14:paraId="5708A1F7" w14:textId="26C464A7" w:rsidR="0090197C" w:rsidRPr="00913E39" w:rsidRDefault="0090197C" w:rsidP="00882ABD">
            <w:pPr>
              <w:pStyle w:val="Text1"/>
              <w:spacing w:before="0" w:after="0"/>
              <w:ind w:left="0"/>
              <w:jc w:val="left"/>
              <w:rPr>
                <w:rFonts w:ascii="Garamond" w:eastAsia="Calibri" w:hAnsi="Garamond"/>
                <w:sz w:val="20"/>
              </w:rPr>
            </w:pPr>
            <w:r w:rsidRPr="00913E39">
              <w:rPr>
                <w:rFonts w:ascii="Garamond" w:hAnsi="Garamond"/>
                <w:sz w:val="20"/>
              </w:rPr>
              <w:t>sipërmarrja di</w:t>
            </w:r>
            <w:r w:rsidR="00042B57" w:rsidRPr="00913E39">
              <w:rPr>
                <w:rFonts w:ascii="Garamond" w:hAnsi="Garamond"/>
                <w:sz w:val="20"/>
              </w:rPr>
              <w:t>gj</w:t>
            </w:r>
            <w:r w:rsidRPr="00913E39">
              <w:rPr>
                <w:rFonts w:ascii="Garamond" w:hAnsi="Garamond"/>
                <w:sz w:val="20"/>
              </w:rPr>
              <w:t>itale</w:t>
            </w:r>
          </w:p>
          <w:p w14:paraId="013A6EA8" w14:textId="1DBF7B3E" w:rsidR="0090197C" w:rsidRPr="00913E39" w:rsidRDefault="0090197C" w:rsidP="00882ABD">
            <w:pPr>
              <w:pStyle w:val="Text1"/>
              <w:spacing w:before="0" w:after="0"/>
              <w:ind w:left="0"/>
              <w:jc w:val="left"/>
              <w:rPr>
                <w:rFonts w:ascii="Garamond" w:eastAsia="Calibri" w:hAnsi="Garamond"/>
                <w:sz w:val="20"/>
              </w:rPr>
            </w:pPr>
            <w:r w:rsidRPr="00913E39">
              <w:rPr>
                <w:rFonts w:ascii="Garamond" w:hAnsi="Garamond"/>
                <w:sz w:val="20"/>
              </w:rPr>
              <w:t>aftësitë/njohuritë di</w:t>
            </w:r>
            <w:r w:rsidR="00042B57" w:rsidRPr="00913E39">
              <w:rPr>
                <w:rFonts w:ascii="Garamond" w:hAnsi="Garamond"/>
                <w:sz w:val="20"/>
              </w:rPr>
              <w:t>gj</w:t>
            </w:r>
            <w:r w:rsidRPr="00913E39">
              <w:rPr>
                <w:rFonts w:ascii="Garamond" w:hAnsi="Garamond"/>
                <w:sz w:val="20"/>
              </w:rPr>
              <w:t>itale</w:t>
            </w:r>
          </w:p>
          <w:p w14:paraId="39B3C20D" w14:textId="510BE171" w:rsidR="0090197C" w:rsidRPr="00913E39" w:rsidRDefault="0090197C" w:rsidP="00882ABD">
            <w:pPr>
              <w:spacing w:after="0" w:line="240" w:lineRule="auto"/>
              <w:rPr>
                <w:rFonts w:ascii="Garamond" w:hAnsi="Garamond"/>
                <w:b/>
                <w:sz w:val="20"/>
                <w:szCs w:val="20"/>
              </w:rPr>
            </w:pPr>
            <w:r w:rsidRPr="00913E39">
              <w:rPr>
                <w:rFonts w:ascii="Garamond" w:hAnsi="Garamond"/>
                <w:sz w:val="20"/>
                <w:szCs w:val="20"/>
              </w:rPr>
              <w:t>shërbimet di</w:t>
            </w:r>
            <w:r w:rsidR="00042B57" w:rsidRPr="00913E39">
              <w:rPr>
                <w:rFonts w:ascii="Garamond" w:hAnsi="Garamond"/>
                <w:sz w:val="20"/>
                <w:szCs w:val="20"/>
              </w:rPr>
              <w:t>gj</w:t>
            </w:r>
            <w:r w:rsidRPr="00913E39">
              <w:rPr>
                <w:rFonts w:ascii="Garamond" w:hAnsi="Garamond"/>
                <w:sz w:val="20"/>
                <w:szCs w:val="20"/>
              </w:rPr>
              <w:t>itale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0284E35"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654D1241"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58C240FF"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2F445A5E"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6C4B98EB"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2B36683B"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614978D2"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5AAD04E0"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3AA0F77E"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4C4368C0"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1166EA2"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649F115E"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456A3F28"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1805AC9D"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2CBBB6AA"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338E56E4" w14:textId="77777777" w:rsidTr="00882ABD">
        <w:trPr>
          <w:trHeight w:val="20"/>
        </w:trPr>
        <w:tc>
          <w:tcPr>
            <w:tcW w:w="2117" w:type="dxa"/>
            <w:gridSpan w:val="2"/>
            <w:vMerge/>
            <w:tcBorders>
              <w:left w:val="single" w:sz="4" w:space="0" w:color="auto"/>
              <w:right w:val="single" w:sz="4" w:space="0" w:color="auto"/>
            </w:tcBorders>
            <w:shd w:val="clear" w:color="auto" w:fill="auto"/>
          </w:tcPr>
          <w:p w14:paraId="223F6483"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74FFC490" w14:textId="77777777" w:rsidR="0090197C" w:rsidRPr="00913E39" w:rsidRDefault="0090197C" w:rsidP="00882ABD">
            <w:pPr>
              <w:spacing w:after="0" w:line="240" w:lineRule="auto"/>
              <w:rPr>
                <w:rFonts w:ascii="Garamond" w:hAnsi="Garamond"/>
                <w:b/>
                <w:sz w:val="20"/>
                <w:szCs w:val="20"/>
              </w:rPr>
            </w:pPr>
            <w:r w:rsidRPr="00913E39">
              <w:rPr>
                <w:rFonts w:ascii="Garamond" w:hAnsi="Garamond"/>
                <w:sz w:val="20"/>
                <w:szCs w:val="20"/>
              </w:rPr>
              <w:t>Lidhja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24B363"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0202A62D"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AADAB38"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3E90A560" w14:textId="77777777" w:rsidTr="00882ABD">
        <w:trPr>
          <w:trHeight w:val="20"/>
        </w:trPr>
        <w:tc>
          <w:tcPr>
            <w:tcW w:w="2117" w:type="dxa"/>
            <w:gridSpan w:val="2"/>
            <w:vMerge/>
            <w:tcBorders>
              <w:left w:val="single" w:sz="4" w:space="0" w:color="auto"/>
              <w:right w:val="single" w:sz="4" w:space="0" w:color="auto"/>
            </w:tcBorders>
            <w:shd w:val="clear" w:color="auto" w:fill="auto"/>
          </w:tcPr>
          <w:p w14:paraId="76A8479C"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30D02342" w14:textId="77777777"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Titujt</w:t>
            </w:r>
          </w:p>
          <w:p w14:paraId="3BE570EB" w14:textId="1745B030"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lidhja di</w:t>
            </w:r>
            <w:r w:rsidR="00042B57" w:rsidRPr="00913E39">
              <w:rPr>
                <w:rFonts w:ascii="Garamond" w:hAnsi="Garamond"/>
                <w:sz w:val="20"/>
              </w:rPr>
              <w:t>gj</w:t>
            </w:r>
            <w:r w:rsidRPr="00913E39">
              <w:rPr>
                <w:rFonts w:ascii="Garamond" w:hAnsi="Garamond"/>
                <w:sz w:val="20"/>
              </w:rPr>
              <w:t>itale</w:t>
            </w:r>
          </w:p>
          <w:p w14:paraId="6C29CE52" w14:textId="77777777"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energjia</w:t>
            </w:r>
          </w:p>
          <w:p w14:paraId="1ADD0FA9" w14:textId="77777777"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transporti</w:t>
            </w:r>
          </w:p>
          <w:p w14:paraId="2DAE8137" w14:textId="77777777" w:rsidR="0090197C" w:rsidRPr="00913E39" w:rsidRDefault="0090197C" w:rsidP="00882ABD">
            <w:pPr>
              <w:pStyle w:val="Text1"/>
              <w:spacing w:before="0" w:after="0"/>
              <w:ind w:left="0"/>
              <w:jc w:val="left"/>
              <w:rPr>
                <w:rFonts w:ascii="Garamond" w:hAnsi="Garamond"/>
                <w:sz w:val="20"/>
              </w:rPr>
            </w:pPr>
            <w:r w:rsidRPr="00913E39">
              <w:rPr>
                <w:rFonts w:ascii="Garamond" w:hAnsi="Garamond"/>
                <w:sz w:val="20"/>
              </w:rPr>
              <w:t>shëndeti</w:t>
            </w:r>
          </w:p>
          <w:p w14:paraId="1A9FE503" w14:textId="6974CB81" w:rsidR="0090197C" w:rsidRPr="00913E39" w:rsidRDefault="0090197C" w:rsidP="00882ABD">
            <w:pPr>
              <w:spacing w:after="0" w:line="240" w:lineRule="auto"/>
              <w:rPr>
                <w:rFonts w:ascii="Garamond" w:hAnsi="Garamond"/>
                <w:sz w:val="20"/>
                <w:szCs w:val="20"/>
                <w:u w:val="single"/>
              </w:rPr>
            </w:pPr>
            <w:r w:rsidRPr="00913E39">
              <w:rPr>
                <w:rFonts w:ascii="Garamond" w:hAnsi="Garamond"/>
                <w:sz w:val="20"/>
                <w:szCs w:val="20"/>
              </w:rPr>
              <w:lastRenderedPageBreak/>
              <w:t>arsimi dhe kërkimi shkencor</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216941"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lastRenderedPageBreak/>
              <w:sym w:font="Wingdings" w:char="F06F"/>
            </w:r>
          </w:p>
          <w:p w14:paraId="33CF88D4"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3BC0F8EC"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751A4049"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0B212676"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11CD2CC0"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073A77DA"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69149F37"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572CE396"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7023CCD4"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875CAF7"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49F83993"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52C5A00E"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029A2942"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p w14:paraId="6F2D793A"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07191F40" w14:textId="77777777" w:rsidTr="00882ABD">
        <w:trPr>
          <w:trHeight w:val="20"/>
        </w:trPr>
        <w:tc>
          <w:tcPr>
            <w:tcW w:w="2117" w:type="dxa"/>
            <w:gridSpan w:val="2"/>
            <w:vMerge/>
            <w:tcBorders>
              <w:left w:val="single" w:sz="4" w:space="0" w:color="auto"/>
              <w:right w:val="single" w:sz="4" w:space="0" w:color="auto"/>
            </w:tcBorders>
            <w:shd w:val="clear" w:color="auto" w:fill="auto"/>
          </w:tcPr>
          <w:p w14:paraId="4E2535A8"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04884973" w14:textId="77777777" w:rsidR="0090197C" w:rsidRPr="00913E39" w:rsidRDefault="0090197C" w:rsidP="00882ABD">
            <w:pPr>
              <w:spacing w:after="0" w:line="240" w:lineRule="auto"/>
              <w:rPr>
                <w:rFonts w:ascii="Garamond" w:hAnsi="Garamond"/>
                <w:sz w:val="20"/>
                <w:szCs w:val="20"/>
                <w:u w:val="single"/>
              </w:rPr>
            </w:pPr>
            <w:r w:rsidRPr="00913E39">
              <w:rPr>
                <w:rFonts w:ascii="Garamond" w:hAnsi="Garamond"/>
                <w:sz w:val="20"/>
                <w:szCs w:val="20"/>
              </w:rPr>
              <w:t>Migracioni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7664F7"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080C4DAC"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B0C6F5D"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7AF19192" w14:textId="77777777" w:rsidTr="00882ABD">
        <w:trPr>
          <w:trHeight w:val="20"/>
        </w:trPr>
        <w:tc>
          <w:tcPr>
            <w:tcW w:w="2117" w:type="dxa"/>
            <w:gridSpan w:val="2"/>
            <w:vMerge/>
            <w:tcBorders>
              <w:left w:val="single" w:sz="4" w:space="0" w:color="auto"/>
              <w:right w:val="single" w:sz="4" w:space="0" w:color="auto"/>
            </w:tcBorders>
            <w:shd w:val="clear" w:color="auto" w:fill="auto"/>
          </w:tcPr>
          <w:p w14:paraId="69D09345"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01AEA0AD"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Ulja e pabarazive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56C1D3"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52567F3D"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B5C31DB"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4CB68CD7" w14:textId="77777777" w:rsidTr="00882ABD">
        <w:trPr>
          <w:trHeight w:val="20"/>
        </w:trPr>
        <w:tc>
          <w:tcPr>
            <w:tcW w:w="2117" w:type="dxa"/>
            <w:gridSpan w:val="2"/>
            <w:vMerge/>
            <w:tcBorders>
              <w:left w:val="single" w:sz="4" w:space="0" w:color="auto"/>
              <w:bottom w:val="single" w:sz="4" w:space="0" w:color="auto"/>
              <w:right w:val="single" w:sz="4" w:space="0" w:color="auto"/>
            </w:tcBorders>
            <w:shd w:val="clear" w:color="auto" w:fill="auto"/>
          </w:tcPr>
          <w:p w14:paraId="206A8746" w14:textId="77777777" w:rsidR="0090197C" w:rsidRPr="00913E39" w:rsidRDefault="0090197C" w:rsidP="00882ABD">
            <w:pPr>
              <w:spacing w:after="0" w:line="240" w:lineRule="auto"/>
              <w:rPr>
                <w:rFonts w:ascii="Garamond" w:hAnsi="Garamond"/>
                <w:b/>
                <w:sz w:val="20"/>
              </w:rPr>
            </w:pPr>
          </w:p>
        </w:tc>
        <w:tc>
          <w:tcPr>
            <w:tcW w:w="2986" w:type="dxa"/>
            <w:tcBorders>
              <w:top w:val="single" w:sz="4" w:space="0" w:color="auto"/>
              <w:left w:val="single" w:sz="4" w:space="0" w:color="auto"/>
              <w:bottom w:val="single" w:sz="4" w:space="0" w:color="auto"/>
              <w:right w:val="single" w:sz="4" w:space="0" w:color="auto"/>
            </w:tcBorders>
            <w:shd w:val="clear" w:color="auto" w:fill="auto"/>
          </w:tcPr>
          <w:p w14:paraId="31D45E60"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COVID-19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354977"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8" w:type="dxa"/>
            <w:tcBorders>
              <w:top w:val="single" w:sz="4" w:space="0" w:color="auto"/>
              <w:left w:val="single" w:sz="4" w:space="0" w:color="auto"/>
              <w:bottom w:val="single" w:sz="4" w:space="0" w:color="auto"/>
              <w:right w:val="single" w:sz="4" w:space="0" w:color="auto"/>
            </w:tcBorders>
          </w:tcPr>
          <w:p w14:paraId="065023BD"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B77C467" w14:textId="77777777" w:rsidR="0090197C" w:rsidRPr="00913E39" w:rsidRDefault="0090197C" w:rsidP="00882ABD">
            <w:pPr>
              <w:spacing w:after="0" w:line="240" w:lineRule="auto"/>
              <w:jc w:val="center"/>
              <w:rPr>
                <w:rFonts w:ascii="Garamond" w:hAnsi="Garamond"/>
                <w:sz w:val="20"/>
                <w:szCs w:val="20"/>
              </w:rPr>
            </w:pPr>
            <w:r w:rsidRPr="00913E39">
              <w:rPr>
                <w:rFonts w:ascii="Garamond" w:hAnsi="Garamond"/>
                <w:sz w:val="20"/>
                <w:szCs w:val="20"/>
              </w:rPr>
              <w:sym w:font="Wingdings" w:char="F06F"/>
            </w:r>
          </w:p>
        </w:tc>
      </w:tr>
      <w:tr w:rsidR="0090197C" w:rsidRPr="00913E39" w14:paraId="230AA8F4" w14:textId="77777777" w:rsidTr="00882ABD">
        <w:trPr>
          <w:trHeight w:val="20"/>
        </w:trPr>
        <w:tc>
          <w:tcPr>
            <w:tcW w:w="9072" w:type="dxa"/>
            <w:gridSpan w:val="6"/>
            <w:tcBorders>
              <w:top w:val="single" w:sz="4" w:space="0" w:color="auto"/>
              <w:left w:val="single" w:sz="4" w:space="0" w:color="auto"/>
              <w:bottom w:val="single" w:sz="4" w:space="0" w:color="auto"/>
              <w:right w:val="single" w:sz="4" w:space="0" w:color="auto"/>
            </w:tcBorders>
            <w:shd w:val="clear" w:color="auto" w:fill="D0CECE"/>
          </w:tcPr>
          <w:p w14:paraId="124603C0" w14:textId="77777777" w:rsidR="0090197C" w:rsidRPr="00913E39" w:rsidRDefault="0090197C" w:rsidP="00882ABD">
            <w:pPr>
              <w:spacing w:after="0" w:line="240" w:lineRule="auto"/>
              <w:jc w:val="center"/>
              <w:rPr>
                <w:rFonts w:ascii="Garamond" w:hAnsi="Garamond"/>
                <w:bCs/>
                <w:sz w:val="20"/>
                <w:szCs w:val="20"/>
              </w:rPr>
            </w:pPr>
            <w:r w:rsidRPr="00913E39">
              <w:rPr>
                <w:rFonts w:ascii="Garamond" w:hAnsi="Garamond"/>
                <w:bCs/>
                <w:sz w:val="20"/>
                <w:szCs w:val="20"/>
              </w:rPr>
              <w:t>INFORMACION PËR BUXHETIN</w:t>
            </w:r>
          </w:p>
        </w:tc>
      </w:tr>
      <w:tr w:rsidR="0090197C" w:rsidRPr="00913E39" w14:paraId="1E3CBFB9"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6B006810" w14:textId="2CB4FA8A" w:rsidR="0090197C" w:rsidRPr="00913E39" w:rsidRDefault="0090197C" w:rsidP="00882ABD">
            <w:pPr>
              <w:spacing w:after="0" w:line="240" w:lineRule="auto"/>
              <w:rPr>
                <w:rFonts w:ascii="Garamond" w:hAnsi="Garamond"/>
                <w:b/>
                <w:bCs/>
                <w:sz w:val="20"/>
                <w:szCs w:val="20"/>
              </w:rPr>
            </w:pPr>
            <w:r w:rsidRPr="00913E39">
              <w:rPr>
                <w:rFonts w:ascii="Garamond" w:hAnsi="Garamond"/>
                <w:b/>
                <w:bCs/>
                <w:sz w:val="20"/>
                <w:szCs w:val="20"/>
              </w:rPr>
              <w:t>Kosto</w:t>
            </w:r>
            <w:r w:rsidR="00D47F54" w:rsidRPr="00913E39">
              <w:rPr>
                <w:rFonts w:ascii="Garamond" w:hAnsi="Garamond"/>
                <w:b/>
                <w:bCs/>
                <w:sz w:val="20"/>
                <w:szCs w:val="20"/>
              </w:rPr>
              <w:t>ja</w:t>
            </w:r>
            <w:r w:rsidRPr="00913E39">
              <w:rPr>
                <w:rFonts w:ascii="Garamond" w:hAnsi="Garamond"/>
                <w:b/>
                <w:bCs/>
                <w:sz w:val="20"/>
                <w:szCs w:val="20"/>
              </w:rPr>
              <w:t xml:space="preserve"> TOTALE e projektit</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09A51C56"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[shuma] EUR</w:t>
            </w:r>
          </w:p>
        </w:tc>
      </w:tr>
      <w:tr w:rsidR="0090197C" w:rsidRPr="00913E39" w14:paraId="7F384114"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1B93E3B1" w14:textId="77777777" w:rsidR="0090197C" w:rsidRPr="00913E39" w:rsidRDefault="0090197C" w:rsidP="00882ABD">
            <w:pPr>
              <w:spacing w:after="0" w:line="240" w:lineRule="auto"/>
              <w:rPr>
                <w:rFonts w:ascii="Garamond" w:hAnsi="Garamond"/>
                <w:b/>
                <w:bCs/>
                <w:sz w:val="20"/>
                <w:szCs w:val="20"/>
              </w:rPr>
            </w:pPr>
            <w:r w:rsidRPr="00913E39">
              <w:rPr>
                <w:rFonts w:ascii="Garamond" w:hAnsi="Garamond"/>
                <w:b/>
                <w:bCs/>
                <w:sz w:val="20"/>
                <w:szCs w:val="20"/>
              </w:rPr>
              <w:t>Financim i BE-së</w:t>
            </w:r>
            <w:r w:rsidRPr="00913E39">
              <w:rPr>
                <w:rStyle w:val="FootnoteReference"/>
                <w:rFonts w:ascii="Garamond" w:hAnsi="Garamond"/>
                <w:b/>
                <w:sz w:val="20"/>
              </w:rPr>
              <w:footnoteReference w:id="112"/>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1392BBB8"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 xml:space="preserve">[shuma] EUR </w:t>
            </w:r>
          </w:p>
        </w:tc>
      </w:tr>
      <w:tr w:rsidR="0090197C" w:rsidRPr="00913E39" w14:paraId="0C5465E9"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2C25A829" w14:textId="77777777" w:rsidR="0090197C" w:rsidRPr="00913E39" w:rsidRDefault="0090197C" w:rsidP="00882ABD">
            <w:pPr>
              <w:spacing w:after="0" w:line="240" w:lineRule="auto"/>
              <w:rPr>
                <w:rFonts w:ascii="Garamond" w:hAnsi="Garamond"/>
                <w:sz w:val="20"/>
                <w:szCs w:val="20"/>
              </w:rPr>
            </w:pPr>
            <w:r w:rsidRPr="00913E39">
              <w:rPr>
                <w:rFonts w:ascii="Garamond" w:hAnsi="Garamond"/>
                <w:b/>
                <w:bCs/>
                <w:sz w:val="20"/>
                <w:szCs w:val="20"/>
              </w:rPr>
              <w:t>Grafiku financiare</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3BB0E52B"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Grafiku financiar: [15.020201]</w:t>
            </w:r>
          </w:p>
        </w:tc>
      </w:tr>
      <w:tr w:rsidR="0090197C" w:rsidRPr="00913E39" w14:paraId="654CE26E" w14:textId="77777777" w:rsidTr="00882ABD">
        <w:trPr>
          <w:trHeight w:val="20"/>
        </w:trPr>
        <w:tc>
          <w:tcPr>
            <w:tcW w:w="9072" w:type="dxa"/>
            <w:gridSpan w:val="6"/>
            <w:tcBorders>
              <w:top w:val="single" w:sz="4" w:space="0" w:color="auto"/>
              <w:left w:val="single" w:sz="4" w:space="0" w:color="auto"/>
              <w:bottom w:val="single" w:sz="4" w:space="0" w:color="auto"/>
              <w:right w:val="single" w:sz="4" w:space="0" w:color="auto"/>
            </w:tcBorders>
            <w:shd w:val="clear" w:color="auto" w:fill="D0CECE"/>
          </w:tcPr>
          <w:p w14:paraId="1CD65378" w14:textId="77777777" w:rsidR="0090197C" w:rsidRPr="00913E39" w:rsidRDefault="0090197C" w:rsidP="00882ABD">
            <w:pPr>
              <w:spacing w:after="0" w:line="240" w:lineRule="auto"/>
              <w:jc w:val="center"/>
              <w:rPr>
                <w:rFonts w:ascii="Garamond" w:hAnsi="Garamond"/>
                <w:bCs/>
                <w:sz w:val="20"/>
                <w:szCs w:val="20"/>
              </w:rPr>
            </w:pPr>
            <w:r w:rsidRPr="00913E39">
              <w:rPr>
                <w:rFonts w:ascii="Garamond" w:hAnsi="Garamond"/>
                <w:bCs/>
                <w:sz w:val="20"/>
                <w:szCs w:val="20"/>
              </w:rPr>
              <w:t>MENAXHIMI DHE ZBATIMI</w:t>
            </w:r>
          </w:p>
        </w:tc>
      </w:tr>
      <w:tr w:rsidR="0090197C" w:rsidRPr="00913E39" w14:paraId="7F1B2146"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51978CDF" w14:textId="77777777" w:rsidR="0090197C" w:rsidRPr="00913E39" w:rsidRDefault="0090197C" w:rsidP="00882ABD">
            <w:pPr>
              <w:spacing w:after="0" w:line="240" w:lineRule="auto"/>
              <w:rPr>
                <w:rFonts w:ascii="Garamond" w:hAnsi="Garamond"/>
                <w:sz w:val="20"/>
                <w:szCs w:val="20"/>
              </w:rPr>
            </w:pPr>
            <w:r w:rsidRPr="00913E39">
              <w:rPr>
                <w:rFonts w:ascii="Garamond" w:hAnsi="Garamond"/>
                <w:b/>
                <w:bCs/>
                <w:sz w:val="20"/>
                <w:szCs w:val="20"/>
              </w:rPr>
              <w:t>Modaliteti i zbatimit</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3E042AF7" w14:textId="77777777" w:rsidR="0090197C" w:rsidRPr="00913E39" w:rsidRDefault="0090197C" w:rsidP="00882ABD">
            <w:pPr>
              <w:spacing w:after="0" w:line="240" w:lineRule="auto"/>
              <w:rPr>
                <w:rFonts w:ascii="Garamond" w:hAnsi="Garamond"/>
                <w:sz w:val="20"/>
                <w:szCs w:val="20"/>
              </w:rPr>
            </w:pPr>
            <w:r w:rsidRPr="00913E39">
              <w:rPr>
                <w:rFonts w:ascii="Garamond" w:hAnsi="Garamond"/>
                <w:b/>
                <w:bCs/>
                <w:sz w:val="20"/>
                <w:szCs w:val="20"/>
              </w:rPr>
              <w:t>Menaxhim indirekt me</w:t>
            </w:r>
            <w:r w:rsidRPr="00913E39">
              <w:rPr>
                <w:rFonts w:ascii="Garamond" w:hAnsi="Garamond"/>
                <w:sz w:val="20"/>
                <w:szCs w:val="20"/>
              </w:rPr>
              <w:t xml:space="preserve"> [emrin e përfituesit e IPA III]</w:t>
            </w:r>
          </w:p>
          <w:p w14:paraId="40F12B69" w14:textId="77777777" w:rsidR="0090197C" w:rsidRPr="00913E39" w:rsidRDefault="0090197C" w:rsidP="00882ABD">
            <w:pPr>
              <w:autoSpaceDE w:val="0"/>
              <w:autoSpaceDN w:val="0"/>
              <w:spacing w:after="0" w:line="240" w:lineRule="auto"/>
              <w:rPr>
                <w:rFonts w:ascii="Garamond" w:hAnsi="Garamond"/>
                <w:i/>
                <w:sz w:val="20"/>
              </w:rPr>
            </w:pPr>
          </w:p>
        </w:tc>
      </w:tr>
      <w:tr w:rsidR="0090197C" w:rsidRPr="00913E39" w14:paraId="2B7BF1E2"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4ED87B3B" w14:textId="41C27D3A" w:rsidR="0090197C" w:rsidRPr="00913E39" w:rsidRDefault="0090197C" w:rsidP="00882ABD">
            <w:pPr>
              <w:spacing w:after="0" w:line="240" w:lineRule="auto"/>
              <w:rPr>
                <w:rFonts w:ascii="Garamond" w:hAnsi="Garamond"/>
                <w:b/>
                <w:bCs/>
                <w:sz w:val="20"/>
                <w:szCs w:val="20"/>
              </w:rPr>
            </w:pPr>
            <w:r w:rsidRPr="00913E39">
              <w:rPr>
                <w:rFonts w:ascii="Garamond" w:hAnsi="Garamond"/>
                <w:b/>
                <w:bCs/>
                <w:sz w:val="20"/>
                <w:szCs w:val="20"/>
              </w:rPr>
              <w:t xml:space="preserve">Afati i likuidimit për çdo angazhim financiar të përfshirë në </w:t>
            </w:r>
            <w:r w:rsidRPr="00913E39">
              <w:rPr>
                <w:rFonts w:ascii="Garamond" w:hAnsi="Garamond"/>
                <w:b/>
                <w:sz w:val="20"/>
                <w:szCs w:val="20"/>
              </w:rPr>
              <w:t xml:space="preserve">Program Operacional </w:t>
            </w:r>
            <w:r w:rsidRPr="00913E39">
              <w:rPr>
                <w:rFonts w:ascii="Garamond" w:hAnsi="Garamond"/>
                <w:b/>
                <w:bCs/>
                <w:sz w:val="20"/>
                <w:szCs w:val="20"/>
              </w:rPr>
              <w:t>Shumëvjeçar</w:t>
            </w:r>
            <w:r w:rsidRPr="00913E39">
              <w:rPr>
                <w:rStyle w:val="FootnoteReference"/>
                <w:rFonts w:ascii="Garamond" w:hAnsi="Garamond"/>
                <w:b/>
                <w:sz w:val="20"/>
              </w:rPr>
              <w:footnoteReference w:id="113"/>
            </w:r>
          </w:p>
          <w:p w14:paraId="61FC6990" w14:textId="77777777" w:rsidR="0090197C" w:rsidRPr="00913E39" w:rsidRDefault="0090197C" w:rsidP="00882ABD">
            <w:pPr>
              <w:spacing w:after="0" w:line="240" w:lineRule="auto"/>
              <w:rPr>
                <w:rFonts w:ascii="Garamond" w:hAnsi="Garamond"/>
                <w:b/>
                <w:sz w:val="20"/>
              </w:rPr>
            </w:pP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2B6A9F11"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Angazhim financiar[viti n]: deri në 31/12/[viti n+5]</w:t>
            </w:r>
          </w:p>
          <w:p w14:paraId="34651C47"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Angazhim financiar [viti n+1]: deri në 31/12/[viti n +1 +5]</w:t>
            </w:r>
          </w:p>
          <w:p w14:paraId="25FAA61D" w14:textId="486AF7A8"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Angazhim financiar[viti n+2]: deri në 31/12/[viti n +2 +5]</w:t>
            </w:r>
          </w:p>
          <w:p w14:paraId="1BC3639B" w14:textId="4AABD550"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Angazhim financiar [viti n+3]: deri në 31/12/[viti n +3 +5]</w:t>
            </w:r>
          </w:p>
          <w:p w14:paraId="31D0E636"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Angazhim financiar [viti n+4]: deri në 31/12/[viti n +4 +5]</w:t>
            </w:r>
          </w:p>
          <w:p w14:paraId="361C623C" w14:textId="3D234829"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Angazhim financiar[viti n+5]: deri në 31/12/[viti n +5 +5]</w:t>
            </w:r>
          </w:p>
          <w:p w14:paraId="79F16F9C" w14:textId="0D942E88"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Angazhim financiar [viti n+6]: deri në 31/12/[viti n +6 +5]</w:t>
            </w:r>
          </w:p>
          <w:p w14:paraId="3E53AF61" w14:textId="08C9BE86"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[angazhimi i fundit financiar</w:t>
            </w:r>
            <w:r w:rsidR="00B10CE8" w:rsidRPr="00913E39">
              <w:rPr>
                <w:rFonts w:ascii="Garamond" w:hAnsi="Garamond"/>
                <w:sz w:val="20"/>
                <w:szCs w:val="20"/>
              </w:rPr>
              <w:t xml:space="preserve"> </w:t>
            </w:r>
            <w:r w:rsidRPr="00913E39">
              <w:rPr>
                <w:rFonts w:ascii="Garamond" w:hAnsi="Garamond"/>
                <w:sz w:val="20"/>
                <w:szCs w:val="20"/>
              </w:rPr>
              <w:t xml:space="preserve">mund të jetë deri </w:t>
            </w:r>
            <w:r w:rsidR="00042B57" w:rsidRPr="00913E39">
              <w:rPr>
                <w:rFonts w:ascii="Garamond" w:hAnsi="Garamond"/>
                <w:sz w:val="20"/>
                <w:szCs w:val="20"/>
              </w:rPr>
              <w:t>m</w:t>
            </w:r>
            <w:r w:rsidRPr="00913E39">
              <w:rPr>
                <w:rFonts w:ascii="Garamond" w:hAnsi="Garamond"/>
                <w:sz w:val="20"/>
                <w:szCs w:val="20"/>
              </w:rPr>
              <w:t>ë 2027]</w:t>
            </w:r>
          </w:p>
        </w:tc>
      </w:tr>
      <w:tr w:rsidR="0090197C" w:rsidRPr="00913E39" w14:paraId="11A31EA4"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4CFB362E" w14:textId="77777777" w:rsidR="0090197C" w:rsidRPr="00913E39" w:rsidRDefault="0090197C" w:rsidP="00882ABD">
            <w:pPr>
              <w:spacing w:after="0" w:line="240" w:lineRule="auto"/>
              <w:rPr>
                <w:rFonts w:ascii="Garamond" w:hAnsi="Garamond"/>
                <w:b/>
                <w:bCs/>
                <w:sz w:val="20"/>
                <w:szCs w:val="20"/>
              </w:rPr>
            </w:pPr>
            <w:r w:rsidRPr="00913E39">
              <w:rPr>
                <w:rFonts w:ascii="Garamond" w:hAnsi="Garamond"/>
                <w:b/>
                <w:bCs/>
                <w:sz w:val="20"/>
                <w:szCs w:val="20"/>
              </w:rPr>
              <w:t>Periudha treguese e pranueshmërisë</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5C5A5CB3" w14:textId="77777777"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[31/12/n+5 nga angazhimi i fundit buxhetor]</w:t>
            </w:r>
          </w:p>
        </w:tc>
      </w:tr>
      <w:tr w:rsidR="0090197C" w:rsidRPr="00913E39" w14:paraId="7EB8478C"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39DB245D" w14:textId="77777777" w:rsidR="0090197C" w:rsidRPr="00913E39" w:rsidRDefault="0090197C" w:rsidP="00882ABD">
            <w:pPr>
              <w:spacing w:after="0" w:line="240" w:lineRule="auto"/>
              <w:rPr>
                <w:rFonts w:ascii="Garamond" w:hAnsi="Garamond"/>
                <w:b/>
                <w:bCs/>
                <w:sz w:val="20"/>
                <w:szCs w:val="20"/>
              </w:rPr>
            </w:pPr>
            <w:r w:rsidRPr="00913E39">
              <w:rPr>
                <w:rFonts w:ascii="Garamond" w:hAnsi="Garamond"/>
                <w:b/>
                <w:bCs/>
                <w:sz w:val="20"/>
                <w:szCs w:val="20"/>
              </w:rPr>
              <w:t>Data përfundimtare për zbatimin e Marrëveshjes së Financimit</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270ED2C3" w14:textId="490F5CCB" w:rsidR="0090197C" w:rsidRPr="00913E39" w:rsidRDefault="0090197C" w:rsidP="00882ABD">
            <w:pPr>
              <w:spacing w:after="0" w:line="240" w:lineRule="auto"/>
              <w:rPr>
                <w:rFonts w:ascii="Garamond" w:hAnsi="Garamond"/>
                <w:sz w:val="20"/>
                <w:szCs w:val="20"/>
              </w:rPr>
            </w:pPr>
            <w:r w:rsidRPr="00913E39">
              <w:rPr>
                <w:rFonts w:ascii="Garamond" w:hAnsi="Garamond"/>
                <w:sz w:val="20"/>
                <w:szCs w:val="20"/>
              </w:rPr>
              <w:t>[data sipas vendimit të Komisionit për Programin Operacional Shumëvjeçar – duhet të jetë 12 muaj pas lidhjes së Marrëveshjes së Financimit]</w:t>
            </w:r>
          </w:p>
        </w:tc>
      </w:tr>
      <w:tr w:rsidR="0090197C" w:rsidRPr="00913E39" w14:paraId="6E76D13D"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7E9DB559" w14:textId="77777777" w:rsidR="0090197C" w:rsidRPr="00913E39" w:rsidRDefault="0090197C" w:rsidP="00882ABD">
            <w:pPr>
              <w:spacing w:after="0" w:line="240" w:lineRule="auto"/>
              <w:rPr>
                <w:rFonts w:ascii="Garamond" w:hAnsi="Garamond"/>
                <w:b/>
                <w:sz w:val="20"/>
              </w:rPr>
            </w:pPr>
            <w:r w:rsidRPr="00913E39">
              <w:rPr>
                <w:rFonts w:ascii="Garamond" w:hAnsi="Garamond"/>
                <w:b/>
                <w:sz w:val="20"/>
              </w:rPr>
              <w:t>Autoriteti menaxhues përgjegjës për aplikimin</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03432254" w14:textId="77777777" w:rsidR="0090197C" w:rsidRPr="00913E39" w:rsidRDefault="0090197C" w:rsidP="00882ABD">
            <w:pPr>
              <w:spacing w:after="0" w:line="240" w:lineRule="auto"/>
              <w:rPr>
                <w:rFonts w:ascii="Garamond" w:hAnsi="Garamond"/>
                <w:sz w:val="20"/>
              </w:rPr>
            </w:pPr>
            <w:r w:rsidRPr="00913E39">
              <w:rPr>
                <w:rFonts w:ascii="Garamond" w:hAnsi="Garamond"/>
                <w:sz w:val="20"/>
              </w:rPr>
              <w:t>Emri:</w:t>
            </w:r>
            <w:r w:rsidRPr="00913E39">
              <w:rPr>
                <w:rFonts w:ascii="Garamond" w:hAnsi="Garamond"/>
                <w:sz w:val="20"/>
              </w:rPr>
              <w:tab/>
              <w:t xml:space="preserve"> </w:t>
            </w:r>
            <w:r w:rsidRPr="00913E39">
              <w:rPr>
                <w:rFonts w:ascii="Garamond" w:hAnsi="Garamond"/>
                <w:sz w:val="20"/>
              </w:rPr>
              <w:tab/>
            </w:r>
          </w:p>
          <w:p w14:paraId="4188A1E5" w14:textId="77777777" w:rsidR="0090197C" w:rsidRPr="00913E39" w:rsidRDefault="0090197C" w:rsidP="00882ABD">
            <w:pPr>
              <w:spacing w:after="0" w:line="240" w:lineRule="auto"/>
              <w:rPr>
                <w:rFonts w:ascii="Garamond" w:hAnsi="Garamond"/>
                <w:sz w:val="20"/>
              </w:rPr>
            </w:pPr>
            <w:r w:rsidRPr="00913E39">
              <w:rPr>
                <w:rFonts w:ascii="Garamond" w:hAnsi="Garamond"/>
                <w:sz w:val="20"/>
              </w:rPr>
              <w:t>Adresa:</w:t>
            </w:r>
            <w:r w:rsidRPr="00913E39">
              <w:rPr>
                <w:rFonts w:ascii="Garamond" w:hAnsi="Garamond"/>
                <w:sz w:val="20"/>
              </w:rPr>
              <w:tab/>
            </w:r>
          </w:p>
          <w:p w14:paraId="31B79C92" w14:textId="77777777" w:rsidR="0090197C" w:rsidRPr="00913E39" w:rsidRDefault="0090197C" w:rsidP="00882ABD">
            <w:pPr>
              <w:spacing w:after="0" w:line="240" w:lineRule="auto"/>
              <w:rPr>
                <w:rFonts w:ascii="Garamond" w:hAnsi="Garamond"/>
                <w:sz w:val="20"/>
              </w:rPr>
            </w:pPr>
            <w:r w:rsidRPr="00913E39">
              <w:rPr>
                <w:rFonts w:ascii="Garamond" w:hAnsi="Garamond"/>
                <w:sz w:val="20"/>
              </w:rPr>
              <w:t>Kontakt:</w:t>
            </w:r>
            <w:r w:rsidRPr="00913E39">
              <w:rPr>
                <w:rFonts w:ascii="Garamond" w:hAnsi="Garamond"/>
                <w:sz w:val="20"/>
              </w:rPr>
              <w:tab/>
            </w:r>
          </w:p>
          <w:p w14:paraId="6BFE575E" w14:textId="77777777" w:rsidR="0090197C" w:rsidRPr="00913E39" w:rsidRDefault="0090197C" w:rsidP="00882ABD">
            <w:pPr>
              <w:spacing w:after="0" w:line="240" w:lineRule="auto"/>
              <w:rPr>
                <w:rFonts w:ascii="Garamond" w:hAnsi="Garamond"/>
                <w:sz w:val="20"/>
              </w:rPr>
            </w:pPr>
            <w:r w:rsidRPr="00913E39">
              <w:rPr>
                <w:rFonts w:ascii="Garamond" w:hAnsi="Garamond"/>
                <w:sz w:val="20"/>
              </w:rPr>
              <w:t xml:space="preserve">Telefoni: </w:t>
            </w:r>
            <w:r w:rsidRPr="00913E39">
              <w:rPr>
                <w:rFonts w:ascii="Garamond" w:hAnsi="Garamond"/>
                <w:sz w:val="20"/>
              </w:rPr>
              <w:tab/>
            </w:r>
          </w:p>
          <w:p w14:paraId="176A922F" w14:textId="77777777" w:rsidR="0090197C" w:rsidRPr="00913E39" w:rsidRDefault="0090197C" w:rsidP="00882ABD">
            <w:pPr>
              <w:spacing w:after="0" w:line="240" w:lineRule="auto"/>
              <w:rPr>
                <w:rFonts w:ascii="Garamond" w:hAnsi="Garamond"/>
                <w:sz w:val="20"/>
              </w:rPr>
            </w:pPr>
            <w:r w:rsidRPr="00913E39">
              <w:rPr>
                <w:rFonts w:ascii="Garamond" w:hAnsi="Garamond"/>
                <w:sz w:val="20"/>
              </w:rPr>
              <w:t>E-mail:</w:t>
            </w:r>
            <w:r w:rsidRPr="00913E39">
              <w:rPr>
                <w:rFonts w:ascii="Garamond" w:hAnsi="Garamond"/>
                <w:sz w:val="20"/>
              </w:rPr>
              <w:tab/>
            </w:r>
            <w:r w:rsidRPr="00913E39">
              <w:rPr>
                <w:rFonts w:ascii="Garamond" w:hAnsi="Garamond"/>
                <w:sz w:val="20"/>
              </w:rPr>
              <w:tab/>
            </w:r>
          </w:p>
        </w:tc>
      </w:tr>
      <w:tr w:rsidR="0090197C" w:rsidRPr="00913E39" w14:paraId="00F904DF"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5F460BE4" w14:textId="77777777" w:rsidR="0090197C" w:rsidRPr="00913E39" w:rsidRDefault="0090197C" w:rsidP="00882ABD">
            <w:pPr>
              <w:spacing w:after="0" w:line="240" w:lineRule="auto"/>
              <w:rPr>
                <w:rFonts w:ascii="Garamond" w:hAnsi="Garamond"/>
                <w:b/>
                <w:sz w:val="20"/>
              </w:rPr>
            </w:pPr>
            <w:r w:rsidRPr="00913E39">
              <w:rPr>
                <w:rFonts w:ascii="Garamond" w:hAnsi="Garamond"/>
                <w:b/>
                <w:sz w:val="20"/>
              </w:rPr>
              <w:t>Organi ndërmjetës për menaxhimin e politikave (nëse ka)</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1D43180D" w14:textId="77777777" w:rsidR="0090197C" w:rsidRPr="00913E39" w:rsidRDefault="0090197C" w:rsidP="00882ABD">
            <w:pPr>
              <w:spacing w:after="0" w:line="240" w:lineRule="auto"/>
              <w:rPr>
                <w:rFonts w:ascii="Garamond" w:hAnsi="Garamond"/>
                <w:sz w:val="20"/>
              </w:rPr>
            </w:pPr>
            <w:r w:rsidRPr="00913E39">
              <w:rPr>
                <w:rFonts w:ascii="Garamond" w:hAnsi="Garamond"/>
                <w:sz w:val="20"/>
              </w:rPr>
              <w:t>Emri:</w:t>
            </w:r>
            <w:r w:rsidRPr="00913E39">
              <w:rPr>
                <w:rFonts w:ascii="Garamond" w:hAnsi="Garamond"/>
                <w:sz w:val="20"/>
              </w:rPr>
              <w:tab/>
              <w:t xml:space="preserve"> </w:t>
            </w:r>
            <w:r w:rsidRPr="00913E39">
              <w:rPr>
                <w:rFonts w:ascii="Garamond" w:hAnsi="Garamond"/>
                <w:sz w:val="20"/>
              </w:rPr>
              <w:tab/>
            </w:r>
          </w:p>
          <w:p w14:paraId="31FE659E" w14:textId="77777777" w:rsidR="0090197C" w:rsidRPr="00913E39" w:rsidRDefault="0090197C" w:rsidP="00882ABD">
            <w:pPr>
              <w:spacing w:after="0" w:line="240" w:lineRule="auto"/>
              <w:rPr>
                <w:rFonts w:ascii="Garamond" w:hAnsi="Garamond"/>
                <w:sz w:val="20"/>
              </w:rPr>
            </w:pPr>
            <w:r w:rsidRPr="00913E39">
              <w:rPr>
                <w:rFonts w:ascii="Garamond" w:hAnsi="Garamond"/>
                <w:sz w:val="20"/>
              </w:rPr>
              <w:t>Adresa:</w:t>
            </w:r>
            <w:r w:rsidRPr="00913E39">
              <w:rPr>
                <w:rFonts w:ascii="Garamond" w:hAnsi="Garamond"/>
                <w:sz w:val="20"/>
              </w:rPr>
              <w:tab/>
            </w:r>
          </w:p>
          <w:p w14:paraId="078D2F66" w14:textId="77777777" w:rsidR="0090197C" w:rsidRPr="00913E39" w:rsidRDefault="0090197C" w:rsidP="00882ABD">
            <w:pPr>
              <w:spacing w:after="0" w:line="240" w:lineRule="auto"/>
              <w:rPr>
                <w:rFonts w:ascii="Garamond" w:hAnsi="Garamond"/>
                <w:sz w:val="20"/>
              </w:rPr>
            </w:pPr>
            <w:r w:rsidRPr="00913E39">
              <w:rPr>
                <w:rFonts w:ascii="Garamond" w:hAnsi="Garamond"/>
                <w:sz w:val="20"/>
              </w:rPr>
              <w:t>Kontakt:</w:t>
            </w:r>
            <w:r w:rsidRPr="00913E39">
              <w:rPr>
                <w:rFonts w:ascii="Garamond" w:hAnsi="Garamond"/>
                <w:sz w:val="20"/>
              </w:rPr>
              <w:tab/>
            </w:r>
          </w:p>
          <w:p w14:paraId="4E601D18" w14:textId="77777777" w:rsidR="0090197C" w:rsidRPr="00913E39" w:rsidRDefault="0090197C" w:rsidP="00882ABD">
            <w:pPr>
              <w:spacing w:after="0" w:line="240" w:lineRule="auto"/>
              <w:rPr>
                <w:rFonts w:ascii="Garamond" w:hAnsi="Garamond"/>
                <w:sz w:val="20"/>
              </w:rPr>
            </w:pPr>
            <w:r w:rsidRPr="00913E39">
              <w:rPr>
                <w:rFonts w:ascii="Garamond" w:hAnsi="Garamond"/>
                <w:sz w:val="20"/>
              </w:rPr>
              <w:t xml:space="preserve">Telefoni: </w:t>
            </w:r>
            <w:r w:rsidRPr="00913E39">
              <w:rPr>
                <w:rFonts w:ascii="Garamond" w:hAnsi="Garamond"/>
                <w:sz w:val="20"/>
              </w:rPr>
              <w:tab/>
            </w:r>
          </w:p>
          <w:p w14:paraId="5848EEAB" w14:textId="77777777" w:rsidR="0090197C" w:rsidRPr="00913E39" w:rsidRDefault="0090197C" w:rsidP="00882ABD">
            <w:pPr>
              <w:spacing w:after="0" w:line="240" w:lineRule="auto"/>
              <w:rPr>
                <w:rFonts w:ascii="Garamond" w:hAnsi="Garamond"/>
                <w:sz w:val="20"/>
              </w:rPr>
            </w:pPr>
            <w:r w:rsidRPr="00913E39">
              <w:rPr>
                <w:rFonts w:ascii="Garamond" w:hAnsi="Garamond"/>
                <w:sz w:val="20"/>
              </w:rPr>
              <w:t>E-mail:</w:t>
            </w:r>
            <w:r w:rsidRPr="00913E39">
              <w:rPr>
                <w:rFonts w:ascii="Garamond" w:hAnsi="Garamond"/>
                <w:sz w:val="20"/>
              </w:rPr>
              <w:tab/>
            </w:r>
            <w:r w:rsidRPr="00913E39">
              <w:rPr>
                <w:rFonts w:ascii="Garamond" w:hAnsi="Garamond"/>
                <w:sz w:val="20"/>
              </w:rPr>
              <w:tab/>
            </w:r>
          </w:p>
        </w:tc>
      </w:tr>
      <w:tr w:rsidR="0090197C" w:rsidRPr="00913E39" w14:paraId="6C3FCAF4"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6C3C7DF4" w14:textId="77777777" w:rsidR="0090197C" w:rsidRPr="00913E39" w:rsidRDefault="0090197C" w:rsidP="00882ABD">
            <w:pPr>
              <w:spacing w:after="0" w:line="240" w:lineRule="auto"/>
              <w:rPr>
                <w:rFonts w:ascii="Garamond" w:hAnsi="Garamond"/>
                <w:b/>
                <w:sz w:val="20"/>
              </w:rPr>
            </w:pPr>
            <w:r w:rsidRPr="00913E39">
              <w:rPr>
                <w:rFonts w:ascii="Garamond" w:hAnsi="Garamond"/>
                <w:b/>
                <w:sz w:val="20"/>
              </w:rPr>
              <w:t xml:space="preserve">Organi ndërmjet për menaxhimin financiar </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67B8FA84" w14:textId="77777777" w:rsidR="0090197C" w:rsidRPr="00913E39" w:rsidRDefault="0090197C" w:rsidP="00882ABD">
            <w:pPr>
              <w:spacing w:after="0" w:line="240" w:lineRule="auto"/>
              <w:rPr>
                <w:rFonts w:ascii="Garamond" w:hAnsi="Garamond"/>
                <w:sz w:val="20"/>
              </w:rPr>
            </w:pPr>
            <w:r w:rsidRPr="00913E39">
              <w:rPr>
                <w:rFonts w:ascii="Garamond" w:hAnsi="Garamond"/>
                <w:sz w:val="20"/>
              </w:rPr>
              <w:t>Emri:</w:t>
            </w:r>
            <w:r w:rsidRPr="00913E39">
              <w:rPr>
                <w:rFonts w:ascii="Garamond" w:hAnsi="Garamond"/>
                <w:sz w:val="20"/>
              </w:rPr>
              <w:tab/>
              <w:t xml:space="preserve"> </w:t>
            </w:r>
            <w:r w:rsidRPr="00913E39">
              <w:rPr>
                <w:rFonts w:ascii="Garamond" w:hAnsi="Garamond"/>
                <w:sz w:val="20"/>
              </w:rPr>
              <w:tab/>
            </w:r>
          </w:p>
          <w:p w14:paraId="3E6F8F84" w14:textId="77777777" w:rsidR="0090197C" w:rsidRPr="00913E39" w:rsidRDefault="0090197C" w:rsidP="00882ABD">
            <w:pPr>
              <w:spacing w:after="0" w:line="240" w:lineRule="auto"/>
              <w:rPr>
                <w:rFonts w:ascii="Garamond" w:hAnsi="Garamond"/>
                <w:sz w:val="20"/>
              </w:rPr>
            </w:pPr>
            <w:r w:rsidRPr="00913E39">
              <w:rPr>
                <w:rFonts w:ascii="Garamond" w:hAnsi="Garamond"/>
                <w:sz w:val="20"/>
              </w:rPr>
              <w:t>Adresa:</w:t>
            </w:r>
            <w:r w:rsidRPr="00913E39">
              <w:rPr>
                <w:rFonts w:ascii="Garamond" w:hAnsi="Garamond"/>
                <w:sz w:val="20"/>
              </w:rPr>
              <w:tab/>
            </w:r>
          </w:p>
          <w:p w14:paraId="58E19491" w14:textId="77777777" w:rsidR="0090197C" w:rsidRPr="00913E39" w:rsidRDefault="0090197C" w:rsidP="00882ABD">
            <w:pPr>
              <w:spacing w:after="0" w:line="240" w:lineRule="auto"/>
              <w:rPr>
                <w:rFonts w:ascii="Garamond" w:hAnsi="Garamond"/>
                <w:sz w:val="20"/>
              </w:rPr>
            </w:pPr>
            <w:r w:rsidRPr="00913E39">
              <w:rPr>
                <w:rFonts w:ascii="Garamond" w:hAnsi="Garamond"/>
                <w:sz w:val="20"/>
              </w:rPr>
              <w:t>Kontakt:</w:t>
            </w:r>
            <w:r w:rsidRPr="00913E39">
              <w:rPr>
                <w:rFonts w:ascii="Garamond" w:hAnsi="Garamond"/>
                <w:sz w:val="20"/>
              </w:rPr>
              <w:tab/>
            </w:r>
          </w:p>
          <w:p w14:paraId="610D61CE" w14:textId="77777777" w:rsidR="0090197C" w:rsidRPr="00913E39" w:rsidRDefault="0090197C" w:rsidP="00882ABD">
            <w:pPr>
              <w:spacing w:after="0" w:line="240" w:lineRule="auto"/>
              <w:rPr>
                <w:rFonts w:ascii="Garamond" w:hAnsi="Garamond"/>
                <w:sz w:val="20"/>
              </w:rPr>
            </w:pPr>
            <w:r w:rsidRPr="00913E39">
              <w:rPr>
                <w:rFonts w:ascii="Garamond" w:hAnsi="Garamond"/>
                <w:sz w:val="20"/>
              </w:rPr>
              <w:t xml:space="preserve">Telefoni: </w:t>
            </w:r>
            <w:r w:rsidRPr="00913E39">
              <w:rPr>
                <w:rFonts w:ascii="Garamond" w:hAnsi="Garamond"/>
                <w:sz w:val="20"/>
              </w:rPr>
              <w:tab/>
            </w:r>
          </w:p>
          <w:p w14:paraId="596E0196" w14:textId="77777777" w:rsidR="0090197C" w:rsidRPr="00913E39" w:rsidRDefault="0090197C" w:rsidP="00882ABD">
            <w:pPr>
              <w:spacing w:after="0" w:line="240" w:lineRule="auto"/>
              <w:rPr>
                <w:rFonts w:ascii="Garamond" w:hAnsi="Garamond"/>
                <w:sz w:val="20"/>
              </w:rPr>
            </w:pPr>
            <w:r w:rsidRPr="00913E39">
              <w:rPr>
                <w:rFonts w:ascii="Garamond" w:hAnsi="Garamond"/>
                <w:sz w:val="20"/>
              </w:rPr>
              <w:t>E-mail:</w:t>
            </w:r>
            <w:r w:rsidRPr="00913E39">
              <w:rPr>
                <w:rFonts w:ascii="Garamond" w:hAnsi="Garamond"/>
                <w:sz w:val="20"/>
              </w:rPr>
              <w:tab/>
            </w:r>
            <w:r w:rsidRPr="00913E39">
              <w:rPr>
                <w:rFonts w:ascii="Garamond" w:hAnsi="Garamond"/>
                <w:sz w:val="20"/>
              </w:rPr>
              <w:tab/>
            </w:r>
          </w:p>
        </w:tc>
      </w:tr>
      <w:tr w:rsidR="0090197C" w:rsidRPr="00913E39" w14:paraId="7153F814" w14:textId="77777777" w:rsidTr="00882ABD">
        <w:trPr>
          <w:trHeight w:val="20"/>
        </w:trPr>
        <w:tc>
          <w:tcPr>
            <w:tcW w:w="2094" w:type="dxa"/>
            <w:tcBorders>
              <w:top w:val="single" w:sz="4" w:space="0" w:color="auto"/>
              <w:left w:val="single" w:sz="4" w:space="0" w:color="auto"/>
              <w:bottom w:val="single" w:sz="4" w:space="0" w:color="auto"/>
              <w:right w:val="single" w:sz="4" w:space="0" w:color="auto"/>
            </w:tcBorders>
            <w:shd w:val="clear" w:color="auto" w:fill="auto"/>
          </w:tcPr>
          <w:p w14:paraId="6659EF52" w14:textId="77777777" w:rsidR="0090197C" w:rsidRPr="00913E39" w:rsidRDefault="0090197C" w:rsidP="00882ABD">
            <w:pPr>
              <w:spacing w:after="0" w:line="240" w:lineRule="auto"/>
              <w:rPr>
                <w:rFonts w:ascii="Garamond" w:hAnsi="Garamond"/>
                <w:b/>
                <w:sz w:val="20"/>
                <w:szCs w:val="20"/>
              </w:rPr>
            </w:pPr>
            <w:r w:rsidRPr="00913E39">
              <w:rPr>
                <w:rFonts w:ascii="Garamond" w:hAnsi="Garamond"/>
                <w:b/>
                <w:sz w:val="20"/>
                <w:szCs w:val="20"/>
              </w:rPr>
              <w:t>Përfituesi fundor i projektit (subjekti i projektit pas zbatimit)</w:t>
            </w:r>
          </w:p>
        </w:tc>
        <w:tc>
          <w:tcPr>
            <w:tcW w:w="6978" w:type="dxa"/>
            <w:gridSpan w:val="5"/>
            <w:tcBorders>
              <w:top w:val="single" w:sz="4" w:space="0" w:color="auto"/>
              <w:left w:val="single" w:sz="4" w:space="0" w:color="auto"/>
              <w:bottom w:val="single" w:sz="4" w:space="0" w:color="auto"/>
              <w:right w:val="single" w:sz="4" w:space="0" w:color="auto"/>
            </w:tcBorders>
            <w:shd w:val="clear" w:color="auto" w:fill="auto"/>
          </w:tcPr>
          <w:p w14:paraId="233F0039" w14:textId="77777777" w:rsidR="0090197C" w:rsidRPr="00913E39" w:rsidRDefault="0090197C" w:rsidP="00882ABD">
            <w:pPr>
              <w:spacing w:after="0" w:line="240" w:lineRule="auto"/>
              <w:rPr>
                <w:rFonts w:ascii="Garamond" w:hAnsi="Garamond"/>
                <w:sz w:val="20"/>
              </w:rPr>
            </w:pPr>
            <w:r w:rsidRPr="00913E39">
              <w:rPr>
                <w:rFonts w:ascii="Garamond" w:hAnsi="Garamond"/>
                <w:sz w:val="20"/>
              </w:rPr>
              <w:t>Emri:</w:t>
            </w:r>
            <w:r w:rsidRPr="00913E39">
              <w:rPr>
                <w:rFonts w:ascii="Garamond" w:hAnsi="Garamond"/>
                <w:sz w:val="20"/>
              </w:rPr>
              <w:tab/>
              <w:t xml:space="preserve"> </w:t>
            </w:r>
            <w:r w:rsidRPr="00913E39">
              <w:rPr>
                <w:rFonts w:ascii="Garamond" w:hAnsi="Garamond"/>
                <w:sz w:val="20"/>
              </w:rPr>
              <w:tab/>
            </w:r>
          </w:p>
          <w:p w14:paraId="42F83F9B" w14:textId="77777777" w:rsidR="0090197C" w:rsidRPr="00913E39" w:rsidRDefault="0090197C" w:rsidP="00882ABD">
            <w:pPr>
              <w:spacing w:after="0" w:line="240" w:lineRule="auto"/>
              <w:rPr>
                <w:rFonts w:ascii="Garamond" w:hAnsi="Garamond"/>
                <w:sz w:val="20"/>
              </w:rPr>
            </w:pPr>
            <w:r w:rsidRPr="00913E39">
              <w:rPr>
                <w:rFonts w:ascii="Garamond" w:hAnsi="Garamond"/>
                <w:sz w:val="20"/>
              </w:rPr>
              <w:t>Adresa:</w:t>
            </w:r>
            <w:r w:rsidRPr="00913E39">
              <w:rPr>
                <w:rFonts w:ascii="Garamond" w:hAnsi="Garamond"/>
                <w:sz w:val="20"/>
              </w:rPr>
              <w:tab/>
            </w:r>
          </w:p>
          <w:p w14:paraId="48AD004A" w14:textId="77777777" w:rsidR="0090197C" w:rsidRPr="00913E39" w:rsidRDefault="0090197C" w:rsidP="00882ABD">
            <w:pPr>
              <w:spacing w:after="0" w:line="240" w:lineRule="auto"/>
              <w:rPr>
                <w:rFonts w:ascii="Garamond" w:hAnsi="Garamond"/>
                <w:sz w:val="20"/>
              </w:rPr>
            </w:pPr>
            <w:r w:rsidRPr="00913E39">
              <w:rPr>
                <w:rFonts w:ascii="Garamond" w:hAnsi="Garamond"/>
                <w:sz w:val="20"/>
              </w:rPr>
              <w:t>Kontakt:</w:t>
            </w:r>
            <w:r w:rsidRPr="00913E39">
              <w:rPr>
                <w:rFonts w:ascii="Garamond" w:hAnsi="Garamond"/>
                <w:sz w:val="20"/>
              </w:rPr>
              <w:tab/>
            </w:r>
          </w:p>
          <w:p w14:paraId="2FF0EEB3" w14:textId="77777777" w:rsidR="0090197C" w:rsidRPr="00913E39" w:rsidRDefault="0090197C" w:rsidP="00882ABD">
            <w:pPr>
              <w:spacing w:after="0" w:line="240" w:lineRule="auto"/>
              <w:rPr>
                <w:rFonts w:ascii="Garamond" w:hAnsi="Garamond"/>
                <w:sz w:val="20"/>
              </w:rPr>
            </w:pPr>
            <w:r w:rsidRPr="00913E39">
              <w:rPr>
                <w:rFonts w:ascii="Garamond" w:hAnsi="Garamond"/>
                <w:sz w:val="20"/>
              </w:rPr>
              <w:t xml:space="preserve">Telefoni: </w:t>
            </w:r>
            <w:r w:rsidRPr="00913E39">
              <w:rPr>
                <w:rFonts w:ascii="Garamond" w:hAnsi="Garamond"/>
                <w:sz w:val="20"/>
              </w:rPr>
              <w:tab/>
            </w:r>
          </w:p>
          <w:p w14:paraId="49021E5F" w14:textId="77777777" w:rsidR="0090197C" w:rsidRPr="00913E39" w:rsidRDefault="0090197C" w:rsidP="00882ABD">
            <w:pPr>
              <w:spacing w:after="0" w:line="240" w:lineRule="auto"/>
              <w:rPr>
                <w:rFonts w:ascii="Garamond" w:hAnsi="Garamond"/>
                <w:sz w:val="20"/>
              </w:rPr>
            </w:pPr>
            <w:r w:rsidRPr="00913E39">
              <w:rPr>
                <w:rFonts w:ascii="Garamond" w:hAnsi="Garamond"/>
                <w:sz w:val="20"/>
              </w:rPr>
              <w:t>E-mail:</w:t>
            </w:r>
            <w:r w:rsidRPr="00913E39">
              <w:rPr>
                <w:rFonts w:ascii="Garamond" w:hAnsi="Garamond"/>
                <w:sz w:val="20"/>
              </w:rPr>
              <w:tab/>
            </w:r>
            <w:r w:rsidRPr="00913E39">
              <w:rPr>
                <w:rFonts w:ascii="Garamond" w:hAnsi="Garamond"/>
                <w:sz w:val="20"/>
              </w:rPr>
              <w:tab/>
            </w:r>
          </w:p>
        </w:tc>
      </w:tr>
    </w:tbl>
    <w:p w14:paraId="1E98A112" w14:textId="77777777" w:rsidR="00042B57" w:rsidRPr="00913E39" w:rsidRDefault="00042B57" w:rsidP="00E8580A">
      <w:pPr>
        <w:pStyle w:val="Heading2"/>
        <w:spacing w:before="0" w:after="0"/>
        <w:ind w:firstLine="284"/>
        <w:jc w:val="both"/>
        <w:rPr>
          <w:rFonts w:ascii="Garamond" w:hAnsi="Garamond"/>
          <w:sz w:val="24"/>
          <w:lang w:val="sq-AL"/>
        </w:rPr>
      </w:pPr>
    </w:p>
    <w:p w14:paraId="3D6101BD" w14:textId="48D14032" w:rsidR="0090197C" w:rsidRPr="00913E39" w:rsidRDefault="0090197C" w:rsidP="00B10CE8">
      <w:pPr>
        <w:pStyle w:val="Heading2"/>
        <w:spacing w:before="0" w:after="0"/>
        <w:ind w:firstLine="284"/>
        <w:jc w:val="both"/>
        <w:rPr>
          <w:rFonts w:ascii="Garamond" w:hAnsi="Garamond"/>
          <w:i w:val="0"/>
          <w:sz w:val="24"/>
          <w:lang w:val="sq-AL"/>
        </w:rPr>
      </w:pPr>
      <w:r w:rsidRPr="00913E39">
        <w:rPr>
          <w:rFonts w:ascii="Garamond" w:hAnsi="Garamond"/>
          <w:i w:val="0"/>
          <w:sz w:val="24"/>
          <w:lang w:val="sq-AL"/>
        </w:rPr>
        <w:t>1.2 Përmbledhje e Projektit - (max ½ faqe)</w:t>
      </w:r>
    </w:p>
    <w:p w14:paraId="4D8C8DD8" w14:textId="654AFB26" w:rsidR="0090197C" w:rsidRPr="00913E39" w:rsidRDefault="0090197C" w:rsidP="00B10CE8">
      <w:pPr>
        <w:spacing w:after="0" w:line="240" w:lineRule="auto"/>
        <w:ind w:firstLine="284"/>
        <w:jc w:val="both"/>
        <w:rPr>
          <w:rFonts w:ascii="Garamond" w:hAnsi="Garamond"/>
          <w:sz w:val="24"/>
        </w:rPr>
      </w:pPr>
      <w:r w:rsidRPr="00913E39">
        <w:rPr>
          <w:rFonts w:ascii="Garamond" w:hAnsi="Garamond"/>
          <w:sz w:val="24"/>
        </w:rPr>
        <w:t xml:space="preserve">Në këtë pjesë duhet të bëhet një përshkrim i objektivave të </w:t>
      </w:r>
      <w:r w:rsidR="001B7903" w:rsidRPr="00913E39">
        <w:rPr>
          <w:rFonts w:ascii="Garamond" w:hAnsi="Garamond"/>
          <w:sz w:val="24"/>
        </w:rPr>
        <w:t>përgjithshëm</w:t>
      </w:r>
      <w:r w:rsidRPr="00913E39">
        <w:rPr>
          <w:rFonts w:ascii="Garamond" w:hAnsi="Garamond"/>
          <w:sz w:val="24"/>
        </w:rPr>
        <w:t xml:space="preserve"> dhe specifik</w:t>
      </w:r>
      <w:r w:rsidR="001B7903" w:rsidRPr="00913E39">
        <w:rPr>
          <w:rFonts w:ascii="Garamond" w:hAnsi="Garamond"/>
          <w:sz w:val="24"/>
        </w:rPr>
        <w:t>ë</w:t>
      </w:r>
      <w:r w:rsidRPr="00913E39">
        <w:rPr>
          <w:rFonts w:ascii="Garamond" w:hAnsi="Garamond"/>
          <w:sz w:val="24"/>
        </w:rPr>
        <w:t xml:space="preserve"> të projektit, aktiviteteve të ti</w:t>
      </w:r>
      <w:r w:rsidRPr="00E41425">
        <w:rPr>
          <w:rFonts w:ascii="Garamond" w:hAnsi="Garamond"/>
          <w:sz w:val="24"/>
        </w:rPr>
        <w:t>j trefuese</w:t>
      </w:r>
      <w:r w:rsidRPr="00913E39">
        <w:rPr>
          <w:rFonts w:ascii="Garamond" w:hAnsi="Garamond"/>
          <w:sz w:val="24"/>
        </w:rPr>
        <w:t xml:space="preserve"> dhe mënyrës se si ky projekt është i rëndësishëm për realizimin e Programit Operacional.</w:t>
      </w:r>
    </w:p>
    <w:p w14:paraId="242A7DAC" w14:textId="77777777" w:rsidR="0090197C" w:rsidRPr="00913E39" w:rsidRDefault="0090197C" w:rsidP="00B10CE8">
      <w:pPr>
        <w:pStyle w:val="Heading1"/>
        <w:spacing w:before="0" w:after="0"/>
        <w:ind w:firstLine="284"/>
        <w:jc w:val="both"/>
        <w:rPr>
          <w:rFonts w:ascii="Garamond" w:hAnsi="Garamond"/>
          <w:b w:val="0"/>
          <w:sz w:val="24"/>
          <w:lang w:val="sq-AL"/>
        </w:rPr>
      </w:pPr>
      <w:bookmarkStart w:id="67" w:name="_Toc142286816"/>
      <w:bookmarkStart w:id="68" w:name="_Toc142287104"/>
      <w:bookmarkStart w:id="69" w:name="_Toc142287246"/>
      <w:bookmarkStart w:id="70" w:name="_Toc142287438"/>
      <w:r w:rsidRPr="00913E39">
        <w:rPr>
          <w:rFonts w:ascii="Garamond" w:hAnsi="Garamond"/>
          <w:b w:val="0"/>
          <w:sz w:val="24"/>
          <w:lang w:val="sq-AL"/>
        </w:rPr>
        <w:t>2. PËRSHKRIMI I PROJEKTIT</w:t>
      </w:r>
      <w:bookmarkEnd w:id="67"/>
      <w:bookmarkEnd w:id="68"/>
      <w:bookmarkEnd w:id="69"/>
      <w:bookmarkEnd w:id="70"/>
    </w:p>
    <w:p w14:paraId="0D240009" w14:textId="6C49725B" w:rsidR="0090197C" w:rsidRPr="00913E39" w:rsidRDefault="0090197C" w:rsidP="00B10CE8">
      <w:pPr>
        <w:pStyle w:val="Heading2"/>
        <w:spacing w:before="0" w:after="0"/>
        <w:ind w:firstLine="284"/>
        <w:jc w:val="both"/>
        <w:rPr>
          <w:rFonts w:ascii="Garamond" w:hAnsi="Garamond"/>
          <w:i w:val="0"/>
          <w:sz w:val="24"/>
          <w:lang w:val="sq-AL"/>
        </w:rPr>
      </w:pPr>
      <w:bookmarkStart w:id="71" w:name="_Toc142287260"/>
      <w:r w:rsidRPr="00913E39">
        <w:rPr>
          <w:rFonts w:ascii="Garamond" w:hAnsi="Garamond"/>
          <w:i w:val="0"/>
          <w:sz w:val="24"/>
          <w:lang w:val="sq-AL"/>
        </w:rPr>
        <w:t xml:space="preserve">2.1 Logjika e ndërhyrjes dhe </w:t>
      </w:r>
      <w:r w:rsidR="00B10CE8" w:rsidRPr="00913E39">
        <w:rPr>
          <w:rFonts w:ascii="Garamond" w:hAnsi="Garamond"/>
          <w:i w:val="0"/>
          <w:sz w:val="24"/>
          <w:lang w:val="sq-AL"/>
        </w:rPr>
        <w:t xml:space="preserve">zinxhiri i rezultatit </w:t>
      </w:r>
    </w:p>
    <w:p w14:paraId="392216DD" w14:textId="77777777" w:rsidR="0090197C" w:rsidRPr="00913E39" w:rsidRDefault="0090197C" w:rsidP="00B10CE8">
      <w:pPr>
        <w:spacing w:after="0" w:line="240" w:lineRule="auto"/>
        <w:ind w:firstLine="284"/>
        <w:jc w:val="both"/>
        <w:rPr>
          <w:rFonts w:ascii="Garamond" w:hAnsi="Garamond"/>
          <w:i/>
          <w:sz w:val="24"/>
        </w:rPr>
      </w:pPr>
      <w:bookmarkStart w:id="72" w:name="_Toc142287264"/>
      <w:r w:rsidRPr="00913E39">
        <w:rPr>
          <w:rFonts w:ascii="Garamond" w:hAnsi="Garamond"/>
          <w:i/>
          <w:sz w:val="24"/>
        </w:rPr>
        <w:t>2.1.1 Konteksti i Projektit</w:t>
      </w:r>
    </w:p>
    <w:p w14:paraId="6BD3DB99" w14:textId="77777777" w:rsidR="0090197C" w:rsidRPr="00913E39" w:rsidRDefault="0090197C" w:rsidP="00B10CE8">
      <w:pPr>
        <w:spacing w:after="0" w:line="240" w:lineRule="auto"/>
        <w:ind w:firstLine="284"/>
        <w:jc w:val="both"/>
        <w:rPr>
          <w:rFonts w:ascii="Garamond" w:hAnsi="Garamond"/>
          <w:sz w:val="24"/>
        </w:rPr>
      </w:pPr>
      <w:r w:rsidRPr="00913E39">
        <w:rPr>
          <w:rFonts w:ascii="Garamond" w:hAnsi="Garamond"/>
          <w:sz w:val="24"/>
        </w:rPr>
        <w:lastRenderedPageBreak/>
        <w:t xml:space="preserve">[Përshkruani shkurtimisht se si rajoni(et) është/janë të pajisur aktualisht me llojin e infrastrukturës që mbulon ky aplikim; Krahasojeni atë me nivelin e cilësisë së infrastrukturës të synuar deri në vitin e synuar 20XX. Përmblidhni ndryshimet kryesore që do të sjellë projekti.] </w:t>
      </w:r>
    </w:p>
    <w:p w14:paraId="399C6914" w14:textId="77777777" w:rsidR="0090197C" w:rsidRPr="00913E39" w:rsidRDefault="0090197C" w:rsidP="00B10CE8">
      <w:pPr>
        <w:spacing w:after="0" w:line="240" w:lineRule="auto"/>
        <w:ind w:firstLine="284"/>
        <w:jc w:val="both"/>
        <w:rPr>
          <w:rFonts w:ascii="Garamond" w:hAnsi="Garamond"/>
          <w:sz w:val="24"/>
        </w:rPr>
      </w:pPr>
      <w:r w:rsidRPr="00913E39">
        <w:rPr>
          <w:rFonts w:ascii="Garamond" w:hAnsi="Garamond"/>
          <w:sz w:val="24"/>
        </w:rPr>
        <w:t>[Përshkruani shkurtimisht Planifikimin Kombëtar të Investimeve përkatëse dhe/ose Politikën/Strategjinë Sektoriale duke paraqitur mekanizmin e financimit të parashikuar nga Qeveria për zbatimin e këtij plani dhe tregoni se si ky projekt është ka prioritet/është vlerësuar në planin kombëtar të investimeve/listën prioritare të projekteve (nëse ka). Tregoni sinergjitë e projektit me nisma/projekte të tjera lokale/rajonale/kombëtare ose ndërkombëtare]</w:t>
      </w:r>
    </w:p>
    <w:p w14:paraId="4077FEB4" w14:textId="77777777" w:rsidR="0090197C" w:rsidRPr="00913E39" w:rsidRDefault="0090197C" w:rsidP="00B10CE8">
      <w:pPr>
        <w:spacing w:after="0" w:line="240" w:lineRule="auto"/>
        <w:ind w:firstLine="284"/>
        <w:jc w:val="both"/>
        <w:rPr>
          <w:rFonts w:ascii="Garamond" w:hAnsi="Garamond"/>
          <w:sz w:val="24"/>
        </w:rPr>
      </w:pPr>
      <w:r w:rsidRPr="00913E39">
        <w:rPr>
          <w:rFonts w:ascii="Garamond" w:hAnsi="Garamond"/>
          <w:sz w:val="24"/>
        </w:rPr>
        <w:t>[Përshkruani marrëveshjet institucionale të parashikuara për realizimin e funksionimit dhe kapacitetet aktuale të institucioneve të përfshira. Informacioni mbi organet menaxhuese për infrastrukturat duhet të përfshihet në pjesën 3.3.1.</w:t>
      </w:r>
    </w:p>
    <w:p w14:paraId="56732272" w14:textId="77777777" w:rsidR="0090197C" w:rsidRPr="00913E39" w:rsidRDefault="0090197C" w:rsidP="00B10CE8">
      <w:pPr>
        <w:spacing w:after="0" w:line="240" w:lineRule="auto"/>
        <w:ind w:firstLine="284"/>
        <w:jc w:val="both"/>
        <w:rPr>
          <w:rFonts w:ascii="Garamond" w:hAnsi="Garamond"/>
          <w:sz w:val="24"/>
        </w:rPr>
      </w:pPr>
      <w:r w:rsidRPr="00913E39">
        <w:rPr>
          <w:rFonts w:ascii="Garamond" w:hAnsi="Garamond"/>
          <w:sz w:val="24"/>
        </w:rPr>
        <w:t>[Përfshi gjithashtu detaje mbi qëndrueshmërinë e Projektit, d.m.th., nëse dhe në çfarë mase përfitimet/rezultatet e arritura (produktet dhe rezultatet) ka mundësi të vazhdojnë përtej periudhës së zbatimit të tij. Në veçanti, kjo pjesë duhet të përfshijë të paktën disa nga faktorët kryesorë që ndikojnë në qëndrueshmëri, të tillë si niveli i pronësisë së përfituesve, kapacitetet e tyre drejtuese institucionale, burimet që ato angazhojnë për të siguruar funksionimin dhe ruajtjen e rezultateve pas përfundimit të Projektit.]</w:t>
      </w:r>
    </w:p>
    <w:p w14:paraId="19FD4E33" w14:textId="6D67ACCA" w:rsidR="0090197C" w:rsidRPr="00913E39" w:rsidRDefault="0090197C" w:rsidP="00B10CE8">
      <w:pPr>
        <w:spacing w:after="0" w:line="240" w:lineRule="auto"/>
        <w:ind w:firstLine="284"/>
        <w:jc w:val="both"/>
        <w:rPr>
          <w:rFonts w:ascii="Garamond" w:hAnsi="Garamond"/>
          <w:i/>
          <w:sz w:val="24"/>
        </w:rPr>
      </w:pPr>
      <w:r w:rsidRPr="00913E39">
        <w:rPr>
          <w:rFonts w:ascii="Garamond" w:hAnsi="Garamond"/>
          <w:i/>
          <w:sz w:val="24"/>
        </w:rPr>
        <w:t>2.1.2 Objektivat, produktet e Projektit dhe Kontributi i Projektit në Programin Operacional Shumëvjeçar</w:t>
      </w:r>
    </w:p>
    <w:p w14:paraId="25ADCBC0" w14:textId="397905D1" w:rsidR="0090197C" w:rsidRPr="00913E39" w:rsidRDefault="0090197C" w:rsidP="00B10CE8">
      <w:pPr>
        <w:spacing w:after="0" w:line="240" w:lineRule="auto"/>
        <w:ind w:firstLine="284"/>
        <w:jc w:val="both"/>
        <w:rPr>
          <w:rFonts w:ascii="Garamond" w:hAnsi="Garamond"/>
          <w:sz w:val="24"/>
        </w:rPr>
      </w:pPr>
      <w:r w:rsidRPr="00913E39">
        <w:rPr>
          <w:rFonts w:ascii="Garamond" w:hAnsi="Garamond"/>
          <w:sz w:val="24"/>
        </w:rPr>
        <w:t>[</w:t>
      </w:r>
      <w:bookmarkStart w:id="73" w:name="_Hlk138085182"/>
      <w:r w:rsidRPr="00913E39">
        <w:rPr>
          <w:rFonts w:ascii="Garamond" w:hAnsi="Garamond"/>
          <w:sz w:val="24"/>
        </w:rPr>
        <w:t>Përshkruani objektivat specifik</w:t>
      </w:r>
      <w:r w:rsidR="001B7903" w:rsidRPr="00913E39">
        <w:rPr>
          <w:rFonts w:ascii="Garamond" w:hAnsi="Garamond"/>
          <w:sz w:val="24"/>
        </w:rPr>
        <w:t>ë</w:t>
      </w:r>
      <w:r w:rsidRPr="00913E39">
        <w:rPr>
          <w:rFonts w:ascii="Garamond" w:hAnsi="Garamond"/>
          <w:sz w:val="24"/>
        </w:rPr>
        <w:t xml:space="preserve"> dhe produktet e projektit dhe përcaktoni treguesit përkatës të performancës dhe objektivat. Në mënyrë të përmbledhur dhe të saktë, identifikoni lidhjen me objektivat e Programit Operacional</w:t>
      </w:r>
      <w:r w:rsidRPr="00913E39">
        <w:rPr>
          <w:rFonts w:ascii="Garamond" w:hAnsi="Garamond"/>
          <w:i/>
          <w:sz w:val="24"/>
        </w:rPr>
        <w:t xml:space="preserve"> </w:t>
      </w:r>
      <w:r w:rsidRPr="00913E39">
        <w:rPr>
          <w:rFonts w:ascii="Garamond" w:hAnsi="Garamond"/>
          <w:sz w:val="24"/>
        </w:rPr>
        <w:t>Shumëvjeçar dhe treguesit dhe objektivat e përcaktuar në të</w:t>
      </w:r>
      <w:r w:rsidRPr="00913E39">
        <w:rPr>
          <w:rStyle w:val="FootnoteReference"/>
          <w:rFonts w:ascii="Garamond" w:hAnsi="Garamond"/>
          <w:sz w:val="24"/>
          <w:szCs w:val="24"/>
        </w:rPr>
        <w:footnoteReference w:id="114"/>
      </w:r>
      <w:r w:rsidRPr="00913E39">
        <w:rPr>
          <w:rFonts w:ascii="Garamond" w:hAnsi="Garamond"/>
          <w:sz w:val="24"/>
        </w:rPr>
        <w:t>. Përshkruani treguesit për të cilët kontribuon Projekti dhe shpreheni në terma sasior</w:t>
      </w:r>
      <w:r w:rsidR="00C4225F" w:rsidRPr="00913E39">
        <w:rPr>
          <w:rFonts w:ascii="Garamond" w:hAnsi="Garamond"/>
          <w:sz w:val="24"/>
        </w:rPr>
        <w:t>ë</w:t>
      </w:r>
      <w:r w:rsidRPr="00913E39">
        <w:rPr>
          <w:rFonts w:ascii="Garamond" w:hAnsi="Garamond"/>
          <w:sz w:val="24"/>
        </w:rPr>
        <w:t xml:space="preserve"> këtë kontribut</w:t>
      </w:r>
      <w:bookmarkEnd w:id="73"/>
      <w:r w:rsidRPr="00913E39">
        <w:rPr>
          <w:rFonts w:ascii="Garamond" w:hAnsi="Garamond"/>
          <w:sz w:val="24"/>
        </w:rPr>
        <w:t>.]</w:t>
      </w:r>
    </w:p>
    <w:bookmarkEnd w:id="72"/>
    <w:p w14:paraId="176E5AB2" w14:textId="7CE1C101" w:rsidR="0090197C" w:rsidRPr="00913E39" w:rsidRDefault="0090197C" w:rsidP="00E8580A">
      <w:pPr>
        <w:spacing w:after="0" w:line="240" w:lineRule="auto"/>
        <w:ind w:firstLine="284"/>
        <w:rPr>
          <w:rFonts w:ascii="Garamond" w:hAnsi="Garamond"/>
          <w:i/>
          <w:sz w:val="24"/>
          <w:szCs w:val="24"/>
        </w:rPr>
      </w:pPr>
      <w:r w:rsidRPr="00913E39">
        <w:rPr>
          <w:rFonts w:ascii="Garamond" w:hAnsi="Garamond"/>
          <w:i/>
          <w:sz w:val="24"/>
          <w:szCs w:val="24"/>
        </w:rPr>
        <w:t xml:space="preserve">2.1.3 Ndikimi </w:t>
      </w:r>
      <w:r w:rsidRPr="00E41425">
        <w:rPr>
          <w:rFonts w:ascii="Garamond" w:hAnsi="Garamond"/>
          <w:i/>
          <w:sz w:val="24"/>
          <w:szCs w:val="24"/>
        </w:rPr>
        <w:t>ndërshtetëror</w:t>
      </w:r>
      <w:r w:rsidRPr="00913E39">
        <w:rPr>
          <w:rFonts w:ascii="Garamond" w:hAnsi="Garamond"/>
          <w:i/>
          <w:sz w:val="24"/>
          <w:szCs w:val="24"/>
        </w:rPr>
        <w:t xml:space="preserve"> i projektit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0"/>
        <w:gridCol w:w="705"/>
        <w:gridCol w:w="703"/>
      </w:tblGrid>
      <w:tr w:rsidR="0090197C" w:rsidRPr="00913E39" w14:paraId="173569A9" w14:textId="77777777" w:rsidTr="009C2266">
        <w:tc>
          <w:tcPr>
            <w:tcW w:w="6842" w:type="dxa"/>
            <w:tcBorders>
              <w:top w:val="nil"/>
              <w:left w:val="nil"/>
              <w:bottom w:val="single" w:sz="4" w:space="0" w:color="auto"/>
              <w:right w:val="single" w:sz="4" w:space="0" w:color="auto"/>
            </w:tcBorders>
            <w:shd w:val="clear" w:color="auto" w:fill="auto"/>
          </w:tcPr>
          <w:p w14:paraId="7F9A1F40" w14:textId="77777777" w:rsidR="0090197C" w:rsidRPr="00913E39" w:rsidRDefault="0090197C" w:rsidP="00882ABD">
            <w:pPr>
              <w:spacing w:after="0" w:line="240" w:lineRule="auto"/>
              <w:rPr>
                <w:rFonts w:ascii="Garamond" w:hAnsi="Garamond"/>
                <w:i/>
                <w:sz w:val="20"/>
                <w:szCs w:val="24"/>
              </w:rPr>
            </w:pPr>
          </w:p>
        </w:tc>
        <w:tc>
          <w:tcPr>
            <w:tcW w:w="705" w:type="dxa"/>
            <w:tcBorders>
              <w:left w:val="single" w:sz="4" w:space="0" w:color="auto"/>
              <w:bottom w:val="single" w:sz="4" w:space="0" w:color="auto"/>
            </w:tcBorders>
            <w:shd w:val="clear" w:color="auto" w:fill="auto"/>
          </w:tcPr>
          <w:p w14:paraId="56ADCA1E"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Po</w:t>
            </w:r>
          </w:p>
        </w:tc>
        <w:tc>
          <w:tcPr>
            <w:tcW w:w="703" w:type="dxa"/>
            <w:tcBorders>
              <w:bottom w:val="single" w:sz="4" w:space="0" w:color="auto"/>
            </w:tcBorders>
            <w:shd w:val="clear" w:color="auto" w:fill="auto"/>
          </w:tcPr>
          <w:p w14:paraId="642FC214"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Jo</w:t>
            </w:r>
          </w:p>
        </w:tc>
      </w:tr>
      <w:tr w:rsidR="0090197C" w:rsidRPr="00913E39" w14:paraId="4B4FFE8D" w14:textId="77777777" w:rsidTr="009C2266">
        <w:tc>
          <w:tcPr>
            <w:tcW w:w="6842" w:type="dxa"/>
            <w:tcBorders>
              <w:top w:val="single" w:sz="4" w:space="0" w:color="auto"/>
            </w:tcBorders>
            <w:shd w:val="clear" w:color="auto" w:fill="auto"/>
          </w:tcPr>
          <w:p w14:paraId="77233D8D"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A ka projekti ndonjë ndikim ndërshtetëror të menjëhershëm?</w:t>
            </w:r>
          </w:p>
        </w:tc>
        <w:tc>
          <w:tcPr>
            <w:tcW w:w="705" w:type="dxa"/>
            <w:tcBorders>
              <w:top w:val="single" w:sz="4" w:space="0" w:color="auto"/>
            </w:tcBorders>
            <w:shd w:val="clear" w:color="auto" w:fill="auto"/>
          </w:tcPr>
          <w:p w14:paraId="1DFD3D2A" w14:textId="77777777" w:rsidR="0090197C" w:rsidRPr="00913E39" w:rsidRDefault="0090197C" w:rsidP="00882ABD">
            <w:pPr>
              <w:spacing w:after="0" w:line="240" w:lineRule="auto"/>
              <w:rPr>
                <w:rFonts w:ascii="Garamond" w:hAnsi="Garamond"/>
                <w:i/>
                <w:sz w:val="20"/>
                <w:szCs w:val="24"/>
              </w:rPr>
            </w:pPr>
            <w:r w:rsidRPr="00913E39">
              <w:rPr>
                <w:rFonts w:ascii="Garamond" w:hAnsi="Garamond"/>
                <w:i/>
                <w:sz w:val="20"/>
                <w:szCs w:val="24"/>
              </w:rPr>
              <w:t>(1)</w:t>
            </w:r>
          </w:p>
        </w:tc>
        <w:tc>
          <w:tcPr>
            <w:tcW w:w="703" w:type="dxa"/>
            <w:tcBorders>
              <w:top w:val="single" w:sz="4" w:space="0" w:color="auto"/>
            </w:tcBorders>
            <w:shd w:val="clear" w:color="auto" w:fill="auto"/>
          </w:tcPr>
          <w:p w14:paraId="17204050" w14:textId="77777777" w:rsidR="0090197C" w:rsidRPr="00913E39" w:rsidRDefault="0090197C" w:rsidP="00882ABD">
            <w:pPr>
              <w:spacing w:after="0" w:line="240" w:lineRule="auto"/>
              <w:rPr>
                <w:rFonts w:ascii="Garamond" w:hAnsi="Garamond"/>
                <w:i/>
                <w:sz w:val="20"/>
                <w:szCs w:val="24"/>
              </w:rPr>
            </w:pPr>
          </w:p>
        </w:tc>
      </w:tr>
      <w:tr w:rsidR="0090197C" w:rsidRPr="00913E39" w14:paraId="641C875D" w14:textId="77777777" w:rsidTr="009C2266">
        <w:tc>
          <w:tcPr>
            <w:tcW w:w="6842" w:type="dxa"/>
            <w:shd w:val="clear" w:color="auto" w:fill="auto"/>
          </w:tcPr>
          <w:p w14:paraId="56E5379F"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A ka projekti ndonjë ndikim mbi BE-në?</w:t>
            </w:r>
          </w:p>
        </w:tc>
        <w:tc>
          <w:tcPr>
            <w:tcW w:w="705" w:type="dxa"/>
            <w:shd w:val="clear" w:color="auto" w:fill="auto"/>
          </w:tcPr>
          <w:p w14:paraId="3293A4C8" w14:textId="77777777" w:rsidR="0090197C" w:rsidRPr="00913E39" w:rsidRDefault="0090197C" w:rsidP="00882ABD">
            <w:pPr>
              <w:spacing w:after="0" w:line="240" w:lineRule="auto"/>
              <w:rPr>
                <w:rFonts w:ascii="Garamond" w:hAnsi="Garamond"/>
                <w:i/>
                <w:sz w:val="20"/>
                <w:szCs w:val="24"/>
              </w:rPr>
            </w:pPr>
          </w:p>
        </w:tc>
        <w:tc>
          <w:tcPr>
            <w:tcW w:w="703" w:type="dxa"/>
            <w:shd w:val="clear" w:color="auto" w:fill="auto"/>
          </w:tcPr>
          <w:p w14:paraId="65255436" w14:textId="77777777" w:rsidR="0090197C" w:rsidRPr="00913E39" w:rsidRDefault="0090197C" w:rsidP="00882ABD">
            <w:pPr>
              <w:spacing w:after="0" w:line="240" w:lineRule="auto"/>
              <w:rPr>
                <w:rFonts w:ascii="Garamond" w:hAnsi="Garamond"/>
                <w:i/>
                <w:sz w:val="20"/>
                <w:szCs w:val="24"/>
              </w:rPr>
            </w:pPr>
            <w:r w:rsidRPr="00913E39">
              <w:rPr>
                <w:rFonts w:ascii="Garamond" w:hAnsi="Garamond"/>
                <w:i/>
                <w:sz w:val="20"/>
                <w:szCs w:val="24"/>
              </w:rPr>
              <w:t>(2)</w:t>
            </w:r>
          </w:p>
        </w:tc>
      </w:tr>
      <w:tr w:rsidR="0090197C" w:rsidRPr="00913E39" w14:paraId="601B5768" w14:textId="77777777" w:rsidTr="009C2266">
        <w:tc>
          <w:tcPr>
            <w:tcW w:w="6842" w:type="dxa"/>
            <w:shd w:val="clear" w:color="auto" w:fill="auto"/>
          </w:tcPr>
          <w:p w14:paraId="3581DC45"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A është identifikuar ndonjë ndikim ndërshtetëror?</w:t>
            </w:r>
          </w:p>
        </w:tc>
        <w:tc>
          <w:tcPr>
            <w:tcW w:w="705" w:type="dxa"/>
            <w:shd w:val="clear" w:color="auto" w:fill="auto"/>
          </w:tcPr>
          <w:p w14:paraId="51EC029B" w14:textId="77777777" w:rsidR="0090197C" w:rsidRPr="00913E39" w:rsidRDefault="0090197C" w:rsidP="00882ABD">
            <w:pPr>
              <w:spacing w:after="0" w:line="240" w:lineRule="auto"/>
              <w:rPr>
                <w:rFonts w:ascii="Garamond" w:hAnsi="Garamond"/>
                <w:i/>
                <w:sz w:val="20"/>
                <w:szCs w:val="24"/>
              </w:rPr>
            </w:pPr>
            <w:r w:rsidRPr="00913E39">
              <w:rPr>
                <w:rFonts w:ascii="Garamond" w:hAnsi="Garamond"/>
                <w:i/>
                <w:sz w:val="20"/>
                <w:szCs w:val="24"/>
              </w:rPr>
              <w:t>(3)</w:t>
            </w:r>
          </w:p>
        </w:tc>
        <w:tc>
          <w:tcPr>
            <w:tcW w:w="703" w:type="dxa"/>
            <w:shd w:val="clear" w:color="auto" w:fill="auto"/>
          </w:tcPr>
          <w:p w14:paraId="662CCF58" w14:textId="77777777" w:rsidR="0090197C" w:rsidRPr="00913E39" w:rsidRDefault="0090197C" w:rsidP="00882ABD">
            <w:pPr>
              <w:spacing w:after="0" w:line="240" w:lineRule="auto"/>
              <w:rPr>
                <w:rFonts w:ascii="Garamond" w:hAnsi="Garamond"/>
                <w:i/>
                <w:sz w:val="20"/>
                <w:szCs w:val="24"/>
              </w:rPr>
            </w:pPr>
          </w:p>
        </w:tc>
      </w:tr>
    </w:tbl>
    <w:p w14:paraId="13F514F7" w14:textId="27181404" w:rsidR="0090197C" w:rsidRPr="00913E39" w:rsidRDefault="0090197C" w:rsidP="00B10CE8">
      <w:pPr>
        <w:spacing w:after="0" w:line="240" w:lineRule="auto"/>
        <w:ind w:firstLine="284"/>
        <w:jc w:val="both"/>
        <w:rPr>
          <w:rFonts w:ascii="Garamond" w:hAnsi="Garamond"/>
          <w:sz w:val="24"/>
          <w:szCs w:val="24"/>
        </w:rPr>
      </w:pPr>
      <w:r w:rsidRPr="00913E39">
        <w:rPr>
          <w:rFonts w:ascii="Garamond" w:hAnsi="Garamond"/>
          <w:sz w:val="24"/>
          <w:szCs w:val="24"/>
        </w:rPr>
        <w:t>[Kjo pjesë i referohet të gjitha ndikimeve të rëndësishme ndërshtetëror, duke përfshirë ndikimet mjedisore dhe shëndetësore, si ato të menjëhershme ashtu edhe ato afatgjata. Me ndërshtetëror</w:t>
      </w:r>
      <w:r w:rsidR="001B6744" w:rsidRPr="00913E39">
        <w:rPr>
          <w:rFonts w:ascii="Garamond" w:hAnsi="Garamond"/>
          <w:sz w:val="24"/>
          <w:szCs w:val="24"/>
        </w:rPr>
        <w:t xml:space="preserve"> </w:t>
      </w:r>
      <w:r w:rsidRPr="00913E39">
        <w:rPr>
          <w:rFonts w:ascii="Garamond" w:hAnsi="Garamond"/>
          <w:sz w:val="24"/>
          <w:szCs w:val="24"/>
        </w:rPr>
        <w:t xml:space="preserve">nënkuptohet </w:t>
      </w:r>
      <w:r w:rsidR="00850FC7" w:rsidRPr="00913E39">
        <w:rPr>
          <w:rFonts w:ascii="Garamond" w:hAnsi="Garamond"/>
          <w:sz w:val="24"/>
          <w:szCs w:val="24"/>
        </w:rPr>
        <w:t>“</w:t>
      </w:r>
      <w:r w:rsidRPr="00913E39">
        <w:rPr>
          <w:rFonts w:ascii="Garamond" w:hAnsi="Garamond"/>
          <w:sz w:val="24"/>
          <w:szCs w:val="24"/>
        </w:rPr>
        <w:t>efekte të rëndësishme në mjedis në një shtet tjetër</w:t>
      </w:r>
      <w:r w:rsidR="00850FC7" w:rsidRPr="00913E39">
        <w:rPr>
          <w:rFonts w:ascii="Garamond" w:hAnsi="Garamond"/>
          <w:sz w:val="24"/>
          <w:szCs w:val="24"/>
        </w:rPr>
        <w:t>”</w:t>
      </w:r>
      <w:r w:rsidRPr="00913E39">
        <w:rPr>
          <w:rFonts w:ascii="Garamond" w:hAnsi="Garamond"/>
          <w:sz w:val="24"/>
          <w:szCs w:val="24"/>
        </w:rPr>
        <w:t xml:space="preserve"> (sipas </w:t>
      </w:r>
      <w:r w:rsidR="00A22AA7" w:rsidRPr="00913E39">
        <w:rPr>
          <w:rFonts w:ascii="Garamond" w:hAnsi="Garamond"/>
          <w:sz w:val="24"/>
          <w:szCs w:val="24"/>
        </w:rPr>
        <w:t>d</w:t>
      </w:r>
      <w:r w:rsidRPr="00913E39">
        <w:rPr>
          <w:rFonts w:ascii="Garamond" w:hAnsi="Garamond"/>
          <w:sz w:val="24"/>
          <w:szCs w:val="24"/>
        </w:rPr>
        <w:t>irektivës së VNM-së)</w:t>
      </w:r>
      <w:r w:rsidR="00850FC7" w:rsidRPr="00913E39">
        <w:rPr>
          <w:rFonts w:ascii="Garamond" w:hAnsi="Garamond"/>
          <w:sz w:val="24"/>
          <w:szCs w:val="24"/>
        </w:rPr>
        <w:t>”</w:t>
      </w:r>
      <w:r w:rsidRPr="00913E39">
        <w:rPr>
          <w:rFonts w:ascii="Garamond" w:hAnsi="Garamond"/>
          <w:sz w:val="24"/>
          <w:szCs w:val="24"/>
        </w:rPr>
        <w:t>.</w:t>
      </w:r>
    </w:p>
    <w:p w14:paraId="3C31F596" w14:textId="7D232036" w:rsidR="0090197C" w:rsidRPr="00913E39" w:rsidRDefault="0090197C" w:rsidP="00B10CE8">
      <w:pPr>
        <w:spacing w:after="0" w:line="240" w:lineRule="auto"/>
        <w:ind w:firstLine="284"/>
        <w:jc w:val="both"/>
        <w:rPr>
          <w:rFonts w:ascii="Garamond" w:hAnsi="Garamond"/>
          <w:sz w:val="24"/>
          <w:szCs w:val="24"/>
        </w:rPr>
      </w:pPr>
      <w:r w:rsidRPr="00913E39">
        <w:rPr>
          <w:rFonts w:ascii="Garamond" w:hAnsi="Garamond"/>
          <w:sz w:val="24"/>
          <w:szCs w:val="24"/>
        </w:rPr>
        <w:t>[</w:t>
      </w:r>
      <w:r w:rsidRPr="00913E39">
        <w:rPr>
          <w:rFonts w:ascii="Garamond" w:hAnsi="Garamond"/>
          <w:i/>
          <w:sz w:val="24"/>
          <w:szCs w:val="24"/>
        </w:rPr>
        <w:t xml:space="preserve">(1) </w:t>
      </w:r>
      <w:r w:rsidRPr="00913E39">
        <w:rPr>
          <w:rFonts w:ascii="Garamond" w:hAnsi="Garamond"/>
          <w:sz w:val="24"/>
          <w:szCs w:val="24"/>
        </w:rPr>
        <w:t>Nëse PO, përshkruani ndikimin e projektit përtej kufijve të vendit përfitues dhe në BE.</w:t>
      </w:r>
      <w:r w:rsidRPr="00913E39">
        <w:rPr>
          <w:rFonts w:ascii="Garamond" w:hAnsi="Garamond"/>
          <w:i/>
          <w:sz w:val="24"/>
          <w:szCs w:val="24"/>
        </w:rPr>
        <w:t xml:space="preserve"> </w:t>
      </w:r>
      <w:r w:rsidRPr="00913E39">
        <w:rPr>
          <w:rFonts w:ascii="Garamond" w:hAnsi="Garamond"/>
          <w:sz w:val="24"/>
          <w:szCs w:val="24"/>
        </w:rPr>
        <w:t>Përqendrohuni në ndikimet në pellgjet e lumenjve, dete dhe tokë. Në këtë kontekst, projektet që ndikojnë në lumenjtë që dalin në detet e rajoneve detare e</w:t>
      </w:r>
      <w:r w:rsidR="00A22AA7" w:rsidRPr="00913E39">
        <w:rPr>
          <w:rFonts w:ascii="Garamond" w:hAnsi="Garamond"/>
          <w:sz w:val="24"/>
          <w:szCs w:val="24"/>
        </w:rPr>
        <w:t>v</w:t>
      </w:r>
      <w:r w:rsidRPr="00913E39">
        <w:rPr>
          <w:rFonts w:ascii="Garamond" w:hAnsi="Garamond"/>
          <w:sz w:val="24"/>
          <w:szCs w:val="24"/>
        </w:rPr>
        <w:t xml:space="preserve">ropiane (d.m.th. </w:t>
      </w:r>
      <w:r w:rsidR="00A22AA7" w:rsidRPr="00913E39">
        <w:rPr>
          <w:rFonts w:ascii="Garamond" w:hAnsi="Garamond"/>
          <w:sz w:val="24"/>
          <w:szCs w:val="24"/>
        </w:rPr>
        <w:t>d</w:t>
      </w:r>
      <w:r w:rsidRPr="00913E39">
        <w:rPr>
          <w:rFonts w:ascii="Garamond" w:hAnsi="Garamond"/>
          <w:sz w:val="24"/>
          <w:szCs w:val="24"/>
        </w:rPr>
        <w:t>eti Mesdhe dhe Deti i Zi) duhet të kenë vëmendje prioritare. Në rastin e projekteve të trajtimit të ujërave të bardha dhe ujërave të zeza specifikojnë në ndikimin në qytezat dhe qytetet e mëdha dhe në vijën bregdetare të përbashkët me BE-në.</w:t>
      </w:r>
      <w:r w:rsidRPr="00913E39">
        <w:rPr>
          <w:rFonts w:ascii="Garamond" w:hAnsi="Garamond"/>
          <w:i/>
          <w:sz w:val="24"/>
          <w:szCs w:val="24"/>
        </w:rPr>
        <w:t xml:space="preserve"> Për projektet në </w:t>
      </w:r>
      <w:r w:rsidR="00A22AA7" w:rsidRPr="00913E39">
        <w:rPr>
          <w:rFonts w:ascii="Garamond" w:hAnsi="Garamond"/>
          <w:i/>
          <w:sz w:val="24"/>
          <w:szCs w:val="24"/>
        </w:rPr>
        <w:t>a</w:t>
      </w:r>
      <w:r w:rsidRPr="00913E39">
        <w:rPr>
          <w:rFonts w:ascii="Garamond" w:hAnsi="Garamond"/>
          <w:i/>
          <w:sz w:val="24"/>
          <w:szCs w:val="24"/>
        </w:rPr>
        <w:t>perturën 3. Prioriteti kryesor 2: Transporti, ekonomia di</w:t>
      </w:r>
      <w:r w:rsidR="001B6744" w:rsidRPr="00913E39">
        <w:rPr>
          <w:rFonts w:ascii="Garamond" w:hAnsi="Garamond"/>
          <w:i/>
          <w:sz w:val="24"/>
          <w:szCs w:val="24"/>
        </w:rPr>
        <w:t>gj</w:t>
      </w:r>
      <w:r w:rsidRPr="00913E39">
        <w:rPr>
          <w:rFonts w:ascii="Garamond" w:hAnsi="Garamond"/>
          <w:i/>
          <w:sz w:val="24"/>
          <w:szCs w:val="24"/>
        </w:rPr>
        <w:t>itale</w:t>
      </w:r>
      <w:r w:rsidR="004F20DC" w:rsidRPr="00913E39">
        <w:rPr>
          <w:rFonts w:ascii="Garamond" w:hAnsi="Garamond"/>
          <w:i/>
          <w:sz w:val="24"/>
          <w:szCs w:val="24"/>
        </w:rPr>
        <w:t xml:space="preserve"> </w:t>
      </w:r>
      <w:r w:rsidRPr="00913E39">
        <w:rPr>
          <w:rFonts w:ascii="Garamond" w:hAnsi="Garamond"/>
          <w:i/>
          <w:sz w:val="24"/>
          <w:szCs w:val="24"/>
        </w:rPr>
        <w:t>dhe shoqëria, dhe energjia</w:t>
      </w:r>
      <w:r w:rsidRPr="00913E39">
        <w:rPr>
          <w:rFonts w:ascii="Garamond" w:hAnsi="Garamond"/>
          <w:sz w:val="24"/>
          <w:szCs w:val="24"/>
        </w:rPr>
        <w:t xml:space="preserve"> shpjegoni nëse projekti bën pjesë në Rrjetin Transeuropian. Referojuni ndonjë marrëveshjeje specifike me një vend fqinj ose BE.</w:t>
      </w:r>
    </w:p>
    <w:p w14:paraId="63A75BA0" w14:textId="77777777" w:rsidR="0090197C" w:rsidRPr="00913E39" w:rsidRDefault="0090197C" w:rsidP="00B10CE8">
      <w:pPr>
        <w:spacing w:after="0" w:line="240" w:lineRule="auto"/>
        <w:ind w:firstLine="284"/>
        <w:jc w:val="both"/>
        <w:rPr>
          <w:rFonts w:ascii="Garamond" w:hAnsi="Garamond"/>
          <w:sz w:val="24"/>
          <w:szCs w:val="24"/>
        </w:rPr>
      </w:pPr>
      <w:r w:rsidRPr="00913E39">
        <w:rPr>
          <w:rFonts w:ascii="Garamond" w:hAnsi="Garamond"/>
          <w:sz w:val="24"/>
          <w:szCs w:val="24"/>
        </w:rPr>
        <w:t>(2) Nëse JO</w:t>
      </w:r>
      <w:r w:rsidRPr="00913E39">
        <w:rPr>
          <w:rFonts w:ascii="Garamond" w:hAnsi="Garamond"/>
          <w:b/>
          <w:sz w:val="24"/>
          <w:szCs w:val="24"/>
        </w:rPr>
        <w:t>,</w:t>
      </w:r>
      <w:r w:rsidRPr="00913E39">
        <w:rPr>
          <w:rFonts w:ascii="Garamond" w:hAnsi="Garamond"/>
          <w:sz w:val="24"/>
          <w:szCs w:val="24"/>
        </w:rPr>
        <w:t xml:space="preserve"> shpjegoni pse projekti mund të konsiderohet me interes për BE.</w:t>
      </w:r>
    </w:p>
    <w:p w14:paraId="2672E4B0" w14:textId="37BB70FA" w:rsidR="0090197C" w:rsidRPr="00913E39" w:rsidRDefault="0090197C" w:rsidP="00B10CE8">
      <w:pPr>
        <w:spacing w:after="0" w:line="240" w:lineRule="auto"/>
        <w:ind w:firstLine="284"/>
        <w:jc w:val="both"/>
        <w:rPr>
          <w:rFonts w:ascii="Garamond" w:hAnsi="Garamond"/>
          <w:sz w:val="24"/>
          <w:szCs w:val="24"/>
        </w:rPr>
      </w:pPr>
      <w:r w:rsidRPr="00913E39">
        <w:rPr>
          <w:rFonts w:ascii="Garamond" w:hAnsi="Garamond"/>
          <w:sz w:val="24"/>
          <w:szCs w:val="24"/>
        </w:rPr>
        <w:t>(3) Në rast se është identifikuar një ndikim negativ ndërshtetëror, shpjegojeni atë në detaje dhe përshkruani masat zbutëse/restauruese të planifikuara dhe pjesë të projektit. Referojuni procedurës së përcaktuar nga Konventa për Vlerësimin e Ndikimit në Mjedis në një Kontekst Ndërshtetëror (Konventa Espoo).]</w:t>
      </w:r>
    </w:p>
    <w:p w14:paraId="20BC0C6E" w14:textId="2CEA0229" w:rsidR="0090197C" w:rsidRPr="00913E39" w:rsidRDefault="0090197C" w:rsidP="00B10CE8">
      <w:pPr>
        <w:spacing w:after="0" w:line="240" w:lineRule="auto"/>
        <w:ind w:firstLine="284"/>
        <w:jc w:val="both"/>
        <w:rPr>
          <w:rFonts w:ascii="Garamond" w:hAnsi="Garamond"/>
          <w:i/>
          <w:sz w:val="24"/>
          <w:szCs w:val="24"/>
        </w:rPr>
      </w:pPr>
      <w:r w:rsidRPr="00913E39">
        <w:rPr>
          <w:rFonts w:ascii="Garamond" w:hAnsi="Garamond"/>
          <w:i/>
          <w:sz w:val="24"/>
          <w:szCs w:val="24"/>
        </w:rPr>
        <w:t xml:space="preserve">2.1.4 Ndikimi gjinor i Projektit </w:t>
      </w:r>
    </w:p>
    <w:p w14:paraId="69359F4A" w14:textId="77777777" w:rsidR="0090197C" w:rsidRPr="00913E39" w:rsidRDefault="0090197C" w:rsidP="00B10CE8">
      <w:pPr>
        <w:tabs>
          <w:tab w:val="left" w:pos="142"/>
          <w:tab w:val="left" w:pos="851"/>
        </w:tabs>
        <w:spacing w:after="0" w:line="240" w:lineRule="auto"/>
        <w:ind w:firstLine="284"/>
        <w:jc w:val="both"/>
        <w:rPr>
          <w:rFonts w:ascii="Garamond" w:hAnsi="Garamond"/>
          <w:sz w:val="24"/>
          <w:szCs w:val="24"/>
        </w:rPr>
      </w:pPr>
      <w:r w:rsidRPr="00913E39">
        <w:rPr>
          <w:rFonts w:ascii="Garamond" w:hAnsi="Garamond"/>
          <w:sz w:val="24"/>
          <w:szCs w:val="24"/>
        </w:rPr>
        <w:t>[</w:t>
      </w:r>
      <w:bookmarkStart w:id="74" w:name="_Hlk138243368"/>
      <w:r w:rsidRPr="00913E39">
        <w:rPr>
          <w:rFonts w:ascii="Garamond" w:hAnsi="Garamond"/>
          <w:sz w:val="24"/>
          <w:szCs w:val="24"/>
        </w:rPr>
        <w:t>Përcaktoni nëse projekti merr parasysh aspektin gjinor. A është bërë një analizë e ndikimit gjinor? Nëse po, jepni shkurtimisht rezultatet e analizës dhe specifikoni masat që janë identifikuar për të garantuar parimin e barazisë gjinore. Nëse jo, duhet të jepet një shpjegim/arsyetim.]</w:t>
      </w:r>
      <w:bookmarkEnd w:id="74"/>
    </w:p>
    <w:p w14:paraId="492CD716" w14:textId="77777777" w:rsidR="0090197C" w:rsidRPr="00913E39" w:rsidRDefault="0090197C" w:rsidP="00B10CE8">
      <w:pPr>
        <w:pStyle w:val="ListParagraph"/>
        <w:spacing w:after="0" w:line="240" w:lineRule="auto"/>
        <w:ind w:left="0" w:firstLine="284"/>
        <w:jc w:val="both"/>
        <w:rPr>
          <w:rFonts w:ascii="Garamond" w:hAnsi="Garamond"/>
          <w:i/>
          <w:sz w:val="24"/>
          <w:szCs w:val="24"/>
        </w:rPr>
      </w:pPr>
      <w:r w:rsidRPr="00913E39">
        <w:rPr>
          <w:rFonts w:ascii="Garamond" w:hAnsi="Garamond"/>
          <w:i/>
          <w:sz w:val="24"/>
          <w:szCs w:val="24"/>
        </w:rPr>
        <w:t>2.1.5 Përfshirja e komunitetit rom</w:t>
      </w:r>
    </w:p>
    <w:p w14:paraId="584454D6" w14:textId="77777777" w:rsidR="0090197C" w:rsidRPr="00913E39" w:rsidRDefault="0090197C" w:rsidP="00B10CE8">
      <w:pPr>
        <w:spacing w:after="0" w:line="240" w:lineRule="auto"/>
        <w:ind w:firstLine="284"/>
        <w:jc w:val="both"/>
        <w:rPr>
          <w:rFonts w:ascii="Garamond" w:hAnsi="Garamond"/>
          <w:sz w:val="24"/>
          <w:szCs w:val="24"/>
        </w:rPr>
      </w:pPr>
      <w:r w:rsidRPr="00913E39">
        <w:rPr>
          <w:rFonts w:ascii="Garamond" w:hAnsi="Garamond"/>
          <w:sz w:val="24"/>
          <w:szCs w:val="24"/>
        </w:rPr>
        <w:lastRenderedPageBreak/>
        <w:t>[Përcaktoni nëse projekti kontribuon në përfshirjen e romëve dhe nëse po jepni detaje. A janë romët pjesë e grupit të synuar? Cilat janë masat specifike të identifikuara? A janë marrë parasysh nevojat e romëve në vlerësimin e ndikimit?]</w:t>
      </w:r>
    </w:p>
    <w:p w14:paraId="50777A85" w14:textId="77777777" w:rsidR="0090197C" w:rsidRPr="00913E39" w:rsidRDefault="0090197C" w:rsidP="00B10CE8">
      <w:pPr>
        <w:spacing w:after="0" w:line="240" w:lineRule="auto"/>
        <w:ind w:firstLine="284"/>
        <w:jc w:val="both"/>
        <w:rPr>
          <w:rFonts w:ascii="Garamond" w:hAnsi="Garamond"/>
          <w:i/>
          <w:sz w:val="24"/>
          <w:szCs w:val="24"/>
        </w:rPr>
      </w:pPr>
      <w:r w:rsidRPr="00913E39">
        <w:rPr>
          <w:rFonts w:ascii="Garamond" w:hAnsi="Garamond"/>
          <w:i/>
          <w:sz w:val="24"/>
          <w:szCs w:val="24"/>
        </w:rPr>
        <w:t>2.1.6 Përdoruesit fundorë</w:t>
      </w:r>
    </w:p>
    <w:p w14:paraId="12A425EC" w14:textId="77777777" w:rsidR="0090197C" w:rsidRPr="00913E39" w:rsidRDefault="0090197C" w:rsidP="00B10CE8">
      <w:pPr>
        <w:spacing w:after="0" w:line="240" w:lineRule="auto"/>
        <w:ind w:firstLine="284"/>
        <w:jc w:val="both"/>
        <w:rPr>
          <w:rFonts w:ascii="Garamond" w:hAnsi="Garamond"/>
          <w:sz w:val="24"/>
          <w:szCs w:val="24"/>
        </w:rPr>
      </w:pPr>
      <w:r w:rsidRPr="00913E39">
        <w:rPr>
          <w:rFonts w:ascii="Garamond" w:hAnsi="Garamond"/>
          <w:sz w:val="24"/>
          <w:szCs w:val="24"/>
        </w:rPr>
        <w:t>[Përshkruani grupet e ndryshme të përdoruesve fundorë dhe interesin e tyre në projekt.]</w:t>
      </w:r>
    </w:p>
    <w:p w14:paraId="3E4F8DE6" w14:textId="020FE4BC" w:rsidR="0090197C" w:rsidRPr="00913E39" w:rsidRDefault="0090197C" w:rsidP="00B10CE8">
      <w:pPr>
        <w:pStyle w:val="Heading2"/>
        <w:spacing w:before="0" w:after="0"/>
        <w:ind w:firstLine="284"/>
        <w:jc w:val="both"/>
        <w:rPr>
          <w:rFonts w:ascii="Garamond" w:hAnsi="Garamond"/>
          <w:b w:val="0"/>
          <w:i w:val="0"/>
          <w:sz w:val="24"/>
          <w:lang w:val="sq-AL"/>
        </w:rPr>
      </w:pPr>
      <w:bookmarkStart w:id="75" w:name="_Toc142286817"/>
      <w:bookmarkStart w:id="76" w:name="_Toc142287105"/>
      <w:bookmarkStart w:id="77" w:name="_Toc142287267"/>
      <w:bookmarkStart w:id="78" w:name="_Toc142287439"/>
      <w:bookmarkEnd w:id="71"/>
      <w:r w:rsidRPr="00913E39">
        <w:rPr>
          <w:rFonts w:ascii="Garamond" w:hAnsi="Garamond"/>
          <w:b w:val="0"/>
          <w:sz w:val="24"/>
          <w:lang w:val="sq-AL"/>
        </w:rPr>
        <w:t>- 2.1.7 Komunikimi dhe vizibiliteti</w:t>
      </w:r>
    </w:p>
    <w:p w14:paraId="0D038F1E" w14:textId="126AE557" w:rsidR="0090197C" w:rsidRPr="00913E39" w:rsidRDefault="0090197C" w:rsidP="00B10CE8">
      <w:pPr>
        <w:spacing w:after="0" w:line="240" w:lineRule="auto"/>
        <w:ind w:firstLine="284"/>
        <w:jc w:val="both"/>
        <w:rPr>
          <w:rFonts w:ascii="Garamond" w:hAnsi="Garamond"/>
          <w:sz w:val="24"/>
          <w:szCs w:val="24"/>
        </w:rPr>
      </w:pPr>
      <w:r w:rsidRPr="00913E39">
        <w:rPr>
          <w:rFonts w:ascii="Garamond" w:hAnsi="Garamond"/>
          <w:sz w:val="24"/>
          <w:szCs w:val="24"/>
        </w:rPr>
        <w:t>[Jepni detaje të masave të propozuara për të publikuar ndihmën e Bashkimit E</w:t>
      </w:r>
      <w:r w:rsidR="00B10CE8" w:rsidRPr="00913E39">
        <w:rPr>
          <w:rFonts w:ascii="Garamond" w:hAnsi="Garamond"/>
          <w:sz w:val="24"/>
          <w:szCs w:val="24"/>
        </w:rPr>
        <w:t>v</w:t>
      </w:r>
      <w:r w:rsidRPr="00913E39">
        <w:rPr>
          <w:rFonts w:ascii="Garamond" w:hAnsi="Garamond"/>
          <w:sz w:val="24"/>
          <w:szCs w:val="24"/>
        </w:rPr>
        <w:t>ropian, p.sh. llojin e masës, përshkrimin e shkurtër, kohëzgjatjen etj. Kostot e vlerësuara duhet të përfshihen në planin e financimit.]</w:t>
      </w:r>
    </w:p>
    <w:p w14:paraId="5C962E37" w14:textId="77777777" w:rsidR="0090197C" w:rsidRPr="00913E39" w:rsidRDefault="0090197C" w:rsidP="00E8580A">
      <w:pPr>
        <w:pStyle w:val="Heading1"/>
        <w:spacing w:before="0" w:after="0"/>
        <w:ind w:firstLine="284"/>
        <w:jc w:val="both"/>
        <w:rPr>
          <w:rFonts w:ascii="Garamond" w:hAnsi="Garamond"/>
          <w:b w:val="0"/>
          <w:sz w:val="24"/>
          <w:lang w:val="sq-AL"/>
        </w:rPr>
      </w:pPr>
      <w:bookmarkStart w:id="79" w:name="_Toc138244074"/>
      <w:bookmarkStart w:id="80" w:name="_Toc138244075"/>
      <w:bookmarkEnd w:id="79"/>
      <w:bookmarkEnd w:id="80"/>
      <w:r w:rsidRPr="00913E39">
        <w:rPr>
          <w:rFonts w:ascii="Garamond" w:hAnsi="Garamond"/>
          <w:b w:val="0"/>
          <w:sz w:val="24"/>
          <w:lang w:val="sq-AL"/>
        </w:rPr>
        <w:t>3. PJEKURIA E PROJEKTIT</w:t>
      </w:r>
    </w:p>
    <w:p w14:paraId="0877D64A" w14:textId="29ECEC5C" w:rsidR="0090197C" w:rsidRPr="00913E39" w:rsidRDefault="0090197C" w:rsidP="00E8580A">
      <w:pPr>
        <w:pStyle w:val="Heading2"/>
        <w:spacing w:before="0" w:after="0"/>
        <w:ind w:firstLine="284"/>
        <w:jc w:val="both"/>
        <w:rPr>
          <w:rFonts w:ascii="Garamond" w:hAnsi="Garamond"/>
          <w:b w:val="0"/>
          <w:sz w:val="24"/>
          <w:lang w:val="sq-AL"/>
        </w:rPr>
      </w:pPr>
      <w:bookmarkStart w:id="81" w:name="_Toc142287272"/>
      <w:bookmarkEnd w:id="75"/>
      <w:bookmarkEnd w:id="76"/>
      <w:bookmarkEnd w:id="77"/>
      <w:bookmarkEnd w:id="78"/>
      <w:r w:rsidRPr="00913E39">
        <w:rPr>
          <w:rFonts w:ascii="Garamond" w:hAnsi="Garamond"/>
          <w:b w:val="0"/>
          <w:sz w:val="24"/>
          <w:lang w:val="sq-AL"/>
        </w:rPr>
        <w:t>3.1 Planifikimi kohor i projektit</w:t>
      </w:r>
    </w:p>
    <w:p w14:paraId="78649458" w14:textId="1E0105DB" w:rsidR="0090197C" w:rsidRPr="00913E39" w:rsidRDefault="0090197C" w:rsidP="00B10CE8">
      <w:pPr>
        <w:spacing w:after="0" w:line="240" w:lineRule="auto"/>
        <w:ind w:firstLine="284"/>
        <w:jc w:val="both"/>
        <w:rPr>
          <w:rFonts w:ascii="Garamond" w:hAnsi="Garamond"/>
          <w:sz w:val="24"/>
          <w:szCs w:val="24"/>
        </w:rPr>
      </w:pPr>
      <w:r w:rsidRPr="00913E39">
        <w:rPr>
          <w:rFonts w:ascii="Garamond" w:hAnsi="Garamond"/>
          <w:sz w:val="24"/>
          <w:szCs w:val="24"/>
        </w:rPr>
        <w:t>[Jepni një planifikim kohor për zbatimin e projektit Parashikoni një pikënisje të veçantë për çdo kontratë ose fazë, sipas rastit. Kur aplikimi ka të bëjë me një fazë projekti (shihni pjesën 2.2.2), tregoni qartë element</w:t>
      </w:r>
      <w:r w:rsidR="00B1253D" w:rsidRPr="00913E39">
        <w:rPr>
          <w:rFonts w:ascii="Garamond" w:hAnsi="Garamond"/>
          <w:sz w:val="24"/>
          <w:szCs w:val="24"/>
        </w:rPr>
        <w:t>e</w:t>
      </w:r>
      <w:r w:rsidRPr="00913E39">
        <w:rPr>
          <w:rFonts w:ascii="Garamond" w:hAnsi="Garamond"/>
          <w:sz w:val="24"/>
          <w:szCs w:val="24"/>
        </w:rPr>
        <w:t xml:space="preserve">t e projektit të përgjithshëm për të cilin kërkohet ndihmë me anë të këtij aplikimi. Jepni detajet e zbatimit për secilën linjë/fazë.]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948"/>
        <w:gridCol w:w="1300"/>
        <w:gridCol w:w="1300"/>
        <w:gridCol w:w="3429"/>
      </w:tblGrid>
      <w:tr w:rsidR="0090197C" w:rsidRPr="00913E39" w14:paraId="3E77C08D" w14:textId="77777777" w:rsidTr="00882ABD">
        <w:trPr>
          <w:trHeight w:val="20"/>
        </w:trPr>
        <w:tc>
          <w:tcPr>
            <w:tcW w:w="1202" w:type="pct"/>
            <w:shd w:val="clear" w:color="000000" w:fill="auto"/>
          </w:tcPr>
          <w:p w14:paraId="459BEE67" w14:textId="77777777" w:rsidR="0090197C" w:rsidRPr="00913E39" w:rsidRDefault="0090197C" w:rsidP="00882ABD">
            <w:pPr>
              <w:spacing w:after="0" w:line="240" w:lineRule="auto"/>
              <w:jc w:val="center"/>
              <w:rPr>
                <w:rFonts w:ascii="Garamond" w:hAnsi="Garamond"/>
                <w:b/>
                <w:sz w:val="20"/>
                <w:szCs w:val="24"/>
              </w:rPr>
            </w:pPr>
          </w:p>
        </w:tc>
        <w:tc>
          <w:tcPr>
            <w:tcW w:w="495" w:type="pct"/>
            <w:shd w:val="clear" w:color="000000" w:fill="auto"/>
          </w:tcPr>
          <w:p w14:paraId="0A15B7C5" w14:textId="4715FE47" w:rsidR="0090197C" w:rsidRPr="00913E39" w:rsidRDefault="0090197C" w:rsidP="00882ABD">
            <w:pPr>
              <w:spacing w:after="0" w:line="240" w:lineRule="auto"/>
              <w:jc w:val="center"/>
              <w:rPr>
                <w:rFonts w:ascii="Garamond" w:hAnsi="Garamond"/>
                <w:b/>
                <w:sz w:val="20"/>
                <w:szCs w:val="24"/>
              </w:rPr>
            </w:pPr>
            <w:r w:rsidRPr="00913E39">
              <w:rPr>
                <w:rFonts w:ascii="Garamond" w:hAnsi="Garamond"/>
                <w:b/>
                <w:sz w:val="20"/>
                <w:szCs w:val="24"/>
              </w:rPr>
              <w:t xml:space="preserve">Mbuluar nga ky </w:t>
            </w:r>
            <w:r w:rsidR="00CB157A" w:rsidRPr="00913E39">
              <w:rPr>
                <w:rFonts w:ascii="Garamond" w:hAnsi="Garamond"/>
                <w:b/>
                <w:sz w:val="20"/>
                <w:szCs w:val="24"/>
              </w:rPr>
              <w:t xml:space="preserve">aplikim </w:t>
            </w:r>
            <w:r w:rsidRPr="00913E39">
              <w:rPr>
                <w:rFonts w:ascii="Garamond" w:hAnsi="Garamond"/>
                <w:b/>
                <w:sz w:val="20"/>
                <w:szCs w:val="24"/>
              </w:rPr>
              <w:t>(Po/Jo)</w:t>
            </w:r>
          </w:p>
        </w:tc>
        <w:tc>
          <w:tcPr>
            <w:tcW w:w="679" w:type="pct"/>
            <w:shd w:val="clear" w:color="000000" w:fill="auto"/>
          </w:tcPr>
          <w:p w14:paraId="7E37A594" w14:textId="77777777" w:rsidR="0090197C" w:rsidRPr="00913E39" w:rsidRDefault="0090197C" w:rsidP="00882ABD">
            <w:pPr>
              <w:spacing w:after="0" w:line="240" w:lineRule="auto"/>
              <w:jc w:val="center"/>
              <w:rPr>
                <w:rFonts w:ascii="Garamond" w:hAnsi="Garamond"/>
                <w:b/>
                <w:sz w:val="20"/>
                <w:szCs w:val="24"/>
              </w:rPr>
            </w:pPr>
            <w:r w:rsidRPr="00913E39">
              <w:rPr>
                <w:rFonts w:ascii="Garamond" w:hAnsi="Garamond"/>
                <w:b/>
                <w:sz w:val="20"/>
                <w:szCs w:val="24"/>
              </w:rPr>
              <w:t>Data e fillimit</w:t>
            </w:r>
            <w:r w:rsidRPr="00913E39">
              <w:rPr>
                <w:rFonts w:ascii="Garamond" w:hAnsi="Garamond"/>
                <w:b/>
                <w:sz w:val="20"/>
                <w:szCs w:val="24"/>
              </w:rPr>
              <w:br/>
              <w:t>(A)</w:t>
            </w:r>
          </w:p>
        </w:tc>
        <w:tc>
          <w:tcPr>
            <w:tcW w:w="679" w:type="pct"/>
            <w:shd w:val="clear" w:color="000000" w:fill="auto"/>
          </w:tcPr>
          <w:p w14:paraId="37D814A1" w14:textId="77777777" w:rsidR="0090197C" w:rsidRPr="00913E39" w:rsidRDefault="0090197C" w:rsidP="00882ABD">
            <w:pPr>
              <w:spacing w:after="0" w:line="240" w:lineRule="auto"/>
              <w:jc w:val="center"/>
              <w:rPr>
                <w:rFonts w:ascii="Garamond" w:hAnsi="Garamond"/>
                <w:b/>
                <w:sz w:val="20"/>
                <w:szCs w:val="24"/>
              </w:rPr>
            </w:pPr>
            <w:r w:rsidRPr="00913E39">
              <w:rPr>
                <w:rFonts w:ascii="Garamond" w:hAnsi="Garamond"/>
                <w:b/>
                <w:sz w:val="20"/>
                <w:szCs w:val="24"/>
              </w:rPr>
              <w:t>Data e përfundimit</w:t>
            </w:r>
            <w:r w:rsidRPr="00913E39">
              <w:rPr>
                <w:rFonts w:ascii="Garamond" w:hAnsi="Garamond"/>
                <w:b/>
                <w:sz w:val="20"/>
                <w:szCs w:val="24"/>
              </w:rPr>
              <w:br/>
              <w:t>(B)</w:t>
            </w:r>
          </w:p>
        </w:tc>
        <w:tc>
          <w:tcPr>
            <w:tcW w:w="1945" w:type="pct"/>
            <w:shd w:val="clear" w:color="000000" w:fill="auto"/>
          </w:tcPr>
          <w:p w14:paraId="779C33AF" w14:textId="77777777" w:rsidR="0090197C" w:rsidRPr="00913E39" w:rsidRDefault="0090197C" w:rsidP="00882ABD">
            <w:pPr>
              <w:spacing w:after="0" w:line="240" w:lineRule="auto"/>
              <w:jc w:val="center"/>
              <w:rPr>
                <w:rFonts w:ascii="Garamond" w:hAnsi="Garamond"/>
                <w:b/>
                <w:sz w:val="20"/>
                <w:szCs w:val="24"/>
              </w:rPr>
            </w:pPr>
            <w:r w:rsidRPr="00913E39">
              <w:rPr>
                <w:rFonts w:ascii="Garamond" w:hAnsi="Garamond"/>
                <w:b/>
                <w:sz w:val="20"/>
                <w:szCs w:val="24"/>
              </w:rPr>
              <w:t>Detajet e zbatimit</w:t>
            </w:r>
          </w:p>
        </w:tc>
      </w:tr>
      <w:tr w:rsidR="0090197C" w:rsidRPr="00913E39" w14:paraId="5C4B4B37" w14:textId="77777777" w:rsidTr="00882ABD">
        <w:trPr>
          <w:trHeight w:val="20"/>
        </w:trPr>
        <w:tc>
          <w:tcPr>
            <w:tcW w:w="1202" w:type="pct"/>
            <w:shd w:val="clear" w:color="000000" w:fill="auto"/>
          </w:tcPr>
          <w:p w14:paraId="1322C45B" w14:textId="77777777" w:rsidR="0090197C" w:rsidRPr="00913E39" w:rsidRDefault="0090197C" w:rsidP="00B05CD9">
            <w:pPr>
              <w:numPr>
                <w:ilvl w:val="0"/>
                <w:numId w:val="46"/>
              </w:numPr>
              <w:spacing w:after="0" w:line="240" w:lineRule="auto"/>
              <w:rPr>
                <w:rFonts w:ascii="Garamond" w:hAnsi="Garamond"/>
                <w:sz w:val="20"/>
                <w:szCs w:val="24"/>
              </w:rPr>
            </w:pPr>
            <w:r w:rsidRPr="00913E39">
              <w:rPr>
                <w:rFonts w:ascii="Garamond" w:hAnsi="Garamond"/>
                <w:sz w:val="20"/>
                <w:szCs w:val="24"/>
              </w:rPr>
              <w:t>Studime dhe analiza</w:t>
            </w:r>
          </w:p>
        </w:tc>
        <w:tc>
          <w:tcPr>
            <w:tcW w:w="495" w:type="pct"/>
            <w:shd w:val="clear" w:color="000000" w:fill="auto"/>
          </w:tcPr>
          <w:p w14:paraId="37D39673"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4B3F86E1"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679" w:type="pct"/>
            <w:shd w:val="clear" w:color="000000" w:fill="auto"/>
          </w:tcPr>
          <w:p w14:paraId="5F263C0E"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1945" w:type="pct"/>
            <w:shd w:val="clear" w:color="000000" w:fill="auto"/>
          </w:tcPr>
          <w:p w14:paraId="58DAC884" w14:textId="77777777" w:rsidR="0090197C" w:rsidRPr="00913E39" w:rsidRDefault="0090197C" w:rsidP="00882ABD">
            <w:pPr>
              <w:spacing w:after="0" w:line="240" w:lineRule="auto"/>
              <w:rPr>
                <w:rFonts w:ascii="Garamond" w:hAnsi="Garamond"/>
                <w:sz w:val="20"/>
                <w:szCs w:val="24"/>
              </w:rPr>
            </w:pPr>
          </w:p>
        </w:tc>
      </w:tr>
      <w:tr w:rsidR="0090197C" w:rsidRPr="00913E39" w14:paraId="18237002" w14:textId="77777777" w:rsidTr="00882ABD">
        <w:trPr>
          <w:trHeight w:val="20"/>
        </w:trPr>
        <w:tc>
          <w:tcPr>
            <w:tcW w:w="1202" w:type="pct"/>
            <w:shd w:val="clear" w:color="000000" w:fill="auto"/>
          </w:tcPr>
          <w:p w14:paraId="4F915FF6" w14:textId="77777777" w:rsidR="0090197C" w:rsidRPr="00913E39" w:rsidRDefault="0090197C" w:rsidP="00B05CD9">
            <w:pPr>
              <w:numPr>
                <w:ilvl w:val="1"/>
                <w:numId w:val="46"/>
              </w:numPr>
              <w:spacing w:after="0" w:line="240" w:lineRule="auto"/>
              <w:ind w:left="0" w:firstLine="0"/>
              <w:rPr>
                <w:rFonts w:ascii="Garamond" w:hAnsi="Garamond"/>
                <w:sz w:val="20"/>
                <w:szCs w:val="24"/>
              </w:rPr>
            </w:pPr>
            <w:r w:rsidRPr="00913E39">
              <w:rPr>
                <w:rFonts w:ascii="Garamond" w:hAnsi="Garamond"/>
                <w:sz w:val="20"/>
                <w:szCs w:val="24"/>
              </w:rPr>
              <w:t>Studim Fizibiliteti, përfshirë....</w:t>
            </w:r>
          </w:p>
        </w:tc>
        <w:tc>
          <w:tcPr>
            <w:tcW w:w="495" w:type="pct"/>
            <w:shd w:val="clear" w:color="000000" w:fill="auto"/>
          </w:tcPr>
          <w:p w14:paraId="171B3830"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0A47386C"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694C3670" w14:textId="77777777" w:rsidR="0090197C" w:rsidRPr="00913E39" w:rsidRDefault="0090197C" w:rsidP="00882ABD">
            <w:pPr>
              <w:spacing w:after="0" w:line="240" w:lineRule="auto"/>
              <w:rPr>
                <w:rFonts w:ascii="Garamond" w:hAnsi="Garamond"/>
                <w:sz w:val="20"/>
                <w:szCs w:val="24"/>
              </w:rPr>
            </w:pPr>
          </w:p>
        </w:tc>
        <w:tc>
          <w:tcPr>
            <w:tcW w:w="1945" w:type="pct"/>
            <w:shd w:val="clear" w:color="000000" w:fill="auto"/>
          </w:tcPr>
          <w:p w14:paraId="2BD1512A" w14:textId="77777777" w:rsidR="0090197C" w:rsidRPr="00913E39" w:rsidRDefault="0090197C" w:rsidP="00882ABD">
            <w:pPr>
              <w:spacing w:after="0" w:line="240" w:lineRule="auto"/>
              <w:rPr>
                <w:rFonts w:ascii="Garamond" w:hAnsi="Garamond"/>
                <w:sz w:val="20"/>
                <w:szCs w:val="24"/>
              </w:rPr>
            </w:pPr>
          </w:p>
        </w:tc>
      </w:tr>
      <w:tr w:rsidR="0090197C" w:rsidRPr="00913E39" w14:paraId="7F1C1668" w14:textId="77777777" w:rsidTr="00882ABD">
        <w:trPr>
          <w:trHeight w:val="20"/>
        </w:trPr>
        <w:tc>
          <w:tcPr>
            <w:tcW w:w="1202" w:type="pct"/>
            <w:shd w:val="clear" w:color="000000" w:fill="auto"/>
          </w:tcPr>
          <w:p w14:paraId="228CB599" w14:textId="77777777" w:rsidR="0090197C" w:rsidRPr="00913E39" w:rsidRDefault="0090197C" w:rsidP="00B05CD9">
            <w:pPr>
              <w:numPr>
                <w:ilvl w:val="1"/>
                <w:numId w:val="46"/>
              </w:numPr>
              <w:spacing w:after="0" w:line="240" w:lineRule="auto"/>
              <w:ind w:left="0" w:firstLine="0"/>
              <w:rPr>
                <w:rFonts w:ascii="Garamond" w:hAnsi="Garamond"/>
                <w:sz w:val="20"/>
                <w:szCs w:val="24"/>
              </w:rPr>
            </w:pPr>
            <w:r w:rsidRPr="00913E39">
              <w:rPr>
                <w:rFonts w:ascii="Garamond" w:hAnsi="Garamond"/>
                <w:sz w:val="20"/>
                <w:szCs w:val="24"/>
              </w:rPr>
              <w:t>CBA...</w:t>
            </w:r>
          </w:p>
        </w:tc>
        <w:tc>
          <w:tcPr>
            <w:tcW w:w="495" w:type="pct"/>
            <w:shd w:val="clear" w:color="000000" w:fill="auto"/>
          </w:tcPr>
          <w:p w14:paraId="0B1F8341"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52FB11D4"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04E7DB38" w14:textId="77777777" w:rsidR="0090197C" w:rsidRPr="00913E39" w:rsidRDefault="0090197C" w:rsidP="00882ABD">
            <w:pPr>
              <w:spacing w:after="0" w:line="240" w:lineRule="auto"/>
              <w:rPr>
                <w:rFonts w:ascii="Garamond" w:hAnsi="Garamond"/>
                <w:sz w:val="20"/>
                <w:szCs w:val="24"/>
              </w:rPr>
            </w:pPr>
          </w:p>
        </w:tc>
        <w:tc>
          <w:tcPr>
            <w:tcW w:w="1945" w:type="pct"/>
            <w:shd w:val="clear" w:color="000000" w:fill="auto"/>
          </w:tcPr>
          <w:p w14:paraId="4DD1A7B8" w14:textId="77777777" w:rsidR="0090197C" w:rsidRPr="00913E39" w:rsidRDefault="0090197C" w:rsidP="00882ABD">
            <w:pPr>
              <w:spacing w:after="0" w:line="240" w:lineRule="auto"/>
              <w:rPr>
                <w:rFonts w:ascii="Garamond" w:hAnsi="Garamond"/>
                <w:sz w:val="20"/>
                <w:szCs w:val="24"/>
              </w:rPr>
            </w:pPr>
          </w:p>
        </w:tc>
      </w:tr>
      <w:tr w:rsidR="0090197C" w:rsidRPr="00913E39" w14:paraId="0846ED49" w14:textId="77777777" w:rsidTr="00882ABD">
        <w:trPr>
          <w:trHeight w:val="20"/>
        </w:trPr>
        <w:tc>
          <w:tcPr>
            <w:tcW w:w="1202" w:type="pct"/>
            <w:shd w:val="clear" w:color="000000" w:fill="auto"/>
          </w:tcPr>
          <w:p w14:paraId="73948871" w14:textId="77777777" w:rsidR="0090197C" w:rsidRPr="00913E39" w:rsidRDefault="0090197C" w:rsidP="00B05CD9">
            <w:pPr>
              <w:numPr>
                <w:ilvl w:val="1"/>
                <w:numId w:val="46"/>
              </w:numPr>
              <w:spacing w:after="0" w:line="240" w:lineRule="auto"/>
              <w:ind w:left="0" w:firstLine="0"/>
              <w:rPr>
                <w:rFonts w:ascii="Garamond" w:hAnsi="Garamond"/>
                <w:sz w:val="20"/>
                <w:szCs w:val="24"/>
              </w:rPr>
            </w:pPr>
            <w:r w:rsidRPr="00913E39">
              <w:rPr>
                <w:rFonts w:ascii="Garamond" w:hAnsi="Garamond"/>
                <w:sz w:val="20"/>
                <w:szCs w:val="24"/>
              </w:rPr>
              <w:t>Tjetër (specifikoni)</w:t>
            </w:r>
          </w:p>
        </w:tc>
        <w:tc>
          <w:tcPr>
            <w:tcW w:w="495" w:type="pct"/>
            <w:shd w:val="clear" w:color="000000" w:fill="auto"/>
          </w:tcPr>
          <w:p w14:paraId="24435036"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4568F684"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66C60A0E" w14:textId="77777777" w:rsidR="0090197C" w:rsidRPr="00913E39" w:rsidRDefault="0090197C" w:rsidP="00882ABD">
            <w:pPr>
              <w:spacing w:after="0" w:line="240" w:lineRule="auto"/>
              <w:rPr>
                <w:rFonts w:ascii="Garamond" w:hAnsi="Garamond"/>
                <w:sz w:val="20"/>
                <w:szCs w:val="24"/>
              </w:rPr>
            </w:pPr>
          </w:p>
        </w:tc>
        <w:tc>
          <w:tcPr>
            <w:tcW w:w="1945" w:type="pct"/>
            <w:shd w:val="clear" w:color="000000" w:fill="auto"/>
          </w:tcPr>
          <w:p w14:paraId="567CAEB3" w14:textId="77777777" w:rsidR="0090197C" w:rsidRPr="00913E39" w:rsidRDefault="0090197C" w:rsidP="00882ABD">
            <w:pPr>
              <w:spacing w:after="0" w:line="240" w:lineRule="auto"/>
              <w:rPr>
                <w:rFonts w:ascii="Garamond" w:hAnsi="Garamond"/>
                <w:sz w:val="20"/>
                <w:szCs w:val="24"/>
              </w:rPr>
            </w:pPr>
          </w:p>
        </w:tc>
      </w:tr>
      <w:tr w:rsidR="0090197C" w:rsidRPr="00913E39" w14:paraId="2CADE565" w14:textId="77777777" w:rsidTr="00882ABD">
        <w:trPr>
          <w:trHeight w:val="20"/>
        </w:trPr>
        <w:tc>
          <w:tcPr>
            <w:tcW w:w="1202" w:type="pct"/>
            <w:shd w:val="clear" w:color="000000" w:fill="auto"/>
          </w:tcPr>
          <w:p w14:paraId="2409BE59" w14:textId="5830AAAE" w:rsidR="0090197C" w:rsidRPr="00913E39" w:rsidRDefault="0090197C" w:rsidP="00B05CD9">
            <w:pPr>
              <w:numPr>
                <w:ilvl w:val="0"/>
                <w:numId w:val="46"/>
              </w:numPr>
              <w:spacing w:after="0" w:line="240" w:lineRule="auto"/>
              <w:rPr>
                <w:rFonts w:ascii="Garamond" w:hAnsi="Garamond"/>
                <w:sz w:val="20"/>
                <w:szCs w:val="24"/>
              </w:rPr>
            </w:pPr>
            <w:r w:rsidRPr="00913E39">
              <w:rPr>
                <w:rFonts w:ascii="Garamond" w:hAnsi="Garamond"/>
                <w:sz w:val="20"/>
                <w:szCs w:val="24"/>
              </w:rPr>
              <w:t xml:space="preserve">Vlerësimi i </w:t>
            </w:r>
            <w:r w:rsidR="00B10CE8" w:rsidRPr="00913E39">
              <w:rPr>
                <w:rFonts w:ascii="Garamond" w:hAnsi="Garamond"/>
                <w:sz w:val="20"/>
                <w:szCs w:val="24"/>
              </w:rPr>
              <w:t xml:space="preserve">ndikimit në mjedis </w:t>
            </w:r>
          </w:p>
        </w:tc>
        <w:tc>
          <w:tcPr>
            <w:tcW w:w="495" w:type="pct"/>
            <w:shd w:val="clear" w:color="000000" w:fill="auto"/>
          </w:tcPr>
          <w:p w14:paraId="24D811FC"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1036A620"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679" w:type="pct"/>
            <w:shd w:val="clear" w:color="000000" w:fill="auto"/>
          </w:tcPr>
          <w:p w14:paraId="1B8FC83C"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1945" w:type="pct"/>
            <w:shd w:val="clear" w:color="000000" w:fill="auto"/>
          </w:tcPr>
          <w:p w14:paraId="76015885" w14:textId="77777777" w:rsidR="0090197C" w:rsidRPr="00913E39" w:rsidRDefault="0090197C" w:rsidP="00882ABD">
            <w:pPr>
              <w:spacing w:after="0" w:line="240" w:lineRule="auto"/>
              <w:rPr>
                <w:rFonts w:ascii="Garamond" w:hAnsi="Garamond"/>
                <w:sz w:val="20"/>
                <w:szCs w:val="24"/>
              </w:rPr>
            </w:pPr>
          </w:p>
        </w:tc>
      </w:tr>
      <w:tr w:rsidR="0090197C" w:rsidRPr="00913E39" w14:paraId="4B42C2CF" w14:textId="77777777" w:rsidTr="00882ABD">
        <w:trPr>
          <w:trHeight w:val="20"/>
        </w:trPr>
        <w:tc>
          <w:tcPr>
            <w:tcW w:w="1202" w:type="pct"/>
            <w:shd w:val="clear" w:color="000000" w:fill="auto"/>
          </w:tcPr>
          <w:p w14:paraId="26462FEE" w14:textId="77777777" w:rsidR="0090197C" w:rsidRPr="00913E39" w:rsidRDefault="0090197C" w:rsidP="00B05CD9">
            <w:pPr>
              <w:numPr>
                <w:ilvl w:val="0"/>
                <w:numId w:val="46"/>
              </w:numPr>
              <w:spacing w:after="0" w:line="240" w:lineRule="auto"/>
              <w:rPr>
                <w:rFonts w:ascii="Garamond" w:hAnsi="Garamond"/>
                <w:sz w:val="20"/>
                <w:szCs w:val="24"/>
              </w:rPr>
            </w:pPr>
            <w:r w:rsidRPr="00913E39">
              <w:rPr>
                <w:rFonts w:ascii="Garamond" w:hAnsi="Garamond"/>
                <w:sz w:val="20"/>
                <w:szCs w:val="24"/>
              </w:rPr>
              <w:t xml:space="preserve">Vlerësimi klimatik </w:t>
            </w:r>
            <w:r w:rsidRPr="00913E39">
              <w:rPr>
                <w:rStyle w:val="FootnoteReference"/>
                <w:rFonts w:ascii="Garamond" w:hAnsi="Garamond"/>
                <w:sz w:val="20"/>
                <w:szCs w:val="24"/>
              </w:rPr>
              <w:footnoteReference w:id="115"/>
            </w:r>
          </w:p>
        </w:tc>
        <w:tc>
          <w:tcPr>
            <w:tcW w:w="495" w:type="pct"/>
            <w:shd w:val="clear" w:color="000000" w:fill="auto"/>
          </w:tcPr>
          <w:p w14:paraId="6DA987F0"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1BD0F129"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39C065D2" w14:textId="77777777" w:rsidR="0090197C" w:rsidRPr="00913E39" w:rsidRDefault="0090197C" w:rsidP="00882ABD">
            <w:pPr>
              <w:spacing w:after="0" w:line="240" w:lineRule="auto"/>
              <w:rPr>
                <w:rFonts w:ascii="Garamond" w:hAnsi="Garamond"/>
                <w:sz w:val="20"/>
                <w:szCs w:val="24"/>
              </w:rPr>
            </w:pPr>
          </w:p>
        </w:tc>
        <w:tc>
          <w:tcPr>
            <w:tcW w:w="1945" w:type="pct"/>
            <w:shd w:val="clear" w:color="000000" w:fill="auto"/>
          </w:tcPr>
          <w:p w14:paraId="250EFE69" w14:textId="77777777" w:rsidR="0090197C" w:rsidRPr="00913E39" w:rsidRDefault="0090197C" w:rsidP="00882ABD">
            <w:pPr>
              <w:spacing w:after="0" w:line="240" w:lineRule="auto"/>
              <w:rPr>
                <w:rFonts w:ascii="Garamond" w:hAnsi="Garamond"/>
                <w:sz w:val="20"/>
                <w:szCs w:val="24"/>
              </w:rPr>
            </w:pPr>
          </w:p>
        </w:tc>
      </w:tr>
      <w:tr w:rsidR="0090197C" w:rsidRPr="00913E39" w14:paraId="66C70FF5" w14:textId="77777777" w:rsidTr="00882ABD">
        <w:trPr>
          <w:trHeight w:val="20"/>
        </w:trPr>
        <w:tc>
          <w:tcPr>
            <w:tcW w:w="1202" w:type="pct"/>
            <w:shd w:val="clear" w:color="000000" w:fill="auto"/>
          </w:tcPr>
          <w:p w14:paraId="5B384FAC" w14:textId="77777777" w:rsidR="0090197C" w:rsidRPr="00913E39" w:rsidRDefault="0090197C" w:rsidP="00B05CD9">
            <w:pPr>
              <w:numPr>
                <w:ilvl w:val="0"/>
                <w:numId w:val="46"/>
              </w:numPr>
              <w:spacing w:after="0" w:line="240" w:lineRule="auto"/>
              <w:rPr>
                <w:rFonts w:ascii="Garamond" w:hAnsi="Garamond"/>
                <w:sz w:val="20"/>
                <w:szCs w:val="24"/>
              </w:rPr>
            </w:pPr>
            <w:r w:rsidRPr="00913E39">
              <w:rPr>
                <w:rFonts w:ascii="Garamond" w:hAnsi="Garamond"/>
                <w:sz w:val="20"/>
                <w:szCs w:val="24"/>
              </w:rPr>
              <w:t xml:space="preserve">Projektimi konceptual inxhinierik </w:t>
            </w:r>
          </w:p>
        </w:tc>
        <w:tc>
          <w:tcPr>
            <w:tcW w:w="495" w:type="pct"/>
            <w:shd w:val="clear" w:color="000000" w:fill="auto"/>
          </w:tcPr>
          <w:p w14:paraId="1A555679"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56E32364"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679" w:type="pct"/>
            <w:shd w:val="clear" w:color="000000" w:fill="auto"/>
          </w:tcPr>
          <w:p w14:paraId="62D19F73"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1945" w:type="pct"/>
            <w:shd w:val="clear" w:color="000000" w:fill="auto"/>
          </w:tcPr>
          <w:p w14:paraId="1EDEDCBD" w14:textId="77777777" w:rsidR="0090197C" w:rsidRPr="00913E39" w:rsidRDefault="0090197C" w:rsidP="00882ABD">
            <w:pPr>
              <w:spacing w:after="0" w:line="240" w:lineRule="auto"/>
              <w:rPr>
                <w:rFonts w:ascii="Garamond" w:hAnsi="Garamond"/>
                <w:sz w:val="20"/>
                <w:szCs w:val="24"/>
              </w:rPr>
            </w:pPr>
          </w:p>
        </w:tc>
      </w:tr>
      <w:tr w:rsidR="0090197C" w:rsidRPr="00913E39" w14:paraId="67BB2B57" w14:textId="77777777" w:rsidTr="00882ABD">
        <w:trPr>
          <w:trHeight w:val="20"/>
        </w:trPr>
        <w:tc>
          <w:tcPr>
            <w:tcW w:w="1202" w:type="pct"/>
            <w:shd w:val="clear" w:color="000000" w:fill="auto"/>
          </w:tcPr>
          <w:p w14:paraId="7DBC06E9" w14:textId="77777777" w:rsidR="0090197C" w:rsidRPr="00913E39" w:rsidRDefault="0090197C" w:rsidP="00B05CD9">
            <w:pPr>
              <w:numPr>
                <w:ilvl w:val="0"/>
                <w:numId w:val="46"/>
              </w:numPr>
              <w:spacing w:after="0" w:line="240" w:lineRule="auto"/>
              <w:rPr>
                <w:rFonts w:ascii="Garamond" w:hAnsi="Garamond"/>
                <w:sz w:val="20"/>
              </w:rPr>
            </w:pPr>
            <w:r w:rsidRPr="00913E39">
              <w:rPr>
                <w:rFonts w:ascii="Garamond" w:hAnsi="Garamond"/>
                <w:sz w:val="20"/>
              </w:rPr>
              <w:t>Planifikimi urban për zhvillimin infrastrukturor</w:t>
            </w:r>
          </w:p>
        </w:tc>
        <w:tc>
          <w:tcPr>
            <w:tcW w:w="495" w:type="pct"/>
            <w:shd w:val="clear" w:color="000000" w:fill="auto"/>
          </w:tcPr>
          <w:p w14:paraId="316221D7" w14:textId="77777777" w:rsidR="0090197C" w:rsidRPr="00913E39" w:rsidRDefault="0090197C" w:rsidP="00882ABD">
            <w:pPr>
              <w:spacing w:after="0" w:line="240" w:lineRule="auto"/>
              <w:rPr>
                <w:rFonts w:ascii="Garamond" w:hAnsi="Garamond"/>
                <w:sz w:val="20"/>
              </w:rPr>
            </w:pPr>
          </w:p>
        </w:tc>
        <w:tc>
          <w:tcPr>
            <w:tcW w:w="679" w:type="pct"/>
            <w:shd w:val="clear" w:color="000000" w:fill="auto"/>
          </w:tcPr>
          <w:p w14:paraId="1CB8FF10"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679" w:type="pct"/>
            <w:shd w:val="clear" w:color="000000" w:fill="auto"/>
          </w:tcPr>
          <w:p w14:paraId="001DC702"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1945" w:type="pct"/>
            <w:shd w:val="clear" w:color="000000" w:fill="auto"/>
          </w:tcPr>
          <w:p w14:paraId="11684210" w14:textId="77777777" w:rsidR="0090197C" w:rsidRPr="00913E39" w:rsidRDefault="0090197C" w:rsidP="00882ABD">
            <w:pPr>
              <w:spacing w:after="0" w:line="240" w:lineRule="auto"/>
              <w:rPr>
                <w:rFonts w:ascii="Garamond" w:hAnsi="Garamond"/>
                <w:sz w:val="20"/>
                <w:szCs w:val="24"/>
              </w:rPr>
            </w:pPr>
          </w:p>
        </w:tc>
      </w:tr>
      <w:tr w:rsidR="0090197C" w:rsidRPr="00913E39" w14:paraId="5B7BCF34" w14:textId="77777777" w:rsidTr="00882ABD">
        <w:trPr>
          <w:trHeight w:val="20"/>
        </w:trPr>
        <w:tc>
          <w:tcPr>
            <w:tcW w:w="1202" w:type="pct"/>
            <w:shd w:val="clear" w:color="000000" w:fill="auto"/>
          </w:tcPr>
          <w:p w14:paraId="127A9469" w14:textId="77777777" w:rsidR="0090197C" w:rsidRPr="00913E39" w:rsidRDefault="0090197C" w:rsidP="00B05CD9">
            <w:pPr>
              <w:numPr>
                <w:ilvl w:val="0"/>
                <w:numId w:val="46"/>
              </w:numPr>
              <w:spacing w:after="0" w:line="240" w:lineRule="auto"/>
              <w:rPr>
                <w:rFonts w:ascii="Garamond" w:hAnsi="Garamond"/>
                <w:sz w:val="20"/>
                <w:szCs w:val="24"/>
              </w:rPr>
            </w:pPr>
            <w:r w:rsidRPr="00913E39">
              <w:rPr>
                <w:rFonts w:ascii="Garamond" w:hAnsi="Garamond"/>
                <w:sz w:val="20"/>
                <w:szCs w:val="24"/>
              </w:rPr>
              <w:t>Projektimi përfundimtar (i detajuar) inxhinierik</w:t>
            </w:r>
          </w:p>
        </w:tc>
        <w:tc>
          <w:tcPr>
            <w:tcW w:w="495" w:type="pct"/>
            <w:shd w:val="clear" w:color="000000" w:fill="auto"/>
          </w:tcPr>
          <w:p w14:paraId="039C4A1A"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1DD385A3"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679" w:type="pct"/>
            <w:shd w:val="clear" w:color="000000" w:fill="auto"/>
          </w:tcPr>
          <w:p w14:paraId="56BA8EE9"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1945" w:type="pct"/>
            <w:shd w:val="clear" w:color="000000" w:fill="auto"/>
          </w:tcPr>
          <w:p w14:paraId="4E097289" w14:textId="77777777" w:rsidR="0090197C" w:rsidRPr="00913E39" w:rsidRDefault="0090197C" w:rsidP="00882ABD">
            <w:pPr>
              <w:spacing w:after="0" w:line="240" w:lineRule="auto"/>
              <w:rPr>
                <w:rFonts w:ascii="Garamond" w:hAnsi="Garamond"/>
                <w:sz w:val="20"/>
                <w:szCs w:val="24"/>
              </w:rPr>
            </w:pPr>
          </w:p>
        </w:tc>
      </w:tr>
      <w:tr w:rsidR="0090197C" w:rsidRPr="00913E39" w14:paraId="5C48B1E4" w14:textId="77777777" w:rsidTr="00882ABD">
        <w:trPr>
          <w:trHeight w:val="20"/>
        </w:trPr>
        <w:tc>
          <w:tcPr>
            <w:tcW w:w="1202" w:type="pct"/>
            <w:shd w:val="clear" w:color="000000" w:fill="auto"/>
          </w:tcPr>
          <w:p w14:paraId="37C8EB23" w14:textId="77777777" w:rsidR="0090197C" w:rsidRPr="00913E39" w:rsidRDefault="0090197C" w:rsidP="00B05CD9">
            <w:pPr>
              <w:numPr>
                <w:ilvl w:val="0"/>
                <w:numId w:val="46"/>
              </w:numPr>
              <w:spacing w:after="0" w:line="240" w:lineRule="auto"/>
              <w:rPr>
                <w:rFonts w:ascii="Garamond" w:hAnsi="Garamond"/>
                <w:sz w:val="20"/>
                <w:szCs w:val="24"/>
              </w:rPr>
            </w:pPr>
            <w:r w:rsidRPr="00913E39">
              <w:rPr>
                <w:rFonts w:ascii="Garamond" w:hAnsi="Garamond"/>
                <w:sz w:val="20"/>
                <w:szCs w:val="24"/>
              </w:rPr>
              <w:t>Përgatitja e dokumentacionit të tenderit</w:t>
            </w:r>
          </w:p>
        </w:tc>
        <w:tc>
          <w:tcPr>
            <w:tcW w:w="495" w:type="pct"/>
            <w:shd w:val="clear" w:color="000000" w:fill="auto"/>
          </w:tcPr>
          <w:p w14:paraId="31F1711C"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168D1F62"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679" w:type="pct"/>
            <w:shd w:val="clear" w:color="000000" w:fill="auto"/>
          </w:tcPr>
          <w:p w14:paraId="3EF9AEC5"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1945" w:type="pct"/>
            <w:shd w:val="clear" w:color="000000" w:fill="auto"/>
          </w:tcPr>
          <w:p w14:paraId="0BB28FF0" w14:textId="77777777" w:rsidR="0090197C" w:rsidRPr="00913E39" w:rsidRDefault="0090197C" w:rsidP="00882ABD">
            <w:pPr>
              <w:spacing w:after="0" w:line="240" w:lineRule="auto"/>
              <w:rPr>
                <w:rFonts w:ascii="Garamond" w:hAnsi="Garamond"/>
                <w:sz w:val="20"/>
                <w:szCs w:val="24"/>
              </w:rPr>
            </w:pPr>
          </w:p>
        </w:tc>
      </w:tr>
      <w:tr w:rsidR="0090197C" w:rsidRPr="00913E39" w14:paraId="638587C0" w14:textId="77777777" w:rsidTr="00882ABD">
        <w:trPr>
          <w:trHeight w:val="20"/>
        </w:trPr>
        <w:tc>
          <w:tcPr>
            <w:tcW w:w="1202" w:type="pct"/>
            <w:shd w:val="clear" w:color="000000" w:fill="auto"/>
          </w:tcPr>
          <w:p w14:paraId="6BDD7182" w14:textId="098B95ED" w:rsidR="0090197C" w:rsidRPr="00913E39" w:rsidRDefault="0090197C" w:rsidP="00B05CD9">
            <w:pPr>
              <w:numPr>
                <w:ilvl w:val="0"/>
                <w:numId w:val="46"/>
              </w:numPr>
              <w:spacing w:after="0" w:line="240" w:lineRule="auto"/>
              <w:rPr>
                <w:rFonts w:ascii="Garamond" w:hAnsi="Garamond"/>
                <w:sz w:val="20"/>
                <w:szCs w:val="24"/>
              </w:rPr>
            </w:pPr>
            <w:r w:rsidRPr="00913E39">
              <w:rPr>
                <w:rFonts w:ascii="Garamond" w:hAnsi="Garamond"/>
                <w:sz w:val="20"/>
                <w:szCs w:val="24"/>
              </w:rPr>
              <w:t>Leje/</w:t>
            </w:r>
            <w:r w:rsidR="00B10CE8" w:rsidRPr="00913E39">
              <w:rPr>
                <w:rFonts w:ascii="Garamond" w:hAnsi="Garamond"/>
                <w:sz w:val="20"/>
                <w:szCs w:val="24"/>
              </w:rPr>
              <w:t>licenca</w:t>
            </w:r>
            <w:r w:rsidRPr="00913E39">
              <w:rPr>
                <w:rStyle w:val="FootnoteReference"/>
                <w:rFonts w:ascii="Garamond" w:hAnsi="Garamond"/>
                <w:sz w:val="20"/>
                <w:szCs w:val="24"/>
              </w:rPr>
              <w:footnoteReference w:id="116"/>
            </w:r>
          </w:p>
        </w:tc>
        <w:tc>
          <w:tcPr>
            <w:tcW w:w="495" w:type="pct"/>
            <w:shd w:val="clear" w:color="000000" w:fill="auto"/>
          </w:tcPr>
          <w:p w14:paraId="295887D5"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445FB6BE"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679" w:type="pct"/>
            <w:shd w:val="clear" w:color="000000" w:fill="auto"/>
          </w:tcPr>
          <w:p w14:paraId="26F271FD"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1945" w:type="pct"/>
            <w:shd w:val="clear" w:color="000000" w:fill="auto"/>
          </w:tcPr>
          <w:p w14:paraId="3E0BBE04" w14:textId="77777777" w:rsidR="0090197C" w:rsidRPr="00913E39" w:rsidRDefault="0090197C" w:rsidP="00882ABD">
            <w:pPr>
              <w:spacing w:after="0" w:line="240" w:lineRule="auto"/>
              <w:rPr>
                <w:rFonts w:ascii="Garamond" w:hAnsi="Garamond"/>
                <w:sz w:val="20"/>
                <w:szCs w:val="24"/>
              </w:rPr>
            </w:pPr>
          </w:p>
        </w:tc>
      </w:tr>
      <w:tr w:rsidR="0090197C" w:rsidRPr="00913E39" w14:paraId="6904AE61" w14:textId="77777777" w:rsidTr="00882ABD">
        <w:trPr>
          <w:trHeight w:val="20"/>
        </w:trPr>
        <w:tc>
          <w:tcPr>
            <w:tcW w:w="1202" w:type="pct"/>
            <w:tcBorders>
              <w:top w:val="single" w:sz="4" w:space="0" w:color="auto"/>
              <w:left w:val="single" w:sz="4" w:space="0" w:color="auto"/>
              <w:bottom w:val="single" w:sz="4" w:space="0" w:color="auto"/>
              <w:right w:val="single" w:sz="4" w:space="0" w:color="auto"/>
            </w:tcBorders>
            <w:shd w:val="clear" w:color="000000" w:fill="auto"/>
          </w:tcPr>
          <w:p w14:paraId="14B5CAF6" w14:textId="77777777" w:rsidR="0090197C" w:rsidRPr="00913E39" w:rsidRDefault="0090197C" w:rsidP="00B05CD9">
            <w:pPr>
              <w:numPr>
                <w:ilvl w:val="1"/>
                <w:numId w:val="46"/>
              </w:numPr>
              <w:spacing w:after="0" w:line="240" w:lineRule="auto"/>
              <w:ind w:left="0" w:firstLine="0"/>
              <w:rPr>
                <w:rFonts w:ascii="Garamond" w:hAnsi="Garamond"/>
                <w:sz w:val="20"/>
                <w:szCs w:val="24"/>
              </w:rPr>
            </w:pPr>
            <w:r w:rsidRPr="00913E39">
              <w:rPr>
                <w:rFonts w:ascii="Garamond" w:hAnsi="Garamond"/>
                <w:sz w:val="20"/>
                <w:szCs w:val="24"/>
              </w:rPr>
              <w:t>…</w:t>
            </w:r>
          </w:p>
        </w:tc>
        <w:tc>
          <w:tcPr>
            <w:tcW w:w="495" w:type="pct"/>
            <w:tcBorders>
              <w:top w:val="single" w:sz="4" w:space="0" w:color="auto"/>
              <w:left w:val="single" w:sz="4" w:space="0" w:color="auto"/>
              <w:bottom w:val="single" w:sz="4" w:space="0" w:color="auto"/>
              <w:right w:val="single" w:sz="4" w:space="0" w:color="auto"/>
            </w:tcBorders>
            <w:shd w:val="clear" w:color="000000" w:fill="auto"/>
          </w:tcPr>
          <w:p w14:paraId="1D37FCA9" w14:textId="77777777" w:rsidR="0090197C" w:rsidRPr="00913E39" w:rsidRDefault="0090197C" w:rsidP="00882ABD">
            <w:pPr>
              <w:spacing w:after="0" w:line="240" w:lineRule="auto"/>
              <w:rPr>
                <w:rFonts w:ascii="Garamond" w:hAnsi="Garamond"/>
                <w:sz w:val="20"/>
                <w:szCs w:val="24"/>
              </w:rPr>
            </w:pPr>
          </w:p>
        </w:tc>
        <w:tc>
          <w:tcPr>
            <w:tcW w:w="679" w:type="pct"/>
            <w:tcBorders>
              <w:top w:val="single" w:sz="4" w:space="0" w:color="auto"/>
              <w:left w:val="single" w:sz="4" w:space="0" w:color="auto"/>
              <w:bottom w:val="single" w:sz="4" w:space="0" w:color="auto"/>
              <w:right w:val="single" w:sz="4" w:space="0" w:color="auto"/>
            </w:tcBorders>
            <w:shd w:val="clear" w:color="000000" w:fill="auto"/>
          </w:tcPr>
          <w:p w14:paraId="07E4A934" w14:textId="77777777" w:rsidR="0090197C" w:rsidRPr="00913E39" w:rsidRDefault="0090197C" w:rsidP="00882ABD">
            <w:pPr>
              <w:spacing w:after="0" w:line="240" w:lineRule="auto"/>
              <w:rPr>
                <w:rFonts w:ascii="Garamond" w:hAnsi="Garamond"/>
                <w:sz w:val="20"/>
                <w:szCs w:val="24"/>
              </w:rPr>
            </w:pPr>
          </w:p>
        </w:tc>
        <w:tc>
          <w:tcPr>
            <w:tcW w:w="679" w:type="pct"/>
            <w:tcBorders>
              <w:top w:val="single" w:sz="4" w:space="0" w:color="auto"/>
              <w:left w:val="single" w:sz="4" w:space="0" w:color="auto"/>
              <w:bottom w:val="single" w:sz="4" w:space="0" w:color="auto"/>
              <w:right w:val="single" w:sz="4" w:space="0" w:color="auto"/>
            </w:tcBorders>
            <w:shd w:val="clear" w:color="000000" w:fill="auto"/>
          </w:tcPr>
          <w:p w14:paraId="6A3BE024" w14:textId="77777777" w:rsidR="0090197C" w:rsidRPr="00913E39" w:rsidRDefault="0090197C" w:rsidP="00882ABD">
            <w:pPr>
              <w:spacing w:after="0" w:line="240" w:lineRule="auto"/>
              <w:rPr>
                <w:rFonts w:ascii="Garamond" w:hAnsi="Garamond"/>
                <w:sz w:val="20"/>
                <w:szCs w:val="24"/>
              </w:rPr>
            </w:pPr>
          </w:p>
        </w:tc>
        <w:tc>
          <w:tcPr>
            <w:tcW w:w="1945" w:type="pct"/>
            <w:tcBorders>
              <w:top w:val="single" w:sz="4" w:space="0" w:color="auto"/>
              <w:left w:val="single" w:sz="4" w:space="0" w:color="auto"/>
              <w:bottom w:val="single" w:sz="4" w:space="0" w:color="auto"/>
              <w:right w:val="single" w:sz="4" w:space="0" w:color="auto"/>
            </w:tcBorders>
            <w:shd w:val="clear" w:color="000000" w:fill="auto"/>
          </w:tcPr>
          <w:p w14:paraId="1612C462" w14:textId="77777777" w:rsidR="0090197C" w:rsidRPr="00913E39" w:rsidRDefault="0090197C" w:rsidP="00882ABD">
            <w:pPr>
              <w:spacing w:after="0" w:line="240" w:lineRule="auto"/>
              <w:rPr>
                <w:rFonts w:ascii="Garamond" w:hAnsi="Garamond"/>
                <w:sz w:val="20"/>
                <w:szCs w:val="24"/>
              </w:rPr>
            </w:pPr>
          </w:p>
        </w:tc>
      </w:tr>
      <w:tr w:rsidR="0090197C" w:rsidRPr="00913E39" w14:paraId="1BA538FB" w14:textId="77777777" w:rsidTr="00882ABD">
        <w:trPr>
          <w:trHeight w:val="20"/>
        </w:trPr>
        <w:tc>
          <w:tcPr>
            <w:tcW w:w="1202" w:type="pct"/>
            <w:tcBorders>
              <w:top w:val="single" w:sz="4" w:space="0" w:color="auto"/>
              <w:left w:val="single" w:sz="4" w:space="0" w:color="auto"/>
              <w:bottom w:val="single" w:sz="4" w:space="0" w:color="auto"/>
              <w:right w:val="single" w:sz="4" w:space="0" w:color="auto"/>
            </w:tcBorders>
            <w:shd w:val="clear" w:color="000000" w:fill="auto"/>
          </w:tcPr>
          <w:p w14:paraId="73A2A3B7" w14:textId="77777777" w:rsidR="0090197C" w:rsidRPr="00913E39" w:rsidRDefault="0090197C" w:rsidP="00B05CD9">
            <w:pPr>
              <w:numPr>
                <w:ilvl w:val="1"/>
                <w:numId w:val="46"/>
              </w:numPr>
              <w:spacing w:after="0" w:line="240" w:lineRule="auto"/>
              <w:ind w:left="0" w:firstLine="0"/>
              <w:rPr>
                <w:rFonts w:ascii="Garamond" w:hAnsi="Garamond"/>
                <w:sz w:val="20"/>
                <w:szCs w:val="24"/>
              </w:rPr>
            </w:pPr>
            <w:r w:rsidRPr="00913E39">
              <w:rPr>
                <w:rFonts w:ascii="Garamond" w:hAnsi="Garamond"/>
                <w:sz w:val="20"/>
                <w:szCs w:val="24"/>
              </w:rPr>
              <w:t>….</w:t>
            </w:r>
          </w:p>
        </w:tc>
        <w:tc>
          <w:tcPr>
            <w:tcW w:w="495" w:type="pct"/>
            <w:tcBorders>
              <w:top w:val="single" w:sz="4" w:space="0" w:color="auto"/>
              <w:left w:val="single" w:sz="4" w:space="0" w:color="auto"/>
              <w:bottom w:val="single" w:sz="4" w:space="0" w:color="auto"/>
              <w:right w:val="single" w:sz="4" w:space="0" w:color="auto"/>
            </w:tcBorders>
            <w:shd w:val="clear" w:color="000000" w:fill="auto"/>
          </w:tcPr>
          <w:p w14:paraId="416F9393" w14:textId="77777777" w:rsidR="0090197C" w:rsidRPr="00913E39" w:rsidRDefault="0090197C" w:rsidP="00882ABD">
            <w:pPr>
              <w:spacing w:after="0" w:line="240" w:lineRule="auto"/>
              <w:rPr>
                <w:rFonts w:ascii="Garamond" w:hAnsi="Garamond"/>
                <w:sz w:val="20"/>
                <w:szCs w:val="24"/>
              </w:rPr>
            </w:pPr>
          </w:p>
        </w:tc>
        <w:tc>
          <w:tcPr>
            <w:tcW w:w="679" w:type="pct"/>
            <w:tcBorders>
              <w:top w:val="single" w:sz="4" w:space="0" w:color="auto"/>
              <w:left w:val="single" w:sz="4" w:space="0" w:color="auto"/>
              <w:bottom w:val="single" w:sz="4" w:space="0" w:color="auto"/>
              <w:right w:val="single" w:sz="4" w:space="0" w:color="auto"/>
            </w:tcBorders>
            <w:shd w:val="clear" w:color="000000" w:fill="auto"/>
          </w:tcPr>
          <w:p w14:paraId="707D3E0C" w14:textId="77777777" w:rsidR="0090197C" w:rsidRPr="00913E39" w:rsidRDefault="0090197C" w:rsidP="00882ABD">
            <w:pPr>
              <w:spacing w:after="0" w:line="240" w:lineRule="auto"/>
              <w:rPr>
                <w:rFonts w:ascii="Garamond" w:hAnsi="Garamond"/>
                <w:sz w:val="20"/>
                <w:szCs w:val="24"/>
              </w:rPr>
            </w:pPr>
          </w:p>
        </w:tc>
        <w:tc>
          <w:tcPr>
            <w:tcW w:w="679" w:type="pct"/>
            <w:tcBorders>
              <w:top w:val="single" w:sz="4" w:space="0" w:color="auto"/>
              <w:left w:val="single" w:sz="4" w:space="0" w:color="auto"/>
              <w:bottom w:val="single" w:sz="4" w:space="0" w:color="auto"/>
              <w:right w:val="single" w:sz="4" w:space="0" w:color="auto"/>
            </w:tcBorders>
            <w:shd w:val="clear" w:color="000000" w:fill="auto"/>
          </w:tcPr>
          <w:p w14:paraId="0FC255C9" w14:textId="77777777" w:rsidR="0090197C" w:rsidRPr="00913E39" w:rsidRDefault="0090197C" w:rsidP="00882ABD">
            <w:pPr>
              <w:spacing w:after="0" w:line="240" w:lineRule="auto"/>
              <w:rPr>
                <w:rFonts w:ascii="Garamond" w:hAnsi="Garamond"/>
                <w:sz w:val="20"/>
                <w:szCs w:val="24"/>
              </w:rPr>
            </w:pPr>
          </w:p>
        </w:tc>
        <w:tc>
          <w:tcPr>
            <w:tcW w:w="1945" w:type="pct"/>
            <w:tcBorders>
              <w:top w:val="single" w:sz="4" w:space="0" w:color="auto"/>
              <w:left w:val="single" w:sz="4" w:space="0" w:color="auto"/>
              <w:bottom w:val="single" w:sz="4" w:space="0" w:color="auto"/>
              <w:right w:val="single" w:sz="4" w:space="0" w:color="auto"/>
            </w:tcBorders>
            <w:shd w:val="clear" w:color="000000" w:fill="auto"/>
          </w:tcPr>
          <w:p w14:paraId="2D61CA93" w14:textId="77777777" w:rsidR="0090197C" w:rsidRPr="00913E39" w:rsidRDefault="0090197C" w:rsidP="00882ABD">
            <w:pPr>
              <w:spacing w:after="0" w:line="240" w:lineRule="auto"/>
              <w:rPr>
                <w:rFonts w:ascii="Garamond" w:hAnsi="Garamond"/>
                <w:sz w:val="20"/>
                <w:szCs w:val="24"/>
              </w:rPr>
            </w:pPr>
          </w:p>
        </w:tc>
      </w:tr>
      <w:tr w:rsidR="0090197C" w:rsidRPr="00913E39" w14:paraId="0CFA8E2F" w14:textId="77777777" w:rsidTr="00882ABD">
        <w:trPr>
          <w:trHeight w:val="20"/>
        </w:trPr>
        <w:tc>
          <w:tcPr>
            <w:tcW w:w="1202" w:type="pct"/>
            <w:shd w:val="clear" w:color="000000" w:fill="auto"/>
          </w:tcPr>
          <w:p w14:paraId="2C87A4EA" w14:textId="77777777" w:rsidR="0090197C" w:rsidRPr="00913E39" w:rsidRDefault="0090197C" w:rsidP="00B05CD9">
            <w:pPr>
              <w:numPr>
                <w:ilvl w:val="0"/>
                <w:numId w:val="46"/>
              </w:numPr>
              <w:spacing w:after="0" w:line="240" w:lineRule="auto"/>
              <w:rPr>
                <w:rFonts w:ascii="Garamond" w:hAnsi="Garamond"/>
                <w:sz w:val="20"/>
                <w:szCs w:val="24"/>
              </w:rPr>
            </w:pPr>
            <w:r w:rsidRPr="00913E39">
              <w:rPr>
                <w:rFonts w:ascii="Garamond" w:hAnsi="Garamond"/>
                <w:sz w:val="20"/>
                <w:szCs w:val="24"/>
              </w:rPr>
              <w:t>Blerja e tokës</w:t>
            </w:r>
          </w:p>
        </w:tc>
        <w:tc>
          <w:tcPr>
            <w:tcW w:w="495" w:type="pct"/>
            <w:shd w:val="clear" w:color="000000" w:fill="auto"/>
          </w:tcPr>
          <w:p w14:paraId="6ACE7388"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0D331009"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679" w:type="pct"/>
            <w:shd w:val="clear" w:color="000000" w:fill="auto"/>
          </w:tcPr>
          <w:p w14:paraId="7AFAE4D6"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1945" w:type="pct"/>
            <w:shd w:val="clear" w:color="000000" w:fill="auto"/>
          </w:tcPr>
          <w:p w14:paraId="0629CF18" w14:textId="77777777" w:rsidR="0090197C" w:rsidRPr="00913E39" w:rsidRDefault="0090197C" w:rsidP="00882ABD">
            <w:pPr>
              <w:spacing w:after="0" w:line="240" w:lineRule="auto"/>
              <w:rPr>
                <w:rFonts w:ascii="Garamond" w:hAnsi="Garamond"/>
                <w:sz w:val="20"/>
                <w:szCs w:val="24"/>
              </w:rPr>
            </w:pPr>
          </w:p>
        </w:tc>
      </w:tr>
      <w:tr w:rsidR="0090197C" w:rsidRPr="00913E39" w14:paraId="39899958" w14:textId="77777777" w:rsidTr="00882ABD">
        <w:trPr>
          <w:trHeight w:val="20"/>
        </w:trPr>
        <w:tc>
          <w:tcPr>
            <w:tcW w:w="1202" w:type="pct"/>
            <w:shd w:val="clear" w:color="000000" w:fill="auto"/>
          </w:tcPr>
          <w:p w14:paraId="032D58FA" w14:textId="77777777" w:rsidR="0090197C" w:rsidRPr="00913E39" w:rsidRDefault="0090197C" w:rsidP="00B05CD9">
            <w:pPr>
              <w:numPr>
                <w:ilvl w:val="0"/>
                <w:numId w:val="46"/>
              </w:numPr>
              <w:spacing w:after="0" w:line="240" w:lineRule="auto"/>
              <w:rPr>
                <w:rFonts w:ascii="Garamond" w:hAnsi="Garamond"/>
                <w:sz w:val="20"/>
                <w:szCs w:val="24"/>
              </w:rPr>
            </w:pPr>
            <w:r w:rsidRPr="00913E39">
              <w:rPr>
                <w:rFonts w:ascii="Garamond" w:hAnsi="Garamond"/>
                <w:sz w:val="20"/>
                <w:szCs w:val="24"/>
              </w:rPr>
              <w:t>Prokurimi dhe procedurat e kontraktimit, përfshirë auditin teknik</w:t>
            </w:r>
          </w:p>
        </w:tc>
        <w:tc>
          <w:tcPr>
            <w:tcW w:w="495" w:type="pct"/>
            <w:shd w:val="clear" w:color="000000" w:fill="auto"/>
          </w:tcPr>
          <w:p w14:paraId="7DBB0F43"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0C457023"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679" w:type="pct"/>
            <w:shd w:val="clear" w:color="000000" w:fill="auto"/>
          </w:tcPr>
          <w:p w14:paraId="5EEB9D65"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1945" w:type="pct"/>
            <w:shd w:val="clear" w:color="000000" w:fill="auto"/>
          </w:tcPr>
          <w:p w14:paraId="10020BC1" w14:textId="77777777" w:rsidR="0090197C" w:rsidRPr="00913E39" w:rsidRDefault="0090197C" w:rsidP="00882ABD">
            <w:pPr>
              <w:spacing w:after="0" w:line="240" w:lineRule="auto"/>
              <w:rPr>
                <w:rFonts w:ascii="Garamond" w:hAnsi="Garamond"/>
                <w:sz w:val="20"/>
                <w:szCs w:val="24"/>
              </w:rPr>
            </w:pPr>
          </w:p>
        </w:tc>
      </w:tr>
      <w:tr w:rsidR="0090197C" w:rsidRPr="00913E39" w14:paraId="2F30FA75" w14:textId="77777777" w:rsidTr="00882ABD">
        <w:trPr>
          <w:trHeight w:val="20"/>
        </w:trPr>
        <w:tc>
          <w:tcPr>
            <w:tcW w:w="1202" w:type="pct"/>
            <w:shd w:val="clear" w:color="000000" w:fill="auto"/>
          </w:tcPr>
          <w:p w14:paraId="6ECCA194" w14:textId="77777777" w:rsidR="0090197C" w:rsidRPr="00913E39" w:rsidRDefault="0090197C" w:rsidP="00B05CD9">
            <w:pPr>
              <w:numPr>
                <w:ilvl w:val="0"/>
                <w:numId w:val="46"/>
              </w:numPr>
              <w:spacing w:after="0" w:line="240" w:lineRule="auto"/>
              <w:rPr>
                <w:rFonts w:ascii="Garamond" w:hAnsi="Garamond"/>
                <w:sz w:val="20"/>
                <w:szCs w:val="24"/>
              </w:rPr>
            </w:pPr>
            <w:r w:rsidRPr="00913E39">
              <w:rPr>
                <w:rFonts w:ascii="Garamond" w:hAnsi="Garamond"/>
                <w:sz w:val="20"/>
                <w:szCs w:val="24"/>
              </w:rPr>
              <w:t>Faza e ndërtimit</w:t>
            </w:r>
          </w:p>
        </w:tc>
        <w:tc>
          <w:tcPr>
            <w:tcW w:w="495" w:type="pct"/>
            <w:shd w:val="clear" w:color="000000" w:fill="auto"/>
          </w:tcPr>
          <w:p w14:paraId="3B5F9816"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5D5A5E6E"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679" w:type="pct"/>
            <w:shd w:val="clear" w:color="000000" w:fill="auto"/>
          </w:tcPr>
          <w:p w14:paraId="6EE58503"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1945" w:type="pct"/>
            <w:shd w:val="clear" w:color="000000" w:fill="auto"/>
          </w:tcPr>
          <w:p w14:paraId="762CC93C" w14:textId="77777777" w:rsidR="0090197C" w:rsidRPr="00913E39" w:rsidRDefault="0090197C" w:rsidP="00882ABD">
            <w:pPr>
              <w:spacing w:after="0" w:line="240" w:lineRule="auto"/>
              <w:rPr>
                <w:rFonts w:ascii="Garamond" w:hAnsi="Garamond"/>
                <w:sz w:val="20"/>
                <w:szCs w:val="24"/>
              </w:rPr>
            </w:pPr>
          </w:p>
        </w:tc>
      </w:tr>
      <w:tr w:rsidR="0090197C" w:rsidRPr="00913E39" w14:paraId="223AC44A" w14:textId="77777777" w:rsidTr="00882ABD">
        <w:trPr>
          <w:trHeight w:val="20"/>
        </w:trPr>
        <w:tc>
          <w:tcPr>
            <w:tcW w:w="1202" w:type="pct"/>
            <w:shd w:val="clear" w:color="000000" w:fill="auto"/>
          </w:tcPr>
          <w:p w14:paraId="0505377E" w14:textId="77777777" w:rsidR="0090197C" w:rsidRPr="00913E39" w:rsidRDefault="0090197C" w:rsidP="00B05CD9">
            <w:pPr>
              <w:numPr>
                <w:ilvl w:val="0"/>
                <w:numId w:val="46"/>
              </w:numPr>
              <w:spacing w:after="0" w:line="240" w:lineRule="auto"/>
              <w:rPr>
                <w:rFonts w:ascii="Garamond" w:hAnsi="Garamond"/>
                <w:sz w:val="20"/>
                <w:szCs w:val="24"/>
              </w:rPr>
            </w:pPr>
            <w:r w:rsidRPr="00913E39">
              <w:rPr>
                <w:rFonts w:ascii="Garamond" w:hAnsi="Garamond"/>
                <w:sz w:val="20"/>
                <w:szCs w:val="24"/>
              </w:rPr>
              <w:t>Periudha për njoftimin e defektit</w:t>
            </w:r>
          </w:p>
        </w:tc>
        <w:tc>
          <w:tcPr>
            <w:tcW w:w="495" w:type="pct"/>
            <w:shd w:val="clear" w:color="000000" w:fill="auto"/>
          </w:tcPr>
          <w:p w14:paraId="342EA036"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7BC4FD5F"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679" w:type="pct"/>
            <w:shd w:val="clear" w:color="000000" w:fill="auto"/>
          </w:tcPr>
          <w:p w14:paraId="4F3929D6"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1945" w:type="pct"/>
            <w:shd w:val="clear" w:color="000000" w:fill="auto"/>
          </w:tcPr>
          <w:p w14:paraId="5F06C830" w14:textId="77777777" w:rsidR="0090197C" w:rsidRPr="00913E39" w:rsidRDefault="0090197C" w:rsidP="00882ABD">
            <w:pPr>
              <w:spacing w:after="0" w:line="240" w:lineRule="auto"/>
              <w:rPr>
                <w:rFonts w:ascii="Garamond" w:hAnsi="Garamond"/>
                <w:sz w:val="20"/>
                <w:szCs w:val="24"/>
              </w:rPr>
            </w:pPr>
          </w:p>
        </w:tc>
      </w:tr>
      <w:tr w:rsidR="0090197C" w:rsidRPr="00913E39" w14:paraId="7EC80721" w14:textId="77777777" w:rsidTr="00882ABD">
        <w:trPr>
          <w:trHeight w:val="20"/>
        </w:trPr>
        <w:tc>
          <w:tcPr>
            <w:tcW w:w="1202" w:type="pct"/>
            <w:shd w:val="clear" w:color="000000" w:fill="auto"/>
          </w:tcPr>
          <w:p w14:paraId="4388FF1C" w14:textId="77777777" w:rsidR="0090197C" w:rsidRPr="00913E39" w:rsidRDefault="0090197C" w:rsidP="00B05CD9">
            <w:pPr>
              <w:numPr>
                <w:ilvl w:val="0"/>
                <w:numId w:val="46"/>
              </w:numPr>
              <w:spacing w:after="0" w:line="240" w:lineRule="auto"/>
              <w:rPr>
                <w:rFonts w:ascii="Garamond" w:hAnsi="Garamond"/>
                <w:sz w:val="20"/>
                <w:szCs w:val="24"/>
              </w:rPr>
            </w:pPr>
            <w:r w:rsidRPr="00913E39">
              <w:rPr>
                <w:rFonts w:ascii="Garamond" w:hAnsi="Garamond"/>
                <w:sz w:val="20"/>
                <w:szCs w:val="24"/>
              </w:rPr>
              <w:t>Faza operacionale</w:t>
            </w:r>
          </w:p>
        </w:tc>
        <w:tc>
          <w:tcPr>
            <w:tcW w:w="495" w:type="pct"/>
            <w:shd w:val="clear" w:color="000000" w:fill="auto"/>
          </w:tcPr>
          <w:p w14:paraId="79AF9FCC" w14:textId="77777777" w:rsidR="0090197C" w:rsidRPr="00913E39" w:rsidRDefault="0090197C" w:rsidP="00882ABD">
            <w:pPr>
              <w:spacing w:after="0" w:line="240" w:lineRule="auto"/>
              <w:rPr>
                <w:rFonts w:ascii="Garamond" w:hAnsi="Garamond"/>
                <w:sz w:val="20"/>
                <w:szCs w:val="24"/>
              </w:rPr>
            </w:pPr>
          </w:p>
        </w:tc>
        <w:tc>
          <w:tcPr>
            <w:tcW w:w="679" w:type="pct"/>
            <w:shd w:val="clear" w:color="000000" w:fill="auto"/>
          </w:tcPr>
          <w:p w14:paraId="61925203"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679" w:type="pct"/>
            <w:shd w:val="clear" w:color="000000" w:fill="auto"/>
          </w:tcPr>
          <w:p w14:paraId="45613580"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dd/mm/vvvv</w:t>
            </w:r>
          </w:p>
        </w:tc>
        <w:tc>
          <w:tcPr>
            <w:tcW w:w="1945" w:type="pct"/>
            <w:shd w:val="clear" w:color="000000" w:fill="auto"/>
          </w:tcPr>
          <w:p w14:paraId="3D4E455E" w14:textId="77777777" w:rsidR="0090197C" w:rsidRPr="00913E39" w:rsidRDefault="0090197C" w:rsidP="00882ABD">
            <w:pPr>
              <w:spacing w:after="0" w:line="240" w:lineRule="auto"/>
              <w:rPr>
                <w:rFonts w:ascii="Garamond" w:hAnsi="Garamond"/>
                <w:sz w:val="20"/>
                <w:szCs w:val="24"/>
              </w:rPr>
            </w:pPr>
          </w:p>
        </w:tc>
      </w:tr>
    </w:tbl>
    <w:p w14:paraId="2BA2CBBA" w14:textId="77777777" w:rsidR="0003243A" w:rsidRPr="00913E39" w:rsidRDefault="0003243A" w:rsidP="0003243A">
      <w:pPr>
        <w:pStyle w:val="Heading2"/>
        <w:spacing w:before="0" w:after="0"/>
        <w:ind w:firstLine="284"/>
        <w:jc w:val="both"/>
        <w:rPr>
          <w:rFonts w:ascii="Garamond" w:hAnsi="Garamond"/>
          <w:sz w:val="24"/>
          <w:lang w:val="sq-AL"/>
        </w:rPr>
      </w:pPr>
    </w:p>
    <w:p w14:paraId="5AC670FA" w14:textId="1F6E61C9" w:rsidR="0090197C" w:rsidRPr="00913E39" w:rsidRDefault="0090197C" w:rsidP="0003243A">
      <w:pPr>
        <w:pStyle w:val="Heading2"/>
        <w:spacing w:before="0" w:after="0"/>
        <w:ind w:firstLine="284"/>
        <w:jc w:val="both"/>
        <w:rPr>
          <w:rFonts w:ascii="Garamond" w:hAnsi="Garamond"/>
          <w:b w:val="0"/>
          <w:sz w:val="24"/>
          <w:lang w:val="sq-AL"/>
        </w:rPr>
      </w:pPr>
      <w:r w:rsidRPr="00913E39">
        <w:rPr>
          <w:rFonts w:ascii="Garamond" w:hAnsi="Garamond"/>
          <w:b w:val="0"/>
          <w:sz w:val="24"/>
          <w:lang w:val="sq-AL"/>
        </w:rPr>
        <w:t>3.2 Konteksti administrativ dhe kërkesat</w:t>
      </w:r>
    </w:p>
    <w:p w14:paraId="09E9078E" w14:textId="35D7F4F0" w:rsidR="0090197C" w:rsidRPr="00913E39" w:rsidRDefault="0090197C" w:rsidP="0003243A">
      <w:pPr>
        <w:spacing w:after="0" w:line="240" w:lineRule="auto"/>
        <w:ind w:firstLine="284"/>
        <w:jc w:val="both"/>
        <w:rPr>
          <w:rFonts w:ascii="Garamond" w:hAnsi="Garamond"/>
          <w:sz w:val="24"/>
          <w:szCs w:val="24"/>
        </w:rPr>
      </w:pPr>
      <w:r w:rsidRPr="00913E39">
        <w:rPr>
          <w:rFonts w:ascii="Garamond" w:hAnsi="Garamond"/>
          <w:sz w:val="24"/>
          <w:szCs w:val="24"/>
        </w:rPr>
        <w:t>[Nëse nuk përmendet tashmë në 3.1, jepni një listë të dokumenteve ligjore dhe administrative (vendime, autorizime, VNM, blerja e tokës, ftesa për tender, lejet etj.)</w:t>
      </w:r>
      <w:r w:rsidR="00907AC1" w:rsidRPr="00913E39">
        <w:rPr>
          <w:rFonts w:ascii="Garamond" w:hAnsi="Garamond"/>
          <w:sz w:val="24"/>
          <w:szCs w:val="24"/>
        </w:rPr>
        <w:t>,</w:t>
      </w:r>
      <w:r w:rsidRPr="00913E39">
        <w:rPr>
          <w:rFonts w:ascii="Garamond" w:hAnsi="Garamond"/>
          <w:sz w:val="24"/>
          <w:szCs w:val="24"/>
        </w:rPr>
        <w:t xml:space="preserve"> që do të kërkoheshin për zbatimin e projektit. Tregoni se cilat dokumente janë marrë tashmë dhe jepni datat e treguara për marrjen e dokumenteve të mbetura.]</w:t>
      </w:r>
    </w:p>
    <w:p w14:paraId="4BD3992B" w14:textId="7C634BC5" w:rsidR="0090197C" w:rsidRPr="00913E39" w:rsidRDefault="0090197C" w:rsidP="0003243A">
      <w:pPr>
        <w:pStyle w:val="Heading2"/>
        <w:spacing w:before="0" w:after="0"/>
        <w:ind w:firstLine="284"/>
        <w:jc w:val="both"/>
        <w:rPr>
          <w:rFonts w:ascii="Garamond" w:hAnsi="Garamond"/>
          <w:b w:val="0"/>
          <w:sz w:val="24"/>
          <w:lang w:val="sq-AL"/>
        </w:rPr>
      </w:pPr>
      <w:bookmarkStart w:id="82" w:name="_Hlk131164897"/>
      <w:r w:rsidRPr="00913E39">
        <w:rPr>
          <w:rFonts w:ascii="Garamond" w:hAnsi="Garamond"/>
          <w:b w:val="0"/>
          <w:sz w:val="24"/>
          <w:lang w:val="sq-AL"/>
        </w:rPr>
        <w:t xml:space="preserve">3.3 Fizibiliteti dhe </w:t>
      </w:r>
      <w:r w:rsidR="00907AC1" w:rsidRPr="00913E39">
        <w:rPr>
          <w:rFonts w:ascii="Garamond" w:hAnsi="Garamond"/>
          <w:b w:val="0"/>
          <w:sz w:val="24"/>
          <w:lang w:val="sq-AL"/>
        </w:rPr>
        <w:t>p</w:t>
      </w:r>
      <w:r w:rsidRPr="00913E39">
        <w:rPr>
          <w:rFonts w:ascii="Garamond" w:hAnsi="Garamond"/>
          <w:b w:val="0"/>
          <w:sz w:val="24"/>
          <w:lang w:val="sq-AL"/>
        </w:rPr>
        <w:t>ërmbushja e Projektit</w:t>
      </w:r>
    </w:p>
    <w:bookmarkEnd w:id="82"/>
    <w:p w14:paraId="0FA7E482" w14:textId="77777777" w:rsidR="0090197C" w:rsidRPr="00913E39" w:rsidRDefault="0090197C" w:rsidP="0003243A">
      <w:pPr>
        <w:tabs>
          <w:tab w:val="left" w:pos="426"/>
        </w:tabs>
        <w:spacing w:after="0" w:line="240" w:lineRule="auto"/>
        <w:ind w:firstLine="284"/>
        <w:jc w:val="both"/>
        <w:rPr>
          <w:rFonts w:ascii="Garamond" w:hAnsi="Garamond"/>
          <w:sz w:val="24"/>
          <w:szCs w:val="24"/>
        </w:rPr>
      </w:pPr>
      <w:r w:rsidRPr="00913E39">
        <w:rPr>
          <w:rFonts w:ascii="Garamond" w:hAnsi="Garamond"/>
          <w:sz w:val="24"/>
          <w:szCs w:val="24"/>
        </w:rPr>
        <w:t xml:space="preserve">[Përmblidhni metodologjinë dhe rezultatet kryesore të fazës përgatitore.] </w:t>
      </w:r>
    </w:p>
    <w:p w14:paraId="36F6198E" w14:textId="42893167" w:rsidR="0090197C" w:rsidRPr="00913E39" w:rsidRDefault="0090197C" w:rsidP="0003243A">
      <w:pPr>
        <w:spacing w:after="0" w:line="240" w:lineRule="auto"/>
        <w:ind w:firstLine="284"/>
        <w:jc w:val="both"/>
        <w:rPr>
          <w:rFonts w:ascii="Garamond" w:hAnsi="Garamond"/>
          <w:i/>
          <w:sz w:val="24"/>
          <w:szCs w:val="24"/>
        </w:rPr>
      </w:pPr>
      <w:bookmarkStart w:id="83" w:name="_Toc142287268"/>
      <w:r w:rsidRPr="00913E39">
        <w:rPr>
          <w:rFonts w:ascii="Garamond" w:hAnsi="Garamond"/>
          <w:i/>
          <w:sz w:val="24"/>
          <w:szCs w:val="24"/>
        </w:rPr>
        <w:t xml:space="preserve">3.3.1 Studime </w:t>
      </w:r>
      <w:r w:rsidR="00907AC1" w:rsidRPr="00913E39">
        <w:rPr>
          <w:rFonts w:ascii="Garamond" w:hAnsi="Garamond"/>
          <w:i/>
          <w:sz w:val="24"/>
          <w:szCs w:val="24"/>
        </w:rPr>
        <w:t>f</w:t>
      </w:r>
      <w:r w:rsidRPr="00913E39">
        <w:rPr>
          <w:rFonts w:ascii="Garamond" w:hAnsi="Garamond"/>
          <w:i/>
          <w:sz w:val="24"/>
          <w:szCs w:val="24"/>
        </w:rPr>
        <w:t>izibiliteti</w:t>
      </w:r>
    </w:p>
    <w:p w14:paraId="1A3F3D9F" w14:textId="7CC47C3D" w:rsidR="0090197C" w:rsidRPr="00913E39" w:rsidRDefault="0090197C" w:rsidP="0003243A">
      <w:pPr>
        <w:spacing w:after="0" w:line="240" w:lineRule="auto"/>
        <w:ind w:firstLine="284"/>
        <w:jc w:val="both"/>
        <w:rPr>
          <w:rFonts w:ascii="Garamond" w:hAnsi="Garamond"/>
          <w:sz w:val="24"/>
          <w:szCs w:val="24"/>
        </w:rPr>
      </w:pPr>
      <w:r w:rsidRPr="00913E39">
        <w:rPr>
          <w:rFonts w:ascii="Garamond" w:hAnsi="Garamond"/>
          <w:sz w:val="24"/>
          <w:szCs w:val="24"/>
        </w:rPr>
        <w:t>[Specifikoni nëse ndihma e Bashkimit E</w:t>
      </w:r>
      <w:r w:rsidR="00907AC1" w:rsidRPr="00913E39">
        <w:rPr>
          <w:rFonts w:ascii="Garamond" w:hAnsi="Garamond"/>
          <w:sz w:val="24"/>
          <w:szCs w:val="24"/>
        </w:rPr>
        <w:t>v</w:t>
      </w:r>
      <w:r w:rsidRPr="00913E39">
        <w:rPr>
          <w:rFonts w:ascii="Garamond" w:hAnsi="Garamond"/>
          <w:sz w:val="24"/>
          <w:szCs w:val="24"/>
        </w:rPr>
        <w:t>ropian është/ka qenë e përfshirë në financimin e studimeve të fizibilitetit]</w:t>
      </w:r>
    </w:p>
    <w:p w14:paraId="072BB8DC" w14:textId="77777777" w:rsidR="0090197C" w:rsidRPr="00913E39" w:rsidRDefault="0090197C" w:rsidP="0003243A">
      <w:pPr>
        <w:spacing w:after="0" w:line="240" w:lineRule="auto"/>
        <w:ind w:firstLine="284"/>
        <w:jc w:val="both"/>
        <w:rPr>
          <w:rFonts w:ascii="Garamond" w:hAnsi="Garamond"/>
          <w:sz w:val="24"/>
          <w:szCs w:val="24"/>
        </w:rPr>
      </w:pPr>
      <w:r w:rsidRPr="00913E39">
        <w:rPr>
          <w:rFonts w:ascii="Garamond" w:hAnsi="Garamond"/>
          <w:sz w:val="24"/>
          <w:szCs w:val="24"/>
        </w:rPr>
        <w:t>[Përshkrimi i situatës ashtu siç është (përpara projektit) + problemet e hasura]</w:t>
      </w:r>
    </w:p>
    <w:p w14:paraId="335F76F6" w14:textId="77777777" w:rsidR="0090197C" w:rsidRPr="00913E39" w:rsidRDefault="0090197C" w:rsidP="0003243A">
      <w:pPr>
        <w:spacing w:after="0" w:line="240" w:lineRule="auto"/>
        <w:ind w:firstLine="284"/>
        <w:jc w:val="both"/>
        <w:rPr>
          <w:rFonts w:ascii="Garamond" w:hAnsi="Garamond"/>
          <w:i/>
          <w:sz w:val="24"/>
          <w:szCs w:val="24"/>
        </w:rPr>
      </w:pPr>
      <w:r w:rsidRPr="00913E39">
        <w:rPr>
          <w:rFonts w:ascii="Garamond" w:hAnsi="Garamond"/>
          <w:i/>
          <w:sz w:val="24"/>
          <w:szCs w:val="24"/>
        </w:rPr>
        <w:t>a) Analiza e kërkesës</w:t>
      </w:r>
    </w:p>
    <w:bookmarkEnd w:id="83"/>
    <w:p w14:paraId="70638731" w14:textId="77777777" w:rsidR="0090197C" w:rsidRPr="00913E39" w:rsidRDefault="0090197C" w:rsidP="0003243A">
      <w:pPr>
        <w:spacing w:after="0" w:line="240" w:lineRule="auto"/>
        <w:ind w:firstLine="284"/>
        <w:jc w:val="both"/>
        <w:rPr>
          <w:rFonts w:ascii="Garamond" w:hAnsi="Garamond"/>
          <w:sz w:val="24"/>
          <w:szCs w:val="24"/>
        </w:rPr>
      </w:pPr>
      <w:r w:rsidRPr="00913E39">
        <w:rPr>
          <w:rFonts w:ascii="Garamond" w:hAnsi="Garamond"/>
          <w:sz w:val="24"/>
          <w:szCs w:val="24"/>
        </w:rPr>
        <w:t>[Jepni një përmbledhje të analizës së kërkesës, duke përfshirë normën e parashikuar të përdorimit pas përfundimit dhe normën e rritjes së kërkesës.]</w:t>
      </w:r>
    </w:p>
    <w:p w14:paraId="35465C1C" w14:textId="77777777" w:rsidR="0090197C" w:rsidRPr="00913E39" w:rsidRDefault="0090197C" w:rsidP="0003243A">
      <w:pPr>
        <w:spacing w:after="0" w:line="240" w:lineRule="auto"/>
        <w:ind w:firstLine="284"/>
        <w:jc w:val="both"/>
        <w:rPr>
          <w:rFonts w:ascii="Garamond" w:hAnsi="Garamond"/>
          <w:i/>
          <w:sz w:val="24"/>
          <w:szCs w:val="24"/>
        </w:rPr>
      </w:pPr>
      <w:bookmarkStart w:id="84" w:name="_Toc142287269"/>
      <w:r w:rsidRPr="00913E39">
        <w:rPr>
          <w:rFonts w:ascii="Garamond" w:hAnsi="Garamond"/>
          <w:i/>
          <w:sz w:val="24"/>
          <w:szCs w:val="24"/>
        </w:rPr>
        <w:t>b) Opsionet e shqyrtuara</w:t>
      </w:r>
      <w:bookmarkEnd w:id="84"/>
    </w:p>
    <w:p w14:paraId="67487B02" w14:textId="77777777" w:rsidR="0090197C" w:rsidRPr="00913E39" w:rsidRDefault="0090197C" w:rsidP="0003243A">
      <w:pPr>
        <w:spacing w:after="0" w:line="240" w:lineRule="auto"/>
        <w:ind w:firstLine="284"/>
        <w:jc w:val="both"/>
        <w:rPr>
          <w:rFonts w:ascii="Garamond" w:hAnsi="Garamond"/>
          <w:sz w:val="24"/>
          <w:szCs w:val="24"/>
        </w:rPr>
      </w:pPr>
      <w:r w:rsidRPr="00913E39">
        <w:rPr>
          <w:rFonts w:ascii="Garamond" w:hAnsi="Garamond"/>
          <w:sz w:val="24"/>
          <w:szCs w:val="24"/>
        </w:rPr>
        <w:t>[Paraqisni opsionet alternative të konsideruara në studimet e fizibilitetit.]</w:t>
      </w:r>
    </w:p>
    <w:p w14:paraId="62A3D796" w14:textId="77777777" w:rsidR="0090197C" w:rsidRPr="00913E39" w:rsidRDefault="0090197C" w:rsidP="0003243A">
      <w:pPr>
        <w:spacing w:after="0" w:line="240" w:lineRule="auto"/>
        <w:ind w:firstLine="284"/>
        <w:jc w:val="both"/>
        <w:rPr>
          <w:rFonts w:ascii="Garamond" w:hAnsi="Garamond"/>
          <w:i/>
          <w:sz w:val="24"/>
          <w:szCs w:val="24"/>
        </w:rPr>
      </w:pPr>
      <w:bookmarkStart w:id="85" w:name="_Hlk131164926"/>
      <w:r w:rsidRPr="00913E39">
        <w:rPr>
          <w:rFonts w:ascii="Garamond" w:hAnsi="Garamond"/>
          <w:i/>
          <w:sz w:val="24"/>
          <w:szCs w:val="24"/>
        </w:rPr>
        <w:t xml:space="preserve">Përshkrimi teknik i infrastrukturës së propozuar </w:t>
      </w:r>
    </w:p>
    <w:bookmarkEnd w:id="85"/>
    <w:p w14:paraId="429289DB" w14:textId="77777777" w:rsidR="0090197C" w:rsidRPr="00913E39" w:rsidRDefault="0090197C" w:rsidP="0003243A">
      <w:pPr>
        <w:spacing w:after="0" w:line="240" w:lineRule="auto"/>
        <w:ind w:firstLine="284"/>
        <w:jc w:val="both"/>
        <w:rPr>
          <w:rFonts w:ascii="Garamond" w:hAnsi="Garamond"/>
          <w:sz w:val="24"/>
          <w:szCs w:val="24"/>
        </w:rPr>
      </w:pPr>
      <w:r w:rsidRPr="00913E39">
        <w:rPr>
          <w:rFonts w:ascii="Garamond" w:hAnsi="Garamond"/>
          <w:sz w:val="24"/>
          <w:szCs w:val="24"/>
        </w:rPr>
        <w:t>[Përshkrim i shkurtër teknik i projektit, duke përfshirë kapacitetin e parashikuar të infrastrukturës kryesore, justifikimin e objektit të projektit dhe madhësinë e projektit në kontekstin e kërkesës së parashikuar, përfshirë çdo element të projektit, një përshkrim të teknologjive dhe infrastrukturës që do të përdoret dhe standardet teknike përkatëse që janë përdorur. Përshkrimi teknik i projektit duhet të shoqërohet me hartat e nevojshme të strukturës.]</w:t>
      </w:r>
    </w:p>
    <w:p w14:paraId="0ABF73C6" w14:textId="77777777" w:rsidR="0090197C" w:rsidRPr="00913E39" w:rsidRDefault="0090197C" w:rsidP="0003243A">
      <w:pPr>
        <w:spacing w:after="0" w:line="240" w:lineRule="auto"/>
        <w:ind w:firstLine="284"/>
        <w:jc w:val="both"/>
        <w:rPr>
          <w:rFonts w:ascii="Garamond" w:hAnsi="Garamond"/>
          <w:i/>
          <w:sz w:val="24"/>
          <w:szCs w:val="24"/>
        </w:rPr>
      </w:pPr>
      <w:r w:rsidRPr="00913E39">
        <w:rPr>
          <w:rFonts w:ascii="Garamond" w:hAnsi="Garamond"/>
          <w:i/>
          <w:sz w:val="24"/>
          <w:szCs w:val="24"/>
        </w:rPr>
        <w:t>Përllogaritjet e kostos së projektit</w:t>
      </w:r>
    </w:p>
    <w:p w14:paraId="6DC924E8" w14:textId="77777777" w:rsidR="0090197C" w:rsidRPr="00913E39" w:rsidRDefault="0090197C" w:rsidP="0003243A">
      <w:pPr>
        <w:spacing w:after="0" w:line="240" w:lineRule="auto"/>
        <w:ind w:firstLine="284"/>
        <w:jc w:val="both"/>
        <w:rPr>
          <w:rFonts w:ascii="Garamond" w:hAnsi="Garamond"/>
          <w:sz w:val="24"/>
          <w:szCs w:val="24"/>
        </w:rPr>
      </w:pPr>
      <w:r w:rsidRPr="00913E39">
        <w:rPr>
          <w:rFonts w:ascii="Garamond" w:hAnsi="Garamond"/>
          <w:sz w:val="24"/>
          <w:szCs w:val="24"/>
        </w:rPr>
        <w:t>[Përshkruani metodologjinë e përdorur për të përllogaritur kostot dhe një zbërthim me norma njësie dhe një përmbledhje të preventivit, nëse ka.]</w:t>
      </w:r>
    </w:p>
    <w:p w14:paraId="5899B80A" w14:textId="77777777" w:rsidR="0090197C" w:rsidRPr="00913E39" w:rsidRDefault="0090197C" w:rsidP="00E8580A">
      <w:pPr>
        <w:spacing w:after="0" w:line="240" w:lineRule="auto"/>
        <w:ind w:firstLine="284"/>
        <w:rPr>
          <w:rFonts w:ascii="Garamond" w:hAnsi="Garamond"/>
          <w:i/>
          <w:sz w:val="24"/>
          <w:szCs w:val="24"/>
        </w:rPr>
      </w:pPr>
      <w:r w:rsidRPr="00913E39">
        <w:rPr>
          <w:rFonts w:ascii="Garamond" w:hAnsi="Garamond"/>
          <w:i/>
          <w:sz w:val="24"/>
          <w:szCs w:val="24"/>
        </w:rPr>
        <w:t xml:space="preserve"> Faza e zbatimit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3"/>
        <w:gridCol w:w="703"/>
        <w:gridCol w:w="702"/>
      </w:tblGrid>
      <w:tr w:rsidR="0090197C" w:rsidRPr="00913E39" w14:paraId="1A144991" w14:textId="77777777" w:rsidTr="009C2266">
        <w:tc>
          <w:tcPr>
            <w:tcW w:w="6946" w:type="dxa"/>
            <w:tcBorders>
              <w:top w:val="nil"/>
              <w:left w:val="nil"/>
              <w:bottom w:val="single" w:sz="4" w:space="0" w:color="auto"/>
              <w:right w:val="single" w:sz="4" w:space="0" w:color="auto"/>
            </w:tcBorders>
            <w:shd w:val="clear" w:color="auto" w:fill="auto"/>
          </w:tcPr>
          <w:p w14:paraId="1C3636DF" w14:textId="77777777" w:rsidR="0090197C" w:rsidRPr="00913E39" w:rsidRDefault="0090197C" w:rsidP="00882ABD">
            <w:pPr>
              <w:spacing w:after="0" w:line="240" w:lineRule="auto"/>
              <w:rPr>
                <w:rFonts w:ascii="Garamond" w:hAnsi="Garamond"/>
                <w:i/>
                <w:sz w:val="20"/>
                <w:szCs w:val="24"/>
              </w:rPr>
            </w:pPr>
          </w:p>
        </w:tc>
        <w:tc>
          <w:tcPr>
            <w:tcW w:w="709" w:type="dxa"/>
            <w:tcBorders>
              <w:left w:val="single" w:sz="4" w:space="0" w:color="auto"/>
              <w:bottom w:val="single" w:sz="4" w:space="0" w:color="auto"/>
            </w:tcBorders>
            <w:shd w:val="clear" w:color="auto" w:fill="auto"/>
          </w:tcPr>
          <w:p w14:paraId="66E3B751"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Po</w:t>
            </w:r>
          </w:p>
        </w:tc>
        <w:tc>
          <w:tcPr>
            <w:tcW w:w="708" w:type="dxa"/>
            <w:tcBorders>
              <w:bottom w:val="single" w:sz="4" w:space="0" w:color="auto"/>
            </w:tcBorders>
            <w:shd w:val="clear" w:color="auto" w:fill="auto"/>
          </w:tcPr>
          <w:p w14:paraId="48FC8201"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Jo</w:t>
            </w:r>
          </w:p>
        </w:tc>
      </w:tr>
      <w:tr w:rsidR="0090197C" w:rsidRPr="00913E39" w14:paraId="1D8F35DF" w14:textId="77777777" w:rsidTr="009C2266">
        <w:tc>
          <w:tcPr>
            <w:tcW w:w="6946" w:type="dxa"/>
            <w:tcBorders>
              <w:top w:val="nil"/>
              <w:left w:val="nil"/>
              <w:bottom w:val="single" w:sz="4" w:space="0" w:color="auto"/>
              <w:right w:val="single" w:sz="4" w:space="0" w:color="auto"/>
            </w:tcBorders>
            <w:shd w:val="clear" w:color="auto" w:fill="auto"/>
          </w:tcPr>
          <w:p w14:paraId="1756F40E" w14:textId="77777777" w:rsidR="0090197C" w:rsidRPr="00913E39" w:rsidRDefault="0090197C" w:rsidP="00882ABD">
            <w:pPr>
              <w:spacing w:after="0" w:line="240" w:lineRule="auto"/>
              <w:rPr>
                <w:rFonts w:ascii="Garamond" w:hAnsi="Garamond"/>
                <w:i/>
                <w:sz w:val="20"/>
                <w:szCs w:val="24"/>
              </w:rPr>
            </w:pPr>
          </w:p>
        </w:tc>
        <w:tc>
          <w:tcPr>
            <w:tcW w:w="709" w:type="dxa"/>
            <w:tcBorders>
              <w:left w:val="single" w:sz="4" w:space="0" w:color="auto"/>
              <w:bottom w:val="single" w:sz="4" w:space="0" w:color="auto"/>
            </w:tcBorders>
            <w:shd w:val="clear" w:color="auto" w:fill="auto"/>
          </w:tcPr>
          <w:p w14:paraId="7DDD6F49" w14:textId="77777777" w:rsidR="0090197C" w:rsidRPr="00913E39" w:rsidRDefault="0090197C" w:rsidP="00882ABD">
            <w:pPr>
              <w:spacing w:after="0" w:line="240" w:lineRule="auto"/>
              <w:jc w:val="center"/>
              <w:rPr>
                <w:rFonts w:ascii="Garamond" w:hAnsi="Garamond"/>
                <w:i/>
                <w:sz w:val="20"/>
                <w:szCs w:val="24"/>
              </w:rPr>
            </w:pPr>
          </w:p>
        </w:tc>
        <w:tc>
          <w:tcPr>
            <w:tcW w:w="708" w:type="dxa"/>
            <w:tcBorders>
              <w:bottom w:val="single" w:sz="4" w:space="0" w:color="auto"/>
            </w:tcBorders>
            <w:shd w:val="clear" w:color="auto" w:fill="auto"/>
          </w:tcPr>
          <w:p w14:paraId="3303382F" w14:textId="77777777" w:rsidR="0090197C" w:rsidRPr="00913E39" w:rsidRDefault="0090197C" w:rsidP="00882ABD">
            <w:pPr>
              <w:spacing w:after="0" w:line="240" w:lineRule="auto"/>
              <w:jc w:val="center"/>
              <w:rPr>
                <w:rFonts w:ascii="Garamond" w:hAnsi="Garamond"/>
                <w:i/>
                <w:sz w:val="20"/>
                <w:szCs w:val="24"/>
              </w:rPr>
            </w:pPr>
          </w:p>
        </w:tc>
      </w:tr>
      <w:tr w:rsidR="0090197C" w:rsidRPr="00913E39" w14:paraId="76F81B0C" w14:textId="77777777" w:rsidTr="009C2266">
        <w:tc>
          <w:tcPr>
            <w:tcW w:w="6946" w:type="dxa"/>
            <w:tcBorders>
              <w:top w:val="single" w:sz="4" w:space="0" w:color="auto"/>
              <w:bottom w:val="single" w:sz="4" w:space="0" w:color="auto"/>
            </w:tcBorders>
            <w:shd w:val="clear" w:color="auto" w:fill="auto"/>
          </w:tcPr>
          <w:p w14:paraId="1A127AD7"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A është organizuar projekti i plotë me faza?</w:t>
            </w:r>
          </w:p>
        </w:tc>
        <w:tc>
          <w:tcPr>
            <w:tcW w:w="709" w:type="dxa"/>
            <w:tcBorders>
              <w:top w:val="single" w:sz="4" w:space="0" w:color="auto"/>
              <w:bottom w:val="single" w:sz="4" w:space="0" w:color="auto"/>
            </w:tcBorders>
            <w:shd w:val="clear" w:color="auto" w:fill="auto"/>
          </w:tcPr>
          <w:p w14:paraId="51FF40E1" w14:textId="77777777" w:rsidR="0090197C" w:rsidRPr="00913E39" w:rsidRDefault="0090197C" w:rsidP="00882ABD">
            <w:pPr>
              <w:spacing w:after="0" w:line="240" w:lineRule="auto"/>
              <w:rPr>
                <w:rFonts w:ascii="Garamond" w:hAnsi="Garamond"/>
                <w:i/>
                <w:sz w:val="20"/>
                <w:szCs w:val="24"/>
              </w:rPr>
            </w:pPr>
          </w:p>
        </w:tc>
        <w:tc>
          <w:tcPr>
            <w:tcW w:w="708" w:type="dxa"/>
            <w:tcBorders>
              <w:top w:val="single" w:sz="4" w:space="0" w:color="auto"/>
              <w:bottom w:val="single" w:sz="4" w:space="0" w:color="auto"/>
            </w:tcBorders>
            <w:shd w:val="clear" w:color="auto" w:fill="auto"/>
          </w:tcPr>
          <w:p w14:paraId="4868C91C" w14:textId="77777777" w:rsidR="0090197C" w:rsidRPr="00913E39" w:rsidRDefault="0090197C" w:rsidP="00882ABD">
            <w:pPr>
              <w:spacing w:after="0" w:line="240" w:lineRule="auto"/>
              <w:rPr>
                <w:rFonts w:ascii="Garamond" w:hAnsi="Garamond"/>
                <w:i/>
                <w:sz w:val="20"/>
                <w:szCs w:val="24"/>
              </w:rPr>
            </w:pPr>
          </w:p>
        </w:tc>
      </w:tr>
      <w:tr w:rsidR="0090197C" w:rsidRPr="00913E39" w14:paraId="71C32297" w14:textId="77777777" w:rsidTr="009C2266">
        <w:tc>
          <w:tcPr>
            <w:tcW w:w="6946" w:type="dxa"/>
            <w:tcBorders>
              <w:top w:val="single" w:sz="4" w:space="0" w:color="auto"/>
            </w:tcBorders>
            <w:shd w:val="clear" w:color="auto" w:fill="auto"/>
          </w:tcPr>
          <w:p w14:paraId="2732A06F"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A ka filluar tashmë projekti?</w:t>
            </w:r>
          </w:p>
        </w:tc>
        <w:tc>
          <w:tcPr>
            <w:tcW w:w="709" w:type="dxa"/>
            <w:tcBorders>
              <w:top w:val="single" w:sz="4" w:space="0" w:color="auto"/>
            </w:tcBorders>
            <w:shd w:val="clear" w:color="auto" w:fill="auto"/>
          </w:tcPr>
          <w:p w14:paraId="5C418C94" w14:textId="77777777" w:rsidR="0090197C" w:rsidRPr="00913E39" w:rsidRDefault="0090197C" w:rsidP="00882ABD">
            <w:pPr>
              <w:spacing w:after="0" w:line="240" w:lineRule="auto"/>
              <w:rPr>
                <w:rFonts w:ascii="Garamond" w:hAnsi="Garamond"/>
                <w:i/>
                <w:sz w:val="20"/>
                <w:szCs w:val="24"/>
              </w:rPr>
            </w:pPr>
          </w:p>
        </w:tc>
        <w:tc>
          <w:tcPr>
            <w:tcW w:w="708" w:type="dxa"/>
            <w:tcBorders>
              <w:top w:val="single" w:sz="4" w:space="0" w:color="auto"/>
            </w:tcBorders>
            <w:shd w:val="clear" w:color="auto" w:fill="auto"/>
          </w:tcPr>
          <w:p w14:paraId="59BAE3D4" w14:textId="77777777" w:rsidR="0090197C" w:rsidRPr="00913E39" w:rsidRDefault="0090197C" w:rsidP="00882ABD">
            <w:pPr>
              <w:spacing w:after="0" w:line="240" w:lineRule="auto"/>
              <w:rPr>
                <w:rFonts w:ascii="Garamond" w:hAnsi="Garamond"/>
                <w:i/>
                <w:sz w:val="20"/>
                <w:szCs w:val="24"/>
              </w:rPr>
            </w:pPr>
          </w:p>
        </w:tc>
      </w:tr>
    </w:tbl>
    <w:p w14:paraId="6612EE3E" w14:textId="77777777" w:rsidR="0090197C" w:rsidRPr="00913E39" w:rsidRDefault="0090197C" w:rsidP="0003243A">
      <w:pPr>
        <w:spacing w:after="0" w:line="240" w:lineRule="auto"/>
        <w:ind w:firstLine="284"/>
        <w:jc w:val="both"/>
        <w:rPr>
          <w:rFonts w:ascii="Garamond" w:hAnsi="Garamond"/>
          <w:sz w:val="24"/>
          <w:szCs w:val="24"/>
        </w:rPr>
      </w:pPr>
      <w:r w:rsidRPr="00913E39">
        <w:rPr>
          <w:rFonts w:ascii="Garamond" w:hAnsi="Garamond"/>
          <w:sz w:val="24"/>
          <w:szCs w:val="24"/>
        </w:rPr>
        <w:t>[Kur projekti konsiderohet vetëm një fazë e një projekti më të madh, jepni një përshkrim të të gjitha fazave të propozuara të zbatimit dhe shpjegoni nëse ato janë teknikisht dhe financiarisht të pavarura. Cilat kritere janë përdorur për të përcaktuar ndarjen e projektit në faza?]</w:t>
      </w:r>
    </w:p>
    <w:p w14:paraId="7F4AB63B" w14:textId="77777777" w:rsidR="0090197C" w:rsidRPr="00913E39" w:rsidRDefault="0090197C" w:rsidP="0003243A">
      <w:pPr>
        <w:spacing w:after="0" w:line="240" w:lineRule="auto"/>
        <w:ind w:firstLine="284"/>
        <w:jc w:val="both"/>
        <w:rPr>
          <w:rFonts w:ascii="Garamond" w:hAnsi="Garamond"/>
          <w:i/>
          <w:sz w:val="24"/>
        </w:rPr>
      </w:pPr>
      <w:r w:rsidRPr="00913E39">
        <w:rPr>
          <w:rFonts w:ascii="Garamond" w:hAnsi="Garamond"/>
          <w:i/>
          <w:sz w:val="24"/>
        </w:rPr>
        <w:t>Organizim në lidhje me infrastrukturën</w:t>
      </w:r>
    </w:p>
    <w:p w14:paraId="703E0358" w14:textId="13C0153E" w:rsidR="0090197C" w:rsidRPr="00913E39" w:rsidRDefault="0090197C" w:rsidP="0003243A">
      <w:pPr>
        <w:spacing w:after="0" w:line="240" w:lineRule="auto"/>
        <w:ind w:firstLine="284"/>
        <w:jc w:val="both"/>
        <w:rPr>
          <w:rFonts w:ascii="Garamond" w:hAnsi="Garamond"/>
          <w:sz w:val="24"/>
        </w:rPr>
      </w:pPr>
      <w:r w:rsidRPr="00913E39">
        <w:rPr>
          <w:rFonts w:ascii="Garamond" w:hAnsi="Garamond"/>
          <w:sz w:val="24"/>
        </w:rPr>
        <w:t>[Përshkruani se si do të realizohet infrastruktura. Fokusohuni në llojin e kontratave, procesin e përzgjedhjes së operatorit dhe sipas rastit, strukturën e PPP/koncesionit, marrëveshjet e pronësisë së infrastrukturës, marrëveshjet e shpërndarjes së risqeve etj.]</w:t>
      </w:r>
    </w:p>
    <w:p w14:paraId="1613485F" w14:textId="77777777" w:rsidR="0090197C" w:rsidRPr="00913E39" w:rsidRDefault="0090197C" w:rsidP="0003243A">
      <w:pPr>
        <w:spacing w:after="0" w:line="240" w:lineRule="auto"/>
        <w:ind w:firstLine="284"/>
        <w:jc w:val="both"/>
        <w:rPr>
          <w:rFonts w:ascii="Garamond" w:hAnsi="Garamond"/>
          <w:i/>
          <w:sz w:val="24"/>
          <w:szCs w:val="24"/>
        </w:rPr>
      </w:pPr>
      <w:r w:rsidRPr="00913E39">
        <w:rPr>
          <w:rFonts w:ascii="Garamond" w:hAnsi="Garamond"/>
          <w:i/>
          <w:sz w:val="24"/>
          <w:szCs w:val="24"/>
        </w:rPr>
        <w:t>Menaxhimi i infrastrukturës së përfunduar dhe shpenzimet operative</w:t>
      </w:r>
    </w:p>
    <w:p w14:paraId="7CCC32A9" w14:textId="00F3F8B6" w:rsidR="0090197C" w:rsidRPr="00913E39" w:rsidRDefault="0090197C" w:rsidP="0003243A">
      <w:pPr>
        <w:spacing w:after="0" w:line="240" w:lineRule="auto"/>
        <w:ind w:firstLine="284"/>
        <w:jc w:val="both"/>
        <w:rPr>
          <w:rFonts w:ascii="Garamond" w:hAnsi="Garamond"/>
          <w:sz w:val="24"/>
          <w:szCs w:val="24"/>
        </w:rPr>
      </w:pPr>
      <w:r w:rsidRPr="00913E39">
        <w:rPr>
          <w:rFonts w:ascii="Garamond" w:hAnsi="Garamond"/>
          <w:sz w:val="24"/>
          <w:szCs w:val="24"/>
        </w:rPr>
        <w:t xml:space="preserve">[Përcaktoni organin që do të menaxhojë infrastrukturën pas përfundimit. Jepni një përshkrim të detajuar për ruajtjen e investimeve të realizuara (fondet, burimet njerëzore, përgjegjësitë etj.).] </w:t>
      </w:r>
    </w:p>
    <w:p w14:paraId="40C0688B" w14:textId="77777777" w:rsidR="0090197C" w:rsidRPr="00913E39" w:rsidRDefault="0090197C" w:rsidP="0003243A">
      <w:pPr>
        <w:spacing w:after="0" w:line="240" w:lineRule="auto"/>
        <w:ind w:firstLine="284"/>
        <w:jc w:val="both"/>
        <w:rPr>
          <w:rFonts w:ascii="Garamond" w:hAnsi="Garamond"/>
          <w:i/>
          <w:sz w:val="24"/>
          <w:szCs w:val="24"/>
        </w:rPr>
      </w:pPr>
      <w:bookmarkStart w:id="86" w:name="_Toc142286819"/>
      <w:bookmarkStart w:id="87" w:name="_Toc142287107"/>
      <w:bookmarkStart w:id="88" w:name="_Toc142287278"/>
      <w:bookmarkStart w:id="89" w:name="_Toc142287441"/>
      <w:bookmarkEnd w:id="81"/>
      <w:r w:rsidRPr="00913E39">
        <w:rPr>
          <w:rFonts w:ascii="Garamond" w:hAnsi="Garamond"/>
          <w:i/>
          <w:sz w:val="24"/>
          <w:szCs w:val="24"/>
        </w:rPr>
        <w:t xml:space="preserve">3.3.2 Analiza financiare dhe vlerësimi ekonomik </w:t>
      </w:r>
      <w:bookmarkEnd w:id="86"/>
      <w:bookmarkEnd w:id="87"/>
      <w:bookmarkEnd w:id="88"/>
      <w:bookmarkEnd w:id="89"/>
    </w:p>
    <w:p w14:paraId="30776CBF" w14:textId="2CD3B30A" w:rsidR="0090197C" w:rsidRPr="00913E39" w:rsidRDefault="0090197C" w:rsidP="0003243A">
      <w:pPr>
        <w:spacing w:after="0" w:line="240" w:lineRule="auto"/>
        <w:ind w:firstLine="284"/>
        <w:jc w:val="both"/>
        <w:rPr>
          <w:rFonts w:ascii="Garamond" w:hAnsi="Garamond"/>
          <w:iCs/>
          <w:sz w:val="24"/>
          <w:szCs w:val="24"/>
        </w:rPr>
      </w:pPr>
      <w:r w:rsidRPr="00913E39">
        <w:rPr>
          <w:rFonts w:ascii="Garamond" w:hAnsi="Garamond"/>
          <w:iCs/>
          <w:sz w:val="24"/>
          <w:szCs w:val="24"/>
        </w:rPr>
        <w:t>Pjesa e mëposhtme është strukturuar për të raportuar mbi një analizë të plotë kosto-përfitim. Megjithatë, sipas politikës së kohezionit 2021</w:t>
      </w:r>
      <w:r w:rsidR="00907AC1" w:rsidRPr="00913E39">
        <w:rPr>
          <w:rFonts w:ascii="Garamond" w:hAnsi="Garamond"/>
          <w:iCs/>
          <w:sz w:val="24"/>
          <w:szCs w:val="24"/>
        </w:rPr>
        <w:t>–</w:t>
      </w:r>
      <w:r w:rsidRPr="00913E39">
        <w:rPr>
          <w:rFonts w:ascii="Garamond" w:hAnsi="Garamond"/>
          <w:iCs/>
          <w:sz w:val="24"/>
          <w:szCs w:val="24"/>
        </w:rPr>
        <w:t>2027, udhëzuesi i vlerësimit ekonomik 2021</w:t>
      </w:r>
      <w:r w:rsidR="00907AC1" w:rsidRPr="00913E39">
        <w:rPr>
          <w:rFonts w:ascii="Garamond" w:hAnsi="Garamond"/>
          <w:iCs/>
          <w:sz w:val="24"/>
          <w:szCs w:val="24"/>
        </w:rPr>
        <w:t>–</w:t>
      </w:r>
      <w:r w:rsidRPr="00913E39">
        <w:rPr>
          <w:rFonts w:ascii="Garamond" w:hAnsi="Garamond"/>
          <w:iCs/>
          <w:sz w:val="24"/>
          <w:szCs w:val="24"/>
        </w:rPr>
        <w:t>2027</w:t>
      </w:r>
      <w:r w:rsidRPr="00913E39">
        <w:rPr>
          <w:rStyle w:val="FootnoteReference"/>
          <w:rFonts w:ascii="Garamond" w:hAnsi="Garamond"/>
          <w:iCs/>
          <w:sz w:val="24"/>
          <w:szCs w:val="24"/>
        </w:rPr>
        <w:footnoteReference w:id="117"/>
      </w:r>
      <w:r w:rsidRPr="00913E39">
        <w:rPr>
          <w:rFonts w:ascii="Garamond" w:hAnsi="Garamond"/>
          <w:iCs/>
          <w:sz w:val="24"/>
          <w:szCs w:val="24"/>
        </w:rPr>
        <w:t xml:space="preserve"> lejon përdorimin e metodologjive të tjera të vlerësimit</w:t>
      </w:r>
    </w:p>
    <w:p w14:paraId="7093A377" w14:textId="3DA3C6E0" w:rsidR="0090197C" w:rsidRPr="00913E39" w:rsidRDefault="0090197C" w:rsidP="0003243A">
      <w:pPr>
        <w:spacing w:after="0" w:line="240" w:lineRule="auto"/>
        <w:ind w:firstLine="284"/>
        <w:jc w:val="both"/>
        <w:rPr>
          <w:rFonts w:ascii="Garamond" w:hAnsi="Garamond"/>
          <w:iCs/>
          <w:sz w:val="24"/>
          <w:szCs w:val="24"/>
        </w:rPr>
      </w:pPr>
      <w:r w:rsidRPr="00913E39">
        <w:rPr>
          <w:rFonts w:ascii="Garamond" w:hAnsi="Garamond"/>
          <w:iCs/>
          <w:sz w:val="24"/>
          <w:szCs w:val="24"/>
        </w:rPr>
        <w:t>Elementet kryesore nga analiza financiare CBA duhet të përmblidhen më poshtë, duke përfshirë përshkrimin e metodologjisë. Dokumenti i plotë i analizës kosto-përfitim do t</w:t>
      </w:r>
      <w:r w:rsidR="005222A5" w:rsidRPr="00913E39">
        <w:rPr>
          <w:rFonts w:ascii="Garamond" w:hAnsi="Garamond"/>
          <w:iCs/>
          <w:sz w:val="24"/>
          <w:szCs w:val="24"/>
        </w:rPr>
        <w:t>’</w:t>
      </w:r>
      <w:r w:rsidRPr="00913E39">
        <w:rPr>
          <w:rFonts w:ascii="Garamond" w:hAnsi="Garamond"/>
          <w:iCs/>
          <w:sz w:val="24"/>
          <w:szCs w:val="24"/>
        </w:rPr>
        <w:t xml:space="preserve">i bashkëngjitet këtij aplikimi si </w:t>
      </w:r>
      <w:r w:rsidR="0003243A" w:rsidRPr="00913E39">
        <w:rPr>
          <w:rFonts w:ascii="Garamond" w:hAnsi="Garamond"/>
          <w:iCs/>
          <w:sz w:val="24"/>
          <w:szCs w:val="24"/>
        </w:rPr>
        <w:t>a</w:t>
      </w:r>
      <w:r w:rsidRPr="00913E39">
        <w:rPr>
          <w:rFonts w:ascii="Garamond" w:hAnsi="Garamond"/>
          <w:iCs/>
          <w:sz w:val="24"/>
          <w:szCs w:val="24"/>
        </w:rPr>
        <w:t xml:space="preserve">neksi IV. </w:t>
      </w:r>
      <w:bookmarkStart w:id="90" w:name="_Toc142287279"/>
    </w:p>
    <w:p w14:paraId="6AF30264" w14:textId="77777777" w:rsidR="0090197C" w:rsidRPr="00913E39" w:rsidRDefault="0090197C" w:rsidP="00E8580A">
      <w:pPr>
        <w:spacing w:after="0" w:line="240" w:lineRule="auto"/>
        <w:ind w:firstLine="284"/>
        <w:jc w:val="both"/>
        <w:rPr>
          <w:rFonts w:ascii="Garamond" w:hAnsi="Garamond"/>
          <w:i/>
          <w:iCs/>
          <w:sz w:val="24"/>
          <w:szCs w:val="24"/>
        </w:rPr>
      </w:pPr>
      <w:bookmarkStart w:id="91" w:name="_Hlk131164983"/>
      <w:r w:rsidRPr="00913E39">
        <w:rPr>
          <w:rFonts w:ascii="Garamond" w:hAnsi="Garamond"/>
          <w:i/>
          <w:iCs/>
          <w:sz w:val="24"/>
          <w:szCs w:val="24"/>
        </w:rPr>
        <w:lastRenderedPageBreak/>
        <w:t>A) Analiza financiare (nëse ka)</w:t>
      </w:r>
    </w:p>
    <w:bookmarkEnd w:id="91"/>
    <w:p w14:paraId="07AFA168" w14:textId="77777777" w:rsidR="0090197C" w:rsidRPr="00913E39" w:rsidRDefault="0090197C" w:rsidP="00E8580A">
      <w:pPr>
        <w:spacing w:after="0" w:line="240" w:lineRule="auto"/>
        <w:ind w:firstLine="284"/>
        <w:rPr>
          <w:rFonts w:ascii="Garamond" w:hAnsi="Garamond"/>
          <w:i/>
          <w:sz w:val="24"/>
          <w:szCs w:val="24"/>
        </w:rPr>
      </w:pPr>
      <w:r w:rsidRPr="00913E39">
        <w:rPr>
          <w:rFonts w:ascii="Garamond" w:hAnsi="Garamond"/>
          <w:i/>
          <w:sz w:val="24"/>
          <w:szCs w:val="24"/>
        </w:rPr>
        <w:t>Shpenzime operative dhe të ardhura</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7"/>
        <w:gridCol w:w="1821"/>
      </w:tblGrid>
      <w:tr w:rsidR="0090197C" w:rsidRPr="00913E39" w14:paraId="61841CF7" w14:textId="77777777" w:rsidTr="009C2266">
        <w:tc>
          <w:tcPr>
            <w:tcW w:w="6521" w:type="dxa"/>
            <w:tcBorders>
              <w:top w:val="nil"/>
              <w:left w:val="nil"/>
              <w:bottom w:val="single" w:sz="4" w:space="0" w:color="auto"/>
              <w:right w:val="single" w:sz="4" w:space="0" w:color="auto"/>
            </w:tcBorders>
            <w:shd w:val="clear" w:color="auto" w:fill="auto"/>
          </w:tcPr>
          <w:p w14:paraId="77CFB59F" w14:textId="77777777" w:rsidR="0090197C" w:rsidRPr="00913E39" w:rsidRDefault="0090197C" w:rsidP="00882ABD">
            <w:pPr>
              <w:spacing w:after="0" w:line="240" w:lineRule="auto"/>
              <w:rPr>
                <w:rFonts w:ascii="Garamond" w:hAnsi="Garamond"/>
                <w:i/>
                <w:sz w:val="20"/>
                <w:szCs w:val="24"/>
              </w:rPr>
            </w:pPr>
          </w:p>
        </w:tc>
        <w:tc>
          <w:tcPr>
            <w:tcW w:w="1842" w:type="dxa"/>
            <w:tcBorders>
              <w:left w:val="single" w:sz="4" w:space="0" w:color="auto"/>
              <w:bottom w:val="single" w:sz="4" w:space="0" w:color="auto"/>
            </w:tcBorders>
            <w:shd w:val="clear" w:color="auto" w:fill="auto"/>
          </w:tcPr>
          <w:p w14:paraId="7677805B"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milion EUR</w:t>
            </w:r>
          </w:p>
        </w:tc>
      </w:tr>
      <w:tr w:rsidR="0090197C" w:rsidRPr="00913E39" w14:paraId="06C35CC5" w14:textId="77777777" w:rsidTr="009C2266">
        <w:tc>
          <w:tcPr>
            <w:tcW w:w="6521" w:type="dxa"/>
            <w:tcBorders>
              <w:top w:val="single" w:sz="4" w:space="0" w:color="auto"/>
              <w:bottom w:val="single" w:sz="4" w:space="0" w:color="auto"/>
            </w:tcBorders>
            <w:shd w:val="clear" w:color="auto" w:fill="auto"/>
          </w:tcPr>
          <w:p w14:paraId="24581DF4"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a)_ Shpenzime operative vjetore (sipas analizës kosto-përfitim)</w:t>
            </w:r>
          </w:p>
        </w:tc>
        <w:tc>
          <w:tcPr>
            <w:tcW w:w="1842" w:type="dxa"/>
            <w:tcBorders>
              <w:top w:val="single" w:sz="4" w:space="0" w:color="auto"/>
              <w:bottom w:val="single" w:sz="4" w:space="0" w:color="auto"/>
            </w:tcBorders>
            <w:shd w:val="clear" w:color="auto" w:fill="auto"/>
          </w:tcPr>
          <w:p w14:paraId="6381D488" w14:textId="77777777" w:rsidR="0090197C" w:rsidRPr="00913E39" w:rsidRDefault="0090197C" w:rsidP="00882ABD">
            <w:pPr>
              <w:spacing w:after="0" w:line="240" w:lineRule="auto"/>
              <w:rPr>
                <w:rFonts w:ascii="Garamond" w:hAnsi="Garamond"/>
                <w:i/>
                <w:sz w:val="20"/>
                <w:szCs w:val="24"/>
              </w:rPr>
            </w:pPr>
          </w:p>
        </w:tc>
      </w:tr>
      <w:tr w:rsidR="0090197C" w:rsidRPr="00913E39" w14:paraId="29C71FB9" w14:textId="77777777" w:rsidTr="009C2266">
        <w:tc>
          <w:tcPr>
            <w:tcW w:w="6521" w:type="dxa"/>
            <w:tcBorders>
              <w:top w:val="single" w:sz="4" w:space="0" w:color="auto"/>
            </w:tcBorders>
            <w:shd w:val="clear" w:color="auto" w:fill="auto"/>
          </w:tcPr>
          <w:p w14:paraId="0FCAB29C"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b) Të ardhurat e pritshme vjetore (sipas analizës kosto-përfitim)</w:t>
            </w:r>
          </w:p>
        </w:tc>
        <w:tc>
          <w:tcPr>
            <w:tcW w:w="1842" w:type="dxa"/>
            <w:tcBorders>
              <w:top w:val="single" w:sz="4" w:space="0" w:color="auto"/>
            </w:tcBorders>
            <w:shd w:val="clear" w:color="auto" w:fill="auto"/>
          </w:tcPr>
          <w:p w14:paraId="6E32B142" w14:textId="77777777" w:rsidR="0090197C" w:rsidRPr="00913E39" w:rsidRDefault="0090197C" w:rsidP="00882ABD">
            <w:pPr>
              <w:spacing w:after="0" w:line="240" w:lineRule="auto"/>
              <w:rPr>
                <w:rFonts w:ascii="Garamond" w:hAnsi="Garamond"/>
                <w:i/>
                <w:sz w:val="20"/>
                <w:szCs w:val="24"/>
              </w:rPr>
            </w:pPr>
          </w:p>
        </w:tc>
      </w:tr>
    </w:tbl>
    <w:p w14:paraId="5718C1AA" w14:textId="77777777" w:rsidR="0090197C" w:rsidRPr="00913E39" w:rsidRDefault="0090197C" w:rsidP="00F93F1E">
      <w:pPr>
        <w:spacing w:after="0" w:line="240" w:lineRule="auto"/>
        <w:ind w:firstLine="284"/>
        <w:jc w:val="both"/>
        <w:rPr>
          <w:rFonts w:ascii="Garamond" w:hAnsi="Garamond"/>
          <w:sz w:val="24"/>
        </w:rPr>
      </w:pPr>
      <w:r w:rsidRPr="00913E39">
        <w:rPr>
          <w:rFonts w:ascii="Garamond" w:hAnsi="Garamond"/>
          <w:sz w:val="24"/>
        </w:rPr>
        <w:t>[Tregoni vitin e parë të plotë të funksionimit;]</w:t>
      </w:r>
    </w:p>
    <w:p w14:paraId="6BCA7F35" w14:textId="77777777" w:rsidR="0090197C" w:rsidRPr="00913E39" w:rsidRDefault="0090197C" w:rsidP="00F93F1E">
      <w:pPr>
        <w:spacing w:after="0" w:line="240" w:lineRule="auto"/>
        <w:ind w:firstLine="284"/>
        <w:jc w:val="both"/>
        <w:rPr>
          <w:rFonts w:ascii="Garamond" w:hAnsi="Garamond"/>
          <w:sz w:val="24"/>
          <w:szCs w:val="24"/>
        </w:rPr>
      </w:pPr>
      <w:r w:rsidRPr="00913E39">
        <w:rPr>
          <w:rFonts w:ascii="Garamond" w:hAnsi="Garamond"/>
          <w:sz w:val="24"/>
          <w:szCs w:val="24"/>
        </w:rPr>
        <w:t xml:space="preserve">- Bëni një ndarje të shpenzimeve O&amp;M, duke bërë dallimin midis shpenzimeve operative të ndryshueshme </w:t>
      </w:r>
      <w:r w:rsidRPr="00913E39">
        <w:rPr>
          <w:rFonts w:ascii="Garamond" w:hAnsi="Garamond"/>
          <w:sz w:val="24"/>
          <w:szCs w:val="24"/>
          <w:u w:val="single"/>
        </w:rPr>
        <w:t>dhe</w:t>
      </w:r>
      <w:r w:rsidRPr="00913E39">
        <w:rPr>
          <w:rFonts w:ascii="Garamond" w:hAnsi="Garamond"/>
          <w:sz w:val="24"/>
          <w:szCs w:val="24"/>
        </w:rPr>
        <w:t xml:space="preserve"> fikse </w:t>
      </w:r>
      <w:r w:rsidRPr="00913E39">
        <w:rPr>
          <w:rFonts w:ascii="Garamond" w:hAnsi="Garamond"/>
          <w:sz w:val="24"/>
          <w:szCs w:val="24"/>
          <w:u w:val="single"/>
        </w:rPr>
        <w:t>dhe</w:t>
      </w:r>
      <w:r w:rsidRPr="00913E39">
        <w:rPr>
          <w:rFonts w:ascii="Garamond" w:hAnsi="Garamond"/>
          <w:sz w:val="24"/>
          <w:szCs w:val="24"/>
        </w:rPr>
        <w:t xml:space="preserve"> shpenzimeve për mirëmbajtje;</w:t>
      </w:r>
    </w:p>
    <w:p w14:paraId="527EF609" w14:textId="77777777" w:rsidR="0090197C" w:rsidRPr="00913E39" w:rsidRDefault="0090197C" w:rsidP="00F93F1E">
      <w:pPr>
        <w:keepNext/>
        <w:spacing w:after="0" w:line="240" w:lineRule="auto"/>
        <w:ind w:firstLine="284"/>
        <w:jc w:val="both"/>
        <w:rPr>
          <w:rFonts w:ascii="Garamond" w:hAnsi="Garamond"/>
          <w:sz w:val="24"/>
          <w:szCs w:val="24"/>
        </w:rPr>
      </w:pPr>
      <w:r w:rsidRPr="00913E39">
        <w:rPr>
          <w:rFonts w:ascii="Garamond" w:hAnsi="Garamond"/>
          <w:sz w:val="24"/>
          <w:szCs w:val="24"/>
        </w:rPr>
        <w:t>- Jepni supozimet e kostos për njësi të përdorura për llogaritjen e shpenzimeve O&amp;M. b) Të ardhurat</w:t>
      </w:r>
    </w:p>
    <w:p w14:paraId="6BB192C1" w14:textId="77777777" w:rsidR="0090197C" w:rsidRPr="00913E39" w:rsidRDefault="0090197C" w:rsidP="00F93F1E">
      <w:pPr>
        <w:keepNext/>
        <w:spacing w:after="0" w:line="240" w:lineRule="auto"/>
        <w:ind w:firstLine="284"/>
        <w:jc w:val="both"/>
        <w:rPr>
          <w:rFonts w:ascii="Garamond" w:hAnsi="Garamond"/>
          <w:sz w:val="24"/>
          <w:szCs w:val="24"/>
        </w:rPr>
      </w:pPr>
      <w:r w:rsidRPr="00913E39">
        <w:rPr>
          <w:rFonts w:ascii="Garamond" w:hAnsi="Garamond"/>
          <w:sz w:val="24"/>
          <w:szCs w:val="24"/>
        </w:rPr>
        <w:t>Nëse projekti pritet të gjenerojë të ardhura, shpjegoni:</w:t>
      </w:r>
    </w:p>
    <w:p w14:paraId="1657EE00" w14:textId="77777777" w:rsidR="0090197C" w:rsidRPr="00913E39" w:rsidRDefault="0090197C" w:rsidP="00F93F1E">
      <w:pPr>
        <w:keepNext/>
        <w:spacing w:after="0" w:line="240" w:lineRule="auto"/>
        <w:ind w:firstLine="284"/>
        <w:jc w:val="both"/>
        <w:rPr>
          <w:rFonts w:ascii="Garamond" w:hAnsi="Garamond"/>
          <w:sz w:val="24"/>
          <w:szCs w:val="24"/>
        </w:rPr>
      </w:pPr>
      <w:r w:rsidRPr="00913E39">
        <w:rPr>
          <w:rFonts w:ascii="Garamond" w:hAnsi="Garamond"/>
          <w:sz w:val="24"/>
          <w:szCs w:val="24"/>
        </w:rPr>
        <w:t>- natyrën e të ardhurave - tarifat ose detyrimet ndaj përdoruesit ose forma të tjera të organizimeve; referencë për kuadrin rregullator përkatës dhe parimet e përcaktimit të tarifave, aty ku është e nevojshme;</w:t>
      </w:r>
    </w:p>
    <w:p w14:paraId="46524174" w14:textId="77777777" w:rsidR="0090197C" w:rsidRPr="00913E39" w:rsidRDefault="0090197C" w:rsidP="00F93F1E">
      <w:pPr>
        <w:keepNext/>
        <w:spacing w:after="0" w:line="240" w:lineRule="auto"/>
        <w:ind w:firstLine="284"/>
        <w:jc w:val="both"/>
        <w:rPr>
          <w:rFonts w:ascii="Garamond" w:hAnsi="Garamond"/>
          <w:sz w:val="24"/>
          <w:szCs w:val="24"/>
        </w:rPr>
      </w:pPr>
      <w:r w:rsidRPr="00913E39">
        <w:rPr>
          <w:rFonts w:ascii="Garamond" w:hAnsi="Garamond"/>
          <w:sz w:val="24"/>
          <w:szCs w:val="24"/>
        </w:rPr>
        <w:t xml:space="preserve">- jepni detajet e tarifave (llojet dhe niveli i tarifave - sipas grupit të përdoruesve, nëse është e përshtatshme; komponentët fiks dhe të ndryshueshëm, kur është e nevojshme; aplikimin i parimit ndotësi paguan, sipas rastit); </w:t>
      </w:r>
    </w:p>
    <w:p w14:paraId="5CA5D59B" w14:textId="77777777" w:rsidR="0090197C" w:rsidRPr="00913E39" w:rsidRDefault="0090197C" w:rsidP="00F93F1E">
      <w:pPr>
        <w:spacing w:after="0" w:line="240" w:lineRule="auto"/>
        <w:ind w:firstLine="284"/>
        <w:jc w:val="both"/>
        <w:rPr>
          <w:rFonts w:ascii="Garamond" w:hAnsi="Garamond"/>
          <w:i/>
          <w:sz w:val="24"/>
          <w:szCs w:val="24"/>
        </w:rPr>
      </w:pPr>
      <w:r w:rsidRPr="00913E39">
        <w:rPr>
          <w:rFonts w:ascii="Garamond" w:hAnsi="Garamond"/>
          <w:i/>
          <w:sz w:val="24"/>
          <w:szCs w:val="24"/>
        </w:rPr>
        <w:t>Përballueshmëria dhe qëndrueshmëria financiare</w:t>
      </w:r>
    </w:p>
    <w:p w14:paraId="61008CAC" w14:textId="77777777" w:rsidR="0090197C" w:rsidRPr="00913E39" w:rsidRDefault="0090197C" w:rsidP="00F93F1E">
      <w:pPr>
        <w:spacing w:after="0" w:line="240" w:lineRule="auto"/>
        <w:ind w:firstLine="284"/>
        <w:jc w:val="both"/>
        <w:rPr>
          <w:rFonts w:ascii="Garamond" w:hAnsi="Garamond"/>
          <w:sz w:val="24"/>
          <w:szCs w:val="24"/>
        </w:rPr>
      </w:pPr>
      <w:r w:rsidRPr="00913E39">
        <w:rPr>
          <w:rFonts w:ascii="Garamond" w:hAnsi="Garamond"/>
          <w:sz w:val="24"/>
          <w:szCs w:val="24"/>
        </w:rPr>
        <w:t>Siguroni të dhëna për qëndrueshmërinë financiare të projektit (flukse monetare neto të akumuluara jo-negative gjatë periudhës së referencës së projektit);</w:t>
      </w:r>
    </w:p>
    <w:p w14:paraId="6D219BDE" w14:textId="77777777" w:rsidR="0090197C" w:rsidRPr="00913E39" w:rsidRDefault="0090197C" w:rsidP="00F93F1E">
      <w:pPr>
        <w:spacing w:after="0" w:line="240" w:lineRule="auto"/>
        <w:ind w:firstLine="284"/>
        <w:jc w:val="both"/>
        <w:rPr>
          <w:rFonts w:ascii="Garamond" w:hAnsi="Garamond"/>
          <w:sz w:val="24"/>
        </w:rPr>
      </w:pPr>
      <w:r w:rsidRPr="00913E39">
        <w:rPr>
          <w:rFonts w:ascii="Garamond" w:hAnsi="Garamond"/>
          <w:sz w:val="24"/>
        </w:rPr>
        <w:t xml:space="preserve">Aty ku është me vend, </w:t>
      </w:r>
    </w:p>
    <w:p w14:paraId="3D657761" w14:textId="77777777" w:rsidR="0090197C" w:rsidRPr="00913E39" w:rsidRDefault="0090197C" w:rsidP="00F93F1E">
      <w:pPr>
        <w:spacing w:after="0" w:line="240" w:lineRule="auto"/>
        <w:ind w:firstLine="284"/>
        <w:jc w:val="both"/>
        <w:rPr>
          <w:rFonts w:ascii="Garamond" w:hAnsi="Garamond"/>
          <w:sz w:val="24"/>
        </w:rPr>
      </w:pPr>
      <w:r w:rsidRPr="00913E39">
        <w:rPr>
          <w:rFonts w:ascii="Garamond" w:hAnsi="Garamond"/>
          <w:sz w:val="24"/>
        </w:rPr>
        <w:t xml:space="preserve">- Shpjegoni nëse tarifat janë vendosur në nivelin e rikuperimit të plotë të shpenzimeve, p.sh. mbulimi i shpenzimeve operative, amortizimit dhe kthimit të kapitalit; </w:t>
      </w:r>
    </w:p>
    <w:p w14:paraId="78A19515" w14:textId="3339BE34" w:rsidR="0090197C" w:rsidRPr="00913E39" w:rsidRDefault="0090197C" w:rsidP="00F93F1E">
      <w:pPr>
        <w:spacing w:after="0" w:line="240" w:lineRule="auto"/>
        <w:ind w:firstLine="284"/>
        <w:jc w:val="both"/>
        <w:rPr>
          <w:rFonts w:ascii="Garamond" w:hAnsi="Garamond"/>
          <w:sz w:val="24"/>
        </w:rPr>
      </w:pPr>
      <w:r w:rsidRPr="00913E39">
        <w:rPr>
          <w:rFonts w:ascii="Garamond" w:hAnsi="Garamond"/>
          <w:sz w:val="24"/>
        </w:rPr>
        <w:t>- Nëse tarifat përcaktohen nën mbulimin e plotë të shpenzimeve: i) jepni një justifikim bazuar në një analizë të përballueshmërisë (p.sh. krahasimi i shpenzimeve mesatare vjetore për mallrat/shërbimet e projektit si pjesë e të ardhurave/shpenzimeve mesatare/ të arsyeshme dhe/ose me dhjetëshen më të ulët) të familjes; ii) shpjegoni se si arrihet qëndrueshmëria financiare (p.sh. subvencionet, transfertat); iii) tregoni se si tarifat pritet të evoluojnë me kalimin e kohës për të siguruar mbulimin e shpenzimeve në një afat më të gjatë.</w:t>
      </w:r>
    </w:p>
    <w:p w14:paraId="69E14674" w14:textId="77777777" w:rsidR="0090197C" w:rsidRPr="00913E39" w:rsidRDefault="0090197C" w:rsidP="00F93F1E">
      <w:pPr>
        <w:spacing w:after="0" w:line="240" w:lineRule="auto"/>
        <w:ind w:firstLine="284"/>
        <w:jc w:val="both"/>
        <w:rPr>
          <w:rFonts w:ascii="Garamond" w:hAnsi="Garamond"/>
          <w:i/>
          <w:sz w:val="24"/>
        </w:rPr>
      </w:pPr>
      <w:bookmarkStart w:id="92" w:name="_Toc142287284"/>
      <w:bookmarkEnd w:id="90"/>
      <w:r w:rsidRPr="00913E39">
        <w:rPr>
          <w:rFonts w:ascii="Garamond" w:hAnsi="Garamond"/>
          <w:i/>
          <w:sz w:val="24"/>
        </w:rPr>
        <w:t>B) Analiza ekonomike</w:t>
      </w:r>
      <w:bookmarkEnd w:id="92"/>
    </w:p>
    <w:p w14:paraId="0258CBDA" w14:textId="77777777" w:rsidR="0090197C" w:rsidRPr="00913E39" w:rsidRDefault="0090197C" w:rsidP="00F93F1E">
      <w:pPr>
        <w:spacing w:after="0" w:line="240" w:lineRule="auto"/>
        <w:ind w:firstLine="284"/>
        <w:jc w:val="both"/>
        <w:rPr>
          <w:rFonts w:ascii="Garamond" w:hAnsi="Garamond"/>
          <w:i/>
          <w:sz w:val="24"/>
        </w:rPr>
      </w:pPr>
      <w:bookmarkStart w:id="93" w:name="_Toc142287287"/>
      <w:r w:rsidRPr="00913E39">
        <w:rPr>
          <w:rFonts w:ascii="Garamond" w:hAnsi="Garamond"/>
          <w:i/>
          <w:sz w:val="24"/>
        </w:rPr>
        <w:t>a) Metodologjia</w:t>
      </w:r>
    </w:p>
    <w:p w14:paraId="23911967" w14:textId="5D60983E" w:rsidR="0090197C" w:rsidRPr="00913E39" w:rsidRDefault="0090197C" w:rsidP="00F93F1E">
      <w:pPr>
        <w:spacing w:after="0" w:line="240" w:lineRule="auto"/>
        <w:ind w:firstLine="284"/>
        <w:jc w:val="both"/>
        <w:rPr>
          <w:rFonts w:ascii="Garamond" w:hAnsi="Garamond"/>
          <w:sz w:val="24"/>
        </w:rPr>
      </w:pPr>
      <w:r w:rsidRPr="00913E39">
        <w:rPr>
          <w:rFonts w:ascii="Garamond" w:hAnsi="Garamond"/>
          <w:sz w:val="24"/>
        </w:rPr>
        <w:t xml:space="preserve">[Jepni një përshkrim të shkurtër të metodologjisë (supozimet </w:t>
      </w:r>
      <w:r w:rsidRPr="003A3BA9">
        <w:rPr>
          <w:rFonts w:ascii="Garamond" w:hAnsi="Garamond"/>
          <w:sz w:val="24"/>
        </w:rPr>
        <w:t>kryes</w:t>
      </w:r>
      <w:r w:rsidR="003A3BA9" w:rsidRPr="003A3BA9">
        <w:rPr>
          <w:rFonts w:ascii="Garamond" w:hAnsi="Garamond"/>
          <w:sz w:val="24"/>
        </w:rPr>
        <w:t>o</w:t>
      </w:r>
      <w:r w:rsidRPr="003A3BA9">
        <w:rPr>
          <w:rFonts w:ascii="Garamond" w:hAnsi="Garamond"/>
          <w:sz w:val="24"/>
        </w:rPr>
        <w:t>re</w:t>
      </w:r>
      <w:r w:rsidRPr="00913E39">
        <w:rPr>
          <w:rFonts w:ascii="Garamond" w:hAnsi="Garamond"/>
          <w:sz w:val="24"/>
        </w:rPr>
        <w:t xml:space="preserve"> të bëra për vlerësimin e kostos dhe përfitimit) dhe gjetjeve kryesore të analizës ekonomike)</w:t>
      </w:r>
      <w:r w:rsidR="00F93F1E" w:rsidRPr="00913E39">
        <w:rPr>
          <w:rFonts w:ascii="Garamond" w:hAnsi="Garamond"/>
          <w:sz w:val="24"/>
        </w:rPr>
        <w:t>.</w:t>
      </w:r>
      <w:r w:rsidRPr="00913E39">
        <w:rPr>
          <w:rFonts w:ascii="Garamond" w:hAnsi="Garamond"/>
          <w:sz w:val="24"/>
        </w:rPr>
        <w:t>]</w:t>
      </w:r>
    </w:p>
    <w:p w14:paraId="10884889" w14:textId="77777777" w:rsidR="0090197C" w:rsidRPr="00913E39" w:rsidRDefault="0090197C" w:rsidP="00F93F1E">
      <w:pPr>
        <w:spacing w:after="0" w:line="240" w:lineRule="auto"/>
        <w:ind w:firstLine="284"/>
        <w:jc w:val="both"/>
        <w:rPr>
          <w:rFonts w:ascii="Garamond" w:hAnsi="Garamond"/>
          <w:i/>
          <w:sz w:val="24"/>
        </w:rPr>
      </w:pPr>
      <w:r w:rsidRPr="00913E39">
        <w:rPr>
          <w:rFonts w:ascii="Garamond" w:hAnsi="Garamond"/>
          <w:i/>
          <w:sz w:val="24"/>
        </w:rPr>
        <w:t>b) Kostot, përfitimet dhe treguesit kryesorë</w:t>
      </w:r>
      <w:bookmarkEnd w:id="93"/>
      <w:r w:rsidRPr="00913E39">
        <w:rPr>
          <w:rFonts w:ascii="Garamond" w:hAnsi="Garamond"/>
          <w:i/>
          <w:sz w:val="24"/>
        </w:rPr>
        <w:t xml:space="preserve"> (nëse kryhet CBA)</w:t>
      </w:r>
    </w:p>
    <w:tbl>
      <w:tblPr>
        <w:tblW w:w="776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3339"/>
      </w:tblGrid>
      <w:tr w:rsidR="0090197C" w:rsidRPr="00913E39" w14:paraId="7CDEC484" w14:textId="77777777" w:rsidTr="009C2266">
        <w:tc>
          <w:tcPr>
            <w:tcW w:w="4428" w:type="dxa"/>
          </w:tcPr>
          <w:p w14:paraId="57535828" w14:textId="77777777" w:rsidR="0090197C" w:rsidRPr="00913E39" w:rsidRDefault="0090197C" w:rsidP="00882ABD">
            <w:pPr>
              <w:pStyle w:val="Text3"/>
              <w:spacing w:before="0" w:after="0"/>
              <w:ind w:left="0"/>
              <w:jc w:val="center"/>
              <w:rPr>
                <w:rFonts w:ascii="Garamond" w:hAnsi="Garamond"/>
                <w:bCs/>
                <w:sz w:val="20"/>
              </w:rPr>
            </w:pPr>
            <w:r w:rsidRPr="00913E39">
              <w:rPr>
                <w:rFonts w:ascii="Garamond" w:hAnsi="Garamond"/>
                <w:bCs/>
                <w:sz w:val="20"/>
              </w:rPr>
              <w:t>Parametrat dhe treguesit kryesorë</w:t>
            </w:r>
          </w:p>
        </w:tc>
        <w:tc>
          <w:tcPr>
            <w:tcW w:w="3339" w:type="dxa"/>
          </w:tcPr>
          <w:p w14:paraId="3369CCB3" w14:textId="77777777" w:rsidR="0090197C" w:rsidRPr="00913E39" w:rsidRDefault="0090197C" w:rsidP="00882ABD">
            <w:pPr>
              <w:pStyle w:val="Text3"/>
              <w:spacing w:before="0" w:after="0"/>
              <w:ind w:left="0"/>
              <w:jc w:val="center"/>
              <w:rPr>
                <w:rFonts w:ascii="Garamond" w:hAnsi="Garamond"/>
                <w:bCs/>
                <w:sz w:val="20"/>
              </w:rPr>
            </w:pPr>
            <w:r w:rsidRPr="00913E39">
              <w:rPr>
                <w:rFonts w:ascii="Garamond" w:hAnsi="Garamond"/>
                <w:bCs/>
                <w:sz w:val="20"/>
              </w:rPr>
              <w:t>Vlera</w:t>
            </w:r>
          </w:p>
        </w:tc>
      </w:tr>
      <w:tr w:rsidR="0090197C" w:rsidRPr="00913E39" w14:paraId="0B246C2E" w14:textId="77777777" w:rsidTr="009C2266">
        <w:tc>
          <w:tcPr>
            <w:tcW w:w="4428" w:type="dxa"/>
          </w:tcPr>
          <w:p w14:paraId="092605D3" w14:textId="77777777" w:rsidR="0090197C" w:rsidRPr="00913E39" w:rsidRDefault="0090197C" w:rsidP="00882ABD">
            <w:pPr>
              <w:pStyle w:val="Text3"/>
              <w:numPr>
                <w:ilvl w:val="0"/>
                <w:numId w:val="44"/>
              </w:numPr>
              <w:tabs>
                <w:tab w:val="left" w:pos="2302"/>
              </w:tabs>
              <w:spacing w:before="0" w:after="0"/>
              <w:ind w:left="0" w:firstLine="0"/>
              <w:rPr>
                <w:rFonts w:ascii="Garamond" w:hAnsi="Garamond"/>
                <w:bCs/>
                <w:sz w:val="20"/>
              </w:rPr>
            </w:pPr>
            <w:r w:rsidRPr="00913E39">
              <w:rPr>
                <w:rFonts w:ascii="Garamond" w:hAnsi="Garamond"/>
                <w:bCs/>
                <w:sz w:val="20"/>
              </w:rPr>
              <w:t>Norma e zbritjes sociale (%)</w:t>
            </w:r>
          </w:p>
        </w:tc>
        <w:tc>
          <w:tcPr>
            <w:tcW w:w="3339" w:type="dxa"/>
          </w:tcPr>
          <w:p w14:paraId="12BA2B86" w14:textId="77777777" w:rsidR="0090197C" w:rsidRPr="00913E39" w:rsidRDefault="0090197C" w:rsidP="00882ABD">
            <w:pPr>
              <w:pStyle w:val="Text3"/>
              <w:spacing w:before="0" w:after="0"/>
              <w:ind w:left="0"/>
              <w:rPr>
                <w:rFonts w:ascii="Garamond" w:hAnsi="Garamond"/>
                <w:bCs/>
                <w:sz w:val="20"/>
              </w:rPr>
            </w:pPr>
          </w:p>
        </w:tc>
      </w:tr>
      <w:tr w:rsidR="0090197C" w:rsidRPr="00913E39" w14:paraId="416B7CF8" w14:textId="77777777" w:rsidTr="009C2266">
        <w:tc>
          <w:tcPr>
            <w:tcW w:w="4428" w:type="dxa"/>
          </w:tcPr>
          <w:p w14:paraId="0F56D28B" w14:textId="77777777" w:rsidR="0090197C" w:rsidRPr="00913E39" w:rsidRDefault="0090197C" w:rsidP="00882ABD">
            <w:pPr>
              <w:numPr>
                <w:ilvl w:val="0"/>
                <w:numId w:val="44"/>
              </w:numPr>
              <w:spacing w:after="0" w:line="240" w:lineRule="auto"/>
              <w:ind w:left="0" w:firstLine="0"/>
              <w:jc w:val="both"/>
              <w:rPr>
                <w:rFonts w:ascii="Garamond" w:hAnsi="Garamond"/>
                <w:sz w:val="20"/>
                <w:szCs w:val="24"/>
              </w:rPr>
            </w:pPr>
            <w:r w:rsidRPr="00913E39">
              <w:rPr>
                <w:rFonts w:ascii="Garamond" w:hAnsi="Garamond"/>
                <w:sz w:val="20"/>
                <w:szCs w:val="24"/>
              </w:rPr>
              <w:t>Norma ekonomike e kthimit (%)</w:t>
            </w:r>
          </w:p>
        </w:tc>
        <w:tc>
          <w:tcPr>
            <w:tcW w:w="3339" w:type="dxa"/>
          </w:tcPr>
          <w:p w14:paraId="10D7C9F5" w14:textId="77777777" w:rsidR="0090197C" w:rsidRPr="00913E39" w:rsidRDefault="0090197C" w:rsidP="00882ABD">
            <w:pPr>
              <w:pStyle w:val="Text3"/>
              <w:spacing w:before="0" w:after="0"/>
              <w:ind w:left="0"/>
              <w:rPr>
                <w:rFonts w:ascii="Garamond" w:hAnsi="Garamond"/>
                <w:sz w:val="20"/>
              </w:rPr>
            </w:pPr>
          </w:p>
        </w:tc>
      </w:tr>
      <w:tr w:rsidR="0090197C" w:rsidRPr="00913E39" w14:paraId="0467E581" w14:textId="77777777" w:rsidTr="009C2266">
        <w:tc>
          <w:tcPr>
            <w:tcW w:w="4428" w:type="dxa"/>
          </w:tcPr>
          <w:p w14:paraId="53A5FC13" w14:textId="77777777" w:rsidR="0090197C" w:rsidRPr="00913E39" w:rsidRDefault="0090197C" w:rsidP="00882ABD">
            <w:pPr>
              <w:numPr>
                <w:ilvl w:val="0"/>
                <w:numId w:val="44"/>
              </w:numPr>
              <w:spacing w:after="0" w:line="240" w:lineRule="auto"/>
              <w:ind w:left="0" w:firstLine="0"/>
              <w:jc w:val="both"/>
              <w:rPr>
                <w:rFonts w:ascii="Garamond" w:hAnsi="Garamond"/>
                <w:sz w:val="20"/>
                <w:szCs w:val="24"/>
              </w:rPr>
            </w:pPr>
            <w:r w:rsidRPr="00913E39">
              <w:rPr>
                <w:rFonts w:ascii="Garamond" w:hAnsi="Garamond"/>
                <w:sz w:val="20"/>
                <w:szCs w:val="24"/>
              </w:rPr>
              <w:t>Vlera ekonomike aktuale neto (në euro)</w:t>
            </w:r>
          </w:p>
        </w:tc>
        <w:tc>
          <w:tcPr>
            <w:tcW w:w="3339" w:type="dxa"/>
          </w:tcPr>
          <w:p w14:paraId="21C457C5" w14:textId="77777777" w:rsidR="0090197C" w:rsidRPr="00913E39" w:rsidRDefault="0090197C" w:rsidP="00882ABD">
            <w:pPr>
              <w:pStyle w:val="Text3"/>
              <w:spacing w:before="0" w:after="0"/>
              <w:ind w:left="0"/>
              <w:rPr>
                <w:rFonts w:ascii="Garamond" w:hAnsi="Garamond"/>
                <w:sz w:val="20"/>
              </w:rPr>
            </w:pPr>
          </w:p>
        </w:tc>
      </w:tr>
      <w:tr w:rsidR="0090197C" w:rsidRPr="00913E39" w14:paraId="5362F70F" w14:textId="77777777" w:rsidTr="009C2266">
        <w:tc>
          <w:tcPr>
            <w:tcW w:w="4428" w:type="dxa"/>
          </w:tcPr>
          <w:p w14:paraId="20DC3D8A" w14:textId="77777777" w:rsidR="0090197C" w:rsidRPr="00913E39" w:rsidRDefault="0090197C" w:rsidP="00882ABD">
            <w:pPr>
              <w:pStyle w:val="Text3"/>
              <w:numPr>
                <w:ilvl w:val="0"/>
                <w:numId w:val="44"/>
              </w:numPr>
              <w:tabs>
                <w:tab w:val="left" w:pos="2302"/>
              </w:tabs>
              <w:spacing w:before="0" w:after="0"/>
              <w:ind w:left="0" w:firstLine="0"/>
              <w:rPr>
                <w:rFonts w:ascii="Garamond" w:hAnsi="Garamond"/>
                <w:sz w:val="20"/>
              </w:rPr>
            </w:pPr>
            <w:r w:rsidRPr="00913E39">
              <w:rPr>
                <w:rFonts w:ascii="Garamond" w:hAnsi="Garamond"/>
                <w:sz w:val="20"/>
              </w:rPr>
              <w:t>Raporti kosto-përfitim</w:t>
            </w:r>
          </w:p>
        </w:tc>
        <w:tc>
          <w:tcPr>
            <w:tcW w:w="3339" w:type="dxa"/>
          </w:tcPr>
          <w:p w14:paraId="3C318909" w14:textId="77777777" w:rsidR="0090197C" w:rsidRPr="00913E39" w:rsidRDefault="0090197C" w:rsidP="00882ABD">
            <w:pPr>
              <w:pStyle w:val="Text3"/>
              <w:spacing w:before="0" w:after="0"/>
              <w:ind w:left="0"/>
              <w:rPr>
                <w:rFonts w:ascii="Garamond" w:hAnsi="Garamond"/>
                <w:sz w:val="20"/>
              </w:rPr>
            </w:pPr>
          </w:p>
        </w:tc>
      </w:tr>
    </w:tbl>
    <w:p w14:paraId="16ACDDA8" w14:textId="77777777" w:rsidR="0090197C" w:rsidRPr="00913E39" w:rsidRDefault="0090197C" w:rsidP="00E8580A">
      <w:pPr>
        <w:spacing w:after="0" w:line="240" w:lineRule="auto"/>
        <w:ind w:firstLine="284"/>
        <w:rPr>
          <w:rFonts w:ascii="Garamond" w:hAnsi="Garamond"/>
          <w:i/>
          <w:sz w:val="24"/>
          <w:szCs w:val="24"/>
        </w:rPr>
      </w:pPr>
      <w:bookmarkStart w:id="94" w:name="_Toc142287288"/>
      <w:r w:rsidRPr="00913E39">
        <w:rPr>
          <w:rFonts w:ascii="Garamond" w:hAnsi="Garamond"/>
          <w:i/>
          <w:sz w:val="24"/>
          <w:szCs w:val="24"/>
        </w:rPr>
        <w:t>c) Ndikimi në punësim i projektit</w:t>
      </w:r>
      <w:bookmarkEnd w:id="94"/>
      <w:r w:rsidRPr="00913E39">
        <w:rPr>
          <w:rFonts w:ascii="Garamond" w:hAnsi="Garamond"/>
          <w:i/>
          <w:sz w:val="24"/>
          <w:szCs w:val="24"/>
        </w:rPr>
        <w:t xml:space="preserve"> (nëse ka)</w:t>
      </w:r>
    </w:p>
    <w:p w14:paraId="00C03C65" w14:textId="47363EFD" w:rsidR="0090197C" w:rsidRPr="00913E39" w:rsidRDefault="0090197C" w:rsidP="00F93F1E">
      <w:pPr>
        <w:pStyle w:val="Text3"/>
        <w:spacing w:before="0" w:after="0"/>
        <w:ind w:left="0" w:firstLine="284"/>
        <w:rPr>
          <w:rFonts w:ascii="Garamond" w:hAnsi="Garamond"/>
        </w:rPr>
      </w:pPr>
      <w:r w:rsidRPr="00913E39">
        <w:rPr>
          <w:rFonts w:ascii="Garamond" w:hAnsi="Garamond"/>
        </w:rPr>
        <w:t>Jepni një të dhënë për numrin e vendeve të punës të krijuara (me ekuivalentin me kohë të plotë (FTE)</w:t>
      </w:r>
      <w:r w:rsidR="00F93F1E" w:rsidRPr="00913E39">
        <w:rPr>
          <w:rFonts w:ascii="Garamond" w:hAnsi="Garamond"/>
        </w:rPr>
        <w:t xml:space="preserve">. </w:t>
      </w:r>
      <w:r w:rsidRPr="00913E39">
        <w:rPr>
          <w:rFonts w:ascii="Garamond" w:hAnsi="Garamond"/>
          <w:highlight w:val="yellow"/>
        </w:rPr>
        <w:t>[</w:t>
      </w:r>
      <w:r w:rsidRPr="00913E39">
        <w:rPr>
          <w:rFonts w:ascii="Garamond" w:hAnsi="Garamond"/>
        </w:rPr>
        <w:t>Kujdes</w:t>
      </w:r>
      <w:r w:rsidR="00F93F1E" w:rsidRPr="00913E39">
        <w:rPr>
          <w:rFonts w:ascii="Garamond" w:hAnsi="Garamond"/>
        </w:rPr>
        <w:t>!</w:t>
      </w:r>
      <w:r w:rsidRPr="00913E39">
        <w:rPr>
          <w:rFonts w:ascii="Garamond" w:hAnsi="Garamond"/>
        </w:rPr>
        <w:t xml:space="preserve"> </w:t>
      </w:r>
      <w:r w:rsidR="00F93F1E" w:rsidRPr="00913E39">
        <w:rPr>
          <w:rFonts w:ascii="Garamond" w:hAnsi="Garamond"/>
        </w:rPr>
        <w:t>V</w:t>
      </w:r>
      <w:r w:rsidRPr="00913E39">
        <w:rPr>
          <w:rFonts w:ascii="Garamond" w:hAnsi="Garamond"/>
        </w:rPr>
        <w:t>endet indirekte të punës që krijohen ose humbasin nuk kërkohen për investim në infrastrukturën publike</w:t>
      </w:r>
      <w:r w:rsidR="00E64173" w:rsidRPr="00913E39">
        <w:rPr>
          <w:rFonts w:ascii="Garamond" w:hAnsi="Garamond"/>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1842"/>
        <w:gridCol w:w="2268"/>
      </w:tblGrid>
      <w:tr w:rsidR="0090197C" w:rsidRPr="00913E39" w14:paraId="12D9000E" w14:textId="77777777" w:rsidTr="009C2266">
        <w:tc>
          <w:tcPr>
            <w:tcW w:w="3686" w:type="dxa"/>
            <w:shd w:val="clear" w:color="000000" w:fill="auto"/>
          </w:tcPr>
          <w:p w14:paraId="69D9914E" w14:textId="77777777" w:rsidR="0090197C" w:rsidRPr="00913E39" w:rsidRDefault="0090197C" w:rsidP="00882ABD">
            <w:pPr>
              <w:spacing w:after="0" w:line="240" w:lineRule="auto"/>
              <w:jc w:val="center"/>
              <w:rPr>
                <w:rFonts w:ascii="Garamond" w:hAnsi="Garamond"/>
                <w:b/>
                <w:bCs/>
                <w:sz w:val="20"/>
                <w:szCs w:val="24"/>
              </w:rPr>
            </w:pPr>
            <w:r w:rsidRPr="00913E39">
              <w:rPr>
                <w:rFonts w:ascii="Garamond" w:hAnsi="Garamond"/>
                <w:b/>
                <w:bCs/>
                <w:sz w:val="20"/>
                <w:szCs w:val="24"/>
              </w:rPr>
              <w:t>Numri i vendeve të punës të krijuara drejtpërdrejt:</w:t>
            </w:r>
          </w:p>
        </w:tc>
        <w:tc>
          <w:tcPr>
            <w:tcW w:w="1842" w:type="dxa"/>
            <w:shd w:val="clear" w:color="000000" w:fill="auto"/>
          </w:tcPr>
          <w:p w14:paraId="5AA85A64" w14:textId="77777777" w:rsidR="0090197C" w:rsidRPr="00913E39" w:rsidRDefault="0090197C" w:rsidP="00882ABD">
            <w:pPr>
              <w:spacing w:after="0" w:line="240" w:lineRule="auto"/>
              <w:jc w:val="center"/>
              <w:rPr>
                <w:rFonts w:ascii="Garamond" w:hAnsi="Garamond"/>
                <w:b/>
                <w:bCs/>
                <w:sz w:val="20"/>
                <w:szCs w:val="24"/>
              </w:rPr>
            </w:pPr>
            <w:r w:rsidRPr="00913E39">
              <w:rPr>
                <w:rFonts w:ascii="Garamond" w:hAnsi="Garamond"/>
                <w:b/>
                <w:bCs/>
                <w:sz w:val="20"/>
                <w:szCs w:val="24"/>
              </w:rPr>
              <w:t>Nr. (FTE)</w:t>
            </w:r>
          </w:p>
          <w:p w14:paraId="07A099B4" w14:textId="77777777" w:rsidR="0090197C" w:rsidRPr="00913E39" w:rsidRDefault="0090197C" w:rsidP="00882ABD">
            <w:pPr>
              <w:spacing w:after="0" w:line="240" w:lineRule="auto"/>
              <w:jc w:val="center"/>
              <w:rPr>
                <w:rFonts w:ascii="Garamond" w:hAnsi="Garamond"/>
                <w:b/>
                <w:bCs/>
                <w:sz w:val="20"/>
                <w:szCs w:val="24"/>
              </w:rPr>
            </w:pPr>
            <w:r w:rsidRPr="00913E39">
              <w:rPr>
                <w:rFonts w:ascii="Garamond" w:hAnsi="Garamond"/>
                <w:b/>
                <w:bCs/>
                <w:sz w:val="20"/>
                <w:szCs w:val="24"/>
              </w:rPr>
              <w:t>(A)</w:t>
            </w:r>
          </w:p>
        </w:tc>
        <w:tc>
          <w:tcPr>
            <w:tcW w:w="2268" w:type="dxa"/>
            <w:shd w:val="clear" w:color="000000" w:fill="auto"/>
          </w:tcPr>
          <w:p w14:paraId="37354D08" w14:textId="77777777" w:rsidR="0090197C" w:rsidRPr="00913E39" w:rsidRDefault="0090197C" w:rsidP="00882ABD">
            <w:pPr>
              <w:spacing w:after="0" w:line="240" w:lineRule="auto"/>
              <w:jc w:val="center"/>
              <w:rPr>
                <w:rFonts w:ascii="Garamond" w:hAnsi="Garamond"/>
                <w:b/>
                <w:bCs/>
                <w:sz w:val="20"/>
                <w:szCs w:val="24"/>
              </w:rPr>
            </w:pPr>
            <w:r w:rsidRPr="00913E39">
              <w:rPr>
                <w:rFonts w:ascii="Garamond" w:hAnsi="Garamond"/>
                <w:b/>
                <w:bCs/>
                <w:sz w:val="20"/>
                <w:szCs w:val="24"/>
              </w:rPr>
              <w:t>Kohëzgjatja mesatare e këtyre vendeve të punës (muaj)</w:t>
            </w:r>
            <w:r w:rsidRPr="00913E39">
              <w:rPr>
                <w:rFonts w:ascii="Garamond" w:hAnsi="Garamond"/>
                <w:b/>
                <w:bCs/>
                <w:sz w:val="20"/>
                <w:szCs w:val="24"/>
              </w:rPr>
              <w:br/>
              <w:t>(B)</w:t>
            </w:r>
          </w:p>
        </w:tc>
      </w:tr>
      <w:tr w:rsidR="0090197C" w:rsidRPr="00913E39" w14:paraId="5C71E896" w14:textId="77777777" w:rsidTr="009C2266">
        <w:tc>
          <w:tcPr>
            <w:tcW w:w="3686" w:type="dxa"/>
            <w:shd w:val="clear" w:color="000000" w:fill="auto"/>
          </w:tcPr>
          <w:p w14:paraId="29E3CBE4" w14:textId="62029CC8" w:rsidR="0090197C" w:rsidRPr="00913E39" w:rsidRDefault="00F93F1E" w:rsidP="00F93F1E">
            <w:pPr>
              <w:spacing w:after="0" w:line="240" w:lineRule="auto"/>
              <w:jc w:val="both"/>
              <w:rPr>
                <w:rFonts w:ascii="Garamond" w:hAnsi="Garamond"/>
                <w:sz w:val="20"/>
                <w:szCs w:val="24"/>
              </w:rPr>
            </w:pPr>
            <w:r w:rsidRPr="00913E39">
              <w:rPr>
                <w:rFonts w:ascii="Garamond" w:hAnsi="Garamond"/>
                <w:sz w:val="20"/>
                <w:szCs w:val="24"/>
              </w:rPr>
              <w:t xml:space="preserve">1. </w:t>
            </w:r>
            <w:r w:rsidR="0090197C" w:rsidRPr="00913E39">
              <w:rPr>
                <w:rFonts w:ascii="Garamond" w:hAnsi="Garamond"/>
                <w:sz w:val="20"/>
                <w:szCs w:val="24"/>
              </w:rPr>
              <w:t>Gjatë fazës së zbatimit</w:t>
            </w:r>
          </w:p>
        </w:tc>
        <w:tc>
          <w:tcPr>
            <w:tcW w:w="1842" w:type="dxa"/>
            <w:shd w:val="clear" w:color="000000" w:fill="auto"/>
          </w:tcPr>
          <w:p w14:paraId="2311A326" w14:textId="77777777" w:rsidR="0090197C" w:rsidRPr="00913E39" w:rsidRDefault="0090197C" w:rsidP="00882ABD">
            <w:pPr>
              <w:spacing w:after="0" w:line="240" w:lineRule="auto"/>
              <w:rPr>
                <w:rFonts w:ascii="Garamond" w:hAnsi="Garamond"/>
                <w:sz w:val="20"/>
                <w:szCs w:val="24"/>
              </w:rPr>
            </w:pPr>
          </w:p>
        </w:tc>
        <w:tc>
          <w:tcPr>
            <w:tcW w:w="2268" w:type="dxa"/>
            <w:shd w:val="clear" w:color="000000" w:fill="auto"/>
          </w:tcPr>
          <w:p w14:paraId="76ACC0EB" w14:textId="77777777" w:rsidR="0090197C" w:rsidRPr="00913E39" w:rsidRDefault="0090197C" w:rsidP="00882ABD">
            <w:pPr>
              <w:spacing w:after="0" w:line="240" w:lineRule="auto"/>
              <w:rPr>
                <w:rFonts w:ascii="Garamond" w:hAnsi="Garamond"/>
                <w:sz w:val="20"/>
                <w:szCs w:val="24"/>
              </w:rPr>
            </w:pPr>
          </w:p>
        </w:tc>
      </w:tr>
      <w:tr w:rsidR="0090197C" w:rsidRPr="00913E39" w14:paraId="4D7FA130" w14:textId="77777777" w:rsidTr="009C2266">
        <w:tc>
          <w:tcPr>
            <w:tcW w:w="3686" w:type="dxa"/>
            <w:shd w:val="clear" w:color="000000" w:fill="auto"/>
          </w:tcPr>
          <w:p w14:paraId="18F4AE04" w14:textId="7509E766" w:rsidR="0090197C" w:rsidRPr="00913E39" w:rsidRDefault="00F93F1E" w:rsidP="00F93F1E">
            <w:pPr>
              <w:spacing w:after="0" w:line="240" w:lineRule="auto"/>
              <w:jc w:val="both"/>
              <w:rPr>
                <w:rFonts w:ascii="Garamond" w:hAnsi="Garamond"/>
                <w:sz w:val="20"/>
                <w:szCs w:val="24"/>
              </w:rPr>
            </w:pPr>
            <w:r w:rsidRPr="00913E39">
              <w:rPr>
                <w:rFonts w:ascii="Garamond" w:hAnsi="Garamond"/>
                <w:sz w:val="20"/>
                <w:szCs w:val="24"/>
              </w:rPr>
              <w:t xml:space="preserve">2. </w:t>
            </w:r>
            <w:r w:rsidR="0090197C" w:rsidRPr="00913E39">
              <w:rPr>
                <w:rFonts w:ascii="Garamond" w:hAnsi="Garamond"/>
                <w:sz w:val="20"/>
                <w:szCs w:val="24"/>
              </w:rPr>
              <w:t>Gjatë fazës operacionale</w:t>
            </w:r>
          </w:p>
        </w:tc>
        <w:tc>
          <w:tcPr>
            <w:tcW w:w="1842" w:type="dxa"/>
            <w:shd w:val="clear" w:color="000000" w:fill="auto"/>
          </w:tcPr>
          <w:p w14:paraId="7DC49C07" w14:textId="77777777" w:rsidR="0090197C" w:rsidRPr="00913E39" w:rsidRDefault="0090197C" w:rsidP="00882ABD">
            <w:pPr>
              <w:spacing w:after="0" w:line="240" w:lineRule="auto"/>
              <w:rPr>
                <w:rFonts w:ascii="Garamond" w:hAnsi="Garamond"/>
                <w:sz w:val="20"/>
                <w:szCs w:val="24"/>
              </w:rPr>
            </w:pPr>
          </w:p>
        </w:tc>
        <w:tc>
          <w:tcPr>
            <w:tcW w:w="2268" w:type="dxa"/>
            <w:shd w:val="clear" w:color="000000" w:fill="auto"/>
          </w:tcPr>
          <w:p w14:paraId="7AA2AACE" w14:textId="77777777" w:rsidR="0090197C" w:rsidRPr="00913E39" w:rsidRDefault="0090197C" w:rsidP="00882ABD">
            <w:pPr>
              <w:spacing w:after="0" w:line="240" w:lineRule="auto"/>
              <w:rPr>
                <w:rFonts w:ascii="Garamond" w:hAnsi="Garamond"/>
                <w:sz w:val="20"/>
                <w:szCs w:val="24"/>
              </w:rPr>
            </w:pPr>
          </w:p>
        </w:tc>
      </w:tr>
    </w:tbl>
    <w:p w14:paraId="34578E1F" w14:textId="77777777" w:rsidR="0090197C" w:rsidRPr="00913E39" w:rsidRDefault="0090197C" w:rsidP="00E8580A">
      <w:pPr>
        <w:pStyle w:val="Heading1"/>
        <w:spacing w:before="0" w:after="0"/>
        <w:ind w:firstLine="284"/>
        <w:jc w:val="both"/>
        <w:rPr>
          <w:rFonts w:ascii="Garamond" w:hAnsi="Garamond"/>
          <w:b w:val="0"/>
          <w:sz w:val="24"/>
          <w:lang w:val="sq-AL"/>
        </w:rPr>
      </w:pPr>
      <w:bookmarkStart w:id="95" w:name="_Toc142286820"/>
      <w:bookmarkStart w:id="96" w:name="_Toc142287108"/>
      <w:bookmarkStart w:id="97" w:name="_Toc142287291"/>
      <w:bookmarkStart w:id="98" w:name="_Toc142287442"/>
      <w:r w:rsidRPr="00913E39">
        <w:rPr>
          <w:rFonts w:ascii="Garamond" w:hAnsi="Garamond"/>
          <w:b w:val="0"/>
          <w:sz w:val="24"/>
          <w:lang w:val="sq-AL"/>
        </w:rPr>
        <w:t>4. NDIKIMI MJEDISOR</w:t>
      </w:r>
      <w:bookmarkEnd w:id="95"/>
      <w:bookmarkEnd w:id="96"/>
      <w:bookmarkEnd w:id="97"/>
      <w:bookmarkEnd w:id="98"/>
    </w:p>
    <w:p w14:paraId="1DF41361" w14:textId="3CBB6B6C" w:rsidR="0090197C" w:rsidRPr="00913E39" w:rsidRDefault="0090197C" w:rsidP="00E8580A">
      <w:pPr>
        <w:pStyle w:val="Heading2"/>
        <w:spacing w:before="0" w:after="0"/>
        <w:ind w:firstLine="284"/>
        <w:jc w:val="both"/>
        <w:rPr>
          <w:rFonts w:ascii="Garamond" w:hAnsi="Garamond"/>
          <w:b w:val="0"/>
          <w:sz w:val="24"/>
          <w:lang w:val="sq-AL"/>
        </w:rPr>
      </w:pPr>
      <w:bookmarkStart w:id="99" w:name="_Toc142287292"/>
      <w:r w:rsidRPr="00913E39">
        <w:rPr>
          <w:rFonts w:ascii="Garamond" w:hAnsi="Garamond"/>
          <w:b w:val="0"/>
          <w:sz w:val="24"/>
          <w:lang w:val="sq-AL"/>
        </w:rPr>
        <w:t>4.1 Kontributi i projektit në politikat dhe legjislacionin e BE për klimën dhe mjedisin</w:t>
      </w:r>
    </w:p>
    <w:p w14:paraId="37983B18" w14:textId="52664149" w:rsidR="0090197C" w:rsidRPr="00913E39" w:rsidRDefault="0090197C" w:rsidP="00E8580A">
      <w:pPr>
        <w:spacing w:after="0" w:line="240" w:lineRule="auto"/>
        <w:ind w:firstLine="284"/>
        <w:rPr>
          <w:rFonts w:ascii="Garamond" w:hAnsi="Garamond"/>
          <w:sz w:val="24"/>
          <w:szCs w:val="24"/>
        </w:rPr>
      </w:pPr>
      <w:r w:rsidRPr="00913E39">
        <w:rPr>
          <w:rFonts w:ascii="Garamond" w:hAnsi="Garamond"/>
          <w:sz w:val="24"/>
          <w:szCs w:val="24"/>
        </w:rPr>
        <w:t>Përshkruani se si projekti kontribuon në politikën dhe legjislacionin e BE-së për klimën dhe mjedisin, duke përmbledhur gjithashtu rezultatet e VNM-së</w:t>
      </w:r>
      <w:bookmarkEnd w:id="99"/>
      <w:r w:rsidR="00E623FD" w:rsidRPr="00913E39">
        <w:rPr>
          <w:rFonts w:ascii="Garamond" w:hAnsi="Garamond"/>
          <w:sz w:val="24"/>
          <w:szCs w:val="24"/>
        </w:rPr>
        <w:t>.</w:t>
      </w:r>
    </w:p>
    <w:p w14:paraId="661FCCCD" w14:textId="5ADF1AC1" w:rsidR="0090197C" w:rsidRPr="00913E39" w:rsidRDefault="0090197C" w:rsidP="00E8580A">
      <w:pPr>
        <w:spacing w:after="0" w:line="240" w:lineRule="auto"/>
        <w:ind w:firstLine="284"/>
        <w:jc w:val="both"/>
        <w:rPr>
          <w:rFonts w:ascii="Garamond" w:hAnsi="Garamond"/>
          <w:sz w:val="24"/>
          <w:szCs w:val="24"/>
        </w:rPr>
      </w:pPr>
      <w:r w:rsidRPr="00913E39">
        <w:rPr>
          <w:rFonts w:ascii="Garamond" w:hAnsi="Garamond"/>
          <w:sz w:val="24"/>
          <w:szCs w:val="24"/>
        </w:rPr>
        <w:lastRenderedPageBreak/>
        <w:t>a) Si kontribuon projekti në objektivin e qëndrueshmërisë mjedisore (politika europiane për ndryshimet klimatike, frenimi për të mos humbur biodiversitetin, mbrojtja dhe përdorimi i qëndrueshëm i burimeve natyrore dhe ekosistemeve etj.) dhe si jep ndonjë kontribut pozitiv neto për gjendjen e mjedisit, për të zbutur ndryshimet klimatike dhe për t</w:t>
      </w:r>
      <w:r w:rsidR="005222A5" w:rsidRPr="00913E39">
        <w:rPr>
          <w:rFonts w:ascii="Garamond" w:hAnsi="Garamond"/>
          <w:sz w:val="24"/>
          <w:szCs w:val="24"/>
        </w:rPr>
        <w:t>’</w:t>
      </w:r>
      <w:r w:rsidRPr="00913E39">
        <w:rPr>
          <w:rFonts w:ascii="Garamond" w:hAnsi="Garamond"/>
          <w:sz w:val="24"/>
          <w:szCs w:val="24"/>
        </w:rPr>
        <w:t>u përshtatur ndaj ndryshimeve klimatike</w:t>
      </w:r>
    </w:p>
    <w:p w14:paraId="6D00C071" w14:textId="77777777" w:rsidR="0090197C" w:rsidRPr="00913E39" w:rsidRDefault="0090197C" w:rsidP="00E8580A">
      <w:pPr>
        <w:tabs>
          <w:tab w:val="left" w:pos="426"/>
        </w:tabs>
        <w:spacing w:after="0" w:line="240" w:lineRule="auto"/>
        <w:ind w:firstLine="284"/>
        <w:jc w:val="both"/>
        <w:rPr>
          <w:rFonts w:ascii="Garamond" w:hAnsi="Garamond"/>
          <w:sz w:val="24"/>
        </w:rPr>
      </w:pPr>
      <w:r w:rsidRPr="00913E39">
        <w:rPr>
          <w:rFonts w:ascii="Garamond" w:hAnsi="Garamond"/>
          <w:sz w:val="24"/>
        </w:rPr>
        <w:t xml:space="preserve">b) Si i respekton projekti parimet e veprimit parandalues </w:t>
      </w:r>
      <w:r w:rsidRPr="00913E39">
        <w:rPr>
          <w:rFonts w:ascii="Times New Roman" w:hAnsi="Times New Roman"/>
          <w:sz w:val="24"/>
        </w:rPr>
        <w:t>​​</w:t>
      </w:r>
      <w:r w:rsidRPr="00913E39">
        <w:rPr>
          <w:rFonts w:ascii="Garamond" w:hAnsi="Garamond"/>
          <w:sz w:val="24"/>
        </w:rPr>
        <w:t>dhe që dëmi mjedisor me prioritet duhet të korrigjohet në burim</w:t>
      </w:r>
    </w:p>
    <w:p w14:paraId="50E3A570" w14:textId="7CC51F23" w:rsidR="0090197C" w:rsidRPr="00913E39" w:rsidRDefault="0090197C" w:rsidP="00E8580A">
      <w:pPr>
        <w:spacing w:after="0" w:line="240" w:lineRule="auto"/>
        <w:ind w:firstLine="284"/>
        <w:jc w:val="both"/>
        <w:rPr>
          <w:rFonts w:ascii="Garamond" w:hAnsi="Garamond"/>
          <w:sz w:val="24"/>
        </w:rPr>
      </w:pPr>
      <w:r w:rsidRPr="00913E39">
        <w:rPr>
          <w:rFonts w:ascii="Garamond" w:hAnsi="Garamond"/>
          <w:sz w:val="24"/>
        </w:rPr>
        <w:t xml:space="preserve">c) Si e respekton projekti parimin </w:t>
      </w:r>
      <w:r w:rsidR="00850FC7" w:rsidRPr="00913E39">
        <w:rPr>
          <w:rFonts w:ascii="Garamond" w:hAnsi="Garamond"/>
          <w:sz w:val="24"/>
          <w:szCs w:val="24"/>
        </w:rPr>
        <w:t>“</w:t>
      </w:r>
      <w:r w:rsidRPr="00913E39">
        <w:rPr>
          <w:rFonts w:ascii="Garamond" w:hAnsi="Garamond"/>
          <w:sz w:val="24"/>
        </w:rPr>
        <w:t>ndotësi paguan</w:t>
      </w:r>
      <w:r w:rsidR="00850FC7" w:rsidRPr="00913E39">
        <w:rPr>
          <w:rFonts w:ascii="Garamond" w:hAnsi="Garamond"/>
          <w:sz w:val="24"/>
          <w:szCs w:val="24"/>
        </w:rPr>
        <w:t>”</w:t>
      </w:r>
      <w:r w:rsidRPr="00913E39">
        <w:rPr>
          <w:rFonts w:ascii="Garamond" w:hAnsi="Garamond"/>
          <w:sz w:val="24"/>
          <w:szCs w:val="24"/>
        </w:rPr>
        <w:t>,</w:t>
      </w:r>
      <w:r w:rsidRPr="00913E39">
        <w:rPr>
          <w:rFonts w:ascii="Garamond" w:hAnsi="Garamond"/>
          <w:sz w:val="24"/>
        </w:rPr>
        <w:t xml:space="preserve"> veçanërisht përmes dispozitave të </w:t>
      </w:r>
      <w:r w:rsidR="0003243A" w:rsidRPr="00913E39">
        <w:rPr>
          <w:rFonts w:ascii="Garamond" w:hAnsi="Garamond"/>
          <w:sz w:val="24"/>
        </w:rPr>
        <w:t>direktivës për përgjegjësinë mjedisore.</w:t>
      </w:r>
    </w:p>
    <w:p w14:paraId="484E933A" w14:textId="7331998D" w:rsidR="0090197C" w:rsidRPr="00913E39" w:rsidRDefault="0090197C" w:rsidP="00E8580A">
      <w:pPr>
        <w:pStyle w:val="Heading2"/>
        <w:spacing w:before="0" w:after="0"/>
        <w:ind w:firstLine="284"/>
        <w:jc w:val="both"/>
        <w:rPr>
          <w:rFonts w:ascii="Garamond" w:hAnsi="Garamond"/>
          <w:b w:val="0"/>
          <w:sz w:val="24"/>
          <w:lang w:val="sq-AL"/>
        </w:rPr>
      </w:pPr>
      <w:bookmarkStart w:id="100" w:name="_Toc142287293"/>
      <w:r w:rsidRPr="00913E39">
        <w:rPr>
          <w:rFonts w:ascii="Garamond" w:hAnsi="Garamond"/>
          <w:b w:val="0"/>
          <w:sz w:val="24"/>
          <w:lang w:val="sq-AL"/>
        </w:rPr>
        <w:t xml:space="preserve">4.2 Konsultim me </w:t>
      </w:r>
      <w:r w:rsidR="0003243A" w:rsidRPr="00913E39">
        <w:rPr>
          <w:rFonts w:ascii="Garamond" w:hAnsi="Garamond"/>
          <w:b w:val="0"/>
          <w:sz w:val="24"/>
          <w:lang w:val="sq-AL"/>
        </w:rPr>
        <w:t>autoritetet mjedisore</w:t>
      </w:r>
      <w:bookmarkEnd w:id="10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2"/>
        <w:gridCol w:w="703"/>
        <w:gridCol w:w="701"/>
      </w:tblGrid>
      <w:tr w:rsidR="0090197C" w:rsidRPr="00913E39" w14:paraId="07B2B371" w14:textId="77777777" w:rsidTr="009C2266">
        <w:trPr>
          <w:trHeight w:val="262"/>
        </w:trPr>
        <w:tc>
          <w:tcPr>
            <w:tcW w:w="7642" w:type="dxa"/>
            <w:tcBorders>
              <w:top w:val="nil"/>
              <w:left w:val="nil"/>
              <w:bottom w:val="single" w:sz="4" w:space="0" w:color="auto"/>
              <w:right w:val="single" w:sz="4" w:space="0" w:color="auto"/>
            </w:tcBorders>
            <w:shd w:val="clear" w:color="auto" w:fill="auto"/>
          </w:tcPr>
          <w:p w14:paraId="0972F43C" w14:textId="77777777" w:rsidR="0090197C" w:rsidRPr="00913E39" w:rsidRDefault="0090197C" w:rsidP="00882ABD">
            <w:pPr>
              <w:spacing w:after="0" w:line="240" w:lineRule="auto"/>
              <w:rPr>
                <w:rFonts w:ascii="Garamond" w:hAnsi="Garamond"/>
                <w:i/>
                <w:sz w:val="20"/>
                <w:szCs w:val="24"/>
              </w:rPr>
            </w:pPr>
          </w:p>
        </w:tc>
        <w:tc>
          <w:tcPr>
            <w:tcW w:w="703" w:type="dxa"/>
            <w:tcBorders>
              <w:left w:val="single" w:sz="4" w:space="0" w:color="auto"/>
              <w:bottom w:val="single" w:sz="4" w:space="0" w:color="auto"/>
            </w:tcBorders>
            <w:shd w:val="clear" w:color="auto" w:fill="auto"/>
          </w:tcPr>
          <w:p w14:paraId="1A10654F"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Po</w:t>
            </w:r>
          </w:p>
        </w:tc>
        <w:tc>
          <w:tcPr>
            <w:tcW w:w="701" w:type="dxa"/>
            <w:tcBorders>
              <w:bottom w:val="single" w:sz="4" w:space="0" w:color="auto"/>
            </w:tcBorders>
            <w:shd w:val="clear" w:color="auto" w:fill="auto"/>
          </w:tcPr>
          <w:p w14:paraId="020B546E"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Jo</w:t>
            </w:r>
          </w:p>
        </w:tc>
      </w:tr>
      <w:tr w:rsidR="0090197C" w:rsidRPr="00913E39" w14:paraId="2617B820" w14:textId="77777777" w:rsidTr="009C2266">
        <w:trPr>
          <w:trHeight w:val="410"/>
        </w:trPr>
        <w:tc>
          <w:tcPr>
            <w:tcW w:w="7642" w:type="dxa"/>
            <w:tcBorders>
              <w:top w:val="single" w:sz="4" w:space="0" w:color="auto"/>
            </w:tcBorders>
            <w:shd w:val="clear" w:color="auto" w:fill="auto"/>
          </w:tcPr>
          <w:p w14:paraId="6D9AA15C"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 xml:space="preserve">A ka të ngjarë që autoritetet mjedisore të shqetësohen nga projekti, të konsultohen për shkak të përgjegjësive të tyre specifike? </w:t>
            </w:r>
          </w:p>
        </w:tc>
        <w:tc>
          <w:tcPr>
            <w:tcW w:w="703" w:type="dxa"/>
            <w:tcBorders>
              <w:top w:val="single" w:sz="4" w:space="0" w:color="auto"/>
            </w:tcBorders>
            <w:shd w:val="clear" w:color="auto" w:fill="auto"/>
          </w:tcPr>
          <w:p w14:paraId="602D36CE" w14:textId="77777777" w:rsidR="0090197C" w:rsidRPr="00913E39" w:rsidRDefault="0090197C" w:rsidP="00882ABD">
            <w:pPr>
              <w:spacing w:after="0" w:line="240" w:lineRule="auto"/>
              <w:rPr>
                <w:rFonts w:ascii="Garamond" w:hAnsi="Garamond"/>
                <w:i/>
                <w:sz w:val="20"/>
                <w:szCs w:val="24"/>
              </w:rPr>
            </w:pPr>
            <w:r w:rsidRPr="00913E39">
              <w:rPr>
                <w:rFonts w:ascii="Garamond" w:hAnsi="Garamond"/>
                <w:i/>
                <w:sz w:val="20"/>
                <w:szCs w:val="24"/>
              </w:rPr>
              <w:t>(1)</w:t>
            </w:r>
          </w:p>
        </w:tc>
        <w:tc>
          <w:tcPr>
            <w:tcW w:w="701" w:type="dxa"/>
            <w:tcBorders>
              <w:top w:val="single" w:sz="4" w:space="0" w:color="auto"/>
            </w:tcBorders>
            <w:shd w:val="clear" w:color="auto" w:fill="auto"/>
          </w:tcPr>
          <w:p w14:paraId="419C5939" w14:textId="77777777" w:rsidR="0090197C" w:rsidRPr="00913E39" w:rsidRDefault="0090197C" w:rsidP="00882ABD">
            <w:pPr>
              <w:spacing w:after="0" w:line="240" w:lineRule="auto"/>
              <w:rPr>
                <w:rFonts w:ascii="Garamond" w:hAnsi="Garamond"/>
                <w:i/>
                <w:sz w:val="20"/>
                <w:szCs w:val="24"/>
              </w:rPr>
            </w:pPr>
            <w:r w:rsidRPr="00913E39">
              <w:rPr>
                <w:rFonts w:ascii="Garamond" w:hAnsi="Garamond"/>
                <w:i/>
                <w:sz w:val="20"/>
                <w:szCs w:val="24"/>
              </w:rPr>
              <w:t>(2)</w:t>
            </w:r>
          </w:p>
        </w:tc>
      </w:tr>
    </w:tbl>
    <w:p w14:paraId="76FF63FC" w14:textId="77777777" w:rsidR="0090197C" w:rsidRPr="00913E39" w:rsidRDefault="0090197C" w:rsidP="00E8580A">
      <w:pPr>
        <w:spacing w:after="0" w:line="240" w:lineRule="auto"/>
        <w:ind w:firstLine="284"/>
        <w:jc w:val="both"/>
        <w:rPr>
          <w:rFonts w:ascii="Garamond" w:hAnsi="Garamond"/>
          <w:sz w:val="24"/>
          <w:szCs w:val="24"/>
        </w:rPr>
      </w:pPr>
      <w:r w:rsidRPr="00913E39">
        <w:rPr>
          <w:rFonts w:ascii="Garamond" w:hAnsi="Garamond"/>
          <w:sz w:val="24"/>
          <w:szCs w:val="24"/>
        </w:rPr>
        <w:t>1. Nëse PO, jepni emrin (emrat) dhe të dhënat e kontaktit dhe shpjegoni përgjegjësinë e autoritetit.</w:t>
      </w:r>
    </w:p>
    <w:p w14:paraId="3EABBBE0" w14:textId="77777777" w:rsidR="0090197C" w:rsidRPr="00913E39" w:rsidRDefault="0090197C" w:rsidP="00E8580A">
      <w:pPr>
        <w:spacing w:after="0" w:line="240" w:lineRule="auto"/>
        <w:ind w:firstLine="284"/>
        <w:jc w:val="both"/>
        <w:rPr>
          <w:rFonts w:ascii="Garamond" w:hAnsi="Garamond"/>
          <w:sz w:val="24"/>
          <w:szCs w:val="24"/>
        </w:rPr>
      </w:pPr>
      <w:r w:rsidRPr="00913E39">
        <w:rPr>
          <w:rFonts w:ascii="Garamond" w:hAnsi="Garamond"/>
          <w:sz w:val="24"/>
          <w:szCs w:val="24"/>
        </w:rPr>
        <w:t>2. Nëse JO, specifikoni arsyet.</w:t>
      </w:r>
    </w:p>
    <w:p w14:paraId="5D5347A1" w14:textId="77BFDAA1" w:rsidR="0090197C" w:rsidRPr="00913E39" w:rsidRDefault="0090197C" w:rsidP="00E8580A">
      <w:pPr>
        <w:pStyle w:val="Heading2"/>
        <w:spacing w:before="0" w:after="0"/>
        <w:ind w:firstLine="284"/>
        <w:jc w:val="both"/>
        <w:rPr>
          <w:rFonts w:ascii="Garamond" w:hAnsi="Garamond"/>
          <w:b w:val="0"/>
          <w:sz w:val="24"/>
          <w:lang w:val="sq-AL"/>
        </w:rPr>
      </w:pPr>
      <w:bookmarkStart w:id="101" w:name="_Toc142287294"/>
      <w:r w:rsidRPr="00913E39">
        <w:rPr>
          <w:rFonts w:ascii="Garamond" w:hAnsi="Garamond"/>
          <w:b w:val="0"/>
          <w:sz w:val="24"/>
          <w:lang w:val="sq-AL"/>
        </w:rPr>
        <w:t xml:space="preserve">4.3 Vlerësimi i </w:t>
      </w:r>
      <w:r w:rsidR="0003243A" w:rsidRPr="00913E39">
        <w:rPr>
          <w:rFonts w:ascii="Garamond" w:hAnsi="Garamond"/>
          <w:b w:val="0"/>
          <w:sz w:val="24"/>
          <w:lang w:val="sq-AL"/>
        </w:rPr>
        <w:t>ndikimit në mjedis</w:t>
      </w:r>
      <w:bookmarkEnd w:id="101"/>
    </w:p>
    <w:p w14:paraId="5EEFE1B9" w14:textId="77777777" w:rsidR="0090197C" w:rsidRPr="00913E39" w:rsidRDefault="0090197C" w:rsidP="0003243A">
      <w:pPr>
        <w:spacing w:after="0" w:line="240" w:lineRule="auto"/>
        <w:ind w:firstLine="284"/>
        <w:jc w:val="both"/>
        <w:rPr>
          <w:rFonts w:ascii="Garamond" w:hAnsi="Garamond"/>
          <w:bCs/>
          <w:iCs/>
          <w:sz w:val="24"/>
          <w:szCs w:val="24"/>
        </w:rPr>
      </w:pPr>
      <w:bookmarkStart w:id="102" w:name="_Toc142287295"/>
      <w:r w:rsidRPr="00913E39">
        <w:rPr>
          <w:rFonts w:ascii="Garamond" w:hAnsi="Garamond"/>
          <w:bCs/>
          <w:iCs/>
          <w:sz w:val="24"/>
          <w:szCs w:val="24"/>
        </w:rPr>
        <w:t>[Tregoni ndikimet kryesore negative në mjedis dhe në shëndetin e njeriut që priten nga projekti, dhe masat që do të zbatohen për të shmangur dhe/ose minimizuar këto ndikime. Bëni një dallim midis ndikimeve nga fazat e ndërtimit, funksionimit dhe mbylljes.]</w:t>
      </w:r>
    </w:p>
    <w:p w14:paraId="33B3682D" w14:textId="77777777" w:rsidR="0090197C" w:rsidRPr="00913E39" w:rsidRDefault="0090197C" w:rsidP="00E8580A">
      <w:pPr>
        <w:spacing w:after="0" w:line="240" w:lineRule="auto"/>
        <w:ind w:firstLine="284"/>
        <w:rPr>
          <w:rFonts w:ascii="Garamond" w:hAnsi="Garamond"/>
          <w:i/>
          <w:sz w:val="24"/>
          <w:szCs w:val="24"/>
        </w:rPr>
      </w:pPr>
      <w:r w:rsidRPr="00913E39">
        <w:rPr>
          <w:rFonts w:ascii="Garamond" w:hAnsi="Garamond"/>
          <w:i/>
          <w:sz w:val="24"/>
          <w:szCs w:val="24"/>
        </w:rPr>
        <w:t>4.3.1 Miratimi për zhvillimin</w:t>
      </w:r>
      <w:r w:rsidRPr="00913E39">
        <w:rPr>
          <w:rFonts w:ascii="Garamond" w:hAnsi="Garamond"/>
          <w:i/>
          <w:sz w:val="24"/>
          <w:szCs w:val="24"/>
          <w:vertAlign w:val="superscript"/>
        </w:rPr>
        <w:footnoteReference w:id="118"/>
      </w:r>
      <w:bookmarkEnd w:id="102"/>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1"/>
        <w:gridCol w:w="705"/>
        <w:gridCol w:w="703"/>
      </w:tblGrid>
      <w:tr w:rsidR="0090197C" w:rsidRPr="00913E39" w14:paraId="78BC6175" w14:textId="77777777" w:rsidTr="009C2266">
        <w:tc>
          <w:tcPr>
            <w:tcW w:w="7943" w:type="dxa"/>
            <w:tcBorders>
              <w:top w:val="nil"/>
              <w:left w:val="nil"/>
              <w:bottom w:val="single" w:sz="4" w:space="0" w:color="auto"/>
              <w:right w:val="single" w:sz="4" w:space="0" w:color="auto"/>
            </w:tcBorders>
            <w:shd w:val="clear" w:color="auto" w:fill="auto"/>
          </w:tcPr>
          <w:p w14:paraId="04B04464" w14:textId="77777777" w:rsidR="0090197C" w:rsidRPr="00913E39" w:rsidRDefault="0090197C" w:rsidP="00882ABD">
            <w:pPr>
              <w:spacing w:after="0" w:line="240" w:lineRule="auto"/>
              <w:rPr>
                <w:rFonts w:ascii="Garamond" w:hAnsi="Garamond"/>
                <w:i/>
                <w:sz w:val="20"/>
                <w:szCs w:val="24"/>
              </w:rPr>
            </w:pPr>
          </w:p>
        </w:tc>
        <w:tc>
          <w:tcPr>
            <w:tcW w:w="705" w:type="dxa"/>
            <w:tcBorders>
              <w:left w:val="single" w:sz="4" w:space="0" w:color="auto"/>
              <w:bottom w:val="single" w:sz="4" w:space="0" w:color="auto"/>
            </w:tcBorders>
            <w:shd w:val="clear" w:color="auto" w:fill="auto"/>
          </w:tcPr>
          <w:p w14:paraId="793C7316"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Po</w:t>
            </w:r>
          </w:p>
        </w:tc>
        <w:tc>
          <w:tcPr>
            <w:tcW w:w="703" w:type="dxa"/>
            <w:tcBorders>
              <w:bottom w:val="single" w:sz="4" w:space="0" w:color="auto"/>
            </w:tcBorders>
            <w:shd w:val="clear" w:color="auto" w:fill="auto"/>
          </w:tcPr>
          <w:p w14:paraId="1F180D21"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Jo</w:t>
            </w:r>
          </w:p>
        </w:tc>
      </w:tr>
      <w:tr w:rsidR="0090197C" w:rsidRPr="00913E39" w14:paraId="1430A944" w14:textId="77777777" w:rsidTr="009C2266">
        <w:tc>
          <w:tcPr>
            <w:tcW w:w="7943" w:type="dxa"/>
            <w:tcBorders>
              <w:top w:val="single" w:sz="4" w:space="0" w:color="auto"/>
              <w:bottom w:val="single" w:sz="4" w:space="0" w:color="auto"/>
            </w:tcBorders>
            <w:shd w:val="clear" w:color="auto" w:fill="auto"/>
          </w:tcPr>
          <w:p w14:paraId="6DF3C7BA"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A është dhënë miratimi për zhvillim të këtij projekti?</w:t>
            </w:r>
          </w:p>
        </w:tc>
        <w:tc>
          <w:tcPr>
            <w:tcW w:w="705" w:type="dxa"/>
            <w:tcBorders>
              <w:top w:val="single" w:sz="4" w:space="0" w:color="auto"/>
              <w:bottom w:val="single" w:sz="4" w:space="0" w:color="auto"/>
            </w:tcBorders>
            <w:shd w:val="clear" w:color="auto" w:fill="auto"/>
          </w:tcPr>
          <w:p w14:paraId="3C421F16" w14:textId="77777777" w:rsidR="0090197C" w:rsidRPr="00913E39" w:rsidRDefault="0090197C" w:rsidP="00882ABD">
            <w:pPr>
              <w:spacing w:after="0" w:line="240" w:lineRule="auto"/>
              <w:rPr>
                <w:rFonts w:ascii="Garamond" w:hAnsi="Garamond"/>
                <w:i/>
                <w:sz w:val="20"/>
                <w:szCs w:val="24"/>
              </w:rPr>
            </w:pPr>
            <w:r w:rsidRPr="00913E39">
              <w:rPr>
                <w:rFonts w:ascii="Garamond" w:hAnsi="Garamond"/>
                <w:i/>
                <w:sz w:val="20"/>
                <w:szCs w:val="24"/>
              </w:rPr>
              <w:t>(1)</w:t>
            </w:r>
          </w:p>
        </w:tc>
        <w:tc>
          <w:tcPr>
            <w:tcW w:w="703" w:type="dxa"/>
            <w:tcBorders>
              <w:top w:val="single" w:sz="4" w:space="0" w:color="auto"/>
              <w:bottom w:val="single" w:sz="4" w:space="0" w:color="auto"/>
            </w:tcBorders>
            <w:shd w:val="clear" w:color="auto" w:fill="auto"/>
          </w:tcPr>
          <w:p w14:paraId="4FAF53DA" w14:textId="77777777" w:rsidR="0090197C" w:rsidRPr="00913E39" w:rsidRDefault="0090197C" w:rsidP="00882ABD">
            <w:pPr>
              <w:spacing w:after="0" w:line="240" w:lineRule="auto"/>
              <w:rPr>
                <w:rFonts w:ascii="Garamond" w:hAnsi="Garamond"/>
                <w:i/>
                <w:sz w:val="20"/>
                <w:szCs w:val="24"/>
              </w:rPr>
            </w:pPr>
            <w:r w:rsidRPr="00913E39">
              <w:rPr>
                <w:rFonts w:ascii="Garamond" w:hAnsi="Garamond"/>
                <w:i/>
                <w:sz w:val="20"/>
                <w:szCs w:val="24"/>
              </w:rPr>
              <w:t>(2)</w:t>
            </w:r>
          </w:p>
        </w:tc>
      </w:tr>
      <w:tr w:rsidR="0090197C" w:rsidRPr="00913E39" w14:paraId="19A94065" w14:textId="77777777" w:rsidTr="009C2266">
        <w:tc>
          <w:tcPr>
            <w:tcW w:w="7943" w:type="dxa"/>
            <w:tcBorders>
              <w:top w:val="single" w:sz="4" w:space="0" w:color="auto"/>
              <w:bottom w:val="single" w:sz="4" w:space="0" w:color="auto"/>
            </w:tcBorders>
            <w:shd w:val="clear" w:color="auto" w:fill="auto"/>
          </w:tcPr>
          <w:p w14:paraId="29DA4BBA"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A është ndjekur mendimi i autoriteteve kompetente mjedisore në vendimin për lejen e zhvillimit? Nëse jo, shpjegoni shkurtimisht pse.</w:t>
            </w:r>
          </w:p>
        </w:tc>
        <w:tc>
          <w:tcPr>
            <w:tcW w:w="705" w:type="dxa"/>
            <w:tcBorders>
              <w:top w:val="single" w:sz="4" w:space="0" w:color="auto"/>
              <w:bottom w:val="single" w:sz="4" w:space="0" w:color="auto"/>
            </w:tcBorders>
            <w:shd w:val="clear" w:color="auto" w:fill="auto"/>
          </w:tcPr>
          <w:p w14:paraId="3697F6FD" w14:textId="77777777" w:rsidR="0090197C" w:rsidRPr="00913E39" w:rsidRDefault="0090197C" w:rsidP="00882ABD">
            <w:pPr>
              <w:spacing w:after="0" w:line="240" w:lineRule="auto"/>
              <w:rPr>
                <w:rFonts w:ascii="Garamond" w:hAnsi="Garamond"/>
                <w:i/>
                <w:sz w:val="20"/>
                <w:szCs w:val="24"/>
              </w:rPr>
            </w:pPr>
          </w:p>
        </w:tc>
        <w:tc>
          <w:tcPr>
            <w:tcW w:w="703" w:type="dxa"/>
            <w:tcBorders>
              <w:top w:val="single" w:sz="4" w:space="0" w:color="auto"/>
              <w:bottom w:val="single" w:sz="4" w:space="0" w:color="auto"/>
            </w:tcBorders>
            <w:shd w:val="clear" w:color="auto" w:fill="auto"/>
          </w:tcPr>
          <w:p w14:paraId="7EEB0845" w14:textId="77777777" w:rsidR="0090197C" w:rsidRPr="00913E39" w:rsidRDefault="0090197C" w:rsidP="00882ABD">
            <w:pPr>
              <w:spacing w:after="0" w:line="240" w:lineRule="auto"/>
              <w:rPr>
                <w:rFonts w:ascii="Garamond" w:hAnsi="Garamond"/>
                <w:i/>
                <w:sz w:val="20"/>
                <w:szCs w:val="24"/>
              </w:rPr>
            </w:pPr>
          </w:p>
        </w:tc>
      </w:tr>
      <w:tr w:rsidR="0090197C" w:rsidRPr="00913E39" w14:paraId="191AF80C" w14:textId="77777777" w:rsidTr="009C2266">
        <w:tc>
          <w:tcPr>
            <w:tcW w:w="7943" w:type="dxa"/>
            <w:tcBorders>
              <w:top w:val="single" w:sz="4" w:space="0" w:color="auto"/>
            </w:tcBorders>
            <w:shd w:val="clear" w:color="auto" w:fill="auto"/>
          </w:tcPr>
          <w:p w14:paraId="0D1829F4"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 xml:space="preserve">A janë përfshirë (dhe si) konkluzionet nga pjesëmarrja e publikut (dhe konsultimet ndërkufitare, nëse është e nevojshme) apo janë adresuar ndryshe në vendimin për dhënien e pëlqimit për zhvillim? Nëse jo, ose vetëm pjesërisht, shpjegoni shkurtimisht pse. </w:t>
            </w:r>
          </w:p>
        </w:tc>
        <w:tc>
          <w:tcPr>
            <w:tcW w:w="705" w:type="dxa"/>
            <w:tcBorders>
              <w:top w:val="single" w:sz="4" w:space="0" w:color="auto"/>
            </w:tcBorders>
            <w:shd w:val="clear" w:color="auto" w:fill="auto"/>
          </w:tcPr>
          <w:p w14:paraId="730E1F26" w14:textId="77777777" w:rsidR="0090197C" w:rsidRPr="00913E39" w:rsidRDefault="0090197C" w:rsidP="00882ABD">
            <w:pPr>
              <w:spacing w:after="0" w:line="240" w:lineRule="auto"/>
              <w:rPr>
                <w:rFonts w:ascii="Garamond" w:hAnsi="Garamond"/>
                <w:i/>
                <w:sz w:val="20"/>
                <w:szCs w:val="24"/>
              </w:rPr>
            </w:pPr>
          </w:p>
        </w:tc>
        <w:tc>
          <w:tcPr>
            <w:tcW w:w="703" w:type="dxa"/>
            <w:tcBorders>
              <w:top w:val="single" w:sz="4" w:space="0" w:color="auto"/>
            </w:tcBorders>
            <w:shd w:val="clear" w:color="auto" w:fill="auto"/>
          </w:tcPr>
          <w:p w14:paraId="7FCDE6C4" w14:textId="77777777" w:rsidR="0090197C" w:rsidRPr="00913E39" w:rsidRDefault="0090197C" w:rsidP="00882ABD">
            <w:pPr>
              <w:spacing w:after="0" w:line="240" w:lineRule="auto"/>
              <w:rPr>
                <w:rFonts w:ascii="Garamond" w:hAnsi="Garamond"/>
                <w:i/>
                <w:sz w:val="20"/>
                <w:szCs w:val="24"/>
              </w:rPr>
            </w:pPr>
          </w:p>
        </w:tc>
      </w:tr>
    </w:tbl>
    <w:p w14:paraId="3AAAAE2A" w14:textId="77777777" w:rsidR="0090197C" w:rsidRPr="00913E39" w:rsidRDefault="0090197C" w:rsidP="0003243A">
      <w:pPr>
        <w:spacing w:after="0" w:line="240" w:lineRule="auto"/>
        <w:ind w:firstLine="284"/>
        <w:jc w:val="both"/>
        <w:rPr>
          <w:rFonts w:ascii="Garamond" w:hAnsi="Garamond"/>
          <w:sz w:val="24"/>
        </w:rPr>
      </w:pPr>
      <w:r w:rsidRPr="00913E39">
        <w:rPr>
          <w:rFonts w:ascii="Garamond" w:hAnsi="Garamond"/>
          <w:sz w:val="24"/>
        </w:rPr>
        <w:t>1. Nëse PO, në cilën datë?</w:t>
      </w:r>
    </w:p>
    <w:p w14:paraId="40E857E0" w14:textId="77777777" w:rsidR="0090197C" w:rsidRPr="00913E39" w:rsidRDefault="0090197C" w:rsidP="0003243A">
      <w:pPr>
        <w:spacing w:after="0" w:line="240" w:lineRule="auto"/>
        <w:ind w:firstLine="284"/>
        <w:jc w:val="both"/>
        <w:rPr>
          <w:rFonts w:ascii="Garamond" w:hAnsi="Garamond"/>
          <w:sz w:val="24"/>
          <w:szCs w:val="24"/>
        </w:rPr>
      </w:pPr>
      <w:r w:rsidRPr="00913E39">
        <w:rPr>
          <w:rFonts w:ascii="Garamond" w:hAnsi="Garamond"/>
          <w:sz w:val="24"/>
        </w:rPr>
        <w:t xml:space="preserve">2. Nëse JO, kur është paraqitur kërkesa zyrtare për miratimin për zhvillimin? </w:t>
      </w:r>
      <w:r w:rsidRPr="00913E39">
        <w:rPr>
          <w:rFonts w:ascii="Garamond" w:hAnsi="Garamond"/>
          <w:sz w:val="24"/>
          <w:szCs w:val="24"/>
        </w:rPr>
        <w:t xml:space="preserve">Deri në cilën datë pritet vendimi përfundimtar? </w:t>
      </w:r>
    </w:p>
    <w:p w14:paraId="2C800551" w14:textId="77777777" w:rsidR="0090197C" w:rsidRPr="00913E39" w:rsidRDefault="0090197C" w:rsidP="0003243A">
      <w:pPr>
        <w:spacing w:after="0" w:line="240" w:lineRule="auto"/>
        <w:ind w:firstLine="284"/>
        <w:jc w:val="both"/>
        <w:rPr>
          <w:rFonts w:ascii="Garamond" w:hAnsi="Garamond"/>
          <w:sz w:val="24"/>
          <w:szCs w:val="24"/>
        </w:rPr>
      </w:pPr>
      <w:r w:rsidRPr="00913E39">
        <w:rPr>
          <w:rFonts w:ascii="Garamond" w:hAnsi="Garamond"/>
          <w:sz w:val="24"/>
          <w:szCs w:val="24"/>
        </w:rPr>
        <w:t>Specifikoni autoritetin ose autoritetet kompetente, të cilat kanë dhënë ose do të japin miratimin për zhvillim.</w:t>
      </w:r>
      <w:bookmarkStart w:id="103" w:name="_Toc142287296"/>
    </w:p>
    <w:p w14:paraId="4658BF34" w14:textId="2343EE71" w:rsidR="0090197C" w:rsidRPr="00913E39" w:rsidRDefault="0090197C" w:rsidP="0003243A">
      <w:pPr>
        <w:spacing w:after="0" w:line="240" w:lineRule="auto"/>
        <w:ind w:firstLine="284"/>
        <w:jc w:val="both"/>
        <w:rPr>
          <w:rFonts w:ascii="Garamond" w:hAnsi="Garamond"/>
          <w:i/>
          <w:sz w:val="24"/>
          <w:szCs w:val="24"/>
        </w:rPr>
      </w:pPr>
      <w:r w:rsidRPr="00913E39">
        <w:rPr>
          <w:rFonts w:ascii="Garamond" w:hAnsi="Garamond"/>
          <w:i/>
          <w:sz w:val="24"/>
          <w:szCs w:val="24"/>
        </w:rPr>
        <w:t xml:space="preserve">4.3.2 Legjislacioni i BE-së </w:t>
      </w:r>
      <w:r w:rsidR="0003243A" w:rsidRPr="00913E39">
        <w:rPr>
          <w:rFonts w:ascii="Garamond" w:hAnsi="Garamond"/>
          <w:i/>
          <w:sz w:val="24"/>
          <w:szCs w:val="24"/>
        </w:rPr>
        <w:t xml:space="preserve">për vlerësimin e ndikimit mjedisor </w:t>
      </w:r>
      <w:r w:rsidRPr="00913E39">
        <w:rPr>
          <w:rFonts w:ascii="Garamond" w:hAnsi="Garamond"/>
          <w:i/>
          <w:sz w:val="24"/>
          <w:szCs w:val="24"/>
        </w:rPr>
        <w:t xml:space="preserve">(VNM) </w:t>
      </w:r>
      <w:bookmarkEnd w:id="103"/>
      <w:r w:rsidRPr="00913E39">
        <w:rPr>
          <w:rFonts w:ascii="Garamond" w:hAnsi="Garamond"/>
          <w:i/>
          <w:sz w:val="24"/>
          <w:szCs w:val="24"/>
        </w:rPr>
        <w:t>në fuqi</w:t>
      </w:r>
      <w:r w:rsidRPr="00913E39">
        <w:rPr>
          <w:rStyle w:val="FootnoteReference"/>
          <w:rFonts w:ascii="Garamond" w:hAnsi="Garamond"/>
          <w:i/>
          <w:sz w:val="24"/>
          <w:szCs w:val="24"/>
        </w:rPr>
        <w:footnoteReference w:id="119"/>
      </w:r>
    </w:p>
    <w:p w14:paraId="55AC125E" w14:textId="3C124092" w:rsidR="0090197C" w:rsidRPr="00913E39" w:rsidRDefault="0090197C" w:rsidP="0003243A">
      <w:pPr>
        <w:spacing w:after="0" w:line="240" w:lineRule="auto"/>
        <w:ind w:firstLine="284"/>
        <w:jc w:val="both"/>
        <w:rPr>
          <w:rFonts w:ascii="Garamond" w:hAnsi="Garamond"/>
          <w:sz w:val="24"/>
          <w:szCs w:val="24"/>
        </w:rPr>
      </w:pPr>
      <w:r w:rsidRPr="00913E39">
        <w:rPr>
          <w:rFonts w:ascii="Garamond" w:hAnsi="Garamond"/>
          <w:sz w:val="24"/>
          <w:szCs w:val="24"/>
        </w:rPr>
        <w:t>A është projekti një klasë zhvillimi e mbuluar nga:</w:t>
      </w:r>
    </w:p>
    <w:tbl>
      <w:tblPr>
        <w:tblW w:w="850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4"/>
        <w:gridCol w:w="691"/>
        <w:gridCol w:w="695"/>
      </w:tblGrid>
      <w:tr w:rsidR="0090197C" w:rsidRPr="00913E39" w14:paraId="52FA51C3" w14:textId="77777777" w:rsidTr="009C2266">
        <w:tc>
          <w:tcPr>
            <w:tcW w:w="7114" w:type="dxa"/>
            <w:tcBorders>
              <w:top w:val="nil"/>
              <w:left w:val="nil"/>
              <w:bottom w:val="single" w:sz="4" w:space="0" w:color="auto"/>
              <w:right w:val="single" w:sz="4" w:space="0" w:color="auto"/>
            </w:tcBorders>
            <w:shd w:val="clear" w:color="auto" w:fill="auto"/>
          </w:tcPr>
          <w:p w14:paraId="4549903E" w14:textId="77777777" w:rsidR="0090197C" w:rsidRPr="00913E39" w:rsidRDefault="0090197C" w:rsidP="00882ABD">
            <w:pPr>
              <w:spacing w:after="0" w:line="240" w:lineRule="auto"/>
              <w:rPr>
                <w:rFonts w:ascii="Garamond" w:hAnsi="Garamond"/>
                <w:i/>
                <w:sz w:val="20"/>
                <w:szCs w:val="24"/>
              </w:rPr>
            </w:pPr>
          </w:p>
        </w:tc>
        <w:tc>
          <w:tcPr>
            <w:tcW w:w="691" w:type="dxa"/>
            <w:tcBorders>
              <w:left w:val="single" w:sz="4" w:space="0" w:color="auto"/>
              <w:bottom w:val="single" w:sz="4" w:space="0" w:color="auto"/>
            </w:tcBorders>
            <w:shd w:val="clear" w:color="auto" w:fill="auto"/>
          </w:tcPr>
          <w:p w14:paraId="322F6A2C"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Po</w:t>
            </w:r>
          </w:p>
        </w:tc>
        <w:tc>
          <w:tcPr>
            <w:tcW w:w="695" w:type="dxa"/>
            <w:tcBorders>
              <w:left w:val="single" w:sz="4" w:space="0" w:color="auto"/>
              <w:bottom w:val="single" w:sz="4" w:space="0" w:color="auto"/>
            </w:tcBorders>
            <w:shd w:val="clear" w:color="auto" w:fill="auto"/>
          </w:tcPr>
          <w:p w14:paraId="6008F70B"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Jo</w:t>
            </w:r>
          </w:p>
        </w:tc>
      </w:tr>
      <w:tr w:rsidR="0090197C" w:rsidRPr="00913E39" w14:paraId="4E4BE052" w14:textId="77777777" w:rsidTr="009C2266">
        <w:tc>
          <w:tcPr>
            <w:tcW w:w="7114" w:type="dxa"/>
            <w:tcBorders>
              <w:top w:val="single" w:sz="4" w:space="0" w:color="auto"/>
              <w:bottom w:val="single" w:sz="4" w:space="0" w:color="auto"/>
            </w:tcBorders>
            <w:shd w:val="clear" w:color="auto" w:fill="auto"/>
          </w:tcPr>
          <w:p w14:paraId="681F8DD7" w14:textId="088F8167" w:rsidR="0090197C" w:rsidRPr="00913E39" w:rsidRDefault="0090197C" w:rsidP="00882ABD">
            <w:pPr>
              <w:tabs>
                <w:tab w:val="num" w:pos="2520"/>
              </w:tabs>
              <w:spacing w:after="0" w:line="240" w:lineRule="auto"/>
              <w:rPr>
                <w:rFonts w:ascii="Garamond" w:hAnsi="Garamond"/>
                <w:sz w:val="20"/>
                <w:szCs w:val="24"/>
              </w:rPr>
            </w:pPr>
            <w:r w:rsidRPr="00913E39">
              <w:rPr>
                <w:rFonts w:ascii="Garamond" w:hAnsi="Garamond"/>
                <w:sz w:val="20"/>
                <w:szCs w:val="24"/>
              </w:rPr>
              <w:t xml:space="preserve">Aneksi I i </w:t>
            </w:r>
            <w:r w:rsidR="0003243A" w:rsidRPr="00913E39">
              <w:rPr>
                <w:rFonts w:ascii="Garamond" w:hAnsi="Garamond"/>
                <w:sz w:val="20"/>
                <w:szCs w:val="24"/>
              </w:rPr>
              <w:t>d</w:t>
            </w:r>
            <w:r w:rsidRPr="00913E39">
              <w:rPr>
                <w:rFonts w:ascii="Garamond" w:hAnsi="Garamond"/>
                <w:sz w:val="20"/>
                <w:szCs w:val="24"/>
              </w:rPr>
              <w:t xml:space="preserve">irektivës </w:t>
            </w:r>
          </w:p>
        </w:tc>
        <w:tc>
          <w:tcPr>
            <w:tcW w:w="691" w:type="dxa"/>
            <w:tcBorders>
              <w:top w:val="single" w:sz="4" w:space="0" w:color="auto"/>
              <w:bottom w:val="single" w:sz="4" w:space="0" w:color="auto"/>
            </w:tcBorders>
            <w:shd w:val="clear" w:color="auto" w:fill="auto"/>
          </w:tcPr>
          <w:p w14:paraId="1D914F71" w14:textId="77777777" w:rsidR="0090197C" w:rsidRPr="00913E39" w:rsidRDefault="0090197C" w:rsidP="00882ABD">
            <w:pPr>
              <w:spacing w:after="0" w:line="240" w:lineRule="auto"/>
              <w:rPr>
                <w:rFonts w:ascii="Garamond" w:hAnsi="Garamond"/>
                <w:i/>
                <w:sz w:val="20"/>
                <w:szCs w:val="24"/>
              </w:rPr>
            </w:pPr>
            <w:r w:rsidRPr="00913E39">
              <w:rPr>
                <w:rFonts w:ascii="Garamond" w:hAnsi="Garamond"/>
                <w:i/>
                <w:sz w:val="20"/>
                <w:szCs w:val="24"/>
              </w:rPr>
              <w:t>(1)</w:t>
            </w:r>
          </w:p>
        </w:tc>
        <w:tc>
          <w:tcPr>
            <w:tcW w:w="695" w:type="dxa"/>
            <w:tcBorders>
              <w:top w:val="single" w:sz="4" w:space="0" w:color="auto"/>
              <w:bottom w:val="single" w:sz="4" w:space="0" w:color="auto"/>
            </w:tcBorders>
            <w:shd w:val="clear" w:color="auto" w:fill="auto"/>
          </w:tcPr>
          <w:p w14:paraId="6AA16FD3" w14:textId="77777777" w:rsidR="0090197C" w:rsidRPr="00913E39" w:rsidRDefault="0090197C" w:rsidP="00882ABD">
            <w:pPr>
              <w:spacing w:after="0" w:line="240" w:lineRule="auto"/>
              <w:rPr>
                <w:rFonts w:ascii="Garamond" w:hAnsi="Garamond"/>
                <w:i/>
                <w:sz w:val="20"/>
                <w:szCs w:val="24"/>
              </w:rPr>
            </w:pPr>
          </w:p>
        </w:tc>
      </w:tr>
      <w:tr w:rsidR="0090197C" w:rsidRPr="00913E39" w14:paraId="3C7F0325" w14:textId="77777777" w:rsidTr="009C2266">
        <w:tc>
          <w:tcPr>
            <w:tcW w:w="7114" w:type="dxa"/>
            <w:tcBorders>
              <w:top w:val="single" w:sz="4" w:space="0" w:color="auto"/>
              <w:bottom w:val="nil"/>
            </w:tcBorders>
            <w:shd w:val="clear" w:color="auto" w:fill="auto"/>
          </w:tcPr>
          <w:p w14:paraId="4FE98E7E" w14:textId="0B00CA01" w:rsidR="0090197C" w:rsidRPr="00913E39" w:rsidRDefault="0090197C" w:rsidP="00882ABD">
            <w:pPr>
              <w:tabs>
                <w:tab w:val="num" w:pos="2520"/>
              </w:tabs>
              <w:spacing w:after="0" w:line="240" w:lineRule="auto"/>
              <w:rPr>
                <w:rFonts w:ascii="Garamond" w:hAnsi="Garamond"/>
                <w:sz w:val="20"/>
                <w:szCs w:val="24"/>
              </w:rPr>
            </w:pPr>
            <w:r w:rsidRPr="00913E39">
              <w:rPr>
                <w:rFonts w:ascii="Garamond" w:hAnsi="Garamond"/>
                <w:sz w:val="20"/>
                <w:szCs w:val="24"/>
              </w:rPr>
              <w:t xml:space="preserve">Aneksi II i </w:t>
            </w:r>
            <w:r w:rsidR="0003243A" w:rsidRPr="00913E39">
              <w:rPr>
                <w:rFonts w:ascii="Garamond" w:hAnsi="Garamond"/>
                <w:sz w:val="20"/>
                <w:szCs w:val="24"/>
              </w:rPr>
              <w:t>d</w:t>
            </w:r>
            <w:r w:rsidRPr="00913E39">
              <w:rPr>
                <w:rFonts w:ascii="Garamond" w:hAnsi="Garamond"/>
                <w:sz w:val="20"/>
                <w:szCs w:val="24"/>
              </w:rPr>
              <w:t xml:space="preserve">irektivës </w:t>
            </w:r>
          </w:p>
        </w:tc>
        <w:tc>
          <w:tcPr>
            <w:tcW w:w="691" w:type="dxa"/>
            <w:tcBorders>
              <w:top w:val="single" w:sz="4" w:space="0" w:color="auto"/>
              <w:bottom w:val="single" w:sz="4" w:space="0" w:color="auto"/>
            </w:tcBorders>
            <w:shd w:val="clear" w:color="auto" w:fill="auto"/>
          </w:tcPr>
          <w:p w14:paraId="4E0C5668" w14:textId="77777777" w:rsidR="0090197C" w:rsidRPr="00913E39" w:rsidRDefault="0090197C" w:rsidP="00882ABD">
            <w:pPr>
              <w:spacing w:after="0" w:line="240" w:lineRule="auto"/>
              <w:rPr>
                <w:rFonts w:ascii="Garamond" w:hAnsi="Garamond"/>
                <w:i/>
                <w:sz w:val="20"/>
                <w:szCs w:val="24"/>
              </w:rPr>
            </w:pPr>
          </w:p>
        </w:tc>
        <w:tc>
          <w:tcPr>
            <w:tcW w:w="695" w:type="dxa"/>
            <w:tcBorders>
              <w:top w:val="single" w:sz="4" w:space="0" w:color="auto"/>
              <w:bottom w:val="single" w:sz="4" w:space="0" w:color="auto"/>
            </w:tcBorders>
            <w:shd w:val="clear" w:color="auto" w:fill="auto"/>
          </w:tcPr>
          <w:p w14:paraId="4A5BBD6E" w14:textId="77777777" w:rsidR="0090197C" w:rsidRPr="00913E39" w:rsidRDefault="0090197C" w:rsidP="00882ABD">
            <w:pPr>
              <w:spacing w:after="0" w:line="240" w:lineRule="auto"/>
              <w:rPr>
                <w:rFonts w:ascii="Garamond" w:hAnsi="Garamond"/>
                <w:i/>
                <w:sz w:val="20"/>
                <w:szCs w:val="24"/>
              </w:rPr>
            </w:pPr>
          </w:p>
        </w:tc>
      </w:tr>
      <w:tr w:rsidR="0090197C" w:rsidRPr="00913E39" w14:paraId="151A7A56" w14:textId="77777777" w:rsidTr="009C2266">
        <w:tc>
          <w:tcPr>
            <w:tcW w:w="7114" w:type="dxa"/>
            <w:tcBorders>
              <w:top w:val="nil"/>
            </w:tcBorders>
            <w:shd w:val="clear" w:color="auto" w:fill="auto"/>
          </w:tcPr>
          <w:p w14:paraId="6FA888A4" w14:textId="214946A2" w:rsidR="0090197C" w:rsidRPr="00913E39" w:rsidRDefault="0090197C" w:rsidP="00882ABD">
            <w:pPr>
              <w:tabs>
                <w:tab w:val="num" w:pos="2520"/>
              </w:tabs>
              <w:spacing w:after="0" w:line="240" w:lineRule="auto"/>
              <w:rPr>
                <w:rFonts w:ascii="Garamond" w:hAnsi="Garamond"/>
                <w:sz w:val="20"/>
                <w:szCs w:val="24"/>
              </w:rPr>
            </w:pPr>
            <w:r w:rsidRPr="00913E39">
              <w:rPr>
                <w:rFonts w:ascii="Garamond" w:hAnsi="Garamond"/>
                <w:sz w:val="20"/>
                <w:szCs w:val="24"/>
              </w:rPr>
              <w:t xml:space="preserve">A është kryer </w:t>
            </w:r>
            <w:r w:rsidR="0003243A" w:rsidRPr="00913E39">
              <w:rPr>
                <w:rFonts w:ascii="Garamond" w:hAnsi="Garamond"/>
                <w:sz w:val="20"/>
                <w:szCs w:val="24"/>
              </w:rPr>
              <w:t xml:space="preserve">vlerësimi i ndikimit në mjedis </w:t>
            </w:r>
            <w:r w:rsidRPr="00913E39">
              <w:rPr>
                <w:rFonts w:ascii="Garamond" w:hAnsi="Garamond"/>
                <w:sz w:val="20"/>
                <w:szCs w:val="24"/>
              </w:rPr>
              <w:t>për këtë projekt?</w:t>
            </w:r>
          </w:p>
        </w:tc>
        <w:tc>
          <w:tcPr>
            <w:tcW w:w="691" w:type="dxa"/>
            <w:tcBorders>
              <w:top w:val="single" w:sz="4" w:space="0" w:color="auto"/>
            </w:tcBorders>
            <w:shd w:val="clear" w:color="auto" w:fill="auto"/>
          </w:tcPr>
          <w:p w14:paraId="2F8EF27E" w14:textId="77777777" w:rsidR="0090197C" w:rsidRPr="00913E39" w:rsidRDefault="0090197C" w:rsidP="00882ABD">
            <w:pPr>
              <w:spacing w:after="0" w:line="240" w:lineRule="auto"/>
              <w:rPr>
                <w:rFonts w:ascii="Garamond" w:hAnsi="Garamond"/>
                <w:i/>
                <w:sz w:val="20"/>
                <w:szCs w:val="24"/>
              </w:rPr>
            </w:pPr>
          </w:p>
        </w:tc>
        <w:tc>
          <w:tcPr>
            <w:tcW w:w="695" w:type="dxa"/>
            <w:tcBorders>
              <w:top w:val="single" w:sz="4" w:space="0" w:color="auto"/>
            </w:tcBorders>
            <w:shd w:val="clear" w:color="auto" w:fill="auto"/>
          </w:tcPr>
          <w:p w14:paraId="19F98971"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(2)</w:t>
            </w:r>
          </w:p>
        </w:tc>
      </w:tr>
      <w:tr w:rsidR="0090197C" w:rsidRPr="00913E39" w14:paraId="569D4E88" w14:textId="77777777" w:rsidTr="009C2266">
        <w:tc>
          <w:tcPr>
            <w:tcW w:w="7114" w:type="dxa"/>
            <w:tcBorders>
              <w:top w:val="single" w:sz="4" w:space="0" w:color="auto"/>
            </w:tcBorders>
            <w:shd w:val="clear" w:color="auto" w:fill="auto"/>
          </w:tcPr>
          <w:p w14:paraId="33D3F741" w14:textId="77777777" w:rsidR="0090197C" w:rsidRPr="00913E39" w:rsidRDefault="0090197C" w:rsidP="00882ABD">
            <w:pPr>
              <w:tabs>
                <w:tab w:val="num" w:pos="2520"/>
              </w:tabs>
              <w:spacing w:after="0" w:line="240" w:lineRule="auto"/>
              <w:rPr>
                <w:rFonts w:ascii="Garamond" w:hAnsi="Garamond"/>
                <w:sz w:val="20"/>
                <w:szCs w:val="24"/>
              </w:rPr>
            </w:pPr>
            <w:r w:rsidRPr="00913E39">
              <w:rPr>
                <w:rFonts w:ascii="Garamond" w:hAnsi="Garamond"/>
                <w:sz w:val="20"/>
                <w:szCs w:val="24"/>
              </w:rPr>
              <w:t xml:space="preserve">Asnjë nga të dy anekset  </w:t>
            </w:r>
          </w:p>
        </w:tc>
        <w:tc>
          <w:tcPr>
            <w:tcW w:w="691" w:type="dxa"/>
            <w:tcBorders>
              <w:top w:val="single" w:sz="4" w:space="0" w:color="auto"/>
            </w:tcBorders>
            <w:shd w:val="clear" w:color="auto" w:fill="auto"/>
          </w:tcPr>
          <w:p w14:paraId="65C1536D" w14:textId="77777777" w:rsidR="0090197C" w:rsidRPr="00913E39" w:rsidRDefault="0090197C" w:rsidP="00882ABD">
            <w:pPr>
              <w:spacing w:after="0" w:line="240" w:lineRule="auto"/>
              <w:rPr>
                <w:rFonts w:ascii="Garamond" w:hAnsi="Garamond"/>
                <w:i/>
                <w:sz w:val="20"/>
                <w:szCs w:val="24"/>
              </w:rPr>
            </w:pPr>
          </w:p>
        </w:tc>
        <w:tc>
          <w:tcPr>
            <w:tcW w:w="695" w:type="dxa"/>
            <w:tcBorders>
              <w:top w:val="single" w:sz="4" w:space="0" w:color="auto"/>
            </w:tcBorders>
            <w:shd w:val="clear" w:color="auto" w:fill="auto"/>
          </w:tcPr>
          <w:p w14:paraId="44AA5C22" w14:textId="77777777" w:rsidR="0090197C" w:rsidRPr="00913E39" w:rsidRDefault="0090197C" w:rsidP="00882ABD">
            <w:pPr>
              <w:spacing w:after="0" w:line="240" w:lineRule="auto"/>
              <w:rPr>
                <w:rFonts w:ascii="Garamond" w:hAnsi="Garamond"/>
                <w:i/>
                <w:sz w:val="20"/>
                <w:szCs w:val="24"/>
              </w:rPr>
            </w:pPr>
          </w:p>
        </w:tc>
      </w:tr>
    </w:tbl>
    <w:p w14:paraId="6BDA8A80" w14:textId="0B3A1326" w:rsidR="0090197C" w:rsidRPr="00913E39" w:rsidRDefault="0090197C" w:rsidP="00E8580A">
      <w:pPr>
        <w:spacing w:after="0" w:line="240" w:lineRule="auto"/>
        <w:ind w:firstLine="284"/>
        <w:jc w:val="both"/>
        <w:rPr>
          <w:rFonts w:ascii="Garamond" w:hAnsi="Garamond"/>
          <w:sz w:val="24"/>
          <w:szCs w:val="24"/>
        </w:rPr>
      </w:pPr>
      <w:r w:rsidRPr="00913E39">
        <w:rPr>
          <w:rFonts w:ascii="Garamond" w:hAnsi="Garamond"/>
          <w:sz w:val="24"/>
          <w:szCs w:val="24"/>
        </w:rPr>
        <w:t xml:space="preserve">1. Kur mbulohet nga </w:t>
      </w:r>
      <w:r w:rsidR="0003243A" w:rsidRPr="00913E39">
        <w:rPr>
          <w:rFonts w:ascii="Garamond" w:hAnsi="Garamond"/>
          <w:sz w:val="24"/>
          <w:szCs w:val="24"/>
        </w:rPr>
        <w:t xml:space="preserve">aneksi </w:t>
      </w:r>
      <w:r w:rsidRPr="00913E39">
        <w:rPr>
          <w:rFonts w:ascii="Garamond" w:hAnsi="Garamond"/>
          <w:sz w:val="24"/>
          <w:szCs w:val="24"/>
        </w:rPr>
        <w:t xml:space="preserve">I ose </w:t>
      </w:r>
      <w:r w:rsidR="0003243A" w:rsidRPr="00913E39">
        <w:rPr>
          <w:rFonts w:ascii="Garamond" w:hAnsi="Garamond"/>
          <w:sz w:val="24"/>
          <w:szCs w:val="24"/>
        </w:rPr>
        <w:t xml:space="preserve">aneksi </w:t>
      </w:r>
      <w:r w:rsidRPr="00913E39">
        <w:rPr>
          <w:rFonts w:ascii="Garamond" w:hAnsi="Garamond"/>
          <w:sz w:val="24"/>
          <w:szCs w:val="24"/>
        </w:rPr>
        <w:t xml:space="preserve">II i </w:t>
      </w:r>
      <w:r w:rsidR="0003243A" w:rsidRPr="00913E39">
        <w:rPr>
          <w:rFonts w:ascii="Garamond" w:hAnsi="Garamond"/>
          <w:sz w:val="24"/>
          <w:szCs w:val="24"/>
        </w:rPr>
        <w:t>d</w:t>
      </w:r>
      <w:r w:rsidRPr="00913E39">
        <w:rPr>
          <w:rFonts w:ascii="Garamond" w:hAnsi="Garamond"/>
          <w:sz w:val="24"/>
          <w:szCs w:val="24"/>
        </w:rPr>
        <w:t>irektivës, bashkëlidhni sa më poshtë:</w:t>
      </w:r>
    </w:p>
    <w:p w14:paraId="3A003B33" w14:textId="0B880AA2" w:rsidR="0090197C" w:rsidRPr="00913E39" w:rsidRDefault="0090197C" w:rsidP="00E8580A">
      <w:pPr>
        <w:pStyle w:val="FootnoteText"/>
        <w:tabs>
          <w:tab w:val="left" w:pos="993"/>
        </w:tabs>
        <w:ind w:firstLine="284"/>
        <w:rPr>
          <w:rFonts w:ascii="Garamond" w:hAnsi="Garamond"/>
          <w:sz w:val="24"/>
          <w:lang w:val="sq-AL"/>
        </w:rPr>
      </w:pPr>
      <w:r w:rsidRPr="00913E39">
        <w:rPr>
          <w:rFonts w:ascii="Garamond" w:hAnsi="Garamond"/>
          <w:sz w:val="24"/>
          <w:lang w:val="sq-AL"/>
        </w:rPr>
        <w:t xml:space="preserve">a) </w:t>
      </w:r>
      <w:r w:rsidR="00A1469E" w:rsidRPr="00913E39">
        <w:rPr>
          <w:rFonts w:ascii="Garamond" w:hAnsi="Garamond"/>
          <w:sz w:val="24"/>
          <w:lang w:val="sq-AL"/>
        </w:rPr>
        <w:t xml:space="preserve">përmbledhje </w:t>
      </w:r>
      <w:r w:rsidRPr="00913E39">
        <w:rPr>
          <w:rFonts w:ascii="Garamond" w:hAnsi="Garamond"/>
          <w:sz w:val="24"/>
          <w:lang w:val="sq-AL"/>
        </w:rPr>
        <w:t>joteknike</w:t>
      </w:r>
      <w:r w:rsidRPr="00913E39">
        <w:rPr>
          <w:rStyle w:val="FootnoteReference"/>
          <w:rFonts w:ascii="Garamond" w:eastAsia="DengXian" w:hAnsi="Garamond"/>
          <w:sz w:val="24"/>
          <w:lang w:val="sq-AL"/>
        </w:rPr>
        <w:footnoteReference w:id="120"/>
      </w:r>
      <w:r w:rsidRPr="00913E39">
        <w:rPr>
          <w:rFonts w:ascii="Garamond" w:hAnsi="Garamond"/>
          <w:sz w:val="24"/>
          <w:lang w:val="sq-AL"/>
        </w:rPr>
        <w:t xml:space="preserve"> e </w:t>
      </w:r>
      <w:r w:rsidR="0003243A" w:rsidRPr="00913E39">
        <w:rPr>
          <w:rFonts w:ascii="Garamond" w:hAnsi="Garamond"/>
          <w:sz w:val="24"/>
          <w:lang w:val="sq-AL"/>
        </w:rPr>
        <w:t xml:space="preserve">studimit të ndikimit në mjedis </w:t>
      </w:r>
      <w:r w:rsidRPr="00913E39">
        <w:rPr>
          <w:rFonts w:ascii="Garamond" w:hAnsi="Garamond"/>
          <w:sz w:val="24"/>
          <w:lang w:val="sq-AL"/>
        </w:rPr>
        <w:t>të kryer për projektin</w:t>
      </w:r>
      <w:r w:rsidR="00A1469E" w:rsidRPr="00913E39">
        <w:rPr>
          <w:rFonts w:ascii="Garamond" w:hAnsi="Garamond"/>
          <w:sz w:val="24"/>
          <w:lang w:val="sq-AL"/>
        </w:rPr>
        <w:t>;</w:t>
      </w:r>
    </w:p>
    <w:p w14:paraId="35EBE02E" w14:textId="66E320DF" w:rsidR="0090197C" w:rsidRPr="00913E39" w:rsidRDefault="0090197C" w:rsidP="0003243A">
      <w:pPr>
        <w:pStyle w:val="FootnoteText"/>
        <w:tabs>
          <w:tab w:val="left" w:pos="993"/>
        </w:tabs>
        <w:ind w:firstLine="284"/>
        <w:jc w:val="both"/>
        <w:rPr>
          <w:rFonts w:ascii="Garamond" w:hAnsi="Garamond"/>
          <w:sz w:val="24"/>
          <w:lang w:val="sq-AL"/>
        </w:rPr>
      </w:pPr>
      <w:r w:rsidRPr="00913E39">
        <w:rPr>
          <w:rFonts w:ascii="Garamond" w:hAnsi="Garamond"/>
          <w:sz w:val="24"/>
          <w:lang w:val="sq-AL"/>
        </w:rPr>
        <w:lastRenderedPageBreak/>
        <w:t xml:space="preserve">b) </w:t>
      </w:r>
      <w:r w:rsidR="00A1469E" w:rsidRPr="00913E39">
        <w:rPr>
          <w:rFonts w:ascii="Garamond" w:hAnsi="Garamond"/>
          <w:sz w:val="24"/>
          <w:lang w:val="sq-AL"/>
        </w:rPr>
        <w:t xml:space="preserve">informacion </w:t>
      </w:r>
      <w:r w:rsidRPr="00913E39">
        <w:rPr>
          <w:rFonts w:ascii="Garamond" w:hAnsi="Garamond"/>
          <w:sz w:val="24"/>
          <w:lang w:val="sq-AL"/>
        </w:rPr>
        <w:t>mbi konsultimet me autoritetet kompetente mjedisore, duke treguar se në çfarë mënyre janë marrë parasysh shqetësimet e të konsultuarve</w:t>
      </w:r>
      <w:r w:rsidR="00A1469E" w:rsidRPr="00913E39">
        <w:rPr>
          <w:rFonts w:ascii="Garamond" w:hAnsi="Garamond"/>
          <w:sz w:val="24"/>
          <w:lang w:val="sq-AL"/>
        </w:rPr>
        <w:t>;</w:t>
      </w:r>
    </w:p>
    <w:p w14:paraId="35041795" w14:textId="74906D2F" w:rsidR="0090197C" w:rsidRPr="00913E39" w:rsidRDefault="0090197C" w:rsidP="0003243A">
      <w:pPr>
        <w:pStyle w:val="FootnoteText"/>
        <w:tabs>
          <w:tab w:val="left" w:pos="993"/>
        </w:tabs>
        <w:ind w:firstLine="284"/>
        <w:jc w:val="both"/>
        <w:rPr>
          <w:rFonts w:ascii="Garamond" w:hAnsi="Garamond"/>
          <w:sz w:val="24"/>
          <w:lang w:val="sq-AL"/>
        </w:rPr>
      </w:pPr>
      <w:r w:rsidRPr="00913E39">
        <w:rPr>
          <w:rFonts w:ascii="Garamond" w:hAnsi="Garamond"/>
          <w:sz w:val="24"/>
          <w:lang w:val="sq-AL"/>
        </w:rPr>
        <w:t xml:space="preserve">c) </w:t>
      </w:r>
      <w:r w:rsidR="00A1469E" w:rsidRPr="00913E39">
        <w:rPr>
          <w:rFonts w:ascii="Garamond" w:hAnsi="Garamond"/>
          <w:sz w:val="24"/>
          <w:lang w:val="sq-AL"/>
        </w:rPr>
        <w:t xml:space="preserve">rezultatet </w:t>
      </w:r>
      <w:r w:rsidRPr="00913E39">
        <w:rPr>
          <w:rFonts w:ascii="Garamond" w:hAnsi="Garamond"/>
          <w:sz w:val="24"/>
          <w:lang w:val="sq-AL"/>
        </w:rPr>
        <w:t>e konsultimeve me publikun e interesuar</w:t>
      </w:r>
      <w:r w:rsidR="00A1469E" w:rsidRPr="00913E39">
        <w:rPr>
          <w:rFonts w:ascii="Garamond" w:hAnsi="Garamond"/>
          <w:sz w:val="24"/>
          <w:lang w:val="sq-AL"/>
        </w:rPr>
        <w:t>;</w:t>
      </w:r>
      <w:r w:rsidRPr="00913E39">
        <w:rPr>
          <w:rStyle w:val="FootnoteReference"/>
          <w:rFonts w:ascii="Garamond" w:eastAsia="DengXian" w:hAnsi="Garamond"/>
          <w:sz w:val="24"/>
          <w:lang w:val="sq-AL"/>
        </w:rPr>
        <w:footnoteReference w:id="121"/>
      </w:r>
    </w:p>
    <w:p w14:paraId="790984EB" w14:textId="607BF098" w:rsidR="0090197C" w:rsidRPr="00913E39" w:rsidRDefault="0090197C" w:rsidP="0003243A">
      <w:pPr>
        <w:pStyle w:val="FootnoteText"/>
        <w:tabs>
          <w:tab w:val="left" w:pos="993"/>
        </w:tabs>
        <w:ind w:firstLine="284"/>
        <w:jc w:val="both"/>
        <w:rPr>
          <w:rFonts w:ascii="Garamond" w:hAnsi="Garamond"/>
          <w:sz w:val="24"/>
          <w:lang w:val="sq-AL"/>
        </w:rPr>
      </w:pPr>
      <w:r w:rsidRPr="00913E39">
        <w:rPr>
          <w:rFonts w:ascii="Garamond" w:hAnsi="Garamond"/>
          <w:sz w:val="24"/>
          <w:lang w:val="sq-AL"/>
        </w:rPr>
        <w:t xml:space="preserve">d) </w:t>
      </w:r>
      <w:r w:rsidR="00A1469E" w:rsidRPr="00913E39">
        <w:rPr>
          <w:rFonts w:ascii="Garamond" w:hAnsi="Garamond"/>
          <w:sz w:val="24"/>
          <w:lang w:val="sq-AL"/>
        </w:rPr>
        <w:t xml:space="preserve">duhet </w:t>
      </w:r>
      <w:r w:rsidRPr="00913E39">
        <w:rPr>
          <w:rFonts w:ascii="Garamond" w:hAnsi="Garamond"/>
          <w:sz w:val="24"/>
          <w:lang w:val="sq-AL"/>
        </w:rPr>
        <w:t xml:space="preserve">të sigurohen konsultime ndërkufitare me ato shtete të prekura nga projekti, duke demonstruar se është zbatuar procedura e nenit 7 të direktivës VNM. Duhet të jepen të dhëna të mënyrës se si janë marrë parasysh shqetësimet e atyre që janë konsultuar dhe publikut të interesuar </w:t>
      </w:r>
    </w:p>
    <w:p w14:paraId="7D3D2ABF" w14:textId="15E9B5A5" w:rsidR="0090197C" w:rsidRPr="00913E39" w:rsidRDefault="0090197C" w:rsidP="0003243A">
      <w:pPr>
        <w:pStyle w:val="FootnoteText"/>
        <w:tabs>
          <w:tab w:val="left" w:pos="993"/>
        </w:tabs>
        <w:ind w:firstLine="284"/>
        <w:jc w:val="both"/>
        <w:rPr>
          <w:rFonts w:ascii="Garamond" w:hAnsi="Garamond"/>
          <w:sz w:val="24"/>
          <w:lang w:val="sq-AL"/>
        </w:rPr>
      </w:pPr>
      <w:r w:rsidRPr="00913E39">
        <w:rPr>
          <w:rFonts w:ascii="Garamond" w:hAnsi="Garamond"/>
          <w:sz w:val="24"/>
          <w:lang w:val="sq-AL"/>
        </w:rPr>
        <w:t xml:space="preserve">e) </w:t>
      </w:r>
      <w:r w:rsidR="00A1469E" w:rsidRPr="00913E39">
        <w:rPr>
          <w:rFonts w:ascii="Garamond" w:hAnsi="Garamond"/>
          <w:sz w:val="24"/>
          <w:lang w:val="sq-AL"/>
        </w:rPr>
        <w:t xml:space="preserve">të </w:t>
      </w:r>
      <w:r w:rsidRPr="00913E39">
        <w:rPr>
          <w:rFonts w:ascii="Garamond" w:hAnsi="Garamond"/>
          <w:sz w:val="24"/>
          <w:lang w:val="sq-AL"/>
        </w:rPr>
        <w:t>dhëna që vendimi për të dhënë ose kundërshuar miratimin për zhvillimin i është vënë në dispozicion publikut nga autoriteti kompetent</w:t>
      </w:r>
      <w:r w:rsidRPr="00913E39">
        <w:rPr>
          <w:rStyle w:val="FootnoteReference"/>
          <w:rFonts w:ascii="Garamond" w:eastAsia="DengXian" w:hAnsi="Garamond"/>
          <w:sz w:val="24"/>
          <w:lang w:val="sq-AL"/>
        </w:rPr>
        <w:footnoteReference w:id="122"/>
      </w:r>
      <w:r w:rsidRPr="00913E39">
        <w:rPr>
          <w:rFonts w:ascii="Garamond" w:hAnsi="Garamond"/>
          <w:sz w:val="24"/>
          <w:lang w:val="sq-AL"/>
        </w:rPr>
        <w:t>.</w:t>
      </w:r>
    </w:p>
    <w:p w14:paraId="2E9DD980" w14:textId="77777777" w:rsidR="0090197C" w:rsidRPr="00913E39" w:rsidRDefault="0090197C" w:rsidP="0003243A">
      <w:pPr>
        <w:tabs>
          <w:tab w:val="left" w:pos="993"/>
        </w:tabs>
        <w:spacing w:after="0" w:line="240" w:lineRule="auto"/>
        <w:ind w:firstLine="284"/>
        <w:jc w:val="both"/>
        <w:rPr>
          <w:rFonts w:ascii="Garamond" w:hAnsi="Garamond"/>
          <w:i/>
          <w:sz w:val="24"/>
          <w:szCs w:val="24"/>
        </w:rPr>
      </w:pPr>
      <w:r w:rsidRPr="00913E39">
        <w:rPr>
          <w:rFonts w:ascii="Garamond" w:hAnsi="Garamond"/>
          <w:i/>
          <w:sz w:val="24"/>
          <w:szCs w:val="24"/>
        </w:rPr>
        <w:t>Në lidhje me pikën b., c. dhe d., propozuesit e projektit duhet të informohen se këto mund të jenë në formën e një deklarate, përfundimi ose vërtetimi nga autoritetet kompetente mjedisore që dëshmojnë se të gjitha detyrimet e përshkruara në pikat e mësipërme janë ndjekur dhe duke përshkruar mënyrën se si.</w:t>
      </w:r>
    </w:p>
    <w:p w14:paraId="40D74CF6" w14:textId="2F5928EF" w:rsidR="009C2266" w:rsidRPr="00913E39" w:rsidRDefault="0090197C" w:rsidP="00BA2297">
      <w:pPr>
        <w:spacing w:after="0" w:line="240" w:lineRule="auto"/>
        <w:ind w:firstLine="284"/>
        <w:jc w:val="both"/>
        <w:rPr>
          <w:rFonts w:ascii="Garamond" w:hAnsi="Garamond"/>
          <w:sz w:val="24"/>
          <w:szCs w:val="24"/>
        </w:rPr>
      </w:pPr>
      <w:r w:rsidRPr="00913E39">
        <w:rPr>
          <w:rFonts w:ascii="Garamond" w:hAnsi="Garamond"/>
          <w:sz w:val="24"/>
          <w:szCs w:val="24"/>
        </w:rPr>
        <w:t xml:space="preserve">2. Nëse nuk është kryer VNM për projektet e mbuluara nga </w:t>
      </w:r>
      <w:r w:rsidR="0003243A" w:rsidRPr="00913E39">
        <w:rPr>
          <w:rFonts w:ascii="Garamond" w:hAnsi="Garamond"/>
          <w:sz w:val="24"/>
          <w:szCs w:val="24"/>
        </w:rPr>
        <w:t>a</w:t>
      </w:r>
      <w:r w:rsidRPr="00913E39">
        <w:rPr>
          <w:rFonts w:ascii="Garamond" w:hAnsi="Garamond"/>
          <w:sz w:val="24"/>
          <w:szCs w:val="24"/>
        </w:rPr>
        <w:t>neksi</w:t>
      </w:r>
      <w:r w:rsidRPr="003A3BA9">
        <w:rPr>
          <w:rFonts w:ascii="Garamond" w:hAnsi="Garamond"/>
          <w:sz w:val="24"/>
          <w:szCs w:val="24"/>
        </w:rPr>
        <w:t xml:space="preserve"> II,</w:t>
      </w:r>
      <w:r w:rsidRPr="00913E39">
        <w:rPr>
          <w:rFonts w:ascii="Garamond" w:hAnsi="Garamond"/>
          <w:sz w:val="24"/>
          <w:szCs w:val="24"/>
        </w:rPr>
        <w:t xml:space="preserve"> shpjegoni arsyet dhe jepni limitet, kriteret ose ekzaminimin rast pas rasti të kryer për të arritur në përfundimin se projekti nuk ka efekte të rënda mjedisore. Shpjegoni se si janë analizuar ndikimet ndërshtetëror dhe përshkruani se si dhe cilat kanë qenë përfundimet e analizës. Referojuni opinionit/konkluzionit të shqyrtimit të dhënë nga Autoriteti Kompetent i VNM-së dhe jepni të dhëna që vendimi (vendimi i shqyrtimit të VNM</w:t>
      </w:r>
      <w:r w:rsidR="00A1469E" w:rsidRPr="00913E39">
        <w:rPr>
          <w:rFonts w:ascii="Garamond" w:hAnsi="Garamond"/>
          <w:sz w:val="24"/>
          <w:szCs w:val="24"/>
        </w:rPr>
        <w:t>-së</w:t>
      </w:r>
      <w:r w:rsidRPr="00913E39">
        <w:rPr>
          <w:rFonts w:ascii="Garamond" w:hAnsi="Garamond"/>
          <w:sz w:val="24"/>
          <w:szCs w:val="24"/>
        </w:rPr>
        <w:t>) i është vënë në dispozicion të publikut.</w:t>
      </w:r>
      <w:bookmarkStart w:id="104" w:name="_Toc142287298"/>
    </w:p>
    <w:p w14:paraId="1EB0462C" w14:textId="37368969" w:rsidR="0090197C" w:rsidRDefault="0090197C" w:rsidP="00E8580A">
      <w:pPr>
        <w:pStyle w:val="Heading2"/>
        <w:spacing w:before="0" w:after="0"/>
        <w:ind w:firstLine="284"/>
        <w:jc w:val="both"/>
        <w:rPr>
          <w:rFonts w:ascii="Garamond" w:hAnsi="Garamond"/>
          <w:b w:val="0"/>
          <w:sz w:val="24"/>
          <w:szCs w:val="24"/>
          <w:lang w:val="sq-AL"/>
        </w:rPr>
      </w:pPr>
      <w:r w:rsidRPr="00913E39">
        <w:rPr>
          <w:rFonts w:ascii="Garamond" w:hAnsi="Garamond"/>
          <w:b w:val="0"/>
          <w:sz w:val="24"/>
          <w:szCs w:val="24"/>
          <w:lang w:val="sq-AL"/>
        </w:rPr>
        <w:t xml:space="preserve">4.4 Vlerësimi i pasojave mbi </w:t>
      </w:r>
      <w:bookmarkEnd w:id="104"/>
      <w:r w:rsidRPr="00913E39">
        <w:rPr>
          <w:rFonts w:ascii="Garamond" w:hAnsi="Garamond"/>
          <w:b w:val="0"/>
          <w:sz w:val="24"/>
          <w:szCs w:val="24"/>
          <w:lang w:val="sq-AL"/>
        </w:rPr>
        <w:t>rëndësinë e ruajtjes së natyrës</w:t>
      </w:r>
    </w:p>
    <w:p w14:paraId="04001156" w14:textId="77777777" w:rsidR="00BA2297" w:rsidRPr="00913E39" w:rsidRDefault="00BA2297" w:rsidP="00BA2297">
      <w:pPr>
        <w:spacing w:after="0" w:line="240" w:lineRule="auto"/>
        <w:ind w:firstLine="284"/>
        <w:jc w:val="both"/>
        <w:rPr>
          <w:rFonts w:ascii="Garamond" w:hAnsi="Garamond"/>
          <w:sz w:val="24"/>
          <w:szCs w:val="24"/>
        </w:rPr>
      </w:pPr>
      <w:r w:rsidRPr="00913E39">
        <w:rPr>
          <w:rFonts w:ascii="Garamond" w:hAnsi="Garamond"/>
          <w:sz w:val="24"/>
          <w:szCs w:val="24"/>
        </w:rPr>
        <w:t xml:space="preserve">Përkufizimi i vendeve të rëndësishme për mbrojtjen e natyrës </w:t>
      </w:r>
    </w:p>
    <w:p w14:paraId="11A5CCDD" w14:textId="77777777" w:rsidR="00BA2297" w:rsidRPr="00913E39" w:rsidRDefault="00BA2297" w:rsidP="00BA2297">
      <w:pPr>
        <w:spacing w:after="0" w:line="240" w:lineRule="auto"/>
        <w:ind w:firstLine="284"/>
        <w:jc w:val="both"/>
        <w:rPr>
          <w:rFonts w:ascii="Garamond" w:hAnsi="Garamond"/>
          <w:sz w:val="24"/>
          <w:szCs w:val="24"/>
        </w:rPr>
      </w:pPr>
      <w:r w:rsidRPr="00913E39">
        <w:rPr>
          <w:rFonts w:ascii="Garamond" w:hAnsi="Garamond"/>
          <w:sz w:val="24"/>
          <w:szCs w:val="24"/>
        </w:rPr>
        <w:t>a) Vendet e identifikuara nga autoritetet kombëtare kompetente si vende që do të propozohen për rrjetin Natyra 2000 siç përcaktohet në Direktivën e Zogjve (2009/147/EC) dhe Direktivën e Habitateve (92/43/EEC);</w:t>
      </w:r>
    </w:p>
    <w:p w14:paraId="20B0EBBD" w14:textId="77777777" w:rsidR="00BA2297" w:rsidRPr="00913E39" w:rsidRDefault="00BA2297" w:rsidP="00BA2297">
      <w:pPr>
        <w:spacing w:after="0" w:line="240" w:lineRule="auto"/>
        <w:ind w:firstLine="284"/>
        <w:jc w:val="both"/>
        <w:rPr>
          <w:rFonts w:ascii="Garamond" w:hAnsi="Garamond"/>
          <w:sz w:val="24"/>
          <w:szCs w:val="24"/>
        </w:rPr>
      </w:pPr>
      <w:r w:rsidRPr="00913E39">
        <w:rPr>
          <w:rFonts w:ascii="Garamond" w:hAnsi="Garamond"/>
          <w:sz w:val="24"/>
          <w:szCs w:val="24"/>
        </w:rPr>
        <w:t>b) Vendet e listuara në inventarin më të fundit të zonave të rëndësishme me zogj (IBA 2000) për vendet kandidate ose (nëse ka) inventarët ekuivalent më të detajuar shkencorë të miratuar nga autoritetet kombëtare;</w:t>
      </w:r>
    </w:p>
    <w:p w14:paraId="3E508701" w14:textId="77777777" w:rsidR="00BA2297" w:rsidRPr="00913E39" w:rsidRDefault="00BA2297" w:rsidP="00BA2297">
      <w:pPr>
        <w:spacing w:after="0" w:line="240" w:lineRule="auto"/>
        <w:ind w:firstLine="284"/>
        <w:jc w:val="both"/>
        <w:rPr>
          <w:rFonts w:ascii="Garamond" w:hAnsi="Garamond"/>
          <w:sz w:val="24"/>
          <w:szCs w:val="24"/>
        </w:rPr>
      </w:pPr>
      <w:r w:rsidRPr="00913E39">
        <w:rPr>
          <w:rFonts w:ascii="Garamond" w:hAnsi="Garamond"/>
          <w:sz w:val="24"/>
          <w:szCs w:val="24"/>
        </w:rPr>
        <w:t>c) Ligatinat me rëndësi ndërkombëtare të përcaktuara sipas Konventës Ramsar ose që kualifikohen për një mbrojtje të tillë;</w:t>
      </w:r>
    </w:p>
    <w:p w14:paraId="325806EF" w14:textId="77777777" w:rsidR="00BA2297" w:rsidRPr="00913E39" w:rsidRDefault="00BA2297" w:rsidP="00BA2297">
      <w:pPr>
        <w:spacing w:after="0" w:line="240" w:lineRule="auto"/>
        <w:ind w:firstLine="284"/>
        <w:rPr>
          <w:rFonts w:ascii="Garamond" w:hAnsi="Garamond"/>
          <w:sz w:val="24"/>
          <w:szCs w:val="24"/>
        </w:rPr>
      </w:pPr>
      <w:r w:rsidRPr="00913E39">
        <w:rPr>
          <w:rFonts w:ascii="Garamond" w:hAnsi="Garamond"/>
          <w:sz w:val="24"/>
          <w:szCs w:val="24"/>
        </w:rPr>
        <w:t>d) Zonat për të cilat zbatohet konventa e Bernës për ruajtjen e kafshëve të egra dhe habitateve natyrore evropiane (neni 4), në veçanti zona që plotësojnë kriteret e rrjetit Emerald;</w:t>
      </w:r>
    </w:p>
    <w:p w14:paraId="760EC2EE" w14:textId="77777777" w:rsidR="00BA2297" w:rsidRPr="00913E39" w:rsidRDefault="00BA2297" w:rsidP="00BA2297">
      <w:pPr>
        <w:spacing w:after="0" w:line="240" w:lineRule="auto"/>
        <w:ind w:firstLine="284"/>
        <w:rPr>
          <w:rFonts w:ascii="Garamond" w:hAnsi="Garamond"/>
          <w:sz w:val="24"/>
          <w:szCs w:val="24"/>
        </w:rPr>
      </w:pPr>
      <w:r w:rsidRPr="00913E39">
        <w:rPr>
          <w:rFonts w:ascii="Garamond" w:hAnsi="Garamond"/>
          <w:sz w:val="24"/>
          <w:szCs w:val="24"/>
        </w:rPr>
        <w:t>e) Zonat e mbrojtura sipas legjislacionit kombëtar për mbrojtjen e natyrës.</w:t>
      </w:r>
    </w:p>
    <w:p w14:paraId="4242493A" w14:textId="77777777" w:rsidR="00BA2297" w:rsidRPr="00BA2297" w:rsidRDefault="00BA2297" w:rsidP="00BA2297"/>
    <w:tbl>
      <w:tblPr>
        <w:tblW w:w="917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9"/>
        <w:gridCol w:w="691"/>
        <w:gridCol w:w="695"/>
      </w:tblGrid>
      <w:tr w:rsidR="0090197C" w:rsidRPr="00913E39" w14:paraId="17930DA3" w14:textId="77777777" w:rsidTr="009C2266">
        <w:tc>
          <w:tcPr>
            <w:tcW w:w="7789" w:type="dxa"/>
            <w:tcBorders>
              <w:top w:val="nil"/>
              <w:left w:val="nil"/>
              <w:bottom w:val="single" w:sz="4" w:space="0" w:color="auto"/>
              <w:right w:val="single" w:sz="4" w:space="0" w:color="auto"/>
            </w:tcBorders>
            <w:shd w:val="clear" w:color="auto" w:fill="auto"/>
          </w:tcPr>
          <w:p w14:paraId="6B80C06D" w14:textId="77777777" w:rsidR="0090197C" w:rsidRPr="00913E39" w:rsidRDefault="0090197C" w:rsidP="00882ABD">
            <w:pPr>
              <w:spacing w:after="0" w:line="240" w:lineRule="auto"/>
              <w:rPr>
                <w:rFonts w:ascii="Garamond" w:hAnsi="Garamond"/>
                <w:i/>
                <w:sz w:val="20"/>
                <w:szCs w:val="24"/>
              </w:rPr>
            </w:pPr>
          </w:p>
        </w:tc>
        <w:tc>
          <w:tcPr>
            <w:tcW w:w="691" w:type="dxa"/>
            <w:tcBorders>
              <w:left w:val="single" w:sz="4" w:space="0" w:color="auto"/>
              <w:bottom w:val="single" w:sz="4" w:space="0" w:color="auto"/>
            </w:tcBorders>
            <w:shd w:val="clear" w:color="auto" w:fill="auto"/>
          </w:tcPr>
          <w:p w14:paraId="45630983"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Po</w:t>
            </w:r>
          </w:p>
        </w:tc>
        <w:tc>
          <w:tcPr>
            <w:tcW w:w="695" w:type="dxa"/>
            <w:tcBorders>
              <w:left w:val="single" w:sz="4" w:space="0" w:color="auto"/>
              <w:bottom w:val="single" w:sz="4" w:space="0" w:color="auto"/>
            </w:tcBorders>
            <w:shd w:val="clear" w:color="auto" w:fill="auto"/>
          </w:tcPr>
          <w:p w14:paraId="0370C06F" w14:textId="77777777" w:rsidR="0090197C" w:rsidRPr="00913E39" w:rsidRDefault="0090197C" w:rsidP="00882ABD">
            <w:pPr>
              <w:spacing w:after="0" w:line="240" w:lineRule="auto"/>
              <w:jc w:val="center"/>
              <w:rPr>
                <w:rFonts w:ascii="Garamond" w:hAnsi="Garamond"/>
                <w:i/>
                <w:sz w:val="20"/>
                <w:szCs w:val="24"/>
              </w:rPr>
            </w:pPr>
            <w:r w:rsidRPr="00913E39">
              <w:rPr>
                <w:rFonts w:ascii="Garamond" w:hAnsi="Garamond"/>
                <w:i/>
                <w:sz w:val="20"/>
                <w:szCs w:val="24"/>
              </w:rPr>
              <w:t>Jo</w:t>
            </w:r>
          </w:p>
        </w:tc>
      </w:tr>
      <w:tr w:rsidR="0090197C" w:rsidRPr="00913E39" w14:paraId="12D2E2D8" w14:textId="77777777" w:rsidTr="009C2266">
        <w:tc>
          <w:tcPr>
            <w:tcW w:w="7789" w:type="dxa"/>
            <w:tcBorders>
              <w:top w:val="single" w:sz="4" w:space="0" w:color="auto"/>
              <w:bottom w:val="single" w:sz="4" w:space="0" w:color="auto"/>
            </w:tcBorders>
            <w:shd w:val="clear" w:color="auto" w:fill="auto"/>
          </w:tcPr>
          <w:p w14:paraId="7F7ED93D" w14:textId="77777777" w:rsidR="0090197C" w:rsidRPr="00913E39" w:rsidRDefault="0090197C" w:rsidP="00882ABD">
            <w:pPr>
              <w:tabs>
                <w:tab w:val="num" w:pos="2520"/>
              </w:tabs>
              <w:spacing w:after="0" w:line="240" w:lineRule="auto"/>
              <w:rPr>
                <w:rFonts w:ascii="Garamond" w:hAnsi="Garamond"/>
                <w:sz w:val="20"/>
                <w:szCs w:val="24"/>
              </w:rPr>
            </w:pPr>
            <w:r w:rsidRPr="00913E39">
              <w:rPr>
                <w:rFonts w:ascii="Garamond" w:hAnsi="Garamond"/>
                <w:sz w:val="20"/>
                <w:szCs w:val="24"/>
              </w:rPr>
              <w:t>A ka gjasa që projekti të ketë efekte (të drejtpërdrejta ose të tërthorta), individualisht ose në kombinim me plane ose projekte të tjera në zona të përfshira ose që synohen të përfshihen në zona me rëndësi për mbrojtjen e natyrës</w:t>
            </w:r>
          </w:p>
        </w:tc>
        <w:tc>
          <w:tcPr>
            <w:tcW w:w="691" w:type="dxa"/>
            <w:tcBorders>
              <w:top w:val="single" w:sz="4" w:space="0" w:color="auto"/>
              <w:bottom w:val="single" w:sz="4" w:space="0" w:color="auto"/>
            </w:tcBorders>
            <w:shd w:val="clear" w:color="auto" w:fill="auto"/>
          </w:tcPr>
          <w:p w14:paraId="4060EDC0" w14:textId="77777777" w:rsidR="0090197C" w:rsidRPr="00913E39" w:rsidRDefault="0090197C" w:rsidP="00882ABD">
            <w:pPr>
              <w:spacing w:after="0" w:line="240" w:lineRule="auto"/>
              <w:rPr>
                <w:rFonts w:ascii="Garamond" w:hAnsi="Garamond"/>
                <w:i/>
                <w:sz w:val="20"/>
                <w:szCs w:val="24"/>
              </w:rPr>
            </w:pPr>
            <w:r w:rsidRPr="00913E39">
              <w:rPr>
                <w:rFonts w:ascii="Garamond" w:hAnsi="Garamond"/>
                <w:i/>
                <w:sz w:val="20"/>
                <w:szCs w:val="24"/>
              </w:rPr>
              <w:t>(1)</w:t>
            </w:r>
          </w:p>
        </w:tc>
        <w:tc>
          <w:tcPr>
            <w:tcW w:w="695" w:type="dxa"/>
            <w:tcBorders>
              <w:top w:val="single" w:sz="4" w:space="0" w:color="auto"/>
              <w:bottom w:val="single" w:sz="4" w:space="0" w:color="auto"/>
            </w:tcBorders>
            <w:shd w:val="clear" w:color="auto" w:fill="auto"/>
          </w:tcPr>
          <w:p w14:paraId="618DAA80" w14:textId="77777777" w:rsidR="0090197C" w:rsidRPr="00913E39" w:rsidRDefault="0090197C" w:rsidP="00882ABD">
            <w:pPr>
              <w:spacing w:after="0" w:line="240" w:lineRule="auto"/>
              <w:rPr>
                <w:rFonts w:ascii="Garamond" w:hAnsi="Garamond"/>
                <w:i/>
                <w:sz w:val="20"/>
                <w:szCs w:val="24"/>
              </w:rPr>
            </w:pPr>
            <w:r w:rsidRPr="00913E39">
              <w:rPr>
                <w:rFonts w:ascii="Garamond" w:hAnsi="Garamond"/>
                <w:i/>
                <w:sz w:val="20"/>
                <w:szCs w:val="24"/>
              </w:rPr>
              <w:t>(2)</w:t>
            </w:r>
          </w:p>
        </w:tc>
      </w:tr>
      <w:tr w:rsidR="0090197C" w:rsidRPr="00913E39" w14:paraId="63A79A63" w14:textId="77777777" w:rsidTr="009C2266">
        <w:tc>
          <w:tcPr>
            <w:tcW w:w="7789" w:type="dxa"/>
            <w:tcBorders>
              <w:top w:val="single" w:sz="4" w:space="0" w:color="auto"/>
              <w:bottom w:val="single" w:sz="4" w:space="0" w:color="auto"/>
            </w:tcBorders>
            <w:shd w:val="clear" w:color="auto" w:fill="auto"/>
          </w:tcPr>
          <w:p w14:paraId="3F5532FD" w14:textId="77777777" w:rsidR="0090197C" w:rsidRPr="00913E39" w:rsidRDefault="0090197C" w:rsidP="00882ABD">
            <w:pPr>
              <w:spacing w:after="0" w:line="240" w:lineRule="auto"/>
              <w:rPr>
                <w:rFonts w:ascii="Garamond" w:hAnsi="Garamond"/>
                <w:sz w:val="20"/>
                <w:szCs w:val="24"/>
              </w:rPr>
            </w:pPr>
            <w:r w:rsidRPr="00913E39">
              <w:rPr>
                <w:rFonts w:ascii="Garamond" w:hAnsi="Garamond"/>
                <w:sz w:val="20"/>
                <w:szCs w:val="24"/>
              </w:rPr>
              <w:t>A janë këto efekte negative të rëndësishme, që kërkojnë masa kompensimi sipas nenit 6 (4) të Direktivës së Habitateve</w:t>
            </w:r>
          </w:p>
        </w:tc>
        <w:tc>
          <w:tcPr>
            <w:tcW w:w="691" w:type="dxa"/>
            <w:tcBorders>
              <w:top w:val="single" w:sz="4" w:space="0" w:color="auto"/>
              <w:bottom w:val="single" w:sz="4" w:space="0" w:color="auto"/>
            </w:tcBorders>
            <w:shd w:val="clear" w:color="auto" w:fill="auto"/>
          </w:tcPr>
          <w:p w14:paraId="4291E86E" w14:textId="77777777" w:rsidR="0090197C" w:rsidRPr="00913E39" w:rsidRDefault="0090197C" w:rsidP="00882ABD">
            <w:pPr>
              <w:spacing w:after="0" w:line="240" w:lineRule="auto"/>
              <w:rPr>
                <w:rFonts w:ascii="Garamond" w:hAnsi="Garamond"/>
                <w:i/>
                <w:sz w:val="20"/>
                <w:szCs w:val="24"/>
              </w:rPr>
            </w:pPr>
            <w:r w:rsidRPr="00913E39">
              <w:rPr>
                <w:rFonts w:ascii="Garamond" w:hAnsi="Garamond"/>
                <w:i/>
                <w:sz w:val="20"/>
                <w:szCs w:val="24"/>
              </w:rPr>
              <w:t>(3)</w:t>
            </w:r>
          </w:p>
        </w:tc>
        <w:tc>
          <w:tcPr>
            <w:tcW w:w="695" w:type="dxa"/>
            <w:tcBorders>
              <w:top w:val="single" w:sz="4" w:space="0" w:color="auto"/>
              <w:bottom w:val="single" w:sz="4" w:space="0" w:color="auto"/>
            </w:tcBorders>
            <w:shd w:val="clear" w:color="auto" w:fill="auto"/>
          </w:tcPr>
          <w:p w14:paraId="728E999A" w14:textId="77777777" w:rsidR="0090197C" w:rsidRPr="00913E39" w:rsidRDefault="0090197C" w:rsidP="00882ABD">
            <w:pPr>
              <w:spacing w:after="0" w:line="240" w:lineRule="auto"/>
              <w:rPr>
                <w:rFonts w:ascii="Garamond" w:hAnsi="Garamond"/>
                <w:i/>
                <w:sz w:val="20"/>
                <w:szCs w:val="24"/>
              </w:rPr>
            </w:pPr>
          </w:p>
        </w:tc>
      </w:tr>
    </w:tbl>
    <w:p w14:paraId="2FDAA21B" w14:textId="18236CC2" w:rsidR="0090197C" w:rsidRPr="00913E39" w:rsidRDefault="0090197C" w:rsidP="00E8580A">
      <w:pPr>
        <w:spacing w:after="0" w:line="240" w:lineRule="auto"/>
        <w:ind w:firstLine="284"/>
        <w:jc w:val="both"/>
        <w:rPr>
          <w:rFonts w:ascii="Garamond" w:hAnsi="Garamond"/>
          <w:sz w:val="24"/>
          <w:szCs w:val="24"/>
        </w:rPr>
      </w:pPr>
      <w:r w:rsidRPr="00913E39">
        <w:rPr>
          <w:rFonts w:ascii="Garamond" w:hAnsi="Garamond"/>
          <w:sz w:val="24"/>
          <w:szCs w:val="24"/>
        </w:rPr>
        <w:t xml:space="preserve">1. Nëse PO bëni një përmbledhje të konkluzioneve të vlerësimit të duhur të kryer </w:t>
      </w:r>
      <w:r w:rsidR="00850FC7" w:rsidRPr="00913E39">
        <w:rPr>
          <w:rFonts w:ascii="Garamond" w:hAnsi="Garamond"/>
          <w:sz w:val="24"/>
          <w:szCs w:val="24"/>
        </w:rPr>
        <w:t>“</w:t>
      </w:r>
      <w:r w:rsidRPr="00913E39">
        <w:rPr>
          <w:rFonts w:ascii="Garamond" w:hAnsi="Garamond"/>
          <w:sz w:val="24"/>
          <w:szCs w:val="24"/>
        </w:rPr>
        <w:t xml:space="preserve">sipas nenit 6 (3) të </w:t>
      </w:r>
      <w:r w:rsidR="001E7BC5" w:rsidRPr="00913E39">
        <w:rPr>
          <w:rFonts w:ascii="Garamond" w:hAnsi="Garamond"/>
          <w:sz w:val="24"/>
          <w:szCs w:val="24"/>
        </w:rPr>
        <w:t>d</w:t>
      </w:r>
      <w:r w:rsidRPr="00913E39">
        <w:rPr>
          <w:rFonts w:ascii="Garamond" w:hAnsi="Garamond"/>
          <w:sz w:val="24"/>
          <w:szCs w:val="24"/>
        </w:rPr>
        <w:t>irektivës 92/43/EEC</w:t>
      </w:r>
      <w:r w:rsidRPr="00913E39">
        <w:rPr>
          <w:rStyle w:val="FootnoteReference"/>
          <w:rFonts w:ascii="Garamond" w:hAnsi="Garamond"/>
          <w:sz w:val="24"/>
          <w:szCs w:val="24"/>
        </w:rPr>
        <w:footnoteReference w:id="123"/>
      </w:r>
      <w:r w:rsidR="00850FC7" w:rsidRPr="00913E39">
        <w:rPr>
          <w:rFonts w:ascii="Garamond" w:hAnsi="Garamond"/>
          <w:sz w:val="24"/>
          <w:szCs w:val="24"/>
        </w:rPr>
        <w:t>“</w:t>
      </w:r>
      <w:r w:rsidRPr="00913E39">
        <w:rPr>
          <w:rFonts w:ascii="Garamond" w:hAnsi="Garamond"/>
          <w:sz w:val="24"/>
          <w:szCs w:val="24"/>
        </w:rPr>
        <w:t>.</w:t>
      </w:r>
    </w:p>
    <w:p w14:paraId="7189ACFD" w14:textId="77777777" w:rsidR="0090197C" w:rsidRPr="00913E39" w:rsidRDefault="0090197C" w:rsidP="00E8580A">
      <w:pPr>
        <w:tabs>
          <w:tab w:val="left" w:pos="993"/>
        </w:tabs>
        <w:spacing w:after="0" w:line="240" w:lineRule="auto"/>
        <w:ind w:firstLine="284"/>
        <w:jc w:val="both"/>
        <w:rPr>
          <w:rFonts w:ascii="Garamond" w:hAnsi="Garamond"/>
          <w:sz w:val="24"/>
          <w:szCs w:val="24"/>
        </w:rPr>
      </w:pPr>
      <w:r w:rsidRPr="00913E39">
        <w:rPr>
          <w:rFonts w:ascii="Garamond" w:hAnsi="Garamond"/>
          <w:sz w:val="24"/>
          <w:szCs w:val="24"/>
        </w:rPr>
        <w:t>2. Nëse JO, bashkëngjitni deklaratën e plotësuar nga autoriteti përkatës, sipas aneksit I të këtij formulari aplikimi.</w:t>
      </w:r>
    </w:p>
    <w:p w14:paraId="49BE552E" w14:textId="77777777" w:rsidR="0090197C" w:rsidRPr="00913E39" w:rsidRDefault="0090197C" w:rsidP="00E8580A">
      <w:pPr>
        <w:tabs>
          <w:tab w:val="left" w:pos="993"/>
        </w:tabs>
        <w:spacing w:after="0" w:line="240" w:lineRule="auto"/>
        <w:ind w:firstLine="284"/>
        <w:jc w:val="both"/>
        <w:rPr>
          <w:rFonts w:ascii="Garamond" w:hAnsi="Garamond"/>
          <w:sz w:val="24"/>
          <w:szCs w:val="24"/>
        </w:rPr>
      </w:pPr>
      <w:r w:rsidRPr="00913E39">
        <w:rPr>
          <w:rFonts w:ascii="Garamond" w:hAnsi="Garamond"/>
          <w:sz w:val="24"/>
          <w:szCs w:val="24"/>
        </w:rPr>
        <w:t xml:space="preserve">3. Nëse PO, jepni një kopje të formularit </w:t>
      </w:r>
      <w:r w:rsidR="00850FC7" w:rsidRPr="00913E39">
        <w:rPr>
          <w:rFonts w:ascii="Garamond" w:hAnsi="Garamond"/>
          <w:sz w:val="24"/>
          <w:szCs w:val="24"/>
        </w:rPr>
        <w:t>“</w:t>
      </w:r>
      <w:r w:rsidRPr="00913E39">
        <w:rPr>
          <w:rFonts w:ascii="Garamond" w:hAnsi="Garamond"/>
          <w:sz w:val="24"/>
          <w:szCs w:val="24"/>
        </w:rPr>
        <w:t>Informacion mbi projektet që mund të kenë një efekt të rëndësishëm negativ në zonat me rëndësi të ruajtjes së natyrës</w:t>
      </w:r>
      <w:r w:rsidR="00850FC7" w:rsidRPr="00913E39">
        <w:rPr>
          <w:rFonts w:ascii="Garamond" w:hAnsi="Garamond"/>
          <w:sz w:val="24"/>
          <w:szCs w:val="24"/>
        </w:rPr>
        <w:t>”</w:t>
      </w:r>
      <w:r w:rsidRPr="00913E39">
        <w:rPr>
          <w:rFonts w:ascii="Garamond" w:hAnsi="Garamond"/>
          <w:sz w:val="24"/>
          <w:szCs w:val="24"/>
        </w:rPr>
        <w:t>, siç i diktohet Komisionit (DG Mjedisi) sipas Direktivës për Habitatin 92/43/EEC</w:t>
      </w:r>
      <w:r w:rsidRPr="00913E39">
        <w:rPr>
          <w:rStyle w:val="FootnoteReference"/>
          <w:rFonts w:ascii="Garamond" w:hAnsi="Garamond"/>
          <w:sz w:val="24"/>
          <w:szCs w:val="24"/>
        </w:rPr>
        <w:footnoteReference w:id="124"/>
      </w:r>
      <w:r w:rsidRPr="00913E39">
        <w:rPr>
          <w:rFonts w:ascii="Garamond" w:hAnsi="Garamond"/>
          <w:sz w:val="24"/>
          <w:szCs w:val="24"/>
        </w:rPr>
        <w:t xml:space="preserve">. </w:t>
      </w:r>
      <w:bookmarkStart w:id="105" w:name="_Toc142287300"/>
    </w:p>
    <w:p w14:paraId="25D69583" w14:textId="77777777" w:rsidR="0090197C" w:rsidRPr="00913E39" w:rsidRDefault="0090197C" w:rsidP="00E8580A">
      <w:pPr>
        <w:spacing w:after="0" w:line="240" w:lineRule="auto"/>
        <w:ind w:firstLine="284"/>
        <w:rPr>
          <w:rFonts w:ascii="Garamond" w:hAnsi="Garamond"/>
          <w:b/>
          <w:iCs/>
          <w:sz w:val="24"/>
          <w:szCs w:val="24"/>
        </w:rPr>
      </w:pPr>
    </w:p>
    <w:p w14:paraId="3432873A" w14:textId="46242DCC" w:rsidR="0090197C" w:rsidRPr="00913E39" w:rsidRDefault="0090197C" w:rsidP="00E8580A">
      <w:pPr>
        <w:spacing w:after="0" w:line="240" w:lineRule="auto"/>
        <w:ind w:firstLine="284"/>
        <w:rPr>
          <w:rFonts w:ascii="Garamond" w:hAnsi="Garamond"/>
          <w:b/>
          <w:iCs/>
          <w:sz w:val="24"/>
          <w:szCs w:val="24"/>
        </w:rPr>
      </w:pPr>
      <w:r w:rsidRPr="00913E39">
        <w:rPr>
          <w:rFonts w:ascii="Garamond" w:hAnsi="Garamond"/>
          <w:b/>
          <w:iCs/>
          <w:sz w:val="24"/>
          <w:szCs w:val="24"/>
        </w:rPr>
        <w:t>Efekti mbi statusin ekologjik të trupave ujorë</w:t>
      </w:r>
    </w:p>
    <w:tbl>
      <w:tblPr>
        <w:tblW w:w="945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3"/>
        <w:gridCol w:w="691"/>
        <w:gridCol w:w="695"/>
      </w:tblGrid>
      <w:tr w:rsidR="0090197C" w:rsidRPr="00913E39" w14:paraId="5B883113" w14:textId="77777777" w:rsidTr="009C2266">
        <w:tc>
          <w:tcPr>
            <w:tcW w:w="8073" w:type="dxa"/>
            <w:tcBorders>
              <w:top w:val="nil"/>
              <w:left w:val="nil"/>
              <w:bottom w:val="single" w:sz="4" w:space="0" w:color="auto"/>
              <w:right w:val="single" w:sz="4" w:space="0" w:color="auto"/>
            </w:tcBorders>
            <w:shd w:val="clear" w:color="auto" w:fill="auto"/>
          </w:tcPr>
          <w:p w14:paraId="117A7E3C" w14:textId="77777777" w:rsidR="0090197C" w:rsidRPr="00913E39" w:rsidRDefault="0090197C" w:rsidP="009C2266">
            <w:pPr>
              <w:spacing w:after="0" w:line="240" w:lineRule="auto"/>
              <w:rPr>
                <w:rFonts w:ascii="Garamond" w:hAnsi="Garamond"/>
                <w:i/>
                <w:sz w:val="20"/>
                <w:szCs w:val="24"/>
              </w:rPr>
            </w:pPr>
          </w:p>
        </w:tc>
        <w:tc>
          <w:tcPr>
            <w:tcW w:w="691" w:type="dxa"/>
            <w:tcBorders>
              <w:left w:val="single" w:sz="4" w:space="0" w:color="auto"/>
              <w:bottom w:val="single" w:sz="4" w:space="0" w:color="auto"/>
            </w:tcBorders>
            <w:shd w:val="clear" w:color="auto" w:fill="auto"/>
          </w:tcPr>
          <w:p w14:paraId="2349862F" w14:textId="77777777" w:rsidR="0090197C" w:rsidRPr="00913E39" w:rsidRDefault="0090197C" w:rsidP="009C2266">
            <w:pPr>
              <w:spacing w:after="0" w:line="240" w:lineRule="auto"/>
              <w:jc w:val="center"/>
              <w:rPr>
                <w:rFonts w:ascii="Garamond" w:hAnsi="Garamond"/>
                <w:i/>
                <w:sz w:val="20"/>
                <w:szCs w:val="24"/>
              </w:rPr>
            </w:pPr>
            <w:r w:rsidRPr="00913E39">
              <w:rPr>
                <w:rFonts w:ascii="Garamond" w:hAnsi="Garamond"/>
                <w:i/>
                <w:sz w:val="20"/>
                <w:szCs w:val="24"/>
              </w:rPr>
              <w:t>Po</w:t>
            </w:r>
          </w:p>
        </w:tc>
        <w:tc>
          <w:tcPr>
            <w:tcW w:w="695" w:type="dxa"/>
            <w:tcBorders>
              <w:left w:val="single" w:sz="4" w:space="0" w:color="auto"/>
              <w:bottom w:val="single" w:sz="4" w:space="0" w:color="auto"/>
            </w:tcBorders>
            <w:shd w:val="clear" w:color="auto" w:fill="auto"/>
          </w:tcPr>
          <w:p w14:paraId="56AD905D" w14:textId="77777777" w:rsidR="0090197C" w:rsidRPr="00913E39" w:rsidRDefault="0090197C" w:rsidP="009C2266">
            <w:pPr>
              <w:spacing w:after="0" w:line="240" w:lineRule="auto"/>
              <w:jc w:val="center"/>
              <w:rPr>
                <w:rFonts w:ascii="Garamond" w:hAnsi="Garamond"/>
                <w:i/>
                <w:sz w:val="20"/>
                <w:szCs w:val="24"/>
              </w:rPr>
            </w:pPr>
            <w:r w:rsidRPr="00913E39">
              <w:rPr>
                <w:rFonts w:ascii="Garamond" w:hAnsi="Garamond"/>
                <w:i/>
                <w:sz w:val="20"/>
                <w:szCs w:val="24"/>
              </w:rPr>
              <w:t>Jo</w:t>
            </w:r>
          </w:p>
        </w:tc>
      </w:tr>
      <w:tr w:rsidR="0090197C" w:rsidRPr="00913E39" w14:paraId="3B67ECD2" w14:textId="77777777" w:rsidTr="009C2266">
        <w:tc>
          <w:tcPr>
            <w:tcW w:w="8073" w:type="dxa"/>
            <w:tcBorders>
              <w:top w:val="single" w:sz="4" w:space="0" w:color="auto"/>
              <w:bottom w:val="single" w:sz="4" w:space="0" w:color="auto"/>
            </w:tcBorders>
            <w:shd w:val="clear" w:color="auto" w:fill="auto"/>
          </w:tcPr>
          <w:p w14:paraId="12CF9852" w14:textId="77777777" w:rsidR="0090197C" w:rsidRPr="00913E39" w:rsidRDefault="0090197C" w:rsidP="009C2266">
            <w:pPr>
              <w:tabs>
                <w:tab w:val="num" w:pos="2520"/>
              </w:tabs>
              <w:spacing w:after="0" w:line="240" w:lineRule="auto"/>
              <w:rPr>
                <w:rFonts w:ascii="Garamond" w:hAnsi="Garamond"/>
                <w:sz w:val="20"/>
                <w:szCs w:val="24"/>
              </w:rPr>
            </w:pPr>
            <w:r w:rsidRPr="00913E39">
              <w:rPr>
                <w:rFonts w:ascii="Garamond" w:hAnsi="Garamond"/>
                <w:sz w:val="20"/>
                <w:szCs w:val="24"/>
              </w:rPr>
              <w:t>A përfshin projekti një modifikim të ri të karakteristikave fizike të një trupi ujor sipërfaqësor ose ndryshime në nivelin e trupave ujorë nëntokësorë që përkeqësojnë statusin/potencialin e një trupi ujor ose shkaktojnë dështimin për të arritur statusin/potencialin e mirë të ujit?</w:t>
            </w:r>
          </w:p>
        </w:tc>
        <w:tc>
          <w:tcPr>
            <w:tcW w:w="691" w:type="dxa"/>
            <w:tcBorders>
              <w:top w:val="single" w:sz="4" w:space="0" w:color="auto"/>
              <w:bottom w:val="single" w:sz="4" w:space="0" w:color="auto"/>
            </w:tcBorders>
            <w:shd w:val="clear" w:color="auto" w:fill="auto"/>
          </w:tcPr>
          <w:p w14:paraId="41134347" w14:textId="77777777" w:rsidR="0090197C" w:rsidRPr="00913E39" w:rsidRDefault="0090197C" w:rsidP="009C2266">
            <w:pPr>
              <w:spacing w:after="0" w:line="240" w:lineRule="auto"/>
              <w:rPr>
                <w:rFonts w:ascii="Garamond" w:hAnsi="Garamond"/>
                <w:i/>
                <w:sz w:val="20"/>
                <w:szCs w:val="24"/>
              </w:rPr>
            </w:pPr>
            <w:r w:rsidRPr="00913E39">
              <w:rPr>
                <w:rFonts w:ascii="Garamond" w:hAnsi="Garamond"/>
                <w:i/>
                <w:sz w:val="20"/>
                <w:szCs w:val="24"/>
              </w:rPr>
              <w:t>(1)</w:t>
            </w:r>
          </w:p>
        </w:tc>
        <w:tc>
          <w:tcPr>
            <w:tcW w:w="695" w:type="dxa"/>
            <w:tcBorders>
              <w:top w:val="single" w:sz="4" w:space="0" w:color="auto"/>
              <w:bottom w:val="single" w:sz="4" w:space="0" w:color="auto"/>
            </w:tcBorders>
            <w:shd w:val="clear" w:color="auto" w:fill="auto"/>
          </w:tcPr>
          <w:p w14:paraId="1B08CB32" w14:textId="77777777" w:rsidR="0090197C" w:rsidRPr="00913E39" w:rsidRDefault="0090197C" w:rsidP="009C2266">
            <w:pPr>
              <w:spacing w:after="0" w:line="240" w:lineRule="auto"/>
              <w:rPr>
                <w:rFonts w:ascii="Garamond" w:hAnsi="Garamond"/>
                <w:i/>
                <w:sz w:val="20"/>
                <w:szCs w:val="24"/>
              </w:rPr>
            </w:pPr>
            <w:r w:rsidRPr="00913E39">
              <w:rPr>
                <w:rFonts w:ascii="Garamond" w:hAnsi="Garamond"/>
                <w:i/>
                <w:sz w:val="20"/>
                <w:szCs w:val="24"/>
              </w:rPr>
              <w:t>(2)</w:t>
            </w:r>
          </w:p>
        </w:tc>
      </w:tr>
    </w:tbl>
    <w:p w14:paraId="1CF4FBD9" w14:textId="7A1959F9" w:rsidR="0090197C" w:rsidRPr="00913E39" w:rsidRDefault="0090197C" w:rsidP="00E8580A">
      <w:pPr>
        <w:tabs>
          <w:tab w:val="left" w:pos="0"/>
          <w:tab w:val="left" w:pos="709"/>
        </w:tabs>
        <w:spacing w:after="0" w:line="240" w:lineRule="auto"/>
        <w:ind w:firstLine="284"/>
        <w:jc w:val="both"/>
        <w:rPr>
          <w:rFonts w:ascii="Garamond" w:hAnsi="Garamond"/>
          <w:bCs/>
          <w:iCs/>
          <w:sz w:val="24"/>
          <w:szCs w:val="24"/>
        </w:rPr>
      </w:pPr>
      <w:r w:rsidRPr="00913E39">
        <w:rPr>
          <w:rFonts w:ascii="Garamond" w:hAnsi="Garamond"/>
          <w:bCs/>
          <w:iCs/>
          <w:sz w:val="24"/>
          <w:szCs w:val="24"/>
        </w:rPr>
        <w:t xml:space="preserve">1. Nëse PO, jepni vlerësimin e ndikimeve në trupin ujor dhe një shpjegim të detajuar se si duhet/do të plotësohen të gjitha kushtet sipas nenit 4.7 të </w:t>
      </w:r>
      <w:r w:rsidR="001E7BC5" w:rsidRPr="00913E39">
        <w:rPr>
          <w:rFonts w:ascii="Garamond" w:hAnsi="Garamond"/>
          <w:bCs/>
          <w:iCs/>
          <w:sz w:val="24"/>
          <w:szCs w:val="24"/>
        </w:rPr>
        <w:t>di</w:t>
      </w:r>
      <w:r w:rsidRPr="00913E39">
        <w:rPr>
          <w:rFonts w:ascii="Garamond" w:hAnsi="Garamond"/>
          <w:bCs/>
          <w:iCs/>
          <w:sz w:val="24"/>
          <w:szCs w:val="24"/>
        </w:rPr>
        <w:t xml:space="preserve">rektivës </w:t>
      </w:r>
      <w:r w:rsidR="006908E5" w:rsidRPr="00913E39">
        <w:rPr>
          <w:rFonts w:ascii="Garamond" w:hAnsi="Garamond"/>
          <w:bCs/>
          <w:iCs/>
          <w:sz w:val="24"/>
          <w:szCs w:val="24"/>
        </w:rPr>
        <w:t>kornizë për ujin</w:t>
      </w:r>
      <w:r w:rsidRPr="00913E39">
        <w:rPr>
          <w:rFonts w:ascii="Garamond" w:hAnsi="Garamond"/>
          <w:bCs/>
          <w:iCs/>
          <w:sz w:val="24"/>
          <w:szCs w:val="24"/>
        </w:rPr>
        <w:t>. Tregoni gjithashtu nëse projekti rezulton nga një strategji kombëtare/rajonale në lidhje me sektorin përkatës dhe/ose nga një plan menaxhimi të pellgut ujëmbledhës, i cili merr parasysh të gjithë faktorët përkatës (p.sh. një opsion më i mirë mjedisor, efekte kumulative etj.)? Nëse po, ju lutemi që të jepni detaje.</w:t>
      </w:r>
    </w:p>
    <w:p w14:paraId="7D6E7936" w14:textId="77777777" w:rsidR="0090197C" w:rsidRPr="00913E39" w:rsidRDefault="0090197C" w:rsidP="00E8580A">
      <w:pPr>
        <w:tabs>
          <w:tab w:val="left" w:pos="360"/>
        </w:tabs>
        <w:spacing w:after="0" w:line="240" w:lineRule="auto"/>
        <w:ind w:firstLine="284"/>
        <w:jc w:val="both"/>
        <w:rPr>
          <w:rFonts w:ascii="Garamond" w:hAnsi="Garamond"/>
          <w:bCs/>
          <w:iCs/>
          <w:sz w:val="24"/>
          <w:szCs w:val="24"/>
        </w:rPr>
      </w:pPr>
      <w:r w:rsidRPr="00913E39">
        <w:rPr>
          <w:rFonts w:ascii="Garamond" w:hAnsi="Garamond"/>
          <w:bCs/>
          <w:iCs/>
          <w:sz w:val="24"/>
          <w:szCs w:val="24"/>
        </w:rPr>
        <w:t>2. Nëse JO, jepni arsyetim për çdo trup ujor pse projekti nuk ka gjasa të çojë në përkeqësim të statusit/potencialit ekologjik ose nuk e pengon trupin ujor të arrijë statusin/potencialin e mirë ekologjik.</w:t>
      </w:r>
    </w:p>
    <w:p w14:paraId="122D1477" w14:textId="77777777" w:rsidR="0090197C" w:rsidRPr="00913E39" w:rsidRDefault="0090197C" w:rsidP="00E8580A">
      <w:pPr>
        <w:pStyle w:val="Heading2"/>
        <w:spacing w:before="0" w:after="0"/>
        <w:ind w:firstLine="284"/>
        <w:jc w:val="both"/>
        <w:rPr>
          <w:rFonts w:ascii="Garamond" w:hAnsi="Garamond"/>
          <w:b w:val="0"/>
          <w:sz w:val="24"/>
          <w:lang w:val="sq-AL"/>
        </w:rPr>
      </w:pPr>
      <w:r w:rsidRPr="00913E39">
        <w:rPr>
          <w:rFonts w:ascii="Garamond" w:hAnsi="Garamond"/>
          <w:b w:val="0"/>
          <w:sz w:val="24"/>
          <w:lang w:val="sq-AL"/>
        </w:rPr>
        <w:t>4.5 Masat shtesë të integrimit mjedisor</w:t>
      </w:r>
      <w:bookmarkEnd w:id="105"/>
      <w:r w:rsidRPr="00913E39">
        <w:rPr>
          <w:rFonts w:ascii="Garamond" w:hAnsi="Garamond"/>
          <w:b w:val="0"/>
          <w:sz w:val="24"/>
          <w:lang w:val="sq-AL"/>
        </w:rPr>
        <w:t xml:space="preserve"> </w:t>
      </w:r>
    </w:p>
    <w:tbl>
      <w:tblPr>
        <w:tblW w:w="850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4"/>
        <w:gridCol w:w="691"/>
        <w:gridCol w:w="695"/>
      </w:tblGrid>
      <w:tr w:rsidR="0090197C" w:rsidRPr="00913E39" w14:paraId="71E6640E" w14:textId="77777777" w:rsidTr="009C2266">
        <w:tc>
          <w:tcPr>
            <w:tcW w:w="7114" w:type="dxa"/>
            <w:tcBorders>
              <w:top w:val="nil"/>
              <w:left w:val="nil"/>
              <w:bottom w:val="single" w:sz="4" w:space="0" w:color="auto"/>
              <w:right w:val="single" w:sz="4" w:space="0" w:color="auto"/>
            </w:tcBorders>
            <w:shd w:val="clear" w:color="auto" w:fill="auto"/>
          </w:tcPr>
          <w:p w14:paraId="6676D8D8" w14:textId="77777777" w:rsidR="0090197C" w:rsidRPr="00913E39" w:rsidRDefault="0090197C" w:rsidP="009C2266">
            <w:pPr>
              <w:spacing w:after="0" w:line="240" w:lineRule="auto"/>
              <w:rPr>
                <w:rFonts w:ascii="Garamond" w:hAnsi="Garamond"/>
                <w:i/>
                <w:sz w:val="20"/>
                <w:szCs w:val="24"/>
              </w:rPr>
            </w:pPr>
          </w:p>
        </w:tc>
        <w:tc>
          <w:tcPr>
            <w:tcW w:w="691" w:type="dxa"/>
            <w:tcBorders>
              <w:left w:val="single" w:sz="4" w:space="0" w:color="auto"/>
              <w:bottom w:val="single" w:sz="4" w:space="0" w:color="auto"/>
            </w:tcBorders>
            <w:shd w:val="clear" w:color="auto" w:fill="auto"/>
          </w:tcPr>
          <w:p w14:paraId="7869B879" w14:textId="77777777" w:rsidR="0090197C" w:rsidRPr="00913E39" w:rsidRDefault="0090197C" w:rsidP="009C2266">
            <w:pPr>
              <w:spacing w:after="0" w:line="240" w:lineRule="auto"/>
              <w:jc w:val="center"/>
              <w:rPr>
                <w:rFonts w:ascii="Garamond" w:hAnsi="Garamond"/>
                <w:i/>
                <w:sz w:val="20"/>
                <w:szCs w:val="24"/>
              </w:rPr>
            </w:pPr>
            <w:r w:rsidRPr="00913E39">
              <w:rPr>
                <w:rFonts w:ascii="Garamond" w:hAnsi="Garamond"/>
                <w:i/>
                <w:sz w:val="20"/>
                <w:szCs w:val="24"/>
              </w:rPr>
              <w:t>Po</w:t>
            </w:r>
          </w:p>
        </w:tc>
        <w:tc>
          <w:tcPr>
            <w:tcW w:w="695" w:type="dxa"/>
            <w:tcBorders>
              <w:left w:val="single" w:sz="4" w:space="0" w:color="auto"/>
              <w:bottom w:val="single" w:sz="4" w:space="0" w:color="auto"/>
            </w:tcBorders>
            <w:shd w:val="clear" w:color="auto" w:fill="auto"/>
          </w:tcPr>
          <w:p w14:paraId="0AD6EA47" w14:textId="77777777" w:rsidR="0090197C" w:rsidRPr="00913E39" w:rsidRDefault="0090197C" w:rsidP="009C2266">
            <w:pPr>
              <w:spacing w:after="0" w:line="240" w:lineRule="auto"/>
              <w:jc w:val="center"/>
              <w:rPr>
                <w:rFonts w:ascii="Garamond" w:hAnsi="Garamond"/>
                <w:i/>
                <w:sz w:val="20"/>
                <w:szCs w:val="24"/>
              </w:rPr>
            </w:pPr>
            <w:r w:rsidRPr="00913E39">
              <w:rPr>
                <w:rFonts w:ascii="Garamond" w:hAnsi="Garamond"/>
                <w:i/>
                <w:sz w:val="20"/>
                <w:szCs w:val="24"/>
              </w:rPr>
              <w:t>Jo</w:t>
            </w:r>
          </w:p>
        </w:tc>
      </w:tr>
      <w:tr w:rsidR="0090197C" w:rsidRPr="00913E39" w14:paraId="2573EBF3" w14:textId="77777777" w:rsidTr="009C2266">
        <w:tc>
          <w:tcPr>
            <w:tcW w:w="7114" w:type="dxa"/>
            <w:tcBorders>
              <w:top w:val="single" w:sz="4" w:space="0" w:color="auto"/>
              <w:bottom w:val="single" w:sz="4" w:space="0" w:color="auto"/>
            </w:tcBorders>
            <w:shd w:val="clear" w:color="auto" w:fill="auto"/>
          </w:tcPr>
          <w:p w14:paraId="2E996B1E" w14:textId="5DA9B4DC"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xml:space="preserve">A parashikon projekti, përveç </w:t>
            </w:r>
            <w:r w:rsidR="001E7BC5" w:rsidRPr="00913E39">
              <w:rPr>
                <w:rFonts w:ascii="Garamond" w:hAnsi="Garamond"/>
                <w:sz w:val="20"/>
                <w:szCs w:val="24"/>
              </w:rPr>
              <w:t xml:space="preserve">vlerësimit të ndikimit në mjedis, </w:t>
            </w:r>
            <w:r w:rsidRPr="00913E39">
              <w:rPr>
                <w:rFonts w:ascii="Garamond" w:hAnsi="Garamond"/>
                <w:sz w:val="20"/>
                <w:szCs w:val="24"/>
              </w:rPr>
              <w:t>ndonjë masë shtesë të integrimit mjedisor (p.sh. auditim mjedisor, menaxhim mjedisor, monitorim specifik mjedisor)?</w:t>
            </w:r>
          </w:p>
        </w:tc>
        <w:tc>
          <w:tcPr>
            <w:tcW w:w="691" w:type="dxa"/>
            <w:tcBorders>
              <w:top w:val="single" w:sz="4" w:space="0" w:color="auto"/>
              <w:bottom w:val="single" w:sz="4" w:space="0" w:color="auto"/>
            </w:tcBorders>
            <w:shd w:val="clear" w:color="auto" w:fill="auto"/>
          </w:tcPr>
          <w:p w14:paraId="4EAF2574" w14:textId="77777777" w:rsidR="0090197C" w:rsidRPr="00913E39" w:rsidRDefault="0090197C" w:rsidP="009C2266">
            <w:pPr>
              <w:spacing w:after="0" w:line="240" w:lineRule="auto"/>
              <w:rPr>
                <w:rFonts w:ascii="Garamond" w:hAnsi="Garamond"/>
                <w:i/>
                <w:sz w:val="20"/>
                <w:szCs w:val="24"/>
              </w:rPr>
            </w:pPr>
            <w:r w:rsidRPr="00913E39">
              <w:rPr>
                <w:rFonts w:ascii="Garamond" w:hAnsi="Garamond"/>
                <w:i/>
                <w:sz w:val="20"/>
                <w:szCs w:val="24"/>
              </w:rPr>
              <w:t>(1)</w:t>
            </w:r>
          </w:p>
        </w:tc>
        <w:tc>
          <w:tcPr>
            <w:tcW w:w="695" w:type="dxa"/>
            <w:tcBorders>
              <w:top w:val="single" w:sz="4" w:space="0" w:color="auto"/>
              <w:bottom w:val="single" w:sz="4" w:space="0" w:color="auto"/>
            </w:tcBorders>
            <w:shd w:val="clear" w:color="auto" w:fill="auto"/>
          </w:tcPr>
          <w:p w14:paraId="303CBEE4" w14:textId="77777777" w:rsidR="0090197C" w:rsidRPr="00913E39" w:rsidRDefault="0090197C" w:rsidP="009C2266">
            <w:pPr>
              <w:spacing w:after="0" w:line="240" w:lineRule="auto"/>
              <w:rPr>
                <w:rFonts w:ascii="Garamond" w:hAnsi="Garamond"/>
                <w:i/>
                <w:sz w:val="20"/>
                <w:szCs w:val="24"/>
              </w:rPr>
            </w:pPr>
          </w:p>
        </w:tc>
      </w:tr>
    </w:tbl>
    <w:p w14:paraId="6B2F88D0" w14:textId="77777777" w:rsidR="0090197C" w:rsidRPr="00913E39" w:rsidRDefault="0090197C" w:rsidP="00E8580A">
      <w:pPr>
        <w:spacing w:after="0" w:line="240" w:lineRule="auto"/>
        <w:ind w:firstLine="284"/>
        <w:jc w:val="both"/>
        <w:rPr>
          <w:rFonts w:ascii="Garamond" w:hAnsi="Garamond"/>
          <w:sz w:val="24"/>
          <w:szCs w:val="24"/>
        </w:rPr>
      </w:pPr>
      <w:r w:rsidRPr="00913E39">
        <w:rPr>
          <w:rFonts w:ascii="Garamond" w:hAnsi="Garamond"/>
          <w:sz w:val="24"/>
          <w:szCs w:val="24"/>
        </w:rPr>
        <w:t>1. Nëse PO, specifikoni.</w:t>
      </w:r>
      <w:r w:rsidRPr="00913E39">
        <w:rPr>
          <w:rFonts w:ascii="Garamond" w:hAnsi="Garamond"/>
          <w:sz w:val="24"/>
          <w:szCs w:val="24"/>
        </w:rPr>
        <w:tab/>
      </w:r>
    </w:p>
    <w:p w14:paraId="19A094F7" w14:textId="77777777" w:rsidR="0090197C" w:rsidRPr="00913E39" w:rsidRDefault="0090197C" w:rsidP="00E8580A">
      <w:pPr>
        <w:pStyle w:val="Heading2"/>
        <w:spacing w:before="0" w:after="0"/>
        <w:ind w:firstLine="284"/>
        <w:jc w:val="both"/>
        <w:rPr>
          <w:rFonts w:ascii="Garamond" w:hAnsi="Garamond"/>
          <w:b w:val="0"/>
          <w:sz w:val="24"/>
          <w:lang w:val="sq-AL"/>
        </w:rPr>
      </w:pPr>
      <w:bookmarkStart w:id="106" w:name="_Toc142287301"/>
      <w:r w:rsidRPr="00913E39">
        <w:rPr>
          <w:rFonts w:ascii="Garamond" w:hAnsi="Garamond"/>
          <w:b w:val="0"/>
          <w:sz w:val="24"/>
          <w:lang w:val="sq-AL"/>
        </w:rPr>
        <w:t>4.6 Kostoja e masave të marra për korrigjimin e ndikimeve negative në mjedis</w:t>
      </w:r>
      <w:bookmarkEnd w:id="106"/>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4"/>
        <w:gridCol w:w="1249"/>
      </w:tblGrid>
      <w:tr w:rsidR="0090197C" w:rsidRPr="00913E39" w14:paraId="6758AB90" w14:textId="77777777" w:rsidTr="009C2266">
        <w:tc>
          <w:tcPr>
            <w:tcW w:w="7114" w:type="dxa"/>
            <w:tcBorders>
              <w:top w:val="nil"/>
              <w:left w:val="nil"/>
              <w:bottom w:val="single" w:sz="4" w:space="0" w:color="auto"/>
              <w:right w:val="single" w:sz="4" w:space="0" w:color="auto"/>
            </w:tcBorders>
            <w:shd w:val="clear" w:color="auto" w:fill="auto"/>
          </w:tcPr>
          <w:p w14:paraId="407F95E2" w14:textId="77777777" w:rsidR="0090197C" w:rsidRPr="00913E39" w:rsidRDefault="0090197C" w:rsidP="009C2266">
            <w:pPr>
              <w:spacing w:after="0" w:line="240" w:lineRule="auto"/>
              <w:rPr>
                <w:rFonts w:ascii="Garamond" w:hAnsi="Garamond"/>
                <w:i/>
                <w:sz w:val="20"/>
                <w:szCs w:val="24"/>
              </w:rPr>
            </w:pPr>
          </w:p>
        </w:tc>
        <w:tc>
          <w:tcPr>
            <w:tcW w:w="1249" w:type="dxa"/>
            <w:tcBorders>
              <w:left w:val="single" w:sz="4" w:space="0" w:color="auto"/>
              <w:bottom w:val="single" w:sz="4" w:space="0" w:color="auto"/>
            </w:tcBorders>
            <w:shd w:val="clear" w:color="auto" w:fill="auto"/>
          </w:tcPr>
          <w:p w14:paraId="79A5C3E2" w14:textId="77777777" w:rsidR="0090197C" w:rsidRPr="00913E39" w:rsidRDefault="0090197C" w:rsidP="009C2266">
            <w:pPr>
              <w:spacing w:after="0" w:line="240" w:lineRule="auto"/>
              <w:jc w:val="center"/>
              <w:rPr>
                <w:rFonts w:ascii="Garamond" w:hAnsi="Garamond"/>
                <w:i/>
                <w:sz w:val="20"/>
                <w:szCs w:val="24"/>
              </w:rPr>
            </w:pPr>
            <w:r w:rsidRPr="00913E39">
              <w:rPr>
                <w:rFonts w:ascii="Garamond" w:hAnsi="Garamond"/>
                <w:i/>
                <w:sz w:val="20"/>
                <w:szCs w:val="24"/>
              </w:rPr>
              <w:t>%</w:t>
            </w:r>
          </w:p>
        </w:tc>
      </w:tr>
      <w:tr w:rsidR="0090197C" w:rsidRPr="00913E39" w14:paraId="015D65A9" w14:textId="77777777" w:rsidTr="009C2266">
        <w:tc>
          <w:tcPr>
            <w:tcW w:w="7114" w:type="dxa"/>
            <w:tcBorders>
              <w:top w:val="single" w:sz="4" w:space="0" w:color="auto"/>
              <w:bottom w:val="single" w:sz="4" w:space="0" w:color="auto"/>
            </w:tcBorders>
            <w:shd w:val="clear" w:color="auto" w:fill="auto"/>
          </w:tcPr>
          <w:p w14:paraId="4FBA93E5"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Nëse përfshihet në koston totale, vlerësoni përqindjen e kostos së masave të marra për të reduktuar dhe/ose për të kompensuar ndikimet negative mjedisore</w:t>
            </w:r>
          </w:p>
        </w:tc>
        <w:tc>
          <w:tcPr>
            <w:tcW w:w="1249" w:type="dxa"/>
            <w:tcBorders>
              <w:top w:val="single" w:sz="4" w:space="0" w:color="auto"/>
              <w:bottom w:val="single" w:sz="4" w:space="0" w:color="auto"/>
            </w:tcBorders>
            <w:shd w:val="clear" w:color="auto" w:fill="auto"/>
          </w:tcPr>
          <w:p w14:paraId="43C89733" w14:textId="77777777" w:rsidR="0090197C" w:rsidRPr="00913E39" w:rsidRDefault="0090197C" w:rsidP="009C2266">
            <w:pPr>
              <w:spacing w:after="0" w:line="240" w:lineRule="auto"/>
              <w:rPr>
                <w:rFonts w:ascii="Garamond" w:hAnsi="Garamond"/>
                <w:i/>
                <w:sz w:val="20"/>
                <w:szCs w:val="24"/>
              </w:rPr>
            </w:pPr>
          </w:p>
        </w:tc>
      </w:tr>
    </w:tbl>
    <w:p w14:paraId="7711A79C" w14:textId="77777777" w:rsidR="0090197C" w:rsidRPr="00913E39" w:rsidRDefault="0090197C" w:rsidP="00E8580A">
      <w:pPr>
        <w:spacing w:after="0" w:line="240" w:lineRule="auto"/>
        <w:ind w:firstLine="284"/>
        <w:rPr>
          <w:rFonts w:ascii="Garamond" w:hAnsi="Garamond"/>
          <w:sz w:val="24"/>
          <w:szCs w:val="24"/>
        </w:rPr>
      </w:pPr>
      <w:r w:rsidRPr="00913E39">
        <w:rPr>
          <w:rFonts w:ascii="Garamond" w:hAnsi="Garamond"/>
          <w:sz w:val="24"/>
          <w:szCs w:val="24"/>
        </w:rPr>
        <w:t xml:space="preserve">Shpjegoni shkurtimisht. </w:t>
      </w:r>
    </w:p>
    <w:p w14:paraId="7B57F3BF" w14:textId="70E7410F" w:rsidR="0090197C" w:rsidRPr="00913E39" w:rsidRDefault="0090197C" w:rsidP="00E8580A">
      <w:pPr>
        <w:pStyle w:val="Heading2"/>
        <w:spacing w:before="0" w:after="0"/>
        <w:ind w:firstLine="284"/>
        <w:jc w:val="both"/>
        <w:rPr>
          <w:rFonts w:ascii="Garamond" w:hAnsi="Garamond"/>
          <w:b w:val="0"/>
          <w:sz w:val="24"/>
          <w:lang w:val="sq-AL"/>
        </w:rPr>
      </w:pPr>
      <w:bookmarkStart w:id="107" w:name="_Toc142287302"/>
      <w:r w:rsidRPr="00913E39">
        <w:rPr>
          <w:rFonts w:ascii="Garamond" w:hAnsi="Garamond"/>
          <w:b w:val="0"/>
          <w:sz w:val="24"/>
          <w:lang w:val="sq-AL"/>
        </w:rPr>
        <w:t xml:space="preserve">4.7 </w:t>
      </w:r>
      <w:bookmarkStart w:id="108" w:name="_Hlk136004211"/>
      <w:r w:rsidRPr="00913E39">
        <w:rPr>
          <w:rFonts w:ascii="Garamond" w:hAnsi="Garamond"/>
          <w:b w:val="0"/>
          <w:sz w:val="24"/>
          <w:lang w:val="sq-AL"/>
        </w:rPr>
        <w:t xml:space="preserve">Aftësia përshtatëse me klimën dhe zbutja e klimës </w:t>
      </w:r>
      <w:bookmarkEnd w:id="108"/>
    </w:p>
    <w:p w14:paraId="782ED74D" w14:textId="661F7107" w:rsidR="0090197C" w:rsidRPr="00913E39" w:rsidRDefault="0090197C" w:rsidP="001E7BC5">
      <w:pPr>
        <w:spacing w:after="0" w:line="240" w:lineRule="auto"/>
        <w:ind w:firstLine="284"/>
        <w:jc w:val="both"/>
        <w:rPr>
          <w:rFonts w:ascii="Garamond" w:hAnsi="Garamond"/>
          <w:sz w:val="24"/>
          <w:szCs w:val="24"/>
        </w:rPr>
      </w:pPr>
      <w:r w:rsidRPr="00913E39">
        <w:rPr>
          <w:rFonts w:ascii="Garamond" w:hAnsi="Garamond"/>
          <w:sz w:val="24"/>
          <w:szCs w:val="24"/>
        </w:rPr>
        <w:t>Shpjegoni rreziqet kryesore të lidhura me klimën dhe si do të trajtohen ato. Nëse është e mundur përdorni Indeksin e Krijimit të Aftësisë Përshtatëse</w:t>
      </w:r>
      <w:r w:rsidRPr="00913E39">
        <w:rPr>
          <w:rStyle w:val="FootnoteReference"/>
          <w:rFonts w:ascii="Garamond" w:hAnsi="Garamond"/>
          <w:sz w:val="24"/>
          <w:szCs w:val="24"/>
        </w:rPr>
        <w:footnoteReference w:id="125"/>
      </w:r>
      <w:r w:rsidRPr="00913E39">
        <w:rPr>
          <w:rFonts w:ascii="Garamond" w:hAnsi="Garamond"/>
          <w:sz w:val="24"/>
          <w:szCs w:val="24"/>
        </w:rPr>
        <w:t>. Shpjegoni metodologjinë e aplikuar</w:t>
      </w:r>
      <w:r w:rsidRPr="00913E39">
        <w:rPr>
          <w:rStyle w:val="FootnoteReference"/>
          <w:rFonts w:ascii="Garamond" w:hAnsi="Garamond"/>
          <w:sz w:val="24"/>
          <w:szCs w:val="24"/>
        </w:rPr>
        <w:footnoteReference w:id="126"/>
      </w:r>
      <w:r w:rsidRPr="00913E39">
        <w:rPr>
          <w:rFonts w:ascii="Garamond" w:hAnsi="Garamond"/>
          <w:sz w:val="24"/>
          <w:szCs w:val="24"/>
        </w:rPr>
        <w:t>. Listoni masat e përshtatjes të identifikuara dhe se si ato janë integruar në projekt. Sqaroni nëse aftësia për t</w:t>
      </w:r>
      <w:r w:rsidR="005222A5" w:rsidRPr="00913E39">
        <w:rPr>
          <w:rFonts w:ascii="Garamond" w:hAnsi="Garamond"/>
          <w:sz w:val="24"/>
          <w:szCs w:val="24"/>
        </w:rPr>
        <w:t>’</w:t>
      </w:r>
      <w:r w:rsidRPr="00913E39">
        <w:rPr>
          <w:rFonts w:ascii="Garamond" w:hAnsi="Garamond"/>
          <w:sz w:val="24"/>
          <w:szCs w:val="24"/>
        </w:rPr>
        <w:t>ju përshtatur ndryshimeve klimatike është integruar në VNM për projektin.</w:t>
      </w:r>
    </w:p>
    <w:p w14:paraId="38069AFC" w14:textId="680EC2C0" w:rsidR="0090197C" w:rsidRPr="00913E39" w:rsidRDefault="0090197C" w:rsidP="001E7BC5">
      <w:pPr>
        <w:spacing w:after="0" w:line="240" w:lineRule="auto"/>
        <w:ind w:firstLine="284"/>
        <w:jc w:val="both"/>
        <w:rPr>
          <w:rFonts w:ascii="Garamond" w:hAnsi="Garamond"/>
          <w:bCs/>
          <w:iCs/>
          <w:sz w:val="24"/>
          <w:szCs w:val="24"/>
        </w:rPr>
      </w:pPr>
      <w:r w:rsidRPr="00913E39">
        <w:rPr>
          <w:rFonts w:ascii="Garamond" w:hAnsi="Garamond"/>
          <w:bCs/>
          <w:iCs/>
          <w:sz w:val="24"/>
          <w:szCs w:val="24"/>
        </w:rPr>
        <w:lastRenderedPageBreak/>
        <w:t>Tregoni ndikimet kryesore në klimë që priten nga projekti (p</w:t>
      </w:r>
      <w:r w:rsidR="00C645AF" w:rsidRPr="00913E39">
        <w:rPr>
          <w:rFonts w:ascii="Garamond" w:hAnsi="Garamond"/>
          <w:bCs/>
          <w:iCs/>
          <w:sz w:val="24"/>
          <w:szCs w:val="24"/>
        </w:rPr>
        <w:t>.</w:t>
      </w:r>
      <w:r w:rsidRPr="00913E39">
        <w:rPr>
          <w:rFonts w:ascii="Garamond" w:hAnsi="Garamond"/>
          <w:bCs/>
          <w:iCs/>
          <w:sz w:val="24"/>
          <w:szCs w:val="24"/>
        </w:rPr>
        <w:t>sh</w:t>
      </w:r>
      <w:r w:rsidR="00C645AF" w:rsidRPr="00913E39">
        <w:rPr>
          <w:rFonts w:ascii="Garamond" w:hAnsi="Garamond"/>
          <w:bCs/>
          <w:iCs/>
          <w:sz w:val="24"/>
          <w:szCs w:val="24"/>
        </w:rPr>
        <w:t>.</w:t>
      </w:r>
      <w:r w:rsidRPr="00913E39">
        <w:rPr>
          <w:rFonts w:ascii="Garamond" w:hAnsi="Garamond"/>
          <w:bCs/>
          <w:iCs/>
          <w:sz w:val="24"/>
          <w:szCs w:val="24"/>
        </w:rPr>
        <w:t xml:space="preserve"> gjurmë karboni) dhe masat që do të zbatohen për të shmangur dhe/ose minimizuar këto ndikime. Nëse është e mundur, bëni një dallim midis ndikimeve nga fazat e ndërtimit, funksionimit dhe mbylljes.</w:t>
      </w:r>
    </w:p>
    <w:p w14:paraId="707492AE" w14:textId="77777777" w:rsidR="0090197C" w:rsidRPr="00913E39" w:rsidRDefault="0090197C" w:rsidP="001E7BC5">
      <w:pPr>
        <w:spacing w:after="0" w:line="240" w:lineRule="auto"/>
        <w:ind w:firstLine="284"/>
        <w:jc w:val="both"/>
        <w:rPr>
          <w:rFonts w:ascii="Garamond" w:hAnsi="Garamond"/>
          <w:bCs/>
          <w:iCs/>
          <w:sz w:val="24"/>
          <w:szCs w:val="24"/>
        </w:rPr>
      </w:pPr>
      <w:r w:rsidRPr="00913E39">
        <w:rPr>
          <w:rFonts w:ascii="Garamond" w:hAnsi="Garamond"/>
          <w:bCs/>
          <w:iCs/>
          <w:sz w:val="24"/>
          <w:szCs w:val="24"/>
        </w:rPr>
        <w:t>Tregoni cenueshmërinë klimatike të projektit dhe çfarë masash do të zbatohen për të siguruar mbrojtjen e tij klimatike.</w:t>
      </w:r>
    </w:p>
    <w:p w14:paraId="432C14F2" w14:textId="77777777" w:rsidR="0090197C" w:rsidRPr="00913E39" w:rsidRDefault="0090197C" w:rsidP="00E8580A">
      <w:pPr>
        <w:pStyle w:val="Heading1"/>
        <w:spacing w:before="0" w:after="0"/>
        <w:ind w:firstLine="284"/>
        <w:jc w:val="both"/>
        <w:rPr>
          <w:rFonts w:ascii="Garamond" w:hAnsi="Garamond"/>
          <w:b w:val="0"/>
          <w:sz w:val="24"/>
          <w:lang w:val="sq-AL"/>
        </w:rPr>
      </w:pPr>
      <w:bookmarkStart w:id="109" w:name="_Toc142286822"/>
      <w:bookmarkStart w:id="110" w:name="_Toc142287110"/>
      <w:bookmarkStart w:id="111" w:name="_Toc142287306"/>
      <w:bookmarkStart w:id="112" w:name="_Toc142287444"/>
      <w:bookmarkEnd w:id="107"/>
      <w:r w:rsidRPr="00913E39">
        <w:rPr>
          <w:rFonts w:ascii="Garamond" w:hAnsi="Garamond"/>
          <w:b w:val="0"/>
          <w:sz w:val="24"/>
          <w:lang w:val="sq-AL"/>
        </w:rPr>
        <w:t xml:space="preserve">5. FINANCIMI I PROJEKTIT </w:t>
      </w:r>
      <w:bookmarkEnd w:id="109"/>
      <w:bookmarkEnd w:id="110"/>
      <w:bookmarkEnd w:id="111"/>
      <w:bookmarkEnd w:id="112"/>
    </w:p>
    <w:p w14:paraId="0D2C6BF2" w14:textId="502D84E5" w:rsidR="0090197C" w:rsidRPr="00913E39" w:rsidRDefault="0090197C" w:rsidP="00E8580A">
      <w:pPr>
        <w:pStyle w:val="Heading2"/>
        <w:tabs>
          <w:tab w:val="left" w:pos="426"/>
        </w:tabs>
        <w:spacing w:before="0" w:after="0"/>
        <w:ind w:firstLine="284"/>
        <w:jc w:val="both"/>
        <w:rPr>
          <w:rFonts w:ascii="Garamond" w:hAnsi="Garamond"/>
          <w:b w:val="0"/>
          <w:sz w:val="24"/>
          <w:lang w:val="sq-AL"/>
        </w:rPr>
      </w:pPr>
      <w:r w:rsidRPr="00913E39">
        <w:rPr>
          <w:rFonts w:ascii="Garamond" w:hAnsi="Garamond"/>
          <w:b w:val="0"/>
          <w:sz w:val="24"/>
          <w:lang w:val="sq-AL"/>
        </w:rPr>
        <w:t xml:space="preserve">5.1 Plani </w:t>
      </w:r>
      <w:r w:rsidR="00AB2B27" w:rsidRPr="00913E39">
        <w:rPr>
          <w:rFonts w:ascii="Garamond" w:hAnsi="Garamond"/>
          <w:b w:val="0"/>
          <w:sz w:val="24"/>
          <w:lang w:val="sq-AL"/>
        </w:rPr>
        <w:t>financiar</w:t>
      </w:r>
    </w:p>
    <w:p w14:paraId="7C35E932" w14:textId="2FCACD04" w:rsidR="0090197C" w:rsidRPr="00913E39" w:rsidRDefault="0090197C" w:rsidP="00E8580A">
      <w:pPr>
        <w:pStyle w:val="Text1"/>
        <w:spacing w:before="0" w:after="0"/>
        <w:ind w:left="0" w:firstLine="284"/>
        <w:rPr>
          <w:rFonts w:ascii="Garamond" w:hAnsi="Garamond"/>
          <w:szCs w:val="24"/>
        </w:rPr>
      </w:pPr>
      <w:r w:rsidRPr="00913E39">
        <w:rPr>
          <w:rFonts w:ascii="Garamond" w:hAnsi="Garamond"/>
          <w:szCs w:val="24"/>
        </w:rPr>
        <w:t xml:space="preserve">- Plotësoni tabelën më poshtë. </w:t>
      </w:r>
      <w:r w:rsidRPr="00913E39">
        <w:rPr>
          <w:rFonts w:ascii="Garamond" w:hAnsi="Garamond"/>
          <w:b/>
          <w:szCs w:val="24"/>
        </w:rPr>
        <w:t>Shembulli jepet për qëllim orientues</w:t>
      </w:r>
      <w:r w:rsidRPr="00913E39">
        <w:rPr>
          <w:rFonts w:ascii="Garamond" w:hAnsi="Garamond"/>
          <w:szCs w:val="24"/>
        </w:rPr>
        <w:t>. Tabela jepet edhe n</w:t>
      </w:r>
      <w:r w:rsidR="001E7BC5" w:rsidRPr="00913E39">
        <w:rPr>
          <w:rFonts w:ascii="Garamond" w:hAnsi="Garamond"/>
          <w:szCs w:val="24"/>
        </w:rPr>
        <w:t>ë</w:t>
      </w:r>
      <w:r w:rsidRPr="00913E39">
        <w:rPr>
          <w:rFonts w:ascii="Garamond" w:hAnsi="Garamond"/>
          <w:szCs w:val="24"/>
        </w:rPr>
        <w:t xml:space="preserve"> xls. Rregullojeni tabelën sipas specifikave të projektit.</w:t>
      </w:r>
    </w:p>
    <w:p w14:paraId="3B400B8A" w14:textId="77777777" w:rsidR="0090197C" w:rsidRPr="00913E39" w:rsidRDefault="0090197C" w:rsidP="00E8580A">
      <w:pPr>
        <w:pStyle w:val="Text1"/>
        <w:spacing w:before="0" w:after="0"/>
        <w:ind w:left="0" w:firstLine="284"/>
        <w:rPr>
          <w:rFonts w:ascii="Garamond" w:hAnsi="Garamond"/>
          <w:szCs w:val="24"/>
        </w:rPr>
      </w:pPr>
      <w:r w:rsidRPr="00913E39">
        <w:rPr>
          <w:rFonts w:ascii="Garamond" w:hAnsi="Garamond"/>
          <w:bCs/>
          <w:szCs w:val="24"/>
        </w:rPr>
        <w:t xml:space="preserve">- Listoni të gjitha grupet e shpenzimeve në një zë më vete. </w:t>
      </w:r>
    </w:p>
    <w:p w14:paraId="23078806" w14:textId="36BF2E66" w:rsidR="0090197C" w:rsidRPr="00913E39" w:rsidRDefault="0090197C" w:rsidP="00E8580A">
      <w:pPr>
        <w:pStyle w:val="Text1"/>
        <w:spacing w:before="0" w:after="0"/>
        <w:ind w:left="0" w:firstLine="284"/>
        <w:rPr>
          <w:rFonts w:ascii="Garamond" w:hAnsi="Garamond"/>
          <w:szCs w:val="24"/>
        </w:rPr>
      </w:pPr>
      <w:r w:rsidRPr="00913E39">
        <w:rPr>
          <w:rFonts w:ascii="Garamond" w:hAnsi="Garamond"/>
          <w:szCs w:val="24"/>
        </w:rPr>
        <w:t xml:space="preserve">- Meqë shpenzimet private nuk janë të pranueshme për financim në këtë aktivitet, do të përfshihen - nëse ka - nën </w:t>
      </w:r>
      <w:r w:rsidR="00850FC7" w:rsidRPr="00913E39">
        <w:rPr>
          <w:rFonts w:ascii="Garamond" w:hAnsi="Garamond"/>
          <w:szCs w:val="24"/>
        </w:rPr>
        <w:t>“</w:t>
      </w:r>
      <w:r w:rsidRPr="00913E39">
        <w:rPr>
          <w:rFonts w:ascii="Garamond" w:hAnsi="Garamond"/>
          <w:szCs w:val="24"/>
        </w:rPr>
        <w:t>shpenzime të papranueshme</w:t>
      </w:r>
      <w:r w:rsidR="00850FC7" w:rsidRPr="00913E39">
        <w:rPr>
          <w:rFonts w:ascii="Garamond" w:hAnsi="Garamond"/>
          <w:szCs w:val="24"/>
        </w:rPr>
        <w:t>”</w:t>
      </w:r>
    </w:p>
    <w:tbl>
      <w:tblPr>
        <w:tblW w:w="5000" w:type="pct"/>
        <w:tblLook w:val="04A0" w:firstRow="1" w:lastRow="0" w:firstColumn="1" w:lastColumn="0" w:noHBand="0" w:noVBand="1"/>
      </w:tblPr>
      <w:tblGrid>
        <w:gridCol w:w="2751"/>
        <w:gridCol w:w="1900"/>
        <w:gridCol w:w="1646"/>
        <w:gridCol w:w="2758"/>
      </w:tblGrid>
      <w:tr w:rsidR="0090197C" w:rsidRPr="00913E39" w14:paraId="2C91B7FB" w14:textId="77777777" w:rsidTr="009C2266">
        <w:trPr>
          <w:trHeight w:val="20"/>
          <w:tblHeader/>
        </w:trPr>
        <w:tc>
          <w:tcPr>
            <w:tcW w:w="1519" w:type="pct"/>
            <w:vMerge w:val="restart"/>
            <w:tcBorders>
              <w:top w:val="single" w:sz="8" w:space="0" w:color="auto"/>
              <w:left w:val="single" w:sz="8" w:space="0" w:color="auto"/>
              <w:bottom w:val="single" w:sz="4" w:space="0" w:color="000000"/>
              <w:right w:val="single" w:sz="4" w:space="0" w:color="auto"/>
            </w:tcBorders>
            <w:shd w:val="clear" w:color="000000" w:fill="D0CECE"/>
            <w:vAlign w:val="center"/>
            <w:hideMark/>
          </w:tcPr>
          <w:p w14:paraId="72FA0E51" w14:textId="77777777" w:rsidR="0090197C" w:rsidRPr="00913E39" w:rsidRDefault="0090197C" w:rsidP="009C2266">
            <w:pPr>
              <w:spacing w:after="0" w:line="240" w:lineRule="auto"/>
              <w:rPr>
                <w:rFonts w:ascii="Garamond" w:hAnsi="Garamond"/>
                <w:b/>
                <w:bCs/>
                <w:sz w:val="20"/>
                <w:szCs w:val="24"/>
              </w:rPr>
            </w:pPr>
            <w:r w:rsidRPr="00913E39">
              <w:rPr>
                <w:rFonts w:ascii="Garamond" w:hAnsi="Garamond"/>
                <w:b/>
                <w:bCs/>
                <w:sz w:val="20"/>
                <w:szCs w:val="24"/>
              </w:rPr>
              <w:t>Zërat buxhetorë</w:t>
            </w:r>
          </w:p>
        </w:tc>
        <w:tc>
          <w:tcPr>
            <w:tcW w:w="1049" w:type="pct"/>
            <w:tcBorders>
              <w:top w:val="single" w:sz="8" w:space="0" w:color="auto"/>
              <w:left w:val="nil"/>
              <w:bottom w:val="single" w:sz="4" w:space="0" w:color="auto"/>
              <w:right w:val="single" w:sz="4" w:space="0" w:color="auto"/>
            </w:tcBorders>
            <w:shd w:val="clear" w:color="000000" w:fill="D0CECE"/>
            <w:vAlign w:val="center"/>
            <w:hideMark/>
          </w:tcPr>
          <w:p w14:paraId="7E0425D8"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mallCaps/>
                <w:sz w:val="20"/>
                <w:szCs w:val="24"/>
              </w:rPr>
              <w:t>Kostoja totale E projektiT</w:t>
            </w:r>
          </w:p>
        </w:tc>
        <w:tc>
          <w:tcPr>
            <w:tcW w:w="909" w:type="pct"/>
            <w:tcBorders>
              <w:top w:val="single" w:sz="8" w:space="0" w:color="auto"/>
              <w:left w:val="nil"/>
              <w:bottom w:val="single" w:sz="4" w:space="0" w:color="auto"/>
              <w:right w:val="single" w:sz="4" w:space="0" w:color="auto"/>
            </w:tcBorders>
            <w:shd w:val="clear" w:color="000000" w:fill="D0CECE"/>
            <w:vAlign w:val="center"/>
            <w:hideMark/>
          </w:tcPr>
          <w:p w14:paraId="002CC962"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mallCaps/>
                <w:sz w:val="20"/>
                <w:szCs w:val="24"/>
              </w:rPr>
              <w:t>Shpenzime të papranueshme</w:t>
            </w:r>
          </w:p>
        </w:tc>
        <w:tc>
          <w:tcPr>
            <w:tcW w:w="1523" w:type="pct"/>
            <w:tcBorders>
              <w:top w:val="single" w:sz="8" w:space="0" w:color="auto"/>
              <w:left w:val="nil"/>
              <w:bottom w:val="single" w:sz="4" w:space="0" w:color="auto"/>
              <w:right w:val="single" w:sz="4" w:space="0" w:color="auto"/>
            </w:tcBorders>
            <w:shd w:val="clear" w:color="000000" w:fill="D0CECE"/>
            <w:vAlign w:val="center"/>
            <w:hideMark/>
          </w:tcPr>
          <w:p w14:paraId="51365618"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mallCaps/>
                <w:sz w:val="20"/>
                <w:szCs w:val="24"/>
              </w:rPr>
              <w:t>Shpenzime të pranueshme</w:t>
            </w:r>
          </w:p>
        </w:tc>
      </w:tr>
      <w:tr w:rsidR="0090197C" w:rsidRPr="00913E39" w14:paraId="6644D3F9" w14:textId="77777777" w:rsidTr="009C2266">
        <w:trPr>
          <w:trHeight w:val="20"/>
          <w:tblHeader/>
        </w:trPr>
        <w:tc>
          <w:tcPr>
            <w:tcW w:w="1519" w:type="pct"/>
            <w:vMerge/>
            <w:tcBorders>
              <w:top w:val="single" w:sz="8" w:space="0" w:color="auto"/>
              <w:left w:val="single" w:sz="8" w:space="0" w:color="auto"/>
              <w:bottom w:val="single" w:sz="4" w:space="0" w:color="000000"/>
              <w:right w:val="single" w:sz="4" w:space="0" w:color="auto"/>
            </w:tcBorders>
            <w:vAlign w:val="center"/>
            <w:hideMark/>
          </w:tcPr>
          <w:p w14:paraId="6D4BD134" w14:textId="77777777" w:rsidR="0090197C" w:rsidRPr="00913E39" w:rsidRDefault="0090197C" w:rsidP="009C2266">
            <w:pPr>
              <w:spacing w:after="0" w:line="240" w:lineRule="auto"/>
              <w:rPr>
                <w:rFonts w:ascii="Garamond" w:hAnsi="Garamond"/>
                <w:b/>
                <w:bCs/>
                <w:sz w:val="20"/>
                <w:szCs w:val="24"/>
              </w:rPr>
            </w:pPr>
          </w:p>
        </w:tc>
        <w:tc>
          <w:tcPr>
            <w:tcW w:w="1049" w:type="pct"/>
            <w:tcBorders>
              <w:top w:val="nil"/>
              <w:left w:val="nil"/>
              <w:bottom w:val="single" w:sz="4" w:space="0" w:color="auto"/>
              <w:right w:val="single" w:sz="4" w:space="0" w:color="auto"/>
            </w:tcBorders>
            <w:shd w:val="clear" w:color="000000" w:fill="D0CECE"/>
            <w:vAlign w:val="center"/>
            <w:hideMark/>
          </w:tcPr>
          <w:p w14:paraId="10A59A80"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EUR</w:t>
            </w:r>
          </w:p>
        </w:tc>
        <w:tc>
          <w:tcPr>
            <w:tcW w:w="909" w:type="pct"/>
            <w:tcBorders>
              <w:top w:val="nil"/>
              <w:left w:val="nil"/>
              <w:bottom w:val="single" w:sz="4" w:space="0" w:color="auto"/>
              <w:right w:val="single" w:sz="4" w:space="0" w:color="auto"/>
            </w:tcBorders>
            <w:shd w:val="clear" w:color="000000" w:fill="D0CECE"/>
            <w:vAlign w:val="center"/>
            <w:hideMark/>
          </w:tcPr>
          <w:p w14:paraId="3C24D57A"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EUR</w:t>
            </w:r>
          </w:p>
        </w:tc>
        <w:tc>
          <w:tcPr>
            <w:tcW w:w="1523" w:type="pct"/>
            <w:tcBorders>
              <w:top w:val="nil"/>
              <w:left w:val="nil"/>
              <w:bottom w:val="single" w:sz="4" w:space="0" w:color="auto"/>
              <w:right w:val="single" w:sz="4" w:space="0" w:color="auto"/>
            </w:tcBorders>
            <w:shd w:val="clear" w:color="000000" w:fill="D0CECE"/>
            <w:vAlign w:val="center"/>
            <w:hideMark/>
          </w:tcPr>
          <w:p w14:paraId="6C1E6CE7"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EUR</w:t>
            </w:r>
          </w:p>
        </w:tc>
      </w:tr>
      <w:tr w:rsidR="0090197C" w:rsidRPr="00913E39" w14:paraId="113CF09E" w14:textId="77777777" w:rsidTr="009C2266">
        <w:trPr>
          <w:trHeight w:val="20"/>
          <w:tblHeader/>
        </w:trPr>
        <w:tc>
          <w:tcPr>
            <w:tcW w:w="1519" w:type="pct"/>
            <w:vMerge/>
            <w:tcBorders>
              <w:top w:val="single" w:sz="8" w:space="0" w:color="auto"/>
              <w:left w:val="single" w:sz="8" w:space="0" w:color="auto"/>
              <w:bottom w:val="single" w:sz="4" w:space="0" w:color="000000"/>
              <w:right w:val="single" w:sz="4" w:space="0" w:color="auto"/>
            </w:tcBorders>
            <w:vAlign w:val="center"/>
            <w:hideMark/>
          </w:tcPr>
          <w:p w14:paraId="7984F39C" w14:textId="77777777" w:rsidR="0090197C" w:rsidRPr="00913E39" w:rsidRDefault="0090197C" w:rsidP="009C2266">
            <w:pPr>
              <w:spacing w:after="0" w:line="240" w:lineRule="auto"/>
              <w:rPr>
                <w:rFonts w:ascii="Garamond" w:hAnsi="Garamond"/>
                <w:b/>
                <w:bCs/>
                <w:sz w:val="20"/>
                <w:szCs w:val="24"/>
              </w:rPr>
            </w:pPr>
          </w:p>
        </w:tc>
        <w:tc>
          <w:tcPr>
            <w:tcW w:w="1049" w:type="pct"/>
            <w:tcBorders>
              <w:top w:val="nil"/>
              <w:left w:val="nil"/>
              <w:bottom w:val="single" w:sz="4" w:space="0" w:color="auto"/>
              <w:right w:val="single" w:sz="4" w:space="0" w:color="auto"/>
            </w:tcBorders>
            <w:shd w:val="clear" w:color="000000" w:fill="D0CECE"/>
            <w:vAlign w:val="center"/>
            <w:hideMark/>
          </w:tcPr>
          <w:p w14:paraId="7C82A70C"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(A)</w:t>
            </w:r>
          </w:p>
        </w:tc>
        <w:tc>
          <w:tcPr>
            <w:tcW w:w="909" w:type="pct"/>
            <w:tcBorders>
              <w:top w:val="nil"/>
              <w:left w:val="nil"/>
              <w:bottom w:val="single" w:sz="4" w:space="0" w:color="auto"/>
              <w:right w:val="single" w:sz="4" w:space="0" w:color="auto"/>
            </w:tcBorders>
            <w:shd w:val="clear" w:color="000000" w:fill="D0CECE"/>
            <w:vAlign w:val="center"/>
            <w:hideMark/>
          </w:tcPr>
          <w:p w14:paraId="3B4F6F78"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(B)</w:t>
            </w:r>
          </w:p>
        </w:tc>
        <w:tc>
          <w:tcPr>
            <w:tcW w:w="1523" w:type="pct"/>
            <w:tcBorders>
              <w:top w:val="nil"/>
              <w:left w:val="nil"/>
              <w:bottom w:val="single" w:sz="4" w:space="0" w:color="auto"/>
              <w:right w:val="single" w:sz="4" w:space="0" w:color="auto"/>
            </w:tcBorders>
            <w:shd w:val="clear" w:color="000000" w:fill="D0CECE"/>
            <w:vAlign w:val="center"/>
            <w:hideMark/>
          </w:tcPr>
          <w:p w14:paraId="71742F06"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(C)=(A)-(B)</w:t>
            </w:r>
          </w:p>
        </w:tc>
      </w:tr>
      <w:tr w:rsidR="0090197C" w:rsidRPr="00913E39" w14:paraId="7316C749" w14:textId="77777777" w:rsidTr="009C2266">
        <w:trPr>
          <w:cantSplit/>
          <w:trHeight w:val="20"/>
        </w:trPr>
        <w:tc>
          <w:tcPr>
            <w:tcW w:w="1519" w:type="pct"/>
            <w:tcBorders>
              <w:top w:val="nil"/>
              <w:left w:val="single" w:sz="8" w:space="0" w:color="auto"/>
              <w:bottom w:val="single" w:sz="4" w:space="0" w:color="auto"/>
              <w:right w:val="single" w:sz="4" w:space="0" w:color="auto"/>
            </w:tcBorders>
            <w:shd w:val="clear" w:color="000000" w:fill="FFF2CC"/>
            <w:vAlign w:val="center"/>
            <w:hideMark/>
          </w:tcPr>
          <w:p w14:paraId="69E7A58D" w14:textId="77777777" w:rsidR="0090197C" w:rsidRPr="00913E39" w:rsidRDefault="0090197C" w:rsidP="009C2266">
            <w:pPr>
              <w:spacing w:after="0" w:line="240" w:lineRule="auto"/>
              <w:rPr>
                <w:rFonts w:ascii="Garamond" w:hAnsi="Garamond"/>
                <w:b/>
                <w:bCs/>
                <w:sz w:val="20"/>
                <w:szCs w:val="24"/>
              </w:rPr>
            </w:pPr>
            <w:r w:rsidRPr="00913E39">
              <w:rPr>
                <w:rFonts w:ascii="Garamond" w:hAnsi="Garamond"/>
                <w:b/>
                <w:bCs/>
                <w:sz w:val="20"/>
                <w:szCs w:val="24"/>
              </w:rPr>
              <w:t>1. Tarifa planifikimi/projektimi</w:t>
            </w:r>
          </w:p>
        </w:tc>
        <w:tc>
          <w:tcPr>
            <w:tcW w:w="1049" w:type="pct"/>
            <w:tcBorders>
              <w:top w:val="nil"/>
              <w:left w:val="nil"/>
              <w:bottom w:val="single" w:sz="4" w:space="0" w:color="auto"/>
              <w:right w:val="single" w:sz="4" w:space="0" w:color="auto"/>
            </w:tcBorders>
            <w:shd w:val="clear" w:color="000000" w:fill="FFF2CC"/>
            <w:vAlign w:val="center"/>
            <w:hideMark/>
          </w:tcPr>
          <w:p w14:paraId="76C70F5A"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1,600,000</w:t>
            </w:r>
          </w:p>
        </w:tc>
        <w:tc>
          <w:tcPr>
            <w:tcW w:w="909" w:type="pct"/>
            <w:tcBorders>
              <w:top w:val="nil"/>
              <w:left w:val="nil"/>
              <w:bottom w:val="single" w:sz="4" w:space="0" w:color="auto"/>
              <w:right w:val="single" w:sz="4" w:space="0" w:color="auto"/>
            </w:tcBorders>
            <w:shd w:val="clear" w:color="000000" w:fill="FFF2CC"/>
            <w:vAlign w:val="center"/>
            <w:hideMark/>
          </w:tcPr>
          <w:p w14:paraId="4DA4D692"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500,000</w:t>
            </w:r>
          </w:p>
        </w:tc>
        <w:tc>
          <w:tcPr>
            <w:tcW w:w="1523" w:type="pct"/>
            <w:tcBorders>
              <w:top w:val="nil"/>
              <w:left w:val="nil"/>
              <w:bottom w:val="single" w:sz="4" w:space="0" w:color="auto"/>
              <w:right w:val="single" w:sz="4" w:space="0" w:color="auto"/>
            </w:tcBorders>
            <w:shd w:val="clear" w:color="000000" w:fill="FFF2CC"/>
            <w:vAlign w:val="center"/>
            <w:hideMark/>
          </w:tcPr>
          <w:p w14:paraId="47C88803"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1,100,000</w:t>
            </w:r>
          </w:p>
        </w:tc>
      </w:tr>
      <w:tr w:rsidR="0090197C" w:rsidRPr="00913E39" w14:paraId="4B2E959F"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noWrap/>
            <w:vAlign w:val="bottom"/>
            <w:hideMark/>
          </w:tcPr>
          <w:p w14:paraId="4BE82073"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Studim paraprak fizibiliteti</w:t>
            </w:r>
          </w:p>
        </w:tc>
        <w:tc>
          <w:tcPr>
            <w:tcW w:w="1049" w:type="pct"/>
            <w:tcBorders>
              <w:top w:val="nil"/>
              <w:left w:val="nil"/>
              <w:bottom w:val="single" w:sz="4" w:space="0" w:color="auto"/>
              <w:right w:val="single" w:sz="4" w:space="0" w:color="auto"/>
            </w:tcBorders>
            <w:shd w:val="clear" w:color="auto" w:fill="auto"/>
            <w:vAlign w:val="center"/>
            <w:hideMark/>
          </w:tcPr>
          <w:p w14:paraId="2331A908"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20,000</w:t>
            </w:r>
          </w:p>
        </w:tc>
        <w:tc>
          <w:tcPr>
            <w:tcW w:w="909" w:type="pct"/>
            <w:tcBorders>
              <w:top w:val="nil"/>
              <w:left w:val="nil"/>
              <w:bottom w:val="single" w:sz="4" w:space="0" w:color="auto"/>
              <w:right w:val="single" w:sz="4" w:space="0" w:color="auto"/>
            </w:tcBorders>
            <w:shd w:val="clear" w:color="auto" w:fill="auto"/>
            <w:vAlign w:val="center"/>
            <w:hideMark/>
          </w:tcPr>
          <w:p w14:paraId="432E55CC"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639E4E4C"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20,000</w:t>
            </w:r>
          </w:p>
        </w:tc>
      </w:tr>
      <w:tr w:rsidR="0090197C" w:rsidRPr="00913E39" w14:paraId="4A828C8B"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552ED0B3" w14:textId="61B151EC"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xml:space="preserve">Studim </w:t>
            </w:r>
            <w:r w:rsidR="00AB2B27" w:rsidRPr="00913E39">
              <w:rPr>
                <w:rFonts w:ascii="Garamond" w:hAnsi="Garamond"/>
                <w:sz w:val="20"/>
                <w:szCs w:val="24"/>
              </w:rPr>
              <w:t>fizibiliteti</w:t>
            </w:r>
          </w:p>
        </w:tc>
        <w:tc>
          <w:tcPr>
            <w:tcW w:w="1049" w:type="pct"/>
            <w:tcBorders>
              <w:top w:val="nil"/>
              <w:left w:val="nil"/>
              <w:bottom w:val="single" w:sz="4" w:space="0" w:color="auto"/>
              <w:right w:val="single" w:sz="4" w:space="0" w:color="auto"/>
            </w:tcBorders>
            <w:shd w:val="clear" w:color="auto" w:fill="auto"/>
            <w:vAlign w:val="center"/>
            <w:hideMark/>
          </w:tcPr>
          <w:p w14:paraId="00093800"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550,000</w:t>
            </w:r>
          </w:p>
        </w:tc>
        <w:tc>
          <w:tcPr>
            <w:tcW w:w="909" w:type="pct"/>
            <w:tcBorders>
              <w:top w:val="nil"/>
              <w:left w:val="nil"/>
              <w:bottom w:val="single" w:sz="4" w:space="0" w:color="auto"/>
              <w:right w:val="single" w:sz="4" w:space="0" w:color="auto"/>
            </w:tcBorders>
            <w:shd w:val="clear" w:color="auto" w:fill="auto"/>
            <w:vAlign w:val="center"/>
            <w:hideMark/>
          </w:tcPr>
          <w:p w14:paraId="7CB60AB9"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6EC65A49"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550,000</w:t>
            </w:r>
          </w:p>
        </w:tc>
      </w:tr>
      <w:tr w:rsidR="0090197C" w:rsidRPr="00913E39" w14:paraId="2AEDF157"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0D568B3D"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xml:space="preserve">Analiza socialo-ekonomike </w:t>
            </w:r>
          </w:p>
        </w:tc>
        <w:tc>
          <w:tcPr>
            <w:tcW w:w="1049" w:type="pct"/>
            <w:tcBorders>
              <w:top w:val="nil"/>
              <w:left w:val="nil"/>
              <w:bottom w:val="single" w:sz="4" w:space="0" w:color="auto"/>
              <w:right w:val="single" w:sz="4" w:space="0" w:color="auto"/>
            </w:tcBorders>
            <w:shd w:val="clear" w:color="auto" w:fill="auto"/>
            <w:vAlign w:val="center"/>
            <w:hideMark/>
          </w:tcPr>
          <w:p w14:paraId="4C28555D"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150,000</w:t>
            </w:r>
          </w:p>
        </w:tc>
        <w:tc>
          <w:tcPr>
            <w:tcW w:w="909" w:type="pct"/>
            <w:tcBorders>
              <w:top w:val="nil"/>
              <w:left w:val="nil"/>
              <w:bottom w:val="single" w:sz="4" w:space="0" w:color="auto"/>
              <w:right w:val="single" w:sz="4" w:space="0" w:color="auto"/>
            </w:tcBorders>
            <w:shd w:val="clear" w:color="auto" w:fill="auto"/>
            <w:vAlign w:val="center"/>
            <w:hideMark/>
          </w:tcPr>
          <w:p w14:paraId="425F9F16"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6966E1B6"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150,000</w:t>
            </w:r>
          </w:p>
        </w:tc>
      </w:tr>
      <w:tr w:rsidR="0090197C" w:rsidRPr="00913E39" w14:paraId="1A028660"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05505181"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xml:space="preserve">Vlerësimi i hendekut të planifikimit urban </w:t>
            </w:r>
          </w:p>
        </w:tc>
        <w:tc>
          <w:tcPr>
            <w:tcW w:w="1049" w:type="pct"/>
            <w:tcBorders>
              <w:top w:val="nil"/>
              <w:left w:val="nil"/>
              <w:bottom w:val="single" w:sz="4" w:space="0" w:color="auto"/>
              <w:right w:val="single" w:sz="4" w:space="0" w:color="auto"/>
            </w:tcBorders>
            <w:shd w:val="clear" w:color="auto" w:fill="auto"/>
            <w:vAlign w:val="center"/>
            <w:hideMark/>
          </w:tcPr>
          <w:p w14:paraId="75536C7F"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300,000</w:t>
            </w:r>
          </w:p>
        </w:tc>
        <w:tc>
          <w:tcPr>
            <w:tcW w:w="909" w:type="pct"/>
            <w:tcBorders>
              <w:top w:val="nil"/>
              <w:left w:val="nil"/>
              <w:bottom w:val="single" w:sz="4" w:space="0" w:color="auto"/>
              <w:right w:val="single" w:sz="4" w:space="0" w:color="auto"/>
            </w:tcBorders>
            <w:shd w:val="clear" w:color="auto" w:fill="auto"/>
            <w:vAlign w:val="center"/>
            <w:hideMark/>
          </w:tcPr>
          <w:p w14:paraId="1C762B8A"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7C711A15"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300,000</w:t>
            </w:r>
          </w:p>
        </w:tc>
      </w:tr>
      <w:tr w:rsidR="0090197C" w:rsidRPr="00913E39" w14:paraId="25C48E84"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6DE9D655"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Analiza kosto-përfitim</w:t>
            </w:r>
          </w:p>
        </w:tc>
        <w:tc>
          <w:tcPr>
            <w:tcW w:w="1049" w:type="pct"/>
            <w:tcBorders>
              <w:top w:val="nil"/>
              <w:left w:val="nil"/>
              <w:bottom w:val="single" w:sz="4" w:space="0" w:color="auto"/>
              <w:right w:val="single" w:sz="4" w:space="0" w:color="auto"/>
            </w:tcBorders>
            <w:shd w:val="clear" w:color="auto" w:fill="auto"/>
            <w:vAlign w:val="center"/>
            <w:hideMark/>
          </w:tcPr>
          <w:p w14:paraId="3ED06354"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500,000</w:t>
            </w:r>
          </w:p>
        </w:tc>
        <w:tc>
          <w:tcPr>
            <w:tcW w:w="909" w:type="pct"/>
            <w:tcBorders>
              <w:top w:val="nil"/>
              <w:left w:val="nil"/>
              <w:bottom w:val="single" w:sz="4" w:space="0" w:color="auto"/>
              <w:right w:val="single" w:sz="4" w:space="0" w:color="auto"/>
            </w:tcBorders>
            <w:shd w:val="clear" w:color="auto" w:fill="auto"/>
            <w:vAlign w:val="center"/>
            <w:hideMark/>
          </w:tcPr>
          <w:p w14:paraId="5B7F6F72"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500,000</w:t>
            </w:r>
          </w:p>
        </w:tc>
        <w:tc>
          <w:tcPr>
            <w:tcW w:w="1523" w:type="pct"/>
            <w:tcBorders>
              <w:top w:val="nil"/>
              <w:left w:val="nil"/>
              <w:bottom w:val="single" w:sz="4" w:space="0" w:color="auto"/>
              <w:right w:val="single" w:sz="4" w:space="0" w:color="auto"/>
            </w:tcBorders>
            <w:shd w:val="clear" w:color="auto" w:fill="auto"/>
            <w:vAlign w:val="center"/>
            <w:hideMark/>
          </w:tcPr>
          <w:p w14:paraId="42E351C3"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191ED5B9"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009C2E48"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xml:space="preserve">Analiza e ndikimit gjinor </w:t>
            </w:r>
          </w:p>
        </w:tc>
        <w:tc>
          <w:tcPr>
            <w:tcW w:w="1049" w:type="pct"/>
            <w:tcBorders>
              <w:top w:val="nil"/>
              <w:left w:val="nil"/>
              <w:bottom w:val="single" w:sz="4" w:space="0" w:color="auto"/>
              <w:right w:val="single" w:sz="4" w:space="0" w:color="auto"/>
            </w:tcBorders>
            <w:shd w:val="clear" w:color="auto" w:fill="auto"/>
            <w:vAlign w:val="center"/>
            <w:hideMark/>
          </w:tcPr>
          <w:p w14:paraId="02A828D9"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80,000</w:t>
            </w:r>
          </w:p>
        </w:tc>
        <w:tc>
          <w:tcPr>
            <w:tcW w:w="909" w:type="pct"/>
            <w:tcBorders>
              <w:top w:val="nil"/>
              <w:left w:val="nil"/>
              <w:bottom w:val="single" w:sz="4" w:space="0" w:color="auto"/>
              <w:right w:val="single" w:sz="4" w:space="0" w:color="auto"/>
            </w:tcBorders>
            <w:shd w:val="clear" w:color="auto" w:fill="auto"/>
            <w:vAlign w:val="center"/>
            <w:hideMark/>
          </w:tcPr>
          <w:p w14:paraId="0833B227"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42462C50"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80,000</w:t>
            </w:r>
          </w:p>
        </w:tc>
      </w:tr>
      <w:tr w:rsidR="0090197C" w:rsidRPr="00913E39" w14:paraId="24FC534C"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4EF9E0B7"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Tjetër</w:t>
            </w:r>
          </w:p>
        </w:tc>
        <w:tc>
          <w:tcPr>
            <w:tcW w:w="1049" w:type="pct"/>
            <w:tcBorders>
              <w:top w:val="nil"/>
              <w:left w:val="nil"/>
              <w:bottom w:val="single" w:sz="4" w:space="0" w:color="auto"/>
              <w:right w:val="single" w:sz="4" w:space="0" w:color="auto"/>
            </w:tcBorders>
            <w:shd w:val="clear" w:color="auto" w:fill="auto"/>
            <w:vAlign w:val="center"/>
            <w:hideMark/>
          </w:tcPr>
          <w:p w14:paraId="632EA365"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909" w:type="pct"/>
            <w:tcBorders>
              <w:top w:val="nil"/>
              <w:left w:val="nil"/>
              <w:bottom w:val="single" w:sz="4" w:space="0" w:color="auto"/>
              <w:right w:val="single" w:sz="4" w:space="0" w:color="auto"/>
            </w:tcBorders>
            <w:shd w:val="clear" w:color="auto" w:fill="auto"/>
            <w:vAlign w:val="center"/>
            <w:hideMark/>
          </w:tcPr>
          <w:p w14:paraId="0F3F4E82"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0AB38B86"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2357F5C6" w14:textId="77777777" w:rsidTr="009C2266">
        <w:trPr>
          <w:cantSplit/>
          <w:trHeight w:val="20"/>
        </w:trPr>
        <w:tc>
          <w:tcPr>
            <w:tcW w:w="1519" w:type="pct"/>
            <w:tcBorders>
              <w:top w:val="nil"/>
              <w:left w:val="single" w:sz="8" w:space="0" w:color="auto"/>
              <w:bottom w:val="single" w:sz="4" w:space="0" w:color="auto"/>
              <w:right w:val="single" w:sz="4" w:space="0" w:color="auto"/>
            </w:tcBorders>
            <w:shd w:val="clear" w:color="auto" w:fill="auto"/>
            <w:vAlign w:val="center"/>
          </w:tcPr>
          <w:p w14:paraId="7F144640" w14:textId="77777777" w:rsidR="0090197C" w:rsidRPr="00913E39" w:rsidRDefault="0090197C" w:rsidP="009C2266">
            <w:pPr>
              <w:spacing w:after="0" w:line="240" w:lineRule="auto"/>
              <w:rPr>
                <w:rFonts w:ascii="Garamond" w:hAnsi="Garamond"/>
                <w:b/>
                <w:bCs/>
                <w:sz w:val="20"/>
                <w:szCs w:val="24"/>
              </w:rPr>
            </w:pPr>
          </w:p>
        </w:tc>
        <w:tc>
          <w:tcPr>
            <w:tcW w:w="1049" w:type="pct"/>
            <w:tcBorders>
              <w:top w:val="nil"/>
              <w:left w:val="nil"/>
              <w:bottom w:val="single" w:sz="4" w:space="0" w:color="auto"/>
              <w:right w:val="single" w:sz="4" w:space="0" w:color="auto"/>
            </w:tcBorders>
            <w:shd w:val="clear" w:color="auto" w:fill="auto"/>
            <w:vAlign w:val="center"/>
          </w:tcPr>
          <w:p w14:paraId="47D7F591" w14:textId="77777777" w:rsidR="0090197C" w:rsidRPr="00913E39" w:rsidRDefault="0090197C" w:rsidP="009C2266">
            <w:pPr>
              <w:spacing w:after="0" w:line="240" w:lineRule="auto"/>
              <w:jc w:val="center"/>
              <w:rPr>
                <w:rFonts w:ascii="Garamond" w:hAnsi="Garamond"/>
                <w:b/>
                <w:bCs/>
                <w:sz w:val="20"/>
                <w:szCs w:val="24"/>
              </w:rPr>
            </w:pPr>
          </w:p>
        </w:tc>
        <w:tc>
          <w:tcPr>
            <w:tcW w:w="909" w:type="pct"/>
            <w:tcBorders>
              <w:top w:val="nil"/>
              <w:left w:val="nil"/>
              <w:bottom w:val="single" w:sz="4" w:space="0" w:color="auto"/>
              <w:right w:val="single" w:sz="4" w:space="0" w:color="auto"/>
            </w:tcBorders>
            <w:shd w:val="clear" w:color="auto" w:fill="auto"/>
            <w:vAlign w:val="center"/>
          </w:tcPr>
          <w:p w14:paraId="42F4A04E" w14:textId="77777777" w:rsidR="0090197C" w:rsidRPr="00913E39" w:rsidRDefault="0090197C" w:rsidP="009C2266">
            <w:pPr>
              <w:spacing w:after="0" w:line="240" w:lineRule="auto"/>
              <w:jc w:val="center"/>
              <w:rPr>
                <w:rFonts w:ascii="Garamond" w:hAnsi="Garamond"/>
                <w:b/>
                <w:bCs/>
                <w:sz w:val="20"/>
                <w:szCs w:val="24"/>
              </w:rPr>
            </w:pPr>
          </w:p>
        </w:tc>
        <w:tc>
          <w:tcPr>
            <w:tcW w:w="1523" w:type="pct"/>
            <w:tcBorders>
              <w:top w:val="nil"/>
              <w:left w:val="nil"/>
              <w:bottom w:val="single" w:sz="4" w:space="0" w:color="auto"/>
              <w:right w:val="single" w:sz="4" w:space="0" w:color="auto"/>
            </w:tcBorders>
            <w:shd w:val="clear" w:color="auto" w:fill="auto"/>
            <w:vAlign w:val="center"/>
          </w:tcPr>
          <w:p w14:paraId="3DB6A801" w14:textId="77777777" w:rsidR="0090197C" w:rsidRPr="00913E39" w:rsidRDefault="0090197C" w:rsidP="009C2266">
            <w:pPr>
              <w:spacing w:after="0" w:line="240" w:lineRule="auto"/>
              <w:jc w:val="center"/>
              <w:rPr>
                <w:rFonts w:ascii="Garamond" w:hAnsi="Garamond"/>
                <w:b/>
                <w:bCs/>
                <w:sz w:val="20"/>
                <w:szCs w:val="24"/>
              </w:rPr>
            </w:pPr>
          </w:p>
        </w:tc>
      </w:tr>
      <w:tr w:rsidR="0090197C" w:rsidRPr="00913E39" w14:paraId="72AD3E5F" w14:textId="77777777" w:rsidTr="009C2266">
        <w:trPr>
          <w:cantSplit/>
          <w:trHeight w:val="20"/>
        </w:trPr>
        <w:tc>
          <w:tcPr>
            <w:tcW w:w="1519" w:type="pct"/>
            <w:tcBorders>
              <w:top w:val="nil"/>
              <w:left w:val="single" w:sz="8" w:space="0" w:color="auto"/>
              <w:bottom w:val="single" w:sz="4" w:space="0" w:color="auto"/>
              <w:right w:val="single" w:sz="4" w:space="0" w:color="auto"/>
            </w:tcBorders>
            <w:shd w:val="clear" w:color="000000" w:fill="FFF2CC"/>
            <w:vAlign w:val="center"/>
            <w:hideMark/>
          </w:tcPr>
          <w:p w14:paraId="007C6461" w14:textId="77777777" w:rsidR="0090197C" w:rsidRPr="00913E39" w:rsidRDefault="0090197C" w:rsidP="009C2266">
            <w:pPr>
              <w:spacing w:after="0" w:line="240" w:lineRule="auto"/>
              <w:rPr>
                <w:rFonts w:ascii="Garamond" w:hAnsi="Garamond"/>
                <w:b/>
                <w:bCs/>
                <w:sz w:val="20"/>
                <w:szCs w:val="24"/>
              </w:rPr>
            </w:pPr>
            <w:r w:rsidRPr="00913E39">
              <w:rPr>
                <w:rFonts w:ascii="Garamond" w:hAnsi="Garamond"/>
                <w:b/>
                <w:bCs/>
                <w:sz w:val="20"/>
                <w:szCs w:val="24"/>
              </w:rPr>
              <w:t>2. Blerja e tokës</w:t>
            </w:r>
          </w:p>
        </w:tc>
        <w:tc>
          <w:tcPr>
            <w:tcW w:w="1049" w:type="pct"/>
            <w:tcBorders>
              <w:top w:val="nil"/>
              <w:left w:val="nil"/>
              <w:bottom w:val="single" w:sz="4" w:space="0" w:color="auto"/>
              <w:right w:val="single" w:sz="4" w:space="0" w:color="auto"/>
            </w:tcBorders>
            <w:shd w:val="clear" w:color="000000" w:fill="FFF2CC"/>
            <w:vAlign w:val="center"/>
            <w:hideMark/>
          </w:tcPr>
          <w:p w14:paraId="3F23A099"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8,000,000</w:t>
            </w:r>
          </w:p>
        </w:tc>
        <w:tc>
          <w:tcPr>
            <w:tcW w:w="909" w:type="pct"/>
            <w:tcBorders>
              <w:top w:val="nil"/>
              <w:left w:val="nil"/>
              <w:bottom w:val="single" w:sz="4" w:space="0" w:color="auto"/>
              <w:right w:val="single" w:sz="4" w:space="0" w:color="auto"/>
            </w:tcBorders>
            <w:shd w:val="clear" w:color="000000" w:fill="FFF2CC"/>
            <w:vAlign w:val="center"/>
            <w:hideMark/>
          </w:tcPr>
          <w:p w14:paraId="54D4F2BC"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8,000,000</w:t>
            </w:r>
          </w:p>
        </w:tc>
        <w:tc>
          <w:tcPr>
            <w:tcW w:w="1523" w:type="pct"/>
            <w:tcBorders>
              <w:top w:val="nil"/>
              <w:left w:val="nil"/>
              <w:bottom w:val="single" w:sz="4" w:space="0" w:color="auto"/>
              <w:right w:val="single" w:sz="4" w:space="0" w:color="auto"/>
            </w:tcBorders>
            <w:shd w:val="clear" w:color="000000" w:fill="FFF2CC"/>
            <w:vAlign w:val="center"/>
            <w:hideMark/>
          </w:tcPr>
          <w:p w14:paraId="087103D9"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0</w:t>
            </w:r>
          </w:p>
        </w:tc>
      </w:tr>
      <w:tr w:rsidR="0090197C" w:rsidRPr="00913E39" w14:paraId="48BDBE2D"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7B3EB898" w14:textId="77777777" w:rsidR="0090197C" w:rsidRPr="00913E39" w:rsidRDefault="0090197C" w:rsidP="003C711F">
            <w:pPr>
              <w:spacing w:after="0" w:line="240" w:lineRule="auto"/>
              <w:rPr>
                <w:rFonts w:ascii="Garamond" w:hAnsi="Garamond"/>
                <w:sz w:val="20"/>
                <w:szCs w:val="24"/>
              </w:rPr>
            </w:pPr>
            <w:r w:rsidRPr="00913E39">
              <w:rPr>
                <w:rFonts w:ascii="Garamond" w:hAnsi="Garamond"/>
                <w:sz w:val="20"/>
                <w:szCs w:val="24"/>
              </w:rPr>
              <w:t>Blerja e tokës</w:t>
            </w:r>
          </w:p>
        </w:tc>
        <w:tc>
          <w:tcPr>
            <w:tcW w:w="1049" w:type="pct"/>
            <w:tcBorders>
              <w:top w:val="nil"/>
              <w:left w:val="nil"/>
              <w:bottom w:val="single" w:sz="4" w:space="0" w:color="auto"/>
              <w:right w:val="single" w:sz="4" w:space="0" w:color="auto"/>
            </w:tcBorders>
            <w:shd w:val="clear" w:color="auto" w:fill="auto"/>
            <w:vAlign w:val="center"/>
            <w:hideMark/>
          </w:tcPr>
          <w:p w14:paraId="303CA99D"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8,000,000</w:t>
            </w:r>
          </w:p>
        </w:tc>
        <w:tc>
          <w:tcPr>
            <w:tcW w:w="909" w:type="pct"/>
            <w:tcBorders>
              <w:top w:val="nil"/>
              <w:left w:val="nil"/>
              <w:bottom w:val="single" w:sz="4" w:space="0" w:color="auto"/>
              <w:right w:val="single" w:sz="4" w:space="0" w:color="auto"/>
            </w:tcBorders>
            <w:shd w:val="clear" w:color="auto" w:fill="auto"/>
            <w:vAlign w:val="center"/>
            <w:hideMark/>
          </w:tcPr>
          <w:p w14:paraId="2243B265"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8,000,000</w:t>
            </w:r>
          </w:p>
        </w:tc>
        <w:tc>
          <w:tcPr>
            <w:tcW w:w="1523" w:type="pct"/>
            <w:tcBorders>
              <w:top w:val="nil"/>
              <w:left w:val="nil"/>
              <w:bottom w:val="single" w:sz="4" w:space="0" w:color="auto"/>
              <w:right w:val="single" w:sz="4" w:space="0" w:color="auto"/>
            </w:tcBorders>
            <w:shd w:val="clear" w:color="auto" w:fill="auto"/>
            <w:vAlign w:val="center"/>
            <w:hideMark/>
          </w:tcPr>
          <w:p w14:paraId="1A1F95AD"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27A3E8C7"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3235A442"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w:t>
            </w:r>
          </w:p>
        </w:tc>
        <w:tc>
          <w:tcPr>
            <w:tcW w:w="1049" w:type="pct"/>
            <w:tcBorders>
              <w:top w:val="nil"/>
              <w:left w:val="nil"/>
              <w:bottom w:val="single" w:sz="4" w:space="0" w:color="auto"/>
              <w:right w:val="single" w:sz="4" w:space="0" w:color="auto"/>
            </w:tcBorders>
            <w:shd w:val="clear" w:color="auto" w:fill="auto"/>
            <w:vAlign w:val="center"/>
            <w:hideMark/>
          </w:tcPr>
          <w:p w14:paraId="4EEB3EA2"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909" w:type="pct"/>
            <w:tcBorders>
              <w:top w:val="nil"/>
              <w:left w:val="nil"/>
              <w:bottom w:val="single" w:sz="4" w:space="0" w:color="auto"/>
              <w:right w:val="single" w:sz="4" w:space="0" w:color="auto"/>
            </w:tcBorders>
            <w:shd w:val="clear" w:color="auto" w:fill="auto"/>
            <w:vAlign w:val="center"/>
            <w:hideMark/>
          </w:tcPr>
          <w:p w14:paraId="31CEB1B5"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618432F6"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00D4C4A0" w14:textId="77777777" w:rsidTr="009C2266">
        <w:trPr>
          <w:cantSplit/>
          <w:trHeight w:val="20"/>
        </w:trPr>
        <w:tc>
          <w:tcPr>
            <w:tcW w:w="1519" w:type="pct"/>
            <w:tcBorders>
              <w:top w:val="nil"/>
              <w:left w:val="single" w:sz="8" w:space="0" w:color="auto"/>
              <w:bottom w:val="single" w:sz="4" w:space="0" w:color="auto"/>
              <w:right w:val="single" w:sz="4" w:space="0" w:color="auto"/>
            </w:tcBorders>
            <w:shd w:val="clear" w:color="000000" w:fill="FFF2CC"/>
            <w:vAlign w:val="center"/>
            <w:hideMark/>
          </w:tcPr>
          <w:p w14:paraId="5625D2DD" w14:textId="77777777" w:rsidR="0090197C" w:rsidRPr="00913E39" w:rsidRDefault="0090197C" w:rsidP="009C2266">
            <w:pPr>
              <w:spacing w:after="0" w:line="240" w:lineRule="auto"/>
              <w:rPr>
                <w:rFonts w:ascii="Garamond" w:hAnsi="Garamond"/>
                <w:b/>
                <w:bCs/>
                <w:sz w:val="20"/>
                <w:szCs w:val="24"/>
              </w:rPr>
            </w:pPr>
            <w:r w:rsidRPr="00913E39">
              <w:rPr>
                <w:rFonts w:ascii="Garamond" w:hAnsi="Garamond"/>
                <w:b/>
                <w:bCs/>
                <w:sz w:val="20"/>
                <w:szCs w:val="24"/>
              </w:rPr>
              <w:t>3. Ndërtimi</w:t>
            </w:r>
          </w:p>
        </w:tc>
        <w:tc>
          <w:tcPr>
            <w:tcW w:w="1049" w:type="pct"/>
            <w:tcBorders>
              <w:top w:val="nil"/>
              <w:left w:val="nil"/>
              <w:bottom w:val="single" w:sz="4" w:space="0" w:color="auto"/>
              <w:right w:val="single" w:sz="4" w:space="0" w:color="auto"/>
            </w:tcBorders>
            <w:shd w:val="clear" w:color="000000" w:fill="FFF2CC"/>
            <w:vAlign w:val="center"/>
            <w:hideMark/>
          </w:tcPr>
          <w:p w14:paraId="04174773"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300,000,000</w:t>
            </w:r>
          </w:p>
        </w:tc>
        <w:tc>
          <w:tcPr>
            <w:tcW w:w="909" w:type="pct"/>
            <w:tcBorders>
              <w:top w:val="nil"/>
              <w:left w:val="nil"/>
              <w:bottom w:val="single" w:sz="4" w:space="0" w:color="auto"/>
              <w:right w:val="single" w:sz="4" w:space="0" w:color="auto"/>
            </w:tcBorders>
            <w:shd w:val="clear" w:color="000000" w:fill="FFF2CC"/>
            <w:vAlign w:val="center"/>
            <w:hideMark/>
          </w:tcPr>
          <w:p w14:paraId="0C1CAE1E"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50,000,000</w:t>
            </w:r>
          </w:p>
        </w:tc>
        <w:tc>
          <w:tcPr>
            <w:tcW w:w="1523" w:type="pct"/>
            <w:tcBorders>
              <w:top w:val="nil"/>
              <w:left w:val="nil"/>
              <w:bottom w:val="single" w:sz="4" w:space="0" w:color="auto"/>
              <w:right w:val="single" w:sz="4" w:space="0" w:color="auto"/>
            </w:tcBorders>
            <w:shd w:val="clear" w:color="000000" w:fill="FFF2CC"/>
            <w:vAlign w:val="center"/>
            <w:hideMark/>
          </w:tcPr>
          <w:p w14:paraId="4350763C"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250,000,000</w:t>
            </w:r>
          </w:p>
        </w:tc>
      </w:tr>
      <w:tr w:rsidR="0090197C" w:rsidRPr="00913E39" w14:paraId="03FC3367"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7D87E605" w14:textId="77777777" w:rsidR="0090197C" w:rsidRPr="00913E39" w:rsidRDefault="0090197C" w:rsidP="00AB2B27">
            <w:pPr>
              <w:spacing w:after="0" w:line="240" w:lineRule="auto"/>
              <w:rPr>
                <w:rFonts w:ascii="Garamond" w:hAnsi="Garamond"/>
                <w:sz w:val="20"/>
                <w:szCs w:val="24"/>
              </w:rPr>
            </w:pPr>
            <w:r w:rsidRPr="00913E39">
              <w:rPr>
                <w:rFonts w:ascii="Garamond" w:hAnsi="Garamond"/>
                <w:sz w:val="20"/>
                <w:szCs w:val="24"/>
              </w:rPr>
              <w:t>Infrastruktura kryesore A</w:t>
            </w:r>
          </w:p>
        </w:tc>
        <w:tc>
          <w:tcPr>
            <w:tcW w:w="1049" w:type="pct"/>
            <w:tcBorders>
              <w:top w:val="nil"/>
              <w:left w:val="nil"/>
              <w:bottom w:val="single" w:sz="4" w:space="0" w:color="auto"/>
              <w:right w:val="single" w:sz="4" w:space="0" w:color="auto"/>
            </w:tcBorders>
            <w:shd w:val="clear" w:color="auto" w:fill="auto"/>
            <w:vAlign w:val="center"/>
            <w:hideMark/>
          </w:tcPr>
          <w:p w14:paraId="61903AFD"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20,000,000</w:t>
            </w:r>
          </w:p>
        </w:tc>
        <w:tc>
          <w:tcPr>
            <w:tcW w:w="909" w:type="pct"/>
            <w:tcBorders>
              <w:top w:val="nil"/>
              <w:left w:val="nil"/>
              <w:bottom w:val="single" w:sz="4" w:space="0" w:color="auto"/>
              <w:right w:val="single" w:sz="4" w:space="0" w:color="auto"/>
            </w:tcBorders>
            <w:shd w:val="clear" w:color="auto" w:fill="auto"/>
            <w:vAlign w:val="center"/>
            <w:hideMark/>
          </w:tcPr>
          <w:p w14:paraId="7533D3F3"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6056FB86"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20,000,000</w:t>
            </w:r>
          </w:p>
        </w:tc>
      </w:tr>
      <w:tr w:rsidR="0090197C" w:rsidRPr="00913E39" w14:paraId="0BC1BE18"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7D4CA339" w14:textId="77777777" w:rsidR="0090197C" w:rsidRPr="00913E39" w:rsidRDefault="0090197C" w:rsidP="00AB2B27">
            <w:pPr>
              <w:spacing w:after="0" w:line="240" w:lineRule="auto"/>
              <w:rPr>
                <w:rFonts w:ascii="Garamond" w:hAnsi="Garamond"/>
                <w:sz w:val="20"/>
                <w:szCs w:val="24"/>
              </w:rPr>
            </w:pPr>
            <w:r w:rsidRPr="00913E39">
              <w:rPr>
                <w:rFonts w:ascii="Garamond" w:hAnsi="Garamond"/>
                <w:sz w:val="20"/>
                <w:szCs w:val="24"/>
              </w:rPr>
              <w:t>Infrastruktura kryesore A</w:t>
            </w:r>
          </w:p>
        </w:tc>
        <w:tc>
          <w:tcPr>
            <w:tcW w:w="1049" w:type="pct"/>
            <w:tcBorders>
              <w:top w:val="nil"/>
              <w:left w:val="nil"/>
              <w:bottom w:val="single" w:sz="4" w:space="0" w:color="auto"/>
              <w:right w:val="single" w:sz="4" w:space="0" w:color="auto"/>
            </w:tcBorders>
            <w:shd w:val="clear" w:color="auto" w:fill="auto"/>
            <w:vAlign w:val="center"/>
            <w:hideMark/>
          </w:tcPr>
          <w:p w14:paraId="001EB361"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150,000,000</w:t>
            </w:r>
          </w:p>
        </w:tc>
        <w:tc>
          <w:tcPr>
            <w:tcW w:w="909" w:type="pct"/>
            <w:tcBorders>
              <w:top w:val="nil"/>
              <w:left w:val="nil"/>
              <w:bottom w:val="single" w:sz="4" w:space="0" w:color="auto"/>
              <w:right w:val="single" w:sz="4" w:space="0" w:color="auto"/>
            </w:tcBorders>
            <w:shd w:val="clear" w:color="auto" w:fill="auto"/>
            <w:vAlign w:val="center"/>
            <w:hideMark/>
          </w:tcPr>
          <w:p w14:paraId="34D4327B"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4BA172E6"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150,000,000</w:t>
            </w:r>
          </w:p>
        </w:tc>
      </w:tr>
      <w:tr w:rsidR="0090197C" w:rsidRPr="00913E39" w14:paraId="375C0624"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22A65EB6" w14:textId="77777777" w:rsidR="0090197C" w:rsidRPr="00913E39" w:rsidRDefault="0090197C" w:rsidP="00AB2B27">
            <w:pPr>
              <w:spacing w:after="0" w:line="240" w:lineRule="auto"/>
              <w:rPr>
                <w:rFonts w:ascii="Garamond" w:hAnsi="Garamond"/>
                <w:sz w:val="20"/>
                <w:szCs w:val="24"/>
              </w:rPr>
            </w:pPr>
            <w:r w:rsidRPr="00913E39">
              <w:rPr>
                <w:rFonts w:ascii="Garamond" w:hAnsi="Garamond"/>
                <w:sz w:val="20"/>
                <w:szCs w:val="24"/>
              </w:rPr>
              <w:t>Infrastruktura kryesore A</w:t>
            </w:r>
          </w:p>
        </w:tc>
        <w:tc>
          <w:tcPr>
            <w:tcW w:w="1049" w:type="pct"/>
            <w:tcBorders>
              <w:top w:val="nil"/>
              <w:left w:val="nil"/>
              <w:bottom w:val="single" w:sz="4" w:space="0" w:color="auto"/>
              <w:right w:val="single" w:sz="4" w:space="0" w:color="auto"/>
            </w:tcBorders>
            <w:shd w:val="clear" w:color="auto" w:fill="auto"/>
            <w:vAlign w:val="center"/>
            <w:hideMark/>
          </w:tcPr>
          <w:p w14:paraId="638C243D"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80,000,000</w:t>
            </w:r>
          </w:p>
        </w:tc>
        <w:tc>
          <w:tcPr>
            <w:tcW w:w="909" w:type="pct"/>
            <w:tcBorders>
              <w:top w:val="nil"/>
              <w:left w:val="nil"/>
              <w:bottom w:val="single" w:sz="4" w:space="0" w:color="auto"/>
              <w:right w:val="single" w:sz="4" w:space="0" w:color="auto"/>
            </w:tcBorders>
            <w:shd w:val="clear" w:color="auto" w:fill="auto"/>
            <w:vAlign w:val="center"/>
            <w:hideMark/>
          </w:tcPr>
          <w:p w14:paraId="125713E0"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31A23871"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80,000,000</w:t>
            </w:r>
          </w:p>
        </w:tc>
      </w:tr>
      <w:tr w:rsidR="0090197C" w:rsidRPr="00913E39" w14:paraId="0E2A8A7D"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60646AAB" w14:textId="77777777" w:rsidR="0090197C" w:rsidRPr="00913E39" w:rsidRDefault="0090197C" w:rsidP="00AB2B27">
            <w:pPr>
              <w:spacing w:after="0" w:line="240" w:lineRule="auto"/>
              <w:rPr>
                <w:rFonts w:ascii="Garamond" w:hAnsi="Garamond"/>
                <w:sz w:val="20"/>
                <w:szCs w:val="24"/>
              </w:rPr>
            </w:pPr>
            <w:r w:rsidRPr="00913E39">
              <w:rPr>
                <w:rFonts w:ascii="Garamond" w:hAnsi="Garamond"/>
                <w:sz w:val="20"/>
                <w:szCs w:val="24"/>
              </w:rPr>
              <w:t>Infrastruktura kryesore B</w:t>
            </w:r>
          </w:p>
        </w:tc>
        <w:tc>
          <w:tcPr>
            <w:tcW w:w="1049" w:type="pct"/>
            <w:tcBorders>
              <w:top w:val="nil"/>
              <w:left w:val="nil"/>
              <w:bottom w:val="single" w:sz="4" w:space="0" w:color="auto"/>
              <w:right w:val="single" w:sz="4" w:space="0" w:color="auto"/>
            </w:tcBorders>
            <w:shd w:val="clear" w:color="auto" w:fill="auto"/>
            <w:vAlign w:val="center"/>
            <w:hideMark/>
          </w:tcPr>
          <w:p w14:paraId="075D08ED"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50,000,000</w:t>
            </w:r>
          </w:p>
        </w:tc>
        <w:tc>
          <w:tcPr>
            <w:tcW w:w="909" w:type="pct"/>
            <w:tcBorders>
              <w:top w:val="nil"/>
              <w:left w:val="nil"/>
              <w:bottom w:val="single" w:sz="4" w:space="0" w:color="auto"/>
              <w:right w:val="single" w:sz="4" w:space="0" w:color="auto"/>
            </w:tcBorders>
            <w:shd w:val="clear" w:color="auto" w:fill="auto"/>
            <w:vAlign w:val="center"/>
            <w:hideMark/>
          </w:tcPr>
          <w:p w14:paraId="172C27AB"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50,000,000</w:t>
            </w:r>
          </w:p>
        </w:tc>
        <w:tc>
          <w:tcPr>
            <w:tcW w:w="1523" w:type="pct"/>
            <w:tcBorders>
              <w:top w:val="nil"/>
              <w:left w:val="nil"/>
              <w:bottom w:val="single" w:sz="4" w:space="0" w:color="auto"/>
              <w:right w:val="single" w:sz="4" w:space="0" w:color="auto"/>
            </w:tcBorders>
            <w:shd w:val="clear" w:color="auto" w:fill="auto"/>
            <w:vAlign w:val="center"/>
            <w:hideMark/>
          </w:tcPr>
          <w:p w14:paraId="13FA8E1C"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5D6A1528"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110F8760" w14:textId="77777777" w:rsidR="0090197C" w:rsidRPr="00913E39" w:rsidRDefault="0090197C" w:rsidP="009C2266">
            <w:pPr>
              <w:spacing w:after="0" w:line="240" w:lineRule="auto"/>
              <w:jc w:val="right"/>
              <w:rPr>
                <w:rFonts w:ascii="Garamond" w:hAnsi="Garamond"/>
                <w:sz w:val="20"/>
                <w:szCs w:val="24"/>
              </w:rPr>
            </w:pPr>
            <w:r w:rsidRPr="00913E39">
              <w:rPr>
                <w:rFonts w:ascii="Garamond" w:hAnsi="Garamond"/>
                <w:sz w:val="20"/>
                <w:szCs w:val="24"/>
              </w:rPr>
              <w:t> </w:t>
            </w:r>
          </w:p>
        </w:tc>
        <w:tc>
          <w:tcPr>
            <w:tcW w:w="1049" w:type="pct"/>
            <w:tcBorders>
              <w:top w:val="nil"/>
              <w:left w:val="nil"/>
              <w:bottom w:val="single" w:sz="4" w:space="0" w:color="auto"/>
              <w:right w:val="single" w:sz="4" w:space="0" w:color="auto"/>
            </w:tcBorders>
            <w:shd w:val="clear" w:color="auto" w:fill="auto"/>
            <w:vAlign w:val="center"/>
            <w:hideMark/>
          </w:tcPr>
          <w:p w14:paraId="1BC91690"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909" w:type="pct"/>
            <w:tcBorders>
              <w:top w:val="nil"/>
              <w:left w:val="nil"/>
              <w:bottom w:val="single" w:sz="4" w:space="0" w:color="auto"/>
              <w:right w:val="single" w:sz="4" w:space="0" w:color="auto"/>
            </w:tcBorders>
            <w:shd w:val="clear" w:color="auto" w:fill="auto"/>
            <w:vAlign w:val="center"/>
            <w:hideMark/>
          </w:tcPr>
          <w:p w14:paraId="0C735DFE"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40E99E48"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65B56B23" w14:textId="77777777" w:rsidTr="009C2266">
        <w:trPr>
          <w:cantSplit/>
          <w:trHeight w:val="20"/>
        </w:trPr>
        <w:tc>
          <w:tcPr>
            <w:tcW w:w="1519" w:type="pct"/>
            <w:tcBorders>
              <w:top w:val="nil"/>
              <w:left w:val="single" w:sz="8" w:space="0" w:color="auto"/>
              <w:bottom w:val="single" w:sz="4" w:space="0" w:color="auto"/>
              <w:right w:val="single" w:sz="4" w:space="0" w:color="auto"/>
            </w:tcBorders>
            <w:shd w:val="clear" w:color="000000" w:fill="FFF2CC"/>
            <w:vAlign w:val="center"/>
            <w:hideMark/>
          </w:tcPr>
          <w:p w14:paraId="49BA9A0A" w14:textId="77777777" w:rsidR="0090197C" w:rsidRPr="00913E39" w:rsidRDefault="0090197C" w:rsidP="009C2266">
            <w:pPr>
              <w:spacing w:after="0" w:line="240" w:lineRule="auto"/>
              <w:rPr>
                <w:rFonts w:ascii="Garamond" w:hAnsi="Garamond"/>
                <w:b/>
                <w:bCs/>
                <w:sz w:val="20"/>
                <w:szCs w:val="24"/>
              </w:rPr>
            </w:pPr>
            <w:r w:rsidRPr="00913E39">
              <w:rPr>
                <w:rFonts w:ascii="Garamond" w:hAnsi="Garamond"/>
                <w:b/>
                <w:bCs/>
                <w:sz w:val="20"/>
                <w:szCs w:val="24"/>
              </w:rPr>
              <w:t>4. Impianti dhe makineritë</w:t>
            </w:r>
            <w:r w:rsidRPr="00913E39">
              <w:rPr>
                <w:rStyle w:val="FootnoteReference"/>
                <w:rFonts w:ascii="Garamond" w:hAnsi="Garamond"/>
                <w:b/>
                <w:bCs/>
                <w:sz w:val="20"/>
                <w:szCs w:val="24"/>
              </w:rPr>
              <w:footnoteReference w:id="127"/>
            </w:r>
          </w:p>
        </w:tc>
        <w:tc>
          <w:tcPr>
            <w:tcW w:w="1049" w:type="pct"/>
            <w:tcBorders>
              <w:top w:val="nil"/>
              <w:left w:val="nil"/>
              <w:bottom w:val="single" w:sz="4" w:space="0" w:color="auto"/>
              <w:right w:val="single" w:sz="4" w:space="0" w:color="auto"/>
            </w:tcBorders>
            <w:shd w:val="clear" w:color="000000" w:fill="FFF2CC"/>
            <w:vAlign w:val="center"/>
            <w:hideMark/>
          </w:tcPr>
          <w:p w14:paraId="16B44ACD"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c>
          <w:tcPr>
            <w:tcW w:w="909" w:type="pct"/>
            <w:tcBorders>
              <w:top w:val="nil"/>
              <w:left w:val="nil"/>
              <w:bottom w:val="single" w:sz="4" w:space="0" w:color="auto"/>
              <w:right w:val="single" w:sz="4" w:space="0" w:color="auto"/>
            </w:tcBorders>
            <w:shd w:val="clear" w:color="000000" w:fill="FFF2CC"/>
            <w:vAlign w:val="center"/>
            <w:hideMark/>
          </w:tcPr>
          <w:p w14:paraId="1DA653CC"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c>
          <w:tcPr>
            <w:tcW w:w="1523" w:type="pct"/>
            <w:tcBorders>
              <w:top w:val="nil"/>
              <w:left w:val="nil"/>
              <w:bottom w:val="single" w:sz="4" w:space="0" w:color="auto"/>
              <w:right w:val="single" w:sz="4" w:space="0" w:color="auto"/>
            </w:tcBorders>
            <w:shd w:val="clear" w:color="000000" w:fill="FFF2CC"/>
            <w:vAlign w:val="center"/>
            <w:hideMark/>
          </w:tcPr>
          <w:p w14:paraId="10E96ADD"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r>
      <w:tr w:rsidR="0090197C" w:rsidRPr="00913E39" w14:paraId="4C2FA93B"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7BDC0929"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w:t>
            </w:r>
          </w:p>
        </w:tc>
        <w:tc>
          <w:tcPr>
            <w:tcW w:w="1049" w:type="pct"/>
            <w:tcBorders>
              <w:top w:val="nil"/>
              <w:left w:val="nil"/>
              <w:bottom w:val="single" w:sz="4" w:space="0" w:color="auto"/>
              <w:right w:val="single" w:sz="4" w:space="0" w:color="auto"/>
            </w:tcBorders>
            <w:shd w:val="clear" w:color="auto" w:fill="auto"/>
            <w:vAlign w:val="center"/>
            <w:hideMark/>
          </w:tcPr>
          <w:p w14:paraId="435855DE"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909" w:type="pct"/>
            <w:tcBorders>
              <w:top w:val="nil"/>
              <w:left w:val="nil"/>
              <w:bottom w:val="single" w:sz="4" w:space="0" w:color="auto"/>
              <w:right w:val="single" w:sz="4" w:space="0" w:color="auto"/>
            </w:tcBorders>
            <w:shd w:val="clear" w:color="auto" w:fill="auto"/>
            <w:vAlign w:val="center"/>
            <w:hideMark/>
          </w:tcPr>
          <w:p w14:paraId="2EE2F5C0"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53FA80E5"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64F0E5A8"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5B7C26AE"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w:t>
            </w:r>
          </w:p>
        </w:tc>
        <w:tc>
          <w:tcPr>
            <w:tcW w:w="1049" w:type="pct"/>
            <w:tcBorders>
              <w:top w:val="nil"/>
              <w:left w:val="nil"/>
              <w:bottom w:val="single" w:sz="4" w:space="0" w:color="auto"/>
              <w:right w:val="single" w:sz="4" w:space="0" w:color="auto"/>
            </w:tcBorders>
            <w:shd w:val="clear" w:color="auto" w:fill="auto"/>
            <w:vAlign w:val="center"/>
            <w:hideMark/>
          </w:tcPr>
          <w:p w14:paraId="44E4D0C7"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909" w:type="pct"/>
            <w:tcBorders>
              <w:top w:val="nil"/>
              <w:left w:val="nil"/>
              <w:bottom w:val="single" w:sz="4" w:space="0" w:color="auto"/>
              <w:right w:val="single" w:sz="4" w:space="0" w:color="auto"/>
            </w:tcBorders>
            <w:shd w:val="clear" w:color="auto" w:fill="auto"/>
            <w:vAlign w:val="center"/>
            <w:hideMark/>
          </w:tcPr>
          <w:p w14:paraId="192A4DE5"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06FAF761"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7378B0F8"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08A73853"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w:t>
            </w:r>
          </w:p>
        </w:tc>
        <w:tc>
          <w:tcPr>
            <w:tcW w:w="1049" w:type="pct"/>
            <w:tcBorders>
              <w:top w:val="nil"/>
              <w:left w:val="nil"/>
              <w:bottom w:val="single" w:sz="4" w:space="0" w:color="auto"/>
              <w:right w:val="single" w:sz="4" w:space="0" w:color="auto"/>
            </w:tcBorders>
            <w:shd w:val="clear" w:color="auto" w:fill="auto"/>
            <w:vAlign w:val="center"/>
            <w:hideMark/>
          </w:tcPr>
          <w:p w14:paraId="122876E9"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909" w:type="pct"/>
            <w:tcBorders>
              <w:top w:val="nil"/>
              <w:left w:val="nil"/>
              <w:bottom w:val="single" w:sz="4" w:space="0" w:color="auto"/>
              <w:right w:val="single" w:sz="4" w:space="0" w:color="auto"/>
            </w:tcBorders>
            <w:shd w:val="clear" w:color="auto" w:fill="auto"/>
            <w:vAlign w:val="center"/>
            <w:hideMark/>
          </w:tcPr>
          <w:p w14:paraId="3566894F"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39AE6C2C"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6B36192D" w14:textId="77777777" w:rsidTr="009C2266">
        <w:trPr>
          <w:cantSplit/>
          <w:trHeight w:val="20"/>
        </w:trPr>
        <w:tc>
          <w:tcPr>
            <w:tcW w:w="1519" w:type="pct"/>
            <w:tcBorders>
              <w:top w:val="nil"/>
              <w:left w:val="single" w:sz="8" w:space="0" w:color="auto"/>
              <w:bottom w:val="single" w:sz="4" w:space="0" w:color="auto"/>
              <w:right w:val="single" w:sz="4" w:space="0" w:color="auto"/>
            </w:tcBorders>
            <w:shd w:val="clear" w:color="000000" w:fill="FFF2CC"/>
            <w:vAlign w:val="center"/>
            <w:hideMark/>
          </w:tcPr>
          <w:p w14:paraId="782A03E4" w14:textId="11D64FF8" w:rsidR="0090197C" w:rsidRPr="00913E39" w:rsidRDefault="0090197C" w:rsidP="009C2266">
            <w:pPr>
              <w:spacing w:after="0" w:line="240" w:lineRule="auto"/>
              <w:rPr>
                <w:rFonts w:ascii="Garamond" w:hAnsi="Garamond"/>
                <w:b/>
                <w:bCs/>
                <w:sz w:val="20"/>
                <w:szCs w:val="24"/>
              </w:rPr>
            </w:pPr>
            <w:r w:rsidRPr="00913E39">
              <w:rPr>
                <w:rFonts w:ascii="Garamond" w:hAnsi="Garamond"/>
                <w:b/>
                <w:bCs/>
                <w:sz w:val="20"/>
                <w:szCs w:val="24"/>
              </w:rPr>
              <w:t xml:space="preserve">5. Asistencë </w:t>
            </w:r>
            <w:r w:rsidR="00AB2B27" w:rsidRPr="00913E39">
              <w:rPr>
                <w:rFonts w:ascii="Garamond" w:hAnsi="Garamond"/>
                <w:b/>
                <w:bCs/>
                <w:sz w:val="20"/>
                <w:szCs w:val="24"/>
              </w:rPr>
              <w:t>teknike</w:t>
            </w:r>
          </w:p>
        </w:tc>
        <w:tc>
          <w:tcPr>
            <w:tcW w:w="1049" w:type="pct"/>
            <w:tcBorders>
              <w:top w:val="nil"/>
              <w:left w:val="nil"/>
              <w:bottom w:val="single" w:sz="4" w:space="0" w:color="auto"/>
              <w:right w:val="single" w:sz="4" w:space="0" w:color="auto"/>
            </w:tcBorders>
            <w:shd w:val="clear" w:color="000000" w:fill="FFF2CC"/>
            <w:vAlign w:val="center"/>
            <w:hideMark/>
          </w:tcPr>
          <w:p w14:paraId="7EE42DF2"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c>
          <w:tcPr>
            <w:tcW w:w="909" w:type="pct"/>
            <w:tcBorders>
              <w:top w:val="nil"/>
              <w:left w:val="nil"/>
              <w:bottom w:val="single" w:sz="4" w:space="0" w:color="auto"/>
              <w:right w:val="single" w:sz="4" w:space="0" w:color="auto"/>
            </w:tcBorders>
            <w:shd w:val="clear" w:color="000000" w:fill="FFF2CC"/>
            <w:vAlign w:val="center"/>
            <w:hideMark/>
          </w:tcPr>
          <w:p w14:paraId="12C3A151"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c>
          <w:tcPr>
            <w:tcW w:w="1523" w:type="pct"/>
            <w:tcBorders>
              <w:top w:val="nil"/>
              <w:left w:val="nil"/>
              <w:bottom w:val="single" w:sz="4" w:space="0" w:color="auto"/>
              <w:right w:val="single" w:sz="4" w:space="0" w:color="auto"/>
            </w:tcBorders>
            <w:shd w:val="clear" w:color="000000" w:fill="FFF2CC"/>
            <w:vAlign w:val="center"/>
            <w:hideMark/>
          </w:tcPr>
          <w:p w14:paraId="76105266"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r>
      <w:tr w:rsidR="0090197C" w:rsidRPr="00913E39" w14:paraId="1588E5A9"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1570B296"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w:t>
            </w:r>
          </w:p>
        </w:tc>
        <w:tc>
          <w:tcPr>
            <w:tcW w:w="1049" w:type="pct"/>
            <w:tcBorders>
              <w:top w:val="nil"/>
              <w:left w:val="nil"/>
              <w:bottom w:val="single" w:sz="4" w:space="0" w:color="auto"/>
              <w:right w:val="single" w:sz="4" w:space="0" w:color="auto"/>
            </w:tcBorders>
            <w:shd w:val="clear" w:color="auto" w:fill="auto"/>
            <w:vAlign w:val="center"/>
            <w:hideMark/>
          </w:tcPr>
          <w:p w14:paraId="1F7FD2E0"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909" w:type="pct"/>
            <w:tcBorders>
              <w:top w:val="nil"/>
              <w:left w:val="nil"/>
              <w:bottom w:val="single" w:sz="4" w:space="0" w:color="auto"/>
              <w:right w:val="single" w:sz="4" w:space="0" w:color="auto"/>
            </w:tcBorders>
            <w:shd w:val="clear" w:color="auto" w:fill="auto"/>
            <w:vAlign w:val="center"/>
            <w:hideMark/>
          </w:tcPr>
          <w:p w14:paraId="05C99F90"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22FB1608"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4038AD03"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3FDF3313"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w:t>
            </w:r>
          </w:p>
        </w:tc>
        <w:tc>
          <w:tcPr>
            <w:tcW w:w="1049" w:type="pct"/>
            <w:tcBorders>
              <w:top w:val="nil"/>
              <w:left w:val="nil"/>
              <w:bottom w:val="single" w:sz="4" w:space="0" w:color="auto"/>
              <w:right w:val="single" w:sz="4" w:space="0" w:color="auto"/>
            </w:tcBorders>
            <w:shd w:val="clear" w:color="auto" w:fill="auto"/>
            <w:vAlign w:val="center"/>
            <w:hideMark/>
          </w:tcPr>
          <w:p w14:paraId="70B73FF5"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909" w:type="pct"/>
            <w:tcBorders>
              <w:top w:val="nil"/>
              <w:left w:val="nil"/>
              <w:bottom w:val="single" w:sz="4" w:space="0" w:color="auto"/>
              <w:right w:val="single" w:sz="4" w:space="0" w:color="auto"/>
            </w:tcBorders>
            <w:shd w:val="clear" w:color="auto" w:fill="auto"/>
            <w:vAlign w:val="center"/>
            <w:hideMark/>
          </w:tcPr>
          <w:p w14:paraId="411D94F6"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26E87E0E"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603FA64A" w14:textId="77777777" w:rsidTr="009C2266">
        <w:trPr>
          <w:cantSplit/>
          <w:trHeight w:val="20"/>
        </w:trPr>
        <w:tc>
          <w:tcPr>
            <w:tcW w:w="1519" w:type="pct"/>
            <w:tcBorders>
              <w:top w:val="nil"/>
              <w:left w:val="single" w:sz="8" w:space="0" w:color="auto"/>
              <w:bottom w:val="single" w:sz="4" w:space="0" w:color="auto"/>
              <w:right w:val="single" w:sz="4" w:space="0" w:color="auto"/>
            </w:tcBorders>
            <w:shd w:val="clear" w:color="000000" w:fill="FFF2CC"/>
            <w:vAlign w:val="center"/>
            <w:hideMark/>
          </w:tcPr>
          <w:p w14:paraId="59522255" w14:textId="77777777" w:rsidR="0090197C" w:rsidRPr="00913E39" w:rsidRDefault="0090197C" w:rsidP="009C2266">
            <w:pPr>
              <w:spacing w:after="0" w:line="240" w:lineRule="auto"/>
              <w:rPr>
                <w:rFonts w:ascii="Garamond" w:hAnsi="Garamond"/>
                <w:b/>
                <w:bCs/>
                <w:sz w:val="20"/>
                <w:szCs w:val="24"/>
              </w:rPr>
            </w:pPr>
            <w:r w:rsidRPr="00913E39">
              <w:rPr>
                <w:rFonts w:ascii="Garamond" w:hAnsi="Garamond"/>
                <w:b/>
                <w:bCs/>
                <w:sz w:val="20"/>
                <w:szCs w:val="24"/>
              </w:rPr>
              <w:t>6. Komunikimi dhe vizibiliteti</w:t>
            </w:r>
          </w:p>
        </w:tc>
        <w:tc>
          <w:tcPr>
            <w:tcW w:w="1049" w:type="pct"/>
            <w:tcBorders>
              <w:top w:val="nil"/>
              <w:left w:val="nil"/>
              <w:bottom w:val="single" w:sz="4" w:space="0" w:color="auto"/>
              <w:right w:val="single" w:sz="4" w:space="0" w:color="auto"/>
            </w:tcBorders>
            <w:shd w:val="clear" w:color="000000" w:fill="FFF2CC"/>
            <w:vAlign w:val="center"/>
            <w:hideMark/>
          </w:tcPr>
          <w:p w14:paraId="3EFBF357"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c>
          <w:tcPr>
            <w:tcW w:w="909" w:type="pct"/>
            <w:tcBorders>
              <w:top w:val="nil"/>
              <w:left w:val="nil"/>
              <w:bottom w:val="single" w:sz="4" w:space="0" w:color="auto"/>
              <w:right w:val="single" w:sz="4" w:space="0" w:color="auto"/>
            </w:tcBorders>
            <w:shd w:val="clear" w:color="000000" w:fill="FFF2CC"/>
            <w:vAlign w:val="center"/>
            <w:hideMark/>
          </w:tcPr>
          <w:p w14:paraId="62B32FFD"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c>
          <w:tcPr>
            <w:tcW w:w="1523" w:type="pct"/>
            <w:tcBorders>
              <w:top w:val="nil"/>
              <w:left w:val="nil"/>
              <w:bottom w:val="single" w:sz="4" w:space="0" w:color="auto"/>
              <w:right w:val="single" w:sz="4" w:space="0" w:color="auto"/>
            </w:tcBorders>
            <w:shd w:val="clear" w:color="000000" w:fill="FFF2CC"/>
            <w:vAlign w:val="center"/>
            <w:hideMark/>
          </w:tcPr>
          <w:p w14:paraId="0F44DF85"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r>
      <w:tr w:rsidR="0090197C" w:rsidRPr="00913E39" w14:paraId="6A43D311"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04DB4ED6"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w:t>
            </w:r>
          </w:p>
        </w:tc>
        <w:tc>
          <w:tcPr>
            <w:tcW w:w="1049" w:type="pct"/>
            <w:tcBorders>
              <w:top w:val="nil"/>
              <w:left w:val="nil"/>
              <w:bottom w:val="single" w:sz="4" w:space="0" w:color="auto"/>
              <w:right w:val="single" w:sz="4" w:space="0" w:color="auto"/>
            </w:tcBorders>
            <w:shd w:val="clear" w:color="auto" w:fill="auto"/>
            <w:vAlign w:val="center"/>
            <w:hideMark/>
          </w:tcPr>
          <w:p w14:paraId="6C6C1512"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909" w:type="pct"/>
            <w:tcBorders>
              <w:top w:val="nil"/>
              <w:left w:val="nil"/>
              <w:bottom w:val="single" w:sz="4" w:space="0" w:color="auto"/>
              <w:right w:val="single" w:sz="4" w:space="0" w:color="auto"/>
            </w:tcBorders>
            <w:shd w:val="clear" w:color="auto" w:fill="auto"/>
            <w:vAlign w:val="center"/>
            <w:hideMark/>
          </w:tcPr>
          <w:p w14:paraId="09714FA0"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5B0858CF"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45B5875F"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47051329"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w:t>
            </w:r>
          </w:p>
        </w:tc>
        <w:tc>
          <w:tcPr>
            <w:tcW w:w="1049" w:type="pct"/>
            <w:tcBorders>
              <w:top w:val="nil"/>
              <w:left w:val="nil"/>
              <w:bottom w:val="single" w:sz="4" w:space="0" w:color="auto"/>
              <w:right w:val="single" w:sz="4" w:space="0" w:color="auto"/>
            </w:tcBorders>
            <w:shd w:val="clear" w:color="auto" w:fill="auto"/>
            <w:vAlign w:val="center"/>
            <w:hideMark/>
          </w:tcPr>
          <w:p w14:paraId="28BCD986"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909" w:type="pct"/>
            <w:tcBorders>
              <w:top w:val="nil"/>
              <w:left w:val="nil"/>
              <w:bottom w:val="single" w:sz="4" w:space="0" w:color="auto"/>
              <w:right w:val="single" w:sz="4" w:space="0" w:color="auto"/>
            </w:tcBorders>
            <w:shd w:val="clear" w:color="auto" w:fill="auto"/>
            <w:vAlign w:val="center"/>
            <w:hideMark/>
          </w:tcPr>
          <w:p w14:paraId="6FF1A40C"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242F4D4F"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1EB01481" w14:textId="77777777" w:rsidTr="009C2266">
        <w:trPr>
          <w:cantSplit/>
          <w:trHeight w:val="20"/>
        </w:trPr>
        <w:tc>
          <w:tcPr>
            <w:tcW w:w="1519" w:type="pct"/>
            <w:tcBorders>
              <w:top w:val="nil"/>
              <w:left w:val="single" w:sz="8" w:space="0" w:color="auto"/>
              <w:bottom w:val="single" w:sz="4" w:space="0" w:color="auto"/>
              <w:right w:val="single" w:sz="4" w:space="0" w:color="auto"/>
            </w:tcBorders>
            <w:shd w:val="clear" w:color="000000" w:fill="FFF2CC"/>
            <w:vAlign w:val="center"/>
            <w:hideMark/>
          </w:tcPr>
          <w:p w14:paraId="60171FC7" w14:textId="77777777" w:rsidR="0090197C" w:rsidRPr="00913E39" w:rsidRDefault="0090197C" w:rsidP="009C2266">
            <w:pPr>
              <w:spacing w:after="0" w:line="240" w:lineRule="auto"/>
              <w:rPr>
                <w:rFonts w:ascii="Garamond" w:hAnsi="Garamond"/>
                <w:b/>
                <w:bCs/>
                <w:sz w:val="20"/>
                <w:szCs w:val="24"/>
              </w:rPr>
            </w:pPr>
            <w:r w:rsidRPr="00913E39">
              <w:rPr>
                <w:rFonts w:ascii="Garamond" w:hAnsi="Garamond"/>
                <w:b/>
                <w:bCs/>
                <w:sz w:val="20"/>
                <w:szCs w:val="24"/>
              </w:rPr>
              <w:t xml:space="preserve">7. Mbikëqyrje </w:t>
            </w:r>
          </w:p>
        </w:tc>
        <w:tc>
          <w:tcPr>
            <w:tcW w:w="1049" w:type="pct"/>
            <w:tcBorders>
              <w:top w:val="nil"/>
              <w:left w:val="nil"/>
              <w:bottom w:val="single" w:sz="4" w:space="0" w:color="auto"/>
              <w:right w:val="single" w:sz="4" w:space="0" w:color="auto"/>
            </w:tcBorders>
            <w:shd w:val="clear" w:color="000000" w:fill="FFF2CC"/>
            <w:vAlign w:val="center"/>
            <w:hideMark/>
          </w:tcPr>
          <w:p w14:paraId="722AEE15"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c>
          <w:tcPr>
            <w:tcW w:w="909" w:type="pct"/>
            <w:tcBorders>
              <w:top w:val="nil"/>
              <w:left w:val="nil"/>
              <w:bottom w:val="single" w:sz="4" w:space="0" w:color="auto"/>
              <w:right w:val="single" w:sz="4" w:space="0" w:color="auto"/>
            </w:tcBorders>
            <w:shd w:val="clear" w:color="000000" w:fill="FFF2CC"/>
            <w:vAlign w:val="center"/>
            <w:hideMark/>
          </w:tcPr>
          <w:p w14:paraId="73FC7ED5"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c>
          <w:tcPr>
            <w:tcW w:w="1523" w:type="pct"/>
            <w:tcBorders>
              <w:top w:val="nil"/>
              <w:left w:val="nil"/>
              <w:bottom w:val="single" w:sz="4" w:space="0" w:color="auto"/>
              <w:right w:val="single" w:sz="4" w:space="0" w:color="auto"/>
            </w:tcBorders>
            <w:shd w:val="clear" w:color="000000" w:fill="FFF2CC"/>
            <w:vAlign w:val="center"/>
            <w:hideMark/>
          </w:tcPr>
          <w:p w14:paraId="389A9E1A"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r>
      <w:tr w:rsidR="0090197C" w:rsidRPr="00913E39" w14:paraId="28F38A8C"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640F5029"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w:t>
            </w:r>
          </w:p>
        </w:tc>
        <w:tc>
          <w:tcPr>
            <w:tcW w:w="1049" w:type="pct"/>
            <w:tcBorders>
              <w:top w:val="nil"/>
              <w:left w:val="nil"/>
              <w:bottom w:val="single" w:sz="4" w:space="0" w:color="auto"/>
              <w:right w:val="single" w:sz="4" w:space="0" w:color="auto"/>
            </w:tcBorders>
            <w:shd w:val="clear" w:color="auto" w:fill="auto"/>
            <w:vAlign w:val="center"/>
            <w:hideMark/>
          </w:tcPr>
          <w:p w14:paraId="3A8310AF"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909" w:type="pct"/>
            <w:tcBorders>
              <w:top w:val="nil"/>
              <w:left w:val="nil"/>
              <w:bottom w:val="single" w:sz="4" w:space="0" w:color="auto"/>
              <w:right w:val="single" w:sz="4" w:space="0" w:color="auto"/>
            </w:tcBorders>
            <w:shd w:val="clear" w:color="auto" w:fill="auto"/>
            <w:vAlign w:val="center"/>
            <w:hideMark/>
          </w:tcPr>
          <w:p w14:paraId="5123D09B"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6606ABA3"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2BB0FF67" w14:textId="77777777" w:rsidTr="009C2266">
        <w:trPr>
          <w:trHeight w:val="20"/>
        </w:trPr>
        <w:tc>
          <w:tcPr>
            <w:tcW w:w="1519" w:type="pct"/>
            <w:tcBorders>
              <w:top w:val="nil"/>
              <w:left w:val="single" w:sz="8" w:space="0" w:color="auto"/>
              <w:bottom w:val="single" w:sz="4" w:space="0" w:color="auto"/>
              <w:right w:val="single" w:sz="4" w:space="0" w:color="auto"/>
            </w:tcBorders>
            <w:shd w:val="clear" w:color="auto" w:fill="auto"/>
            <w:vAlign w:val="center"/>
            <w:hideMark/>
          </w:tcPr>
          <w:p w14:paraId="2216D9C7"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 </w:t>
            </w:r>
          </w:p>
        </w:tc>
        <w:tc>
          <w:tcPr>
            <w:tcW w:w="1049" w:type="pct"/>
            <w:tcBorders>
              <w:top w:val="nil"/>
              <w:left w:val="nil"/>
              <w:bottom w:val="single" w:sz="4" w:space="0" w:color="auto"/>
              <w:right w:val="single" w:sz="4" w:space="0" w:color="auto"/>
            </w:tcBorders>
            <w:shd w:val="clear" w:color="auto" w:fill="auto"/>
            <w:vAlign w:val="center"/>
            <w:hideMark/>
          </w:tcPr>
          <w:p w14:paraId="61AD749E"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909" w:type="pct"/>
            <w:tcBorders>
              <w:top w:val="nil"/>
              <w:left w:val="nil"/>
              <w:bottom w:val="single" w:sz="4" w:space="0" w:color="auto"/>
              <w:right w:val="single" w:sz="4" w:space="0" w:color="auto"/>
            </w:tcBorders>
            <w:shd w:val="clear" w:color="auto" w:fill="auto"/>
            <w:vAlign w:val="center"/>
            <w:hideMark/>
          </w:tcPr>
          <w:p w14:paraId="565FBC9F"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c>
          <w:tcPr>
            <w:tcW w:w="1523" w:type="pct"/>
            <w:tcBorders>
              <w:top w:val="nil"/>
              <w:left w:val="nil"/>
              <w:bottom w:val="single" w:sz="4" w:space="0" w:color="auto"/>
              <w:right w:val="single" w:sz="4" w:space="0" w:color="auto"/>
            </w:tcBorders>
            <w:shd w:val="clear" w:color="auto" w:fill="auto"/>
            <w:vAlign w:val="center"/>
            <w:hideMark/>
          </w:tcPr>
          <w:p w14:paraId="31D3F6D4" w14:textId="77777777" w:rsidR="0090197C" w:rsidRPr="00913E39" w:rsidRDefault="0090197C" w:rsidP="009C2266">
            <w:pPr>
              <w:spacing w:after="0" w:line="240" w:lineRule="auto"/>
              <w:jc w:val="center"/>
              <w:rPr>
                <w:rFonts w:ascii="Garamond" w:hAnsi="Garamond"/>
                <w:sz w:val="20"/>
                <w:szCs w:val="24"/>
              </w:rPr>
            </w:pPr>
            <w:r w:rsidRPr="00913E39">
              <w:rPr>
                <w:rFonts w:ascii="Garamond" w:hAnsi="Garamond"/>
                <w:sz w:val="20"/>
                <w:szCs w:val="24"/>
              </w:rPr>
              <w:t> </w:t>
            </w:r>
          </w:p>
        </w:tc>
      </w:tr>
      <w:tr w:rsidR="0090197C" w:rsidRPr="00913E39" w14:paraId="5F55C291" w14:textId="77777777" w:rsidTr="009C2266">
        <w:trPr>
          <w:cantSplit/>
          <w:trHeight w:val="20"/>
        </w:trPr>
        <w:tc>
          <w:tcPr>
            <w:tcW w:w="1519" w:type="pct"/>
            <w:tcBorders>
              <w:top w:val="nil"/>
              <w:left w:val="single" w:sz="8" w:space="0" w:color="auto"/>
              <w:bottom w:val="nil"/>
              <w:right w:val="single" w:sz="4" w:space="0" w:color="auto"/>
            </w:tcBorders>
            <w:shd w:val="clear" w:color="auto" w:fill="D9D9D9"/>
            <w:vAlign w:val="center"/>
            <w:hideMark/>
          </w:tcPr>
          <w:p w14:paraId="4042EAD5" w14:textId="608D1FE8" w:rsidR="0090197C" w:rsidRPr="00913E39" w:rsidRDefault="0090197C" w:rsidP="009C2266">
            <w:pPr>
              <w:spacing w:after="0" w:line="240" w:lineRule="auto"/>
              <w:rPr>
                <w:rFonts w:ascii="Garamond" w:hAnsi="Garamond"/>
                <w:b/>
                <w:sz w:val="20"/>
                <w:szCs w:val="24"/>
              </w:rPr>
            </w:pPr>
            <w:r w:rsidRPr="00913E39">
              <w:rPr>
                <w:rFonts w:ascii="Garamond" w:hAnsi="Garamond"/>
                <w:b/>
                <w:sz w:val="20"/>
                <w:szCs w:val="24"/>
              </w:rPr>
              <w:t>8. </w:t>
            </w:r>
            <w:r w:rsidRPr="00913E39">
              <w:rPr>
                <w:rFonts w:ascii="Garamond" w:hAnsi="Garamond"/>
                <w:b/>
                <w:bCs/>
                <w:sz w:val="20"/>
                <w:szCs w:val="24"/>
              </w:rPr>
              <w:t>Nëntotal</w:t>
            </w:r>
          </w:p>
        </w:tc>
        <w:tc>
          <w:tcPr>
            <w:tcW w:w="1049" w:type="pct"/>
            <w:tcBorders>
              <w:top w:val="nil"/>
              <w:left w:val="nil"/>
              <w:bottom w:val="nil"/>
              <w:right w:val="single" w:sz="4" w:space="0" w:color="auto"/>
            </w:tcBorders>
            <w:shd w:val="clear" w:color="auto" w:fill="D9D9D9"/>
            <w:vAlign w:val="center"/>
            <w:hideMark/>
          </w:tcPr>
          <w:p w14:paraId="6237D41B"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309,600,000</w:t>
            </w:r>
          </w:p>
        </w:tc>
        <w:tc>
          <w:tcPr>
            <w:tcW w:w="909" w:type="pct"/>
            <w:tcBorders>
              <w:top w:val="nil"/>
              <w:left w:val="nil"/>
              <w:bottom w:val="nil"/>
              <w:right w:val="single" w:sz="4" w:space="0" w:color="auto"/>
            </w:tcBorders>
            <w:shd w:val="clear" w:color="auto" w:fill="D9D9D9"/>
            <w:vAlign w:val="center"/>
            <w:hideMark/>
          </w:tcPr>
          <w:p w14:paraId="12D0EAC6"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58,500,000</w:t>
            </w:r>
          </w:p>
        </w:tc>
        <w:tc>
          <w:tcPr>
            <w:tcW w:w="1523" w:type="pct"/>
            <w:tcBorders>
              <w:top w:val="nil"/>
              <w:left w:val="nil"/>
              <w:bottom w:val="nil"/>
              <w:right w:val="single" w:sz="4" w:space="0" w:color="auto"/>
            </w:tcBorders>
            <w:shd w:val="clear" w:color="auto" w:fill="D9D9D9"/>
            <w:vAlign w:val="center"/>
            <w:hideMark/>
          </w:tcPr>
          <w:p w14:paraId="73CB7509"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251,100,000</w:t>
            </w:r>
          </w:p>
        </w:tc>
      </w:tr>
      <w:tr w:rsidR="0090197C" w:rsidRPr="00913E39" w14:paraId="08A587A8" w14:textId="77777777" w:rsidTr="009C2266">
        <w:trPr>
          <w:cantSplit/>
          <w:trHeight w:val="20"/>
        </w:trPr>
        <w:tc>
          <w:tcPr>
            <w:tcW w:w="1519" w:type="pct"/>
            <w:tcBorders>
              <w:top w:val="single" w:sz="8" w:space="0" w:color="auto"/>
              <w:left w:val="single" w:sz="8" w:space="0" w:color="auto"/>
              <w:bottom w:val="single" w:sz="4" w:space="0" w:color="auto"/>
              <w:right w:val="nil"/>
            </w:tcBorders>
            <w:shd w:val="clear" w:color="auto" w:fill="auto"/>
            <w:vAlign w:val="center"/>
          </w:tcPr>
          <w:p w14:paraId="78162EE1" w14:textId="77777777" w:rsidR="0090197C" w:rsidRPr="00913E39" w:rsidRDefault="0090197C" w:rsidP="009C2266">
            <w:pPr>
              <w:numPr>
                <w:ilvl w:val="0"/>
                <w:numId w:val="48"/>
              </w:numPr>
              <w:spacing w:after="0" w:line="240" w:lineRule="auto"/>
              <w:ind w:left="0" w:firstLine="0"/>
              <w:jc w:val="both"/>
              <w:rPr>
                <w:rFonts w:ascii="Garamond" w:hAnsi="Garamond"/>
                <w:sz w:val="20"/>
                <w:szCs w:val="24"/>
              </w:rPr>
            </w:pPr>
            <w:r w:rsidRPr="00913E39">
              <w:rPr>
                <w:rFonts w:ascii="Garamond" w:hAnsi="Garamond"/>
                <w:sz w:val="20"/>
                <w:szCs w:val="24"/>
              </w:rPr>
              <w:t>Rezerva</w:t>
            </w:r>
            <w:r w:rsidRPr="00913E39">
              <w:rPr>
                <w:rStyle w:val="FootnoteReference"/>
                <w:rFonts w:ascii="Garamond" w:hAnsi="Garamond"/>
                <w:sz w:val="20"/>
                <w:szCs w:val="24"/>
              </w:rPr>
              <w:footnoteReference w:id="128"/>
            </w:r>
          </w:p>
        </w:tc>
        <w:tc>
          <w:tcPr>
            <w:tcW w:w="1049" w:type="pct"/>
            <w:tcBorders>
              <w:top w:val="single" w:sz="8" w:space="0" w:color="auto"/>
              <w:left w:val="single" w:sz="8" w:space="0" w:color="auto"/>
              <w:bottom w:val="single" w:sz="4" w:space="0" w:color="auto"/>
              <w:right w:val="single" w:sz="8" w:space="0" w:color="auto"/>
            </w:tcBorders>
            <w:shd w:val="clear" w:color="auto" w:fill="auto"/>
            <w:vAlign w:val="center"/>
          </w:tcPr>
          <w:p w14:paraId="061177C3" w14:textId="77777777" w:rsidR="0090197C" w:rsidRPr="00913E39" w:rsidRDefault="0090197C" w:rsidP="009C2266">
            <w:pPr>
              <w:spacing w:after="0" w:line="240" w:lineRule="auto"/>
              <w:jc w:val="center"/>
              <w:rPr>
                <w:rFonts w:ascii="Garamond" w:hAnsi="Garamond"/>
                <w:b/>
                <w:bCs/>
                <w:sz w:val="20"/>
                <w:szCs w:val="24"/>
              </w:rPr>
            </w:pPr>
          </w:p>
        </w:tc>
        <w:tc>
          <w:tcPr>
            <w:tcW w:w="909" w:type="pct"/>
            <w:tcBorders>
              <w:top w:val="single" w:sz="8" w:space="0" w:color="auto"/>
              <w:left w:val="nil"/>
              <w:bottom w:val="single" w:sz="4" w:space="0" w:color="auto"/>
              <w:right w:val="single" w:sz="8" w:space="0" w:color="auto"/>
            </w:tcBorders>
            <w:shd w:val="clear" w:color="auto" w:fill="auto"/>
            <w:vAlign w:val="center"/>
          </w:tcPr>
          <w:p w14:paraId="672C176E" w14:textId="77777777" w:rsidR="0090197C" w:rsidRPr="00913E39" w:rsidRDefault="0090197C" w:rsidP="009C2266">
            <w:pPr>
              <w:spacing w:after="0" w:line="240" w:lineRule="auto"/>
              <w:jc w:val="center"/>
              <w:rPr>
                <w:rFonts w:ascii="Garamond" w:hAnsi="Garamond"/>
                <w:b/>
                <w:bCs/>
                <w:sz w:val="20"/>
                <w:szCs w:val="24"/>
              </w:rPr>
            </w:pPr>
          </w:p>
        </w:tc>
        <w:tc>
          <w:tcPr>
            <w:tcW w:w="1523" w:type="pct"/>
            <w:tcBorders>
              <w:top w:val="single" w:sz="8" w:space="0" w:color="auto"/>
              <w:left w:val="nil"/>
              <w:bottom w:val="single" w:sz="4" w:space="0" w:color="auto"/>
              <w:right w:val="single" w:sz="8" w:space="0" w:color="auto"/>
            </w:tcBorders>
            <w:shd w:val="clear" w:color="auto" w:fill="auto"/>
            <w:vAlign w:val="center"/>
          </w:tcPr>
          <w:p w14:paraId="218BBB84" w14:textId="77777777" w:rsidR="0090197C" w:rsidRPr="00913E39" w:rsidRDefault="0090197C" w:rsidP="009C2266">
            <w:pPr>
              <w:spacing w:after="0" w:line="240" w:lineRule="auto"/>
              <w:jc w:val="center"/>
              <w:rPr>
                <w:rFonts w:ascii="Garamond" w:hAnsi="Garamond"/>
                <w:b/>
                <w:bCs/>
                <w:sz w:val="20"/>
                <w:szCs w:val="24"/>
              </w:rPr>
            </w:pPr>
          </w:p>
        </w:tc>
      </w:tr>
      <w:tr w:rsidR="0090197C" w:rsidRPr="00913E39" w14:paraId="6936325A" w14:textId="77777777" w:rsidTr="009C2266">
        <w:trPr>
          <w:cantSplit/>
          <w:trHeight w:val="20"/>
        </w:trPr>
        <w:tc>
          <w:tcPr>
            <w:tcW w:w="1519" w:type="pct"/>
            <w:tcBorders>
              <w:top w:val="single" w:sz="4" w:space="0" w:color="auto"/>
              <w:left w:val="single" w:sz="4" w:space="0" w:color="auto"/>
              <w:bottom w:val="single" w:sz="4" w:space="0" w:color="auto"/>
              <w:right w:val="single" w:sz="4" w:space="0" w:color="auto"/>
            </w:tcBorders>
            <w:shd w:val="clear" w:color="000000" w:fill="D0CECE"/>
            <w:vAlign w:val="center"/>
            <w:hideMark/>
          </w:tcPr>
          <w:p w14:paraId="5151DD32" w14:textId="02C54442"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10. </w:t>
            </w:r>
            <w:r w:rsidRPr="00913E39">
              <w:rPr>
                <w:rFonts w:ascii="Garamond" w:hAnsi="Garamond"/>
                <w:b/>
                <w:bCs/>
                <w:sz w:val="20"/>
                <w:szCs w:val="24"/>
              </w:rPr>
              <w:t>GJITHSEJ</w:t>
            </w:r>
          </w:p>
        </w:tc>
        <w:tc>
          <w:tcPr>
            <w:tcW w:w="1049" w:type="pct"/>
            <w:tcBorders>
              <w:top w:val="single" w:sz="4" w:space="0" w:color="auto"/>
              <w:left w:val="single" w:sz="4" w:space="0" w:color="auto"/>
              <w:bottom w:val="single" w:sz="4" w:space="0" w:color="auto"/>
              <w:right w:val="single" w:sz="4" w:space="0" w:color="auto"/>
            </w:tcBorders>
            <w:shd w:val="clear" w:color="000000" w:fill="D0CECE"/>
            <w:vAlign w:val="center"/>
            <w:hideMark/>
          </w:tcPr>
          <w:p w14:paraId="4C9FA499"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309,600,000</w:t>
            </w:r>
          </w:p>
        </w:tc>
        <w:tc>
          <w:tcPr>
            <w:tcW w:w="909" w:type="pct"/>
            <w:tcBorders>
              <w:top w:val="single" w:sz="4" w:space="0" w:color="auto"/>
              <w:left w:val="single" w:sz="4" w:space="0" w:color="auto"/>
              <w:bottom w:val="single" w:sz="4" w:space="0" w:color="auto"/>
              <w:right w:val="single" w:sz="4" w:space="0" w:color="auto"/>
            </w:tcBorders>
            <w:shd w:val="clear" w:color="000000" w:fill="D0CECE"/>
            <w:vAlign w:val="center"/>
            <w:hideMark/>
          </w:tcPr>
          <w:p w14:paraId="237A6ED4"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58,500,000</w:t>
            </w:r>
          </w:p>
        </w:tc>
        <w:tc>
          <w:tcPr>
            <w:tcW w:w="1523" w:type="pct"/>
            <w:tcBorders>
              <w:top w:val="single" w:sz="4" w:space="0" w:color="auto"/>
              <w:left w:val="single" w:sz="4" w:space="0" w:color="auto"/>
              <w:bottom w:val="single" w:sz="4" w:space="0" w:color="auto"/>
              <w:right w:val="single" w:sz="4" w:space="0" w:color="auto"/>
            </w:tcBorders>
            <w:shd w:val="clear" w:color="000000" w:fill="D0CECE"/>
            <w:vAlign w:val="center"/>
            <w:hideMark/>
          </w:tcPr>
          <w:p w14:paraId="2AFA8E6A"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251,100,000</w:t>
            </w:r>
          </w:p>
        </w:tc>
      </w:tr>
      <w:tr w:rsidR="0090197C" w:rsidRPr="00913E39" w14:paraId="780BF459" w14:textId="77777777" w:rsidTr="009C2266">
        <w:trPr>
          <w:cantSplit/>
          <w:trHeight w:val="20"/>
        </w:trPr>
        <w:tc>
          <w:tcPr>
            <w:tcW w:w="1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368939" w14:textId="2CFDCE60"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11. </w:t>
            </w:r>
            <w:r w:rsidRPr="00913E39">
              <w:rPr>
                <w:rFonts w:ascii="Garamond" w:hAnsi="Garamond"/>
                <w:b/>
                <w:bCs/>
                <w:sz w:val="20"/>
                <w:szCs w:val="24"/>
              </w:rPr>
              <w:t>TVSH</w:t>
            </w:r>
          </w:p>
        </w:tc>
        <w:tc>
          <w:tcPr>
            <w:tcW w:w="1049" w:type="pct"/>
            <w:tcBorders>
              <w:top w:val="single" w:sz="4" w:space="0" w:color="auto"/>
              <w:left w:val="nil"/>
              <w:bottom w:val="single" w:sz="4" w:space="0" w:color="auto"/>
              <w:right w:val="single" w:sz="4" w:space="0" w:color="auto"/>
            </w:tcBorders>
            <w:shd w:val="clear" w:color="auto" w:fill="auto"/>
            <w:vAlign w:val="center"/>
            <w:hideMark/>
          </w:tcPr>
          <w:p w14:paraId="4A3B4A70"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c>
          <w:tcPr>
            <w:tcW w:w="909" w:type="pct"/>
            <w:tcBorders>
              <w:top w:val="single" w:sz="4" w:space="0" w:color="auto"/>
              <w:left w:val="nil"/>
              <w:bottom w:val="single" w:sz="4" w:space="0" w:color="auto"/>
              <w:right w:val="single" w:sz="4" w:space="0" w:color="auto"/>
            </w:tcBorders>
            <w:shd w:val="clear" w:color="auto" w:fill="auto"/>
            <w:vAlign w:val="center"/>
            <w:hideMark/>
          </w:tcPr>
          <w:p w14:paraId="5FA398C1"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c>
          <w:tcPr>
            <w:tcW w:w="1523" w:type="pct"/>
            <w:tcBorders>
              <w:top w:val="single" w:sz="4" w:space="0" w:color="auto"/>
              <w:left w:val="nil"/>
              <w:bottom w:val="single" w:sz="4" w:space="0" w:color="auto"/>
              <w:right w:val="single" w:sz="4" w:space="0" w:color="auto"/>
            </w:tcBorders>
            <w:shd w:val="clear" w:color="auto" w:fill="auto"/>
            <w:vAlign w:val="center"/>
            <w:hideMark/>
          </w:tcPr>
          <w:p w14:paraId="22281DCD"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bCs/>
                <w:sz w:val="20"/>
                <w:szCs w:val="24"/>
              </w:rPr>
              <w:t> </w:t>
            </w:r>
          </w:p>
        </w:tc>
      </w:tr>
      <w:tr w:rsidR="0090197C" w:rsidRPr="00913E39" w14:paraId="2A2A00E3" w14:textId="77777777" w:rsidTr="009C2266">
        <w:trPr>
          <w:trHeight w:val="20"/>
        </w:trPr>
        <w:tc>
          <w:tcPr>
            <w:tcW w:w="1519" w:type="pct"/>
            <w:tcBorders>
              <w:top w:val="single" w:sz="4" w:space="0" w:color="auto"/>
              <w:left w:val="nil"/>
              <w:bottom w:val="nil"/>
              <w:right w:val="nil"/>
            </w:tcBorders>
            <w:shd w:val="clear" w:color="auto" w:fill="auto"/>
            <w:vAlign w:val="center"/>
          </w:tcPr>
          <w:p w14:paraId="7DA9E0FB" w14:textId="77777777" w:rsidR="0090197C" w:rsidRPr="00913E39" w:rsidRDefault="0090197C" w:rsidP="009C2266">
            <w:pPr>
              <w:spacing w:after="0" w:line="240" w:lineRule="auto"/>
              <w:jc w:val="center"/>
              <w:rPr>
                <w:rFonts w:ascii="Garamond" w:hAnsi="Garamond"/>
                <w:b/>
                <w:bCs/>
                <w:sz w:val="20"/>
                <w:szCs w:val="24"/>
              </w:rPr>
            </w:pPr>
          </w:p>
        </w:tc>
        <w:tc>
          <w:tcPr>
            <w:tcW w:w="1049" w:type="pct"/>
            <w:tcBorders>
              <w:top w:val="single" w:sz="4" w:space="0" w:color="auto"/>
              <w:left w:val="nil"/>
              <w:bottom w:val="nil"/>
              <w:right w:val="nil"/>
            </w:tcBorders>
            <w:shd w:val="clear" w:color="auto" w:fill="auto"/>
            <w:vAlign w:val="center"/>
          </w:tcPr>
          <w:p w14:paraId="7928F7B0" w14:textId="77777777" w:rsidR="0090197C" w:rsidRPr="00913E39" w:rsidRDefault="0090197C" w:rsidP="009C2266">
            <w:pPr>
              <w:spacing w:after="0" w:line="240" w:lineRule="auto"/>
              <w:rPr>
                <w:rFonts w:ascii="Garamond" w:hAnsi="Garamond"/>
                <w:sz w:val="20"/>
                <w:szCs w:val="24"/>
              </w:rPr>
            </w:pPr>
          </w:p>
        </w:tc>
        <w:tc>
          <w:tcPr>
            <w:tcW w:w="909" w:type="pct"/>
            <w:tcBorders>
              <w:top w:val="single" w:sz="4" w:space="0" w:color="auto"/>
              <w:left w:val="nil"/>
              <w:bottom w:val="nil"/>
              <w:right w:val="nil"/>
            </w:tcBorders>
            <w:shd w:val="clear" w:color="auto" w:fill="auto"/>
            <w:vAlign w:val="center"/>
          </w:tcPr>
          <w:p w14:paraId="33B31A8B" w14:textId="77777777" w:rsidR="0090197C" w:rsidRPr="00913E39" w:rsidRDefault="0090197C" w:rsidP="009C2266">
            <w:pPr>
              <w:spacing w:after="0" w:line="240" w:lineRule="auto"/>
              <w:jc w:val="center"/>
              <w:rPr>
                <w:rFonts w:ascii="Garamond" w:hAnsi="Garamond"/>
                <w:sz w:val="20"/>
                <w:szCs w:val="24"/>
              </w:rPr>
            </w:pPr>
          </w:p>
        </w:tc>
        <w:tc>
          <w:tcPr>
            <w:tcW w:w="1523" w:type="pct"/>
            <w:tcBorders>
              <w:top w:val="single" w:sz="4" w:space="0" w:color="auto"/>
              <w:left w:val="nil"/>
              <w:bottom w:val="nil"/>
              <w:right w:val="nil"/>
            </w:tcBorders>
            <w:shd w:val="clear" w:color="auto" w:fill="auto"/>
            <w:vAlign w:val="center"/>
          </w:tcPr>
          <w:p w14:paraId="790E06DB" w14:textId="77777777" w:rsidR="0090197C" w:rsidRPr="00913E39" w:rsidRDefault="0090197C" w:rsidP="009C2266">
            <w:pPr>
              <w:spacing w:after="0" w:line="240" w:lineRule="auto"/>
              <w:jc w:val="center"/>
              <w:rPr>
                <w:rFonts w:ascii="Garamond" w:hAnsi="Garamond"/>
                <w:sz w:val="20"/>
                <w:szCs w:val="24"/>
              </w:rPr>
            </w:pPr>
          </w:p>
        </w:tc>
      </w:tr>
      <w:tr w:rsidR="0090197C" w:rsidRPr="00913E39" w14:paraId="62DA8ADD" w14:textId="77777777" w:rsidTr="009C2266">
        <w:trPr>
          <w:trHeight w:val="20"/>
        </w:trPr>
        <w:tc>
          <w:tcPr>
            <w:tcW w:w="1519" w:type="pct"/>
            <w:tcBorders>
              <w:top w:val="single" w:sz="4" w:space="0" w:color="auto"/>
              <w:left w:val="nil"/>
              <w:bottom w:val="nil"/>
              <w:right w:val="nil"/>
            </w:tcBorders>
            <w:shd w:val="clear" w:color="auto" w:fill="auto"/>
            <w:vAlign w:val="center"/>
            <w:hideMark/>
          </w:tcPr>
          <w:p w14:paraId="2870CBB9" w14:textId="77777777" w:rsidR="0090197C" w:rsidRPr="00913E39" w:rsidRDefault="0090197C" w:rsidP="009C2266">
            <w:pPr>
              <w:spacing w:after="0" w:line="240" w:lineRule="auto"/>
              <w:jc w:val="center"/>
              <w:rPr>
                <w:rFonts w:ascii="Garamond" w:hAnsi="Garamond"/>
                <w:b/>
                <w:bCs/>
                <w:sz w:val="20"/>
                <w:szCs w:val="24"/>
              </w:rPr>
            </w:pPr>
          </w:p>
        </w:tc>
        <w:tc>
          <w:tcPr>
            <w:tcW w:w="1049" w:type="pct"/>
            <w:tcBorders>
              <w:top w:val="single" w:sz="4" w:space="0" w:color="auto"/>
              <w:left w:val="nil"/>
              <w:bottom w:val="nil"/>
              <w:right w:val="nil"/>
            </w:tcBorders>
            <w:shd w:val="clear" w:color="auto" w:fill="auto"/>
            <w:vAlign w:val="center"/>
            <w:hideMark/>
          </w:tcPr>
          <w:p w14:paraId="0A444816" w14:textId="77777777" w:rsidR="0090197C" w:rsidRPr="00913E39" w:rsidRDefault="0090197C" w:rsidP="009C2266">
            <w:pPr>
              <w:spacing w:after="0" w:line="240" w:lineRule="auto"/>
              <w:rPr>
                <w:rFonts w:ascii="Garamond" w:hAnsi="Garamond"/>
                <w:sz w:val="20"/>
                <w:szCs w:val="24"/>
              </w:rPr>
            </w:pPr>
          </w:p>
        </w:tc>
        <w:tc>
          <w:tcPr>
            <w:tcW w:w="909" w:type="pct"/>
            <w:tcBorders>
              <w:top w:val="single" w:sz="4" w:space="0" w:color="auto"/>
              <w:left w:val="nil"/>
              <w:bottom w:val="nil"/>
              <w:right w:val="nil"/>
            </w:tcBorders>
            <w:shd w:val="clear" w:color="auto" w:fill="auto"/>
            <w:vAlign w:val="center"/>
            <w:hideMark/>
          </w:tcPr>
          <w:p w14:paraId="788E193A" w14:textId="77777777" w:rsidR="0090197C" w:rsidRPr="00913E39" w:rsidRDefault="0090197C" w:rsidP="009C2266">
            <w:pPr>
              <w:spacing w:after="0" w:line="240" w:lineRule="auto"/>
              <w:jc w:val="center"/>
              <w:rPr>
                <w:rFonts w:ascii="Garamond" w:hAnsi="Garamond"/>
                <w:sz w:val="20"/>
                <w:szCs w:val="24"/>
              </w:rPr>
            </w:pPr>
          </w:p>
        </w:tc>
        <w:tc>
          <w:tcPr>
            <w:tcW w:w="1523" w:type="pct"/>
            <w:tcBorders>
              <w:top w:val="single" w:sz="4" w:space="0" w:color="auto"/>
              <w:left w:val="nil"/>
              <w:bottom w:val="nil"/>
              <w:right w:val="nil"/>
            </w:tcBorders>
            <w:shd w:val="clear" w:color="auto" w:fill="auto"/>
            <w:vAlign w:val="center"/>
            <w:hideMark/>
          </w:tcPr>
          <w:p w14:paraId="7E6AD0D6" w14:textId="77777777" w:rsidR="0090197C" w:rsidRPr="00913E39" w:rsidRDefault="0090197C" w:rsidP="009C2266">
            <w:pPr>
              <w:spacing w:after="0" w:line="240" w:lineRule="auto"/>
              <w:jc w:val="center"/>
              <w:rPr>
                <w:rFonts w:ascii="Garamond" w:hAnsi="Garamond"/>
                <w:sz w:val="20"/>
                <w:szCs w:val="24"/>
              </w:rPr>
            </w:pPr>
          </w:p>
        </w:tc>
      </w:tr>
    </w:tbl>
    <w:p w14:paraId="750E3A7E" w14:textId="77777777" w:rsidR="0090197C" w:rsidRPr="00913E39" w:rsidRDefault="0090197C" w:rsidP="00E8580A">
      <w:pPr>
        <w:spacing w:after="0" w:line="240" w:lineRule="auto"/>
        <w:ind w:firstLine="284"/>
        <w:rPr>
          <w:rFonts w:ascii="Garamond" w:hAnsi="Garamond"/>
          <w:i/>
          <w:sz w:val="24"/>
          <w:szCs w:val="24"/>
        </w:rPr>
      </w:pPr>
      <w:r w:rsidRPr="00913E39">
        <w:rPr>
          <w:rFonts w:ascii="Garamond" w:hAnsi="Garamond"/>
          <w:i/>
          <w:sz w:val="24"/>
          <w:szCs w:val="24"/>
        </w:rPr>
        <w:t>Llogaritja e financimit të kërkuar të BE-së</w:t>
      </w:r>
    </w:p>
    <w:tbl>
      <w:tblPr>
        <w:tblpPr w:leftFromText="180" w:rightFromText="180" w:vertAnchor="text" w:horzAnchor="margin" w:tblpY="1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6007"/>
        <w:gridCol w:w="2385"/>
      </w:tblGrid>
      <w:tr w:rsidR="0090197C" w:rsidRPr="00913E39" w14:paraId="3D52C603" w14:textId="77777777" w:rsidTr="009C2266">
        <w:trPr>
          <w:trHeight w:val="20"/>
        </w:trPr>
        <w:tc>
          <w:tcPr>
            <w:tcW w:w="369" w:type="pct"/>
          </w:tcPr>
          <w:p w14:paraId="3DE6D76E" w14:textId="77777777" w:rsidR="0090197C" w:rsidRPr="00913E39" w:rsidRDefault="0090197C" w:rsidP="00E8580A">
            <w:pPr>
              <w:pStyle w:val="Text3"/>
              <w:spacing w:before="0" w:after="0"/>
              <w:ind w:left="0" w:firstLine="284"/>
              <w:jc w:val="center"/>
              <w:rPr>
                <w:rFonts w:ascii="Garamond" w:hAnsi="Garamond"/>
                <w:b/>
                <w:sz w:val="20"/>
              </w:rPr>
            </w:pPr>
          </w:p>
        </w:tc>
        <w:tc>
          <w:tcPr>
            <w:tcW w:w="3315" w:type="pct"/>
            <w:vAlign w:val="center"/>
          </w:tcPr>
          <w:p w14:paraId="5BE360EA" w14:textId="77777777" w:rsidR="0090197C" w:rsidRPr="00913E39" w:rsidRDefault="0090197C" w:rsidP="00E8580A">
            <w:pPr>
              <w:pStyle w:val="Text3"/>
              <w:spacing w:before="0" w:after="0"/>
              <w:ind w:left="0" w:firstLine="284"/>
              <w:jc w:val="center"/>
              <w:rPr>
                <w:rFonts w:ascii="Garamond" w:hAnsi="Garamond"/>
                <w:b/>
                <w:sz w:val="20"/>
              </w:rPr>
            </w:pPr>
          </w:p>
        </w:tc>
        <w:tc>
          <w:tcPr>
            <w:tcW w:w="1316" w:type="pct"/>
            <w:vAlign w:val="center"/>
          </w:tcPr>
          <w:p w14:paraId="3D09D590" w14:textId="77777777" w:rsidR="0090197C" w:rsidRPr="00913E39" w:rsidRDefault="0090197C" w:rsidP="00E8580A">
            <w:pPr>
              <w:pStyle w:val="Text3"/>
              <w:spacing w:before="0" w:after="0"/>
              <w:ind w:left="0" w:firstLine="284"/>
              <w:jc w:val="center"/>
              <w:rPr>
                <w:rFonts w:ascii="Garamond" w:hAnsi="Garamond"/>
                <w:b/>
                <w:sz w:val="20"/>
              </w:rPr>
            </w:pPr>
            <w:r w:rsidRPr="00913E39">
              <w:rPr>
                <w:rFonts w:ascii="Garamond" w:hAnsi="Garamond"/>
                <w:b/>
                <w:sz w:val="20"/>
              </w:rPr>
              <w:t>Vlera</w:t>
            </w:r>
          </w:p>
        </w:tc>
      </w:tr>
      <w:tr w:rsidR="0090197C" w:rsidRPr="00913E39" w14:paraId="7A017B84" w14:textId="77777777" w:rsidTr="009C2266">
        <w:trPr>
          <w:trHeight w:val="20"/>
        </w:trPr>
        <w:tc>
          <w:tcPr>
            <w:tcW w:w="369" w:type="pct"/>
            <w:vAlign w:val="center"/>
          </w:tcPr>
          <w:p w14:paraId="2B832C9E" w14:textId="77777777" w:rsidR="0090197C" w:rsidRPr="00913E39" w:rsidRDefault="0090197C" w:rsidP="00E8580A">
            <w:pPr>
              <w:pStyle w:val="Text3"/>
              <w:numPr>
                <w:ilvl w:val="0"/>
                <w:numId w:val="47"/>
              </w:numPr>
              <w:tabs>
                <w:tab w:val="left" w:pos="231"/>
                <w:tab w:val="left" w:pos="2302"/>
              </w:tabs>
              <w:spacing w:before="0" w:after="0"/>
              <w:ind w:left="0" w:firstLine="284"/>
              <w:jc w:val="left"/>
              <w:rPr>
                <w:rFonts w:ascii="Garamond" w:hAnsi="Garamond"/>
                <w:sz w:val="20"/>
              </w:rPr>
            </w:pPr>
          </w:p>
        </w:tc>
        <w:tc>
          <w:tcPr>
            <w:tcW w:w="3315" w:type="pct"/>
            <w:vAlign w:val="center"/>
          </w:tcPr>
          <w:p w14:paraId="625386D5" w14:textId="77777777" w:rsidR="0090197C" w:rsidRPr="00913E39" w:rsidRDefault="0090197C" w:rsidP="00E8580A">
            <w:pPr>
              <w:pStyle w:val="Text3"/>
              <w:spacing w:before="0" w:after="0"/>
              <w:ind w:left="0" w:firstLine="284"/>
              <w:jc w:val="left"/>
              <w:rPr>
                <w:rFonts w:ascii="Garamond" w:hAnsi="Garamond"/>
                <w:sz w:val="20"/>
              </w:rPr>
            </w:pPr>
            <w:r w:rsidRPr="00913E39">
              <w:rPr>
                <w:rFonts w:ascii="Garamond" w:hAnsi="Garamond"/>
                <w:sz w:val="20"/>
              </w:rPr>
              <w:t xml:space="preserve">Shpenzime të pranueshme (në euro) </w:t>
            </w:r>
          </w:p>
        </w:tc>
        <w:tc>
          <w:tcPr>
            <w:tcW w:w="1316" w:type="pct"/>
            <w:vAlign w:val="center"/>
          </w:tcPr>
          <w:p w14:paraId="396886A0" w14:textId="77777777" w:rsidR="0090197C" w:rsidRPr="00913E39" w:rsidRDefault="0090197C" w:rsidP="00E8580A">
            <w:pPr>
              <w:pStyle w:val="Text3"/>
              <w:spacing w:before="0" w:after="0"/>
              <w:ind w:left="0" w:firstLine="284"/>
              <w:jc w:val="left"/>
              <w:rPr>
                <w:rFonts w:ascii="Garamond" w:hAnsi="Garamond"/>
                <w:sz w:val="20"/>
              </w:rPr>
            </w:pPr>
            <w:r w:rsidRPr="00913E39">
              <w:rPr>
                <w:rFonts w:ascii="Garamond" w:hAnsi="Garamond"/>
                <w:sz w:val="20"/>
              </w:rPr>
              <w:t>251,000,000</w:t>
            </w:r>
          </w:p>
        </w:tc>
      </w:tr>
      <w:tr w:rsidR="0090197C" w:rsidRPr="00913E39" w14:paraId="7F3170C3" w14:textId="77777777" w:rsidTr="009C2266">
        <w:trPr>
          <w:trHeight w:val="20"/>
        </w:trPr>
        <w:tc>
          <w:tcPr>
            <w:tcW w:w="369" w:type="pct"/>
            <w:vAlign w:val="center"/>
          </w:tcPr>
          <w:p w14:paraId="25EC7D87" w14:textId="77777777" w:rsidR="0090197C" w:rsidRPr="00913E39" w:rsidRDefault="0090197C" w:rsidP="00E8580A">
            <w:pPr>
              <w:pStyle w:val="Text3"/>
              <w:numPr>
                <w:ilvl w:val="0"/>
                <w:numId w:val="47"/>
              </w:numPr>
              <w:tabs>
                <w:tab w:val="left" w:pos="231"/>
                <w:tab w:val="left" w:pos="2302"/>
              </w:tabs>
              <w:spacing w:before="0" w:after="0"/>
              <w:ind w:left="0" w:firstLine="284"/>
              <w:jc w:val="left"/>
              <w:rPr>
                <w:rFonts w:ascii="Garamond" w:hAnsi="Garamond"/>
                <w:sz w:val="20"/>
              </w:rPr>
            </w:pPr>
          </w:p>
        </w:tc>
        <w:tc>
          <w:tcPr>
            <w:tcW w:w="3315" w:type="pct"/>
            <w:vAlign w:val="center"/>
          </w:tcPr>
          <w:p w14:paraId="7C986035" w14:textId="77777777" w:rsidR="0090197C" w:rsidRPr="00913E39" w:rsidRDefault="0090197C" w:rsidP="00E8580A">
            <w:pPr>
              <w:pStyle w:val="Text3"/>
              <w:spacing w:before="0" w:after="0"/>
              <w:ind w:left="0" w:firstLine="284"/>
              <w:jc w:val="left"/>
              <w:rPr>
                <w:rFonts w:ascii="Garamond" w:hAnsi="Garamond"/>
                <w:sz w:val="20"/>
              </w:rPr>
            </w:pPr>
            <w:r w:rsidRPr="00913E39">
              <w:rPr>
                <w:rFonts w:ascii="Garamond" w:hAnsi="Garamond"/>
                <w:sz w:val="20"/>
              </w:rPr>
              <w:t>Norma e bashkëfinancimit (%)</w:t>
            </w:r>
          </w:p>
        </w:tc>
        <w:tc>
          <w:tcPr>
            <w:tcW w:w="1316" w:type="pct"/>
            <w:vAlign w:val="center"/>
          </w:tcPr>
          <w:p w14:paraId="7CAFCBFC" w14:textId="77777777" w:rsidR="0090197C" w:rsidRPr="00913E39" w:rsidRDefault="0090197C" w:rsidP="00E8580A">
            <w:pPr>
              <w:pStyle w:val="Text3"/>
              <w:spacing w:before="0" w:after="0"/>
              <w:ind w:left="0" w:firstLine="284"/>
              <w:jc w:val="left"/>
              <w:rPr>
                <w:rFonts w:ascii="Garamond" w:hAnsi="Garamond"/>
                <w:sz w:val="20"/>
              </w:rPr>
            </w:pPr>
            <w:r w:rsidRPr="00913E39">
              <w:rPr>
                <w:rFonts w:ascii="Garamond" w:hAnsi="Garamond"/>
                <w:sz w:val="20"/>
              </w:rPr>
              <w:t>85%</w:t>
            </w:r>
          </w:p>
        </w:tc>
      </w:tr>
      <w:tr w:rsidR="0090197C" w:rsidRPr="00913E39" w14:paraId="56241EFB" w14:textId="77777777" w:rsidTr="009C2266">
        <w:trPr>
          <w:trHeight w:val="20"/>
        </w:trPr>
        <w:tc>
          <w:tcPr>
            <w:tcW w:w="369" w:type="pct"/>
            <w:vAlign w:val="center"/>
          </w:tcPr>
          <w:p w14:paraId="26BFF089" w14:textId="77777777" w:rsidR="0090197C" w:rsidRPr="00913E39" w:rsidRDefault="0090197C" w:rsidP="00E8580A">
            <w:pPr>
              <w:pStyle w:val="Text3"/>
              <w:numPr>
                <w:ilvl w:val="0"/>
                <w:numId w:val="47"/>
              </w:numPr>
              <w:tabs>
                <w:tab w:val="left" w:pos="231"/>
                <w:tab w:val="left" w:pos="2302"/>
              </w:tabs>
              <w:spacing w:before="0" w:after="0"/>
              <w:ind w:left="0" w:firstLine="284"/>
              <w:jc w:val="left"/>
              <w:rPr>
                <w:rFonts w:ascii="Garamond" w:hAnsi="Garamond"/>
                <w:sz w:val="20"/>
              </w:rPr>
            </w:pPr>
          </w:p>
        </w:tc>
        <w:tc>
          <w:tcPr>
            <w:tcW w:w="3315" w:type="pct"/>
            <w:vAlign w:val="center"/>
          </w:tcPr>
          <w:p w14:paraId="2C7B8FD0" w14:textId="77777777" w:rsidR="0090197C" w:rsidRPr="00913E39" w:rsidRDefault="0090197C" w:rsidP="00E8580A">
            <w:pPr>
              <w:pStyle w:val="Text3"/>
              <w:spacing w:before="0" w:after="0"/>
              <w:ind w:left="0" w:firstLine="284"/>
              <w:jc w:val="left"/>
              <w:rPr>
                <w:rFonts w:ascii="Garamond" w:hAnsi="Garamond"/>
                <w:sz w:val="20"/>
              </w:rPr>
            </w:pPr>
            <w:r w:rsidRPr="00913E39">
              <w:rPr>
                <w:rFonts w:ascii="Garamond" w:hAnsi="Garamond"/>
                <w:sz w:val="20"/>
              </w:rPr>
              <w:t>Kërkesa për financim të BE-së (në euro)</w:t>
            </w:r>
          </w:p>
        </w:tc>
        <w:tc>
          <w:tcPr>
            <w:tcW w:w="1316" w:type="pct"/>
            <w:vAlign w:val="center"/>
          </w:tcPr>
          <w:p w14:paraId="1B48E273" w14:textId="77777777" w:rsidR="0090197C" w:rsidRPr="00913E39" w:rsidRDefault="0090197C" w:rsidP="00E8580A">
            <w:pPr>
              <w:pStyle w:val="Text3"/>
              <w:spacing w:before="0" w:after="0"/>
              <w:ind w:left="0" w:firstLine="284"/>
              <w:jc w:val="left"/>
              <w:rPr>
                <w:rFonts w:ascii="Garamond" w:hAnsi="Garamond"/>
                <w:sz w:val="20"/>
              </w:rPr>
            </w:pPr>
            <w:r w:rsidRPr="00913E39">
              <w:rPr>
                <w:rFonts w:ascii="Garamond" w:hAnsi="Garamond"/>
                <w:sz w:val="20"/>
              </w:rPr>
              <w:t>231, 350,000</w:t>
            </w:r>
          </w:p>
        </w:tc>
      </w:tr>
    </w:tbl>
    <w:p w14:paraId="42C56EC8" w14:textId="30F14982" w:rsidR="0090197C" w:rsidRPr="00913E39" w:rsidRDefault="0090197C" w:rsidP="001E7BC5">
      <w:pPr>
        <w:keepNext/>
        <w:spacing w:after="0" w:line="240" w:lineRule="auto"/>
        <w:ind w:firstLine="284"/>
        <w:jc w:val="both"/>
        <w:rPr>
          <w:rStyle w:val="ui-provider"/>
          <w:rFonts w:ascii="Garamond" w:hAnsi="Garamond"/>
          <w:sz w:val="24"/>
          <w:szCs w:val="24"/>
        </w:rPr>
      </w:pPr>
      <w:r w:rsidRPr="00913E39">
        <w:rPr>
          <w:rFonts w:ascii="Garamond" w:hAnsi="Garamond"/>
          <w:sz w:val="24"/>
          <w:szCs w:val="24"/>
        </w:rPr>
        <w:t>Kosto të papranueshme janë</w:t>
      </w:r>
      <w:r w:rsidR="00AB2B27" w:rsidRPr="00913E39">
        <w:rPr>
          <w:rFonts w:ascii="Garamond" w:hAnsi="Garamond"/>
          <w:sz w:val="24"/>
          <w:szCs w:val="24"/>
        </w:rPr>
        <w:t>:</w:t>
      </w:r>
      <w:r w:rsidRPr="00913E39">
        <w:rPr>
          <w:rFonts w:ascii="Garamond" w:hAnsi="Garamond"/>
          <w:sz w:val="24"/>
          <w:szCs w:val="24"/>
        </w:rPr>
        <w:t xml:space="preserve"> i) shpenzimet jashtë periudhës së pranueshmërisë</w:t>
      </w:r>
      <w:r w:rsidR="00AB2B27" w:rsidRPr="00913E39">
        <w:rPr>
          <w:rFonts w:ascii="Garamond" w:hAnsi="Garamond"/>
          <w:sz w:val="24"/>
          <w:szCs w:val="24"/>
        </w:rPr>
        <w:t>;</w:t>
      </w:r>
      <w:r w:rsidRPr="00913E39">
        <w:rPr>
          <w:rFonts w:ascii="Garamond" w:hAnsi="Garamond"/>
          <w:sz w:val="24"/>
          <w:szCs w:val="24"/>
        </w:rPr>
        <w:t xml:space="preserve"> ii) shpenzimet e papranueshme sipas </w:t>
      </w:r>
      <w:r w:rsidRPr="00913E39">
        <w:rPr>
          <w:rStyle w:val="ui-provider"/>
          <w:rFonts w:ascii="Garamond" w:hAnsi="Garamond"/>
          <w:sz w:val="24"/>
          <w:szCs w:val="24"/>
        </w:rPr>
        <w:t>rregullave të zbatueshme kombëtare dhe të BE-së</w:t>
      </w:r>
      <w:r w:rsidR="00AB2B27" w:rsidRPr="00913E39">
        <w:rPr>
          <w:rStyle w:val="ui-provider"/>
          <w:rFonts w:ascii="Garamond" w:hAnsi="Garamond"/>
          <w:sz w:val="24"/>
          <w:szCs w:val="24"/>
        </w:rPr>
        <w:t>;</w:t>
      </w:r>
      <w:r w:rsidRPr="00913E39">
        <w:rPr>
          <w:rStyle w:val="ui-provider"/>
          <w:rFonts w:ascii="Garamond" w:hAnsi="Garamond"/>
          <w:sz w:val="24"/>
          <w:szCs w:val="24"/>
        </w:rPr>
        <w:t xml:space="preserve"> iii) shpenzime të tjera q</w:t>
      </w:r>
      <w:r w:rsidR="001749AF" w:rsidRPr="00913E39">
        <w:rPr>
          <w:rFonts w:ascii="Garamond" w:hAnsi="Garamond"/>
          <w:sz w:val="24"/>
        </w:rPr>
        <w:t>ë</w:t>
      </w:r>
      <w:r w:rsidRPr="00913E39">
        <w:rPr>
          <w:rStyle w:val="ui-provider"/>
          <w:rFonts w:ascii="Garamond" w:hAnsi="Garamond"/>
          <w:sz w:val="24"/>
          <w:szCs w:val="24"/>
        </w:rPr>
        <w:t xml:space="preserve"> nuk paraqiten për bashkëfinancim. </w:t>
      </w:r>
    </w:p>
    <w:p w14:paraId="2B37C234" w14:textId="77777777" w:rsidR="0090197C" w:rsidRPr="00913E39" w:rsidRDefault="0090197C" w:rsidP="001E7BC5">
      <w:pPr>
        <w:keepNext/>
        <w:spacing w:after="0" w:line="240" w:lineRule="auto"/>
        <w:ind w:firstLine="284"/>
        <w:jc w:val="both"/>
        <w:rPr>
          <w:rFonts w:ascii="Garamond" w:hAnsi="Garamond"/>
          <w:sz w:val="24"/>
          <w:szCs w:val="24"/>
        </w:rPr>
      </w:pPr>
      <w:r w:rsidRPr="00913E39">
        <w:rPr>
          <w:rStyle w:val="ui-provider"/>
          <w:rFonts w:ascii="Garamond" w:hAnsi="Garamond"/>
          <w:sz w:val="24"/>
          <w:szCs w:val="24"/>
        </w:rPr>
        <w:t>Data e fillimit për pranueshmërinë e shpenzimeve është data e miratimit të shkresës së Projektit Madhor.</w:t>
      </w:r>
    </w:p>
    <w:p w14:paraId="15220CAD" w14:textId="77777777" w:rsidR="0090197C" w:rsidRPr="00913E39" w:rsidRDefault="0090197C" w:rsidP="001E7BC5">
      <w:pPr>
        <w:keepNext/>
        <w:spacing w:after="0" w:line="240" w:lineRule="auto"/>
        <w:ind w:firstLine="284"/>
        <w:jc w:val="both"/>
        <w:rPr>
          <w:rFonts w:ascii="Garamond" w:hAnsi="Garamond"/>
          <w:sz w:val="24"/>
          <w:szCs w:val="24"/>
        </w:rPr>
      </w:pPr>
      <w:r w:rsidRPr="00913E39">
        <w:rPr>
          <w:rFonts w:ascii="Garamond" w:hAnsi="Garamond"/>
          <w:sz w:val="24"/>
          <w:szCs w:val="24"/>
        </w:rPr>
        <w:t>Rregullore e zbatimit të IPA III përcakton (neni 5): 3. Marrëveshjet e financimit do të parashikojnë kushtet mbi të cilat do të jepet asistenca IPA III, duke përfshirë metodat e zbatueshme të zbatimit të asistencës IPA III, afatet e zbatimit, si dhe rregullat për pranueshmërinë e shpenzimeve.</w:t>
      </w:r>
    </w:p>
    <w:p w14:paraId="564CFCC6" w14:textId="77777777" w:rsidR="0090197C" w:rsidRPr="00913E39" w:rsidRDefault="0090197C" w:rsidP="001E7BC5">
      <w:pPr>
        <w:keepNext/>
        <w:spacing w:after="0" w:line="240" w:lineRule="auto"/>
        <w:ind w:firstLine="284"/>
        <w:jc w:val="both"/>
        <w:rPr>
          <w:rFonts w:ascii="Garamond" w:hAnsi="Garamond"/>
          <w:sz w:val="24"/>
          <w:szCs w:val="24"/>
        </w:rPr>
      </w:pPr>
      <w:r w:rsidRPr="00913E39">
        <w:rPr>
          <w:rFonts w:ascii="Garamond" w:hAnsi="Garamond"/>
          <w:sz w:val="24"/>
          <w:szCs w:val="24"/>
        </w:rPr>
        <w:t>Autoriteteve kombëtare të përfituesit u kujtohet që kontratat e projekteve të mëdha duhet të regjistrohen në aplikacionin IPA APP pas dhënies së tyre.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1"/>
        <w:gridCol w:w="1877"/>
        <w:gridCol w:w="3202"/>
      </w:tblGrid>
      <w:tr w:rsidR="0090197C" w:rsidRPr="00913E39" w14:paraId="11BE1349" w14:textId="77777777" w:rsidTr="009C2266">
        <w:trPr>
          <w:trHeight w:val="20"/>
        </w:trPr>
        <w:tc>
          <w:tcPr>
            <w:tcW w:w="2197" w:type="pct"/>
            <w:shd w:val="clear" w:color="auto" w:fill="auto"/>
          </w:tcPr>
          <w:p w14:paraId="628A0D0C" w14:textId="77777777" w:rsidR="0090197C" w:rsidRPr="00913E39" w:rsidRDefault="0090197C" w:rsidP="009C2266">
            <w:pPr>
              <w:tabs>
                <w:tab w:val="left" w:pos="10327"/>
              </w:tabs>
              <w:spacing w:after="0" w:line="240" w:lineRule="auto"/>
              <w:rPr>
                <w:rFonts w:ascii="Garamond" w:hAnsi="Garamond"/>
                <w:b/>
                <w:bCs/>
                <w:sz w:val="20"/>
                <w:szCs w:val="24"/>
              </w:rPr>
            </w:pPr>
            <w:bookmarkStart w:id="113" w:name="_Hlk137456618"/>
            <w:r w:rsidRPr="00913E39">
              <w:rPr>
                <w:rFonts w:ascii="Garamond" w:hAnsi="Garamond"/>
                <w:b/>
                <w:bCs/>
                <w:sz w:val="20"/>
                <w:szCs w:val="24"/>
              </w:rPr>
              <w:t>Burimet e financimit</w:t>
            </w:r>
          </w:p>
          <w:p w14:paraId="65236C62" w14:textId="1638D689" w:rsidR="0090197C" w:rsidRPr="00913E39" w:rsidRDefault="0090197C" w:rsidP="009C2266">
            <w:pPr>
              <w:tabs>
                <w:tab w:val="left" w:pos="10327"/>
              </w:tabs>
              <w:spacing w:after="0" w:line="240" w:lineRule="auto"/>
              <w:rPr>
                <w:rFonts w:ascii="Garamond" w:hAnsi="Garamond"/>
                <w:b/>
                <w:bCs/>
                <w:sz w:val="20"/>
                <w:szCs w:val="24"/>
              </w:rPr>
            </w:pPr>
            <w:r w:rsidRPr="00913E39">
              <w:rPr>
                <w:rFonts w:ascii="Garamond" w:hAnsi="Garamond"/>
                <w:b/>
                <w:bCs/>
                <w:sz w:val="20"/>
                <w:szCs w:val="24"/>
              </w:rPr>
              <w:t xml:space="preserve">(Subjekti – </w:t>
            </w:r>
            <w:r w:rsidR="001E7BC5" w:rsidRPr="00913E39">
              <w:rPr>
                <w:rFonts w:ascii="Garamond" w:hAnsi="Garamond"/>
                <w:b/>
                <w:bCs/>
                <w:sz w:val="20"/>
                <w:szCs w:val="24"/>
              </w:rPr>
              <w:t>vendi i origjinës – publik-privat</w:t>
            </w:r>
            <w:r w:rsidRPr="00913E39">
              <w:rPr>
                <w:rFonts w:ascii="Garamond" w:hAnsi="Garamond"/>
                <w:b/>
                <w:bCs/>
                <w:sz w:val="20"/>
                <w:szCs w:val="24"/>
              </w:rPr>
              <w:t>)</w:t>
            </w:r>
            <w:bookmarkEnd w:id="113"/>
          </w:p>
        </w:tc>
        <w:tc>
          <w:tcPr>
            <w:tcW w:w="1036" w:type="pct"/>
            <w:shd w:val="clear" w:color="auto" w:fill="auto"/>
          </w:tcPr>
          <w:p w14:paraId="1B01E271" w14:textId="77777777" w:rsidR="0090197C" w:rsidRPr="00913E39" w:rsidRDefault="0090197C" w:rsidP="009C2266">
            <w:pPr>
              <w:tabs>
                <w:tab w:val="left" w:pos="10327"/>
              </w:tabs>
              <w:spacing w:after="0" w:line="240" w:lineRule="auto"/>
              <w:rPr>
                <w:rFonts w:ascii="Garamond" w:hAnsi="Garamond"/>
                <w:b/>
                <w:bCs/>
                <w:sz w:val="20"/>
                <w:szCs w:val="24"/>
              </w:rPr>
            </w:pPr>
            <w:r w:rsidRPr="00913E39">
              <w:rPr>
                <w:rFonts w:ascii="Garamond" w:hAnsi="Garamond"/>
                <w:b/>
                <w:bCs/>
                <w:sz w:val="20"/>
                <w:szCs w:val="24"/>
              </w:rPr>
              <w:t>Shumat e financimit</w:t>
            </w:r>
          </w:p>
        </w:tc>
        <w:tc>
          <w:tcPr>
            <w:tcW w:w="1767" w:type="pct"/>
            <w:shd w:val="clear" w:color="auto" w:fill="auto"/>
          </w:tcPr>
          <w:p w14:paraId="3258BFAD" w14:textId="77777777" w:rsidR="0090197C" w:rsidRPr="00913E39" w:rsidRDefault="0090197C" w:rsidP="009C2266">
            <w:pPr>
              <w:tabs>
                <w:tab w:val="left" w:pos="10327"/>
              </w:tabs>
              <w:spacing w:after="0" w:line="240" w:lineRule="auto"/>
              <w:rPr>
                <w:rFonts w:ascii="Garamond" w:hAnsi="Garamond"/>
                <w:b/>
                <w:bCs/>
                <w:sz w:val="20"/>
                <w:szCs w:val="24"/>
              </w:rPr>
            </w:pPr>
            <w:r w:rsidRPr="00913E39">
              <w:rPr>
                <w:rFonts w:ascii="Garamond" w:hAnsi="Garamond"/>
                <w:b/>
                <w:bCs/>
                <w:sz w:val="20"/>
                <w:szCs w:val="24"/>
              </w:rPr>
              <w:t>% e financimit total</w:t>
            </w:r>
          </w:p>
        </w:tc>
      </w:tr>
      <w:tr w:rsidR="0090197C" w:rsidRPr="00913E39" w14:paraId="6F7E9C0E" w14:textId="77777777" w:rsidTr="009C2266">
        <w:trPr>
          <w:trHeight w:val="20"/>
        </w:trPr>
        <w:tc>
          <w:tcPr>
            <w:tcW w:w="2197" w:type="pct"/>
            <w:shd w:val="clear" w:color="auto" w:fill="auto"/>
          </w:tcPr>
          <w:p w14:paraId="43F69D47" w14:textId="77777777" w:rsidR="0090197C" w:rsidRPr="00913E39" w:rsidRDefault="0090197C" w:rsidP="009C2266">
            <w:pPr>
              <w:tabs>
                <w:tab w:val="left" w:pos="10327"/>
              </w:tabs>
              <w:spacing w:after="0" w:line="240" w:lineRule="auto"/>
              <w:rPr>
                <w:rFonts w:ascii="Garamond" w:hAnsi="Garamond"/>
                <w:sz w:val="20"/>
                <w:szCs w:val="24"/>
              </w:rPr>
            </w:pPr>
          </w:p>
        </w:tc>
        <w:tc>
          <w:tcPr>
            <w:tcW w:w="1036" w:type="pct"/>
            <w:shd w:val="clear" w:color="auto" w:fill="auto"/>
          </w:tcPr>
          <w:p w14:paraId="66FC8AC0" w14:textId="77777777" w:rsidR="0090197C" w:rsidRPr="00913E39" w:rsidRDefault="0090197C" w:rsidP="009C2266">
            <w:pPr>
              <w:tabs>
                <w:tab w:val="left" w:pos="10327"/>
              </w:tabs>
              <w:spacing w:after="0" w:line="240" w:lineRule="auto"/>
              <w:rPr>
                <w:rFonts w:ascii="Garamond" w:hAnsi="Garamond"/>
                <w:sz w:val="20"/>
                <w:szCs w:val="24"/>
              </w:rPr>
            </w:pPr>
          </w:p>
        </w:tc>
        <w:tc>
          <w:tcPr>
            <w:tcW w:w="1767" w:type="pct"/>
            <w:shd w:val="clear" w:color="auto" w:fill="auto"/>
          </w:tcPr>
          <w:p w14:paraId="0163DF6A" w14:textId="77777777" w:rsidR="0090197C" w:rsidRPr="00913E39" w:rsidRDefault="0090197C" w:rsidP="009C2266">
            <w:pPr>
              <w:tabs>
                <w:tab w:val="left" w:pos="10327"/>
              </w:tabs>
              <w:spacing w:after="0" w:line="240" w:lineRule="auto"/>
              <w:rPr>
                <w:rFonts w:ascii="Garamond" w:hAnsi="Garamond"/>
                <w:sz w:val="20"/>
                <w:szCs w:val="24"/>
              </w:rPr>
            </w:pPr>
          </w:p>
        </w:tc>
      </w:tr>
      <w:tr w:rsidR="0090197C" w:rsidRPr="00913E39" w14:paraId="2821339E" w14:textId="77777777" w:rsidTr="009C2266">
        <w:trPr>
          <w:trHeight w:val="20"/>
        </w:trPr>
        <w:tc>
          <w:tcPr>
            <w:tcW w:w="2197" w:type="pct"/>
            <w:shd w:val="clear" w:color="auto" w:fill="auto"/>
          </w:tcPr>
          <w:p w14:paraId="6735A7EA" w14:textId="77777777" w:rsidR="0090197C" w:rsidRPr="00913E39" w:rsidRDefault="0090197C" w:rsidP="009C2266">
            <w:pPr>
              <w:tabs>
                <w:tab w:val="left" w:pos="10327"/>
              </w:tabs>
              <w:spacing w:after="0" w:line="240" w:lineRule="auto"/>
              <w:rPr>
                <w:rFonts w:ascii="Garamond" w:hAnsi="Garamond"/>
                <w:sz w:val="20"/>
                <w:szCs w:val="24"/>
              </w:rPr>
            </w:pPr>
          </w:p>
        </w:tc>
        <w:tc>
          <w:tcPr>
            <w:tcW w:w="1036" w:type="pct"/>
            <w:shd w:val="clear" w:color="auto" w:fill="auto"/>
          </w:tcPr>
          <w:p w14:paraId="1077B7DE" w14:textId="77777777" w:rsidR="0090197C" w:rsidRPr="00913E39" w:rsidRDefault="0090197C" w:rsidP="009C2266">
            <w:pPr>
              <w:tabs>
                <w:tab w:val="left" w:pos="10327"/>
              </w:tabs>
              <w:spacing w:after="0" w:line="240" w:lineRule="auto"/>
              <w:rPr>
                <w:rFonts w:ascii="Garamond" w:hAnsi="Garamond"/>
                <w:sz w:val="20"/>
                <w:szCs w:val="24"/>
              </w:rPr>
            </w:pPr>
          </w:p>
        </w:tc>
        <w:tc>
          <w:tcPr>
            <w:tcW w:w="1767" w:type="pct"/>
            <w:shd w:val="clear" w:color="auto" w:fill="auto"/>
          </w:tcPr>
          <w:p w14:paraId="5BD57CCA" w14:textId="77777777" w:rsidR="0090197C" w:rsidRPr="00913E39" w:rsidRDefault="0090197C" w:rsidP="009C2266">
            <w:pPr>
              <w:tabs>
                <w:tab w:val="left" w:pos="10327"/>
              </w:tabs>
              <w:spacing w:after="0" w:line="240" w:lineRule="auto"/>
              <w:rPr>
                <w:rFonts w:ascii="Garamond" w:hAnsi="Garamond"/>
                <w:sz w:val="20"/>
                <w:szCs w:val="24"/>
              </w:rPr>
            </w:pPr>
          </w:p>
        </w:tc>
      </w:tr>
      <w:tr w:rsidR="0090197C" w:rsidRPr="00913E39" w14:paraId="7DCAC08F" w14:textId="77777777" w:rsidTr="009C2266">
        <w:trPr>
          <w:trHeight w:val="20"/>
        </w:trPr>
        <w:tc>
          <w:tcPr>
            <w:tcW w:w="2197" w:type="pct"/>
            <w:shd w:val="clear" w:color="auto" w:fill="auto"/>
          </w:tcPr>
          <w:p w14:paraId="1CC5ECE6" w14:textId="77777777" w:rsidR="0090197C" w:rsidRPr="00913E39" w:rsidRDefault="0090197C" w:rsidP="009C2266">
            <w:pPr>
              <w:tabs>
                <w:tab w:val="left" w:pos="10327"/>
              </w:tabs>
              <w:spacing w:after="0" w:line="240" w:lineRule="auto"/>
              <w:rPr>
                <w:rFonts w:ascii="Garamond" w:hAnsi="Garamond"/>
                <w:sz w:val="20"/>
                <w:szCs w:val="24"/>
              </w:rPr>
            </w:pPr>
          </w:p>
        </w:tc>
        <w:tc>
          <w:tcPr>
            <w:tcW w:w="1036" w:type="pct"/>
            <w:shd w:val="clear" w:color="auto" w:fill="auto"/>
          </w:tcPr>
          <w:p w14:paraId="701DE561" w14:textId="77777777" w:rsidR="0090197C" w:rsidRPr="00913E39" w:rsidRDefault="0090197C" w:rsidP="009C2266">
            <w:pPr>
              <w:tabs>
                <w:tab w:val="left" w:pos="10327"/>
              </w:tabs>
              <w:spacing w:after="0" w:line="240" w:lineRule="auto"/>
              <w:rPr>
                <w:rFonts w:ascii="Garamond" w:hAnsi="Garamond"/>
                <w:sz w:val="20"/>
                <w:szCs w:val="24"/>
              </w:rPr>
            </w:pPr>
          </w:p>
        </w:tc>
        <w:tc>
          <w:tcPr>
            <w:tcW w:w="1767" w:type="pct"/>
            <w:shd w:val="clear" w:color="auto" w:fill="auto"/>
          </w:tcPr>
          <w:p w14:paraId="45F5B26C" w14:textId="77777777" w:rsidR="0090197C" w:rsidRPr="00913E39" w:rsidRDefault="0090197C" w:rsidP="009C2266">
            <w:pPr>
              <w:tabs>
                <w:tab w:val="left" w:pos="10327"/>
              </w:tabs>
              <w:spacing w:after="0" w:line="240" w:lineRule="auto"/>
              <w:rPr>
                <w:rFonts w:ascii="Garamond" w:hAnsi="Garamond"/>
                <w:sz w:val="20"/>
                <w:szCs w:val="24"/>
              </w:rPr>
            </w:pPr>
          </w:p>
        </w:tc>
      </w:tr>
      <w:tr w:rsidR="0090197C" w:rsidRPr="00913E39" w14:paraId="1A61686A" w14:textId="77777777" w:rsidTr="009C2266">
        <w:trPr>
          <w:trHeight w:val="20"/>
        </w:trPr>
        <w:tc>
          <w:tcPr>
            <w:tcW w:w="2197" w:type="pct"/>
            <w:shd w:val="clear" w:color="auto" w:fill="auto"/>
          </w:tcPr>
          <w:p w14:paraId="664A1A4B" w14:textId="77777777" w:rsidR="0090197C" w:rsidRPr="00913E39" w:rsidRDefault="0090197C" w:rsidP="009C2266">
            <w:pPr>
              <w:tabs>
                <w:tab w:val="left" w:pos="10327"/>
              </w:tabs>
              <w:spacing w:after="0" w:line="240" w:lineRule="auto"/>
              <w:rPr>
                <w:rFonts w:ascii="Garamond" w:hAnsi="Garamond"/>
                <w:sz w:val="20"/>
                <w:szCs w:val="24"/>
              </w:rPr>
            </w:pPr>
          </w:p>
        </w:tc>
        <w:tc>
          <w:tcPr>
            <w:tcW w:w="1036" w:type="pct"/>
            <w:shd w:val="clear" w:color="auto" w:fill="auto"/>
          </w:tcPr>
          <w:p w14:paraId="43DFA243" w14:textId="77777777" w:rsidR="0090197C" w:rsidRPr="00913E39" w:rsidRDefault="0090197C" w:rsidP="009C2266">
            <w:pPr>
              <w:tabs>
                <w:tab w:val="left" w:pos="10327"/>
              </w:tabs>
              <w:spacing w:after="0" w:line="240" w:lineRule="auto"/>
              <w:rPr>
                <w:rFonts w:ascii="Garamond" w:hAnsi="Garamond"/>
                <w:sz w:val="20"/>
                <w:szCs w:val="24"/>
              </w:rPr>
            </w:pPr>
          </w:p>
        </w:tc>
        <w:tc>
          <w:tcPr>
            <w:tcW w:w="1767" w:type="pct"/>
            <w:shd w:val="clear" w:color="auto" w:fill="auto"/>
          </w:tcPr>
          <w:p w14:paraId="7560B735" w14:textId="77777777" w:rsidR="0090197C" w:rsidRPr="00913E39" w:rsidRDefault="0090197C" w:rsidP="009C2266">
            <w:pPr>
              <w:tabs>
                <w:tab w:val="left" w:pos="10327"/>
              </w:tabs>
              <w:spacing w:after="0" w:line="240" w:lineRule="auto"/>
              <w:rPr>
                <w:rFonts w:ascii="Garamond" w:hAnsi="Garamond"/>
                <w:sz w:val="20"/>
                <w:szCs w:val="24"/>
              </w:rPr>
            </w:pPr>
          </w:p>
        </w:tc>
      </w:tr>
    </w:tbl>
    <w:p w14:paraId="25EF5D3C" w14:textId="77777777" w:rsidR="0090197C" w:rsidRPr="00913E39" w:rsidRDefault="0090197C" w:rsidP="00E8580A">
      <w:pPr>
        <w:pStyle w:val="Heading2"/>
        <w:spacing w:before="0" w:after="0"/>
        <w:ind w:firstLine="284"/>
        <w:jc w:val="both"/>
        <w:rPr>
          <w:rFonts w:ascii="Garamond" w:hAnsi="Garamond"/>
          <w:b w:val="0"/>
          <w:sz w:val="24"/>
          <w:lang w:val="sq-AL"/>
        </w:rPr>
      </w:pPr>
      <w:r w:rsidRPr="00913E39">
        <w:rPr>
          <w:rFonts w:ascii="Garamond" w:hAnsi="Garamond"/>
          <w:b w:val="0"/>
          <w:sz w:val="24"/>
          <w:lang w:val="sq-AL"/>
        </w:rPr>
        <w:t>5.2 Konkurrenca</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3"/>
        <w:gridCol w:w="704"/>
        <w:gridCol w:w="701"/>
      </w:tblGrid>
      <w:tr w:rsidR="0090197C" w:rsidRPr="00913E39" w14:paraId="02CAE39E" w14:textId="77777777" w:rsidTr="009C2266">
        <w:tc>
          <w:tcPr>
            <w:tcW w:w="6946" w:type="dxa"/>
            <w:tcBorders>
              <w:top w:val="nil"/>
              <w:left w:val="nil"/>
              <w:bottom w:val="single" w:sz="4" w:space="0" w:color="auto"/>
              <w:right w:val="single" w:sz="4" w:space="0" w:color="auto"/>
            </w:tcBorders>
            <w:shd w:val="clear" w:color="auto" w:fill="auto"/>
          </w:tcPr>
          <w:p w14:paraId="6AD89F82" w14:textId="77777777" w:rsidR="0090197C" w:rsidRPr="00913E39" w:rsidRDefault="0090197C" w:rsidP="009C2266">
            <w:pPr>
              <w:spacing w:after="0" w:line="240" w:lineRule="auto"/>
              <w:rPr>
                <w:rFonts w:ascii="Garamond" w:hAnsi="Garamond"/>
                <w:i/>
                <w:sz w:val="20"/>
                <w:szCs w:val="24"/>
              </w:rPr>
            </w:pPr>
          </w:p>
        </w:tc>
        <w:tc>
          <w:tcPr>
            <w:tcW w:w="709" w:type="dxa"/>
            <w:tcBorders>
              <w:left w:val="single" w:sz="4" w:space="0" w:color="auto"/>
              <w:bottom w:val="single" w:sz="4" w:space="0" w:color="auto"/>
            </w:tcBorders>
            <w:shd w:val="clear" w:color="auto" w:fill="auto"/>
          </w:tcPr>
          <w:p w14:paraId="136C40D4" w14:textId="77777777" w:rsidR="0090197C" w:rsidRPr="00913E39" w:rsidRDefault="0090197C" w:rsidP="009C2266">
            <w:pPr>
              <w:spacing w:after="0" w:line="240" w:lineRule="auto"/>
              <w:jc w:val="center"/>
              <w:rPr>
                <w:rFonts w:ascii="Garamond" w:hAnsi="Garamond"/>
                <w:i/>
                <w:sz w:val="20"/>
                <w:szCs w:val="24"/>
              </w:rPr>
            </w:pPr>
            <w:r w:rsidRPr="00913E39">
              <w:rPr>
                <w:rFonts w:ascii="Garamond" w:hAnsi="Garamond"/>
                <w:i/>
                <w:sz w:val="20"/>
                <w:szCs w:val="24"/>
              </w:rPr>
              <w:t>Po</w:t>
            </w:r>
          </w:p>
        </w:tc>
        <w:tc>
          <w:tcPr>
            <w:tcW w:w="708" w:type="dxa"/>
            <w:tcBorders>
              <w:bottom w:val="single" w:sz="4" w:space="0" w:color="auto"/>
            </w:tcBorders>
            <w:shd w:val="clear" w:color="auto" w:fill="auto"/>
          </w:tcPr>
          <w:p w14:paraId="3AFFCF92" w14:textId="77777777" w:rsidR="0090197C" w:rsidRPr="00913E39" w:rsidRDefault="0090197C" w:rsidP="009C2266">
            <w:pPr>
              <w:spacing w:after="0" w:line="240" w:lineRule="auto"/>
              <w:jc w:val="center"/>
              <w:rPr>
                <w:rFonts w:ascii="Garamond" w:hAnsi="Garamond"/>
                <w:i/>
                <w:sz w:val="20"/>
                <w:szCs w:val="24"/>
              </w:rPr>
            </w:pPr>
            <w:r w:rsidRPr="00913E39">
              <w:rPr>
                <w:rFonts w:ascii="Garamond" w:hAnsi="Garamond"/>
                <w:i/>
                <w:sz w:val="20"/>
                <w:szCs w:val="24"/>
              </w:rPr>
              <w:t>Jo</w:t>
            </w:r>
          </w:p>
        </w:tc>
      </w:tr>
      <w:tr w:rsidR="0090197C" w:rsidRPr="00913E39" w14:paraId="49B54122" w14:textId="77777777" w:rsidTr="009C2266">
        <w:tc>
          <w:tcPr>
            <w:tcW w:w="6946" w:type="dxa"/>
            <w:tcBorders>
              <w:top w:val="single" w:sz="4" w:space="0" w:color="auto"/>
            </w:tcBorders>
            <w:shd w:val="clear" w:color="auto" w:fill="auto"/>
          </w:tcPr>
          <w:p w14:paraId="3C8AD421"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A përfshin ky projekt në ndonjë fazë të tij ndihmën shtetërore, sidomos gjatë funksionimit të infrastrukturës së përfunduar?</w:t>
            </w:r>
          </w:p>
        </w:tc>
        <w:tc>
          <w:tcPr>
            <w:tcW w:w="709" w:type="dxa"/>
            <w:tcBorders>
              <w:top w:val="single" w:sz="4" w:space="0" w:color="auto"/>
            </w:tcBorders>
            <w:shd w:val="clear" w:color="auto" w:fill="auto"/>
          </w:tcPr>
          <w:p w14:paraId="34F8C484" w14:textId="77777777" w:rsidR="0090197C" w:rsidRPr="00913E39" w:rsidRDefault="0090197C" w:rsidP="009C2266">
            <w:pPr>
              <w:spacing w:after="0" w:line="240" w:lineRule="auto"/>
              <w:rPr>
                <w:rFonts w:ascii="Garamond" w:hAnsi="Garamond"/>
                <w:i/>
                <w:sz w:val="20"/>
                <w:szCs w:val="24"/>
              </w:rPr>
            </w:pPr>
            <w:r w:rsidRPr="00913E39">
              <w:rPr>
                <w:rFonts w:ascii="Garamond" w:hAnsi="Garamond"/>
                <w:i/>
                <w:sz w:val="20"/>
                <w:szCs w:val="24"/>
              </w:rPr>
              <w:t>(1)</w:t>
            </w:r>
          </w:p>
        </w:tc>
        <w:tc>
          <w:tcPr>
            <w:tcW w:w="708" w:type="dxa"/>
            <w:tcBorders>
              <w:top w:val="single" w:sz="4" w:space="0" w:color="auto"/>
            </w:tcBorders>
            <w:shd w:val="clear" w:color="auto" w:fill="auto"/>
          </w:tcPr>
          <w:p w14:paraId="4697D438" w14:textId="77777777" w:rsidR="0090197C" w:rsidRPr="00913E39" w:rsidRDefault="0090197C" w:rsidP="009C2266">
            <w:pPr>
              <w:spacing w:after="0" w:line="240" w:lineRule="auto"/>
              <w:rPr>
                <w:rFonts w:ascii="Garamond" w:hAnsi="Garamond"/>
                <w:i/>
                <w:sz w:val="20"/>
                <w:szCs w:val="24"/>
              </w:rPr>
            </w:pPr>
          </w:p>
        </w:tc>
      </w:tr>
    </w:tbl>
    <w:p w14:paraId="4990988E" w14:textId="77777777" w:rsidR="0090197C" w:rsidRPr="00913E39" w:rsidRDefault="0090197C" w:rsidP="001E7BC5">
      <w:pPr>
        <w:spacing w:after="0" w:line="240" w:lineRule="auto"/>
        <w:ind w:firstLine="284"/>
        <w:jc w:val="both"/>
        <w:rPr>
          <w:rFonts w:ascii="Garamond" w:hAnsi="Garamond"/>
          <w:sz w:val="24"/>
        </w:rPr>
      </w:pPr>
      <w:r w:rsidRPr="00913E39">
        <w:rPr>
          <w:rFonts w:ascii="Garamond" w:hAnsi="Garamond"/>
          <w:sz w:val="24"/>
        </w:rPr>
        <w:t>[(1) Nëse PO, shpjegoni se si janë respektuar rregullat e konkurrencës. Jepni një opinion të autoritetit të ndihmës shtetërore në anglisht.]</w:t>
      </w:r>
    </w:p>
    <w:p w14:paraId="4B396C4E" w14:textId="6AA0BEDF" w:rsidR="0090197C" w:rsidRPr="00913E39" w:rsidRDefault="0090197C" w:rsidP="001E7BC5">
      <w:pPr>
        <w:spacing w:after="0" w:line="240" w:lineRule="auto"/>
        <w:ind w:firstLine="284"/>
        <w:jc w:val="both"/>
        <w:rPr>
          <w:rFonts w:ascii="Garamond" w:hAnsi="Garamond"/>
          <w:sz w:val="24"/>
        </w:rPr>
      </w:pPr>
      <w:r w:rsidRPr="00913E39">
        <w:rPr>
          <w:rFonts w:ascii="Garamond" w:hAnsi="Garamond"/>
          <w:sz w:val="24"/>
        </w:rPr>
        <w:t>[Nëse jo, ju lutemi shpjegoni me detaje arsyet për të treguar se projekti nuk përfshin ndihmë shtetërore</w:t>
      </w:r>
      <w:r w:rsidR="00AB2B27" w:rsidRPr="00913E39">
        <w:rPr>
          <w:rFonts w:ascii="Garamond" w:hAnsi="Garamond"/>
          <w:sz w:val="24"/>
        </w:rPr>
        <w:t>.</w:t>
      </w:r>
      <w:r w:rsidRPr="00913E39">
        <w:rPr>
          <w:rFonts w:ascii="Garamond" w:hAnsi="Garamond"/>
          <w:sz w:val="24"/>
        </w:rPr>
        <w:t>]</w:t>
      </w:r>
    </w:p>
    <w:p w14:paraId="74FCDBAD" w14:textId="77777777" w:rsidR="0090197C" w:rsidRPr="00913E39" w:rsidRDefault="0090197C" w:rsidP="00E8580A">
      <w:pPr>
        <w:pStyle w:val="Heading2"/>
        <w:spacing w:before="0" w:after="0"/>
        <w:ind w:firstLine="284"/>
        <w:jc w:val="both"/>
        <w:rPr>
          <w:rFonts w:ascii="Garamond" w:hAnsi="Garamond"/>
          <w:b w:val="0"/>
          <w:sz w:val="24"/>
          <w:lang w:val="sq-AL"/>
        </w:rPr>
      </w:pPr>
      <w:r w:rsidRPr="00913E39">
        <w:rPr>
          <w:rFonts w:ascii="Garamond" w:hAnsi="Garamond"/>
          <w:b w:val="0"/>
          <w:sz w:val="24"/>
          <w:lang w:val="sq-AL"/>
        </w:rPr>
        <w:t>5.3 Plani i prokurimit</w:t>
      </w:r>
    </w:p>
    <w:p w14:paraId="238478E8" w14:textId="02AE7AEB" w:rsidR="0090197C" w:rsidRPr="00913E39" w:rsidRDefault="0090197C" w:rsidP="001E7BC5">
      <w:pPr>
        <w:spacing w:after="0" w:line="240" w:lineRule="auto"/>
        <w:ind w:firstLine="284"/>
        <w:jc w:val="both"/>
        <w:rPr>
          <w:rFonts w:ascii="Garamond" w:hAnsi="Garamond"/>
          <w:sz w:val="24"/>
          <w:szCs w:val="24"/>
        </w:rPr>
      </w:pPr>
      <w:r w:rsidRPr="00913E39">
        <w:rPr>
          <w:rFonts w:ascii="Garamond" w:hAnsi="Garamond"/>
          <w:sz w:val="24"/>
          <w:szCs w:val="24"/>
        </w:rPr>
        <w:t>Bëni një plan prokurimi demonstrativ për kontratat që do të zbatohen me financim të BE-së. Nëse kontratat janë publikuar tashmë në Gazetën Zyrtare të Bashkimit E</w:t>
      </w:r>
      <w:r w:rsidR="00AB2B27" w:rsidRPr="00913E39">
        <w:rPr>
          <w:rFonts w:ascii="Garamond" w:hAnsi="Garamond"/>
          <w:sz w:val="24"/>
          <w:szCs w:val="24"/>
        </w:rPr>
        <w:t>v</w:t>
      </w:r>
      <w:r w:rsidRPr="00913E39">
        <w:rPr>
          <w:rFonts w:ascii="Garamond" w:hAnsi="Garamond"/>
          <w:sz w:val="24"/>
          <w:szCs w:val="24"/>
        </w:rPr>
        <w:t>ropian/TED, jepni referencë. Sigurohuni që të arrihet respektimi i plotë i afateve kohore të projektit siç përcaktohet në pjesën 3.1 sipër.</w:t>
      </w:r>
    </w:p>
    <w:tbl>
      <w:tblPr>
        <w:tblW w:w="9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9"/>
        <w:gridCol w:w="1161"/>
        <w:gridCol w:w="1479"/>
        <w:gridCol w:w="1259"/>
        <w:gridCol w:w="1419"/>
        <w:gridCol w:w="1479"/>
        <w:gridCol w:w="1421"/>
      </w:tblGrid>
      <w:tr w:rsidR="0090197C" w:rsidRPr="00913E39" w14:paraId="2912F901" w14:textId="77777777" w:rsidTr="009C2266">
        <w:trPr>
          <w:trHeight w:val="113"/>
        </w:trPr>
        <w:tc>
          <w:tcPr>
            <w:tcW w:w="1099" w:type="dxa"/>
            <w:shd w:val="clear" w:color="000000" w:fill="auto"/>
          </w:tcPr>
          <w:p w14:paraId="2C1F15E7" w14:textId="77777777" w:rsidR="0090197C" w:rsidRPr="00913E39" w:rsidRDefault="0090197C" w:rsidP="009C2266">
            <w:pPr>
              <w:spacing w:after="0" w:line="240" w:lineRule="auto"/>
              <w:jc w:val="center"/>
              <w:rPr>
                <w:rFonts w:ascii="Garamond" w:hAnsi="Garamond"/>
                <w:b/>
                <w:sz w:val="20"/>
                <w:szCs w:val="24"/>
              </w:rPr>
            </w:pPr>
            <w:bookmarkStart w:id="114" w:name="_Toc142286824"/>
            <w:bookmarkStart w:id="115" w:name="_Toc142287112"/>
            <w:bookmarkStart w:id="116" w:name="_Toc142287325"/>
            <w:bookmarkStart w:id="117" w:name="_Toc142287446"/>
            <w:r w:rsidRPr="00913E39">
              <w:rPr>
                <w:rFonts w:ascii="Garamond" w:hAnsi="Garamond"/>
                <w:b/>
                <w:sz w:val="20"/>
                <w:szCs w:val="24"/>
              </w:rPr>
              <w:t xml:space="preserve">Kontrata </w:t>
            </w:r>
          </w:p>
        </w:tc>
        <w:tc>
          <w:tcPr>
            <w:tcW w:w="1161" w:type="dxa"/>
            <w:shd w:val="clear" w:color="000000" w:fill="auto"/>
          </w:tcPr>
          <w:p w14:paraId="3F980C8B" w14:textId="77777777" w:rsidR="0090197C" w:rsidRPr="00913E39" w:rsidRDefault="0090197C" w:rsidP="009C2266">
            <w:pPr>
              <w:spacing w:after="0" w:line="240" w:lineRule="auto"/>
              <w:jc w:val="center"/>
              <w:rPr>
                <w:rFonts w:ascii="Garamond" w:hAnsi="Garamond"/>
                <w:b/>
                <w:sz w:val="20"/>
                <w:szCs w:val="24"/>
              </w:rPr>
            </w:pPr>
            <w:r w:rsidRPr="00913E39">
              <w:rPr>
                <w:rFonts w:ascii="Garamond" w:hAnsi="Garamond"/>
                <w:b/>
                <w:sz w:val="20"/>
                <w:szCs w:val="24"/>
              </w:rPr>
              <w:t>Lloji i kontratës</w:t>
            </w:r>
          </w:p>
        </w:tc>
        <w:tc>
          <w:tcPr>
            <w:tcW w:w="1479" w:type="dxa"/>
            <w:shd w:val="clear" w:color="000000" w:fill="auto"/>
          </w:tcPr>
          <w:p w14:paraId="4726113A" w14:textId="77777777" w:rsidR="0090197C" w:rsidRPr="00913E39" w:rsidRDefault="0090197C" w:rsidP="009C2266">
            <w:pPr>
              <w:spacing w:after="0" w:line="240" w:lineRule="auto"/>
              <w:jc w:val="center"/>
              <w:rPr>
                <w:rFonts w:ascii="Garamond" w:hAnsi="Garamond"/>
                <w:b/>
                <w:sz w:val="20"/>
              </w:rPr>
            </w:pPr>
            <w:r w:rsidRPr="00913E39">
              <w:rPr>
                <w:rFonts w:ascii="Garamond" w:hAnsi="Garamond"/>
                <w:b/>
                <w:sz w:val="20"/>
              </w:rPr>
              <w:t>Buxheti i përllogaritur në EUR</w:t>
            </w:r>
          </w:p>
        </w:tc>
        <w:tc>
          <w:tcPr>
            <w:tcW w:w="1259" w:type="dxa"/>
            <w:shd w:val="clear" w:color="000000" w:fill="auto"/>
          </w:tcPr>
          <w:p w14:paraId="1A6FCB05" w14:textId="77777777" w:rsidR="0090197C" w:rsidRPr="00913E39" w:rsidRDefault="0090197C" w:rsidP="009C2266">
            <w:pPr>
              <w:spacing w:after="0" w:line="240" w:lineRule="auto"/>
              <w:jc w:val="center"/>
              <w:rPr>
                <w:rFonts w:ascii="Garamond" w:hAnsi="Garamond"/>
                <w:b/>
                <w:sz w:val="20"/>
                <w:szCs w:val="24"/>
              </w:rPr>
            </w:pPr>
            <w:r w:rsidRPr="00913E39">
              <w:rPr>
                <w:rFonts w:ascii="Garamond" w:hAnsi="Garamond"/>
                <w:b/>
                <w:sz w:val="20"/>
                <w:szCs w:val="24"/>
              </w:rPr>
              <w:t>Procedura</w:t>
            </w:r>
          </w:p>
          <w:p w14:paraId="4DCC3656" w14:textId="77777777" w:rsidR="0090197C" w:rsidRPr="00913E39" w:rsidRDefault="0090197C" w:rsidP="009C2266">
            <w:pPr>
              <w:spacing w:after="0" w:line="240" w:lineRule="auto"/>
              <w:jc w:val="center"/>
              <w:rPr>
                <w:rFonts w:ascii="Garamond" w:hAnsi="Garamond"/>
                <w:b/>
                <w:sz w:val="20"/>
                <w:szCs w:val="24"/>
              </w:rPr>
            </w:pPr>
            <w:r w:rsidRPr="00913E39">
              <w:rPr>
                <w:rFonts w:ascii="Garamond" w:hAnsi="Garamond"/>
                <w:b/>
                <w:sz w:val="20"/>
                <w:szCs w:val="24"/>
              </w:rPr>
              <w:t>Lloji</w:t>
            </w:r>
          </w:p>
        </w:tc>
        <w:tc>
          <w:tcPr>
            <w:tcW w:w="1419" w:type="dxa"/>
            <w:shd w:val="clear" w:color="000000" w:fill="auto"/>
          </w:tcPr>
          <w:p w14:paraId="2E4D71F0" w14:textId="77777777" w:rsidR="0090197C" w:rsidRPr="00913E39" w:rsidRDefault="0090197C" w:rsidP="009C2266">
            <w:pPr>
              <w:spacing w:after="0" w:line="240" w:lineRule="auto"/>
              <w:jc w:val="center"/>
              <w:rPr>
                <w:rFonts w:ascii="Garamond" w:hAnsi="Garamond"/>
                <w:b/>
                <w:sz w:val="20"/>
                <w:szCs w:val="24"/>
              </w:rPr>
            </w:pPr>
            <w:r w:rsidRPr="00913E39">
              <w:rPr>
                <w:rFonts w:ascii="Garamond" w:hAnsi="Garamond"/>
                <w:b/>
                <w:sz w:val="20"/>
                <w:szCs w:val="24"/>
              </w:rPr>
              <w:t>Fillimi i parashikuar i procedurës së prokurimit</w:t>
            </w:r>
          </w:p>
        </w:tc>
        <w:tc>
          <w:tcPr>
            <w:tcW w:w="1479" w:type="dxa"/>
            <w:shd w:val="clear" w:color="000000" w:fill="auto"/>
          </w:tcPr>
          <w:p w14:paraId="6C18BEDB" w14:textId="77777777" w:rsidR="0090197C" w:rsidRPr="00913E39" w:rsidRDefault="0090197C" w:rsidP="009C2266">
            <w:pPr>
              <w:spacing w:after="0" w:line="240" w:lineRule="auto"/>
              <w:jc w:val="center"/>
              <w:rPr>
                <w:rFonts w:ascii="Garamond" w:hAnsi="Garamond"/>
                <w:b/>
                <w:sz w:val="20"/>
                <w:szCs w:val="24"/>
              </w:rPr>
            </w:pPr>
            <w:r w:rsidRPr="00913E39">
              <w:rPr>
                <w:rFonts w:ascii="Garamond" w:hAnsi="Garamond"/>
                <w:b/>
                <w:sz w:val="20"/>
                <w:szCs w:val="24"/>
              </w:rPr>
              <w:t>Data e përllogaritur e nënshkrimit të kontratës</w:t>
            </w:r>
          </w:p>
        </w:tc>
        <w:tc>
          <w:tcPr>
            <w:tcW w:w="1421" w:type="dxa"/>
            <w:shd w:val="clear" w:color="000000" w:fill="auto"/>
          </w:tcPr>
          <w:p w14:paraId="0C5EBA05" w14:textId="77777777" w:rsidR="0090197C" w:rsidRPr="00913E39" w:rsidRDefault="0090197C" w:rsidP="009C2266">
            <w:pPr>
              <w:spacing w:after="0" w:line="240" w:lineRule="auto"/>
              <w:jc w:val="center"/>
              <w:rPr>
                <w:rFonts w:ascii="Garamond" w:hAnsi="Garamond"/>
                <w:b/>
                <w:sz w:val="20"/>
              </w:rPr>
            </w:pPr>
            <w:r w:rsidRPr="00913E39">
              <w:rPr>
                <w:rFonts w:ascii="Garamond" w:hAnsi="Garamond"/>
                <w:b/>
                <w:sz w:val="20"/>
              </w:rPr>
              <w:t>Kohëzgjatja e parashikuar e kontratës</w:t>
            </w:r>
          </w:p>
        </w:tc>
      </w:tr>
      <w:tr w:rsidR="0090197C" w:rsidRPr="00913E39" w14:paraId="200829C0" w14:textId="77777777" w:rsidTr="009C2266">
        <w:trPr>
          <w:trHeight w:val="113"/>
        </w:trPr>
        <w:tc>
          <w:tcPr>
            <w:tcW w:w="1099" w:type="dxa"/>
            <w:shd w:val="clear" w:color="000000" w:fill="auto"/>
            <w:vAlign w:val="center"/>
          </w:tcPr>
          <w:p w14:paraId="57E77520" w14:textId="77777777" w:rsidR="0090197C" w:rsidRPr="00913E39" w:rsidRDefault="0090197C" w:rsidP="009C2266">
            <w:pPr>
              <w:spacing w:after="0" w:line="240" w:lineRule="auto"/>
              <w:rPr>
                <w:rFonts w:ascii="Garamond" w:hAnsi="Garamond"/>
                <w:sz w:val="20"/>
              </w:rPr>
            </w:pPr>
          </w:p>
        </w:tc>
        <w:tc>
          <w:tcPr>
            <w:tcW w:w="1161" w:type="dxa"/>
            <w:shd w:val="clear" w:color="000000" w:fill="auto"/>
          </w:tcPr>
          <w:p w14:paraId="65853DB1" w14:textId="77777777" w:rsidR="0090197C" w:rsidRPr="00913E39" w:rsidRDefault="0090197C" w:rsidP="009C2266">
            <w:pPr>
              <w:spacing w:after="0" w:line="240" w:lineRule="auto"/>
              <w:rPr>
                <w:rFonts w:ascii="Garamond" w:hAnsi="Garamond"/>
                <w:sz w:val="20"/>
              </w:rPr>
            </w:pPr>
          </w:p>
        </w:tc>
        <w:tc>
          <w:tcPr>
            <w:tcW w:w="1479" w:type="dxa"/>
            <w:shd w:val="clear" w:color="000000" w:fill="auto"/>
          </w:tcPr>
          <w:p w14:paraId="439C8CD0" w14:textId="77777777" w:rsidR="0090197C" w:rsidRPr="00913E39" w:rsidRDefault="0090197C" w:rsidP="009C2266">
            <w:pPr>
              <w:spacing w:after="0" w:line="240" w:lineRule="auto"/>
              <w:rPr>
                <w:rFonts w:ascii="Garamond" w:hAnsi="Garamond"/>
                <w:sz w:val="20"/>
              </w:rPr>
            </w:pPr>
          </w:p>
        </w:tc>
        <w:tc>
          <w:tcPr>
            <w:tcW w:w="1259" w:type="dxa"/>
            <w:shd w:val="clear" w:color="000000" w:fill="auto"/>
            <w:vAlign w:val="center"/>
          </w:tcPr>
          <w:p w14:paraId="67D2D569" w14:textId="77777777" w:rsidR="0090197C" w:rsidRPr="00913E39" w:rsidRDefault="0090197C" w:rsidP="009C2266">
            <w:pPr>
              <w:spacing w:after="0" w:line="240" w:lineRule="auto"/>
              <w:rPr>
                <w:rFonts w:ascii="Garamond" w:hAnsi="Garamond"/>
                <w:sz w:val="20"/>
              </w:rPr>
            </w:pPr>
          </w:p>
        </w:tc>
        <w:tc>
          <w:tcPr>
            <w:tcW w:w="1419" w:type="dxa"/>
            <w:shd w:val="clear" w:color="000000" w:fill="auto"/>
          </w:tcPr>
          <w:p w14:paraId="1E5212C9" w14:textId="77777777" w:rsidR="0090197C" w:rsidRPr="00913E39" w:rsidRDefault="0090197C" w:rsidP="009C2266">
            <w:pPr>
              <w:spacing w:after="0" w:line="240" w:lineRule="auto"/>
              <w:rPr>
                <w:rFonts w:ascii="Garamond" w:hAnsi="Garamond"/>
                <w:sz w:val="20"/>
              </w:rPr>
            </w:pPr>
          </w:p>
        </w:tc>
        <w:tc>
          <w:tcPr>
            <w:tcW w:w="1479" w:type="dxa"/>
            <w:shd w:val="clear" w:color="000000" w:fill="auto"/>
            <w:vAlign w:val="center"/>
          </w:tcPr>
          <w:p w14:paraId="4DA7633D" w14:textId="77777777" w:rsidR="0090197C" w:rsidRPr="00913E39" w:rsidRDefault="0090197C" w:rsidP="009C2266">
            <w:pPr>
              <w:spacing w:after="0" w:line="240" w:lineRule="auto"/>
              <w:rPr>
                <w:rFonts w:ascii="Garamond" w:hAnsi="Garamond"/>
                <w:sz w:val="20"/>
              </w:rPr>
            </w:pPr>
          </w:p>
        </w:tc>
        <w:tc>
          <w:tcPr>
            <w:tcW w:w="1421" w:type="dxa"/>
            <w:shd w:val="clear" w:color="000000" w:fill="auto"/>
          </w:tcPr>
          <w:p w14:paraId="2996FA2C" w14:textId="77777777" w:rsidR="0090197C" w:rsidRPr="00913E39" w:rsidRDefault="0090197C" w:rsidP="009C2266">
            <w:pPr>
              <w:spacing w:after="0" w:line="240" w:lineRule="auto"/>
              <w:rPr>
                <w:rFonts w:ascii="Garamond" w:hAnsi="Garamond"/>
                <w:sz w:val="20"/>
              </w:rPr>
            </w:pPr>
          </w:p>
        </w:tc>
      </w:tr>
      <w:tr w:rsidR="0090197C" w:rsidRPr="00913E39" w14:paraId="57F05562" w14:textId="77777777" w:rsidTr="009C2266">
        <w:trPr>
          <w:trHeight w:val="113"/>
        </w:trPr>
        <w:tc>
          <w:tcPr>
            <w:tcW w:w="1099" w:type="dxa"/>
            <w:shd w:val="clear" w:color="000000" w:fill="auto"/>
            <w:vAlign w:val="center"/>
          </w:tcPr>
          <w:p w14:paraId="74367454"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w:t>
            </w:r>
          </w:p>
        </w:tc>
        <w:tc>
          <w:tcPr>
            <w:tcW w:w="1161" w:type="dxa"/>
            <w:shd w:val="clear" w:color="000000" w:fill="auto"/>
          </w:tcPr>
          <w:p w14:paraId="6819A297" w14:textId="77777777" w:rsidR="0090197C" w:rsidRPr="00913E39" w:rsidRDefault="0090197C" w:rsidP="009C2266">
            <w:pPr>
              <w:spacing w:after="0" w:line="240" w:lineRule="auto"/>
              <w:rPr>
                <w:rFonts w:ascii="Garamond" w:hAnsi="Garamond"/>
                <w:sz w:val="20"/>
                <w:szCs w:val="24"/>
              </w:rPr>
            </w:pPr>
          </w:p>
        </w:tc>
        <w:tc>
          <w:tcPr>
            <w:tcW w:w="1479" w:type="dxa"/>
            <w:shd w:val="clear" w:color="000000" w:fill="auto"/>
          </w:tcPr>
          <w:p w14:paraId="3A7F603C" w14:textId="77777777" w:rsidR="0090197C" w:rsidRPr="00913E39" w:rsidRDefault="0090197C" w:rsidP="009C2266">
            <w:pPr>
              <w:spacing w:after="0" w:line="240" w:lineRule="auto"/>
              <w:rPr>
                <w:rFonts w:ascii="Garamond" w:hAnsi="Garamond"/>
                <w:sz w:val="20"/>
                <w:szCs w:val="24"/>
              </w:rPr>
            </w:pPr>
          </w:p>
        </w:tc>
        <w:tc>
          <w:tcPr>
            <w:tcW w:w="1259" w:type="dxa"/>
            <w:shd w:val="clear" w:color="000000" w:fill="auto"/>
            <w:vAlign w:val="center"/>
          </w:tcPr>
          <w:p w14:paraId="439BAE6B"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w:t>
            </w:r>
          </w:p>
        </w:tc>
        <w:tc>
          <w:tcPr>
            <w:tcW w:w="1419" w:type="dxa"/>
            <w:shd w:val="clear" w:color="000000" w:fill="auto"/>
          </w:tcPr>
          <w:p w14:paraId="467F29CB" w14:textId="77777777" w:rsidR="0090197C" w:rsidRPr="00913E39" w:rsidRDefault="0090197C" w:rsidP="009C2266">
            <w:pPr>
              <w:spacing w:after="0" w:line="240" w:lineRule="auto"/>
              <w:rPr>
                <w:rFonts w:ascii="Garamond" w:hAnsi="Garamond"/>
                <w:sz w:val="20"/>
                <w:szCs w:val="24"/>
              </w:rPr>
            </w:pPr>
          </w:p>
        </w:tc>
        <w:tc>
          <w:tcPr>
            <w:tcW w:w="1479" w:type="dxa"/>
            <w:shd w:val="clear" w:color="000000" w:fill="auto"/>
            <w:vAlign w:val="center"/>
          </w:tcPr>
          <w:p w14:paraId="1773324E"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w:t>
            </w:r>
          </w:p>
        </w:tc>
        <w:tc>
          <w:tcPr>
            <w:tcW w:w="1421" w:type="dxa"/>
            <w:shd w:val="clear" w:color="000000" w:fill="auto"/>
          </w:tcPr>
          <w:p w14:paraId="395DA0D8" w14:textId="77777777" w:rsidR="0090197C" w:rsidRPr="00913E39" w:rsidRDefault="0090197C" w:rsidP="009C2266">
            <w:pPr>
              <w:spacing w:after="0" w:line="240" w:lineRule="auto"/>
              <w:rPr>
                <w:rFonts w:ascii="Garamond" w:hAnsi="Garamond"/>
                <w:sz w:val="20"/>
                <w:szCs w:val="24"/>
              </w:rPr>
            </w:pPr>
          </w:p>
        </w:tc>
      </w:tr>
    </w:tbl>
    <w:p w14:paraId="564E814A" w14:textId="77777777" w:rsidR="00AB2B27" w:rsidRPr="00913E39" w:rsidRDefault="00AB2B27" w:rsidP="00E8580A">
      <w:pPr>
        <w:pStyle w:val="Heading1"/>
        <w:spacing w:before="0" w:after="0"/>
        <w:ind w:firstLine="284"/>
        <w:jc w:val="both"/>
        <w:rPr>
          <w:rFonts w:ascii="Garamond" w:hAnsi="Garamond"/>
          <w:sz w:val="24"/>
          <w:lang w:val="sq-AL"/>
        </w:rPr>
      </w:pPr>
    </w:p>
    <w:p w14:paraId="3A08856A" w14:textId="121A4A1C" w:rsidR="0090197C" w:rsidRPr="00913E39" w:rsidRDefault="0090197C" w:rsidP="00E8580A">
      <w:pPr>
        <w:pStyle w:val="Heading1"/>
        <w:spacing w:before="0" w:after="0"/>
        <w:ind w:firstLine="284"/>
        <w:jc w:val="both"/>
        <w:rPr>
          <w:rFonts w:ascii="Garamond" w:hAnsi="Garamond"/>
          <w:sz w:val="24"/>
          <w:lang w:val="sq-AL"/>
        </w:rPr>
      </w:pPr>
      <w:r w:rsidRPr="00913E39">
        <w:rPr>
          <w:rFonts w:ascii="Garamond" w:hAnsi="Garamond"/>
          <w:sz w:val="24"/>
          <w:lang w:val="sq-AL"/>
        </w:rPr>
        <w:t xml:space="preserve">6. Ndjeshmëria dhe </w:t>
      </w:r>
      <w:r w:rsidR="001E7BC5" w:rsidRPr="00913E39">
        <w:rPr>
          <w:rFonts w:ascii="Garamond" w:hAnsi="Garamond"/>
          <w:sz w:val="24"/>
          <w:lang w:val="sq-AL"/>
        </w:rPr>
        <w:t>an</w:t>
      </w:r>
      <w:r w:rsidRPr="00913E39">
        <w:rPr>
          <w:rFonts w:ascii="Garamond" w:hAnsi="Garamond"/>
          <w:sz w:val="24"/>
          <w:lang w:val="sq-AL"/>
        </w:rPr>
        <w:t>aliza e riskut</w:t>
      </w:r>
    </w:p>
    <w:p w14:paraId="73F3142A" w14:textId="77777777" w:rsidR="0090197C" w:rsidRPr="00913E39" w:rsidRDefault="0090197C" w:rsidP="00E8580A">
      <w:pPr>
        <w:pStyle w:val="Heading2"/>
        <w:spacing w:before="0" w:after="0"/>
        <w:ind w:firstLine="284"/>
        <w:jc w:val="both"/>
        <w:rPr>
          <w:rFonts w:ascii="Garamond" w:hAnsi="Garamond"/>
          <w:b w:val="0"/>
          <w:sz w:val="24"/>
          <w:lang w:val="sq-AL"/>
        </w:rPr>
      </w:pPr>
      <w:r w:rsidRPr="00913E39">
        <w:rPr>
          <w:rFonts w:ascii="Garamond" w:hAnsi="Garamond"/>
          <w:b w:val="0"/>
          <w:sz w:val="24"/>
          <w:lang w:val="sq-AL"/>
        </w:rPr>
        <w:t>6.1 Analiza e riskut</w:t>
      </w:r>
    </w:p>
    <w:p w14:paraId="4F59753C" w14:textId="77777777" w:rsidR="0090197C" w:rsidRPr="00913E39" w:rsidRDefault="0090197C" w:rsidP="00E8580A">
      <w:pPr>
        <w:spacing w:after="0" w:line="240" w:lineRule="auto"/>
        <w:ind w:firstLine="284"/>
        <w:jc w:val="both"/>
        <w:rPr>
          <w:rFonts w:ascii="Garamond" w:hAnsi="Garamond"/>
          <w:i/>
          <w:sz w:val="24"/>
          <w:szCs w:val="24"/>
        </w:rPr>
      </w:pPr>
      <w:r w:rsidRPr="00913E39">
        <w:rPr>
          <w:rFonts w:ascii="Garamond" w:hAnsi="Garamond"/>
          <w:i/>
          <w:sz w:val="24"/>
          <w:szCs w:val="24"/>
        </w:rPr>
        <w:t>6.1.1 Ndjeshmëria e rezultateve të CBA</w:t>
      </w:r>
    </w:p>
    <w:p w14:paraId="35F360E1" w14:textId="77777777" w:rsidR="0090197C" w:rsidRPr="00913E39" w:rsidRDefault="0090197C" w:rsidP="00E8580A">
      <w:pPr>
        <w:pStyle w:val="StyleListNumberLevel2Left125cmFirstline0cm"/>
        <w:spacing w:before="0"/>
        <w:ind w:left="0" w:firstLine="284"/>
        <w:rPr>
          <w:rFonts w:ascii="Garamond" w:hAnsi="Garamond"/>
          <w:szCs w:val="24"/>
        </w:rPr>
      </w:pPr>
      <w:r w:rsidRPr="00913E39">
        <w:rPr>
          <w:rFonts w:ascii="Garamond" w:hAnsi="Garamond"/>
          <w:szCs w:val="24"/>
        </w:rPr>
        <w:t xml:space="preserve">a) Tregoni ndryshimin e përqindjes të aplikuar për variablet e testuara: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8"/>
        <w:gridCol w:w="3439"/>
      </w:tblGrid>
      <w:tr w:rsidR="0090197C" w:rsidRPr="00913E39" w14:paraId="1E50C517" w14:textId="77777777" w:rsidTr="009C2266">
        <w:trPr>
          <w:trHeight w:val="300"/>
        </w:trPr>
        <w:tc>
          <w:tcPr>
            <w:tcW w:w="4278" w:type="dxa"/>
            <w:shd w:val="clear" w:color="000000" w:fill="auto"/>
          </w:tcPr>
          <w:p w14:paraId="54D868A9" w14:textId="77777777" w:rsidR="0090197C" w:rsidRPr="00913E39" w:rsidRDefault="0090197C" w:rsidP="009C2266">
            <w:pPr>
              <w:spacing w:after="0" w:line="240" w:lineRule="auto"/>
              <w:rPr>
                <w:rFonts w:ascii="Garamond" w:hAnsi="Garamond"/>
                <w:b/>
                <w:bCs/>
                <w:sz w:val="20"/>
                <w:szCs w:val="24"/>
              </w:rPr>
            </w:pPr>
            <w:r w:rsidRPr="00913E39">
              <w:rPr>
                <w:rFonts w:ascii="Garamond" w:hAnsi="Garamond"/>
                <w:b/>
                <w:sz w:val="20"/>
                <w:szCs w:val="24"/>
              </w:rPr>
              <w:t>Variablet e testuara</w:t>
            </w:r>
          </w:p>
        </w:tc>
        <w:tc>
          <w:tcPr>
            <w:tcW w:w="3439" w:type="dxa"/>
            <w:shd w:val="clear" w:color="000000" w:fill="auto"/>
          </w:tcPr>
          <w:p w14:paraId="0D33FBD5" w14:textId="77777777" w:rsidR="0090197C" w:rsidRPr="00913E39" w:rsidRDefault="0090197C" w:rsidP="009C2266">
            <w:pPr>
              <w:spacing w:after="0" w:line="240" w:lineRule="auto"/>
              <w:rPr>
                <w:rFonts w:ascii="Garamond" w:hAnsi="Garamond"/>
                <w:b/>
                <w:sz w:val="20"/>
                <w:szCs w:val="24"/>
              </w:rPr>
            </w:pPr>
            <w:r w:rsidRPr="00913E39">
              <w:rPr>
                <w:rFonts w:ascii="Garamond" w:hAnsi="Garamond"/>
                <w:b/>
                <w:sz w:val="20"/>
                <w:szCs w:val="24"/>
              </w:rPr>
              <w:t xml:space="preserve">ndryshimi i aplikuar në përqindje </w:t>
            </w:r>
          </w:p>
        </w:tc>
      </w:tr>
      <w:tr w:rsidR="0090197C" w:rsidRPr="00913E39" w14:paraId="7C34B127" w14:textId="77777777" w:rsidTr="001E7BC5">
        <w:trPr>
          <w:trHeight w:val="50"/>
        </w:trPr>
        <w:tc>
          <w:tcPr>
            <w:tcW w:w="4278" w:type="dxa"/>
            <w:shd w:val="clear" w:color="000000" w:fill="auto"/>
            <w:vAlign w:val="bottom"/>
          </w:tcPr>
          <w:p w14:paraId="1BA5CB5D"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Investimi</w:t>
            </w:r>
          </w:p>
        </w:tc>
        <w:tc>
          <w:tcPr>
            <w:tcW w:w="3439" w:type="dxa"/>
            <w:shd w:val="clear" w:color="000000" w:fill="auto"/>
          </w:tcPr>
          <w:p w14:paraId="4277779E" w14:textId="77777777" w:rsidR="0090197C" w:rsidRPr="00913E39" w:rsidRDefault="0090197C" w:rsidP="009C2266">
            <w:pPr>
              <w:spacing w:after="0" w:line="240" w:lineRule="auto"/>
              <w:rPr>
                <w:rFonts w:ascii="Garamond" w:hAnsi="Garamond"/>
                <w:sz w:val="20"/>
              </w:rPr>
            </w:pPr>
          </w:p>
        </w:tc>
      </w:tr>
      <w:tr w:rsidR="0090197C" w:rsidRPr="00913E39" w14:paraId="7F4A004C" w14:textId="77777777" w:rsidTr="009C2266">
        <w:trPr>
          <w:trHeight w:val="178"/>
        </w:trPr>
        <w:tc>
          <w:tcPr>
            <w:tcW w:w="4278" w:type="dxa"/>
            <w:shd w:val="clear" w:color="000000" w:fill="auto"/>
            <w:vAlign w:val="bottom"/>
          </w:tcPr>
          <w:p w14:paraId="0C7D0D52"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O&amp;M</w:t>
            </w:r>
          </w:p>
        </w:tc>
        <w:tc>
          <w:tcPr>
            <w:tcW w:w="3439" w:type="dxa"/>
            <w:shd w:val="clear" w:color="000000" w:fill="auto"/>
          </w:tcPr>
          <w:p w14:paraId="3474C8D9" w14:textId="77777777" w:rsidR="0090197C" w:rsidRPr="00913E39" w:rsidRDefault="0090197C" w:rsidP="009C2266">
            <w:pPr>
              <w:spacing w:after="0" w:line="240" w:lineRule="auto"/>
              <w:rPr>
                <w:rFonts w:ascii="Garamond" w:hAnsi="Garamond"/>
                <w:sz w:val="20"/>
              </w:rPr>
            </w:pPr>
          </w:p>
        </w:tc>
      </w:tr>
    </w:tbl>
    <w:p w14:paraId="54FA7126" w14:textId="77777777" w:rsidR="0090197C" w:rsidRPr="00913E39" w:rsidRDefault="0090197C" w:rsidP="00E8580A">
      <w:pPr>
        <w:pStyle w:val="StyleListNumberLevel2Left125cmFirstline0cm"/>
        <w:spacing w:before="0"/>
        <w:ind w:left="0" w:firstLine="284"/>
        <w:rPr>
          <w:rFonts w:ascii="Garamond" w:hAnsi="Garamond"/>
          <w:szCs w:val="24"/>
        </w:rPr>
      </w:pPr>
      <w:r w:rsidRPr="00913E39">
        <w:rPr>
          <w:rFonts w:ascii="Garamond" w:hAnsi="Garamond"/>
          <w:szCs w:val="24"/>
        </w:rPr>
        <w:lastRenderedPageBreak/>
        <w:t>b) Tregoni efektin e përllogaritur mbi rezultatet e indekseve të performancës financiare dhe ekonomike.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5"/>
        <w:gridCol w:w="1164"/>
        <w:gridCol w:w="1364"/>
        <w:gridCol w:w="1585"/>
        <w:gridCol w:w="1687"/>
      </w:tblGrid>
      <w:tr w:rsidR="0090197C" w:rsidRPr="00913E39" w14:paraId="6143A5F5" w14:textId="77777777" w:rsidTr="009C2266">
        <w:tc>
          <w:tcPr>
            <w:tcW w:w="1595" w:type="dxa"/>
            <w:shd w:val="clear" w:color="000000" w:fill="auto"/>
          </w:tcPr>
          <w:p w14:paraId="26D39D4B" w14:textId="77777777" w:rsidR="0090197C" w:rsidRPr="00913E39" w:rsidRDefault="0090197C" w:rsidP="009C2266">
            <w:pPr>
              <w:spacing w:after="0" w:line="240" w:lineRule="auto"/>
              <w:rPr>
                <w:rFonts w:ascii="Garamond" w:hAnsi="Garamond"/>
                <w:b/>
                <w:bCs/>
                <w:sz w:val="20"/>
                <w:szCs w:val="24"/>
              </w:rPr>
            </w:pPr>
            <w:r w:rsidRPr="00913E39">
              <w:rPr>
                <w:rFonts w:ascii="Garamond" w:hAnsi="Garamond"/>
                <w:b/>
                <w:sz w:val="20"/>
                <w:szCs w:val="24"/>
              </w:rPr>
              <w:t>Variablet e testuara</w:t>
            </w:r>
          </w:p>
        </w:tc>
        <w:tc>
          <w:tcPr>
            <w:tcW w:w="1164" w:type="dxa"/>
            <w:shd w:val="clear" w:color="000000" w:fill="auto"/>
          </w:tcPr>
          <w:p w14:paraId="1F45FB99"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sz w:val="20"/>
                <w:szCs w:val="24"/>
              </w:rPr>
              <w:t>Variacioni Norma e kthimit financiar</w:t>
            </w:r>
          </w:p>
        </w:tc>
        <w:tc>
          <w:tcPr>
            <w:tcW w:w="1364" w:type="dxa"/>
            <w:shd w:val="clear" w:color="000000" w:fill="auto"/>
          </w:tcPr>
          <w:p w14:paraId="5AD1DCA5"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sz w:val="20"/>
                <w:szCs w:val="24"/>
              </w:rPr>
              <w:t>Variacioni Vlera financiare aktuale neto</w:t>
            </w:r>
          </w:p>
        </w:tc>
        <w:tc>
          <w:tcPr>
            <w:tcW w:w="1585" w:type="dxa"/>
            <w:shd w:val="clear" w:color="000000" w:fill="auto"/>
          </w:tcPr>
          <w:p w14:paraId="400A8B65" w14:textId="77777777"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sz w:val="20"/>
                <w:szCs w:val="24"/>
              </w:rPr>
              <w:t xml:space="preserve">Variacioni Norma e kthimit ekonomik </w:t>
            </w:r>
          </w:p>
        </w:tc>
        <w:tc>
          <w:tcPr>
            <w:tcW w:w="1687" w:type="dxa"/>
            <w:shd w:val="clear" w:color="000000" w:fill="auto"/>
          </w:tcPr>
          <w:p w14:paraId="0A191A3C" w14:textId="77777777" w:rsidR="00AB2B27" w:rsidRPr="00913E39" w:rsidRDefault="0090197C" w:rsidP="009C2266">
            <w:pPr>
              <w:spacing w:after="0" w:line="240" w:lineRule="auto"/>
              <w:jc w:val="center"/>
              <w:rPr>
                <w:rFonts w:ascii="Garamond" w:hAnsi="Garamond"/>
                <w:b/>
                <w:sz w:val="20"/>
                <w:szCs w:val="24"/>
              </w:rPr>
            </w:pPr>
            <w:r w:rsidRPr="00913E39">
              <w:rPr>
                <w:rFonts w:ascii="Garamond" w:hAnsi="Garamond"/>
                <w:b/>
                <w:sz w:val="20"/>
                <w:szCs w:val="24"/>
              </w:rPr>
              <w:t xml:space="preserve">Variacion </w:t>
            </w:r>
          </w:p>
          <w:p w14:paraId="6F927948" w14:textId="7AAE41A4" w:rsidR="0090197C" w:rsidRPr="00913E39" w:rsidRDefault="0090197C" w:rsidP="009C2266">
            <w:pPr>
              <w:spacing w:after="0" w:line="240" w:lineRule="auto"/>
              <w:jc w:val="center"/>
              <w:rPr>
                <w:rFonts w:ascii="Garamond" w:hAnsi="Garamond"/>
                <w:b/>
                <w:bCs/>
                <w:sz w:val="20"/>
                <w:szCs w:val="24"/>
              </w:rPr>
            </w:pPr>
            <w:r w:rsidRPr="00913E39">
              <w:rPr>
                <w:rFonts w:ascii="Garamond" w:hAnsi="Garamond"/>
                <w:b/>
                <w:sz w:val="20"/>
                <w:szCs w:val="24"/>
              </w:rPr>
              <w:t>Vlera ekonomike aktuale neto</w:t>
            </w:r>
          </w:p>
        </w:tc>
      </w:tr>
      <w:tr w:rsidR="0090197C" w:rsidRPr="00913E39" w14:paraId="7BD5A445" w14:textId="77777777" w:rsidTr="009C2266">
        <w:tc>
          <w:tcPr>
            <w:tcW w:w="1595" w:type="dxa"/>
            <w:shd w:val="clear" w:color="000000" w:fill="auto"/>
            <w:vAlign w:val="bottom"/>
          </w:tcPr>
          <w:p w14:paraId="7B4289EF" w14:textId="77777777" w:rsidR="0090197C" w:rsidRPr="00913E39" w:rsidRDefault="0090197C" w:rsidP="009C2266">
            <w:pPr>
              <w:spacing w:after="0" w:line="240" w:lineRule="auto"/>
              <w:rPr>
                <w:rFonts w:ascii="Garamond" w:hAnsi="Garamond"/>
                <w:sz w:val="20"/>
              </w:rPr>
            </w:pPr>
          </w:p>
        </w:tc>
        <w:tc>
          <w:tcPr>
            <w:tcW w:w="1164" w:type="dxa"/>
            <w:shd w:val="clear" w:color="000000" w:fill="auto"/>
            <w:vAlign w:val="bottom"/>
          </w:tcPr>
          <w:p w14:paraId="42B27F2C" w14:textId="77777777" w:rsidR="0090197C" w:rsidRPr="00913E39" w:rsidRDefault="0090197C" w:rsidP="009C2266">
            <w:pPr>
              <w:spacing w:after="0" w:line="240" w:lineRule="auto"/>
              <w:jc w:val="center"/>
              <w:rPr>
                <w:rFonts w:ascii="Garamond" w:hAnsi="Garamond"/>
                <w:sz w:val="20"/>
              </w:rPr>
            </w:pPr>
          </w:p>
        </w:tc>
        <w:tc>
          <w:tcPr>
            <w:tcW w:w="1364" w:type="dxa"/>
            <w:shd w:val="clear" w:color="000000" w:fill="auto"/>
          </w:tcPr>
          <w:p w14:paraId="54C5A3CF" w14:textId="77777777" w:rsidR="0090197C" w:rsidRPr="00913E39" w:rsidRDefault="0090197C" w:rsidP="009C2266">
            <w:pPr>
              <w:spacing w:after="0" w:line="240" w:lineRule="auto"/>
              <w:jc w:val="center"/>
              <w:rPr>
                <w:rFonts w:ascii="Garamond" w:hAnsi="Garamond"/>
                <w:sz w:val="20"/>
                <w:szCs w:val="24"/>
              </w:rPr>
            </w:pPr>
          </w:p>
        </w:tc>
        <w:tc>
          <w:tcPr>
            <w:tcW w:w="1585" w:type="dxa"/>
            <w:shd w:val="clear" w:color="000000" w:fill="auto"/>
          </w:tcPr>
          <w:p w14:paraId="3D2A1A76" w14:textId="77777777" w:rsidR="0090197C" w:rsidRPr="00913E39" w:rsidRDefault="0090197C" w:rsidP="009C2266">
            <w:pPr>
              <w:spacing w:after="0" w:line="240" w:lineRule="auto"/>
              <w:jc w:val="center"/>
              <w:rPr>
                <w:rFonts w:ascii="Garamond" w:hAnsi="Garamond"/>
                <w:sz w:val="20"/>
                <w:szCs w:val="24"/>
              </w:rPr>
            </w:pPr>
          </w:p>
        </w:tc>
        <w:tc>
          <w:tcPr>
            <w:tcW w:w="1687" w:type="dxa"/>
            <w:shd w:val="clear" w:color="000000" w:fill="auto"/>
          </w:tcPr>
          <w:p w14:paraId="1345E7AD" w14:textId="77777777" w:rsidR="0090197C" w:rsidRPr="00913E39" w:rsidRDefault="0090197C" w:rsidP="009C2266">
            <w:pPr>
              <w:spacing w:after="0" w:line="240" w:lineRule="auto"/>
              <w:jc w:val="center"/>
              <w:rPr>
                <w:rFonts w:ascii="Garamond" w:hAnsi="Garamond"/>
                <w:sz w:val="20"/>
              </w:rPr>
            </w:pPr>
          </w:p>
        </w:tc>
      </w:tr>
      <w:tr w:rsidR="0090197C" w:rsidRPr="00913E39" w14:paraId="6B9EDE27" w14:textId="77777777" w:rsidTr="009C2266">
        <w:tc>
          <w:tcPr>
            <w:tcW w:w="1595" w:type="dxa"/>
            <w:shd w:val="clear" w:color="000000" w:fill="auto"/>
            <w:vAlign w:val="bottom"/>
          </w:tcPr>
          <w:p w14:paraId="4E0BF5C2" w14:textId="77777777" w:rsidR="0090197C" w:rsidRPr="00913E39" w:rsidRDefault="0090197C" w:rsidP="009C2266">
            <w:pPr>
              <w:spacing w:after="0" w:line="240" w:lineRule="auto"/>
              <w:rPr>
                <w:rFonts w:ascii="Garamond" w:hAnsi="Garamond"/>
                <w:sz w:val="20"/>
              </w:rPr>
            </w:pPr>
          </w:p>
        </w:tc>
        <w:tc>
          <w:tcPr>
            <w:tcW w:w="1164" w:type="dxa"/>
            <w:shd w:val="clear" w:color="000000" w:fill="auto"/>
            <w:vAlign w:val="bottom"/>
          </w:tcPr>
          <w:p w14:paraId="3BDFF5B5" w14:textId="77777777" w:rsidR="0090197C" w:rsidRPr="00913E39" w:rsidRDefault="0090197C" w:rsidP="009C2266">
            <w:pPr>
              <w:spacing w:after="0" w:line="240" w:lineRule="auto"/>
              <w:jc w:val="center"/>
              <w:rPr>
                <w:rFonts w:ascii="Garamond" w:hAnsi="Garamond"/>
                <w:sz w:val="20"/>
              </w:rPr>
            </w:pPr>
          </w:p>
        </w:tc>
        <w:tc>
          <w:tcPr>
            <w:tcW w:w="1364" w:type="dxa"/>
            <w:shd w:val="clear" w:color="000000" w:fill="auto"/>
          </w:tcPr>
          <w:p w14:paraId="19E1FF9E" w14:textId="77777777" w:rsidR="0090197C" w:rsidRPr="00913E39" w:rsidRDefault="0090197C" w:rsidP="009C2266">
            <w:pPr>
              <w:spacing w:after="0" w:line="240" w:lineRule="auto"/>
              <w:jc w:val="center"/>
              <w:rPr>
                <w:rFonts w:ascii="Garamond" w:hAnsi="Garamond"/>
                <w:sz w:val="20"/>
                <w:szCs w:val="24"/>
              </w:rPr>
            </w:pPr>
          </w:p>
        </w:tc>
        <w:tc>
          <w:tcPr>
            <w:tcW w:w="1585" w:type="dxa"/>
            <w:shd w:val="clear" w:color="000000" w:fill="auto"/>
          </w:tcPr>
          <w:p w14:paraId="0E18023B" w14:textId="77777777" w:rsidR="0090197C" w:rsidRPr="00913E39" w:rsidRDefault="0090197C" w:rsidP="009C2266">
            <w:pPr>
              <w:spacing w:after="0" w:line="240" w:lineRule="auto"/>
              <w:jc w:val="center"/>
              <w:rPr>
                <w:rFonts w:ascii="Garamond" w:hAnsi="Garamond"/>
                <w:sz w:val="20"/>
                <w:szCs w:val="24"/>
              </w:rPr>
            </w:pPr>
          </w:p>
        </w:tc>
        <w:tc>
          <w:tcPr>
            <w:tcW w:w="1687" w:type="dxa"/>
            <w:shd w:val="clear" w:color="000000" w:fill="auto"/>
          </w:tcPr>
          <w:p w14:paraId="4A1A3CE4" w14:textId="77777777" w:rsidR="0090197C" w:rsidRPr="00913E39" w:rsidRDefault="0090197C" w:rsidP="009C2266">
            <w:pPr>
              <w:spacing w:after="0" w:line="240" w:lineRule="auto"/>
              <w:jc w:val="center"/>
              <w:rPr>
                <w:rFonts w:ascii="Garamond" w:hAnsi="Garamond"/>
                <w:sz w:val="20"/>
              </w:rPr>
            </w:pPr>
          </w:p>
        </w:tc>
      </w:tr>
    </w:tbl>
    <w:p w14:paraId="48BD6A84" w14:textId="77777777" w:rsidR="0090197C" w:rsidRPr="00913E39" w:rsidRDefault="0090197C" w:rsidP="001E7BC5">
      <w:pPr>
        <w:pStyle w:val="StyleListNumberLevel2Left125cmFirstline0cm"/>
        <w:spacing w:before="0"/>
        <w:ind w:left="0" w:firstLine="284"/>
        <w:rPr>
          <w:rFonts w:ascii="Garamond" w:hAnsi="Garamond"/>
          <w:szCs w:val="24"/>
        </w:rPr>
      </w:pPr>
      <w:r w:rsidRPr="00913E39">
        <w:rPr>
          <w:rFonts w:ascii="Garamond" w:hAnsi="Garamond"/>
          <w:szCs w:val="24"/>
        </w:rPr>
        <w:t>c) Variable kritike</w:t>
      </w:r>
    </w:p>
    <w:p w14:paraId="25AC169B" w14:textId="77777777" w:rsidR="0090197C" w:rsidRPr="00913E39" w:rsidRDefault="0090197C" w:rsidP="001E7BC5">
      <w:pPr>
        <w:pStyle w:val="StyleListNumberLevel2Left125cmFirstline0cm"/>
        <w:spacing w:before="0"/>
        <w:ind w:left="0" w:firstLine="284"/>
        <w:rPr>
          <w:rFonts w:ascii="Garamond" w:hAnsi="Garamond"/>
          <w:szCs w:val="24"/>
        </w:rPr>
      </w:pPr>
      <w:r w:rsidRPr="00913E39">
        <w:rPr>
          <w:rFonts w:ascii="Garamond" w:hAnsi="Garamond"/>
          <w:szCs w:val="24"/>
        </w:rPr>
        <w:t>- Përcaktoni cilat variable janë identifikuar si variable kritike</w:t>
      </w:r>
    </w:p>
    <w:p w14:paraId="55EC0B2E" w14:textId="77777777" w:rsidR="0090197C" w:rsidRPr="00913E39" w:rsidRDefault="0090197C" w:rsidP="001E7BC5">
      <w:pPr>
        <w:pStyle w:val="StyleListNumberLevel2Left125cmFirstline0cm"/>
        <w:spacing w:before="0"/>
        <w:ind w:left="0" w:firstLine="284"/>
        <w:rPr>
          <w:rFonts w:ascii="Garamond" w:hAnsi="Garamond"/>
          <w:szCs w:val="24"/>
        </w:rPr>
      </w:pPr>
      <w:r w:rsidRPr="00913E39">
        <w:rPr>
          <w:rFonts w:ascii="Garamond" w:hAnsi="Garamond"/>
          <w:szCs w:val="24"/>
        </w:rPr>
        <w:t>- Tregoni cili kriter është zbatuar.</w:t>
      </w:r>
    </w:p>
    <w:p w14:paraId="5B75B981" w14:textId="77777777" w:rsidR="0090197C" w:rsidRPr="00913E39" w:rsidRDefault="0090197C" w:rsidP="001E7BC5">
      <w:pPr>
        <w:pStyle w:val="StyleListNumberLevel2Left125cmFirstline0cm"/>
        <w:spacing w:before="0"/>
        <w:ind w:left="0" w:firstLine="284"/>
        <w:rPr>
          <w:rFonts w:ascii="Garamond" w:hAnsi="Garamond"/>
          <w:szCs w:val="24"/>
        </w:rPr>
      </w:pPr>
      <w:r w:rsidRPr="00913E39">
        <w:rPr>
          <w:rFonts w:ascii="Garamond" w:hAnsi="Garamond"/>
          <w:szCs w:val="24"/>
        </w:rPr>
        <w:t>- përcaktoni vlerat kryesore të variableve kritikë</w:t>
      </w:r>
    </w:p>
    <w:p w14:paraId="4E5A62E1" w14:textId="77777777" w:rsidR="0090197C" w:rsidRPr="00913E39" w:rsidRDefault="0090197C" w:rsidP="001E7BC5">
      <w:pPr>
        <w:spacing w:after="0" w:line="240" w:lineRule="auto"/>
        <w:ind w:firstLine="284"/>
        <w:jc w:val="both"/>
        <w:rPr>
          <w:rFonts w:ascii="Garamond" w:hAnsi="Garamond"/>
          <w:i/>
          <w:sz w:val="24"/>
          <w:szCs w:val="24"/>
        </w:rPr>
      </w:pPr>
      <w:r w:rsidRPr="00913E39">
        <w:rPr>
          <w:rFonts w:ascii="Garamond" w:hAnsi="Garamond"/>
          <w:i/>
          <w:sz w:val="24"/>
          <w:szCs w:val="24"/>
        </w:rPr>
        <w:t>6.1.2 Analiza e riskut</w:t>
      </w:r>
    </w:p>
    <w:p w14:paraId="7C90237B" w14:textId="77777777" w:rsidR="0090197C" w:rsidRPr="00913E39" w:rsidRDefault="0090197C" w:rsidP="001E7BC5">
      <w:pPr>
        <w:spacing w:after="0" w:line="240" w:lineRule="auto"/>
        <w:ind w:firstLine="284"/>
        <w:jc w:val="both"/>
        <w:rPr>
          <w:rFonts w:ascii="Garamond" w:hAnsi="Garamond"/>
          <w:sz w:val="24"/>
          <w:szCs w:val="24"/>
        </w:rPr>
      </w:pPr>
      <w:r w:rsidRPr="00913E39">
        <w:rPr>
          <w:rFonts w:ascii="Garamond" w:hAnsi="Garamond"/>
          <w:sz w:val="24"/>
          <w:szCs w:val="24"/>
        </w:rPr>
        <w:t xml:space="preserve">Identifikoni risqet (duke përfshirë rreziqet mjedisore dhe ndryshimet klimatike), tregoni se çfarë lloj analize risku është kryer. </w:t>
      </w:r>
    </w:p>
    <w:tbl>
      <w:tblPr>
        <w:tblW w:w="921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305"/>
        <w:gridCol w:w="1417"/>
        <w:gridCol w:w="1275"/>
        <w:gridCol w:w="3516"/>
      </w:tblGrid>
      <w:tr w:rsidR="0090197C" w:rsidRPr="00913E39" w14:paraId="0078D30F" w14:textId="77777777" w:rsidTr="009C2266">
        <w:trPr>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tcPr>
          <w:p w14:paraId="40AE2C68" w14:textId="77777777" w:rsidR="0090197C" w:rsidRPr="00913E39" w:rsidRDefault="0090197C" w:rsidP="00AB2B27">
            <w:pPr>
              <w:spacing w:after="0" w:line="240" w:lineRule="auto"/>
              <w:jc w:val="center"/>
              <w:rPr>
                <w:rFonts w:ascii="Garamond" w:hAnsi="Garamond"/>
                <w:b/>
                <w:sz w:val="20"/>
                <w:szCs w:val="24"/>
              </w:rPr>
            </w:pPr>
            <w:r w:rsidRPr="00913E39">
              <w:rPr>
                <w:rFonts w:ascii="Garamond" w:hAnsi="Garamond"/>
                <w:b/>
                <w:sz w:val="20"/>
                <w:szCs w:val="24"/>
              </w:rPr>
              <w:t>Kategoria</w:t>
            </w:r>
          </w:p>
        </w:tc>
        <w:tc>
          <w:tcPr>
            <w:tcW w:w="1305" w:type="dxa"/>
            <w:tcBorders>
              <w:top w:val="single" w:sz="4" w:space="0" w:color="auto"/>
              <w:left w:val="single" w:sz="4" w:space="0" w:color="auto"/>
              <w:bottom w:val="single" w:sz="4" w:space="0" w:color="auto"/>
              <w:right w:val="single" w:sz="4" w:space="0" w:color="auto"/>
            </w:tcBorders>
          </w:tcPr>
          <w:p w14:paraId="74EA5C08" w14:textId="77777777" w:rsidR="0090197C" w:rsidRPr="00913E39" w:rsidRDefault="0090197C" w:rsidP="00AB2B27">
            <w:pPr>
              <w:spacing w:after="0" w:line="240" w:lineRule="auto"/>
              <w:jc w:val="center"/>
              <w:rPr>
                <w:rFonts w:ascii="Garamond" w:hAnsi="Garamond"/>
                <w:b/>
                <w:sz w:val="20"/>
                <w:szCs w:val="24"/>
              </w:rPr>
            </w:pPr>
            <w:r w:rsidRPr="00913E39">
              <w:rPr>
                <w:rFonts w:ascii="Garamond" w:hAnsi="Garamond"/>
                <w:b/>
                <w:sz w:val="20"/>
                <w:szCs w:val="24"/>
              </w:rPr>
              <w:t>Risqet</w:t>
            </w:r>
          </w:p>
        </w:tc>
        <w:tc>
          <w:tcPr>
            <w:tcW w:w="1417" w:type="dxa"/>
            <w:tcBorders>
              <w:top w:val="single" w:sz="4" w:space="0" w:color="auto"/>
              <w:left w:val="single" w:sz="4" w:space="0" w:color="auto"/>
              <w:bottom w:val="single" w:sz="4" w:space="0" w:color="auto"/>
              <w:right w:val="single" w:sz="4" w:space="0" w:color="auto"/>
            </w:tcBorders>
          </w:tcPr>
          <w:p w14:paraId="5DD99F55" w14:textId="77777777" w:rsidR="0090197C" w:rsidRPr="00913E39" w:rsidRDefault="0090197C" w:rsidP="00AB2B27">
            <w:pPr>
              <w:spacing w:after="0" w:line="240" w:lineRule="auto"/>
              <w:jc w:val="center"/>
              <w:rPr>
                <w:rFonts w:ascii="Garamond" w:hAnsi="Garamond"/>
                <w:b/>
                <w:sz w:val="20"/>
                <w:szCs w:val="24"/>
              </w:rPr>
            </w:pPr>
            <w:r w:rsidRPr="00913E39">
              <w:rPr>
                <w:rFonts w:ascii="Garamond" w:hAnsi="Garamond"/>
                <w:b/>
                <w:sz w:val="20"/>
                <w:szCs w:val="24"/>
              </w:rPr>
              <w:t>Probabiliteti</w:t>
            </w:r>
          </w:p>
          <w:p w14:paraId="00C2669C" w14:textId="048258FD" w:rsidR="0090197C" w:rsidRPr="00913E39" w:rsidRDefault="00AB2B27" w:rsidP="00AB2B27">
            <w:pPr>
              <w:spacing w:after="0" w:line="240" w:lineRule="auto"/>
              <w:jc w:val="center"/>
              <w:rPr>
                <w:rFonts w:ascii="Garamond" w:hAnsi="Garamond"/>
                <w:b/>
                <w:sz w:val="20"/>
                <w:szCs w:val="24"/>
              </w:rPr>
            </w:pPr>
            <w:r w:rsidRPr="00913E39">
              <w:rPr>
                <w:rFonts w:ascii="Garamond" w:hAnsi="Garamond"/>
                <w:b/>
                <w:sz w:val="20"/>
                <w:szCs w:val="24"/>
              </w:rPr>
              <w:t>(i lartë/</w:t>
            </w:r>
          </w:p>
          <w:p w14:paraId="3CE72346" w14:textId="6B38EC04" w:rsidR="0090197C" w:rsidRPr="00913E39" w:rsidRDefault="00AB2B27" w:rsidP="00AB2B27">
            <w:pPr>
              <w:spacing w:after="0" w:line="240" w:lineRule="auto"/>
              <w:jc w:val="center"/>
              <w:rPr>
                <w:rFonts w:ascii="Garamond" w:hAnsi="Garamond"/>
                <w:b/>
                <w:sz w:val="20"/>
                <w:szCs w:val="24"/>
              </w:rPr>
            </w:pPr>
            <w:r w:rsidRPr="00913E39">
              <w:rPr>
                <w:rFonts w:ascii="Garamond" w:hAnsi="Garamond"/>
                <w:b/>
                <w:sz w:val="20"/>
                <w:szCs w:val="24"/>
              </w:rPr>
              <w:t>i mesëm/</w:t>
            </w:r>
          </w:p>
          <w:p w14:paraId="0A40FB8B" w14:textId="3D16BF19" w:rsidR="0090197C" w:rsidRPr="00913E39" w:rsidRDefault="00AB2B27" w:rsidP="00AB2B27">
            <w:pPr>
              <w:spacing w:after="0" w:line="240" w:lineRule="auto"/>
              <w:jc w:val="center"/>
              <w:rPr>
                <w:rFonts w:ascii="Garamond" w:hAnsi="Garamond"/>
                <w:b/>
                <w:sz w:val="20"/>
                <w:szCs w:val="24"/>
              </w:rPr>
            </w:pPr>
            <w:r w:rsidRPr="00913E39">
              <w:rPr>
                <w:rFonts w:ascii="Garamond" w:hAnsi="Garamond"/>
                <w:b/>
                <w:sz w:val="20"/>
                <w:szCs w:val="24"/>
              </w:rPr>
              <w:t>i ulët)</w:t>
            </w:r>
          </w:p>
        </w:tc>
        <w:tc>
          <w:tcPr>
            <w:tcW w:w="1275" w:type="dxa"/>
            <w:tcBorders>
              <w:top w:val="single" w:sz="4" w:space="0" w:color="auto"/>
              <w:left w:val="single" w:sz="4" w:space="0" w:color="auto"/>
              <w:bottom w:val="single" w:sz="4" w:space="0" w:color="auto"/>
              <w:right w:val="single" w:sz="4" w:space="0" w:color="auto"/>
            </w:tcBorders>
          </w:tcPr>
          <w:p w14:paraId="79FEAA88" w14:textId="7DE77005" w:rsidR="0090197C" w:rsidRPr="00913E39" w:rsidRDefault="0090197C" w:rsidP="00AB2B27">
            <w:pPr>
              <w:spacing w:after="0" w:line="240" w:lineRule="auto"/>
              <w:jc w:val="center"/>
              <w:rPr>
                <w:rFonts w:ascii="Garamond" w:hAnsi="Garamond"/>
                <w:b/>
                <w:sz w:val="20"/>
                <w:szCs w:val="24"/>
              </w:rPr>
            </w:pPr>
            <w:r w:rsidRPr="00913E39">
              <w:rPr>
                <w:rFonts w:ascii="Garamond" w:hAnsi="Garamond"/>
                <w:b/>
                <w:sz w:val="20"/>
                <w:szCs w:val="24"/>
              </w:rPr>
              <w:t>Ndikimi</w:t>
            </w:r>
          </w:p>
          <w:p w14:paraId="39E11599" w14:textId="2AEB46CC" w:rsidR="0090197C" w:rsidRPr="00913E39" w:rsidRDefault="00AB2B27" w:rsidP="00AB2B27">
            <w:pPr>
              <w:spacing w:after="0" w:line="240" w:lineRule="auto"/>
              <w:jc w:val="center"/>
              <w:rPr>
                <w:rFonts w:ascii="Garamond" w:hAnsi="Garamond"/>
                <w:b/>
                <w:sz w:val="20"/>
                <w:szCs w:val="24"/>
              </w:rPr>
            </w:pPr>
            <w:r w:rsidRPr="00913E39">
              <w:rPr>
                <w:rFonts w:ascii="Garamond" w:hAnsi="Garamond"/>
                <w:b/>
                <w:sz w:val="20"/>
                <w:szCs w:val="24"/>
              </w:rPr>
              <w:t>(i lartë/</w:t>
            </w:r>
          </w:p>
          <w:p w14:paraId="0B066188" w14:textId="0907EA8F" w:rsidR="0090197C" w:rsidRPr="00913E39" w:rsidRDefault="00AB2B27" w:rsidP="00AB2B27">
            <w:pPr>
              <w:spacing w:after="0" w:line="240" w:lineRule="auto"/>
              <w:jc w:val="center"/>
              <w:rPr>
                <w:rFonts w:ascii="Garamond" w:hAnsi="Garamond"/>
                <w:b/>
                <w:sz w:val="20"/>
                <w:szCs w:val="24"/>
              </w:rPr>
            </w:pPr>
            <w:r w:rsidRPr="00913E39">
              <w:rPr>
                <w:rFonts w:ascii="Garamond" w:hAnsi="Garamond"/>
                <w:b/>
                <w:sz w:val="20"/>
                <w:szCs w:val="24"/>
              </w:rPr>
              <w:t>i mesëm/</w:t>
            </w:r>
          </w:p>
          <w:p w14:paraId="0ED854CF" w14:textId="0DDD4D34" w:rsidR="0090197C" w:rsidRPr="00913E39" w:rsidRDefault="00AB2B27" w:rsidP="00AB2B27">
            <w:pPr>
              <w:spacing w:after="0" w:line="240" w:lineRule="auto"/>
              <w:jc w:val="center"/>
              <w:rPr>
                <w:rFonts w:ascii="Garamond" w:hAnsi="Garamond"/>
                <w:b/>
                <w:sz w:val="20"/>
                <w:szCs w:val="24"/>
              </w:rPr>
            </w:pPr>
            <w:r w:rsidRPr="00913E39">
              <w:rPr>
                <w:rFonts w:ascii="Garamond" w:hAnsi="Garamond"/>
                <w:b/>
                <w:sz w:val="20"/>
                <w:szCs w:val="24"/>
              </w:rPr>
              <w:t>i ulët)</w:t>
            </w:r>
          </w:p>
        </w:tc>
        <w:tc>
          <w:tcPr>
            <w:tcW w:w="3516" w:type="dxa"/>
            <w:tcBorders>
              <w:top w:val="single" w:sz="4" w:space="0" w:color="auto"/>
              <w:left w:val="single" w:sz="4" w:space="0" w:color="auto"/>
              <w:bottom w:val="single" w:sz="4" w:space="0" w:color="auto"/>
              <w:right w:val="single" w:sz="4" w:space="0" w:color="auto"/>
            </w:tcBorders>
            <w:shd w:val="clear" w:color="auto" w:fill="auto"/>
          </w:tcPr>
          <w:p w14:paraId="1C3A37BB" w14:textId="77777777" w:rsidR="0090197C" w:rsidRPr="00913E39" w:rsidRDefault="0090197C" w:rsidP="00AB2B27">
            <w:pPr>
              <w:spacing w:after="0" w:line="240" w:lineRule="auto"/>
              <w:jc w:val="center"/>
              <w:rPr>
                <w:rFonts w:ascii="Garamond" w:hAnsi="Garamond"/>
                <w:b/>
                <w:sz w:val="20"/>
                <w:szCs w:val="24"/>
              </w:rPr>
            </w:pPr>
            <w:r w:rsidRPr="00913E39">
              <w:rPr>
                <w:rFonts w:ascii="Garamond" w:hAnsi="Garamond"/>
                <w:b/>
                <w:sz w:val="20"/>
                <w:szCs w:val="24"/>
              </w:rPr>
              <w:t>Masa zbutëse</w:t>
            </w:r>
          </w:p>
        </w:tc>
      </w:tr>
      <w:tr w:rsidR="0090197C" w:rsidRPr="00913E39" w14:paraId="4D81E4B2" w14:textId="77777777" w:rsidTr="009C2266">
        <w:trPr>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tcPr>
          <w:p w14:paraId="36459CEC" w14:textId="77777777" w:rsidR="0090197C" w:rsidRPr="00913E39" w:rsidRDefault="0090197C" w:rsidP="009C2266">
            <w:pPr>
              <w:spacing w:after="0" w:line="240" w:lineRule="auto"/>
              <w:rPr>
                <w:rFonts w:ascii="Garamond" w:hAnsi="Garamond"/>
                <w:sz w:val="20"/>
              </w:rPr>
            </w:pPr>
          </w:p>
        </w:tc>
        <w:tc>
          <w:tcPr>
            <w:tcW w:w="1305" w:type="dxa"/>
            <w:tcBorders>
              <w:top w:val="single" w:sz="4" w:space="0" w:color="auto"/>
              <w:left w:val="single" w:sz="4" w:space="0" w:color="auto"/>
              <w:bottom w:val="single" w:sz="4" w:space="0" w:color="auto"/>
              <w:right w:val="single" w:sz="4" w:space="0" w:color="auto"/>
            </w:tcBorders>
          </w:tcPr>
          <w:p w14:paraId="27A1E599" w14:textId="77777777" w:rsidR="0090197C" w:rsidRPr="00913E39" w:rsidRDefault="0090197C" w:rsidP="009C2266">
            <w:pPr>
              <w:spacing w:after="0" w:line="240" w:lineRule="auto"/>
              <w:rPr>
                <w:rFonts w:ascii="Garamond" w:hAnsi="Garamond"/>
                <w:b/>
                <w:bCs/>
                <w:sz w:val="20"/>
                <w:szCs w:val="24"/>
              </w:rPr>
            </w:pPr>
            <w:r w:rsidRPr="00913E39">
              <w:rPr>
                <w:rFonts w:ascii="Garamond" w:hAnsi="Garamond"/>
                <w:sz w:val="20"/>
                <w:szCs w:val="24"/>
              </w:rPr>
              <w:t>Risku 1</w:t>
            </w:r>
          </w:p>
        </w:tc>
        <w:tc>
          <w:tcPr>
            <w:tcW w:w="1417" w:type="dxa"/>
            <w:tcBorders>
              <w:top w:val="single" w:sz="4" w:space="0" w:color="auto"/>
              <w:left w:val="single" w:sz="4" w:space="0" w:color="auto"/>
              <w:bottom w:val="single" w:sz="4" w:space="0" w:color="auto"/>
              <w:right w:val="single" w:sz="4" w:space="0" w:color="auto"/>
            </w:tcBorders>
          </w:tcPr>
          <w:p w14:paraId="08F1F80D" w14:textId="77777777" w:rsidR="0090197C" w:rsidRPr="00913E39" w:rsidRDefault="0090197C" w:rsidP="009C2266">
            <w:pPr>
              <w:spacing w:after="0" w:line="240" w:lineRule="auto"/>
              <w:rPr>
                <w:rFonts w:ascii="Garamond" w:hAnsi="Garamond"/>
                <w:b/>
                <w:sz w:val="20"/>
              </w:rPr>
            </w:pPr>
          </w:p>
        </w:tc>
        <w:tc>
          <w:tcPr>
            <w:tcW w:w="1275" w:type="dxa"/>
            <w:tcBorders>
              <w:top w:val="single" w:sz="4" w:space="0" w:color="auto"/>
              <w:left w:val="single" w:sz="4" w:space="0" w:color="auto"/>
              <w:bottom w:val="single" w:sz="4" w:space="0" w:color="auto"/>
              <w:right w:val="single" w:sz="4" w:space="0" w:color="auto"/>
            </w:tcBorders>
          </w:tcPr>
          <w:p w14:paraId="45C5B98E" w14:textId="77777777" w:rsidR="0090197C" w:rsidRPr="00913E39" w:rsidRDefault="0090197C" w:rsidP="009C2266">
            <w:pPr>
              <w:spacing w:after="0" w:line="240" w:lineRule="auto"/>
              <w:rPr>
                <w:rFonts w:ascii="Garamond" w:hAnsi="Garamond"/>
                <w:b/>
                <w:sz w:val="20"/>
              </w:rPr>
            </w:pPr>
          </w:p>
        </w:tc>
        <w:tc>
          <w:tcPr>
            <w:tcW w:w="3516" w:type="dxa"/>
            <w:tcBorders>
              <w:top w:val="single" w:sz="4" w:space="0" w:color="auto"/>
              <w:left w:val="single" w:sz="4" w:space="0" w:color="auto"/>
              <w:bottom w:val="single" w:sz="4" w:space="0" w:color="auto"/>
              <w:right w:val="single" w:sz="4" w:space="0" w:color="auto"/>
            </w:tcBorders>
            <w:shd w:val="clear" w:color="auto" w:fill="auto"/>
          </w:tcPr>
          <w:p w14:paraId="4D6C4438" w14:textId="77777777" w:rsidR="0090197C" w:rsidRPr="00913E39" w:rsidRDefault="0090197C" w:rsidP="009C2266">
            <w:pPr>
              <w:spacing w:after="0" w:line="240" w:lineRule="auto"/>
              <w:rPr>
                <w:rFonts w:ascii="Garamond" w:hAnsi="Garamond"/>
                <w:b/>
                <w:sz w:val="20"/>
              </w:rPr>
            </w:pPr>
          </w:p>
        </w:tc>
      </w:tr>
      <w:tr w:rsidR="0090197C" w:rsidRPr="00913E39" w14:paraId="0E1DC309" w14:textId="77777777" w:rsidTr="009C2266">
        <w:trPr>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tcPr>
          <w:p w14:paraId="0B2F5E07" w14:textId="77777777" w:rsidR="0090197C" w:rsidRPr="00913E39" w:rsidRDefault="0090197C" w:rsidP="009C2266">
            <w:pPr>
              <w:spacing w:after="0" w:line="240" w:lineRule="auto"/>
              <w:rPr>
                <w:rFonts w:ascii="Garamond" w:hAnsi="Garamond"/>
                <w:sz w:val="20"/>
              </w:rPr>
            </w:pPr>
          </w:p>
        </w:tc>
        <w:tc>
          <w:tcPr>
            <w:tcW w:w="1305" w:type="dxa"/>
            <w:tcBorders>
              <w:top w:val="single" w:sz="4" w:space="0" w:color="auto"/>
              <w:left w:val="single" w:sz="4" w:space="0" w:color="auto"/>
              <w:bottom w:val="single" w:sz="4" w:space="0" w:color="auto"/>
              <w:right w:val="single" w:sz="4" w:space="0" w:color="auto"/>
            </w:tcBorders>
          </w:tcPr>
          <w:p w14:paraId="3336F275" w14:textId="77777777" w:rsidR="0090197C" w:rsidRPr="00913E39" w:rsidRDefault="0090197C" w:rsidP="009C2266">
            <w:pPr>
              <w:spacing w:after="0" w:line="240" w:lineRule="auto"/>
              <w:rPr>
                <w:rFonts w:ascii="Garamond" w:hAnsi="Garamond"/>
                <w:b/>
                <w:bCs/>
                <w:sz w:val="20"/>
                <w:szCs w:val="24"/>
              </w:rPr>
            </w:pPr>
            <w:r w:rsidRPr="00913E39">
              <w:rPr>
                <w:rFonts w:ascii="Garamond" w:hAnsi="Garamond"/>
                <w:sz w:val="20"/>
                <w:szCs w:val="24"/>
              </w:rPr>
              <w:t>Risku 2</w:t>
            </w:r>
          </w:p>
        </w:tc>
        <w:tc>
          <w:tcPr>
            <w:tcW w:w="1417" w:type="dxa"/>
            <w:tcBorders>
              <w:top w:val="single" w:sz="4" w:space="0" w:color="auto"/>
              <w:left w:val="single" w:sz="4" w:space="0" w:color="auto"/>
              <w:bottom w:val="single" w:sz="4" w:space="0" w:color="auto"/>
              <w:right w:val="single" w:sz="4" w:space="0" w:color="auto"/>
            </w:tcBorders>
          </w:tcPr>
          <w:p w14:paraId="5E004A05" w14:textId="77777777" w:rsidR="0090197C" w:rsidRPr="00913E39" w:rsidRDefault="0090197C" w:rsidP="009C2266">
            <w:pPr>
              <w:spacing w:after="0" w:line="240" w:lineRule="auto"/>
              <w:rPr>
                <w:rFonts w:ascii="Garamond" w:hAnsi="Garamond"/>
                <w:b/>
                <w:sz w:val="20"/>
              </w:rPr>
            </w:pPr>
          </w:p>
        </w:tc>
        <w:tc>
          <w:tcPr>
            <w:tcW w:w="1275" w:type="dxa"/>
            <w:tcBorders>
              <w:top w:val="single" w:sz="4" w:space="0" w:color="auto"/>
              <w:left w:val="single" w:sz="4" w:space="0" w:color="auto"/>
              <w:bottom w:val="single" w:sz="4" w:space="0" w:color="auto"/>
              <w:right w:val="single" w:sz="4" w:space="0" w:color="auto"/>
            </w:tcBorders>
          </w:tcPr>
          <w:p w14:paraId="4C2481A6" w14:textId="77777777" w:rsidR="0090197C" w:rsidRPr="00913E39" w:rsidRDefault="0090197C" w:rsidP="009C2266">
            <w:pPr>
              <w:spacing w:after="0" w:line="240" w:lineRule="auto"/>
              <w:rPr>
                <w:rFonts w:ascii="Garamond" w:hAnsi="Garamond"/>
                <w:b/>
                <w:sz w:val="20"/>
              </w:rPr>
            </w:pPr>
          </w:p>
        </w:tc>
        <w:tc>
          <w:tcPr>
            <w:tcW w:w="3516" w:type="dxa"/>
            <w:tcBorders>
              <w:top w:val="single" w:sz="4" w:space="0" w:color="auto"/>
              <w:left w:val="single" w:sz="4" w:space="0" w:color="auto"/>
              <w:bottom w:val="single" w:sz="4" w:space="0" w:color="auto"/>
              <w:right w:val="single" w:sz="4" w:space="0" w:color="auto"/>
            </w:tcBorders>
            <w:shd w:val="clear" w:color="auto" w:fill="auto"/>
          </w:tcPr>
          <w:p w14:paraId="2F8EA35C" w14:textId="77777777" w:rsidR="0090197C" w:rsidRPr="00913E39" w:rsidRDefault="0090197C" w:rsidP="009C2266">
            <w:pPr>
              <w:spacing w:after="0" w:line="240" w:lineRule="auto"/>
              <w:rPr>
                <w:rFonts w:ascii="Garamond" w:hAnsi="Garamond"/>
                <w:b/>
                <w:sz w:val="20"/>
              </w:rPr>
            </w:pPr>
          </w:p>
        </w:tc>
      </w:tr>
      <w:tr w:rsidR="0090197C" w:rsidRPr="00913E39" w14:paraId="0BC4F8C8" w14:textId="77777777" w:rsidTr="009C2266">
        <w:trPr>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tcPr>
          <w:p w14:paraId="26CFF61B" w14:textId="77777777" w:rsidR="0090197C" w:rsidRPr="00913E39" w:rsidRDefault="0090197C" w:rsidP="009C2266">
            <w:pPr>
              <w:spacing w:after="0" w:line="240" w:lineRule="auto"/>
              <w:rPr>
                <w:rFonts w:ascii="Garamond" w:hAnsi="Garamond"/>
                <w:sz w:val="20"/>
              </w:rPr>
            </w:pPr>
          </w:p>
        </w:tc>
        <w:tc>
          <w:tcPr>
            <w:tcW w:w="1305" w:type="dxa"/>
            <w:tcBorders>
              <w:top w:val="single" w:sz="4" w:space="0" w:color="auto"/>
              <w:left w:val="single" w:sz="4" w:space="0" w:color="auto"/>
              <w:bottom w:val="single" w:sz="4" w:space="0" w:color="auto"/>
              <w:right w:val="single" w:sz="4" w:space="0" w:color="auto"/>
            </w:tcBorders>
          </w:tcPr>
          <w:p w14:paraId="13212860" w14:textId="77777777" w:rsidR="0090197C" w:rsidRPr="00913E39" w:rsidRDefault="0090197C" w:rsidP="009C2266">
            <w:pPr>
              <w:spacing w:after="0" w:line="240" w:lineRule="auto"/>
              <w:rPr>
                <w:rFonts w:ascii="Garamond" w:hAnsi="Garamond"/>
                <w:sz w:val="20"/>
                <w:szCs w:val="24"/>
              </w:rPr>
            </w:pPr>
            <w:r w:rsidRPr="00913E39">
              <w:rPr>
                <w:rFonts w:ascii="Garamond" w:hAnsi="Garamond"/>
                <w:sz w:val="20"/>
                <w:szCs w:val="24"/>
              </w:rPr>
              <w:t>Risku #</w:t>
            </w:r>
          </w:p>
        </w:tc>
        <w:tc>
          <w:tcPr>
            <w:tcW w:w="1417" w:type="dxa"/>
            <w:tcBorders>
              <w:top w:val="single" w:sz="4" w:space="0" w:color="auto"/>
              <w:left w:val="single" w:sz="4" w:space="0" w:color="auto"/>
              <w:bottom w:val="single" w:sz="4" w:space="0" w:color="auto"/>
              <w:right w:val="single" w:sz="4" w:space="0" w:color="auto"/>
            </w:tcBorders>
          </w:tcPr>
          <w:p w14:paraId="7A16B80C" w14:textId="77777777" w:rsidR="0090197C" w:rsidRPr="00913E39" w:rsidRDefault="0090197C" w:rsidP="009C2266">
            <w:pPr>
              <w:spacing w:after="0" w:line="240" w:lineRule="auto"/>
              <w:rPr>
                <w:rFonts w:ascii="Garamond" w:hAnsi="Garamond"/>
                <w:b/>
                <w:sz w:val="20"/>
              </w:rPr>
            </w:pPr>
          </w:p>
        </w:tc>
        <w:tc>
          <w:tcPr>
            <w:tcW w:w="1275" w:type="dxa"/>
            <w:tcBorders>
              <w:top w:val="single" w:sz="4" w:space="0" w:color="auto"/>
              <w:left w:val="single" w:sz="4" w:space="0" w:color="auto"/>
              <w:bottom w:val="single" w:sz="4" w:space="0" w:color="auto"/>
              <w:right w:val="single" w:sz="4" w:space="0" w:color="auto"/>
            </w:tcBorders>
          </w:tcPr>
          <w:p w14:paraId="549FA802" w14:textId="77777777" w:rsidR="0090197C" w:rsidRPr="00913E39" w:rsidRDefault="0090197C" w:rsidP="009C2266">
            <w:pPr>
              <w:spacing w:after="0" w:line="240" w:lineRule="auto"/>
              <w:rPr>
                <w:rFonts w:ascii="Garamond" w:hAnsi="Garamond"/>
                <w:b/>
                <w:sz w:val="20"/>
              </w:rPr>
            </w:pPr>
          </w:p>
        </w:tc>
        <w:tc>
          <w:tcPr>
            <w:tcW w:w="3516" w:type="dxa"/>
            <w:tcBorders>
              <w:top w:val="single" w:sz="4" w:space="0" w:color="auto"/>
              <w:left w:val="single" w:sz="4" w:space="0" w:color="auto"/>
              <w:bottom w:val="single" w:sz="4" w:space="0" w:color="auto"/>
              <w:right w:val="single" w:sz="4" w:space="0" w:color="auto"/>
            </w:tcBorders>
            <w:shd w:val="clear" w:color="auto" w:fill="auto"/>
          </w:tcPr>
          <w:p w14:paraId="0BFD341D" w14:textId="77777777" w:rsidR="0090197C" w:rsidRPr="00913E39" w:rsidRDefault="0090197C" w:rsidP="009C2266">
            <w:pPr>
              <w:spacing w:after="0" w:line="240" w:lineRule="auto"/>
              <w:rPr>
                <w:rFonts w:ascii="Garamond" w:hAnsi="Garamond"/>
                <w:b/>
                <w:sz w:val="20"/>
              </w:rPr>
            </w:pPr>
          </w:p>
        </w:tc>
      </w:tr>
    </w:tbl>
    <w:p w14:paraId="41DF2265" w14:textId="77777777" w:rsidR="00AB2B27" w:rsidRPr="00913E39" w:rsidRDefault="00AB2B27" w:rsidP="00E8580A">
      <w:pPr>
        <w:pStyle w:val="Heading2"/>
        <w:spacing w:before="0" w:after="0"/>
        <w:ind w:firstLine="284"/>
        <w:jc w:val="both"/>
        <w:rPr>
          <w:rFonts w:ascii="Garamond" w:hAnsi="Garamond"/>
          <w:i w:val="0"/>
          <w:sz w:val="24"/>
          <w:lang w:val="sq-AL"/>
        </w:rPr>
      </w:pPr>
    </w:p>
    <w:p w14:paraId="1E88C5A2" w14:textId="32C16F7F" w:rsidR="0090197C" w:rsidRPr="00913E39" w:rsidRDefault="0090197C" w:rsidP="00E8580A">
      <w:pPr>
        <w:pStyle w:val="Heading2"/>
        <w:spacing w:before="0" w:after="0"/>
        <w:ind w:firstLine="284"/>
        <w:jc w:val="both"/>
        <w:rPr>
          <w:rFonts w:ascii="Garamond" w:hAnsi="Garamond"/>
          <w:b w:val="0"/>
          <w:sz w:val="24"/>
          <w:lang w:val="sq-AL"/>
        </w:rPr>
      </w:pPr>
      <w:r w:rsidRPr="00913E39">
        <w:rPr>
          <w:rFonts w:ascii="Garamond" w:hAnsi="Garamond"/>
          <w:b w:val="0"/>
          <w:sz w:val="24"/>
          <w:lang w:val="sq-AL"/>
        </w:rPr>
        <w:t>6.2 Përfshirja e palëve të interesit</w:t>
      </w:r>
    </w:p>
    <w:p w14:paraId="00129B71" w14:textId="77777777" w:rsidR="0090197C" w:rsidRPr="00913E39" w:rsidRDefault="0090197C" w:rsidP="00AB2B27">
      <w:pPr>
        <w:spacing w:after="0" w:line="240" w:lineRule="auto"/>
        <w:ind w:firstLine="284"/>
        <w:jc w:val="both"/>
        <w:rPr>
          <w:rFonts w:ascii="Garamond" w:hAnsi="Garamond"/>
          <w:sz w:val="24"/>
          <w:szCs w:val="24"/>
        </w:rPr>
      </w:pPr>
      <w:r w:rsidRPr="00913E39">
        <w:rPr>
          <w:rFonts w:ascii="Garamond" w:hAnsi="Garamond"/>
          <w:sz w:val="24"/>
          <w:szCs w:val="24"/>
        </w:rPr>
        <w:t xml:space="preserve">a) Përshkruani palët e interesuara dhe përdoruesit dhe se si ata janë përfshirë dhe konsultuar në fazën e identifikimit dhe hartimit të projektit. </w:t>
      </w:r>
    </w:p>
    <w:p w14:paraId="64E1EB61" w14:textId="77777777" w:rsidR="0090197C" w:rsidRPr="00913E39" w:rsidRDefault="0090197C" w:rsidP="00AB2B27">
      <w:pPr>
        <w:spacing w:after="0" w:line="240" w:lineRule="auto"/>
        <w:ind w:firstLine="284"/>
        <w:jc w:val="both"/>
        <w:rPr>
          <w:rFonts w:ascii="Garamond" w:hAnsi="Garamond"/>
          <w:sz w:val="24"/>
          <w:szCs w:val="24"/>
        </w:rPr>
      </w:pPr>
      <w:r w:rsidRPr="00913E39">
        <w:rPr>
          <w:rFonts w:ascii="Garamond" w:hAnsi="Garamond"/>
          <w:sz w:val="24"/>
          <w:szCs w:val="24"/>
        </w:rPr>
        <w:t xml:space="preserve">b) A ka ndonjë risk për zbatimin e projektit që vjen nga rezistenca e palëve specifike të interesuara? Pasqyrojeni këtë në tabelën e mësipërme.  </w:t>
      </w:r>
    </w:p>
    <w:p w14:paraId="4A0FE452" w14:textId="77777777" w:rsidR="0090197C" w:rsidRPr="00913E39" w:rsidRDefault="0090197C" w:rsidP="00AB2B27">
      <w:pPr>
        <w:pStyle w:val="Heading1"/>
        <w:spacing w:before="0" w:after="0"/>
        <w:ind w:firstLine="284"/>
        <w:jc w:val="both"/>
        <w:rPr>
          <w:rFonts w:ascii="Garamond" w:hAnsi="Garamond"/>
          <w:b w:val="0"/>
          <w:sz w:val="24"/>
          <w:lang w:val="sq-AL"/>
        </w:rPr>
      </w:pPr>
      <w:r w:rsidRPr="00913E39">
        <w:rPr>
          <w:rFonts w:ascii="Garamond" w:hAnsi="Garamond"/>
          <w:b w:val="0"/>
          <w:sz w:val="24"/>
          <w:lang w:val="sq-AL"/>
        </w:rPr>
        <w:t xml:space="preserve">7. ANEKSE </w:t>
      </w:r>
    </w:p>
    <w:p w14:paraId="5EB6FD79" w14:textId="77777777" w:rsidR="0090197C" w:rsidRPr="00913E39" w:rsidRDefault="0090197C" w:rsidP="00AB2B27">
      <w:pPr>
        <w:spacing w:after="0" w:line="240" w:lineRule="auto"/>
        <w:ind w:firstLine="284"/>
        <w:jc w:val="both"/>
        <w:rPr>
          <w:rFonts w:ascii="Garamond" w:hAnsi="Garamond"/>
          <w:sz w:val="24"/>
          <w:szCs w:val="24"/>
        </w:rPr>
      </w:pPr>
      <w:r w:rsidRPr="00913E39">
        <w:rPr>
          <w:rFonts w:ascii="Garamond" w:hAnsi="Garamond"/>
          <w:sz w:val="24"/>
          <w:szCs w:val="24"/>
        </w:rPr>
        <w:t>Listoni të gjitha anekset sipas kërkesës dhe që shoqërojnë këtë aplikim.</w:t>
      </w:r>
    </w:p>
    <w:p w14:paraId="2D26E313" w14:textId="77777777" w:rsidR="0090197C" w:rsidRPr="00913E39" w:rsidRDefault="0090197C" w:rsidP="00AB2B27">
      <w:pPr>
        <w:pStyle w:val="Heading1"/>
        <w:spacing w:before="0" w:after="0"/>
        <w:ind w:firstLine="284"/>
        <w:jc w:val="both"/>
        <w:rPr>
          <w:rFonts w:ascii="Garamond" w:hAnsi="Garamond"/>
          <w:b w:val="0"/>
          <w:sz w:val="24"/>
          <w:lang w:val="sq-AL"/>
        </w:rPr>
      </w:pPr>
      <w:r w:rsidRPr="00913E39">
        <w:rPr>
          <w:rFonts w:ascii="Garamond" w:hAnsi="Garamond"/>
          <w:b w:val="0"/>
          <w:sz w:val="24"/>
          <w:lang w:val="sq-AL"/>
        </w:rPr>
        <w:t>8. KONFIRMIMI I AUTORITETIT KOMBËTAR KOMPETENT</w:t>
      </w:r>
      <w:bookmarkEnd w:id="114"/>
      <w:bookmarkEnd w:id="115"/>
      <w:bookmarkEnd w:id="116"/>
      <w:bookmarkEnd w:id="117"/>
    </w:p>
    <w:p w14:paraId="47E21AC1" w14:textId="77777777" w:rsidR="0090197C" w:rsidRPr="00913E39" w:rsidRDefault="0090197C" w:rsidP="00AB2B27">
      <w:pPr>
        <w:spacing w:after="0" w:line="240" w:lineRule="auto"/>
        <w:ind w:firstLine="284"/>
        <w:jc w:val="both"/>
        <w:rPr>
          <w:rFonts w:ascii="Garamond" w:hAnsi="Garamond"/>
          <w:sz w:val="24"/>
          <w:szCs w:val="24"/>
        </w:rPr>
      </w:pPr>
      <w:r w:rsidRPr="00913E39">
        <w:rPr>
          <w:rFonts w:ascii="Garamond" w:hAnsi="Garamond"/>
          <w:sz w:val="24"/>
          <w:szCs w:val="24"/>
        </w:rPr>
        <w:t xml:space="preserve">Unë konfirmoj që informacioni i dhënë në këtë formular është i saktë dhe korrekt. </w:t>
      </w:r>
    </w:p>
    <w:p w14:paraId="4829498F" w14:textId="77777777" w:rsidR="0090197C" w:rsidRPr="00913E39" w:rsidRDefault="0090197C" w:rsidP="00AB2B27">
      <w:pPr>
        <w:spacing w:after="0" w:line="240" w:lineRule="auto"/>
        <w:ind w:firstLine="284"/>
        <w:jc w:val="both"/>
        <w:rPr>
          <w:rFonts w:ascii="Garamond" w:hAnsi="Garamond"/>
          <w:sz w:val="24"/>
          <w:szCs w:val="24"/>
        </w:rPr>
      </w:pPr>
      <w:r w:rsidRPr="00913E39">
        <w:rPr>
          <w:rFonts w:ascii="Garamond" w:hAnsi="Garamond"/>
          <w:sz w:val="24"/>
          <w:szCs w:val="24"/>
        </w:rPr>
        <w:t xml:space="preserve">EMRI: </w:t>
      </w:r>
    </w:p>
    <w:p w14:paraId="72F7DEEB" w14:textId="77777777" w:rsidR="0090197C" w:rsidRPr="00913E39" w:rsidRDefault="0090197C" w:rsidP="00E8580A">
      <w:pPr>
        <w:spacing w:after="0" w:line="240" w:lineRule="auto"/>
        <w:ind w:firstLine="284"/>
        <w:rPr>
          <w:rFonts w:ascii="Garamond" w:hAnsi="Garamond"/>
          <w:sz w:val="24"/>
          <w:szCs w:val="24"/>
        </w:rPr>
      </w:pPr>
      <w:r w:rsidRPr="00913E39">
        <w:rPr>
          <w:rFonts w:ascii="Garamond" w:hAnsi="Garamond"/>
          <w:sz w:val="24"/>
          <w:szCs w:val="24"/>
        </w:rPr>
        <w:t>NËNSHKRIMI:</w:t>
      </w:r>
    </w:p>
    <w:p w14:paraId="2A2FD3C2" w14:textId="77777777" w:rsidR="0090197C" w:rsidRPr="00913E39" w:rsidRDefault="0090197C" w:rsidP="00E8580A">
      <w:pPr>
        <w:spacing w:after="0" w:line="240" w:lineRule="auto"/>
        <w:ind w:firstLine="284"/>
        <w:rPr>
          <w:rFonts w:ascii="Garamond" w:hAnsi="Garamond"/>
          <w:sz w:val="24"/>
          <w:szCs w:val="24"/>
        </w:rPr>
      </w:pPr>
      <w:r w:rsidRPr="00913E39">
        <w:rPr>
          <w:rFonts w:ascii="Garamond" w:hAnsi="Garamond"/>
          <w:sz w:val="24"/>
          <w:szCs w:val="24"/>
        </w:rPr>
        <w:t>ORGANIZATA:</w:t>
      </w:r>
    </w:p>
    <w:p w14:paraId="07DB9305" w14:textId="77777777" w:rsidR="0090197C" w:rsidRPr="00913E39" w:rsidRDefault="0090197C" w:rsidP="00E8580A">
      <w:pPr>
        <w:spacing w:after="0" w:line="240" w:lineRule="auto"/>
        <w:ind w:firstLine="284"/>
        <w:rPr>
          <w:rFonts w:ascii="Garamond" w:hAnsi="Garamond"/>
          <w:sz w:val="24"/>
          <w:szCs w:val="24"/>
        </w:rPr>
      </w:pPr>
      <w:r w:rsidRPr="00913E39">
        <w:rPr>
          <w:rFonts w:ascii="Garamond" w:hAnsi="Garamond"/>
          <w:sz w:val="24"/>
          <w:szCs w:val="24"/>
        </w:rPr>
        <w:t>DATA:</w:t>
      </w:r>
    </w:p>
    <w:p w14:paraId="6C812247" w14:textId="77777777" w:rsidR="00AB2B27" w:rsidRPr="00913E39" w:rsidRDefault="00AB2B27" w:rsidP="00E8580A">
      <w:pPr>
        <w:spacing w:after="0" w:line="240" w:lineRule="auto"/>
        <w:ind w:firstLine="284"/>
        <w:jc w:val="center"/>
        <w:rPr>
          <w:rFonts w:ascii="Garamond" w:hAnsi="Garamond"/>
          <w:sz w:val="24"/>
          <w:szCs w:val="24"/>
        </w:rPr>
      </w:pPr>
      <w:bookmarkStart w:id="118" w:name="_Toc142286825"/>
      <w:bookmarkStart w:id="119" w:name="_Toc142287113"/>
      <w:bookmarkStart w:id="120" w:name="_Toc142287326"/>
      <w:bookmarkStart w:id="121" w:name="_Toc142287447"/>
    </w:p>
    <w:p w14:paraId="0DA3DC9E" w14:textId="28374C91" w:rsidR="0090197C" w:rsidRPr="00913E39" w:rsidRDefault="0090197C" w:rsidP="00E8580A">
      <w:pPr>
        <w:spacing w:after="0" w:line="240" w:lineRule="auto"/>
        <w:ind w:firstLine="284"/>
        <w:jc w:val="center"/>
        <w:rPr>
          <w:rFonts w:ascii="Garamond" w:hAnsi="Garamond"/>
          <w:sz w:val="24"/>
          <w:szCs w:val="24"/>
        </w:rPr>
      </w:pPr>
      <w:r w:rsidRPr="00913E39">
        <w:rPr>
          <w:rFonts w:ascii="Garamond" w:hAnsi="Garamond"/>
          <w:sz w:val="24"/>
          <w:szCs w:val="24"/>
        </w:rPr>
        <w:t>ANEKSI I</w:t>
      </w:r>
    </w:p>
    <w:p w14:paraId="62535CE8" w14:textId="77777777" w:rsidR="0090197C" w:rsidRPr="00913E39" w:rsidRDefault="0090197C" w:rsidP="00E8580A">
      <w:pPr>
        <w:spacing w:after="0" w:line="240" w:lineRule="auto"/>
        <w:ind w:firstLine="284"/>
        <w:jc w:val="center"/>
        <w:rPr>
          <w:rFonts w:ascii="Garamond" w:hAnsi="Garamond"/>
          <w:sz w:val="24"/>
          <w:szCs w:val="24"/>
        </w:rPr>
      </w:pPr>
      <w:r w:rsidRPr="00913E39">
        <w:rPr>
          <w:rFonts w:ascii="Garamond" w:hAnsi="Garamond"/>
          <w:sz w:val="24"/>
          <w:szCs w:val="24"/>
        </w:rPr>
        <w:t>DEKLARATË NGA AUTORITETI PËRGJEGJËS PËR MONITORIMIN E VENDEVE ME RËNDËSI PËR MBROJTJEN E NATYRËS</w:t>
      </w:r>
    </w:p>
    <w:bookmarkEnd w:id="118"/>
    <w:bookmarkEnd w:id="119"/>
    <w:bookmarkEnd w:id="120"/>
    <w:bookmarkEnd w:id="121"/>
    <w:p w14:paraId="3320235F" w14:textId="77777777" w:rsidR="0090197C" w:rsidRPr="00913E39" w:rsidRDefault="0090197C" w:rsidP="00E8580A">
      <w:pPr>
        <w:tabs>
          <w:tab w:val="left" w:pos="4536"/>
        </w:tabs>
        <w:spacing w:after="0" w:line="240" w:lineRule="auto"/>
        <w:ind w:firstLine="284"/>
        <w:rPr>
          <w:rFonts w:ascii="Garamond" w:hAnsi="Garamond"/>
          <w:sz w:val="24"/>
          <w:szCs w:val="24"/>
        </w:rPr>
      </w:pPr>
    </w:p>
    <w:p w14:paraId="72F9CD59" w14:textId="4B2FCD02" w:rsidR="0090197C" w:rsidRPr="00913E39" w:rsidRDefault="0090197C" w:rsidP="00E8580A">
      <w:pPr>
        <w:tabs>
          <w:tab w:val="left" w:pos="4536"/>
        </w:tabs>
        <w:spacing w:after="0" w:line="240" w:lineRule="auto"/>
        <w:ind w:firstLine="284"/>
        <w:rPr>
          <w:rFonts w:ascii="Garamond" w:hAnsi="Garamond"/>
          <w:sz w:val="24"/>
          <w:szCs w:val="24"/>
        </w:rPr>
      </w:pPr>
      <w:r w:rsidRPr="00913E39">
        <w:rPr>
          <w:rFonts w:ascii="Garamond" w:hAnsi="Garamond"/>
          <w:sz w:val="24"/>
          <w:szCs w:val="24"/>
        </w:rPr>
        <w:t xml:space="preserve">Autoriteti </w:t>
      </w:r>
      <w:r w:rsidR="001E7BC5" w:rsidRPr="00913E39">
        <w:rPr>
          <w:rFonts w:ascii="Garamond" w:hAnsi="Garamond"/>
          <w:sz w:val="24"/>
          <w:szCs w:val="24"/>
        </w:rPr>
        <w:t xml:space="preserve">përgjegjës </w:t>
      </w:r>
      <w:r w:rsidRPr="00913E39">
        <w:rPr>
          <w:rFonts w:ascii="Garamond" w:hAnsi="Garamond"/>
          <w:sz w:val="24"/>
          <w:szCs w:val="24"/>
        </w:rPr>
        <w:t>_____________________</w:t>
      </w:r>
    </w:p>
    <w:p w14:paraId="7447C75D" w14:textId="77777777" w:rsidR="0090197C" w:rsidRPr="00913E39" w:rsidRDefault="0090197C" w:rsidP="00E8580A">
      <w:pPr>
        <w:tabs>
          <w:tab w:val="left" w:pos="4536"/>
        </w:tabs>
        <w:spacing w:after="0" w:line="240" w:lineRule="auto"/>
        <w:ind w:firstLine="284"/>
        <w:rPr>
          <w:rFonts w:ascii="Garamond" w:hAnsi="Garamond"/>
          <w:sz w:val="24"/>
          <w:szCs w:val="24"/>
        </w:rPr>
      </w:pPr>
      <w:r w:rsidRPr="00913E39">
        <w:rPr>
          <w:rFonts w:ascii="Garamond" w:hAnsi="Garamond"/>
          <w:sz w:val="24"/>
          <w:szCs w:val="24"/>
        </w:rPr>
        <w:t>Pasi mori në shqyrtim aplikimin e projektit ______________</w:t>
      </w:r>
    </w:p>
    <w:p w14:paraId="00B83AB1" w14:textId="77777777" w:rsidR="0090197C" w:rsidRPr="00913E39" w:rsidRDefault="0090197C" w:rsidP="00E8580A">
      <w:pPr>
        <w:tabs>
          <w:tab w:val="left" w:pos="4536"/>
        </w:tabs>
        <w:spacing w:after="0" w:line="240" w:lineRule="auto"/>
        <w:ind w:firstLine="284"/>
        <w:rPr>
          <w:rFonts w:ascii="Garamond" w:hAnsi="Garamond"/>
          <w:sz w:val="24"/>
          <w:szCs w:val="24"/>
        </w:rPr>
      </w:pPr>
      <w:r w:rsidRPr="00913E39">
        <w:rPr>
          <w:rFonts w:ascii="Garamond" w:hAnsi="Garamond"/>
          <w:sz w:val="24"/>
          <w:szCs w:val="24"/>
        </w:rPr>
        <w:t>I cili ndodhet në ________________</w:t>
      </w:r>
    </w:p>
    <w:p w14:paraId="36B04E2D" w14:textId="77777777" w:rsidR="0090197C" w:rsidRPr="00913E39" w:rsidRDefault="0090197C" w:rsidP="001E7BC5">
      <w:pPr>
        <w:spacing w:after="0" w:line="240" w:lineRule="auto"/>
        <w:ind w:firstLine="284"/>
        <w:jc w:val="both"/>
        <w:rPr>
          <w:rFonts w:ascii="Garamond" w:hAnsi="Garamond"/>
          <w:sz w:val="24"/>
          <w:szCs w:val="24"/>
        </w:rPr>
      </w:pPr>
      <w:r w:rsidRPr="00913E39">
        <w:rPr>
          <w:rFonts w:ascii="Garamond" w:hAnsi="Garamond"/>
          <w:sz w:val="24"/>
          <w:szCs w:val="24"/>
        </w:rPr>
        <w:t>Deklaron se projekti nuk mund të ndikojë shumë në zonën e mbrojtur natyrore për arsyet e mëposhtme (jepni emrin e vendndodhjeve përkatëse, numrin e referencës, distancën e projektit nga vendndodhja më e afërt me rëndësi për mbrojtjen natyrore, objektivat e mbrojtjes dhe justifikimin që projekti (vetë ose në kombinim me projekte të tjera) nuk ka gjasa të ketë efekte negative të mëdha në atë vend për mbrojtjen natyrore dhe, nëse është e nevojshme, një vendim administrativ. (d.m.th. vendimi i duhur i shqyrtimit të vlerësimit)):</w:t>
      </w:r>
    </w:p>
    <w:p w14:paraId="24B3DED4" w14:textId="77777777" w:rsidR="0090197C" w:rsidRPr="00913E39" w:rsidRDefault="0090197C" w:rsidP="001E7BC5">
      <w:pPr>
        <w:spacing w:after="0" w:line="240" w:lineRule="auto"/>
        <w:ind w:firstLine="284"/>
        <w:jc w:val="both"/>
        <w:rPr>
          <w:rFonts w:ascii="Garamond" w:hAnsi="Garamond"/>
          <w:sz w:val="24"/>
          <w:szCs w:val="24"/>
        </w:rPr>
      </w:pPr>
      <w:r w:rsidRPr="00913E39">
        <w:rPr>
          <w:rFonts w:ascii="Garamond" w:hAnsi="Garamond"/>
          <w:sz w:val="24"/>
          <w:szCs w:val="24"/>
        </w:rPr>
        <w:t>--------------------------------------------------------------------------------------------------------------------</w:t>
      </w:r>
    </w:p>
    <w:p w14:paraId="23783F16" w14:textId="77777777" w:rsidR="0090197C" w:rsidRPr="00913E39" w:rsidRDefault="0090197C" w:rsidP="001E7BC5">
      <w:pPr>
        <w:spacing w:after="0" w:line="240" w:lineRule="auto"/>
        <w:ind w:firstLine="284"/>
        <w:jc w:val="both"/>
        <w:rPr>
          <w:rFonts w:ascii="Garamond" w:hAnsi="Garamond"/>
          <w:sz w:val="24"/>
          <w:szCs w:val="24"/>
        </w:rPr>
      </w:pPr>
    </w:p>
    <w:p w14:paraId="57190130" w14:textId="77777777" w:rsidR="0090197C" w:rsidRPr="00913E39" w:rsidRDefault="0090197C" w:rsidP="001E7BC5">
      <w:pPr>
        <w:spacing w:after="0" w:line="240" w:lineRule="auto"/>
        <w:ind w:firstLine="284"/>
        <w:jc w:val="both"/>
        <w:rPr>
          <w:rFonts w:ascii="Garamond" w:hAnsi="Garamond"/>
          <w:sz w:val="24"/>
          <w:szCs w:val="24"/>
        </w:rPr>
      </w:pPr>
      <w:r w:rsidRPr="00913E39">
        <w:rPr>
          <w:rFonts w:ascii="Garamond" w:hAnsi="Garamond"/>
          <w:sz w:val="24"/>
          <w:szCs w:val="24"/>
        </w:rPr>
        <w:lastRenderedPageBreak/>
        <w:t>Prandaj një vlerësim i duhur i kërkuar nga neni 6 (3) i Direktivës për Habitatin 92/43/KEE nuk u konsiderua i nevojshëm.</w:t>
      </w:r>
    </w:p>
    <w:p w14:paraId="754F723D" w14:textId="77777777" w:rsidR="0090197C" w:rsidRPr="00913E39" w:rsidRDefault="0090197C" w:rsidP="001E7BC5">
      <w:pPr>
        <w:spacing w:after="0" w:line="240" w:lineRule="auto"/>
        <w:ind w:firstLine="284"/>
        <w:jc w:val="both"/>
        <w:rPr>
          <w:rFonts w:ascii="Garamond" w:hAnsi="Garamond"/>
          <w:sz w:val="24"/>
          <w:szCs w:val="24"/>
        </w:rPr>
      </w:pPr>
      <w:r w:rsidRPr="00913E39">
        <w:rPr>
          <w:rFonts w:ascii="Garamond" w:hAnsi="Garamond"/>
          <w:sz w:val="24"/>
          <w:szCs w:val="24"/>
        </w:rPr>
        <w:t xml:space="preserve">Një hartë e shkallës 1:100.000 (ose shkallës më të afërt të mundshme) është bashkangjitur, për të treguar vendndodhjen e projektit si dhe </w:t>
      </w:r>
      <w:r w:rsidRPr="00913E39">
        <w:rPr>
          <w:rFonts w:ascii="Garamond" w:hAnsi="Garamond"/>
          <w:i/>
          <w:sz w:val="24"/>
          <w:szCs w:val="24"/>
        </w:rPr>
        <w:t>vendet me rëndësi për mbrojtjen e natyrës</w:t>
      </w:r>
      <w:r w:rsidRPr="00913E39">
        <w:rPr>
          <w:rFonts w:ascii="Garamond" w:hAnsi="Garamond"/>
          <w:sz w:val="24"/>
          <w:szCs w:val="24"/>
        </w:rPr>
        <w:t xml:space="preserve"> në fjalë, nëse ka.</w:t>
      </w:r>
    </w:p>
    <w:p w14:paraId="03DE8C45" w14:textId="77777777" w:rsidR="0090197C" w:rsidRPr="00913E39" w:rsidRDefault="0090197C" w:rsidP="001E7BC5">
      <w:pPr>
        <w:tabs>
          <w:tab w:val="left" w:pos="2552"/>
        </w:tabs>
        <w:spacing w:after="0" w:line="240" w:lineRule="auto"/>
        <w:ind w:firstLine="284"/>
        <w:jc w:val="both"/>
        <w:rPr>
          <w:rFonts w:ascii="Garamond" w:hAnsi="Garamond"/>
          <w:sz w:val="24"/>
          <w:szCs w:val="24"/>
        </w:rPr>
      </w:pPr>
      <w:r w:rsidRPr="00913E39">
        <w:rPr>
          <w:rFonts w:ascii="Garamond" w:hAnsi="Garamond"/>
          <w:sz w:val="24"/>
          <w:szCs w:val="24"/>
        </w:rPr>
        <w:t xml:space="preserve">Data (dd/mm/vvvv): </w:t>
      </w:r>
      <w:r w:rsidRPr="00913E39">
        <w:rPr>
          <w:rFonts w:ascii="Garamond" w:hAnsi="Garamond"/>
          <w:sz w:val="24"/>
          <w:szCs w:val="24"/>
        </w:rPr>
        <w:tab/>
        <w:t>____________________</w:t>
      </w:r>
    </w:p>
    <w:p w14:paraId="0BB7DB28" w14:textId="77777777" w:rsidR="0090197C" w:rsidRPr="00913E39" w:rsidRDefault="0090197C" w:rsidP="001E7BC5">
      <w:pPr>
        <w:tabs>
          <w:tab w:val="left" w:pos="2552"/>
        </w:tabs>
        <w:spacing w:after="0" w:line="240" w:lineRule="auto"/>
        <w:ind w:firstLine="284"/>
        <w:jc w:val="both"/>
        <w:rPr>
          <w:rFonts w:ascii="Garamond" w:hAnsi="Garamond"/>
          <w:sz w:val="24"/>
          <w:szCs w:val="24"/>
        </w:rPr>
      </w:pPr>
      <w:r w:rsidRPr="00913E39">
        <w:rPr>
          <w:rFonts w:ascii="Garamond" w:hAnsi="Garamond"/>
          <w:sz w:val="24"/>
          <w:szCs w:val="24"/>
        </w:rPr>
        <w:t xml:space="preserve">Nënshkruar: </w:t>
      </w:r>
      <w:r w:rsidRPr="00913E39">
        <w:rPr>
          <w:rFonts w:ascii="Garamond" w:hAnsi="Garamond"/>
          <w:sz w:val="24"/>
          <w:szCs w:val="24"/>
        </w:rPr>
        <w:tab/>
        <w:t>____________________</w:t>
      </w:r>
    </w:p>
    <w:p w14:paraId="275F47D4" w14:textId="77777777" w:rsidR="0090197C" w:rsidRPr="00913E39" w:rsidRDefault="0090197C" w:rsidP="001E7BC5">
      <w:pPr>
        <w:tabs>
          <w:tab w:val="left" w:pos="2552"/>
        </w:tabs>
        <w:spacing w:after="0" w:line="240" w:lineRule="auto"/>
        <w:ind w:firstLine="284"/>
        <w:jc w:val="both"/>
        <w:rPr>
          <w:rFonts w:ascii="Garamond" w:hAnsi="Garamond"/>
          <w:sz w:val="24"/>
          <w:szCs w:val="24"/>
        </w:rPr>
      </w:pPr>
      <w:r w:rsidRPr="00913E39">
        <w:rPr>
          <w:rFonts w:ascii="Garamond" w:hAnsi="Garamond"/>
          <w:sz w:val="24"/>
          <w:szCs w:val="24"/>
        </w:rPr>
        <w:t>Emri:</w:t>
      </w:r>
      <w:r w:rsidRPr="00913E39">
        <w:rPr>
          <w:rFonts w:ascii="Garamond" w:hAnsi="Garamond"/>
          <w:sz w:val="24"/>
          <w:szCs w:val="24"/>
        </w:rPr>
        <w:tab/>
        <w:t>____________________</w:t>
      </w:r>
    </w:p>
    <w:p w14:paraId="0D534FA2" w14:textId="77777777" w:rsidR="0090197C" w:rsidRPr="00913E39" w:rsidRDefault="0090197C" w:rsidP="001E7BC5">
      <w:pPr>
        <w:tabs>
          <w:tab w:val="left" w:pos="2552"/>
        </w:tabs>
        <w:spacing w:after="0" w:line="240" w:lineRule="auto"/>
        <w:ind w:firstLine="284"/>
        <w:jc w:val="both"/>
        <w:rPr>
          <w:rFonts w:ascii="Garamond" w:hAnsi="Garamond"/>
          <w:sz w:val="24"/>
          <w:szCs w:val="24"/>
        </w:rPr>
      </w:pPr>
      <w:r w:rsidRPr="00913E39">
        <w:rPr>
          <w:rFonts w:ascii="Garamond" w:hAnsi="Garamond"/>
          <w:sz w:val="24"/>
          <w:szCs w:val="24"/>
        </w:rPr>
        <w:t xml:space="preserve">Pozicioni: </w:t>
      </w:r>
      <w:r w:rsidRPr="00913E39">
        <w:rPr>
          <w:rFonts w:ascii="Garamond" w:hAnsi="Garamond"/>
          <w:sz w:val="24"/>
          <w:szCs w:val="24"/>
        </w:rPr>
        <w:tab/>
        <w:t>____________________</w:t>
      </w:r>
    </w:p>
    <w:p w14:paraId="5022B57E" w14:textId="77777777" w:rsidR="0090197C" w:rsidRPr="00913E39" w:rsidRDefault="0090197C" w:rsidP="001E7BC5">
      <w:pPr>
        <w:tabs>
          <w:tab w:val="left" w:pos="2552"/>
        </w:tabs>
        <w:spacing w:after="0" w:line="240" w:lineRule="auto"/>
        <w:ind w:firstLine="284"/>
        <w:jc w:val="both"/>
        <w:rPr>
          <w:rFonts w:ascii="Garamond" w:hAnsi="Garamond"/>
          <w:sz w:val="24"/>
          <w:szCs w:val="24"/>
        </w:rPr>
      </w:pPr>
      <w:r w:rsidRPr="00913E39">
        <w:rPr>
          <w:rFonts w:ascii="Garamond" w:hAnsi="Garamond"/>
          <w:sz w:val="24"/>
          <w:szCs w:val="24"/>
        </w:rPr>
        <w:t xml:space="preserve">Organizata: </w:t>
      </w:r>
      <w:r w:rsidRPr="00913E39">
        <w:rPr>
          <w:rFonts w:ascii="Garamond" w:hAnsi="Garamond"/>
          <w:sz w:val="24"/>
          <w:szCs w:val="24"/>
        </w:rPr>
        <w:tab/>
        <w:t>____________________</w:t>
      </w:r>
    </w:p>
    <w:p w14:paraId="5E999317" w14:textId="77777777" w:rsidR="0090197C" w:rsidRPr="00913E39" w:rsidRDefault="0090197C" w:rsidP="001E7BC5">
      <w:pPr>
        <w:tabs>
          <w:tab w:val="left" w:pos="2552"/>
        </w:tabs>
        <w:spacing w:after="0" w:line="240" w:lineRule="auto"/>
        <w:ind w:firstLine="284"/>
        <w:jc w:val="both"/>
        <w:rPr>
          <w:rFonts w:ascii="Garamond" w:hAnsi="Garamond"/>
          <w:sz w:val="24"/>
          <w:szCs w:val="24"/>
        </w:rPr>
      </w:pPr>
      <w:r w:rsidRPr="00913E39">
        <w:rPr>
          <w:rFonts w:ascii="Garamond" w:hAnsi="Garamond"/>
          <w:sz w:val="24"/>
          <w:szCs w:val="24"/>
        </w:rPr>
        <w:t xml:space="preserve">(Autoriteti përgjegjës për monitorimin e vendeve </w:t>
      </w:r>
      <w:r w:rsidRPr="00913E39">
        <w:rPr>
          <w:rFonts w:ascii="Garamond" w:hAnsi="Garamond"/>
          <w:i/>
          <w:sz w:val="24"/>
          <w:szCs w:val="24"/>
        </w:rPr>
        <w:t>me rëndësi për mbrojtjen natyrore</w:t>
      </w:r>
      <w:r w:rsidRPr="00913E39">
        <w:rPr>
          <w:rFonts w:ascii="Garamond" w:hAnsi="Garamond"/>
          <w:sz w:val="24"/>
          <w:szCs w:val="24"/>
        </w:rPr>
        <w:t>)</w:t>
      </w:r>
    </w:p>
    <w:p w14:paraId="44ACBDE9" w14:textId="77777777" w:rsidR="0090197C" w:rsidRPr="00913E39" w:rsidRDefault="0090197C" w:rsidP="001E7BC5">
      <w:pPr>
        <w:tabs>
          <w:tab w:val="left" w:pos="2552"/>
        </w:tabs>
        <w:spacing w:after="0" w:line="240" w:lineRule="auto"/>
        <w:ind w:firstLine="284"/>
        <w:jc w:val="both"/>
        <w:rPr>
          <w:rFonts w:ascii="Garamond" w:hAnsi="Garamond"/>
          <w:sz w:val="24"/>
          <w:szCs w:val="24"/>
        </w:rPr>
      </w:pPr>
      <w:r w:rsidRPr="00913E39">
        <w:rPr>
          <w:rFonts w:ascii="Garamond" w:hAnsi="Garamond"/>
          <w:sz w:val="24"/>
          <w:szCs w:val="24"/>
        </w:rPr>
        <w:t>Vula zyrtare:</w:t>
      </w:r>
    </w:p>
    <w:p w14:paraId="31FE6458" w14:textId="77777777" w:rsidR="0090197C" w:rsidRPr="00913E39" w:rsidRDefault="0090197C" w:rsidP="001E7BC5">
      <w:pPr>
        <w:spacing w:after="0" w:line="240" w:lineRule="auto"/>
        <w:ind w:firstLine="284"/>
        <w:jc w:val="both"/>
        <w:rPr>
          <w:rFonts w:ascii="Garamond" w:hAnsi="Garamond"/>
          <w:sz w:val="24"/>
          <w:szCs w:val="24"/>
        </w:rPr>
      </w:pPr>
    </w:p>
    <w:p w14:paraId="075C4F80" w14:textId="6F661A8C" w:rsidR="00564DFD" w:rsidRPr="00913E39" w:rsidRDefault="00564DFD" w:rsidP="00564DFD">
      <w:pPr>
        <w:pStyle w:val="AnnexHeading"/>
        <w:spacing w:after="0"/>
        <w:ind w:firstLine="284"/>
        <w:rPr>
          <w:rFonts w:ascii="Garamond" w:hAnsi="Garamond"/>
        </w:rPr>
      </w:pPr>
      <w:bookmarkStart w:id="122" w:name="_Toc393273221"/>
      <w:bookmarkStart w:id="123" w:name="_Toc379806627"/>
      <w:r w:rsidRPr="00913E39">
        <w:rPr>
          <w:rFonts w:ascii="Garamond" w:hAnsi="Garamond"/>
        </w:rPr>
        <w:lastRenderedPageBreak/>
        <w:t xml:space="preserve">IPA III – </w:t>
      </w:r>
      <w:bookmarkEnd w:id="122"/>
      <w:bookmarkEnd w:id="123"/>
      <w:r w:rsidRPr="00913E39">
        <w:rPr>
          <w:rFonts w:ascii="Garamond" w:hAnsi="Garamond"/>
        </w:rPr>
        <w:t xml:space="preserve">Model </w:t>
      </w:r>
      <w:r w:rsidR="00A22AA7" w:rsidRPr="00913E39">
        <w:rPr>
          <w:rFonts w:ascii="Garamond" w:hAnsi="Garamond"/>
        </w:rPr>
        <w:t>konstatimi i</w:t>
      </w:r>
      <w:r w:rsidR="00A22AA7" w:rsidRPr="00913E39">
        <w:rPr>
          <w:rFonts w:ascii="Garamond" w:hAnsi="Garamond"/>
          <w:bCs/>
        </w:rPr>
        <w:t xml:space="preserve"> veprimeve</w:t>
      </w:r>
    </w:p>
    <w:p w14:paraId="7B629892" w14:textId="46F783B4" w:rsidR="00564DFD" w:rsidRPr="00913E39" w:rsidRDefault="00564DFD" w:rsidP="00564DFD">
      <w:pPr>
        <w:spacing w:after="0" w:line="240" w:lineRule="auto"/>
        <w:ind w:firstLine="284"/>
        <w:jc w:val="center"/>
        <w:rPr>
          <w:rFonts w:ascii="Garamond" w:hAnsi="Garamond"/>
          <w:b/>
          <w:sz w:val="24"/>
          <w:szCs w:val="24"/>
        </w:rPr>
      </w:pPr>
      <w:r w:rsidRPr="00913E39">
        <w:rPr>
          <w:rFonts w:ascii="Garamond" w:hAnsi="Garamond"/>
          <w:b/>
          <w:sz w:val="24"/>
          <w:szCs w:val="24"/>
        </w:rPr>
        <w:t>(për t</w:t>
      </w:r>
      <w:r w:rsidR="005222A5" w:rsidRPr="00913E39">
        <w:rPr>
          <w:rFonts w:ascii="Garamond" w:hAnsi="Garamond"/>
          <w:b/>
          <w:sz w:val="24"/>
          <w:szCs w:val="24"/>
        </w:rPr>
        <w:t>’</w:t>
      </w:r>
      <w:r w:rsidRPr="00913E39">
        <w:rPr>
          <w:rFonts w:ascii="Garamond" w:hAnsi="Garamond"/>
          <w:b/>
          <w:sz w:val="24"/>
          <w:szCs w:val="24"/>
        </w:rPr>
        <w:t>u përdorur për projektet jomadhore - maksimumi 6 faqe)</w:t>
      </w:r>
    </w:p>
    <w:p w14:paraId="1084064A" w14:textId="77777777" w:rsidR="00564DFD" w:rsidRPr="00913E39" w:rsidRDefault="00564DFD" w:rsidP="00564DFD">
      <w:pPr>
        <w:spacing w:after="0" w:line="240" w:lineRule="auto"/>
        <w:ind w:firstLine="284"/>
        <w:jc w:val="center"/>
        <w:rPr>
          <w:rFonts w:ascii="Garamond" w:hAnsi="Garamond"/>
          <w:b/>
          <w:i/>
          <w:sz w:val="24"/>
          <w:szCs w:val="24"/>
        </w:rPr>
      </w:pPr>
    </w:p>
    <w:p w14:paraId="33F1F211" w14:textId="77777777"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1. Titulli i Projektit:</w:t>
      </w:r>
    </w:p>
    <w:p w14:paraId="63E03DF5" w14:textId="77777777"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2. Autoriteti menaxhues:</w:t>
      </w:r>
    </w:p>
    <w:p w14:paraId="2CB5BA4B" w14:textId="165B4810"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 xml:space="preserve">3. Organet e ndërmjetme përgjegjëse për zbatimin e </w:t>
      </w:r>
      <w:r w:rsidR="001E7BC5" w:rsidRPr="00913E39">
        <w:rPr>
          <w:rFonts w:ascii="Garamond" w:hAnsi="Garamond"/>
          <w:szCs w:val="24"/>
        </w:rPr>
        <w:t>veprimit</w:t>
      </w:r>
      <w:r w:rsidRPr="00913E39">
        <w:rPr>
          <w:rFonts w:ascii="Garamond" w:hAnsi="Garamond"/>
          <w:szCs w:val="24"/>
        </w:rPr>
        <w:t>:</w:t>
      </w:r>
    </w:p>
    <w:p w14:paraId="52B8A45D" w14:textId="77777777"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4. Përputhshmëria dhe koherenca me Programin Operacional</w:t>
      </w:r>
    </w:p>
    <w:p w14:paraId="10866AD1" w14:textId="77777777" w:rsidR="00564DFD" w:rsidRPr="00913E39" w:rsidRDefault="00564DFD" w:rsidP="001E7BC5">
      <w:pPr>
        <w:spacing w:after="0" w:line="240" w:lineRule="auto"/>
        <w:ind w:firstLine="284"/>
        <w:jc w:val="both"/>
        <w:rPr>
          <w:rFonts w:ascii="Garamond" w:hAnsi="Garamond"/>
          <w:sz w:val="24"/>
          <w:szCs w:val="24"/>
        </w:rPr>
      </w:pPr>
      <w:r w:rsidRPr="00913E39">
        <w:rPr>
          <w:rFonts w:ascii="Garamond" w:hAnsi="Garamond"/>
          <w:sz w:val="24"/>
          <w:szCs w:val="24"/>
        </w:rPr>
        <w:t>4.1 Titulli i programit</w:t>
      </w:r>
    </w:p>
    <w:p w14:paraId="0FBC7E0A" w14:textId="77777777" w:rsidR="00564DFD" w:rsidRPr="00913E39" w:rsidRDefault="00564DFD" w:rsidP="001E7BC5">
      <w:pPr>
        <w:spacing w:after="0" w:line="240" w:lineRule="auto"/>
        <w:ind w:firstLine="284"/>
        <w:jc w:val="both"/>
        <w:rPr>
          <w:rFonts w:ascii="Garamond" w:hAnsi="Garamond"/>
          <w:sz w:val="24"/>
          <w:szCs w:val="24"/>
        </w:rPr>
      </w:pPr>
      <w:r w:rsidRPr="00913E39">
        <w:rPr>
          <w:rFonts w:ascii="Garamond" w:hAnsi="Garamond"/>
          <w:sz w:val="24"/>
          <w:szCs w:val="24"/>
        </w:rPr>
        <w:t xml:space="preserve">4.2 Titulli i fushës përkatëse të mbështetjes </w:t>
      </w:r>
    </w:p>
    <w:p w14:paraId="4D3BFC41" w14:textId="77777777" w:rsidR="00564DFD" w:rsidRPr="00913E39" w:rsidRDefault="00564DFD" w:rsidP="001E7BC5">
      <w:pPr>
        <w:pStyle w:val="NumPar1"/>
        <w:numPr>
          <w:ilvl w:val="0"/>
          <w:numId w:val="0"/>
        </w:numPr>
        <w:tabs>
          <w:tab w:val="left" w:pos="1701"/>
        </w:tabs>
        <w:spacing w:before="0" w:after="0"/>
        <w:ind w:firstLine="284"/>
        <w:rPr>
          <w:rFonts w:ascii="Garamond" w:hAnsi="Garamond"/>
          <w:szCs w:val="24"/>
        </w:rPr>
      </w:pPr>
      <w:r w:rsidRPr="00913E39">
        <w:rPr>
          <w:rFonts w:ascii="Garamond" w:hAnsi="Garamond"/>
          <w:szCs w:val="24"/>
        </w:rPr>
        <w:t xml:space="preserve">5. Përshkrimi i Projektit </w:t>
      </w:r>
    </w:p>
    <w:p w14:paraId="1149336A" w14:textId="77777777" w:rsidR="00564DFD" w:rsidRPr="00913E39" w:rsidRDefault="00564DFD" w:rsidP="001E7BC5">
      <w:pPr>
        <w:pStyle w:val="NumPar1"/>
        <w:numPr>
          <w:ilvl w:val="0"/>
          <w:numId w:val="0"/>
        </w:numPr>
        <w:tabs>
          <w:tab w:val="left" w:pos="993"/>
          <w:tab w:val="left" w:pos="1701"/>
        </w:tabs>
        <w:spacing w:before="0" w:after="0"/>
        <w:ind w:firstLine="284"/>
        <w:rPr>
          <w:rFonts w:ascii="Garamond" w:hAnsi="Garamond"/>
          <w:i/>
          <w:iCs/>
          <w:szCs w:val="24"/>
        </w:rPr>
      </w:pPr>
      <w:r w:rsidRPr="00913E39">
        <w:rPr>
          <w:rFonts w:ascii="Garamond" w:hAnsi="Garamond"/>
          <w:iCs/>
          <w:szCs w:val="24"/>
        </w:rPr>
        <w:t xml:space="preserve">5.1 Kontributi për realizimin e Programit Operacional: </w:t>
      </w:r>
      <w:r w:rsidRPr="00913E39">
        <w:rPr>
          <w:rFonts w:ascii="Garamond" w:hAnsi="Garamond"/>
          <w:i/>
          <w:iCs/>
          <w:szCs w:val="24"/>
        </w:rPr>
        <w:t xml:space="preserve">Përshkruani veprimin, sfondin, mënyrën se si kontribuon në arritjen e objektivave të Programit Operacional dhe fushën përkatëse të mbështetjes </w:t>
      </w:r>
    </w:p>
    <w:p w14:paraId="40462F44" w14:textId="77777777" w:rsidR="00564DFD" w:rsidRPr="00913E39" w:rsidRDefault="00564DFD" w:rsidP="001E7BC5">
      <w:pPr>
        <w:tabs>
          <w:tab w:val="left" w:pos="993"/>
          <w:tab w:val="left" w:pos="1701"/>
        </w:tabs>
        <w:spacing w:after="0" w:line="240" w:lineRule="auto"/>
        <w:ind w:firstLine="284"/>
        <w:jc w:val="both"/>
        <w:rPr>
          <w:rFonts w:ascii="Garamond" w:hAnsi="Garamond"/>
          <w:sz w:val="24"/>
          <w:szCs w:val="24"/>
        </w:rPr>
      </w:pPr>
      <w:r w:rsidRPr="00913E39">
        <w:rPr>
          <w:rFonts w:ascii="Garamond" w:hAnsi="Garamond"/>
          <w:sz w:val="24"/>
          <w:szCs w:val="24"/>
        </w:rPr>
        <w:t xml:space="preserve">5.2 Objektivi i përgjithshëm i Projektit: </w:t>
      </w:r>
      <w:r w:rsidRPr="00913E39">
        <w:rPr>
          <w:rFonts w:ascii="Garamond" w:hAnsi="Garamond"/>
          <w:i/>
          <w:iCs/>
          <w:sz w:val="24"/>
          <w:szCs w:val="24"/>
        </w:rPr>
        <w:t>Shpjegoni me një fjali</w:t>
      </w:r>
    </w:p>
    <w:p w14:paraId="5F9021A9" w14:textId="204343AF" w:rsidR="00564DFD" w:rsidRPr="00913E39" w:rsidRDefault="00564DFD" w:rsidP="001E7BC5">
      <w:pPr>
        <w:tabs>
          <w:tab w:val="left" w:pos="1701"/>
        </w:tabs>
        <w:spacing w:after="0" w:line="240" w:lineRule="auto"/>
        <w:ind w:firstLine="284"/>
        <w:jc w:val="both"/>
        <w:rPr>
          <w:rFonts w:ascii="Garamond" w:hAnsi="Garamond"/>
          <w:i/>
          <w:iCs/>
          <w:sz w:val="24"/>
          <w:szCs w:val="24"/>
        </w:rPr>
      </w:pPr>
      <w:r w:rsidRPr="00913E39">
        <w:rPr>
          <w:rFonts w:ascii="Garamond" w:hAnsi="Garamond"/>
          <w:sz w:val="24"/>
          <w:szCs w:val="24"/>
        </w:rPr>
        <w:t xml:space="preserve">5.3 Objektivat </w:t>
      </w:r>
      <w:r w:rsidR="001E7BC5" w:rsidRPr="00913E39">
        <w:rPr>
          <w:rFonts w:ascii="Garamond" w:hAnsi="Garamond"/>
          <w:sz w:val="24"/>
          <w:szCs w:val="24"/>
        </w:rPr>
        <w:t xml:space="preserve">specifikë </w:t>
      </w:r>
      <w:r w:rsidRPr="00913E39">
        <w:rPr>
          <w:rFonts w:ascii="Garamond" w:hAnsi="Garamond"/>
          <w:sz w:val="24"/>
          <w:szCs w:val="24"/>
        </w:rPr>
        <w:t>të Projektit:</w:t>
      </w:r>
      <w:r w:rsidRPr="00913E39">
        <w:rPr>
          <w:rFonts w:ascii="Garamond" w:hAnsi="Garamond"/>
          <w:i/>
          <w:iCs/>
          <w:sz w:val="24"/>
          <w:szCs w:val="24"/>
        </w:rPr>
        <w:t xml:space="preserve"> Shpjegoni me një fjali</w:t>
      </w:r>
    </w:p>
    <w:p w14:paraId="3768480E" w14:textId="3D5CA171" w:rsidR="00564DFD" w:rsidRPr="00913E39" w:rsidRDefault="00564DFD" w:rsidP="001E7BC5">
      <w:pPr>
        <w:tabs>
          <w:tab w:val="left" w:pos="1701"/>
        </w:tabs>
        <w:spacing w:after="0" w:line="240" w:lineRule="auto"/>
        <w:ind w:firstLine="284"/>
        <w:jc w:val="both"/>
        <w:rPr>
          <w:rFonts w:ascii="Garamond" w:hAnsi="Garamond"/>
          <w:sz w:val="24"/>
          <w:szCs w:val="24"/>
        </w:rPr>
      </w:pPr>
      <w:r w:rsidRPr="00913E39">
        <w:rPr>
          <w:rFonts w:ascii="Garamond" w:hAnsi="Garamond"/>
          <w:sz w:val="24"/>
          <w:szCs w:val="24"/>
        </w:rPr>
        <w:t xml:space="preserve">5.4 Rezultatet </w:t>
      </w:r>
      <w:r w:rsidRPr="00913E39">
        <w:rPr>
          <w:rFonts w:ascii="Garamond" w:hAnsi="Garamond"/>
          <w:i/>
          <w:iCs/>
          <w:sz w:val="24"/>
          <w:szCs w:val="24"/>
        </w:rPr>
        <w:t>(luteni të tregoni rezultatet e këtij veprimi dhe mënyrës se si ato lidhen me programet operacionale shumëvjeçare të fushave përkatëse të mbështetjes)</w:t>
      </w:r>
    </w:p>
    <w:p w14:paraId="36A11DFF" w14:textId="77777777" w:rsidR="00564DFD" w:rsidRPr="00913E39" w:rsidRDefault="00564DFD" w:rsidP="001E7BC5">
      <w:pPr>
        <w:tabs>
          <w:tab w:val="left" w:pos="1701"/>
        </w:tabs>
        <w:spacing w:after="0" w:line="240" w:lineRule="auto"/>
        <w:ind w:firstLine="284"/>
        <w:jc w:val="both"/>
        <w:rPr>
          <w:rFonts w:ascii="Garamond" w:hAnsi="Garamond"/>
          <w:sz w:val="24"/>
          <w:szCs w:val="24"/>
        </w:rPr>
      </w:pPr>
      <w:r w:rsidRPr="00913E39">
        <w:rPr>
          <w:rFonts w:ascii="Garamond" w:hAnsi="Garamond"/>
          <w:sz w:val="24"/>
          <w:szCs w:val="24"/>
        </w:rPr>
        <w:t>5.5 Aktivitetet karakterizuese:</w:t>
      </w:r>
    </w:p>
    <w:p w14:paraId="5E08A277" w14:textId="59DE2F2E" w:rsidR="00564DFD" w:rsidRPr="00913E39" w:rsidRDefault="00564DFD" w:rsidP="001E7BC5">
      <w:pPr>
        <w:tabs>
          <w:tab w:val="left" w:pos="1701"/>
        </w:tabs>
        <w:spacing w:after="0" w:line="240" w:lineRule="auto"/>
        <w:ind w:firstLine="284"/>
        <w:jc w:val="both"/>
        <w:rPr>
          <w:rFonts w:ascii="Garamond" w:hAnsi="Garamond"/>
          <w:sz w:val="24"/>
          <w:szCs w:val="24"/>
        </w:rPr>
      </w:pPr>
      <w:r w:rsidRPr="00913E39">
        <w:rPr>
          <w:rFonts w:ascii="Garamond" w:hAnsi="Garamond"/>
          <w:sz w:val="24"/>
          <w:szCs w:val="24"/>
        </w:rPr>
        <w:t xml:space="preserve">5.6 Treguesit: </w:t>
      </w:r>
      <w:r w:rsidR="006908E5" w:rsidRPr="00913E39">
        <w:rPr>
          <w:rFonts w:ascii="Garamond" w:hAnsi="Garamond"/>
          <w:i/>
          <w:iCs/>
          <w:sz w:val="24"/>
          <w:szCs w:val="24"/>
        </w:rPr>
        <w:t>l</w:t>
      </w:r>
      <w:r w:rsidRPr="00913E39">
        <w:rPr>
          <w:rFonts w:ascii="Garamond" w:hAnsi="Garamond"/>
          <w:i/>
          <w:iCs/>
          <w:sz w:val="24"/>
          <w:szCs w:val="24"/>
        </w:rPr>
        <w:t>uteni të përdorni treguesit që janë të rëndësishëm për veprimin nga Kuadri i Rezultateve të IPA III</w:t>
      </w:r>
      <w:r w:rsidRPr="00913E39">
        <w:rPr>
          <w:rStyle w:val="FootnoteReference"/>
          <w:rFonts w:ascii="Garamond" w:hAnsi="Garamond"/>
          <w:i/>
          <w:iCs/>
          <w:sz w:val="24"/>
          <w:szCs w:val="24"/>
        </w:rPr>
        <w:footnoteReference w:id="129"/>
      </w:r>
      <w:r w:rsidRPr="00913E39">
        <w:rPr>
          <w:rFonts w:ascii="Garamond" w:hAnsi="Garamond"/>
          <w:i/>
          <w:iCs/>
          <w:sz w:val="24"/>
          <w:szCs w:val="24"/>
        </w:rPr>
        <w:t>.</w:t>
      </w:r>
    </w:p>
    <w:p w14:paraId="0C4D9F7A" w14:textId="77777777" w:rsidR="00564DFD" w:rsidRPr="00913E39" w:rsidRDefault="00564DFD" w:rsidP="001E7BC5">
      <w:pPr>
        <w:tabs>
          <w:tab w:val="left" w:pos="1701"/>
        </w:tabs>
        <w:spacing w:after="0" w:line="240" w:lineRule="auto"/>
        <w:ind w:firstLine="284"/>
        <w:jc w:val="both"/>
        <w:rPr>
          <w:rFonts w:ascii="Garamond" w:hAnsi="Garamond"/>
          <w:sz w:val="24"/>
          <w:szCs w:val="24"/>
        </w:rPr>
      </w:pPr>
      <w:r w:rsidRPr="00913E39">
        <w:rPr>
          <w:rFonts w:ascii="Garamond" w:hAnsi="Garamond"/>
          <w:sz w:val="24"/>
          <w:szCs w:val="24"/>
        </w:rPr>
        <w:t xml:space="preserve">5.7 Vendndodhja (vendndodhjet) tipike: </w:t>
      </w:r>
    </w:p>
    <w:p w14:paraId="18EBC28C" w14:textId="5FD10B90" w:rsidR="00564DFD" w:rsidRPr="00913E39" w:rsidRDefault="00564DFD" w:rsidP="001E7BC5">
      <w:pPr>
        <w:tabs>
          <w:tab w:val="left" w:pos="1701"/>
        </w:tabs>
        <w:spacing w:after="0" w:line="240" w:lineRule="auto"/>
        <w:ind w:firstLine="284"/>
        <w:jc w:val="both"/>
        <w:rPr>
          <w:rFonts w:ascii="Garamond" w:hAnsi="Garamond"/>
          <w:sz w:val="24"/>
          <w:szCs w:val="24"/>
        </w:rPr>
      </w:pPr>
      <w:r w:rsidRPr="00913E39">
        <w:rPr>
          <w:rFonts w:ascii="Garamond" w:hAnsi="Garamond"/>
          <w:sz w:val="24"/>
          <w:szCs w:val="24"/>
        </w:rPr>
        <w:t xml:space="preserve">5.8 Kohëzgjatja: </w:t>
      </w:r>
      <w:r w:rsidR="006908E5" w:rsidRPr="00913E39">
        <w:rPr>
          <w:rFonts w:ascii="Garamond" w:hAnsi="Garamond"/>
          <w:i/>
          <w:iCs/>
          <w:sz w:val="24"/>
          <w:szCs w:val="24"/>
        </w:rPr>
        <w:t>k</w:t>
      </w:r>
      <w:r w:rsidRPr="00913E39">
        <w:rPr>
          <w:rFonts w:ascii="Garamond" w:hAnsi="Garamond"/>
          <w:i/>
          <w:iCs/>
          <w:sz w:val="24"/>
          <w:szCs w:val="24"/>
        </w:rPr>
        <w:t>ohëzgjatja e veprimit nuk mund të kalojë datën përfundimtare të pranueshmërisë së shpenzimeve të përcaktuar në Marrëveshjen e Financimit</w:t>
      </w:r>
    </w:p>
    <w:p w14:paraId="27932351" w14:textId="726926FB" w:rsidR="00564DFD" w:rsidRPr="00913E39" w:rsidRDefault="00564DFD" w:rsidP="001E7BC5">
      <w:pPr>
        <w:tabs>
          <w:tab w:val="left" w:pos="1701"/>
        </w:tabs>
        <w:spacing w:after="0" w:line="240" w:lineRule="auto"/>
        <w:ind w:firstLine="284"/>
        <w:jc w:val="both"/>
        <w:rPr>
          <w:rFonts w:ascii="Garamond" w:hAnsi="Garamond"/>
          <w:sz w:val="24"/>
          <w:szCs w:val="24"/>
        </w:rPr>
      </w:pPr>
      <w:r w:rsidRPr="00913E39">
        <w:rPr>
          <w:rFonts w:ascii="Garamond" w:hAnsi="Garamond"/>
          <w:sz w:val="24"/>
          <w:szCs w:val="24"/>
        </w:rPr>
        <w:t>5.9</w:t>
      </w:r>
      <w:r w:rsidR="00AB2B27" w:rsidRPr="00913E39">
        <w:rPr>
          <w:rFonts w:ascii="Garamond" w:hAnsi="Garamond"/>
          <w:sz w:val="24"/>
          <w:szCs w:val="24"/>
        </w:rPr>
        <w:t xml:space="preserve"> </w:t>
      </w:r>
      <w:r w:rsidRPr="00913E39">
        <w:rPr>
          <w:rFonts w:ascii="Garamond" w:hAnsi="Garamond"/>
          <w:sz w:val="24"/>
          <w:szCs w:val="24"/>
        </w:rPr>
        <w:t xml:space="preserve">Përftuesit fundorë dhe grupet e synuara: </w:t>
      </w:r>
      <w:r w:rsidRPr="00913E39">
        <w:rPr>
          <w:rFonts w:ascii="Garamond" w:hAnsi="Garamond"/>
          <w:i/>
          <w:iCs/>
          <w:sz w:val="24"/>
          <w:szCs w:val="24"/>
        </w:rPr>
        <w:t>identifikimi i kategorisë dhe grupeve të institucioneve, organizatave dhe partnerëve socialë dhe ekonomikë që do të kenë të drejtë për mbështetje në çdo aktivitet.</w:t>
      </w:r>
      <w:r w:rsidRPr="00913E39">
        <w:rPr>
          <w:rFonts w:ascii="Garamond" w:hAnsi="Garamond"/>
          <w:sz w:val="24"/>
          <w:szCs w:val="24"/>
        </w:rPr>
        <w:t xml:space="preserve"> </w:t>
      </w:r>
    </w:p>
    <w:p w14:paraId="52BEA594" w14:textId="143266FA"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6. Planzbatimi</w:t>
      </w:r>
    </w:p>
    <w:p w14:paraId="76E2FFB8" w14:textId="0BD20CB2" w:rsidR="00564DFD" w:rsidRPr="00913E39" w:rsidRDefault="00564DFD" w:rsidP="001E7BC5">
      <w:pPr>
        <w:spacing w:after="0" w:line="240" w:lineRule="auto"/>
        <w:ind w:firstLine="284"/>
        <w:jc w:val="both"/>
        <w:rPr>
          <w:rFonts w:ascii="Garamond" w:hAnsi="Garamond"/>
          <w:i/>
          <w:iCs/>
          <w:sz w:val="24"/>
          <w:szCs w:val="24"/>
        </w:rPr>
      </w:pPr>
      <w:r w:rsidRPr="00913E39">
        <w:rPr>
          <w:rFonts w:ascii="Garamond" w:hAnsi="Garamond"/>
          <w:sz w:val="24"/>
          <w:szCs w:val="24"/>
        </w:rPr>
        <w:t>6.1</w:t>
      </w:r>
      <w:r w:rsidR="00AB2B27" w:rsidRPr="00913E39">
        <w:rPr>
          <w:rFonts w:ascii="Garamond" w:hAnsi="Garamond"/>
          <w:sz w:val="24"/>
          <w:szCs w:val="24"/>
        </w:rPr>
        <w:t xml:space="preserve"> </w:t>
      </w:r>
      <w:r w:rsidRPr="00913E39">
        <w:rPr>
          <w:rFonts w:ascii="Garamond" w:hAnsi="Garamond"/>
          <w:sz w:val="24"/>
          <w:szCs w:val="24"/>
        </w:rPr>
        <w:t xml:space="preserve">Kuadri </w:t>
      </w:r>
      <w:r w:rsidR="009B31EE" w:rsidRPr="00913E39">
        <w:rPr>
          <w:rFonts w:ascii="Garamond" w:hAnsi="Garamond"/>
          <w:sz w:val="24"/>
          <w:szCs w:val="24"/>
        </w:rPr>
        <w:t>institucional</w:t>
      </w:r>
      <w:r w:rsidRPr="00913E39">
        <w:rPr>
          <w:rFonts w:ascii="Garamond" w:hAnsi="Garamond"/>
          <w:sz w:val="24"/>
          <w:szCs w:val="24"/>
        </w:rPr>
        <w:t xml:space="preserve">: </w:t>
      </w:r>
      <w:r w:rsidRPr="00913E39">
        <w:rPr>
          <w:rFonts w:ascii="Garamond" w:hAnsi="Garamond"/>
          <w:i/>
          <w:iCs/>
          <w:sz w:val="24"/>
          <w:szCs w:val="24"/>
        </w:rPr>
        <w:t>Rregullimet institucionale të parashikuara për zbatimin e veprimit, p.sh. njësia e koordinimit të veprimit, komiteti drejtues, autoritetet rajonale dhe/ose krahinore, ekipi i asistencës teknike</w:t>
      </w:r>
    </w:p>
    <w:p w14:paraId="7D7937B1" w14:textId="4EDF8CEB" w:rsidR="00564DFD" w:rsidRPr="00913E39" w:rsidRDefault="00564DFD" w:rsidP="001E7BC5">
      <w:pPr>
        <w:spacing w:after="0" w:line="240" w:lineRule="auto"/>
        <w:ind w:firstLine="284"/>
        <w:jc w:val="both"/>
        <w:rPr>
          <w:rFonts w:ascii="Garamond" w:hAnsi="Garamond"/>
          <w:i/>
          <w:iCs/>
          <w:sz w:val="24"/>
          <w:szCs w:val="24"/>
        </w:rPr>
      </w:pPr>
      <w:r w:rsidRPr="00913E39">
        <w:rPr>
          <w:rFonts w:ascii="Garamond" w:hAnsi="Garamond"/>
          <w:sz w:val="24"/>
          <w:szCs w:val="24"/>
        </w:rPr>
        <w:t xml:space="preserve">6.2 Struktura dhe metodologjia e propozuar e monitorimit: </w:t>
      </w:r>
      <w:r w:rsidRPr="00913E39">
        <w:rPr>
          <w:rFonts w:ascii="Garamond" w:hAnsi="Garamond"/>
          <w:i/>
          <w:iCs/>
          <w:sz w:val="24"/>
          <w:szCs w:val="24"/>
        </w:rPr>
        <w:t>Kush do të jetë përgjegjës për monitorimin e veprimit, si do të monitorohet, cila do të jetë radha e punës dhe linjat e raportimit</w:t>
      </w:r>
    </w:p>
    <w:p w14:paraId="2E5A7943" w14:textId="77777777"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7. Përmbushja</w:t>
      </w:r>
    </w:p>
    <w:p w14:paraId="5FEAD1D6" w14:textId="470967CA"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 xml:space="preserve">7.1 Procedurat dhe kontratat e kërkuara për zbatimin e veprimit dhe renditja e tyre: </w:t>
      </w:r>
    </w:p>
    <w:p w14:paraId="4E80D80E" w14:textId="5FEDF573" w:rsidR="00564DFD" w:rsidRPr="00913E39" w:rsidRDefault="00564DFD" w:rsidP="001E7BC5">
      <w:pPr>
        <w:spacing w:after="0" w:line="240" w:lineRule="auto"/>
        <w:ind w:firstLine="284"/>
        <w:jc w:val="both"/>
        <w:rPr>
          <w:rFonts w:ascii="Garamond" w:hAnsi="Garamond"/>
          <w:i/>
          <w:iCs/>
          <w:sz w:val="24"/>
          <w:szCs w:val="24"/>
        </w:rPr>
      </w:pPr>
      <w:r w:rsidRPr="00913E39">
        <w:rPr>
          <w:rFonts w:ascii="Garamond" w:hAnsi="Garamond"/>
          <w:i/>
          <w:iCs/>
          <w:sz w:val="24"/>
          <w:szCs w:val="24"/>
        </w:rPr>
        <w:t>Listoni llojin e procedurave (thirrje për propozime, zbatim i drejtpërdrejtë nga institucionet kombëtare pa thirrje paraprake për propozime, marrëveshje direkte me organizata ndërkombëtare etj.) dhe kontratat përkatëse (kontratat e granteve, marrëveshjet e kontributit me organizatat ndërkombëtare, shërbimet, furnizimet, punimet etj.) për aktivitetet e propozuara, së bashku me afatin kohor dhe vijueshmërinë e tyre, duke përfshirë fillimin e pritshëm të tenderimit, fillimin e pritshëm të veprimit dhe kohëzgjatjen e tij. Ju lutemi</w:t>
      </w:r>
      <w:r w:rsidR="00B24371" w:rsidRPr="00913E39">
        <w:rPr>
          <w:rFonts w:ascii="Garamond" w:hAnsi="Garamond"/>
          <w:i/>
          <w:iCs/>
          <w:sz w:val="24"/>
          <w:szCs w:val="24"/>
        </w:rPr>
        <w:t>,</w:t>
      </w:r>
      <w:r w:rsidRPr="00913E39">
        <w:rPr>
          <w:rFonts w:ascii="Garamond" w:hAnsi="Garamond"/>
          <w:i/>
          <w:iCs/>
          <w:sz w:val="24"/>
          <w:szCs w:val="24"/>
        </w:rPr>
        <w:t xml:space="preserve"> shtoni një justifikim për çdo modalitet zbatimi të treguar, veçanërisht në rast se parashikohen grante të drejtpërdrejta ose marrëveshje kontributi me </w:t>
      </w:r>
      <w:r w:rsidR="009B31EE" w:rsidRPr="00913E39">
        <w:rPr>
          <w:rFonts w:ascii="Garamond" w:hAnsi="Garamond"/>
          <w:i/>
          <w:iCs/>
          <w:sz w:val="24"/>
          <w:szCs w:val="24"/>
        </w:rPr>
        <w:t>organizatat ndërkombëtare.</w:t>
      </w:r>
    </w:p>
    <w:p w14:paraId="3FED7EB5" w14:textId="77777777"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7.2 Dokumentacioni mbështetës</w:t>
      </w:r>
    </w:p>
    <w:p w14:paraId="1522B5A1" w14:textId="41109A8A" w:rsidR="00564DFD" w:rsidRPr="00913E39" w:rsidRDefault="00564DFD" w:rsidP="001E7BC5">
      <w:pPr>
        <w:pStyle w:val="NumPar1"/>
        <w:numPr>
          <w:ilvl w:val="0"/>
          <w:numId w:val="0"/>
        </w:numPr>
        <w:spacing w:before="0" w:after="0"/>
        <w:ind w:firstLine="284"/>
        <w:rPr>
          <w:rFonts w:ascii="Garamond" w:hAnsi="Garamond"/>
          <w:i/>
          <w:iCs/>
          <w:szCs w:val="24"/>
        </w:rPr>
      </w:pPr>
      <w:r w:rsidRPr="00913E39">
        <w:rPr>
          <w:rFonts w:ascii="Garamond" w:hAnsi="Garamond"/>
          <w:i/>
          <w:iCs/>
          <w:szCs w:val="24"/>
        </w:rPr>
        <w:t>Për secilën nga llojet e procedurave të prokurimit të përmendura në 7.1, ju lutemi tregoni se cilat dokumente mbështetëse janë në dispozicion (d.m.th. dosjet e tenderit, termat e referencës, specifikimet teknike, thirrjet për propozime, drafti i mikrofishave për binjakëzim), duke përfshirë, nëse ka vend, projektet e infrastrukturës, studime projektim, vlerësimin e ndikimit në mjedis (VNM), analizën kosto-përfitim (CBA) etj.</w:t>
      </w:r>
    </w:p>
    <w:p w14:paraId="6F9EAD17" w14:textId="77777777"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8. Risqe dhe supozime</w:t>
      </w:r>
    </w:p>
    <w:p w14:paraId="35632FC3" w14:textId="77777777"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9. Qëndrueshmëria:</w:t>
      </w:r>
    </w:p>
    <w:p w14:paraId="392C0E9A" w14:textId="77777777" w:rsidR="00564DFD" w:rsidRPr="00913E39" w:rsidRDefault="00564DFD" w:rsidP="001E7BC5">
      <w:pPr>
        <w:spacing w:after="0" w:line="240" w:lineRule="auto"/>
        <w:ind w:firstLine="284"/>
        <w:jc w:val="both"/>
        <w:rPr>
          <w:rFonts w:ascii="Garamond" w:hAnsi="Garamond"/>
          <w:i/>
          <w:iCs/>
          <w:sz w:val="24"/>
          <w:szCs w:val="24"/>
        </w:rPr>
      </w:pPr>
      <w:r w:rsidRPr="00913E39">
        <w:rPr>
          <w:rFonts w:ascii="Garamond" w:hAnsi="Garamond"/>
          <w:i/>
          <w:iCs/>
          <w:sz w:val="24"/>
          <w:szCs w:val="24"/>
        </w:rPr>
        <w:t xml:space="preserve">Përfshini detaje mbi qëndrueshmërinë e projektit, d.m.th., nëse dhe në çfarë mase përfitimet/rezultatet e arritura (produktet dhe rezultatet) ka të ngjarë të vazhdojnë përtej periudhës së zbatimit të tij. Në veçanti, kjo pjesë duhet të përfshijë të paktën disa nga faktorët kryesorë që ndikojnë te qëndrueshmëria, të tilla si niveli i zotërimit të përfituesve, </w:t>
      </w:r>
      <w:r w:rsidRPr="00913E39">
        <w:rPr>
          <w:rFonts w:ascii="Garamond" w:hAnsi="Garamond"/>
          <w:i/>
          <w:iCs/>
          <w:sz w:val="24"/>
          <w:szCs w:val="24"/>
        </w:rPr>
        <w:lastRenderedPageBreak/>
        <w:t xml:space="preserve">kapacitetet e tyre institucionale të menaxhimit, burimet që ata angazhohen të sigurojnë për veprimin dhe ruajtjen e rezultateve pas përfundimit të projektit. </w:t>
      </w:r>
    </w:p>
    <w:p w14:paraId="6A38FDB7" w14:textId="4F885DE6"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10. Barazia gjinore dhe fuqizimi i grave dhe vajzave, mundësitë e barabarta, romët, minoritetet dhe grupet vulnerabël (sipas rastit):</w:t>
      </w:r>
    </w:p>
    <w:p w14:paraId="276A322B" w14:textId="77777777" w:rsidR="00564DFD" w:rsidRPr="00913E39" w:rsidRDefault="00564DFD" w:rsidP="001E7BC5">
      <w:pPr>
        <w:spacing w:after="0" w:line="240" w:lineRule="auto"/>
        <w:ind w:firstLine="284"/>
        <w:jc w:val="both"/>
        <w:rPr>
          <w:rFonts w:ascii="Garamond" w:hAnsi="Garamond"/>
          <w:i/>
          <w:sz w:val="24"/>
        </w:rPr>
      </w:pPr>
      <w:r w:rsidRPr="00913E39">
        <w:rPr>
          <w:rFonts w:ascii="Garamond" w:hAnsi="Garamond"/>
          <w:i/>
          <w:sz w:val="24"/>
        </w:rPr>
        <w:t>Ju lutemi tregoni se si projekti kontribuon në promovimin e barazisë gjinore dhe emancipimin e grave/vajzave. Përcaktoni nëse projekti merr parasysh aspektin gjinor. A është bërë një analizë e ndikimit gjinor? Nëse po, jepni shkurtimisht rezultatet e analizës dhe specifikoni masat që janë identifikuar për të garantuar parimin e barazisë gjinore. Nëse jo, duhet të jepet një shpjegim/arsyetim.</w:t>
      </w:r>
    </w:p>
    <w:p w14:paraId="3013698C" w14:textId="1680A0A3" w:rsidR="00564DFD" w:rsidRPr="00913E39" w:rsidRDefault="00564DFD" w:rsidP="001E7BC5">
      <w:pPr>
        <w:spacing w:after="0" w:line="240" w:lineRule="auto"/>
        <w:ind w:firstLine="284"/>
        <w:jc w:val="both"/>
        <w:rPr>
          <w:rFonts w:ascii="Garamond" w:hAnsi="Garamond"/>
          <w:i/>
          <w:sz w:val="24"/>
        </w:rPr>
      </w:pPr>
      <w:r w:rsidRPr="00913E39">
        <w:rPr>
          <w:rFonts w:ascii="Garamond" w:hAnsi="Garamond"/>
          <w:i/>
          <w:sz w:val="24"/>
        </w:rPr>
        <w:t>Ju lutemi identifikoni palët e interesuara (aktorët publikë dhe/ose jo-shtetërorë) më të prekur nga çështjet që do të trajtohen nga ky veprim, rolet dhe mandatet e tyre dhe çdo çështje institucionale, organizative dhe/ose kapacitetesh që do të mbulohen nga veprimi. Vëmendje e veçantë duhet t</w:t>
      </w:r>
      <w:r w:rsidR="005222A5" w:rsidRPr="00913E39">
        <w:rPr>
          <w:rFonts w:ascii="Garamond" w:hAnsi="Garamond"/>
          <w:i/>
          <w:sz w:val="24"/>
        </w:rPr>
        <w:t>’</w:t>
      </w:r>
      <w:r w:rsidRPr="00913E39">
        <w:rPr>
          <w:rFonts w:ascii="Garamond" w:hAnsi="Garamond"/>
          <w:i/>
          <w:sz w:val="24"/>
        </w:rPr>
        <w:t>i kushtohet grupeve më vulnerabël – përfshirë romët – të cilët mund të ndikohen pozitivisht ose negativisht nga veprimi, duke përfshirë rreziqet e shkaktimit të dëmit (jo më pak në vendet e dobëta dhe të prekura nga konflikti), si dhe palëve të interesuara që i përfaqësojnë ata</w:t>
      </w:r>
    </w:p>
    <w:p w14:paraId="73C4F619" w14:textId="2E7E331F"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11</w:t>
      </w:r>
      <w:r w:rsidR="00850FC7" w:rsidRPr="00913E39">
        <w:rPr>
          <w:rFonts w:ascii="Garamond" w:hAnsi="Garamond"/>
          <w:szCs w:val="24"/>
        </w:rPr>
        <w:t>.</w:t>
      </w:r>
      <w:r w:rsidRPr="00913E39">
        <w:rPr>
          <w:rFonts w:ascii="Garamond" w:hAnsi="Garamond"/>
          <w:szCs w:val="24"/>
        </w:rPr>
        <w:t xml:space="preserve"> Fondet e kërkuara nga Komisioni E</w:t>
      </w:r>
      <w:r w:rsidR="009B31EE" w:rsidRPr="00913E39">
        <w:rPr>
          <w:rFonts w:ascii="Garamond" w:hAnsi="Garamond"/>
          <w:szCs w:val="24"/>
        </w:rPr>
        <w:t>v</w:t>
      </w:r>
      <w:r w:rsidRPr="00913E39">
        <w:rPr>
          <w:rFonts w:ascii="Garamond" w:hAnsi="Garamond"/>
          <w:szCs w:val="24"/>
        </w:rPr>
        <w:t xml:space="preserve">ropian: </w:t>
      </w:r>
    </w:p>
    <w:p w14:paraId="66221FE8" w14:textId="77777777" w:rsidR="00564DFD" w:rsidRPr="00913E39" w:rsidRDefault="00564DFD" w:rsidP="001E7BC5">
      <w:pPr>
        <w:autoSpaceDE w:val="0"/>
        <w:autoSpaceDN w:val="0"/>
        <w:adjustRightInd w:val="0"/>
        <w:spacing w:after="0" w:line="240" w:lineRule="auto"/>
        <w:ind w:firstLine="284"/>
        <w:jc w:val="both"/>
        <w:rPr>
          <w:rFonts w:ascii="Garamond" w:hAnsi="Garamond"/>
          <w:i/>
          <w:iCs/>
          <w:sz w:val="24"/>
          <w:szCs w:val="24"/>
        </w:rPr>
      </w:pPr>
      <w:r w:rsidRPr="00913E39">
        <w:rPr>
          <w:rFonts w:ascii="Garamond" w:hAnsi="Garamond"/>
          <w:i/>
          <w:iCs/>
          <w:sz w:val="24"/>
          <w:szCs w:val="24"/>
        </w:rPr>
        <w:t>(Kontributi i Unionit nuk duhet të kalojë 85% në nivelin e fushës së mbështetjes)</w:t>
      </w:r>
    </w:p>
    <w:p w14:paraId="462EE6D1" w14:textId="02544DC7"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12</w:t>
      </w:r>
      <w:r w:rsidR="00850FC7" w:rsidRPr="00913E39">
        <w:rPr>
          <w:rFonts w:ascii="Garamond" w:hAnsi="Garamond"/>
          <w:szCs w:val="24"/>
        </w:rPr>
        <w:t>.</w:t>
      </w:r>
      <w:r w:rsidRPr="00913E39">
        <w:rPr>
          <w:rFonts w:ascii="Garamond" w:hAnsi="Garamond"/>
          <w:szCs w:val="24"/>
        </w:rPr>
        <w:t xml:space="preserve"> Bashkëfinancimi: </w:t>
      </w:r>
      <w:r w:rsidRPr="00913E39">
        <w:rPr>
          <w:rFonts w:ascii="Garamond" w:hAnsi="Garamond"/>
          <w:i/>
          <w:iCs/>
          <w:szCs w:val="24"/>
        </w:rPr>
        <w:t>(ju lutemi identifikoni kontributin total që pritet sipas burimit)</w:t>
      </w:r>
      <w:r w:rsidRPr="00913E39">
        <w:rPr>
          <w:rFonts w:ascii="Garamond" w:hAnsi="Garamond"/>
          <w:szCs w:val="24"/>
        </w:rPr>
        <w:t xml:space="preserve"> </w:t>
      </w:r>
    </w:p>
    <w:p w14:paraId="1059AA1C" w14:textId="77386AFC"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13</w:t>
      </w:r>
      <w:r w:rsidR="00850FC7" w:rsidRPr="00913E39">
        <w:rPr>
          <w:rFonts w:ascii="Garamond" w:hAnsi="Garamond"/>
          <w:szCs w:val="24"/>
        </w:rPr>
        <w:t>.</w:t>
      </w:r>
      <w:r w:rsidRPr="00913E39">
        <w:rPr>
          <w:rFonts w:ascii="Garamond" w:hAnsi="Garamond"/>
          <w:szCs w:val="24"/>
        </w:rPr>
        <w:t xml:space="preserve"> Ndarja e buxhetit: </w:t>
      </w:r>
    </w:p>
    <w:p w14:paraId="5ADFA0E7" w14:textId="77777777" w:rsidR="00564DFD" w:rsidRPr="00913E39" w:rsidRDefault="00564DFD" w:rsidP="001E7BC5">
      <w:pPr>
        <w:spacing w:after="0" w:line="240" w:lineRule="auto"/>
        <w:ind w:firstLine="284"/>
        <w:jc w:val="both"/>
        <w:rPr>
          <w:rFonts w:ascii="Garamond" w:hAnsi="Garamond"/>
          <w:i/>
          <w:iCs/>
          <w:sz w:val="24"/>
          <w:szCs w:val="24"/>
        </w:rPr>
      </w:pPr>
      <w:r w:rsidRPr="00913E39">
        <w:rPr>
          <w:rFonts w:ascii="Garamond" w:hAnsi="Garamond"/>
          <w:i/>
          <w:iCs/>
          <w:sz w:val="24"/>
          <w:szCs w:val="24"/>
        </w:rPr>
        <w:t xml:space="preserve">(Konstatues, sipas llojit të procedurës së prokurimit, duke përfshirë koston totale të përllogaritur, kontributin IPA, kontributin publik kombëtar dhe kontributin privat) </w:t>
      </w:r>
    </w:p>
    <w:p w14:paraId="502CA89D" w14:textId="77777777" w:rsidR="00564DFD" w:rsidRPr="00913E39" w:rsidRDefault="00564DFD" w:rsidP="001E7BC5">
      <w:pPr>
        <w:pStyle w:val="ListParagraph"/>
        <w:spacing w:after="0" w:line="240" w:lineRule="auto"/>
        <w:ind w:left="0" w:firstLine="284"/>
        <w:jc w:val="both"/>
        <w:rPr>
          <w:rFonts w:ascii="Garamond" w:hAnsi="Garamond"/>
          <w:b/>
          <w:bCs/>
          <w:sz w:val="24"/>
          <w:szCs w:val="24"/>
        </w:rPr>
      </w:pPr>
      <w:r w:rsidRPr="00913E39">
        <w:rPr>
          <w:rFonts w:ascii="Garamond" w:hAnsi="Garamond"/>
          <w:b/>
          <w:bCs/>
          <w:sz w:val="24"/>
          <w:szCs w:val="24"/>
        </w:rPr>
        <w:t>- Vetëm për operacionet që përfshijnë projektet e infrastrukturës -</w:t>
      </w:r>
    </w:p>
    <w:p w14:paraId="5C4D820C" w14:textId="4A6D3F62"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14</w:t>
      </w:r>
      <w:r w:rsidR="00850FC7" w:rsidRPr="00913E39">
        <w:rPr>
          <w:rFonts w:ascii="Garamond" w:hAnsi="Garamond"/>
          <w:szCs w:val="24"/>
        </w:rPr>
        <w:t>.</w:t>
      </w:r>
      <w:r w:rsidRPr="00913E39">
        <w:rPr>
          <w:rFonts w:ascii="Garamond" w:hAnsi="Garamond"/>
          <w:szCs w:val="24"/>
        </w:rPr>
        <w:t xml:space="preserve"> Analiza financiare dhe vlerësimi ekonomik </w:t>
      </w:r>
    </w:p>
    <w:p w14:paraId="2482FF98" w14:textId="5DA0D69F" w:rsidR="00564DFD" w:rsidRPr="00913E39" w:rsidRDefault="00564DFD" w:rsidP="001E7BC5">
      <w:pPr>
        <w:pStyle w:val="NumPar1"/>
        <w:numPr>
          <w:ilvl w:val="0"/>
          <w:numId w:val="0"/>
        </w:numPr>
        <w:tabs>
          <w:tab w:val="num" w:pos="3338"/>
        </w:tabs>
        <w:spacing w:before="0" w:after="0"/>
        <w:ind w:firstLine="284"/>
        <w:rPr>
          <w:rFonts w:ascii="Garamond" w:hAnsi="Garamond"/>
          <w:i/>
          <w:iCs/>
          <w:szCs w:val="24"/>
        </w:rPr>
      </w:pPr>
      <w:r w:rsidRPr="00913E39">
        <w:rPr>
          <w:rFonts w:ascii="Garamond" w:hAnsi="Garamond"/>
          <w:i/>
          <w:iCs/>
          <w:szCs w:val="24"/>
        </w:rPr>
        <w:t xml:space="preserve">(nëse është e zbatueshme </w:t>
      </w:r>
      <w:r w:rsidR="009B31EE" w:rsidRPr="00913E39">
        <w:rPr>
          <w:rFonts w:ascii="Garamond" w:hAnsi="Garamond"/>
          <w:i/>
          <w:iCs/>
          <w:szCs w:val="24"/>
        </w:rPr>
        <w:t>–</w:t>
      </w:r>
      <w:r w:rsidRPr="00913E39">
        <w:rPr>
          <w:rFonts w:ascii="Garamond" w:hAnsi="Garamond"/>
          <w:i/>
          <w:iCs/>
          <w:szCs w:val="24"/>
        </w:rPr>
        <w:t xml:space="preserve"> Lutemi</w:t>
      </w:r>
      <w:r w:rsidR="009B31EE" w:rsidRPr="00913E39">
        <w:rPr>
          <w:rFonts w:ascii="Garamond" w:hAnsi="Garamond"/>
          <w:i/>
          <w:iCs/>
          <w:szCs w:val="24"/>
        </w:rPr>
        <w:t xml:space="preserve"> </w:t>
      </w:r>
      <w:r w:rsidRPr="00913E39">
        <w:rPr>
          <w:rFonts w:ascii="Garamond" w:hAnsi="Garamond"/>
          <w:i/>
          <w:iCs/>
          <w:szCs w:val="24"/>
        </w:rPr>
        <w:t>t</w:t>
      </w:r>
      <w:r w:rsidR="005222A5" w:rsidRPr="00913E39">
        <w:rPr>
          <w:rFonts w:ascii="Garamond" w:hAnsi="Garamond"/>
          <w:i/>
          <w:iCs/>
          <w:szCs w:val="24"/>
        </w:rPr>
        <w:t>’</w:t>
      </w:r>
      <w:r w:rsidRPr="00913E39">
        <w:rPr>
          <w:rFonts w:ascii="Garamond" w:hAnsi="Garamond"/>
          <w:i/>
          <w:iCs/>
          <w:szCs w:val="24"/>
        </w:rPr>
        <w:t xml:space="preserve">i referoheni gjithashtu udhëzimeve të përfshira në seksionin përkatës 3.3.2 të Aplikimit për </w:t>
      </w:r>
      <w:r w:rsidR="001E7BC5" w:rsidRPr="00913E39">
        <w:rPr>
          <w:rFonts w:ascii="Garamond" w:hAnsi="Garamond"/>
          <w:i/>
          <w:iCs/>
          <w:szCs w:val="24"/>
        </w:rPr>
        <w:t xml:space="preserve">projekt madhor për </w:t>
      </w:r>
      <w:r w:rsidRPr="00913E39">
        <w:rPr>
          <w:rFonts w:ascii="Garamond" w:hAnsi="Garamond"/>
          <w:i/>
          <w:iCs/>
          <w:szCs w:val="24"/>
        </w:rPr>
        <w:t>referencë)</w:t>
      </w:r>
    </w:p>
    <w:p w14:paraId="50944003" w14:textId="32F7CBC0" w:rsidR="00564DFD" w:rsidRPr="00913E39" w:rsidRDefault="00564DFD" w:rsidP="001E7BC5">
      <w:pPr>
        <w:spacing w:after="0" w:line="240" w:lineRule="auto"/>
        <w:ind w:firstLine="284"/>
        <w:jc w:val="both"/>
        <w:rPr>
          <w:rFonts w:ascii="Garamond" w:hAnsi="Garamond"/>
          <w:i/>
          <w:sz w:val="24"/>
          <w:szCs w:val="24"/>
        </w:rPr>
      </w:pPr>
      <w:r w:rsidRPr="00913E39">
        <w:rPr>
          <w:rFonts w:ascii="Garamond" w:hAnsi="Garamond"/>
          <w:i/>
          <w:iCs/>
          <w:sz w:val="24"/>
          <w:szCs w:val="24"/>
        </w:rPr>
        <w:t>Ju lutemi paraqisni element</w:t>
      </w:r>
      <w:r w:rsidR="00B1253D" w:rsidRPr="00913E39">
        <w:rPr>
          <w:rFonts w:ascii="Garamond" w:hAnsi="Garamond"/>
          <w:i/>
          <w:iCs/>
          <w:sz w:val="24"/>
          <w:szCs w:val="24"/>
        </w:rPr>
        <w:t>e</w:t>
      </w:r>
      <w:r w:rsidRPr="00913E39">
        <w:rPr>
          <w:rFonts w:ascii="Garamond" w:hAnsi="Garamond"/>
          <w:i/>
          <w:iCs/>
          <w:sz w:val="24"/>
          <w:szCs w:val="24"/>
        </w:rPr>
        <w:t>t kryesor</w:t>
      </w:r>
      <w:r w:rsidR="00B1253D" w:rsidRPr="00913E39">
        <w:rPr>
          <w:rFonts w:ascii="Garamond" w:hAnsi="Garamond"/>
          <w:i/>
          <w:iCs/>
          <w:sz w:val="24"/>
          <w:szCs w:val="24"/>
        </w:rPr>
        <w:t>e</w:t>
      </w:r>
      <w:r w:rsidRPr="00913E39">
        <w:rPr>
          <w:rFonts w:ascii="Garamond" w:hAnsi="Garamond"/>
          <w:i/>
          <w:iCs/>
          <w:sz w:val="24"/>
          <w:szCs w:val="24"/>
        </w:rPr>
        <w:t xml:space="preserve"> të analizës financiare, duke përfshirë</w:t>
      </w:r>
      <w:r w:rsidRPr="00913E39">
        <w:rPr>
          <w:rFonts w:ascii="Garamond" w:hAnsi="Garamond"/>
          <w:sz w:val="24"/>
          <w:szCs w:val="24"/>
        </w:rPr>
        <w:t xml:space="preserve"> </w:t>
      </w:r>
      <w:r w:rsidRPr="00913E39">
        <w:rPr>
          <w:rFonts w:ascii="Garamond" w:hAnsi="Garamond"/>
          <w:i/>
          <w:sz w:val="24"/>
          <w:szCs w:val="24"/>
        </w:rPr>
        <w:t>kostot e përllogaritura operative dhe të ardhurat, përballueshmërinë dhe qëndrueshmërinë financiare të investimit të propozuar, analizën ekonomike (sidomos metodologjinë e përdorur, rezultatet kryesore dhe koston kryesore, përfitimet dhe treguesit</w:t>
      </w:r>
      <w:r w:rsidR="00476EC9" w:rsidRPr="00913E39">
        <w:rPr>
          <w:rFonts w:ascii="Garamond" w:hAnsi="Garamond"/>
          <w:i/>
          <w:sz w:val="24"/>
          <w:szCs w:val="24"/>
        </w:rPr>
        <w:t>,</w:t>
      </w:r>
      <w:r w:rsidRPr="00913E39">
        <w:rPr>
          <w:rFonts w:ascii="Garamond" w:hAnsi="Garamond"/>
          <w:i/>
          <w:sz w:val="24"/>
          <w:szCs w:val="24"/>
        </w:rPr>
        <w:t xml:space="preserve"> si p.sh.</w:t>
      </w:r>
      <w:r w:rsidR="00476EC9" w:rsidRPr="00913E39">
        <w:rPr>
          <w:rFonts w:ascii="Garamond" w:hAnsi="Garamond"/>
          <w:i/>
          <w:sz w:val="24"/>
          <w:szCs w:val="24"/>
        </w:rPr>
        <w:t>,</w:t>
      </w:r>
      <w:r w:rsidRPr="00913E39">
        <w:rPr>
          <w:rFonts w:ascii="Garamond" w:hAnsi="Garamond"/>
          <w:i/>
          <w:sz w:val="24"/>
          <w:szCs w:val="24"/>
        </w:rPr>
        <w:t xml:space="preserve"> norma e zbritjes sociale, norma ekonomike e kthimit, vlera aktuale ekonomike neto dhe raporti-kosto-përfitim)</w:t>
      </w:r>
      <w:r w:rsidR="009B31EE" w:rsidRPr="00913E39">
        <w:rPr>
          <w:rFonts w:ascii="Garamond" w:hAnsi="Garamond"/>
          <w:i/>
          <w:sz w:val="24"/>
          <w:szCs w:val="24"/>
        </w:rPr>
        <w:t>.</w:t>
      </w:r>
    </w:p>
    <w:p w14:paraId="62688C1A" w14:textId="586FD651"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 xml:space="preserve">15. Vlerësimi i </w:t>
      </w:r>
      <w:r w:rsidR="009B31EE" w:rsidRPr="00913E39">
        <w:rPr>
          <w:rFonts w:ascii="Garamond" w:hAnsi="Garamond"/>
          <w:szCs w:val="24"/>
        </w:rPr>
        <w:t>ndikimit në mjedis</w:t>
      </w:r>
    </w:p>
    <w:p w14:paraId="5FD3B98E" w14:textId="51275982" w:rsidR="00564DFD" w:rsidRPr="00913E39" w:rsidRDefault="00564DFD" w:rsidP="001E7BC5">
      <w:pPr>
        <w:pStyle w:val="NumPar1"/>
        <w:numPr>
          <w:ilvl w:val="0"/>
          <w:numId w:val="0"/>
        </w:numPr>
        <w:tabs>
          <w:tab w:val="num" w:pos="3338"/>
        </w:tabs>
        <w:spacing w:before="0" w:after="0"/>
        <w:ind w:firstLine="284"/>
        <w:rPr>
          <w:rFonts w:ascii="Garamond" w:hAnsi="Garamond"/>
          <w:szCs w:val="24"/>
        </w:rPr>
      </w:pPr>
      <w:r w:rsidRPr="00913E39">
        <w:rPr>
          <w:rFonts w:ascii="Garamond" w:hAnsi="Garamond"/>
          <w:i/>
          <w:iCs/>
          <w:szCs w:val="24"/>
        </w:rPr>
        <w:t xml:space="preserve"> (nëse është e zbatueshme </w:t>
      </w:r>
      <w:r w:rsidR="009B31EE" w:rsidRPr="00913E39">
        <w:rPr>
          <w:rFonts w:ascii="Garamond" w:hAnsi="Garamond"/>
          <w:i/>
          <w:iCs/>
          <w:szCs w:val="24"/>
        </w:rPr>
        <w:t>–</w:t>
      </w:r>
      <w:r w:rsidRPr="00913E39">
        <w:rPr>
          <w:rFonts w:ascii="Garamond" w:hAnsi="Garamond"/>
          <w:i/>
          <w:iCs/>
          <w:szCs w:val="24"/>
        </w:rPr>
        <w:t xml:space="preserve"> Lutemi</w:t>
      </w:r>
      <w:r w:rsidR="009B31EE" w:rsidRPr="00913E39">
        <w:rPr>
          <w:rFonts w:ascii="Garamond" w:hAnsi="Garamond"/>
          <w:i/>
          <w:iCs/>
          <w:szCs w:val="24"/>
        </w:rPr>
        <w:t xml:space="preserve"> </w:t>
      </w:r>
      <w:r w:rsidRPr="00913E39">
        <w:rPr>
          <w:rFonts w:ascii="Garamond" w:hAnsi="Garamond"/>
          <w:i/>
          <w:iCs/>
          <w:szCs w:val="24"/>
        </w:rPr>
        <w:t>t</w:t>
      </w:r>
      <w:r w:rsidR="005222A5" w:rsidRPr="00913E39">
        <w:rPr>
          <w:rFonts w:ascii="Garamond" w:hAnsi="Garamond"/>
          <w:i/>
          <w:iCs/>
          <w:szCs w:val="24"/>
        </w:rPr>
        <w:t>’</w:t>
      </w:r>
      <w:r w:rsidRPr="00913E39">
        <w:rPr>
          <w:rFonts w:ascii="Garamond" w:hAnsi="Garamond"/>
          <w:i/>
          <w:iCs/>
          <w:szCs w:val="24"/>
        </w:rPr>
        <w:t xml:space="preserve">i referoheni gjithashtu pjesëve 4.3 dhe 4.4 </w:t>
      </w:r>
      <w:r w:rsidR="009B31EE" w:rsidRPr="00913E39">
        <w:rPr>
          <w:rFonts w:ascii="Garamond" w:hAnsi="Garamond"/>
          <w:i/>
          <w:iCs/>
          <w:szCs w:val="24"/>
        </w:rPr>
        <w:t xml:space="preserve">të aplikimit për projekt madhor </w:t>
      </w:r>
      <w:r w:rsidRPr="00913E39">
        <w:rPr>
          <w:rFonts w:ascii="Garamond" w:hAnsi="Garamond"/>
          <w:i/>
          <w:iCs/>
          <w:szCs w:val="24"/>
        </w:rPr>
        <w:t>për referencë)</w:t>
      </w:r>
      <w:r w:rsidRPr="00913E39">
        <w:rPr>
          <w:rFonts w:ascii="Garamond" w:hAnsi="Garamond"/>
          <w:szCs w:val="24"/>
        </w:rPr>
        <w:t xml:space="preserve">- </w:t>
      </w:r>
    </w:p>
    <w:p w14:paraId="58825CF1" w14:textId="77777777" w:rsidR="00564DFD" w:rsidRPr="00913E39" w:rsidRDefault="00564DFD" w:rsidP="001E7BC5">
      <w:pPr>
        <w:pStyle w:val="NumPar1"/>
        <w:numPr>
          <w:ilvl w:val="0"/>
          <w:numId w:val="0"/>
        </w:numPr>
        <w:spacing w:before="0" w:after="0"/>
        <w:ind w:firstLine="284"/>
        <w:rPr>
          <w:rFonts w:ascii="Garamond" w:hAnsi="Garamond"/>
          <w:i/>
          <w:iCs/>
          <w:szCs w:val="24"/>
        </w:rPr>
      </w:pPr>
      <w:r w:rsidRPr="00913E39">
        <w:rPr>
          <w:rFonts w:ascii="Garamond" w:hAnsi="Garamond"/>
          <w:i/>
          <w:iCs/>
          <w:szCs w:val="24"/>
        </w:rPr>
        <w:t>Tregoni ndikimet kryesore në mjedis dhe në shëndetin e njeriut që priten nga projekti, dhe masat që do të zbatohen për të shmangur dhe/ose minimizuar këto ndikime. Bëni një dallim midis ndikimeve nga fazat e ndërtimit, funksionimit dhe mbylljes.</w:t>
      </w:r>
    </w:p>
    <w:p w14:paraId="1C347A05" w14:textId="77777777" w:rsidR="00564DFD" w:rsidRPr="00913E39" w:rsidRDefault="00564DFD" w:rsidP="001E7BC5">
      <w:pPr>
        <w:spacing w:after="0" w:line="240" w:lineRule="auto"/>
        <w:ind w:firstLine="284"/>
        <w:jc w:val="both"/>
        <w:rPr>
          <w:rFonts w:ascii="Garamond" w:hAnsi="Garamond"/>
          <w:sz w:val="24"/>
          <w:szCs w:val="24"/>
        </w:rPr>
      </w:pPr>
      <w:r w:rsidRPr="00913E39">
        <w:rPr>
          <w:rFonts w:ascii="Garamond" w:hAnsi="Garamond"/>
          <w:sz w:val="24"/>
          <w:szCs w:val="24"/>
        </w:rPr>
        <w:t>A është dhënë tashmë miratimi për zhvillim për këtë projekt?</w:t>
      </w:r>
    </w:p>
    <w:p w14:paraId="2439DDF2" w14:textId="77777777" w:rsidR="00564DFD" w:rsidRPr="00913E39" w:rsidRDefault="00564DFD" w:rsidP="001E7BC5">
      <w:pPr>
        <w:spacing w:after="0" w:line="240" w:lineRule="auto"/>
        <w:ind w:firstLine="284"/>
        <w:jc w:val="both"/>
        <w:rPr>
          <w:rFonts w:ascii="Garamond" w:hAnsi="Garamond"/>
          <w:sz w:val="24"/>
        </w:rPr>
      </w:pPr>
      <w:r w:rsidRPr="00913E39">
        <w:rPr>
          <w:rFonts w:ascii="Garamond" w:hAnsi="Garamond"/>
          <w:sz w:val="24"/>
        </w:rPr>
        <w:t>Nëse po, në cilën datë?</w:t>
      </w:r>
    </w:p>
    <w:p w14:paraId="5B04555E" w14:textId="77777777" w:rsidR="00564DFD" w:rsidRPr="00913E39" w:rsidRDefault="00564DFD" w:rsidP="001E7BC5">
      <w:pPr>
        <w:spacing w:after="0" w:line="240" w:lineRule="auto"/>
        <w:ind w:firstLine="284"/>
        <w:jc w:val="both"/>
        <w:rPr>
          <w:rFonts w:ascii="Garamond" w:hAnsi="Garamond"/>
          <w:sz w:val="24"/>
        </w:rPr>
      </w:pPr>
      <w:r w:rsidRPr="00913E39">
        <w:rPr>
          <w:rFonts w:ascii="Garamond" w:hAnsi="Garamond"/>
          <w:sz w:val="24"/>
        </w:rPr>
        <w:t>Nëse jo, kur është paraqitur kërkesa zyrtare për miratimin për zhvillim dhe deri në cilën datë pritet vendimi përfundimtar?</w:t>
      </w:r>
    </w:p>
    <w:p w14:paraId="504BE9CA" w14:textId="77777777" w:rsidR="00564DFD" w:rsidRPr="00913E39" w:rsidRDefault="00564DFD" w:rsidP="001E7BC5">
      <w:pPr>
        <w:spacing w:after="0" w:line="240" w:lineRule="auto"/>
        <w:ind w:firstLine="284"/>
        <w:jc w:val="both"/>
        <w:rPr>
          <w:rFonts w:ascii="Garamond" w:hAnsi="Garamond"/>
          <w:sz w:val="24"/>
        </w:rPr>
      </w:pPr>
      <w:r w:rsidRPr="00913E39">
        <w:rPr>
          <w:rFonts w:ascii="Garamond" w:hAnsi="Garamond"/>
          <w:i/>
          <w:sz w:val="24"/>
        </w:rPr>
        <w:t xml:space="preserve">Specifikoni autoritetin ose autoritetet kompetente, të cilat kanë dhënë ose do të japin miratimin për zhvillim. Përmblidhni </w:t>
      </w:r>
      <w:r w:rsidRPr="00913E39">
        <w:rPr>
          <w:rFonts w:ascii="Garamond" w:hAnsi="Garamond"/>
          <w:sz w:val="24"/>
        </w:rPr>
        <w:t>rezultatet e konsultimeve me publikun e interesuar.</w:t>
      </w:r>
    </w:p>
    <w:p w14:paraId="0B54C0C7" w14:textId="77777777" w:rsidR="00564DFD" w:rsidRPr="00913E39" w:rsidRDefault="00564DFD" w:rsidP="001E7BC5">
      <w:pPr>
        <w:spacing w:after="0" w:line="240" w:lineRule="auto"/>
        <w:ind w:firstLine="284"/>
        <w:jc w:val="both"/>
        <w:rPr>
          <w:rFonts w:ascii="Garamond" w:hAnsi="Garamond"/>
          <w:sz w:val="24"/>
        </w:rPr>
      </w:pPr>
      <w:r w:rsidRPr="00913E39">
        <w:rPr>
          <w:rFonts w:ascii="Garamond" w:hAnsi="Garamond"/>
          <w:sz w:val="24"/>
        </w:rPr>
        <w:t>A është projekti një klasë zhvillimi e mbuluar nga:</w:t>
      </w:r>
    </w:p>
    <w:tbl>
      <w:tblPr>
        <w:tblW w:w="968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9"/>
        <w:gridCol w:w="684"/>
        <w:gridCol w:w="974"/>
      </w:tblGrid>
      <w:tr w:rsidR="00564DFD" w:rsidRPr="00913E39" w14:paraId="4634BD43" w14:textId="77777777" w:rsidTr="00850FC7">
        <w:trPr>
          <w:trHeight w:val="20"/>
        </w:trPr>
        <w:tc>
          <w:tcPr>
            <w:tcW w:w="8029" w:type="dxa"/>
            <w:tcBorders>
              <w:top w:val="nil"/>
              <w:left w:val="nil"/>
              <w:bottom w:val="single" w:sz="4" w:space="0" w:color="auto"/>
              <w:right w:val="single" w:sz="4" w:space="0" w:color="auto"/>
            </w:tcBorders>
            <w:shd w:val="clear" w:color="auto" w:fill="auto"/>
          </w:tcPr>
          <w:p w14:paraId="4D745654" w14:textId="77777777" w:rsidR="00564DFD" w:rsidRPr="00913E39" w:rsidRDefault="00564DFD" w:rsidP="00564DFD">
            <w:pPr>
              <w:spacing w:after="0" w:line="240" w:lineRule="auto"/>
              <w:rPr>
                <w:rFonts w:ascii="Garamond" w:hAnsi="Garamond"/>
                <w:i/>
                <w:sz w:val="20"/>
                <w:szCs w:val="20"/>
              </w:rPr>
            </w:pPr>
          </w:p>
        </w:tc>
        <w:tc>
          <w:tcPr>
            <w:tcW w:w="684" w:type="dxa"/>
            <w:tcBorders>
              <w:left w:val="single" w:sz="4" w:space="0" w:color="auto"/>
              <w:bottom w:val="single" w:sz="4" w:space="0" w:color="auto"/>
            </w:tcBorders>
            <w:shd w:val="clear" w:color="auto" w:fill="auto"/>
          </w:tcPr>
          <w:p w14:paraId="0320ABA9" w14:textId="77777777" w:rsidR="00564DFD" w:rsidRPr="00913E39" w:rsidRDefault="00564DFD" w:rsidP="00564DFD">
            <w:pPr>
              <w:spacing w:after="0" w:line="240" w:lineRule="auto"/>
              <w:jc w:val="center"/>
              <w:rPr>
                <w:rFonts w:ascii="Garamond" w:hAnsi="Garamond"/>
                <w:i/>
                <w:sz w:val="20"/>
                <w:szCs w:val="20"/>
              </w:rPr>
            </w:pPr>
            <w:r w:rsidRPr="00913E39">
              <w:rPr>
                <w:rFonts w:ascii="Garamond" w:hAnsi="Garamond"/>
                <w:i/>
                <w:sz w:val="20"/>
                <w:szCs w:val="20"/>
              </w:rPr>
              <w:t>Po</w:t>
            </w:r>
          </w:p>
        </w:tc>
        <w:tc>
          <w:tcPr>
            <w:tcW w:w="974" w:type="dxa"/>
            <w:tcBorders>
              <w:left w:val="single" w:sz="4" w:space="0" w:color="auto"/>
              <w:bottom w:val="single" w:sz="4" w:space="0" w:color="auto"/>
            </w:tcBorders>
            <w:shd w:val="clear" w:color="auto" w:fill="auto"/>
          </w:tcPr>
          <w:p w14:paraId="17662F64" w14:textId="77777777" w:rsidR="00564DFD" w:rsidRPr="00913E39" w:rsidRDefault="00564DFD" w:rsidP="00564DFD">
            <w:pPr>
              <w:spacing w:after="0" w:line="240" w:lineRule="auto"/>
              <w:jc w:val="center"/>
              <w:rPr>
                <w:rFonts w:ascii="Garamond" w:hAnsi="Garamond"/>
                <w:i/>
                <w:sz w:val="20"/>
                <w:szCs w:val="20"/>
              </w:rPr>
            </w:pPr>
            <w:r w:rsidRPr="00913E39">
              <w:rPr>
                <w:rFonts w:ascii="Garamond" w:hAnsi="Garamond"/>
                <w:i/>
                <w:sz w:val="20"/>
                <w:szCs w:val="20"/>
              </w:rPr>
              <w:t>Jo</w:t>
            </w:r>
          </w:p>
        </w:tc>
      </w:tr>
      <w:tr w:rsidR="00564DFD" w:rsidRPr="00913E39" w14:paraId="4693E790" w14:textId="77777777" w:rsidTr="00850FC7">
        <w:trPr>
          <w:trHeight w:val="20"/>
        </w:trPr>
        <w:tc>
          <w:tcPr>
            <w:tcW w:w="8029" w:type="dxa"/>
            <w:tcBorders>
              <w:top w:val="single" w:sz="4" w:space="0" w:color="auto"/>
              <w:bottom w:val="single" w:sz="4" w:space="0" w:color="auto"/>
            </w:tcBorders>
            <w:shd w:val="clear" w:color="auto" w:fill="auto"/>
          </w:tcPr>
          <w:p w14:paraId="704D8B14" w14:textId="4AF79E62" w:rsidR="00564DFD" w:rsidRPr="00913E39" w:rsidRDefault="00564DFD" w:rsidP="00564DFD">
            <w:pPr>
              <w:tabs>
                <w:tab w:val="num" w:pos="2520"/>
              </w:tabs>
              <w:spacing w:after="0" w:line="240" w:lineRule="auto"/>
              <w:rPr>
                <w:rFonts w:ascii="Garamond" w:hAnsi="Garamond"/>
                <w:sz w:val="20"/>
                <w:szCs w:val="20"/>
              </w:rPr>
            </w:pPr>
            <w:r w:rsidRPr="00913E39">
              <w:rPr>
                <w:rFonts w:ascii="Garamond" w:hAnsi="Garamond"/>
                <w:sz w:val="20"/>
                <w:szCs w:val="20"/>
              </w:rPr>
              <w:t xml:space="preserve">Aneksi I i </w:t>
            </w:r>
            <w:r w:rsidR="001E7BC5" w:rsidRPr="00913E39">
              <w:rPr>
                <w:rFonts w:ascii="Garamond" w:hAnsi="Garamond"/>
                <w:sz w:val="20"/>
                <w:szCs w:val="20"/>
              </w:rPr>
              <w:t xml:space="preserve">direktivës </w:t>
            </w:r>
          </w:p>
        </w:tc>
        <w:tc>
          <w:tcPr>
            <w:tcW w:w="684" w:type="dxa"/>
            <w:tcBorders>
              <w:top w:val="single" w:sz="4" w:space="0" w:color="auto"/>
              <w:bottom w:val="single" w:sz="4" w:space="0" w:color="auto"/>
            </w:tcBorders>
            <w:shd w:val="clear" w:color="auto" w:fill="auto"/>
          </w:tcPr>
          <w:p w14:paraId="69DD7300" w14:textId="77777777" w:rsidR="00564DFD" w:rsidRPr="00913E39" w:rsidRDefault="00564DFD" w:rsidP="00564DFD">
            <w:pPr>
              <w:spacing w:after="0" w:line="240" w:lineRule="auto"/>
              <w:rPr>
                <w:rFonts w:ascii="Garamond" w:hAnsi="Garamond"/>
                <w:i/>
                <w:sz w:val="20"/>
                <w:szCs w:val="20"/>
              </w:rPr>
            </w:pPr>
          </w:p>
        </w:tc>
        <w:tc>
          <w:tcPr>
            <w:tcW w:w="974" w:type="dxa"/>
            <w:tcBorders>
              <w:top w:val="single" w:sz="4" w:space="0" w:color="auto"/>
              <w:bottom w:val="single" w:sz="4" w:space="0" w:color="auto"/>
            </w:tcBorders>
            <w:shd w:val="clear" w:color="auto" w:fill="auto"/>
          </w:tcPr>
          <w:p w14:paraId="6F91C733" w14:textId="77777777" w:rsidR="00564DFD" w:rsidRPr="00913E39" w:rsidRDefault="00564DFD" w:rsidP="00564DFD">
            <w:pPr>
              <w:spacing w:after="0" w:line="240" w:lineRule="auto"/>
              <w:rPr>
                <w:rFonts w:ascii="Garamond" w:hAnsi="Garamond"/>
                <w:i/>
                <w:sz w:val="20"/>
                <w:szCs w:val="20"/>
              </w:rPr>
            </w:pPr>
          </w:p>
        </w:tc>
      </w:tr>
      <w:tr w:rsidR="00564DFD" w:rsidRPr="00913E39" w14:paraId="558C308D" w14:textId="77777777" w:rsidTr="00850FC7">
        <w:trPr>
          <w:trHeight w:val="20"/>
        </w:trPr>
        <w:tc>
          <w:tcPr>
            <w:tcW w:w="8029" w:type="dxa"/>
            <w:tcBorders>
              <w:top w:val="single" w:sz="4" w:space="0" w:color="auto"/>
              <w:bottom w:val="nil"/>
            </w:tcBorders>
            <w:shd w:val="clear" w:color="auto" w:fill="auto"/>
          </w:tcPr>
          <w:p w14:paraId="332758DA" w14:textId="1AAD7AE5" w:rsidR="00564DFD" w:rsidRPr="00913E39" w:rsidRDefault="00564DFD" w:rsidP="00564DFD">
            <w:pPr>
              <w:tabs>
                <w:tab w:val="num" w:pos="2520"/>
              </w:tabs>
              <w:spacing w:after="0" w:line="240" w:lineRule="auto"/>
              <w:rPr>
                <w:rFonts w:ascii="Garamond" w:hAnsi="Garamond"/>
                <w:sz w:val="20"/>
                <w:szCs w:val="20"/>
              </w:rPr>
            </w:pPr>
            <w:r w:rsidRPr="00913E39">
              <w:rPr>
                <w:rFonts w:ascii="Garamond" w:hAnsi="Garamond"/>
                <w:sz w:val="20"/>
                <w:szCs w:val="20"/>
              </w:rPr>
              <w:t xml:space="preserve">Aneksi II i </w:t>
            </w:r>
            <w:r w:rsidR="001E7BC5" w:rsidRPr="00913E39">
              <w:rPr>
                <w:rFonts w:ascii="Garamond" w:hAnsi="Garamond"/>
                <w:sz w:val="20"/>
                <w:szCs w:val="20"/>
              </w:rPr>
              <w:t xml:space="preserve">direktivës </w:t>
            </w:r>
          </w:p>
        </w:tc>
        <w:tc>
          <w:tcPr>
            <w:tcW w:w="684" w:type="dxa"/>
            <w:tcBorders>
              <w:top w:val="single" w:sz="4" w:space="0" w:color="auto"/>
              <w:bottom w:val="single" w:sz="4" w:space="0" w:color="auto"/>
            </w:tcBorders>
            <w:shd w:val="clear" w:color="auto" w:fill="auto"/>
          </w:tcPr>
          <w:p w14:paraId="07887F5C" w14:textId="77777777" w:rsidR="00564DFD" w:rsidRPr="00913E39" w:rsidRDefault="00564DFD" w:rsidP="00564DFD">
            <w:pPr>
              <w:spacing w:after="0" w:line="240" w:lineRule="auto"/>
              <w:rPr>
                <w:rFonts w:ascii="Garamond" w:hAnsi="Garamond"/>
                <w:i/>
                <w:sz w:val="20"/>
                <w:szCs w:val="20"/>
              </w:rPr>
            </w:pPr>
          </w:p>
        </w:tc>
        <w:tc>
          <w:tcPr>
            <w:tcW w:w="974" w:type="dxa"/>
            <w:tcBorders>
              <w:top w:val="single" w:sz="4" w:space="0" w:color="auto"/>
              <w:bottom w:val="single" w:sz="4" w:space="0" w:color="auto"/>
            </w:tcBorders>
            <w:shd w:val="clear" w:color="auto" w:fill="auto"/>
          </w:tcPr>
          <w:p w14:paraId="1A8AAFEF" w14:textId="77777777" w:rsidR="00564DFD" w:rsidRPr="00913E39" w:rsidRDefault="00564DFD" w:rsidP="00564DFD">
            <w:pPr>
              <w:spacing w:after="0" w:line="240" w:lineRule="auto"/>
              <w:rPr>
                <w:rFonts w:ascii="Garamond" w:hAnsi="Garamond"/>
                <w:i/>
                <w:sz w:val="20"/>
                <w:szCs w:val="20"/>
              </w:rPr>
            </w:pPr>
          </w:p>
        </w:tc>
      </w:tr>
      <w:tr w:rsidR="00564DFD" w:rsidRPr="00913E39" w14:paraId="56F492BA" w14:textId="77777777" w:rsidTr="00850FC7">
        <w:trPr>
          <w:trHeight w:val="20"/>
        </w:trPr>
        <w:tc>
          <w:tcPr>
            <w:tcW w:w="8029" w:type="dxa"/>
            <w:tcBorders>
              <w:top w:val="nil"/>
            </w:tcBorders>
            <w:shd w:val="clear" w:color="auto" w:fill="auto"/>
          </w:tcPr>
          <w:p w14:paraId="7E2F6B0F" w14:textId="3A6E5D71" w:rsidR="00564DFD" w:rsidRPr="00913E39" w:rsidRDefault="00564DFD" w:rsidP="00564DFD">
            <w:pPr>
              <w:tabs>
                <w:tab w:val="num" w:pos="2520"/>
              </w:tabs>
              <w:spacing w:after="0" w:line="240" w:lineRule="auto"/>
              <w:rPr>
                <w:rFonts w:ascii="Garamond" w:hAnsi="Garamond"/>
                <w:sz w:val="20"/>
                <w:szCs w:val="20"/>
              </w:rPr>
            </w:pPr>
            <w:r w:rsidRPr="00913E39">
              <w:rPr>
                <w:rFonts w:ascii="Garamond" w:hAnsi="Garamond"/>
                <w:sz w:val="20"/>
                <w:szCs w:val="20"/>
              </w:rPr>
              <w:t xml:space="preserve">A është kryer </w:t>
            </w:r>
            <w:r w:rsidR="00850FC7" w:rsidRPr="00913E39">
              <w:rPr>
                <w:rFonts w:ascii="Garamond" w:hAnsi="Garamond"/>
                <w:sz w:val="20"/>
                <w:szCs w:val="20"/>
              </w:rPr>
              <w:t xml:space="preserve">vlerësimi i ndikimit në mjedis </w:t>
            </w:r>
            <w:r w:rsidRPr="00913E39">
              <w:rPr>
                <w:rFonts w:ascii="Garamond" w:hAnsi="Garamond"/>
                <w:sz w:val="20"/>
                <w:szCs w:val="20"/>
              </w:rPr>
              <w:t>për këtë projekt?</w:t>
            </w:r>
          </w:p>
        </w:tc>
        <w:tc>
          <w:tcPr>
            <w:tcW w:w="684" w:type="dxa"/>
            <w:tcBorders>
              <w:top w:val="single" w:sz="4" w:space="0" w:color="auto"/>
            </w:tcBorders>
            <w:shd w:val="clear" w:color="auto" w:fill="auto"/>
          </w:tcPr>
          <w:p w14:paraId="7C2B167B" w14:textId="77777777" w:rsidR="00564DFD" w:rsidRPr="00913E39" w:rsidRDefault="00564DFD" w:rsidP="00564DFD">
            <w:pPr>
              <w:spacing w:after="0" w:line="240" w:lineRule="auto"/>
              <w:rPr>
                <w:rFonts w:ascii="Garamond" w:hAnsi="Garamond"/>
                <w:i/>
                <w:sz w:val="20"/>
                <w:szCs w:val="20"/>
              </w:rPr>
            </w:pPr>
          </w:p>
        </w:tc>
        <w:tc>
          <w:tcPr>
            <w:tcW w:w="974" w:type="dxa"/>
            <w:tcBorders>
              <w:top w:val="single" w:sz="4" w:space="0" w:color="auto"/>
            </w:tcBorders>
            <w:shd w:val="clear" w:color="auto" w:fill="auto"/>
          </w:tcPr>
          <w:p w14:paraId="1C0A6C97" w14:textId="77777777" w:rsidR="00564DFD" w:rsidRPr="00913E39" w:rsidRDefault="00564DFD" w:rsidP="00564DFD">
            <w:pPr>
              <w:spacing w:after="0" w:line="240" w:lineRule="auto"/>
              <w:jc w:val="center"/>
              <w:rPr>
                <w:rFonts w:ascii="Garamond" w:hAnsi="Garamond"/>
                <w:i/>
                <w:sz w:val="20"/>
                <w:szCs w:val="20"/>
              </w:rPr>
            </w:pPr>
          </w:p>
        </w:tc>
      </w:tr>
      <w:tr w:rsidR="00564DFD" w:rsidRPr="00913E39" w14:paraId="054E22C6" w14:textId="77777777" w:rsidTr="00850FC7">
        <w:trPr>
          <w:trHeight w:val="20"/>
        </w:trPr>
        <w:tc>
          <w:tcPr>
            <w:tcW w:w="8029" w:type="dxa"/>
            <w:tcBorders>
              <w:top w:val="single" w:sz="4" w:space="0" w:color="auto"/>
            </w:tcBorders>
            <w:shd w:val="clear" w:color="auto" w:fill="auto"/>
          </w:tcPr>
          <w:p w14:paraId="7FADDA69" w14:textId="05A7485D" w:rsidR="00564DFD" w:rsidRPr="00913E39" w:rsidRDefault="00564DFD" w:rsidP="00564DFD">
            <w:pPr>
              <w:tabs>
                <w:tab w:val="num" w:pos="2520"/>
              </w:tabs>
              <w:spacing w:after="0" w:line="240" w:lineRule="auto"/>
              <w:rPr>
                <w:rFonts w:ascii="Garamond" w:hAnsi="Garamond"/>
                <w:sz w:val="20"/>
                <w:szCs w:val="20"/>
              </w:rPr>
            </w:pPr>
            <w:r w:rsidRPr="00913E39">
              <w:rPr>
                <w:rFonts w:ascii="Garamond" w:hAnsi="Garamond"/>
                <w:sz w:val="20"/>
                <w:szCs w:val="20"/>
              </w:rPr>
              <w:t>Asnjë nga të dy anekset</w:t>
            </w:r>
          </w:p>
        </w:tc>
        <w:tc>
          <w:tcPr>
            <w:tcW w:w="684" w:type="dxa"/>
            <w:tcBorders>
              <w:top w:val="single" w:sz="4" w:space="0" w:color="auto"/>
            </w:tcBorders>
            <w:shd w:val="clear" w:color="auto" w:fill="auto"/>
          </w:tcPr>
          <w:p w14:paraId="4BA0DD1D" w14:textId="77777777" w:rsidR="00564DFD" w:rsidRPr="00913E39" w:rsidRDefault="00564DFD" w:rsidP="00564DFD">
            <w:pPr>
              <w:spacing w:after="0" w:line="240" w:lineRule="auto"/>
              <w:rPr>
                <w:rFonts w:ascii="Garamond" w:hAnsi="Garamond"/>
                <w:i/>
                <w:sz w:val="20"/>
                <w:szCs w:val="20"/>
              </w:rPr>
            </w:pPr>
          </w:p>
        </w:tc>
        <w:tc>
          <w:tcPr>
            <w:tcW w:w="974" w:type="dxa"/>
            <w:tcBorders>
              <w:top w:val="single" w:sz="4" w:space="0" w:color="auto"/>
            </w:tcBorders>
            <w:shd w:val="clear" w:color="auto" w:fill="auto"/>
          </w:tcPr>
          <w:p w14:paraId="754F7BD2" w14:textId="77777777" w:rsidR="00564DFD" w:rsidRPr="00913E39" w:rsidRDefault="00564DFD" w:rsidP="00564DFD">
            <w:pPr>
              <w:spacing w:after="0" w:line="240" w:lineRule="auto"/>
              <w:rPr>
                <w:rFonts w:ascii="Garamond" w:hAnsi="Garamond"/>
                <w:i/>
                <w:sz w:val="20"/>
                <w:szCs w:val="20"/>
              </w:rPr>
            </w:pPr>
          </w:p>
        </w:tc>
      </w:tr>
    </w:tbl>
    <w:p w14:paraId="2198C698" w14:textId="77777777" w:rsidR="00564DFD" w:rsidRPr="00913E39" w:rsidRDefault="00564DFD" w:rsidP="00564DFD">
      <w:pPr>
        <w:spacing w:after="0" w:line="240" w:lineRule="auto"/>
        <w:ind w:firstLine="284"/>
        <w:rPr>
          <w:rFonts w:ascii="Garamond" w:hAnsi="Garamond"/>
          <w:sz w:val="20"/>
          <w:szCs w:val="20"/>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7"/>
        <w:gridCol w:w="691"/>
        <w:gridCol w:w="984"/>
      </w:tblGrid>
      <w:tr w:rsidR="00564DFD" w:rsidRPr="00913E39" w14:paraId="3033756B" w14:textId="77777777" w:rsidTr="00850FC7">
        <w:trPr>
          <w:trHeight w:val="20"/>
        </w:trPr>
        <w:tc>
          <w:tcPr>
            <w:tcW w:w="8107" w:type="dxa"/>
            <w:tcBorders>
              <w:top w:val="nil"/>
              <w:left w:val="nil"/>
              <w:bottom w:val="single" w:sz="4" w:space="0" w:color="auto"/>
              <w:right w:val="single" w:sz="4" w:space="0" w:color="auto"/>
            </w:tcBorders>
            <w:shd w:val="clear" w:color="auto" w:fill="auto"/>
          </w:tcPr>
          <w:p w14:paraId="7D0785B0" w14:textId="77777777" w:rsidR="00564DFD" w:rsidRPr="00913E39" w:rsidRDefault="00564DFD" w:rsidP="00564DFD">
            <w:pPr>
              <w:spacing w:after="0" w:line="240" w:lineRule="auto"/>
              <w:rPr>
                <w:rFonts w:ascii="Garamond" w:hAnsi="Garamond"/>
                <w:i/>
                <w:sz w:val="20"/>
                <w:szCs w:val="20"/>
              </w:rPr>
            </w:pPr>
          </w:p>
        </w:tc>
        <w:tc>
          <w:tcPr>
            <w:tcW w:w="691" w:type="dxa"/>
            <w:tcBorders>
              <w:left w:val="single" w:sz="4" w:space="0" w:color="auto"/>
              <w:bottom w:val="single" w:sz="4" w:space="0" w:color="auto"/>
            </w:tcBorders>
            <w:shd w:val="clear" w:color="auto" w:fill="auto"/>
          </w:tcPr>
          <w:p w14:paraId="24A0B44A" w14:textId="77777777" w:rsidR="00564DFD" w:rsidRPr="00913E39" w:rsidRDefault="00564DFD" w:rsidP="00564DFD">
            <w:pPr>
              <w:spacing w:after="0" w:line="240" w:lineRule="auto"/>
              <w:jc w:val="center"/>
              <w:rPr>
                <w:rFonts w:ascii="Garamond" w:hAnsi="Garamond"/>
                <w:i/>
                <w:sz w:val="20"/>
                <w:szCs w:val="20"/>
              </w:rPr>
            </w:pPr>
            <w:r w:rsidRPr="00913E39">
              <w:rPr>
                <w:rFonts w:ascii="Garamond" w:hAnsi="Garamond"/>
                <w:i/>
                <w:sz w:val="20"/>
                <w:szCs w:val="20"/>
              </w:rPr>
              <w:t>Po</w:t>
            </w:r>
          </w:p>
        </w:tc>
        <w:tc>
          <w:tcPr>
            <w:tcW w:w="984" w:type="dxa"/>
            <w:tcBorders>
              <w:left w:val="single" w:sz="4" w:space="0" w:color="auto"/>
              <w:bottom w:val="single" w:sz="4" w:space="0" w:color="auto"/>
            </w:tcBorders>
            <w:shd w:val="clear" w:color="auto" w:fill="auto"/>
          </w:tcPr>
          <w:p w14:paraId="44313E65" w14:textId="77777777" w:rsidR="00564DFD" w:rsidRPr="00913E39" w:rsidRDefault="00564DFD" w:rsidP="00564DFD">
            <w:pPr>
              <w:spacing w:after="0" w:line="240" w:lineRule="auto"/>
              <w:jc w:val="center"/>
              <w:rPr>
                <w:rFonts w:ascii="Garamond" w:hAnsi="Garamond"/>
                <w:i/>
                <w:sz w:val="20"/>
                <w:szCs w:val="20"/>
              </w:rPr>
            </w:pPr>
            <w:r w:rsidRPr="00913E39">
              <w:rPr>
                <w:rFonts w:ascii="Garamond" w:hAnsi="Garamond"/>
                <w:i/>
                <w:sz w:val="20"/>
                <w:szCs w:val="20"/>
              </w:rPr>
              <w:t>Jo</w:t>
            </w:r>
          </w:p>
        </w:tc>
      </w:tr>
      <w:tr w:rsidR="00564DFD" w:rsidRPr="00913E39" w14:paraId="00F35E29" w14:textId="77777777" w:rsidTr="00850FC7">
        <w:trPr>
          <w:trHeight w:val="20"/>
        </w:trPr>
        <w:tc>
          <w:tcPr>
            <w:tcW w:w="8107" w:type="dxa"/>
            <w:tcBorders>
              <w:top w:val="single" w:sz="4" w:space="0" w:color="auto"/>
              <w:bottom w:val="single" w:sz="4" w:space="0" w:color="auto"/>
            </w:tcBorders>
            <w:shd w:val="clear" w:color="auto" w:fill="auto"/>
          </w:tcPr>
          <w:p w14:paraId="412C63B6" w14:textId="77777777" w:rsidR="00564DFD" w:rsidRPr="00913E39" w:rsidRDefault="00564DFD" w:rsidP="00564DFD">
            <w:pPr>
              <w:tabs>
                <w:tab w:val="num" w:pos="2520"/>
              </w:tabs>
              <w:spacing w:after="0" w:line="240" w:lineRule="auto"/>
              <w:rPr>
                <w:rFonts w:ascii="Garamond" w:hAnsi="Garamond"/>
                <w:sz w:val="20"/>
                <w:szCs w:val="20"/>
              </w:rPr>
            </w:pPr>
            <w:r w:rsidRPr="00913E39">
              <w:rPr>
                <w:rFonts w:ascii="Garamond" w:hAnsi="Garamond"/>
                <w:sz w:val="20"/>
                <w:szCs w:val="20"/>
              </w:rPr>
              <w:t>A ka gjasa që projekti të ketë efekte (të drejtpërdrejta ose të tërthorta), individualisht ose në kombinim me plane ose projekte të tjera në zona të përfshira ose që synohen të përfshihen në zona me rëndësi për ruajtjen e natyrës</w:t>
            </w:r>
          </w:p>
        </w:tc>
        <w:tc>
          <w:tcPr>
            <w:tcW w:w="691" w:type="dxa"/>
            <w:tcBorders>
              <w:top w:val="single" w:sz="4" w:space="0" w:color="auto"/>
              <w:bottom w:val="single" w:sz="4" w:space="0" w:color="auto"/>
            </w:tcBorders>
            <w:shd w:val="clear" w:color="auto" w:fill="auto"/>
          </w:tcPr>
          <w:p w14:paraId="5EFA0ECA" w14:textId="77777777" w:rsidR="00564DFD" w:rsidRPr="00913E39" w:rsidRDefault="00564DFD" w:rsidP="00564DFD">
            <w:pPr>
              <w:spacing w:after="0" w:line="240" w:lineRule="auto"/>
              <w:rPr>
                <w:rFonts w:ascii="Garamond" w:hAnsi="Garamond"/>
                <w:i/>
                <w:sz w:val="20"/>
                <w:szCs w:val="20"/>
              </w:rPr>
            </w:pPr>
          </w:p>
        </w:tc>
        <w:tc>
          <w:tcPr>
            <w:tcW w:w="984" w:type="dxa"/>
            <w:tcBorders>
              <w:top w:val="single" w:sz="4" w:space="0" w:color="auto"/>
              <w:bottom w:val="single" w:sz="4" w:space="0" w:color="auto"/>
            </w:tcBorders>
            <w:shd w:val="clear" w:color="auto" w:fill="auto"/>
          </w:tcPr>
          <w:p w14:paraId="3A1634C6" w14:textId="77777777" w:rsidR="00564DFD" w:rsidRPr="00913E39" w:rsidRDefault="00564DFD" w:rsidP="00564DFD">
            <w:pPr>
              <w:spacing w:after="0" w:line="240" w:lineRule="auto"/>
              <w:rPr>
                <w:rFonts w:ascii="Garamond" w:hAnsi="Garamond"/>
                <w:i/>
                <w:sz w:val="20"/>
                <w:szCs w:val="20"/>
              </w:rPr>
            </w:pPr>
          </w:p>
        </w:tc>
      </w:tr>
      <w:tr w:rsidR="00564DFD" w:rsidRPr="00913E39" w14:paraId="6812C185" w14:textId="77777777" w:rsidTr="00850FC7">
        <w:trPr>
          <w:trHeight w:val="20"/>
        </w:trPr>
        <w:tc>
          <w:tcPr>
            <w:tcW w:w="8107" w:type="dxa"/>
            <w:tcBorders>
              <w:top w:val="single" w:sz="4" w:space="0" w:color="auto"/>
              <w:bottom w:val="single" w:sz="4" w:space="0" w:color="auto"/>
            </w:tcBorders>
            <w:shd w:val="clear" w:color="auto" w:fill="auto"/>
          </w:tcPr>
          <w:p w14:paraId="136FF049" w14:textId="0915D441" w:rsidR="00564DFD" w:rsidRPr="00913E39" w:rsidRDefault="00564DFD" w:rsidP="00564DFD">
            <w:pPr>
              <w:spacing w:after="0" w:line="240" w:lineRule="auto"/>
              <w:rPr>
                <w:rFonts w:ascii="Garamond" w:hAnsi="Garamond"/>
                <w:sz w:val="20"/>
                <w:szCs w:val="20"/>
              </w:rPr>
            </w:pPr>
            <w:r w:rsidRPr="00913E39">
              <w:rPr>
                <w:rFonts w:ascii="Garamond" w:hAnsi="Garamond"/>
                <w:sz w:val="20"/>
                <w:szCs w:val="20"/>
              </w:rPr>
              <w:t xml:space="preserve">A janë këto efekte negative të rëndësishme, që kërkojnë masa kompensimi sipas nenit 6 (4) të </w:t>
            </w:r>
            <w:r w:rsidR="00B0033A" w:rsidRPr="00913E39">
              <w:rPr>
                <w:rFonts w:ascii="Garamond" w:hAnsi="Garamond"/>
                <w:sz w:val="20"/>
                <w:szCs w:val="20"/>
              </w:rPr>
              <w:t xml:space="preserve">Direktivës </w:t>
            </w:r>
            <w:r w:rsidR="009B31EE" w:rsidRPr="00913E39">
              <w:rPr>
                <w:rFonts w:ascii="Garamond" w:hAnsi="Garamond"/>
                <w:sz w:val="20"/>
                <w:szCs w:val="20"/>
              </w:rPr>
              <w:t xml:space="preserve">së </w:t>
            </w:r>
            <w:r w:rsidR="00B0033A" w:rsidRPr="00913E39">
              <w:rPr>
                <w:rFonts w:ascii="Garamond" w:hAnsi="Garamond"/>
                <w:sz w:val="20"/>
                <w:szCs w:val="20"/>
              </w:rPr>
              <w:t>Habitateve</w:t>
            </w:r>
          </w:p>
        </w:tc>
        <w:tc>
          <w:tcPr>
            <w:tcW w:w="691" w:type="dxa"/>
            <w:tcBorders>
              <w:top w:val="single" w:sz="4" w:space="0" w:color="auto"/>
              <w:bottom w:val="single" w:sz="4" w:space="0" w:color="auto"/>
            </w:tcBorders>
            <w:shd w:val="clear" w:color="auto" w:fill="auto"/>
          </w:tcPr>
          <w:p w14:paraId="4861EC7F" w14:textId="77777777" w:rsidR="00564DFD" w:rsidRPr="00913E39" w:rsidRDefault="00564DFD" w:rsidP="00564DFD">
            <w:pPr>
              <w:spacing w:after="0" w:line="240" w:lineRule="auto"/>
              <w:rPr>
                <w:rFonts w:ascii="Garamond" w:hAnsi="Garamond"/>
                <w:i/>
                <w:sz w:val="20"/>
                <w:szCs w:val="20"/>
              </w:rPr>
            </w:pPr>
          </w:p>
        </w:tc>
        <w:tc>
          <w:tcPr>
            <w:tcW w:w="984" w:type="dxa"/>
            <w:tcBorders>
              <w:top w:val="single" w:sz="4" w:space="0" w:color="auto"/>
              <w:bottom w:val="single" w:sz="4" w:space="0" w:color="auto"/>
            </w:tcBorders>
            <w:shd w:val="clear" w:color="auto" w:fill="auto"/>
          </w:tcPr>
          <w:p w14:paraId="6FBAB085" w14:textId="77777777" w:rsidR="00564DFD" w:rsidRPr="00913E39" w:rsidRDefault="00564DFD" w:rsidP="00564DFD">
            <w:pPr>
              <w:spacing w:after="0" w:line="240" w:lineRule="auto"/>
              <w:rPr>
                <w:rFonts w:ascii="Garamond" w:hAnsi="Garamond"/>
                <w:i/>
                <w:sz w:val="20"/>
                <w:szCs w:val="20"/>
              </w:rPr>
            </w:pPr>
          </w:p>
        </w:tc>
      </w:tr>
    </w:tbl>
    <w:p w14:paraId="3296F80A" w14:textId="77777777" w:rsidR="00564DFD" w:rsidRPr="00913E39" w:rsidRDefault="00564DFD" w:rsidP="00564DFD">
      <w:pPr>
        <w:spacing w:after="0" w:line="240" w:lineRule="auto"/>
        <w:ind w:firstLine="284"/>
        <w:rPr>
          <w:rFonts w:ascii="Garamond" w:hAnsi="Garamond"/>
          <w:b/>
          <w:i/>
          <w:sz w:val="20"/>
          <w:szCs w:val="20"/>
        </w:rPr>
      </w:pPr>
    </w:p>
    <w:tbl>
      <w:tblPr>
        <w:tblW w:w="978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gridCol w:w="709"/>
        <w:gridCol w:w="992"/>
      </w:tblGrid>
      <w:tr w:rsidR="00564DFD" w:rsidRPr="00913E39" w14:paraId="230C7D58" w14:textId="77777777" w:rsidTr="00850FC7">
        <w:tc>
          <w:tcPr>
            <w:tcW w:w="8080" w:type="dxa"/>
            <w:tcBorders>
              <w:top w:val="nil"/>
              <w:left w:val="nil"/>
              <w:bottom w:val="single" w:sz="4" w:space="0" w:color="auto"/>
              <w:right w:val="single" w:sz="4" w:space="0" w:color="auto"/>
            </w:tcBorders>
            <w:shd w:val="clear" w:color="auto" w:fill="auto"/>
          </w:tcPr>
          <w:p w14:paraId="64B6609C" w14:textId="77777777" w:rsidR="00564DFD" w:rsidRPr="00913E39" w:rsidRDefault="00564DFD" w:rsidP="00564DFD">
            <w:pPr>
              <w:spacing w:after="0" w:line="240" w:lineRule="auto"/>
              <w:rPr>
                <w:rFonts w:ascii="Garamond" w:hAnsi="Garamond"/>
                <w:bCs/>
                <w:i/>
                <w:sz w:val="20"/>
                <w:szCs w:val="20"/>
              </w:rPr>
            </w:pPr>
            <w:r w:rsidRPr="00913E39">
              <w:rPr>
                <w:rFonts w:ascii="Garamond" w:hAnsi="Garamond"/>
                <w:bCs/>
                <w:i/>
                <w:sz w:val="20"/>
                <w:szCs w:val="20"/>
              </w:rPr>
              <w:lastRenderedPageBreak/>
              <w:t>Efekti mbi statusin ekologjik të trupave ujorë.</w:t>
            </w:r>
          </w:p>
        </w:tc>
        <w:tc>
          <w:tcPr>
            <w:tcW w:w="709" w:type="dxa"/>
            <w:tcBorders>
              <w:left w:val="single" w:sz="4" w:space="0" w:color="auto"/>
              <w:bottom w:val="single" w:sz="4" w:space="0" w:color="auto"/>
            </w:tcBorders>
            <w:shd w:val="clear" w:color="auto" w:fill="auto"/>
          </w:tcPr>
          <w:p w14:paraId="43A53DBA" w14:textId="77777777" w:rsidR="00564DFD" w:rsidRPr="00913E39" w:rsidRDefault="00564DFD" w:rsidP="00564DFD">
            <w:pPr>
              <w:spacing w:after="0" w:line="240" w:lineRule="auto"/>
              <w:jc w:val="center"/>
              <w:rPr>
                <w:rFonts w:ascii="Garamond" w:hAnsi="Garamond"/>
                <w:i/>
                <w:sz w:val="20"/>
                <w:szCs w:val="20"/>
              </w:rPr>
            </w:pPr>
            <w:r w:rsidRPr="00913E39">
              <w:rPr>
                <w:rFonts w:ascii="Garamond" w:hAnsi="Garamond"/>
                <w:i/>
                <w:sz w:val="20"/>
                <w:szCs w:val="20"/>
              </w:rPr>
              <w:t>Po</w:t>
            </w:r>
          </w:p>
        </w:tc>
        <w:tc>
          <w:tcPr>
            <w:tcW w:w="992" w:type="dxa"/>
            <w:tcBorders>
              <w:left w:val="single" w:sz="4" w:space="0" w:color="auto"/>
              <w:bottom w:val="single" w:sz="4" w:space="0" w:color="auto"/>
            </w:tcBorders>
            <w:shd w:val="clear" w:color="auto" w:fill="auto"/>
          </w:tcPr>
          <w:p w14:paraId="353DE87B" w14:textId="77777777" w:rsidR="00564DFD" w:rsidRPr="00913E39" w:rsidRDefault="00564DFD" w:rsidP="00564DFD">
            <w:pPr>
              <w:spacing w:after="0" w:line="240" w:lineRule="auto"/>
              <w:jc w:val="center"/>
              <w:rPr>
                <w:rFonts w:ascii="Garamond" w:hAnsi="Garamond"/>
                <w:i/>
                <w:sz w:val="20"/>
                <w:szCs w:val="20"/>
              </w:rPr>
            </w:pPr>
            <w:r w:rsidRPr="00913E39">
              <w:rPr>
                <w:rFonts w:ascii="Garamond" w:hAnsi="Garamond"/>
                <w:i/>
                <w:sz w:val="20"/>
                <w:szCs w:val="20"/>
              </w:rPr>
              <w:t>Jo</w:t>
            </w:r>
          </w:p>
        </w:tc>
      </w:tr>
      <w:tr w:rsidR="00564DFD" w:rsidRPr="00913E39" w14:paraId="0EA4D7A3" w14:textId="77777777" w:rsidTr="00850FC7">
        <w:tc>
          <w:tcPr>
            <w:tcW w:w="8080" w:type="dxa"/>
            <w:tcBorders>
              <w:top w:val="single" w:sz="4" w:space="0" w:color="auto"/>
              <w:bottom w:val="single" w:sz="4" w:space="0" w:color="auto"/>
            </w:tcBorders>
            <w:shd w:val="clear" w:color="auto" w:fill="auto"/>
          </w:tcPr>
          <w:p w14:paraId="31315776" w14:textId="77777777" w:rsidR="00564DFD" w:rsidRPr="00913E39" w:rsidRDefault="00564DFD" w:rsidP="00564DFD">
            <w:pPr>
              <w:tabs>
                <w:tab w:val="num" w:pos="2520"/>
              </w:tabs>
              <w:spacing w:after="0" w:line="240" w:lineRule="auto"/>
              <w:rPr>
                <w:rFonts w:ascii="Garamond" w:hAnsi="Garamond"/>
                <w:sz w:val="20"/>
                <w:szCs w:val="20"/>
              </w:rPr>
            </w:pPr>
            <w:r w:rsidRPr="00913E39">
              <w:rPr>
                <w:rFonts w:ascii="Garamond" w:hAnsi="Garamond"/>
                <w:sz w:val="20"/>
                <w:szCs w:val="20"/>
              </w:rPr>
              <w:t>A përfshin projekti një modifikim të ri të karakteristikave fizike të një trupi ujor sipërfaqësor ose ndryshime në nivelin e trupave ujorë nëntokësorë që përkeqësojnë statusin/potencialin e një trupi ujor ose shkaktojnë dështimin për të arritur statusin/potencialin e mirë të ujit?</w:t>
            </w:r>
          </w:p>
        </w:tc>
        <w:tc>
          <w:tcPr>
            <w:tcW w:w="709" w:type="dxa"/>
            <w:tcBorders>
              <w:top w:val="single" w:sz="4" w:space="0" w:color="auto"/>
              <w:bottom w:val="single" w:sz="4" w:space="0" w:color="auto"/>
            </w:tcBorders>
            <w:shd w:val="clear" w:color="auto" w:fill="auto"/>
          </w:tcPr>
          <w:p w14:paraId="4CF51013" w14:textId="77777777" w:rsidR="00564DFD" w:rsidRPr="00913E39" w:rsidRDefault="00564DFD" w:rsidP="00564DFD">
            <w:pPr>
              <w:spacing w:after="0" w:line="240" w:lineRule="auto"/>
              <w:rPr>
                <w:rFonts w:ascii="Garamond" w:hAnsi="Garamond"/>
                <w:i/>
                <w:sz w:val="20"/>
                <w:szCs w:val="20"/>
              </w:rPr>
            </w:pPr>
          </w:p>
        </w:tc>
        <w:tc>
          <w:tcPr>
            <w:tcW w:w="992" w:type="dxa"/>
            <w:tcBorders>
              <w:top w:val="single" w:sz="4" w:space="0" w:color="auto"/>
              <w:bottom w:val="single" w:sz="4" w:space="0" w:color="auto"/>
            </w:tcBorders>
            <w:shd w:val="clear" w:color="auto" w:fill="auto"/>
          </w:tcPr>
          <w:p w14:paraId="70768A4E" w14:textId="77777777" w:rsidR="00564DFD" w:rsidRPr="00913E39" w:rsidRDefault="00564DFD" w:rsidP="00564DFD">
            <w:pPr>
              <w:spacing w:after="0" w:line="240" w:lineRule="auto"/>
              <w:rPr>
                <w:rFonts w:ascii="Garamond" w:hAnsi="Garamond"/>
                <w:i/>
                <w:sz w:val="20"/>
                <w:szCs w:val="20"/>
              </w:rPr>
            </w:pPr>
          </w:p>
        </w:tc>
      </w:tr>
    </w:tbl>
    <w:p w14:paraId="60FE3D7B" w14:textId="77777777" w:rsidR="009B31EE" w:rsidRPr="00913E39" w:rsidRDefault="009B31EE" w:rsidP="001E7BC5">
      <w:pPr>
        <w:pStyle w:val="NumPar1"/>
        <w:numPr>
          <w:ilvl w:val="0"/>
          <w:numId w:val="0"/>
        </w:numPr>
        <w:spacing w:before="0" w:after="0"/>
        <w:ind w:firstLine="284"/>
        <w:rPr>
          <w:rFonts w:ascii="Garamond" w:hAnsi="Garamond"/>
          <w:szCs w:val="24"/>
        </w:rPr>
      </w:pPr>
    </w:p>
    <w:p w14:paraId="64F14115" w14:textId="10D7569E" w:rsidR="00564DFD" w:rsidRPr="00913E39" w:rsidRDefault="00564DFD" w:rsidP="001E7BC5">
      <w:pPr>
        <w:pStyle w:val="NumPar1"/>
        <w:numPr>
          <w:ilvl w:val="0"/>
          <w:numId w:val="0"/>
        </w:numPr>
        <w:spacing w:before="0" w:after="0"/>
        <w:ind w:firstLine="284"/>
        <w:rPr>
          <w:rFonts w:ascii="Garamond" w:hAnsi="Garamond"/>
          <w:szCs w:val="24"/>
        </w:rPr>
      </w:pPr>
      <w:r w:rsidRPr="00913E39">
        <w:rPr>
          <w:rFonts w:ascii="Garamond" w:hAnsi="Garamond"/>
          <w:szCs w:val="24"/>
        </w:rPr>
        <w:t>16. Aftësia përshtatëse me klimën dhe zbutja e klimës</w:t>
      </w:r>
    </w:p>
    <w:p w14:paraId="165ABDAA" w14:textId="22B699CA" w:rsidR="00564DFD" w:rsidRPr="00913E39" w:rsidRDefault="00564DFD" w:rsidP="001E7BC5">
      <w:pPr>
        <w:pStyle w:val="NumPar1"/>
        <w:numPr>
          <w:ilvl w:val="0"/>
          <w:numId w:val="0"/>
        </w:numPr>
        <w:spacing w:before="0" w:after="0"/>
        <w:ind w:firstLine="284"/>
        <w:rPr>
          <w:rFonts w:ascii="Garamond" w:hAnsi="Garamond"/>
          <w:i/>
          <w:iCs/>
          <w:szCs w:val="24"/>
        </w:rPr>
      </w:pPr>
      <w:r w:rsidRPr="00913E39">
        <w:rPr>
          <w:rFonts w:ascii="Garamond" w:hAnsi="Garamond"/>
          <w:i/>
          <w:iCs/>
          <w:szCs w:val="24"/>
        </w:rPr>
        <w:t>[Luteni t</w:t>
      </w:r>
      <w:r w:rsidR="005222A5" w:rsidRPr="00913E39">
        <w:rPr>
          <w:rFonts w:ascii="Garamond" w:hAnsi="Garamond"/>
          <w:i/>
          <w:iCs/>
          <w:szCs w:val="24"/>
        </w:rPr>
        <w:t>’</w:t>
      </w:r>
      <w:r w:rsidRPr="00913E39">
        <w:rPr>
          <w:rFonts w:ascii="Garamond" w:hAnsi="Garamond"/>
          <w:i/>
          <w:iCs/>
          <w:szCs w:val="24"/>
        </w:rPr>
        <w:t xml:space="preserve">i referoheni pjesës përkatëse 4.7 të aplikimit për </w:t>
      </w:r>
      <w:r w:rsidR="009B31EE" w:rsidRPr="00913E39">
        <w:rPr>
          <w:rFonts w:ascii="Garamond" w:hAnsi="Garamond"/>
          <w:i/>
          <w:iCs/>
          <w:szCs w:val="24"/>
        </w:rPr>
        <w:t xml:space="preserve">projekt madhor për </w:t>
      </w:r>
      <w:r w:rsidRPr="00913E39">
        <w:rPr>
          <w:rFonts w:ascii="Garamond" w:hAnsi="Garamond"/>
          <w:i/>
          <w:iCs/>
          <w:szCs w:val="24"/>
        </w:rPr>
        <w:t>referencë]</w:t>
      </w:r>
    </w:p>
    <w:p w14:paraId="322ADFFA" w14:textId="15A197EB" w:rsidR="00564DFD" w:rsidRPr="00913E39" w:rsidRDefault="00564DFD" w:rsidP="001E7BC5">
      <w:pPr>
        <w:tabs>
          <w:tab w:val="left" w:pos="993"/>
        </w:tabs>
        <w:spacing w:after="0" w:line="240" w:lineRule="auto"/>
        <w:ind w:firstLine="284"/>
        <w:jc w:val="both"/>
        <w:rPr>
          <w:rFonts w:ascii="Garamond" w:hAnsi="Garamond"/>
          <w:i/>
          <w:iCs/>
          <w:sz w:val="24"/>
          <w:szCs w:val="24"/>
        </w:rPr>
      </w:pPr>
      <w:r w:rsidRPr="00913E39">
        <w:rPr>
          <w:rFonts w:ascii="Garamond" w:hAnsi="Garamond"/>
          <w:i/>
          <w:iCs/>
          <w:sz w:val="24"/>
          <w:szCs w:val="24"/>
        </w:rPr>
        <w:t xml:space="preserve">Shpjegoni rreziqet kryesore të lidhura me klimën dhe si do të trajtohen ato. Nëse është e mundur, përdorni </w:t>
      </w:r>
      <w:r w:rsidR="009B31EE" w:rsidRPr="00913E39">
        <w:rPr>
          <w:rFonts w:ascii="Garamond" w:hAnsi="Garamond"/>
          <w:i/>
          <w:iCs/>
          <w:sz w:val="24"/>
          <w:szCs w:val="24"/>
        </w:rPr>
        <w:t>indeksin e krijimit të aftësisë përshtatëse</w:t>
      </w:r>
      <w:r w:rsidRPr="00913E39">
        <w:rPr>
          <w:rFonts w:ascii="Garamond" w:hAnsi="Garamond"/>
          <w:i/>
          <w:iCs/>
          <w:sz w:val="24"/>
          <w:szCs w:val="24"/>
        </w:rPr>
        <w:t>. Shpjegoni metodologjinë e aplikuar. Listoni masat e përshtatjes të identifikuara dhe se si ato janë integruar në projekt. Sqaroni nëse aftësia për t</w:t>
      </w:r>
      <w:r w:rsidR="005222A5" w:rsidRPr="00913E39">
        <w:rPr>
          <w:rFonts w:ascii="Garamond" w:hAnsi="Garamond"/>
          <w:i/>
          <w:iCs/>
          <w:sz w:val="24"/>
          <w:szCs w:val="24"/>
        </w:rPr>
        <w:t>’</w:t>
      </w:r>
      <w:r w:rsidRPr="00913E39">
        <w:rPr>
          <w:rFonts w:ascii="Garamond" w:hAnsi="Garamond"/>
          <w:i/>
          <w:iCs/>
          <w:sz w:val="24"/>
          <w:szCs w:val="24"/>
        </w:rPr>
        <w:t>ju përshtatur ndryshimeve klimatike është integruar në VNM për projektin.</w:t>
      </w:r>
    </w:p>
    <w:p w14:paraId="31DF3CA8" w14:textId="77777777" w:rsidR="00564DFD" w:rsidRPr="00913E39" w:rsidRDefault="00564DFD" w:rsidP="001E7BC5">
      <w:pPr>
        <w:spacing w:after="0" w:line="240" w:lineRule="auto"/>
        <w:ind w:firstLine="284"/>
        <w:jc w:val="both"/>
        <w:rPr>
          <w:rFonts w:ascii="Garamond" w:hAnsi="Garamond"/>
          <w:sz w:val="24"/>
          <w:szCs w:val="24"/>
        </w:rPr>
      </w:pPr>
      <w:r w:rsidRPr="00913E39">
        <w:rPr>
          <w:rFonts w:ascii="Garamond" w:hAnsi="Garamond"/>
          <w:bCs/>
          <w:i/>
          <w:iCs/>
          <w:sz w:val="24"/>
          <w:szCs w:val="24"/>
        </w:rPr>
        <w:t>Tregoni ndikimet kryesore në klimë që priten nga projekti dhe masat që do të zbatohen për të shmangur dhe/ose minimizuar këto ndikime. Bëni një dallim midis ndikimeve nga fazat e ndërtimit, funksionimit dhe mbylljes. Tregoni cenueshmërinë klimatike të projektit dhe çfarë masash do të zbatohen për të siguruar mbrojtjen e tij klimatike</w:t>
      </w:r>
      <w:r w:rsidRPr="00913E39">
        <w:rPr>
          <w:rFonts w:ascii="Garamond" w:hAnsi="Garamond"/>
          <w:bCs/>
          <w:iCs/>
          <w:sz w:val="24"/>
          <w:szCs w:val="24"/>
        </w:rPr>
        <w:t>.</w:t>
      </w:r>
    </w:p>
    <w:p w14:paraId="5C26D3C5" w14:textId="77777777" w:rsidR="0090197C" w:rsidRPr="00913E39" w:rsidRDefault="0090197C" w:rsidP="00564DFD">
      <w:pPr>
        <w:spacing w:after="0" w:line="240" w:lineRule="auto"/>
        <w:ind w:firstLine="284"/>
        <w:rPr>
          <w:rFonts w:ascii="Garamond" w:eastAsia="Calibri" w:hAnsi="Garamond"/>
          <w:sz w:val="24"/>
          <w:szCs w:val="24"/>
        </w:rPr>
      </w:pPr>
    </w:p>
    <w:p w14:paraId="58970521" w14:textId="77777777" w:rsidR="006556A9" w:rsidRPr="00913E39" w:rsidRDefault="006556A9" w:rsidP="00564DFD">
      <w:pPr>
        <w:spacing w:after="0" w:line="240" w:lineRule="auto"/>
        <w:ind w:firstLine="284"/>
        <w:rPr>
          <w:rFonts w:ascii="Garamond" w:hAnsi="Garamond"/>
          <w:sz w:val="24"/>
        </w:rPr>
      </w:pPr>
    </w:p>
    <w:p w14:paraId="34ACB7A7" w14:textId="167723D1" w:rsidR="00947621" w:rsidRPr="00913E39" w:rsidRDefault="00397BE8" w:rsidP="002755C9">
      <w:pPr>
        <w:spacing w:after="0" w:line="240" w:lineRule="auto"/>
        <w:rPr>
          <w:rFonts w:ascii="Garamond" w:hAnsi="Garamond"/>
          <w:sz w:val="24"/>
        </w:rPr>
      </w:pPr>
      <w:r w:rsidRPr="00913E39">
        <w:rPr>
          <w:rFonts w:ascii="Garamond" w:hAnsi="Garamond"/>
          <w:noProof/>
          <w:sz w:val="24"/>
        </w:rPr>
        <w:lastRenderedPageBreak/>
        <w:drawing>
          <wp:inline distT="0" distB="0" distL="0" distR="0" wp14:anchorId="2A6D0012" wp14:editId="32A88B8E">
            <wp:extent cx="5753735" cy="8128635"/>
            <wp:effectExtent l="0" t="0" r="0" b="5715"/>
            <wp:docPr id="63523263" name="Picture 63523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6FE9856" wp14:editId="7026D53C">
            <wp:extent cx="5628640" cy="8888730"/>
            <wp:effectExtent l="0" t="0" r="0" b="7620"/>
            <wp:docPr id="63523264" name="Picture 63523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628640" cy="888873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CCF4F44" wp14:editId="5820AFE7">
            <wp:extent cx="5664835" cy="8888730"/>
            <wp:effectExtent l="0" t="0" r="0" b="7620"/>
            <wp:docPr id="63523265" name="Picture 63523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64835" cy="888873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90926B4" wp14:editId="6F1EB5E8">
            <wp:extent cx="5759450" cy="8686800"/>
            <wp:effectExtent l="0" t="0" r="0" b="0"/>
            <wp:docPr id="63523266" name="Picture 6352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59450" cy="868680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835827D" wp14:editId="07DBBCF8">
            <wp:extent cx="5753735" cy="8490585"/>
            <wp:effectExtent l="0" t="0" r="0" b="5715"/>
            <wp:docPr id="63523267" name="Picture 63523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53735" cy="849058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3ED3B7B" wp14:editId="0F0F98CE">
            <wp:extent cx="5753735" cy="7345045"/>
            <wp:effectExtent l="0" t="0" r="0" b="8255"/>
            <wp:docPr id="63523268" name="Picture 63523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53735" cy="734504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465D660" wp14:editId="31DDFBEA">
            <wp:extent cx="5753735" cy="7309485"/>
            <wp:effectExtent l="0" t="0" r="0" b="5715"/>
            <wp:docPr id="63523269" name="Picture 6352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53735" cy="730948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C160E16" wp14:editId="65271FCE">
            <wp:extent cx="5759450" cy="7380605"/>
            <wp:effectExtent l="0" t="0" r="0" b="0"/>
            <wp:docPr id="63523270" name="Picture 6352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59450" cy="738060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8FC1C6C" wp14:editId="6ADB1500">
            <wp:extent cx="5753735" cy="7451725"/>
            <wp:effectExtent l="0" t="0" r="0" b="0"/>
            <wp:docPr id="63523271" name="Picture 63523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53735" cy="745172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1C1A2EC" wp14:editId="2C9436BD">
            <wp:extent cx="5753735" cy="7327265"/>
            <wp:effectExtent l="0" t="0" r="0" b="6985"/>
            <wp:docPr id="63523272" name="Picture 63523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53735" cy="732726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D04C601" wp14:editId="4B2CE9EE">
            <wp:extent cx="5753735" cy="7481570"/>
            <wp:effectExtent l="0" t="0" r="0" b="5080"/>
            <wp:docPr id="63523273" name="Picture 63523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53735" cy="748157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51739F0" wp14:editId="371663EF">
            <wp:extent cx="5753735" cy="7380605"/>
            <wp:effectExtent l="0" t="0" r="0" b="0"/>
            <wp:docPr id="63523274" name="Picture 63523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53735" cy="738060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104A70E" wp14:editId="5A89BF1E">
            <wp:extent cx="5753735" cy="7428230"/>
            <wp:effectExtent l="0" t="0" r="0" b="1270"/>
            <wp:docPr id="63523275" name="Picture 63523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53735" cy="742823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175C5A0" wp14:editId="4E2B8243">
            <wp:extent cx="5753735" cy="7493635"/>
            <wp:effectExtent l="0" t="0" r="0" b="0"/>
            <wp:docPr id="63523276" name="Picture 63523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53735" cy="7493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63116FC" wp14:editId="544BA8CC">
            <wp:extent cx="5753735" cy="7421880"/>
            <wp:effectExtent l="0" t="0" r="0" b="7620"/>
            <wp:docPr id="63523277" name="Picture 63523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53735" cy="742188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5977FA2" wp14:editId="50086EC6">
            <wp:extent cx="5753735" cy="7273925"/>
            <wp:effectExtent l="0" t="0" r="0" b="3175"/>
            <wp:docPr id="63523278" name="Picture 63523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53735" cy="727392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E8E84C2" wp14:editId="6C87F6B7">
            <wp:extent cx="5753735" cy="7433945"/>
            <wp:effectExtent l="0" t="0" r="0" b="0"/>
            <wp:docPr id="63523279" name="Picture 6352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53735" cy="743394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710CE94" wp14:editId="1AD1E699">
            <wp:extent cx="5753735" cy="7446010"/>
            <wp:effectExtent l="0" t="0" r="0" b="2540"/>
            <wp:docPr id="63523280" name="Picture 63523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53735" cy="744601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1884577" wp14:editId="63DD9D73">
            <wp:extent cx="5759450" cy="7392670"/>
            <wp:effectExtent l="0" t="0" r="0" b="0"/>
            <wp:docPr id="63523281" name="Picture 63523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59450" cy="739267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7EE3FF6" wp14:editId="1A1896FD">
            <wp:extent cx="5753735" cy="7345045"/>
            <wp:effectExtent l="0" t="0" r="0" b="8255"/>
            <wp:docPr id="63523282" name="Picture 63523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53735" cy="734504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C651A7D" wp14:editId="0DB5F831">
            <wp:extent cx="5759450" cy="7332980"/>
            <wp:effectExtent l="0" t="0" r="0" b="1270"/>
            <wp:docPr id="63523283" name="Picture 63523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759450" cy="733298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8FF2DEB" wp14:editId="10915A1B">
            <wp:extent cx="5753735" cy="7202170"/>
            <wp:effectExtent l="0" t="0" r="0" b="0"/>
            <wp:docPr id="63523284" name="Picture 63523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53735" cy="720217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33A6718" wp14:editId="6291E0C7">
            <wp:extent cx="5753735" cy="7386320"/>
            <wp:effectExtent l="0" t="0" r="0" b="5080"/>
            <wp:docPr id="63523285" name="Picture 63523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53735" cy="738632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1692310" wp14:editId="0972DE74">
            <wp:extent cx="5753735" cy="7327265"/>
            <wp:effectExtent l="0" t="0" r="0" b="6985"/>
            <wp:docPr id="63523286" name="Picture 63523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53735" cy="732726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6CCC01D" wp14:editId="47F2E650">
            <wp:extent cx="5759450" cy="7428230"/>
            <wp:effectExtent l="0" t="0" r="0" b="1270"/>
            <wp:docPr id="63523287" name="Picture 63523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59450" cy="742823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C7A535E" wp14:editId="0BDD21DB">
            <wp:extent cx="5753735" cy="7433945"/>
            <wp:effectExtent l="0" t="0" r="0" b="0"/>
            <wp:docPr id="63523288" name="Picture 6352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53735" cy="743394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D6886D5" wp14:editId="6E095CA9">
            <wp:extent cx="5759450" cy="7404100"/>
            <wp:effectExtent l="0" t="0" r="0" b="6350"/>
            <wp:docPr id="63523289" name="Picture 63523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759450" cy="740410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834C3F1" wp14:editId="1B4DDAD5">
            <wp:extent cx="5753735" cy="7249795"/>
            <wp:effectExtent l="0" t="0" r="0" b="8255"/>
            <wp:docPr id="63523290" name="Picture 63523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53735" cy="724979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4D0CE9C" wp14:editId="2992F71D">
            <wp:extent cx="5753735" cy="7345045"/>
            <wp:effectExtent l="0" t="0" r="0" b="8255"/>
            <wp:docPr id="63523291" name="Picture 63523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53735" cy="734504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61ECF1B" wp14:editId="66FC01CB">
            <wp:extent cx="5753735" cy="7433945"/>
            <wp:effectExtent l="0" t="0" r="0" b="0"/>
            <wp:docPr id="63523292" name="Picture 63523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53735" cy="743394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CDDB16B" wp14:editId="0FEC4C90">
            <wp:extent cx="5753735" cy="7350760"/>
            <wp:effectExtent l="0" t="0" r="0" b="2540"/>
            <wp:docPr id="63523293" name="Picture 63523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53735" cy="735076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741D8FF" wp14:editId="342EA0AE">
            <wp:extent cx="5759450" cy="8413750"/>
            <wp:effectExtent l="0" t="0" r="0" b="6350"/>
            <wp:docPr id="63523294" name="Picture 6352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759450" cy="841375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BD6F85E" wp14:editId="01032118">
            <wp:extent cx="5759450" cy="8181975"/>
            <wp:effectExtent l="0" t="0" r="0" b="9525"/>
            <wp:docPr id="63523295" name="Picture 63523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59450" cy="818197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0193B68" wp14:editId="1308ECA3">
            <wp:extent cx="5759450" cy="7997825"/>
            <wp:effectExtent l="0" t="0" r="0" b="3175"/>
            <wp:docPr id="63523296" name="Picture 6352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759450" cy="799782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86ADECA" wp14:editId="16F1C05B">
            <wp:extent cx="5753735" cy="7386320"/>
            <wp:effectExtent l="0" t="0" r="0" b="5080"/>
            <wp:docPr id="63523297" name="Picture 63523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753735" cy="738632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36D15C9" wp14:editId="1AE998BD">
            <wp:extent cx="5753735" cy="7446010"/>
            <wp:effectExtent l="0" t="0" r="0" b="2540"/>
            <wp:docPr id="63523298" name="Picture 63523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753735" cy="744601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E954089" wp14:editId="0ED99240">
            <wp:extent cx="5759450" cy="7861300"/>
            <wp:effectExtent l="0" t="0" r="0" b="6350"/>
            <wp:docPr id="63523299" name="Picture 63523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759450" cy="786130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BCC69DB" wp14:editId="7C05D0C5">
            <wp:extent cx="5759450" cy="7469505"/>
            <wp:effectExtent l="0" t="0" r="0" b="0"/>
            <wp:docPr id="63523300" name="Picture 63523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759450" cy="746950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6270A15" wp14:editId="22BA8C7D">
            <wp:extent cx="5759450" cy="8425815"/>
            <wp:effectExtent l="0" t="0" r="0" b="0"/>
            <wp:docPr id="63523301" name="Picture 6352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759450" cy="842581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9AC6E7A" wp14:editId="17171AB6">
            <wp:extent cx="5759450" cy="8443595"/>
            <wp:effectExtent l="0" t="0" r="0" b="0"/>
            <wp:docPr id="63523302" name="Picture 63523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759450" cy="844359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C686A2B" wp14:editId="7CBDDA58">
            <wp:extent cx="5753735" cy="8105140"/>
            <wp:effectExtent l="0" t="0" r="0" b="0"/>
            <wp:docPr id="63523303" name="Picture 63523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753735" cy="810514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A6E635F" wp14:editId="17E701AA">
            <wp:extent cx="5759450" cy="8526780"/>
            <wp:effectExtent l="0" t="0" r="0" b="7620"/>
            <wp:docPr id="63523304" name="Picture 6352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759450" cy="852678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4379B8C" wp14:editId="3456F398">
            <wp:extent cx="5753735" cy="8241665"/>
            <wp:effectExtent l="0" t="0" r="0" b="6985"/>
            <wp:docPr id="63523305" name="Picture 63523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753735" cy="824166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6CBEEBB" wp14:editId="58922D9C">
            <wp:extent cx="5759450" cy="8580120"/>
            <wp:effectExtent l="0" t="0" r="0" b="0"/>
            <wp:docPr id="63523306" name="Picture 6352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759450" cy="858012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AECA3EB" wp14:editId="63595DF0">
            <wp:extent cx="5753735" cy="8371840"/>
            <wp:effectExtent l="0" t="0" r="0" b="0"/>
            <wp:docPr id="63523307" name="Picture 63523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753735" cy="837184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675ABDB" wp14:editId="1B4EF170">
            <wp:extent cx="5759450" cy="8366125"/>
            <wp:effectExtent l="0" t="0" r="0" b="0"/>
            <wp:docPr id="63523308" name="Picture 63523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759450" cy="836612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E911959" wp14:editId="5F8645FE">
            <wp:extent cx="5753735" cy="7997825"/>
            <wp:effectExtent l="0" t="0" r="0" b="3175"/>
            <wp:docPr id="63523309" name="Picture 63523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753735" cy="799782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D38193C" wp14:editId="2C2CE538">
            <wp:extent cx="5753735" cy="8580120"/>
            <wp:effectExtent l="0" t="0" r="0" b="0"/>
            <wp:docPr id="63523310" name="Picture 63523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753735" cy="858012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16267B0" wp14:editId="4730BCAE">
            <wp:extent cx="5753735" cy="8431530"/>
            <wp:effectExtent l="0" t="0" r="0" b="7620"/>
            <wp:docPr id="63523311" name="Picture 63523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753735" cy="843153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3C32EB6" wp14:editId="61E3CB3D">
            <wp:extent cx="5759450" cy="8580120"/>
            <wp:effectExtent l="0" t="0" r="0" b="0"/>
            <wp:docPr id="63523312" name="Picture 6352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759450" cy="858012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AF8DC2B" wp14:editId="382344E0">
            <wp:extent cx="5759450" cy="8526780"/>
            <wp:effectExtent l="0" t="0" r="0" b="7620"/>
            <wp:docPr id="63523313" name="Picture 6352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759450" cy="852678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C16048A" wp14:editId="33B900B2">
            <wp:extent cx="5759450" cy="8692515"/>
            <wp:effectExtent l="0" t="0" r="0" b="0"/>
            <wp:docPr id="63523314" name="Picture 63523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759450" cy="869251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B5C68FB" wp14:editId="0334477E">
            <wp:extent cx="5759450" cy="8395970"/>
            <wp:effectExtent l="0" t="0" r="0" b="5080"/>
            <wp:docPr id="63523315" name="Picture 63523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759450" cy="8395970"/>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7A76C3E" wp14:editId="3CF0343C">
            <wp:extent cx="5753735" cy="8128635"/>
            <wp:effectExtent l="0" t="0" r="0" b="5715"/>
            <wp:docPr id="63523316" name="Picture 63523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610A49F" wp14:editId="27885994">
            <wp:extent cx="5753735" cy="8128635"/>
            <wp:effectExtent l="0" t="0" r="0" b="5715"/>
            <wp:docPr id="63523317" name="Picture 6352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4E1593C" wp14:editId="44291DCD">
            <wp:extent cx="5753735" cy="8128635"/>
            <wp:effectExtent l="0" t="0" r="0" b="5715"/>
            <wp:docPr id="63523318" name="Picture 63523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869147D" wp14:editId="72440980">
            <wp:extent cx="5753735" cy="8128635"/>
            <wp:effectExtent l="0" t="0" r="0" b="5715"/>
            <wp:docPr id="63523319" name="Picture 63523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72D6AB6" wp14:editId="6463A1A8">
            <wp:extent cx="5753735" cy="8128635"/>
            <wp:effectExtent l="0" t="0" r="0" b="5715"/>
            <wp:docPr id="63523320" name="Picture 6352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D3D8631" wp14:editId="1C51EFAD">
            <wp:extent cx="5753735" cy="8128635"/>
            <wp:effectExtent l="0" t="0" r="0" b="5715"/>
            <wp:docPr id="63523321" name="Picture 63523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E648C94" wp14:editId="4271BD3E">
            <wp:extent cx="5753735" cy="8128635"/>
            <wp:effectExtent l="0" t="0" r="0" b="5715"/>
            <wp:docPr id="63523322" name="Picture 63523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075C533" wp14:editId="611AE88D">
            <wp:extent cx="5753735" cy="8128635"/>
            <wp:effectExtent l="0" t="0" r="0" b="5715"/>
            <wp:docPr id="63523323" name="Picture 6352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0585DCF" wp14:editId="3913C051">
            <wp:extent cx="5753735" cy="8128635"/>
            <wp:effectExtent l="0" t="0" r="0" b="5715"/>
            <wp:docPr id="63523324" name="Picture 63523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5C5AF67" wp14:editId="4BE6E34D">
            <wp:extent cx="5753735" cy="8128635"/>
            <wp:effectExtent l="0" t="0" r="0" b="5715"/>
            <wp:docPr id="63523325" name="Picture 6352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3AAD57D" wp14:editId="7BCD186A">
            <wp:extent cx="5753735" cy="8128635"/>
            <wp:effectExtent l="0" t="0" r="0" b="5715"/>
            <wp:docPr id="63523326" name="Picture 6352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62E8C07" wp14:editId="42BEA336">
            <wp:extent cx="5753735" cy="8128635"/>
            <wp:effectExtent l="0" t="0" r="0" b="5715"/>
            <wp:docPr id="63523327" name="Picture 6352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6883113" wp14:editId="51CF734D">
            <wp:extent cx="5753735" cy="8128635"/>
            <wp:effectExtent l="0" t="0" r="0" b="5715"/>
            <wp:docPr id="63523328" name="Picture 6352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E87432A" wp14:editId="46287534">
            <wp:extent cx="5753735" cy="8128635"/>
            <wp:effectExtent l="0" t="0" r="0" b="5715"/>
            <wp:docPr id="63523329" name="Picture 63523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92528A8" wp14:editId="41956390">
            <wp:extent cx="5753735" cy="8128635"/>
            <wp:effectExtent l="0" t="0" r="0" b="5715"/>
            <wp:docPr id="63523330" name="Picture 6352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B195D70" wp14:editId="37224829">
            <wp:extent cx="5753735" cy="8128635"/>
            <wp:effectExtent l="0" t="0" r="0" b="5715"/>
            <wp:docPr id="63523331" name="Picture 6352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93728C2" wp14:editId="1423687B">
            <wp:extent cx="5753735" cy="8128635"/>
            <wp:effectExtent l="0" t="0" r="0" b="5715"/>
            <wp:docPr id="63523332" name="Picture 6352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D6BED88" wp14:editId="208452C0">
            <wp:extent cx="5753735" cy="8128635"/>
            <wp:effectExtent l="0" t="0" r="0" b="5715"/>
            <wp:docPr id="63523333" name="Picture 6352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F674926" wp14:editId="086DEF87">
            <wp:extent cx="5753735" cy="8128635"/>
            <wp:effectExtent l="0" t="0" r="0" b="5715"/>
            <wp:docPr id="63523334" name="Picture 6352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C8AD4C6" wp14:editId="75119BC0">
            <wp:extent cx="5753735" cy="8128635"/>
            <wp:effectExtent l="0" t="0" r="0" b="5715"/>
            <wp:docPr id="63523335" name="Picture 63523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F90FD46" wp14:editId="38514F41">
            <wp:extent cx="5753735" cy="8128635"/>
            <wp:effectExtent l="0" t="0" r="0" b="5715"/>
            <wp:docPr id="63523336" name="Picture 6352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25A4EE0" wp14:editId="7D90AE2E">
            <wp:extent cx="5753735" cy="8128635"/>
            <wp:effectExtent l="0" t="0" r="0" b="5715"/>
            <wp:docPr id="63523337" name="Picture 6352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2770D81" wp14:editId="1C4DCBD5">
            <wp:extent cx="5753735" cy="8128635"/>
            <wp:effectExtent l="0" t="0" r="0" b="5715"/>
            <wp:docPr id="63523338" name="Picture 6352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F91662B" wp14:editId="38097DE0">
            <wp:extent cx="5753735" cy="8128635"/>
            <wp:effectExtent l="0" t="0" r="0" b="5715"/>
            <wp:docPr id="63523339" name="Picture 6352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F2ED6C3" wp14:editId="22F1CF42">
            <wp:extent cx="5753735" cy="8128635"/>
            <wp:effectExtent l="0" t="0" r="0" b="5715"/>
            <wp:docPr id="63523340" name="Picture 63523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1A8D757" wp14:editId="3559FF92">
            <wp:extent cx="5753735" cy="8128635"/>
            <wp:effectExtent l="0" t="0" r="0" b="5715"/>
            <wp:docPr id="63523341" name="Picture 6352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8AE4B25" wp14:editId="3185B2BE">
            <wp:extent cx="5753735" cy="8128635"/>
            <wp:effectExtent l="0" t="0" r="0" b="5715"/>
            <wp:docPr id="63523342" name="Picture 6352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126F6DE" wp14:editId="7ED9864D">
            <wp:extent cx="5753735" cy="8128635"/>
            <wp:effectExtent l="0" t="0" r="0" b="5715"/>
            <wp:docPr id="63523343" name="Picture 6352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A022849" wp14:editId="3FD08383">
            <wp:extent cx="5753735" cy="8128635"/>
            <wp:effectExtent l="0" t="0" r="0" b="5715"/>
            <wp:docPr id="63523344" name="Picture 63523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D521055" wp14:editId="10495B42">
            <wp:extent cx="5753735" cy="8128635"/>
            <wp:effectExtent l="0" t="0" r="0" b="5715"/>
            <wp:docPr id="63523345" name="Picture 63523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93EA64D" wp14:editId="237EC213">
            <wp:extent cx="5753735" cy="8128635"/>
            <wp:effectExtent l="0" t="0" r="0" b="5715"/>
            <wp:docPr id="63523346" name="Picture 6352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0E80E2B" wp14:editId="71747B75">
            <wp:extent cx="5753735" cy="8128635"/>
            <wp:effectExtent l="0" t="0" r="0" b="5715"/>
            <wp:docPr id="63523347" name="Picture 63523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CB130AA" wp14:editId="54A4B8A8">
            <wp:extent cx="5753735" cy="8128635"/>
            <wp:effectExtent l="0" t="0" r="0" b="5715"/>
            <wp:docPr id="63523348" name="Picture 63523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E4CE923" wp14:editId="7798B0F6">
            <wp:extent cx="5753735" cy="8128635"/>
            <wp:effectExtent l="0" t="0" r="0" b="5715"/>
            <wp:docPr id="63523349" name="Picture 6352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7C9D7FC" wp14:editId="556FB9E2">
            <wp:extent cx="5753735" cy="8128635"/>
            <wp:effectExtent l="0" t="0" r="0" b="5715"/>
            <wp:docPr id="63523350" name="Picture 63523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A3AFD0D" wp14:editId="040AAF6C">
            <wp:extent cx="5753735" cy="8128635"/>
            <wp:effectExtent l="0" t="0" r="0" b="5715"/>
            <wp:docPr id="63523351" name="Picture 63523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8F87197" wp14:editId="5E2A7FE7">
            <wp:extent cx="5753735" cy="8128635"/>
            <wp:effectExtent l="0" t="0" r="0" b="5715"/>
            <wp:docPr id="63523352" name="Picture 63523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F7996CA" wp14:editId="169A7D01">
            <wp:extent cx="5753735" cy="8128635"/>
            <wp:effectExtent l="0" t="0" r="0" b="5715"/>
            <wp:docPr id="63523353" name="Picture 63523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FBA5CFD" wp14:editId="6B8E36A4">
            <wp:extent cx="5753735" cy="8128635"/>
            <wp:effectExtent l="0" t="0" r="0" b="5715"/>
            <wp:docPr id="63523354" name="Picture 63523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9D31E86" wp14:editId="4346D8B7">
            <wp:extent cx="5753735" cy="8128635"/>
            <wp:effectExtent l="0" t="0" r="0" b="5715"/>
            <wp:docPr id="63523355" name="Picture 6352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FF4BCC0" wp14:editId="3AF9C42D">
            <wp:extent cx="5753735" cy="8128635"/>
            <wp:effectExtent l="0" t="0" r="0" b="5715"/>
            <wp:docPr id="63523356" name="Picture 63523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AE7D58E" wp14:editId="4AF86EF1">
            <wp:extent cx="5753735" cy="8128635"/>
            <wp:effectExtent l="0" t="0" r="0" b="5715"/>
            <wp:docPr id="63523357" name="Picture 63523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7C502E5" wp14:editId="1C0CE1E3">
            <wp:extent cx="5753735" cy="8128635"/>
            <wp:effectExtent l="0" t="0" r="0" b="5715"/>
            <wp:docPr id="63523358" name="Picture 63523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5427B03" wp14:editId="5275E8BF">
            <wp:extent cx="5753735" cy="8128635"/>
            <wp:effectExtent l="0" t="0" r="0" b="5715"/>
            <wp:docPr id="63523359" name="Picture 63523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06ECC3E" wp14:editId="059E2CBC">
            <wp:extent cx="5753735" cy="8128635"/>
            <wp:effectExtent l="0" t="0" r="0" b="5715"/>
            <wp:docPr id="63523360" name="Picture 6352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026E358" wp14:editId="0EEC5F8B">
            <wp:extent cx="5753735" cy="8128635"/>
            <wp:effectExtent l="0" t="0" r="0" b="5715"/>
            <wp:docPr id="63523361" name="Picture 6352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D1A104B" wp14:editId="0BEFDAF3">
            <wp:extent cx="5753735" cy="8128635"/>
            <wp:effectExtent l="0" t="0" r="0" b="5715"/>
            <wp:docPr id="63523362" name="Picture 6352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BAF5D9E" wp14:editId="61A738DC">
            <wp:extent cx="5753735" cy="8128635"/>
            <wp:effectExtent l="0" t="0" r="0" b="5715"/>
            <wp:docPr id="63523363" name="Picture 6352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73D2E2E" wp14:editId="312187E2">
            <wp:extent cx="5753735" cy="8128635"/>
            <wp:effectExtent l="0" t="0" r="0" b="5715"/>
            <wp:docPr id="63523364" name="Picture 63523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E66B587" wp14:editId="754EE05E">
            <wp:extent cx="5753735" cy="8128635"/>
            <wp:effectExtent l="0" t="0" r="0" b="5715"/>
            <wp:docPr id="63523365" name="Picture 63523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E027EBD" wp14:editId="70C51DF4">
            <wp:extent cx="5753735" cy="8128635"/>
            <wp:effectExtent l="0" t="0" r="0" b="5715"/>
            <wp:docPr id="63523366" name="Picture 63523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51B1F3D" wp14:editId="0C8A3BE8">
            <wp:extent cx="5753735" cy="8128635"/>
            <wp:effectExtent l="0" t="0" r="0" b="5715"/>
            <wp:docPr id="63523367" name="Picture 63523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E28F778" wp14:editId="74AA754E">
            <wp:extent cx="5753735" cy="8128635"/>
            <wp:effectExtent l="0" t="0" r="0" b="5715"/>
            <wp:docPr id="63523368" name="Picture 6352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A6332D0" wp14:editId="5AA12A9B">
            <wp:extent cx="5753735" cy="8128635"/>
            <wp:effectExtent l="0" t="0" r="0" b="5715"/>
            <wp:docPr id="63523369" name="Picture 63523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3EC5C5D" wp14:editId="4DA056BE">
            <wp:extent cx="5753735" cy="8128635"/>
            <wp:effectExtent l="0" t="0" r="0" b="5715"/>
            <wp:docPr id="63523370" name="Picture 6352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B2C93B6" wp14:editId="182B7B0C">
            <wp:extent cx="5753735" cy="8128635"/>
            <wp:effectExtent l="0" t="0" r="0" b="5715"/>
            <wp:docPr id="63523371" name="Picture 6352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71C2B3D" wp14:editId="6EB39F9F">
            <wp:extent cx="5753735" cy="8128635"/>
            <wp:effectExtent l="0" t="0" r="0" b="5715"/>
            <wp:docPr id="63523372" name="Picture 63523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BFF7624" wp14:editId="12644C20">
            <wp:extent cx="5753735" cy="8128635"/>
            <wp:effectExtent l="0" t="0" r="0" b="5715"/>
            <wp:docPr id="63523373" name="Picture 63523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CC923A5" wp14:editId="3B693760">
            <wp:extent cx="5753735" cy="8128635"/>
            <wp:effectExtent l="0" t="0" r="0" b="5715"/>
            <wp:docPr id="63523374" name="Picture 6352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E7E2DD3" wp14:editId="59B0CA39">
            <wp:extent cx="5753735" cy="8128635"/>
            <wp:effectExtent l="0" t="0" r="0" b="5715"/>
            <wp:docPr id="63523375" name="Picture 63523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E4ACCFD" wp14:editId="46A6EF69">
            <wp:extent cx="5753735" cy="8128635"/>
            <wp:effectExtent l="0" t="0" r="0" b="5715"/>
            <wp:docPr id="63523376" name="Picture 6352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D3B5F65" wp14:editId="39C76DC6">
            <wp:extent cx="5753735" cy="8128635"/>
            <wp:effectExtent l="0" t="0" r="0" b="5715"/>
            <wp:docPr id="63523377" name="Picture 63523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2CB14BB" wp14:editId="33E70E92">
            <wp:extent cx="5753735" cy="8128635"/>
            <wp:effectExtent l="0" t="0" r="0" b="5715"/>
            <wp:docPr id="63523378" name="Picture 63523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226B933" wp14:editId="629BC246">
            <wp:extent cx="5753735" cy="8128635"/>
            <wp:effectExtent l="0" t="0" r="0" b="5715"/>
            <wp:docPr id="63523379" name="Picture 63523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C78F517" wp14:editId="175F17EC">
            <wp:extent cx="5753735" cy="8128635"/>
            <wp:effectExtent l="0" t="0" r="0" b="5715"/>
            <wp:docPr id="63523380" name="Picture 6352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62584CA" wp14:editId="5863FADE">
            <wp:extent cx="5753735" cy="8128635"/>
            <wp:effectExtent l="0" t="0" r="0" b="5715"/>
            <wp:docPr id="63523381" name="Picture 63523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E9C0D6A" wp14:editId="13BB4B2A">
            <wp:extent cx="5753735" cy="8128635"/>
            <wp:effectExtent l="0" t="0" r="0" b="5715"/>
            <wp:docPr id="63523382" name="Picture 6352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33F51D1" wp14:editId="7F32844E">
            <wp:extent cx="5753735" cy="8128635"/>
            <wp:effectExtent l="0" t="0" r="0" b="5715"/>
            <wp:docPr id="63523383" name="Picture 63523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00AAC2E" wp14:editId="447C46B0">
            <wp:extent cx="5753735" cy="8128635"/>
            <wp:effectExtent l="0" t="0" r="0" b="5715"/>
            <wp:docPr id="63523384" name="Picture 6352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EB0AFF1" wp14:editId="0B5AA0DF">
            <wp:extent cx="5753735" cy="8128635"/>
            <wp:effectExtent l="0" t="0" r="0" b="5715"/>
            <wp:docPr id="63523385" name="Picture 63523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EDA4947" wp14:editId="073A0076">
            <wp:extent cx="5753735" cy="8128635"/>
            <wp:effectExtent l="0" t="0" r="0" b="5715"/>
            <wp:docPr id="63523386" name="Picture 6352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7307646" wp14:editId="7936393D">
            <wp:extent cx="5753735" cy="8128635"/>
            <wp:effectExtent l="0" t="0" r="0" b="5715"/>
            <wp:docPr id="63523387" name="Picture 63523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03EC2E3" wp14:editId="72C73D54">
            <wp:extent cx="5753735" cy="8128635"/>
            <wp:effectExtent l="0" t="0" r="0" b="5715"/>
            <wp:docPr id="63523388" name="Picture 6352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088A890" wp14:editId="75B78FA0">
            <wp:extent cx="5753735" cy="8128635"/>
            <wp:effectExtent l="0" t="0" r="0" b="5715"/>
            <wp:docPr id="63523389" name="Picture 63523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E0DDBDF" wp14:editId="14B8BF79">
            <wp:extent cx="5753735" cy="8128635"/>
            <wp:effectExtent l="0" t="0" r="0" b="5715"/>
            <wp:docPr id="63523390" name="Picture 6352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E96470C" wp14:editId="363052C7">
            <wp:extent cx="5753735" cy="8128635"/>
            <wp:effectExtent l="0" t="0" r="0" b="5715"/>
            <wp:docPr id="63523391" name="Picture 6352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3911759" wp14:editId="57074191">
            <wp:extent cx="5753735" cy="8128635"/>
            <wp:effectExtent l="0" t="0" r="0" b="5715"/>
            <wp:docPr id="63523393" name="Picture 63523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B188319" wp14:editId="166A17B9">
            <wp:extent cx="5753735" cy="8128635"/>
            <wp:effectExtent l="0" t="0" r="0" b="5715"/>
            <wp:docPr id="63523394" name="Picture 63523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F1CCC2D" wp14:editId="0ED1CE7D">
            <wp:extent cx="5753735" cy="8128635"/>
            <wp:effectExtent l="0" t="0" r="0" b="5715"/>
            <wp:docPr id="63523395" name="Picture 63523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1EB59DE" wp14:editId="5CE365ED">
            <wp:extent cx="5753735" cy="8128635"/>
            <wp:effectExtent l="0" t="0" r="0" b="5715"/>
            <wp:docPr id="63523396" name="Picture 63523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ACA0B7E" wp14:editId="5427A4CF">
            <wp:extent cx="5753735" cy="8128635"/>
            <wp:effectExtent l="0" t="0" r="0" b="5715"/>
            <wp:docPr id="63523397" name="Picture 63523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FEA7058" wp14:editId="2FE49CF6">
            <wp:extent cx="5753735" cy="8128635"/>
            <wp:effectExtent l="0" t="0" r="0" b="5715"/>
            <wp:docPr id="63523398" name="Picture 63523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0665DA9" wp14:editId="2224037F">
            <wp:extent cx="5753735" cy="8128635"/>
            <wp:effectExtent l="0" t="0" r="0" b="5715"/>
            <wp:docPr id="63523399" name="Picture 63523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AA6F694" wp14:editId="524E64A1">
            <wp:extent cx="5753735" cy="8128635"/>
            <wp:effectExtent l="0" t="0" r="0" b="5715"/>
            <wp:docPr id="63523400" name="Picture 6352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4775EAA" wp14:editId="127761FF">
            <wp:extent cx="5753735" cy="8128635"/>
            <wp:effectExtent l="0" t="0" r="0" b="5715"/>
            <wp:docPr id="63523401" name="Picture 63523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8F73CFF" wp14:editId="0FEBAF72">
            <wp:extent cx="5753735" cy="8128635"/>
            <wp:effectExtent l="0" t="0" r="0" b="5715"/>
            <wp:docPr id="63523402" name="Picture 63523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FB673B7" wp14:editId="7582225F">
            <wp:extent cx="5753735" cy="8128635"/>
            <wp:effectExtent l="0" t="0" r="0" b="5715"/>
            <wp:docPr id="63523403" name="Picture 6352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C6D901F" wp14:editId="323EC79C">
            <wp:extent cx="5753735" cy="8128635"/>
            <wp:effectExtent l="0" t="0" r="0" b="5715"/>
            <wp:docPr id="63523404" name="Picture 63523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D7C770D" wp14:editId="1AEFFD39">
            <wp:extent cx="5753735" cy="8128635"/>
            <wp:effectExtent l="0" t="0" r="0" b="5715"/>
            <wp:docPr id="63523405" name="Picture 63523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3D242D6" wp14:editId="345AB807">
            <wp:extent cx="5753735" cy="8128635"/>
            <wp:effectExtent l="0" t="0" r="0" b="5715"/>
            <wp:docPr id="63523406" name="Picture 63523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752A56F" wp14:editId="58A15256">
            <wp:extent cx="5753735" cy="8128635"/>
            <wp:effectExtent l="0" t="0" r="0" b="5715"/>
            <wp:docPr id="63523407" name="Picture 63523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FE0A43B" wp14:editId="28092FFF">
            <wp:extent cx="5753735" cy="8128635"/>
            <wp:effectExtent l="0" t="0" r="0" b="5715"/>
            <wp:docPr id="63523408" name="Picture 6352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38304D6" wp14:editId="545D25E3">
            <wp:extent cx="5753735" cy="8128635"/>
            <wp:effectExtent l="0" t="0" r="0" b="5715"/>
            <wp:docPr id="63523409" name="Picture 63523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6F24561" wp14:editId="488AF8C9">
            <wp:extent cx="5753735" cy="8128635"/>
            <wp:effectExtent l="0" t="0" r="0" b="5715"/>
            <wp:docPr id="63523411" name="Picture 63523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2AF9FFD" wp14:editId="769976DD">
            <wp:extent cx="5753735" cy="8128635"/>
            <wp:effectExtent l="0" t="0" r="0" b="5715"/>
            <wp:docPr id="63523412" name="Picture 63523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7871E0D6" wp14:editId="43CB68F4">
            <wp:extent cx="5753735" cy="8128635"/>
            <wp:effectExtent l="0" t="0" r="0" b="5715"/>
            <wp:docPr id="63523413" name="Picture 63523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D86322D" wp14:editId="503FEADF">
            <wp:extent cx="5753735" cy="8128635"/>
            <wp:effectExtent l="0" t="0" r="0" b="5715"/>
            <wp:docPr id="63523414" name="Picture 63523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F225709" wp14:editId="2371CEEF">
            <wp:extent cx="5753735" cy="8128635"/>
            <wp:effectExtent l="0" t="0" r="0" b="5715"/>
            <wp:docPr id="63523415" name="Picture 63523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01C786B" wp14:editId="3F4499A8">
            <wp:extent cx="5753735" cy="8128635"/>
            <wp:effectExtent l="0" t="0" r="0" b="5715"/>
            <wp:docPr id="63523416" name="Picture 63523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5C79461" wp14:editId="1494189E">
            <wp:extent cx="5753735" cy="8128635"/>
            <wp:effectExtent l="0" t="0" r="0" b="5715"/>
            <wp:docPr id="63523417" name="Picture 63523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08134E7" wp14:editId="47D72AAE">
            <wp:extent cx="5753735" cy="8128635"/>
            <wp:effectExtent l="0" t="0" r="0" b="5715"/>
            <wp:docPr id="63523418" name="Picture 63523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48D27DC" wp14:editId="563EE3CF">
            <wp:extent cx="5753735" cy="8128635"/>
            <wp:effectExtent l="0" t="0" r="0" b="5715"/>
            <wp:docPr id="63523419" name="Picture 63523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5B66194" wp14:editId="00CA3B65">
            <wp:extent cx="5753735" cy="8128635"/>
            <wp:effectExtent l="0" t="0" r="0" b="5715"/>
            <wp:docPr id="63523420" name="Picture 6352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9552FE3" wp14:editId="041AF907">
            <wp:extent cx="5753735" cy="8128635"/>
            <wp:effectExtent l="0" t="0" r="0" b="5715"/>
            <wp:docPr id="63523421" name="Picture 63523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9D02D27" wp14:editId="62610011">
            <wp:extent cx="5753735" cy="8128635"/>
            <wp:effectExtent l="0" t="0" r="0" b="5715"/>
            <wp:docPr id="63523422" name="Picture 63523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3E4C7048" wp14:editId="157C4769">
            <wp:extent cx="5753735" cy="8128635"/>
            <wp:effectExtent l="0" t="0" r="0" b="5715"/>
            <wp:docPr id="63523423" name="Picture 63523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BCC4509" wp14:editId="46814575">
            <wp:extent cx="5753735" cy="8128635"/>
            <wp:effectExtent l="0" t="0" r="0" b="5715"/>
            <wp:docPr id="63523424" name="Picture 6352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8527584" wp14:editId="3E7324E4">
            <wp:extent cx="5753735" cy="8128635"/>
            <wp:effectExtent l="0" t="0" r="0" b="5715"/>
            <wp:docPr id="63523425" name="Picture 63523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25B13CC" wp14:editId="5B135233">
            <wp:extent cx="5753735" cy="8128635"/>
            <wp:effectExtent l="0" t="0" r="0" b="5715"/>
            <wp:docPr id="63523426" name="Picture 63523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F45473F" wp14:editId="6FCAF1C2">
            <wp:extent cx="5753735" cy="8128635"/>
            <wp:effectExtent l="0" t="0" r="0" b="5715"/>
            <wp:docPr id="63523427" name="Picture 63523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7A99051" wp14:editId="1F12628C">
            <wp:extent cx="5753735" cy="8128635"/>
            <wp:effectExtent l="0" t="0" r="0" b="5715"/>
            <wp:docPr id="63523428" name="Picture 6352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F5B56A6" wp14:editId="0E17E437">
            <wp:extent cx="5753735" cy="8128635"/>
            <wp:effectExtent l="0" t="0" r="0" b="5715"/>
            <wp:docPr id="63523429" name="Picture 63523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59AD784" wp14:editId="604AAC02">
            <wp:extent cx="5753735" cy="8128635"/>
            <wp:effectExtent l="0" t="0" r="0" b="5715"/>
            <wp:docPr id="63523430" name="Picture 635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2BB5A663" wp14:editId="72BCFFC0">
            <wp:extent cx="5753735" cy="8128635"/>
            <wp:effectExtent l="0" t="0" r="0" b="5715"/>
            <wp:docPr id="63523431" name="Picture 63523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57AC5625" wp14:editId="0971AAC7">
            <wp:extent cx="5753735" cy="8128635"/>
            <wp:effectExtent l="0" t="0" r="0" b="5715"/>
            <wp:docPr id="63523432" name="Picture 6352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8B145E5" wp14:editId="73D34578">
            <wp:extent cx="5753735" cy="8128635"/>
            <wp:effectExtent l="0" t="0" r="0" b="5715"/>
            <wp:docPr id="63523433" name="Picture 63523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B1D0049" wp14:editId="72A0B560">
            <wp:extent cx="5753735" cy="8128635"/>
            <wp:effectExtent l="0" t="0" r="0" b="5715"/>
            <wp:docPr id="63523434" name="Picture 63523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1A5B214F" wp14:editId="351989E0">
            <wp:extent cx="5753735" cy="8128635"/>
            <wp:effectExtent l="0" t="0" r="0" b="5715"/>
            <wp:docPr id="63523435" name="Picture 63523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bookmarkStart w:id="124" w:name="_GoBack"/>
      <w:bookmarkEnd w:id="124"/>
      <w:r w:rsidRPr="00913E39">
        <w:rPr>
          <w:rFonts w:ascii="Garamond" w:hAnsi="Garamond"/>
          <w:noProof/>
          <w:sz w:val="24"/>
        </w:rPr>
        <w:lastRenderedPageBreak/>
        <w:drawing>
          <wp:inline distT="0" distB="0" distL="0" distR="0" wp14:anchorId="4E1A4EC7" wp14:editId="73A5D8DF">
            <wp:extent cx="5753735" cy="8128635"/>
            <wp:effectExtent l="0" t="0" r="0" b="5715"/>
            <wp:docPr id="63523437" name="Picture 63523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413A8E4C" wp14:editId="7E71D132">
            <wp:extent cx="5753735" cy="8128635"/>
            <wp:effectExtent l="0" t="0" r="0" b="5715"/>
            <wp:docPr id="63523438" name="Picture 63523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6F737854" wp14:editId="3BDC1073">
            <wp:extent cx="5753735" cy="8128635"/>
            <wp:effectExtent l="0" t="0" r="0" b="5715"/>
            <wp:docPr id="63523439" name="Picture 63523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r w:rsidRPr="00913E39">
        <w:rPr>
          <w:rFonts w:ascii="Garamond" w:hAnsi="Garamond"/>
          <w:noProof/>
          <w:sz w:val="24"/>
        </w:rPr>
        <w:lastRenderedPageBreak/>
        <w:drawing>
          <wp:inline distT="0" distB="0" distL="0" distR="0" wp14:anchorId="046FCED8" wp14:editId="505ED762">
            <wp:extent cx="5753735" cy="8128635"/>
            <wp:effectExtent l="0" t="0" r="0" b="5715"/>
            <wp:docPr id="63523440" name="Picture 6352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5753735" cy="8128635"/>
                    </a:xfrm>
                    <a:prstGeom prst="rect">
                      <a:avLst/>
                    </a:prstGeom>
                    <a:noFill/>
                    <a:ln>
                      <a:noFill/>
                    </a:ln>
                  </pic:spPr>
                </pic:pic>
              </a:graphicData>
            </a:graphic>
          </wp:inline>
        </w:drawing>
      </w:r>
    </w:p>
    <w:sectPr w:rsidR="00947621" w:rsidRPr="00913E39" w:rsidSect="00244A6F">
      <w:footerReference w:type="default" r:id="rId232"/>
      <w:pgSz w:w="11906" w:h="16838" w:code="9"/>
      <w:pgMar w:top="1418" w:right="1418" w:bottom="1418" w:left="1418" w:header="130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256CE3" w14:textId="77777777" w:rsidR="00E528B3" w:rsidRDefault="00E528B3" w:rsidP="00420682">
      <w:pPr>
        <w:spacing w:after="0" w:line="240" w:lineRule="auto"/>
      </w:pPr>
      <w:r>
        <w:separator/>
      </w:r>
    </w:p>
  </w:endnote>
  <w:endnote w:type="continuationSeparator" w:id="0">
    <w:p w14:paraId="3BFD3656" w14:textId="77777777" w:rsidR="00E528B3" w:rsidRDefault="00E528B3" w:rsidP="00420682">
      <w:pPr>
        <w:spacing w:after="0" w:line="240" w:lineRule="auto"/>
      </w:pPr>
      <w:r>
        <w:continuationSeparator/>
      </w:r>
    </w:p>
  </w:endnote>
  <w:endnote w:type="continuationNotice" w:id="1">
    <w:p w14:paraId="19B20B7A" w14:textId="77777777" w:rsidR="00E528B3" w:rsidRDefault="00E528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Calibri (Body)">
    <w:altName w:val="Calibri"/>
    <w:charset w:val="00"/>
    <w:family w:val="roman"/>
    <w:pitch w:val="default"/>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CC09C" w14:textId="77777777" w:rsidR="00E528B3" w:rsidRDefault="00E528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3C0C7" w14:textId="77777777" w:rsidR="00E528B3" w:rsidRPr="0030787B" w:rsidRDefault="00E528B3" w:rsidP="003078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BB6C6" w14:textId="77777777" w:rsidR="00E528B3" w:rsidRDefault="00E528B3" w:rsidP="00420682">
      <w:pPr>
        <w:spacing w:after="0" w:line="240" w:lineRule="auto"/>
      </w:pPr>
      <w:r>
        <w:separator/>
      </w:r>
    </w:p>
  </w:footnote>
  <w:footnote w:type="continuationSeparator" w:id="0">
    <w:p w14:paraId="5DF88C2B" w14:textId="77777777" w:rsidR="00E528B3" w:rsidRDefault="00E528B3" w:rsidP="00420682">
      <w:pPr>
        <w:spacing w:after="0" w:line="240" w:lineRule="auto"/>
      </w:pPr>
      <w:r>
        <w:continuationSeparator/>
      </w:r>
    </w:p>
  </w:footnote>
  <w:footnote w:type="continuationNotice" w:id="1">
    <w:p w14:paraId="0B5159B2" w14:textId="77777777" w:rsidR="00E528B3" w:rsidRDefault="00E528B3">
      <w:pPr>
        <w:spacing w:after="0" w:line="240" w:lineRule="auto"/>
      </w:pPr>
    </w:p>
  </w:footnote>
  <w:footnote w:id="2">
    <w:p w14:paraId="0372A747" w14:textId="094C0E1E" w:rsidR="00E528B3" w:rsidRPr="00BD3368" w:rsidRDefault="00E528B3" w:rsidP="00FC4C60">
      <w:pPr>
        <w:spacing w:after="0" w:line="240" w:lineRule="auto"/>
        <w:jc w:val="both"/>
        <w:outlineLvl w:val="0"/>
        <w:rPr>
          <w:rFonts w:ascii="Garamond" w:hAnsi="Garamond"/>
          <w:b/>
          <w:snapToGrid w:val="0"/>
          <w:sz w:val="20"/>
          <w:szCs w:val="20"/>
        </w:rPr>
      </w:pPr>
      <w:r w:rsidRPr="00BD3368">
        <w:rPr>
          <w:rStyle w:val="FootnoteReference"/>
          <w:rFonts w:ascii="Garamond" w:hAnsi="Garamond"/>
          <w:sz w:val="20"/>
          <w:szCs w:val="20"/>
        </w:rPr>
        <w:footnoteRef/>
      </w:r>
      <w:r w:rsidRPr="00BD3368">
        <w:rPr>
          <w:rFonts w:ascii="Garamond" w:hAnsi="Garamond"/>
          <w:sz w:val="20"/>
          <w:szCs w:val="20"/>
        </w:rPr>
        <w:t xml:space="preserve"> Rregullorja (BE) 2021/1529 e Parlamentit Evropian dhe e Këshillit e datës 15 shtator 2021 për krijimin e Instrumentit të Ndihmës Paraaderimit (IPA III), OJ L 330, 20.9.2021, f. 1.</w:t>
      </w:r>
    </w:p>
    <w:p w14:paraId="6087F382" w14:textId="77777777" w:rsidR="00E528B3" w:rsidRPr="00BD3368" w:rsidRDefault="00E528B3" w:rsidP="007A2236">
      <w:pPr>
        <w:pStyle w:val="FootnoteText"/>
        <w:rPr>
          <w:lang w:val="sq-AL"/>
        </w:rPr>
      </w:pPr>
    </w:p>
  </w:footnote>
  <w:footnote w:id="3">
    <w:p w14:paraId="5A959C37" w14:textId="06C5B764" w:rsidR="00E528B3" w:rsidRPr="00BD3368" w:rsidRDefault="00E528B3" w:rsidP="00693B1A">
      <w:pPr>
        <w:pStyle w:val="FootnoteText"/>
        <w:rPr>
          <w:rFonts w:ascii="Garamond" w:hAnsi="Garamond"/>
          <w:szCs w:val="18"/>
          <w:lang w:val="sq-AL"/>
        </w:rPr>
      </w:pPr>
      <w:r w:rsidRPr="00BD3368">
        <w:rPr>
          <w:rStyle w:val="FootnoteReference"/>
          <w:rFonts w:ascii="Garamond" w:hAnsi="Garamond"/>
          <w:szCs w:val="18"/>
          <w:lang w:val="sq-AL"/>
        </w:rPr>
        <w:footnoteRef/>
      </w:r>
      <w:r w:rsidRPr="00BD3368">
        <w:rPr>
          <w:rFonts w:ascii="Garamond" w:hAnsi="Garamond"/>
          <w:szCs w:val="18"/>
          <w:lang w:val="sq-AL"/>
        </w:rPr>
        <w:t xml:space="preserve"> Modelimi i Regjistrit Klinik.</w:t>
      </w:r>
    </w:p>
  </w:footnote>
  <w:footnote w:id="4">
    <w:p w14:paraId="3896C997" w14:textId="77777777" w:rsidR="00E528B3" w:rsidRPr="00BD3368" w:rsidRDefault="00E528B3" w:rsidP="00693B1A">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1" w:history="1">
        <w:r w:rsidRPr="00BD3368">
          <w:rPr>
            <w:rStyle w:val="Hyperlink"/>
            <w:rFonts w:ascii="Garamond" w:hAnsi="Garamond"/>
            <w:lang w:val="sq-AL"/>
          </w:rPr>
          <w:t>https://commission.europa.eu/funding-tenders/find-funding/eu-funding-programmes/technical-support-instrument/technical-support-instrument-tsi_en</w:t>
        </w:r>
      </w:hyperlink>
      <w:r w:rsidRPr="00BD3368">
        <w:rPr>
          <w:rFonts w:ascii="Garamond" w:hAnsi="Garamond"/>
          <w:lang w:val="sq-AL"/>
        </w:rPr>
        <w:t xml:space="preserve"> </w:t>
      </w:r>
    </w:p>
  </w:footnote>
  <w:footnote w:id="5">
    <w:p w14:paraId="0BC07702" w14:textId="1F1502F5" w:rsidR="00E528B3" w:rsidRPr="00BD3368" w:rsidRDefault="00E528B3" w:rsidP="00693B1A">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color w:val="000000"/>
          <w:lang w:val="sq-AL"/>
        </w:rPr>
        <w:t xml:space="preserve"> Rregullorja e (BE) 2019/881 e Parlamentit dhe Këshillit Evropian datë 17 prill 2019 për ENISA (Agjencia e Bashkimit Evropian për Sigurinë Kibernetike) dhe për certifikimin e teknologjisë së informacionit dhe komunikimit të sigurisë kibernetike dhe që shfuqizon rregulloren (BE) nr. 526/2013 (ligji për sigurinë kibernetike).</w:t>
      </w:r>
    </w:p>
  </w:footnote>
  <w:footnote w:id="6">
    <w:p w14:paraId="71A23056" w14:textId="77777777" w:rsidR="00E528B3" w:rsidRPr="00BD3368" w:rsidRDefault="00E528B3" w:rsidP="00693B1A">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https://digital-strategy.ec.europa.eu/en/library/cybersecurity-5g-networks-eu-toolbox-risk-mitigating-measures</w:t>
      </w:r>
    </w:p>
  </w:footnote>
  <w:footnote w:id="7">
    <w:p w14:paraId="76253E50" w14:textId="77777777" w:rsidR="00E528B3" w:rsidRPr="00BD3368" w:rsidRDefault="00E528B3" w:rsidP="00693B1A">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https://qbz.gov.al/share/3VxOqmLUSwOWhi00jsdZUg</w:t>
      </w:r>
    </w:p>
  </w:footnote>
  <w:footnote w:id="8">
    <w:p w14:paraId="0DD472A2" w14:textId="77777777" w:rsidR="00E528B3" w:rsidRPr="00BD3368" w:rsidRDefault="00E528B3" w:rsidP="00693B1A">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https://qbz.gov.al/share/axqVxAbRSZaE1Hs6TBYw4g</w:t>
      </w:r>
    </w:p>
  </w:footnote>
  <w:footnote w:id="9">
    <w:p w14:paraId="2A3E7629" w14:textId="77777777" w:rsidR="00E528B3" w:rsidRPr="00BD3368" w:rsidRDefault="00E528B3" w:rsidP="00693B1A">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https://qbz.gov.al/share/FblnKS3xTgWp1XYi5fzeHw</w:t>
      </w:r>
    </w:p>
  </w:footnote>
  <w:footnote w:id="10">
    <w:p w14:paraId="3947DD69" w14:textId="77777777" w:rsidR="00E528B3" w:rsidRPr="00BD3368" w:rsidRDefault="00E528B3" w:rsidP="00693B1A">
      <w:pPr>
        <w:pStyle w:val="FootnoteText"/>
        <w:rPr>
          <w:sz w:val="18"/>
          <w:szCs w:val="18"/>
          <w:lang w:val="sq-AL"/>
        </w:rPr>
      </w:pPr>
      <w:r w:rsidRPr="00BD3368">
        <w:rPr>
          <w:rStyle w:val="FootnoteReference"/>
          <w:rFonts w:ascii="Garamond" w:hAnsi="Garamond"/>
          <w:lang w:val="sq-AL"/>
        </w:rPr>
        <w:footnoteRef/>
      </w:r>
      <w:r w:rsidRPr="00BD3368">
        <w:rPr>
          <w:rFonts w:ascii="Garamond" w:hAnsi="Garamond"/>
          <w:lang w:val="sq-AL"/>
        </w:rPr>
        <w:t xml:space="preserve"> http://ips.gov.al/wp-content/uploads/2019/11/NSDI-eng.pdf</w:t>
      </w:r>
    </w:p>
  </w:footnote>
  <w:footnote w:id="11">
    <w:p w14:paraId="1505C8CF" w14:textId="08E5D557" w:rsidR="00E528B3" w:rsidRPr="00BD3368" w:rsidRDefault="00E528B3" w:rsidP="00693B1A">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Strategjia Kombëtare për Arsimin 2021–2026” </w:t>
      </w:r>
      <w:hyperlink r:id="rId2" w:history="1">
        <w:r w:rsidRPr="00BD3368">
          <w:rPr>
            <w:rStyle w:val="Hyperlink"/>
            <w:rFonts w:ascii="Garamond" w:hAnsi="Garamond"/>
            <w:lang w:val="sq-AL"/>
          </w:rPr>
          <w:t>https://arsimi.gov.al/vendim-nr-742-date-3-12-2021-per-krijimin-e-bazes-se-te-dhenave-shteterore-te-sistemit-te-menaxhimit-te-informacionit-parauniversitar-smip/</w:t>
        </w:r>
      </w:hyperlink>
      <w:r w:rsidRPr="00BD3368">
        <w:rPr>
          <w:rFonts w:ascii="Garamond" w:hAnsi="Garamond"/>
          <w:lang w:val="sq-AL"/>
        </w:rPr>
        <w:t xml:space="preserve"> </w:t>
      </w:r>
    </w:p>
  </w:footnote>
  <w:footnote w:id="12">
    <w:p w14:paraId="19F56180" w14:textId="789A7B44" w:rsidR="00E528B3" w:rsidRPr="00BD3368" w:rsidRDefault="00E528B3" w:rsidP="006E17B5">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bCs/>
          <w:lang w:val="sq-AL"/>
        </w:rPr>
        <w:t xml:space="preserve"> Për këtë qëllim është hartuar një studim i bazuar në përvojën ndërkombëtare në lidhje me përfshirjen e TIK-ut në arsimin fillestar në 18 vende. Studimi u përdor si bazë për procesin e rishikimit të kurrikulave të TIK-ut në të gjitha nivelet. Ministria e Arsimit dhe Sportit, me mbështetjen e Fondit Shqiptaro-Amerikan të Zhvillimit, po rishikon kurrikulat e TIK-ut në të gjitha nivelet. Rishikimi i kurrikulave synon të përmirësojë aftësitë digjitale të kërkuara nga tregu aktual i punës.</w:t>
      </w:r>
    </w:p>
  </w:footnote>
  <w:footnote w:id="13">
    <w:p w14:paraId="75AA3D18" w14:textId="5977EAC5" w:rsidR="00E528B3" w:rsidRPr="00BD3368" w:rsidRDefault="00E528B3" w:rsidP="00693B1A">
      <w:pPr>
        <w:autoSpaceDE w:val="0"/>
        <w:autoSpaceDN w:val="0"/>
        <w:adjustRightInd w:val="0"/>
        <w:spacing w:after="0" w:line="240" w:lineRule="auto"/>
        <w:jc w:val="both"/>
        <w:rPr>
          <w:rFonts w:ascii="Garamond" w:hAnsi="Garamond"/>
          <w:bCs/>
          <w:sz w:val="20"/>
          <w:szCs w:val="20"/>
        </w:rPr>
      </w:pPr>
      <w:r w:rsidRPr="00BD3368">
        <w:rPr>
          <w:rStyle w:val="FootnoteReference"/>
          <w:rFonts w:ascii="Garamond" w:hAnsi="Garamond"/>
          <w:sz w:val="20"/>
          <w:szCs w:val="20"/>
        </w:rPr>
        <w:footnoteRef/>
      </w:r>
      <w:r w:rsidRPr="00BD3368">
        <w:rPr>
          <w:rFonts w:ascii="Garamond" w:hAnsi="Garamond"/>
          <w:bCs/>
          <w:sz w:val="20"/>
          <w:szCs w:val="20"/>
        </w:rPr>
        <w:t xml:space="preserve"> Aftësimi digjital është aftësia:</w:t>
      </w:r>
    </w:p>
    <w:p w14:paraId="1EF6BA81" w14:textId="77777777" w:rsidR="00E528B3" w:rsidRPr="00BD3368" w:rsidRDefault="00E528B3" w:rsidP="00693B1A">
      <w:pPr>
        <w:pStyle w:val="ListParagraph"/>
        <w:autoSpaceDE w:val="0"/>
        <w:autoSpaceDN w:val="0"/>
        <w:adjustRightInd w:val="0"/>
        <w:spacing w:after="0" w:line="240" w:lineRule="auto"/>
        <w:ind w:left="0"/>
        <w:jc w:val="both"/>
        <w:rPr>
          <w:rFonts w:ascii="Garamond" w:eastAsia="Times New Roman" w:hAnsi="Garamond"/>
          <w:bCs/>
          <w:sz w:val="20"/>
          <w:szCs w:val="20"/>
        </w:rPr>
      </w:pPr>
      <w:r w:rsidRPr="00BD3368">
        <w:rPr>
          <w:rFonts w:ascii="Garamond" w:hAnsi="Garamond"/>
          <w:bCs/>
          <w:sz w:val="20"/>
          <w:szCs w:val="20"/>
        </w:rPr>
        <w:t>- për të përdorur teknologjinë digjitale dhe mjetet e komunikimit;</w:t>
      </w:r>
    </w:p>
    <w:p w14:paraId="7A5DB935" w14:textId="77777777" w:rsidR="00E528B3" w:rsidRPr="00BD3368" w:rsidRDefault="00E528B3" w:rsidP="00693B1A">
      <w:pPr>
        <w:pStyle w:val="ListParagraph"/>
        <w:autoSpaceDE w:val="0"/>
        <w:autoSpaceDN w:val="0"/>
        <w:adjustRightInd w:val="0"/>
        <w:spacing w:after="0" w:line="240" w:lineRule="auto"/>
        <w:ind w:left="0"/>
        <w:jc w:val="both"/>
        <w:rPr>
          <w:rFonts w:ascii="Garamond" w:eastAsia="Times New Roman" w:hAnsi="Garamond"/>
          <w:bCs/>
          <w:sz w:val="20"/>
          <w:szCs w:val="20"/>
        </w:rPr>
      </w:pPr>
      <w:r w:rsidRPr="00BD3368">
        <w:rPr>
          <w:rFonts w:ascii="Garamond" w:hAnsi="Garamond"/>
          <w:bCs/>
          <w:sz w:val="20"/>
          <w:szCs w:val="20"/>
        </w:rPr>
        <w:t>- për të marrë informacion;</w:t>
      </w:r>
    </w:p>
    <w:p w14:paraId="789717FE" w14:textId="77777777" w:rsidR="00E528B3" w:rsidRPr="00BD3368" w:rsidRDefault="00E528B3" w:rsidP="00693B1A">
      <w:pPr>
        <w:pStyle w:val="ListParagraph"/>
        <w:autoSpaceDE w:val="0"/>
        <w:autoSpaceDN w:val="0"/>
        <w:adjustRightInd w:val="0"/>
        <w:spacing w:after="0" w:line="240" w:lineRule="auto"/>
        <w:ind w:left="0"/>
        <w:jc w:val="both"/>
        <w:rPr>
          <w:rFonts w:ascii="Garamond" w:eastAsia="Times New Roman" w:hAnsi="Garamond"/>
          <w:bCs/>
          <w:sz w:val="20"/>
          <w:szCs w:val="20"/>
        </w:rPr>
      </w:pPr>
      <w:r w:rsidRPr="00BD3368">
        <w:rPr>
          <w:rFonts w:ascii="Garamond" w:hAnsi="Garamond"/>
          <w:bCs/>
          <w:sz w:val="20"/>
          <w:szCs w:val="20"/>
        </w:rPr>
        <w:t>- për të menaxhuar dhe integruar informacionin;</w:t>
      </w:r>
    </w:p>
    <w:p w14:paraId="57806149" w14:textId="77777777" w:rsidR="00E528B3" w:rsidRPr="00BD3368" w:rsidRDefault="00E528B3" w:rsidP="00693B1A">
      <w:pPr>
        <w:pStyle w:val="ListParagraph"/>
        <w:autoSpaceDE w:val="0"/>
        <w:autoSpaceDN w:val="0"/>
        <w:adjustRightInd w:val="0"/>
        <w:spacing w:after="0" w:line="240" w:lineRule="auto"/>
        <w:ind w:left="0"/>
        <w:jc w:val="both"/>
        <w:rPr>
          <w:rFonts w:ascii="Garamond" w:eastAsia="Times New Roman" w:hAnsi="Garamond"/>
          <w:bCs/>
          <w:sz w:val="20"/>
          <w:szCs w:val="20"/>
        </w:rPr>
      </w:pPr>
      <w:r w:rsidRPr="00BD3368">
        <w:rPr>
          <w:rFonts w:ascii="Garamond" w:hAnsi="Garamond"/>
          <w:bCs/>
          <w:sz w:val="20"/>
          <w:szCs w:val="20"/>
        </w:rPr>
        <w:t>- për të vlerësuar informacionin;</w:t>
      </w:r>
    </w:p>
    <w:p w14:paraId="73210AA7" w14:textId="77777777" w:rsidR="00E528B3" w:rsidRPr="00BD3368" w:rsidRDefault="00E528B3" w:rsidP="00693B1A">
      <w:pPr>
        <w:pStyle w:val="ListParagraph"/>
        <w:autoSpaceDE w:val="0"/>
        <w:autoSpaceDN w:val="0"/>
        <w:adjustRightInd w:val="0"/>
        <w:spacing w:after="0" w:line="240" w:lineRule="auto"/>
        <w:ind w:left="0"/>
        <w:jc w:val="both"/>
        <w:rPr>
          <w:rFonts w:ascii="Garamond" w:eastAsia="Times New Roman" w:hAnsi="Garamond"/>
          <w:bCs/>
          <w:sz w:val="20"/>
          <w:szCs w:val="20"/>
        </w:rPr>
      </w:pPr>
      <w:r w:rsidRPr="00BD3368">
        <w:rPr>
          <w:rFonts w:ascii="Garamond" w:hAnsi="Garamond"/>
          <w:bCs/>
          <w:sz w:val="20"/>
          <w:szCs w:val="20"/>
        </w:rPr>
        <w:t>- për të përshtatur informacionin;</w:t>
      </w:r>
    </w:p>
    <w:p w14:paraId="55A2A067" w14:textId="77777777" w:rsidR="00E528B3" w:rsidRPr="00BD3368" w:rsidRDefault="00E528B3" w:rsidP="00693B1A">
      <w:pPr>
        <w:pStyle w:val="ListParagraph"/>
        <w:autoSpaceDE w:val="0"/>
        <w:autoSpaceDN w:val="0"/>
        <w:adjustRightInd w:val="0"/>
        <w:spacing w:after="0" w:line="240" w:lineRule="auto"/>
        <w:ind w:left="0"/>
        <w:jc w:val="both"/>
        <w:rPr>
          <w:rFonts w:ascii="Garamond" w:eastAsia="Times New Roman" w:hAnsi="Garamond"/>
          <w:bCs/>
          <w:sz w:val="20"/>
          <w:szCs w:val="20"/>
        </w:rPr>
      </w:pPr>
      <w:r w:rsidRPr="00BD3368">
        <w:rPr>
          <w:rFonts w:ascii="Garamond" w:hAnsi="Garamond"/>
          <w:bCs/>
          <w:sz w:val="20"/>
          <w:szCs w:val="20"/>
        </w:rPr>
        <w:t>- për të shkëmbyer informacion në mënyrë që individi të funksionojë në shoqërinë e dijes.</w:t>
      </w:r>
    </w:p>
    <w:p w14:paraId="5AF07372" w14:textId="3B155F6D" w:rsidR="00E528B3" w:rsidRPr="00BD3368" w:rsidRDefault="00E528B3" w:rsidP="00693B1A">
      <w:pPr>
        <w:autoSpaceDE w:val="0"/>
        <w:autoSpaceDN w:val="0"/>
        <w:adjustRightInd w:val="0"/>
        <w:spacing w:after="0" w:line="240" w:lineRule="auto"/>
        <w:jc w:val="both"/>
        <w:rPr>
          <w:rFonts w:ascii="Garamond" w:hAnsi="Garamond"/>
          <w:sz w:val="20"/>
          <w:szCs w:val="20"/>
        </w:rPr>
      </w:pPr>
      <w:r w:rsidRPr="00BD3368">
        <w:rPr>
          <w:rFonts w:ascii="Garamond" w:hAnsi="Garamond"/>
          <w:bCs/>
          <w:sz w:val="20"/>
          <w:szCs w:val="20"/>
        </w:rPr>
        <w:t xml:space="preserve">Aftësimi digjital nënkupton përdorimin thelbësor dhe efektiv të TIK-ut në punë, gjatë kohës së lirë  gjatë komunikimit. Mbështetet në aftësitë bazë kompjuterike për të gjetur, prodhuar, krijuar, paraqitur dhe ndarë informacion, si dhe për të bashkëpunuar në rrjetet e informacionit në internet. </w:t>
      </w:r>
    </w:p>
  </w:footnote>
  <w:footnote w:id="14">
    <w:p w14:paraId="5589C90F" w14:textId="77777777" w:rsidR="00E528B3" w:rsidRPr="00BD3368" w:rsidRDefault="00E528B3" w:rsidP="00693B1A">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Kurrikulën mund ta gjeni në: </w:t>
      </w:r>
      <w:hyperlink r:id="rId3" w:history="1">
        <w:r w:rsidRPr="00BD3368">
          <w:rPr>
            <w:rStyle w:val="Hyperlink"/>
            <w:rFonts w:ascii="Garamond" w:hAnsi="Garamond"/>
            <w:lang w:val="sq-AL"/>
          </w:rPr>
          <w:t>https://www.ascap.edu.al/tik-klasa-ii/</w:t>
        </w:r>
      </w:hyperlink>
      <w:r w:rsidRPr="00BD3368">
        <w:rPr>
          <w:rFonts w:ascii="Garamond" w:hAnsi="Garamond"/>
          <w:lang w:val="sq-AL"/>
        </w:rPr>
        <w:t xml:space="preserve"> </w:t>
      </w:r>
    </w:p>
  </w:footnote>
  <w:footnote w:id="15">
    <w:p w14:paraId="21F32CD4" w14:textId="2DFD81DD" w:rsidR="00E528B3" w:rsidRPr="00BD3368" w:rsidRDefault="00E528B3" w:rsidP="00693B1A">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“Strategjia e Agjendës Digjitale 2022–2026”. https://akshi.gov.al/agjenda-digjitale/</w:t>
      </w:r>
    </w:p>
  </w:footnote>
  <w:footnote w:id="16">
    <w:p w14:paraId="090B7578" w14:textId="750241E6" w:rsidR="00E528B3" w:rsidRPr="00BD3368" w:rsidRDefault="00E528B3" w:rsidP="00693B1A">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Faqja e internetit të SMIP</w:t>
      </w:r>
      <w:r>
        <w:rPr>
          <w:rFonts w:ascii="Garamond" w:hAnsi="Garamond"/>
          <w:lang w:val="sq-AL"/>
        </w:rPr>
        <w:t>-it</w:t>
      </w:r>
      <w:r w:rsidRPr="00BD3368">
        <w:rPr>
          <w:rFonts w:ascii="Garamond" w:hAnsi="Garamond"/>
          <w:lang w:val="sq-AL"/>
        </w:rPr>
        <w:t xml:space="preserve">: </w:t>
      </w:r>
      <w:hyperlink r:id="rId4" w:history="1">
        <w:r w:rsidRPr="00BD3368">
          <w:rPr>
            <w:rStyle w:val="Hyperlink"/>
            <w:rFonts w:ascii="Garamond" w:hAnsi="Garamond"/>
            <w:lang w:val="sq-AL"/>
          </w:rPr>
          <w:t>https://smip.al/login</w:t>
        </w:r>
      </w:hyperlink>
    </w:p>
  </w:footnote>
  <w:footnote w:id="17">
    <w:p w14:paraId="17A635C4" w14:textId="2E344C9E" w:rsidR="00E528B3" w:rsidRPr="00BD3368" w:rsidRDefault="00E528B3" w:rsidP="00693B1A">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Ligji nr. 35/2019: </w:t>
      </w:r>
      <w:hyperlink r:id="rId5" w:history="1">
        <w:r w:rsidRPr="00BD3368">
          <w:rPr>
            <w:rStyle w:val="Hyperlink"/>
            <w:rFonts w:ascii="Garamond" w:hAnsi="Garamond"/>
            <w:lang w:val="sq-AL"/>
          </w:rPr>
          <w:t>https://qbz.gov.al/eli/ligj/2019/06/17/35/6739219d-6930-48d6-bd7d-e844756a07f8</w:t>
        </w:r>
      </w:hyperlink>
      <w:r w:rsidRPr="00BD3368">
        <w:rPr>
          <w:rFonts w:ascii="Garamond" w:hAnsi="Garamond"/>
          <w:lang w:val="sq-AL"/>
        </w:rPr>
        <w:t xml:space="preserve"> </w:t>
      </w:r>
    </w:p>
  </w:footnote>
  <w:footnote w:id="18">
    <w:p w14:paraId="5E696A61" w14:textId="50BFE8D7" w:rsidR="00E528B3" w:rsidRPr="00BD3368" w:rsidRDefault="00E528B3" w:rsidP="00693B1A">
      <w:pPr>
        <w:spacing w:after="0" w:line="240" w:lineRule="auto"/>
        <w:jc w:val="both"/>
        <w:rPr>
          <w:rFonts w:ascii="Garamond" w:hAnsi="Garamond"/>
          <w:color w:val="000000"/>
          <w:sz w:val="20"/>
          <w:szCs w:val="20"/>
        </w:rPr>
      </w:pPr>
      <w:r w:rsidRPr="00BD3368">
        <w:rPr>
          <w:rStyle w:val="FootnoteReference"/>
          <w:rFonts w:ascii="Garamond" w:hAnsi="Garamond"/>
          <w:sz w:val="20"/>
          <w:szCs w:val="20"/>
        </w:rPr>
        <w:footnoteRef/>
      </w:r>
      <w:r w:rsidRPr="00BD3368">
        <w:rPr>
          <w:rFonts w:ascii="Garamond" w:hAnsi="Garamond"/>
          <w:color w:val="000000"/>
          <w:sz w:val="20"/>
          <w:szCs w:val="20"/>
        </w:rPr>
        <w:t xml:space="preserve"> Sipas </w:t>
      </w:r>
      <w:r w:rsidRPr="00BD3368">
        <w:rPr>
          <w:rFonts w:ascii="Garamond" w:hAnsi="Garamond"/>
          <w:b/>
          <w:bCs/>
          <w:color w:val="000000"/>
          <w:sz w:val="20"/>
          <w:szCs w:val="20"/>
        </w:rPr>
        <w:t>Strategjisë Sektoriale për Menaxhimin e Financave Publike 2019–2022</w:t>
      </w:r>
      <w:r w:rsidRPr="00BD3368">
        <w:rPr>
          <w:rFonts w:ascii="Garamond" w:hAnsi="Garamond"/>
          <w:color w:val="000000"/>
          <w:sz w:val="20"/>
          <w:szCs w:val="20"/>
        </w:rPr>
        <w:t xml:space="preserve"> dhe Planit të Veprimit 2020–2022, objektivat kryesorë të komponentit tatime ishin si më poshtë:</w:t>
      </w:r>
    </w:p>
    <w:p w14:paraId="0D2304B3" w14:textId="21B5980D" w:rsidR="00E528B3" w:rsidRPr="00BD3368" w:rsidRDefault="00E528B3" w:rsidP="00693B1A">
      <w:pPr>
        <w:pStyle w:val="ListParagraph"/>
        <w:spacing w:after="0" w:line="240" w:lineRule="auto"/>
        <w:ind w:left="0"/>
        <w:jc w:val="both"/>
        <w:rPr>
          <w:rFonts w:ascii="Garamond" w:hAnsi="Garamond"/>
          <w:color w:val="000000"/>
          <w:sz w:val="20"/>
          <w:szCs w:val="20"/>
        </w:rPr>
      </w:pPr>
      <w:r w:rsidRPr="00BD3368">
        <w:rPr>
          <w:rFonts w:ascii="Garamond" w:hAnsi="Garamond"/>
          <w:color w:val="000000"/>
          <w:sz w:val="20"/>
          <w:szCs w:val="20"/>
        </w:rPr>
        <w:t>- Miratimi i një strategjie gjithëpërfshirëse afatmesme për mbledhjen e të ardhurave;</w:t>
      </w:r>
    </w:p>
    <w:p w14:paraId="13780B5D" w14:textId="787336AF" w:rsidR="00E528B3" w:rsidRPr="00BD3368" w:rsidRDefault="00E528B3" w:rsidP="00693B1A">
      <w:pPr>
        <w:pStyle w:val="ListParagraph"/>
        <w:spacing w:after="0" w:line="240" w:lineRule="auto"/>
        <w:ind w:left="0"/>
        <w:jc w:val="both"/>
        <w:rPr>
          <w:rFonts w:ascii="Garamond" w:hAnsi="Garamond"/>
          <w:color w:val="000000"/>
          <w:sz w:val="20"/>
          <w:szCs w:val="20"/>
        </w:rPr>
      </w:pPr>
      <w:r w:rsidRPr="00BD3368">
        <w:rPr>
          <w:rFonts w:ascii="Garamond" w:hAnsi="Garamond"/>
          <w:color w:val="000000"/>
          <w:sz w:val="20"/>
          <w:szCs w:val="20"/>
        </w:rPr>
        <w:t>- Krijimi i një procedure të automatizuar bazuar në risk për menaxhimin e rimbursimit të TVSH-së;</w:t>
      </w:r>
    </w:p>
    <w:p w14:paraId="7F58BB6F" w14:textId="71259703" w:rsidR="00E528B3" w:rsidRPr="00BD3368" w:rsidRDefault="00E528B3" w:rsidP="00693B1A">
      <w:pPr>
        <w:pStyle w:val="ListParagraph"/>
        <w:spacing w:after="0" w:line="240" w:lineRule="auto"/>
        <w:ind w:left="0"/>
        <w:jc w:val="both"/>
        <w:rPr>
          <w:rFonts w:ascii="Garamond" w:hAnsi="Garamond"/>
          <w:color w:val="000000"/>
          <w:sz w:val="20"/>
          <w:szCs w:val="20"/>
        </w:rPr>
      </w:pPr>
      <w:r w:rsidRPr="00BD3368">
        <w:rPr>
          <w:rFonts w:ascii="Garamond" w:hAnsi="Garamond"/>
          <w:color w:val="000000"/>
          <w:sz w:val="20"/>
          <w:szCs w:val="20"/>
        </w:rPr>
        <w:t>- Kryerja e automatizimit të plotë të proceseve kyçe të administratës tatimore;</w:t>
      </w:r>
    </w:p>
    <w:p w14:paraId="0A1B8A90" w14:textId="3461A9A3" w:rsidR="00E528B3" w:rsidRPr="00BD3368" w:rsidRDefault="00E528B3" w:rsidP="00693B1A">
      <w:pPr>
        <w:pStyle w:val="ListParagraph"/>
        <w:spacing w:after="0" w:line="240" w:lineRule="auto"/>
        <w:ind w:left="0"/>
        <w:jc w:val="both"/>
        <w:rPr>
          <w:rFonts w:ascii="Garamond" w:hAnsi="Garamond"/>
          <w:color w:val="000000"/>
          <w:sz w:val="20"/>
          <w:szCs w:val="20"/>
        </w:rPr>
      </w:pPr>
      <w:r w:rsidRPr="00BD3368">
        <w:rPr>
          <w:rFonts w:ascii="Garamond" w:hAnsi="Garamond"/>
          <w:color w:val="000000"/>
          <w:sz w:val="20"/>
          <w:szCs w:val="20"/>
        </w:rPr>
        <w:t>- Plotësimi i menaxhimit të riskut të përmbushjes me fokus te tatimpaguesit me risk të lartë përmbushjeje për sa u përket të ardhurave tatimore;</w:t>
      </w:r>
    </w:p>
    <w:p w14:paraId="5D9F65E4" w14:textId="77777777" w:rsidR="00E528B3" w:rsidRPr="00BD3368" w:rsidRDefault="00E528B3" w:rsidP="00693B1A">
      <w:pPr>
        <w:pStyle w:val="ListParagraph"/>
        <w:spacing w:after="0" w:line="240" w:lineRule="auto"/>
        <w:ind w:left="0"/>
        <w:jc w:val="both"/>
        <w:rPr>
          <w:rFonts w:ascii="Garamond" w:hAnsi="Garamond"/>
          <w:color w:val="000000"/>
          <w:sz w:val="20"/>
          <w:szCs w:val="20"/>
        </w:rPr>
      </w:pPr>
      <w:r w:rsidRPr="00BD3368">
        <w:rPr>
          <w:rFonts w:ascii="Garamond" w:hAnsi="Garamond"/>
          <w:color w:val="000000"/>
          <w:sz w:val="20"/>
          <w:szCs w:val="20"/>
        </w:rPr>
        <w:t>- Plotësimi dhe përditësimi i Regjistrit të Tatimpaguesve.</w:t>
      </w:r>
    </w:p>
    <w:p w14:paraId="4714C2C8" w14:textId="77777777" w:rsidR="00E528B3" w:rsidRPr="00BD3368" w:rsidRDefault="00E528B3" w:rsidP="00693B1A">
      <w:pPr>
        <w:pStyle w:val="ListParagraph"/>
        <w:spacing w:after="0" w:line="240" w:lineRule="auto"/>
        <w:ind w:left="0"/>
        <w:jc w:val="both"/>
        <w:rPr>
          <w:rFonts w:ascii="Garamond" w:hAnsi="Garamond"/>
          <w:color w:val="000000"/>
          <w:sz w:val="20"/>
          <w:szCs w:val="20"/>
        </w:rPr>
      </w:pPr>
      <w:r w:rsidRPr="00BD3368">
        <w:rPr>
          <w:rFonts w:ascii="Garamond" w:hAnsi="Garamond"/>
          <w:color w:val="000000"/>
          <w:sz w:val="20"/>
          <w:szCs w:val="20"/>
        </w:rPr>
        <w:t>- Reduktimi i informalitetit.</w:t>
      </w:r>
    </w:p>
    <w:p w14:paraId="02813C2A" w14:textId="1BB9907F" w:rsidR="00E528B3" w:rsidRPr="00BD3368" w:rsidRDefault="00E528B3" w:rsidP="00693B1A">
      <w:pPr>
        <w:pStyle w:val="ListParagraph"/>
        <w:spacing w:after="0" w:line="240" w:lineRule="auto"/>
        <w:ind w:left="0"/>
        <w:jc w:val="both"/>
        <w:rPr>
          <w:rFonts w:ascii="Times New Roman" w:hAnsi="Times New Roman"/>
          <w:sz w:val="18"/>
          <w:szCs w:val="18"/>
        </w:rPr>
      </w:pPr>
      <w:r w:rsidRPr="00BD3368">
        <w:rPr>
          <w:rFonts w:ascii="Garamond" w:hAnsi="Garamond"/>
          <w:color w:val="000000"/>
          <w:sz w:val="20"/>
          <w:szCs w:val="20"/>
        </w:rPr>
        <w:t>- Përmirësimi i menaxhimit të borxhit tatimor</w:t>
      </w:r>
      <w:r w:rsidRPr="00BD3368">
        <w:rPr>
          <w:rFonts w:ascii="Times New Roman" w:hAnsi="Times New Roman"/>
          <w:color w:val="000000"/>
          <w:sz w:val="18"/>
          <w:szCs w:val="18"/>
        </w:rPr>
        <w:t>.</w:t>
      </w:r>
    </w:p>
  </w:footnote>
  <w:footnote w:id="19">
    <w:p w14:paraId="32EDD201" w14:textId="60D89F67" w:rsidR="00E528B3" w:rsidRPr="00BD3368" w:rsidRDefault="00E528B3" w:rsidP="00693B1A">
      <w:pPr>
        <w:pStyle w:val="FootnoteText"/>
        <w:jc w:val="both"/>
        <w:rPr>
          <w:rFonts w:ascii="Garamond" w:hAnsi="Garamond"/>
          <w:lang w:val="sq-AL"/>
        </w:rPr>
      </w:pPr>
      <w:r w:rsidRPr="00BD3368">
        <w:rPr>
          <w:rStyle w:val="FootnoteReference"/>
          <w:rFonts w:ascii="Garamond" w:hAnsi="Garamond"/>
          <w:lang w:val="sq-AL"/>
        </w:rPr>
        <w:footnoteRef/>
      </w:r>
      <w:r>
        <w:rPr>
          <w:lang w:val="sq-AL"/>
        </w:rPr>
        <w:t xml:space="preserve"> </w:t>
      </w:r>
      <w:hyperlink r:id="rId6" w:history="1">
        <w:r w:rsidRPr="00FA7366">
          <w:rPr>
            <w:rStyle w:val="Hyperlink"/>
            <w:rFonts w:ascii="Garamond" w:hAnsi="Garamond"/>
            <w:lang w:val="sq-AL"/>
          </w:rPr>
          <w:t>https://cesk.gov.al/wp-content/uploads/2020/07/strategjia_kombetare_sigurise_kibernetike-1.pdf</w:t>
        </w:r>
      </w:hyperlink>
    </w:p>
  </w:footnote>
  <w:footnote w:id="20">
    <w:p w14:paraId="689E336D" w14:textId="77777777" w:rsidR="00E528B3" w:rsidRPr="00BD3368" w:rsidRDefault="00E528B3" w:rsidP="00693B1A">
      <w:pPr>
        <w:pStyle w:val="FootnoteText"/>
        <w:jc w:val="both"/>
        <w:rPr>
          <w:rFonts w:ascii="Garamond" w:eastAsia="Calibri"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7" w:history="1">
        <w:r w:rsidRPr="00BD3368">
          <w:rPr>
            <w:rStyle w:val="Hyperlink"/>
            <w:rFonts w:ascii="Garamond" w:hAnsi="Garamond"/>
            <w:lang w:val="sq-AL"/>
          </w:rPr>
          <w:t>https://www.infrastruktura.gov.al/wp-content/uploads/2020/07/National-Plan-BBand-EN.pdf</w:t>
        </w:r>
      </w:hyperlink>
      <w:r w:rsidRPr="00BD3368">
        <w:rPr>
          <w:rFonts w:ascii="Garamond" w:hAnsi="Garamond"/>
          <w:lang w:val="sq-AL"/>
        </w:rPr>
        <w:t xml:space="preserve"> </w:t>
      </w:r>
    </w:p>
    <w:p w14:paraId="1827BCE2" w14:textId="77777777" w:rsidR="00E528B3" w:rsidRPr="00BD3368" w:rsidRDefault="00E528B3" w:rsidP="00693B1A">
      <w:pPr>
        <w:pStyle w:val="FootnoteText"/>
        <w:jc w:val="both"/>
        <w:rPr>
          <w:rFonts w:ascii="Garamond" w:hAnsi="Garamond"/>
          <w:lang w:val="sq-AL"/>
        </w:rPr>
      </w:pPr>
    </w:p>
    <w:p w14:paraId="4785ED3D" w14:textId="77777777" w:rsidR="00E528B3" w:rsidRPr="00BD3368" w:rsidRDefault="00E528B3" w:rsidP="00693B1A">
      <w:pPr>
        <w:pStyle w:val="FootnoteText"/>
        <w:jc w:val="both"/>
        <w:rPr>
          <w:rFonts w:ascii="Garamond" w:hAnsi="Garamond"/>
          <w:lang w:val="sq-AL"/>
        </w:rPr>
      </w:pPr>
    </w:p>
  </w:footnote>
  <w:footnote w:id="21">
    <w:p w14:paraId="77EB0D68" w14:textId="06E10D4C" w:rsidR="00E528B3" w:rsidRPr="00BD3368" w:rsidRDefault="00E528B3" w:rsidP="00693B1A">
      <w:pPr>
        <w:pStyle w:val="FootnoteText"/>
        <w:rPr>
          <w:rFonts w:ascii="Garamond" w:hAnsi="Garamond"/>
          <w:lang w:val="sq-AL"/>
        </w:rPr>
      </w:pPr>
      <w:r w:rsidRPr="00BD3368">
        <w:rPr>
          <w:rStyle w:val="FootnoteReference"/>
          <w:rFonts w:ascii="Garamond" w:hAnsi="Garamond"/>
          <w:lang w:val="sq-AL"/>
        </w:rPr>
        <w:footnoteRef/>
      </w:r>
      <w:r>
        <w:rPr>
          <w:lang w:val="sq-AL"/>
        </w:rPr>
        <w:t xml:space="preserve"> </w:t>
      </w:r>
      <w:hyperlink r:id="rId8" w:history="1">
        <w:r w:rsidRPr="00FA7366">
          <w:rPr>
            <w:rStyle w:val="Hyperlink"/>
            <w:rFonts w:ascii="Garamond" w:hAnsi="Garamond"/>
            <w:lang w:val="sq-AL"/>
          </w:rPr>
          <w:t>https://www.tatime.gov.al/eng/shkarko.php?id=683</w:t>
        </w:r>
      </w:hyperlink>
    </w:p>
  </w:footnote>
  <w:footnote w:id="22">
    <w:p w14:paraId="0F6E3D3B" w14:textId="3BA4CE2D" w:rsidR="00E528B3" w:rsidRPr="00BD3368" w:rsidRDefault="00E528B3" w:rsidP="00693B1A">
      <w:pPr>
        <w:pStyle w:val="FootnoteText"/>
        <w:rPr>
          <w:rFonts w:ascii="Garamond" w:hAnsi="Garamond"/>
          <w:lang w:val="sq-AL"/>
        </w:rPr>
      </w:pPr>
      <w:r w:rsidRPr="00BD3368">
        <w:rPr>
          <w:rStyle w:val="FootnoteReference"/>
          <w:rFonts w:ascii="Garamond" w:hAnsi="Garamond"/>
          <w:lang w:val="sq-AL"/>
        </w:rPr>
        <w:footnoteRef/>
      </w:r>
      <w:r>
        <w:rPr>
          <w:lang w:val="sq-AL"/>
        </w:rPr>
        <w:t xml:space="preserve"> </w:t>
      </w:r>
      <w:hyperlink r:id="rId9" w:history="1">
        <w:r w:rsidRPr="00FA7366">
          <w:rPr>
            <w:rStyle w:val="Hyperlink"/>
            <w:rFonts w:ascii="Garamond" w:hAnsi="Garamond"/>
            <w:lang w:val="sq-AL"/>
          </w:rPr>
          <w:t>https://www.tatime.gov.al/eng/shkarko.php?id=3321</w:t>
        </w:r>
      </w:hyperlink>
    </w:p>
  </w:footnote>
  <w:footnote w:id="23">
    <w:p w14:paraId="132FAA06" w14:textId="1D9E4323" w:rsidR="00E528B3" w:rsidRPr="00BD3368" w:rsidRDefault="00E528B3" w:rsidP="00693B1A">
      <w:pPr>
        <w:spacing w:after="0" w:line="240" w:lineRule="auto"/>
        <w:jc w:val="both"/>
        <w:rPr>
          <w:rFonts w:ascii="Garamond" w:hAnsi="Garamond"/>
          <w:sz w:val="20"/>
          <w:szCs w:val="20"/>
        </w:rPr>
      </w:pPr>
      <w:r w:rsidRPr="00BD3368">
        <w:rPr>
          <w:rStyle w:val="FootnoteReference"/>
          <w:rFonts w:ascii="Garamond" w:hAnsi="Garamond"/>
          <w:sz w:val="20"/>
          <w:szCs w:val="20"/>
        </w:rPr>
        <w:footnoteRef/>
      </w:r>
      <w:r>
        <w:t xml:space="preserve"> </w:t>
      </w:r>
      <w:hyperlink r:id="rId10" w:history="1">
        <w:r w:rsidRPr="00FA7366">
          <w:rPr>
            <w:rStyle w:val="Hyperlink"/>
            <w:rFonts w:ascii="Garamond" w:hAnsi="Garamond"/>
            <w:sz w:val="20"/>
            <w:szCs w:val="20"/>
          </w:rPr>
          <w:t>https://www.tatime.gov.al/c/6/452/fiskalizimi</w:t>
        </w:r>
      </w:hyperlink>
    </w:p>
  </w:footnote>
  <w:footnote w:id="24">
    <w:p w14:paraId="269A5464" w14:textId="5840465C" w:rsidR="00E528B3" w:rsidRPr="00BD3368" w:rsidRDefault="00E528B3" w:rsidP="00693B1A">
      <w:pPr>
        <w:pStyle w:val="FootnoteText"/>
        <w:rPr>
          <w:lang w:val="sq-AL"/>
        </w:rPr>
      </w:pPr>
      <w:r w:rsidRPr="00BD3368">
        <w:rPr>
          <w:rStyle w:val="FootnoteReference"/>
          <w:rFonts w:ascii="Garamond" w:hAnsi="Garamond"/>
          <w:lang w:val="sq-AL"/>
        </w:rPr>
        <w:footnoteRef/>
      </w:r>
      <w:r>
        <w:rPr>
          <w:lang w:val="sq-AL"/>
        </w:rPr>
        <w:t xml:space="preserve"> </w:t>
      </w:r>
      <w:hyperlink r:id="rId11" w:history="1">
        <w:r w:rsidRPr="00FA7366">
          <w:rPr>
            <w:rStyle w:val="Hyperlink"/>
            <w:rFonts w:ascii="Garamond" w:hAnsi="Garamond"/>
            <w:lang w:val="sq-AL"/>
          </w:rPr>
          <w:t>https://www.idp.al/wp-content/uploads/2020/03/Ligj_nr.9887_dat%C3%AB_10.3.2008_i_ndryshuar.pdf</w:t>
        </w:r>
      </w:hyperlink>
    </w:p>
  </w:footnote>
  <w:footnote w:id="25">
    <w:p w14:paraId="09A43A40" w14:textId="05808FC2" w:rsidR="00E528B3" w:rsidRPr="00BD3368" w:rsidRDefault="00E528B3" w:rsidP="00F46B23">
      <w:pPr>
        <w:pStyle w:val="FootnoteText"/>
        <w:jc w:val="both"/>
        <w:rPr>
          <w:rFonts w:ascii="Garamond" w:hAnsi="Garamond"/>
          <w:color w:val="000000"/>
          <w:lang w:val="sq-AL"/>
        </w:rPr>
      </w:pPr>
      <w:r w:rsidRPr="00BD3368">
        <w:rPr>
          <w:rStyle w:val="FootnoteReference"/>
          <w:rFonts w:ascii="Garamond" w:hAnsi="Garamond"/>
          <w:lang w:val="sq-AL"/>
        </w:rPr>
        <w:footnoteRef/>
      </w:r>
      <w:r w:rsidRPr="00BD3368">
        <w:rPr>
          <w:rFonts w:ascii="Garamond" w:hAnsi="Garamond"/>
          <w:color w:val="000000"/>
          <w:lang w:val="sq-AL"/>
        </w:rPr>
        <w:t xml:space="preserve"> Kuadri 2022 përbëhej nga direktiva 2002/21/KE, direktiva 2002/20/KE, direktiva 2002/19/KE, direktiva 2002/22/KE dhe direktiva 2002/58/KE.</w:t>
      </w:r>
    </w:p>
  </w:footnote>
  <w:footnote w:id="26">
    <w:p w14:paraId="7C5B6C62" w14:textId="39760BD2" w:rsidR="00E528B3" w:rsidRPr="00BD3368" w:rsidRDefault="00E528B3" w:rsidP="00A81A3B">
      <w:pPr>
        <w:spacing w:after="0" w:line="240" w:lineRule="auto"/>
        <w:contextualSpacing/>
        <w:rPr>
          <w:rFonts w:ascii="Garamond" w:hAnsi="Garamond"/>
          <w:color w:val="000000"/>
          <w:sz w:val="20"/>
          <w:szCs w:val="20"/>
        </w:rPr>
      </w:pPr>
      <w:r w:rsidRPr="00BD3368">
        <w:rPr>
          <w:rStyle w:val="FootnoteReference"/>
          <w:rFonts w:ascii="Garamond" w:hAnsi="Garamond"/>
          <w:sz w:val="20"/>
          <w:szCs w:val="20"/>
        </w:rPr>
        <w:footnoteRef/>
      </w:r>
      <w:r>
        <w:t xml:space="preserve"> </w:t>
      </w:r>
      <w:hyperlink r:id="rId12" w:history="1">
        <w:r w:rsidRPr="00FA7366">
          <w:rPr>
            <w:rStyle w:val="Hyperlink"/>
            <w:rFonts w:ascii="Garamond" w:hAnsi="Garamond"/>
            <w:sz w:val="20"/>
            <w:szCs w:val="20"/>
          </w:rPr>
          <w:t>https://akep.al/vendime-akte/komunikimet-elektronike/</w:t>
        </w:r>
      </w:hyperlink>
    </w:p>
  </w:footnote>
  <w:footnote w:id="27">
    <w:p w14:paraId="5A59E236" w14:textId="07FD140E" w:rsidR="00E528B3" w:rsidRPr="00BD3368" w:rsidRDefault="00E528B3" w:rsidP="00EF60E1">
      <w:pPr>
        <w:pStyle w:val="Heading1"/>
        <w:spacing w:before="0" w:after="0"/>
        <w:jc w:val="both"/>
        <w:rPr>
          <w:rFonts w:ascii="Garamond" w:hAnsi="Garamond"/>
          <w:b w:val="0"/>
          <w:sz w:val="18"/>
          <w:szCs w:val="18"/>
          <w:lang w:val="sq-AL"/>
        </w:rPr>
      </w:pPr>
      <w:r w:rsidRPr="00BD3368">
        <w:rPr>
          <w:rFonts w:ascii="Garamond" w:hAnsi="Garamond"/>
          <w:b w:val="0"/>
          <w:sz w:val="20"/>
          <w:szCs w:val="18"/>
          <w:vertAlign w:val="superscript"/>
          <w:lang w:val="sq-AL"/>
        </w:rPr>
        <w:footnoteRef/>
      </w:r>
      <w:r w:rsidRPr="00BD3368">
        <w:rPr>
          <w:rFonts w:ascii="Garamond" w:hAnsi="Garamond"/>
          <w:b w:val="0"/>
          <w:sz w:val="20"/>
          <w:szCs w:val="18"/>
          <w:lang w:val="sq-AL"/>
        </w:rPr>
        <w:t xml:space="preserve"> Vendim i Këshillit të Ministrave nr. 742, datë 3.12.2021</w:t>
      </w:r>
      <w:r>
        <w:rPr>
          <w:rFonts w:ascii="Garamond" w:hAnsi="Garamond"/>
          <w:b w:val="0"/>
          <w:sz w:val="20"/>
          <w:szCs w:val="18"/>
          <w:lang w:val="sq-AL"/>
        </w:rPr>
        <w:t>,</w:t>
      </w:r>
      <w:r w:rsidRPr="00BD3368">
        <w:rPr>
          <w:rFonts w:ascii="Garamond" w:hAnsi="Garamond"/>
          <w:b w:val="0"/>
          <w:sz w:val="20"/>
          <w:szCs w:val="18"/>
          <w:lang w:val="sq-AL"/>
        </w:rPr>
        <w:t xml:space="preserve"> “Për krijimin e bazës së të dhënave shtetërore të sistemit të menaxhimit të informacionit parauniversitar (SMIP)”. </w:t>
      </w:r>
    </w:p>
  </w:footnote>
  <w:footnote w:id="28">
    <w:p w14:paraId="45482023" w14:textId="0A83156C" w:rsidR="00E528B3" w:rsidRPr="00BD3368" w:rsidRDefault="00E528B3" w:rsidP="00AB259F">
      <w:pPr>
        <w:pStyle w:val="FootnoteText"/>
        <w:contextualSpacing/>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Mundësimi i bashkëpunimit në nivel politik për qasjet e integruara sektoriale/ndërsektoriale në fushat prioritare (prioritetet e qeverisë).</w:t>
      </w:r>
    </w:p>
  </w:footnote>
  <w:footnote w:id="29">
    <w:p w14:paraId="7B05B57B" w14:textId="655183F3" w:rsidR="00E528B3" w:rsidRPr="00BD3368" w:rsidRDefault="00E528B3" w:rsidP="00AB259F">
      <w:pPr>
        <w:pStyle w:val="FootnoteText"/>
        <w:contextualSpacing/>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Mundësimi i bashkëpunimit në nivel teknik me partnerë brenda sektorëve specifikë të fushave përkatëse prioritare.</w:t>
      </w:r>
    </w:p>
  </w:footnote>
  <w:footnote w:id="30">
    <w:p w14:paraId="25101690" w14:textId="0097B908" w:rsidR="00E528B3" w:rsidRPr="00BD3368" w:rsidRDefault="00E528B3" w:rsidP="00AB259F">
      <w:pPr>
        <w:pStyle w:val="FootnoteText"/>
        <w:contextualSpacing/>
        <w:jc w:val="both"/>
        <w:rPr>
          <w:sz w:val="16"/>
          <w:szCs w:val="16"/>
          <w:lang w:val="sq-AL"/>
        </w:rPr>
      </w:pPr>
      <w:r w:rsidRPr="00BD3368">
        <w:rPr>
          <w:rStyle w:val="FootnoteReference"/>
          <w:rFonts w:ascii="Garamond" w:hAnsi="Garamond"/>
          <w:lang w:val="sq-AL"/>
        </w:rPr>
        <w:footnoteRef/>
      </w:r>
      <w:r w:rsidRPr="00BD3368">
        <w:rPr>
          <w:rFonts w:ascii="Garamond" w:hAnsi="Garamond"/>
          <w:lang w:val="sq-AL"/>
        </w:rPr>
        <w:t xml:space="preserve"> Vendimi i Këshillit të Ministrave nr. 290/11.4.2020, “Për krijimin e Sistemit Informatik të Planifikimit të Integruar (IPSIS)”.</w:t>
      </w:r>
    </w:p>
  </w:footnote>
  <w:footnote w:id="31">
    <w:p w14:paraId="753E54EC" w14:textId="4131E3EA" w:rsidR="00E528B3" w:rsidRPr="00BD3368" w:rsidRDefault="00E528B3" w:rsidP="00BE3DA6">
      <w:pPr>
        <w:autoSpaceDE w:val="0"/>
        <w:autoSpaceDN w:val="0"/>
        <w:adjustRightInd w:val="0"/>
        <w:spacing w:after="0" w:line="240" w:lineRule="auto"/>
        <w:jc w:val="both"/>
        <w:rPr>
          <w:rFonts w:ascii="Garamond" w:hAnsi="Garamond"/>
          <w:sz w:val="20"/>
          <w:szCs w:val="18"/>
        </w:rPr>
      </w:pPr>
      <w:r w:rsidRPr="00BD3368">
        <w:rPr>
          <w:rStyle w:val="FootnoteReference"/>
          <w:rFonts w:ascii="Garamond" w:hAnsi="Garamond"/>
          <w:sz w:val="20"/>
          <w:szCs w:val="18"/>
        </w:rPr>
        <w:footnoteRef/>
      </w:r>
      <w:r w:rsidRPr="00BD3368">
        <w:rPr>
          <w:rFonts w:ascii="Garamond" w:hAnsi="Garamond"/>
          <w:sz w:val="20"/>
          <w:szCs w:val="18"/>
        </w:rPr>
        <w:t xml:space="preserve"> OECD (2021), </w:t>
      </w:r>
      <w:r w:rsidRPr="00BD3368">
        <w:rPr>
          <w:rFonts w:ascii="Garamond" w:hAnsi="Garamond"/>
          <w:i/>
          <w:iCs/>
          <w:sz w:val="20"/>
          <w:szCs w:val="18"/>
        </w:rPr>
        <w:t>Multi-dimensional Review of the Western Balkans: Assessing Opportunities and Constraints</w:t>
      </w:r>
      <w:r w:rsidRPr="00BD3368">
        <w:rPr>
          <w:rFonts w:ascii="Garamond" w:hAnsi="Garamond"/>
          <w:sz w:val="20"/>
          <w:szCs w:val="18"/>
        </w:rPr>
        <w:t xml:space="preserve">, OECD Development Pathways, OECD Publishing, Paris, </w:t>
      </w:r>
      <w:r w:rsidRPr="00BD3368">
        <w:rPr>
          <w:rFonts w:ascii="Garamond" w:hAnsi="Garamond"/>
          <w:i/>
          <w:iCs/>
          <w:sz w:val="20"/>
          <w:szCs w:val="18"/>
        </w:rPr>
        <w:t>https://doi.org/10.1787/4d5cbc2a-en</w:t>
      </w:r>
      <w:r w:rsidRPr="00BD3368">
        <w:rPr>
          <w:rFonts w:ascii="Garamond" w:hAnsi="Garamond"/>
          <w:sz w:val="20"/>
          <w:szCs w:val="18"/>
        </w:rPr>
        <w:t>.</w:t>
      </w:r>
    </w:p>
  </w:footnote>
  <w:footnote w:id="32">
    <w:p w14:paraId="734CCDEE" w14:textId="77777777" w:rsidR="00E528B3" w:rsidRPr="00BD3368" w:rsidRDefault="00E528B3" w:rsidP="00BE3DA6">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13" w:history="1">
        <w:r w:rsidRPr="00BD3368">
          <w:rPr>
            <w:rStyle w:val="Hyperlink"/>
            <w:rFonts w:ascii="Garamond" w:hAnsi="Garamond"/>
            <w:lang w:val="sq-AL"/>
          </w:rPr>
          <w:t>https://uis.unesco.org/en/country/al</w:t>
        </w:r>
      </w:hyperlink>
      <w:r w:rsidRPr="00BD3368">
        <w:rPr>
          <w:rFonts w:ascii="Garamond" w:hAnsi="Garamond"/>
          <w:lang w:val="sq-AL"/>
        </w:rPr>
        <w:t xml:space="preserve"> </w:t>
      </w:r>
    </w:p>
  </w:footnote>
  <w:footnote w:id="33">
    <w:p w14:paraId="64850863" w14:textId="77777777" w:rsidR="00E528B3" w:rsidRPr="00BD3368" w:rsidRDefault="00E528B3" w:rsidP="00BE3DA6">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14" w:history="1">
        <w:r w:rsidRPr="00BD3368">
          <w:rPr>
            <w:rStyle w:val="Hyperlink"/>
            <w:rFonts w:ascii="Garamond" w:hAnsi="Garamond"/>
            <w:lang w:val="sq-AL"/>
          </w:rPr>
          <w:t>https://akshi.gov.al/wp-content/uploads/2018/03/Digital_Agenda_Strategy_2015_-_2020.pdf</w:t>
        </w:r>
      </w:hyperlink>
      <w:r w:rsidRPr="00BD3368">
        <w:rPr>
          <w:rFonts w:ascii="Garamond" w:hAnsi="Garamond"/>
          <w:lang w:val="sq-AL"/>
        </w:rPr>
        <w:t xml:space="preserve"> </w:t>
      </w:r>
    </w:p>
  </w:footnote>
  <w:footnote w:id="34">
    <w:p w14:paraId="5E9FB194" w14:textId="77777777" w:rsidR="00E528B3" w:rsidRPr="00BD3368" w:rsidRDefault="00E528B3" w:rsidP="00BE3DA6">
      <w:pPr>
        <w:pStyle w:val="FootnoteText"/>
        <w:rPr>
          <w:sz w:val="18"/>
          <w:szCs w:val="18"/>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15" w:history="1">
        <w:r w:rsidRPr="00BD3368">
          <w:rPr>
            <w:rStyle w:val="Hyperlink"/>
            <w:rFonts w:ascii="Garamond" w:hAnsi="Garamond"/>
            <w:lang w:val="sq-AL"/>
          </w:rPr>
          <w:t>https://akshi.gov.al/wp-content/uploads/2018/03/RAPORT-MONITORIMI-VJETOR-2015-2016.pdf</w:t>
        </w:r>
      </w:hyperlink>
      <w:r w:rsidRPr="00BD3368">
        <w:rPr>
          <w:sz w:val="18"/>
          <w:szCs w:val="18"/>
          <w:lang w:val="sq-AL"/>
        </w:rPr>
        <w:t xml:space="preserve"> </w:t>
      </w:r>
    </w:p>
  </w:footnote>
  <w:footnote w:id="35">
    <w:p w14:paraId="2F6C5F05" w14:textId="77777777" w:rsidR="00E528B3" w:rsidRPr="00BD3368" w:rsidRDefault="00E528B3" w:rsidP="00BE3DA6">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16" w:history="1">
        <w:r w:rsidRPr="00BD3368">
          <w:rPr>
            <w:rStyle w:val="Hyperlink"/>
            <w:rFonts w:ascii="Garamond" w:hAnsi="Garamond"/>
            <w:lang w:val="sq-AL"/>
          </w:rPr>
          <w:t>https://data.gsmaintelligence.com/api-web/v2/research-file-download?id=54165956&amp;file=241120-5G-energy.pdf</w:t>
        </w:r>
      </w:hyperlink>
      <w:r w:rsidRPr="00BD3368">
        <w:rPr>
          <w:rFonts w:ascii="Garamond" w:hAnsi="Garamond"/>
          <w:lang w:val="sq-AL"/>
        </w:rPr>
        <w:t xml:space="preserve"> </w:t>
      </w:r>
    </w:p>
  </w:footnote>
  <w:footnote w:id="36">
    <w:p w14:paraId="6B861E00" w14:textId="77777777" w:rsidR="00E528B3" w:rsidRPr="00BD3368" w:rsidRDefault="00E528B3" w:rsidP="00BE3DA6">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17" w:history="1">
        <w:r w:rsidRPr="00BD3368">
          <w:rPr>
            <w:rStyle w:val="Hyperlink"/>
            <w:rFonts w:ascii="Garamond" w:hAnsi="Garamond"/>
            <w:lang w:val="sq-AL"/>
          </w:rPr>
          <w:t>https://desapublications.un.org/sites/default/files/publications/2022-11/Web%20version%20E-Government%202022%20November%2010.pdf</w:t>
        </w:r>
      </w:hyperlink>
      <w:r w:rsidRPr="00BD3368">
        <w:rPr>
          <w:rFonts w:ascii="Garamond" w:hAnsi="Garamond"/>
          <w:lang w:val="sq-AL"/>
        </w:rPr>
        <w:t xml:space="preserve"> </w:t>
      </w:r>
    </w:p>
  </w:footnote>
  <w:footnote w:id="37">
    <w:p w14:paraId="1339E861" w14:textId="77777777" w:rsidR="00E528B3" w:rsidRPr="00BD3368" w:rsidRDefault="00E528B3" w:rsidP="00BE3DA6">
      <w:pPr>
        <w:pStyle w:val="FootnoteText"/>
        <w:rPr>
          <w:sz w:val="18"/>
          <w:szCs w:val="18"/>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18" w:history="1">
        <w:r w:rsidRPr="00BD3368">
          <w:rPr>
            <w:rStyle w:val="Hyperlink"/>
            <w:rFonts w:ascii="Garamond" w:hAnsi="Garamond"/>
            <w:lang w:val="sq-AL"/>
          </w:rPr>
          <w:t>https://www.rcc.int/pubs/159/western-balkans-digital-economy-society-index-wb-desi-2022-report</w:t>
        </w:r>
      </w:hyperlink>
      <w:r w:rsidRPr="00BD3368">
        <w:rPr>
          <w:sz w:val="18"/>
          <w:szCs w:val="18"/>
          <w:lang w:val="sq-AL"/>
        </w:rPr>
        <w:t xml:space="preserve"> </w:t>
      </w:r>
    </w:p>
  </w:footnote>
  <w:footnote w:id="38">
    <w:p w14:paraId="2F9486D0" w14:textId="6A645CA9" w:rsidR="00E528B3" w:rsidRPr="00BD3368" w:rsidRDefault="00E528B3" w:rsidP="00FC1B04">
      <w:pPr>
        <w:spacing w:after="0" w:line="240" w:lineRule="auto"/>
        <w:jc w:val="both"/>
        <w:rPr>
          <w:rFonts w:ascii="Garamond" w:hAnsi="Garamond"/>
          <w:sz w:val="20"/>
          <w:szCs w:val="20"/>
        </w:rPr>
      </w:pPr>
      <w:r w:rsidRPr="00BD3368">
        <w:rPr>
          <w:rStyle w:val="FootnoteReference"/>
          <w:rFonts w:ascii="Garamond" w:hAnsi="Garamond"/>
          <w:sz w:val="20"/>
          <w:szCs w:val="20"/>
        </w:rPr>
        <w:footnoteRef/>
      </w:r>
      <w:r>
        <w:rPr>
          <w:rFonts w:ascii="Garamond" w:hAnsi="Garamond"/>
          <w:sz w:val="20"/>
          <w:szCs w:val="20"/>
        </w:rPr>
        <w:t xml:space="preserve"> </w:t>
      </w:r>
      <w:r w:rsidRPr="00BD3368">
        <w:rPr>
          <w:rFonts w:ascii="Garamond" w:hAnsi="Garamond"/>
          <w:sz w:val="20"/>
          <w:szCs w:val="20"/>
        </w:rPr>
        <w:t xml:space="preserve">“Besueshmëria: Sa i përket vlerësimit të dimensionit të besueshmërisë, ndër të gjitha çështjet që lidhen me vlerësimin e këtij dimensioni, vlerësimin më të lartë me 92.1% (shumë mirë dhe mirë) e ka fakti që spitalet ruajnë pa gabime të dhënat e pacientëve. </w:t>
      </w:r>
    </w:p>
    <w:p w14:paraId="7004AE87" w14:textId="620E0D95" w:rsidR="00E528B3" w:rsidRPr="00BD3368" w:rsidRDefault="00E528B3" w:rsidP="00FC1B04">
      <w:pPr>
        <w:spacing w:after="0" w:line="240" w:lineRule="auto"/>
        <w:jc w:val="both"/>
        <w:rPr>
          <w:rFonts w:ascii="Garamond" w:hAnsi="Garamond"/>
          <w:sz w:val="20"/>
          <w:szCs w:val="20"/>
        </w:rPr>
      </w:pPr>
      <w:r w:rsidRPr="00BD3368">
        <w:rPr>
          <w:rFonts w:ascii="Garamond" w:hAnsi="Garamond"/>
          <w:sz w:val="20"/>
          <w:szCs w:val="20"/>
        </w:rPr>
        <w:t xml:space="preserve">Siguria: Ky është një tjetër kriter i rëndësishëm për të cilin vlerësimet e pacientëve janë si më poshtë: Vlerësimi më i lartë ndër të gjitha alternativat lidhet me matjen e sigurisë “Të dhënat e pacientit ruhen duke zbatuar parimin e konfidencialitetit”, i cili mori 92,8% shumë mirë ose mirë”. </w:t>
      </w:r>
    </w:p>
    <w:p w14:paraId="7EA8707E" w14:textId="34D0862E" w:rsidR="00E528B3" w:rsidRPr="00BD3368" w:rsidRDefault="00E528B3" w:rsidP="00FC1B04">
      <w:pPr>
        <w:spacing w:after="0" w:line="240" w:lineRule="auto"/>
        <w:jc w:val="both"/>
        <w:rPr>
          <w:rFonts w:ascii="Garamond" w:hAnsi="Garamond"/>
          <w:sz w:val="20"/>
          <w:szCs w:val="20"/>
        </w:rPr>
      </w:pPr>
      <w:r w:rsidRPr="00BD3368">
        <w:rPr>
          <w:rFonts w:ascii="Garamond" w:hAnsi="Garamond"/>
          <w:sz w:val="20"/>
          <w:szCs w:val="20"/>
        </w:rPr>
        <w:t xml:space="preserve">Cituar në: Kënaqësia e pacientit me cilësinë e kujdesit në spitale publike në Shqipëri, </w:t>
      </w:r>
      <w:hyperlink r:id="rId19" w:history="1">
        <w:r w:rsidRPr="00961102">
          <w:rPr>
            <w:rStyle w:val="Hyperlink"/>
            <w:rFonts w:ascii="Garamond" w:hAnsi="Garamond"/>
            <w:color w:val="000000"/>
            <w:sz w:val="20"/>
            <w:szCs w:val="20"/>
            <w:u w:val="none"/>
          </w:rPr>
          <w:t>Rezarta Kalaja</w:t>
        </w:r>
      </w:hyperlink>
      <w:r w:rsidRPr="00961102">
        <w:rPr>
          <w:rFonts w:ascii="Garamond" w:hAnsi="Garamond"/>
          <w:sz w:val="20"/>
          <w:szCs w:val="20"/>
          <w:vertAlign w:val="superscript"/>
        </w:rPr>
        <w:t> </w:t>
      </w:r>
      <w:r w:rsidRPr="00961102">
        <w:rPr>
          <w:rFonts w:ascii="Garamond" w:hAnsi="Garamond"/>
          <w:sz w:val="20"/>
          <w:szCs w:val="20"/>
        </w:rPr>
        <w:t>dhe </w:t>
      </w:r>
      <w:hyperlink r:id="rId20" w:history="1">
        <w:r w:rsidRPr="00961102">
          <w:rPr>
            <w:rStyle w:val="Hyperlink"/>
            <w:rFonts w:ascii="Garamond" w:hAnsi="Garamond"/>
            <w:color w:val="000000"/>
            <w:sz w:val="20"/>
            <w:szCs w:val="20"/>
            <w:u w:val="none"/>
          </w:rPr>
          <w:t>Marsida Krasniqi</w:t>
        </w:r>
      </w:hyperlink>
      <w:r w:rsidRPr="00961102">
        <w:rPr>
          <w:rFonts w:ascii="Garamond" w:hAnsi="Garamond"/>
          <w:sz w:val="20"/>
          <w:szCs w:val="20"/>
        </w:rPr>
        <w:t>,</w:t>
      </w:r>
      <w:r w:rsidRPr="00BD3368">
        <w:rPr>
          <w:rFonts w:ascii="Garamond" w:hAnsi="Garamond"/>
          <w:sz w:val="20"/>
          <w:szCs w:val="20"/>
        </w:rPr>
        <w:t xml:space="preserve"> 22 dhjetor 2022, </w:t>
      </w:r>
      <w:hyperlink r:id="rId21" w:history="1">
        <w:r w:rsidRPr="00BD3368">
          <w:rPr>
            <w:rStyle w:val="Hyperlink"/>
            <w:rFonts w:ascii="Garamond" w:hAnsi="Garamond"/>
            <w:color w:val="000000"/>
            <w:sz w:val="20"/>
            <w:szCs w:val="20"/>
          </w:rPr>
          <w:t>https://www.ncbi.nlm.nih.gov/pmc/articles/PMC9815606/</w:t>
        </w:r>
      </w:hyperlink>
      <w:r w:rsidRPr="00BD3368">
        <w:rPr>
          <w:rStyle w:val="Hyperlink"/>
          <w:rFonts w:ascii="Garamond" w:hAnsi="Garamond"/>
          <w:color w:val="000000"/>
          <w:sz w:val="20"/>
          <w:szCs w:val="20"/>
        </w:rPr>
        <w:t xml:space="preserve"> </w:t>
      </w:r>
    </w:p>
  </w:footnote>
  <w:footnote w:id="39">
    <w:p w14:paraId="1EF090EE" w14:textId="77777777" w:rsidR="00E528B3" w:rsidRPr="00BD3368" w:rsidRDefault="00E528B3" w:rsidP="000268BB">
      <w:pPr>
        <w:pStyle w:val="FootnoteText"/>
        <w:rPr>
          <w:sz w:val="18"/>
          <w:szCs w:val="18"/>
          <w:lang w:val="sq-AL"/>
        </w:rPr>
      </w:pPr>
      <w:r w:rsidRPr="00280A1A">
        <w:rPr>
          <w:rStyle w:val="FootnoteReference"/>
          <w:rFonts w:ascii="Garamond" w:hAnsi="Garamond"/>
          <w:highlight w:val="yellow"/>
          <w:lang w:val="sq-AL"/>
        </w:rPr>
        <w:footnoteRef/>
      </w:r>
      <w:r w:rsidRPr="00280A1A">
        <w:rPr>
          <w:rFonts w:ascii="Garamond" w:hAnsi="Garamond"/>
          <w:highlight w:val="yellow"/>
          <w:lang w:val="sq-AL"/>
        </w:rPr>
        <w:t xml:space="preserve"> </w:t>
      </w:r>
      <w:hyperlink r:id="rId22" w:history="1">
        <w:r w:rsidRPr="00280A1A">
          <w:rPr>
            <w:rStyle w:val="Hyperlink"/>
            <w:rFonts w:ascii="Garamond" w:hAnsi="Garamond"/>
            <w:highlight w:val="yellow"/>
            <w:lang w:val="sq-AL"/>
          </w:rPr>
          <w:t>https://www.opengovpartnership.org/members/albania/commitments/al0058/</w:t>
        </w:r>
      </w:hyperlink>
      <w:r w:rsidRPr="00BD3368">
        <w:rPr>
          <w:sz w:val="18"/>
          <w:szCs w:val="18"/>
          <w:lang w:val="sq-AL"/>
        </w:rPr>
        <w:t xml:space="preserve"> </w:t>
      </w:r>
    </w:p>
  </w:footnote>
  <w:footnote w:id="40">
    <w:p w14:paraId="0DF4B762" w14:textId="77777777" w:rsidR="00E528B3" w:rsidRPr="00BD3368" w:rsidRDefault="00E528B3" w:rsidP="000268BB">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23" w:history="1">
        <w:r w:rsidRPr="00BD3368">
          <w:rPr>
            <w:rStyle w:val="Hyperlink"/>
            <w:rFonts w:ascii="Garamond" w:hAnsi="Garamond"/>
            <w:lang w:val="sq-AL"/>
          </w:rPr>
          <w:t>https://www.rcc.int/pubs/159/western-balkans-digital-economy-society-index-wb-desi-2022-report</w:t>
        </w:r>
      </w:hyperlink>
      <w:r w:rsidRPr="00BD3368">
        <w:rPr>
          <w:rFonts w:ascii="Garamond" w:hAnsi="Garamond"/>
          <w:lang w:val="sq-AL"/>
        </w:rPr>
        <w:t xml:space="preserve"> </w:t>
      </w:r>
    </w:p>
  </w:footnote>
  <w:footnote w:id="41">
    <w:p w14:paraId="002BD192" w14:textId="3FDA5446" w:rsidR="00E528B3" w:rsidRPr="00BD3368" w:rsidRDefault="00E528B3" w:rsidP="000268BB">
      <w:pPr>
        <w:pStyle w:val="FootnoteText"/>
        <w:rPr>
          <w:rFonts w:ascii="Garamond" w:hAnsi="Garamond"/>
          <w:lang w:val="sq-AL"/>
        </w:rPr>
      </w:pPr>
      <w:r w:rsidRPr="00BD3368">
        <w:rPr>
          <w:rStyle w:val="FootnoteReference"/>
          <w:rFonts w:ascii="Garamond" w:hAnsi="Garamond"/>
          <w:lang w:val="sq-AL"/>
        </w:rPr>
        <w:footnoteRef/>
      </w:r>
      <w:r w:rsidRPr="00BD3368">
        <w:rPr>
          <w:lang w:val="sq-AL"/>
        </w:rPr>
        <w:t xml:space="preserve"> </w:t>
      </w:r>
      <w:hyperlink r:id="rId24" w:history="1">
        <w:r w:rsidRPr="00BD3368">
          <w:rPr>
            <w:rStyle w:val="Hyperlink"/>
            <w:rFonts w:ascii="Garamond" w:hAnsi="Garamond"/>
            <w:lang w:val="sq-AL"/>
          </w:rPr>
          <w:t>https://www.instat.gov.al/media/11169/ict-2022-english.pdf</w:t>
        </w:r>
      </w:hyperlink>
    </w:p>
  </w:footnote>
  <w:footnote w:id="42">
    <w:p w14:paraId="2C136C89" w14:textId="77777777" w:rsidR="00E528B3" w:rsidRPr="00BD3368" w:rsidRDefault="00E528B3" w:rsidP="000268BB">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LAAD: Linja Asimetrike Digjitale e Klientit</w:t>
      </w:r>
    </w:p>
  </w:footnote>
  <w:footnote w:id="43">
    <w:p w14:paraId="00379AD8" w14:textId="77777777" w:rsidR="00E528B3" w:rsidRPr="00BD3368" w:rsidRDefault="00E528B3" w:rsidP="000268BB">
      <w:pPr>
        <w:pStyle w:val="FootnoteText"/>
        <w:rPr>
          <w:sz w:val="18"/>
          <w:szCs w:val="18"/>
          <w:lang w:val="sq-AL"/>
        </w:rPr>
      </w:pPr>
      <w:r w:rsidRPr="00BD3368">
        <w:rPr>
          <w:rStyle w:val="FootnoteReference"/>
          <w:rFonts w:ascii="Garamond" w:hAnsi="Garamond"/>
          <w:lang w:val="sq-AL"/>
        </w:rPr>
        <w:footnoteRef/>
      </w:r>
      <w:r w:rsidRPr="00BD3368">
        <w:rPr>
          <w:rFonts w:ascii="Garamond" w:hAnsi="Garamond"/>
          <w:lang w:val="sq-AL"/>
        </w:rPr>
        <w:t xml:space="preserve"> 3G: gjenerata e tretë e teknologjisë celulare; 4G: gjenerata e katërt e teknologjisë celulare </w:t>
      </w:r>
      <w:r w:rsidRPr="00BD3368">
        <w:rPr>
          <w:rFonts w:ascii="Garamond" w:hAnsi="Garamond"/>
          <w:i/>
          <w:lang w:val="sq-AL"/>
        </w:rPr>
        <w:t>wireless</w:t>
      </w:r>
      <w:r w:rsidRPr="00BD3368">
        <w:rPr>
          <w:rFonts w:ascii="Garamond" w:hAnsi="Garamond"/>
          <w:lang w:val="sq-AL"/>
        </w:rPr>
        <w:t>.</w:t>
      </w:r>
    </w:p>
  </w:footnote>
  <w:footnote w:id="44">
    <w:p w14:paraId="703BEE83" w14:textId="62BE2815" w:rsidR="00E528B3" w:rsidRPr="00BD3368" w:rsidRDefault="00E528B3" w:rsidP="00272C0B">
      <w:pPr>
        <w:pStyle w:val="FootnoteText"/>
        <w:rPr>
          <w:rFonts w:ascii="Garamond" w:eastAsia="Calibri" w:hAnsi="Garamond"/>
          <w:lang w:val="sq-AL"/>
        </w:rPr>
      </w:pPr>
      <w:r w:rsidRPr="00BD3368">
        <w:rPr>
          <w:rStyle w:val="FootnoteReference"/>
          <w:rFonts w:ascii="Garamond" w:hAnsi="Garamond"/>
          <w:lang w:val="sq-AL"/>
        </w:rPr>
        <w:footnoteRef/>
      </w:r>
      <w:r>
        <w:rPr>
          <w:lang w:val="sq-AL"/>
        </w:rPr>
        <w:t xml:space="preserve"> </w:t>
      </w:r>
      <w:hyperlink r:id="rId25" w:history="1">
        <w:r w:rsidRPr="00FA7366">
          <w:rPr>
            <w:rStyle w:val="Hyperlink"/>
            <w:rFonts w:ascii="Garamond" w:hAnsi="Garamond"/>
            <w:lang w:val="sq-AL"/>
          </w:rPr>
          <w:t>https://akep.al/en/about-akep/</w:t>
        </w:r>
      </w:hyperlink>
    </w:p>
  </w:footnote>
  <w:footnote w:id="45">
    <w:p w14:paraId="463A1193" w14:textId="631A0046" w:rsidR="00E528B3" w:rsidRPr="00BD3368" w:rsidRDefault="00E528B3" w:rsidP="00272C0B">
      <w:pPr>
        <w:pStyle w:val="FootnoteText"/>
        <w:rPr>
          <w:sz w:val="18"/>
          <w:szCs w:val="18"/>
          <w:lang w:val="sq-AL"/>
        </w:rPr>
      </w:pPr>
      <w:r w:rsidRPr="00BD3368">
        <w:rPr>
          <w:rStyle w:val="FootnoteReference"/>
          <w:rFonts w:ascii="Garamond" w:hAnsi="Garamond"/>
          <w:lang w:val="sq-AL"/>
        </w:rPr>
        <w:footnoteRef/>
      </w:r>
      <w:r>
        <w:rPr>
          <w:lang w:val="sq-AL"/>
        </w:rPr>
        <w:t xml:space="preserve"> </w:t>
      </w:r>
      <w:hyperlink r:id="rId26" w:history="1">
        <w:r w:rsidRPr="00FA7366">
          <w:rPr>
            <w:rStyle w:val="Hyperlink"/>
            <w:rFonts w:ascii="Garamond" w:hAnsi="Garamond"/>
            <w:lang w:val="sq-AL"/>
          </w:rPr>
          <w:t>http://www.instat.gov.al/al/temat/kushtet-sociale/teknologjis%C3%AB-s%C3%AB-informacionit-dhe-komunikimit-tik-n%C3%AB-familje-dhe-nga-individ%C3%ABt/</w:t>
        </w:r>
      </w:hyperlink>
    </w:p>
  </w:footnote>
  <w:footnote w:id="46">
    <w:p w14:paraId="3CC1118A" w14:textId="43F09733" w:rsidR="00E528B3" w:rsidRPr="00BD3368" w:rsidRDefault="00E528B3" w:rsidP="00272C0B">
      <w:pPr>
        <w:pStyle w:val="FootnoteText"/>
        <w:rPr>
          <w:rFonts w:ascii="Garamond" w:hAnsi="Garamond"/>
          <w:lang w:val="sq-AL"/>
        </w:rPr>
      </w:pPr>
      <w:r w:rsidRPr="00BD3368">
        <w:rPr>
          <w:rStyle w:val="FootnoteReference"/>
          <w:rFonts w:ascii="Garamond" w:hAnsi="Garamond"/>
          <w:lang w:val="sq-AL"/>
        </w:rPr>
        <w:footnoteRef/>
      </w:r>
      <w:r>
        <w:rPr>
          <w:lang w:val="sq-AL"/>
        </w:rPr>
        <w:t xml:space="preserve"> </w:t>
      </w:r>
      <w:hyperlink r:id="rId27" w:history="1">
        <w:r w:rsidRPr="00FA7366">
          <w:rPr>
            <w:rStyle w:val="Hyperlink"/>
            <w:rFonts w:ascii="Garamond" w:hAnsi="Garamond"/>
            <w:lang w:val="sq-AL"/>
          </w:rPr>
          <w:t>https://akep.al/en/about-akep/</w:t>
        </w:r>
      </w:hyperlink>
    </w:p>
  </w:footnote>
  <w:footnote w:id="47">
    <w:p w14:paraId="55CAAC81" w14:textId="0F7883C5" w:rsidR="00E528B3" w:rsidRPr="00BD3368" w:rsidRDefault="00E528B3" w:rsidP="00272C0B">
      <w:pPr>
        <w:pStyle w:val="FootnoteText"/>
        <w:rPr>
          <w:rFonts w:ascii="Garamond" w:hAnsi="Garamond"/>
          <w:lang w:val="sq-AL"/>
        </w:rPr>
      </w:pPr>
      <w:r w:rsidRPr="00E533DA">
        <w:rPr>
          <w:rStyle w:val="FootnoteReference"/>
          <w:rFonts w:ascii="Garamond" w:eastAsia="Symbol" w:hAnsi="Garamond" w:cs="Symbol"/>
          <w:color w:val="FFFFFF" w:themeColor="background1"/>
          <w:lang w:val="sq-AL"/>
        </w:rPr>
        <w:t></w:t>
      </w:r>
      <w:r w:rsidRPr="00E533DA">
        <w:rPr>
          <w:rStyle w:val="FootnoteReference"/>
          <w:rFonts w:ascii="Garamond" w:eastAsia="Symbol" w:hAnsi="Garamond" w:cs="Symbol"/>
          <w:lang w:val="sq-AL"/>
        </w:rPr>
        <w:t>*</w:t>
      </w:r>
      <w:r w:rsidRPr="00E533DA">
        <w:rPr>
          <w:rFonts w:ascii="Garamond" w:hAnsi="Garamond"/>
          <w:lang w:val="sq-AL"/>
        </w:rPr>
        <w:t xml:space="preserve"> </w:t>
      </w:r>
      <w:r w:rsidRPr="00E533DA">
        <w:rPr>
          <w:rFonts w:ascii="Garamond" w:hAnsi="Garamond"/>
          <w:i/>
          <w:iCs/>
          <w:lang w:val="sq-AL"/>
        </w:rPr>
        <w:t>Ky përcaktim</w:t>
      </w:r>
      <w:r w:rsidRPr="00BD3368">
        <w:rPr>
          <w:rFonts w:ascii="Garamond" w:hAnsi="Garamond"/>
          <w:i/>
          <w:iCs/>
          <w:lang w:val="sq-AL"/>
        </w:rPr>
        <w:t xml:space="preserve"> nuk prek qëndrimet për statusin dhe është në përputhje me UNSCR 1244 dhe Opinionin e GJND për Deklaratën e Pavarësisë së Kosovës.</w:t>
      </w:r>
    </w:p>
  </w:footnote>
  <w:footnote w:id="48">
    <w:p w14:paraId="5B48B4BE" w14:textId="4A6D6C69" w:rsidR="00E528B3" w:rsidRPr="00BD3368" w:rsidRDefault="00E528B3" w:rsidP="00272C0B">
      <w:pPr>
        <w:pStyle w:val="FootnoteText"/>
        <w:rPr>
          <w:rFonts w:ascii="Garamond" w:hAnsi="Garamond"/>
          <w:lang w:val="sq-AL"/>
        </w:rPr>
      </w:pPr>
      <w:r w:rsidRPr="00BD3368">
        <w:rPr>
          <w:rStyle w:val="FootnoteReference"/>
          <w:rFonts w:ascii="Garamond" w:hAnsi="Garamond"/>
          <w:lang w:val="sq-AL"/>
        </w:rPr>
        <w:footnoteRef/>
      </w:r>
      <w:r>
        <w:rPr>
          <w:lang w:val="sq-AL"/>
        </w:rPr>
        <w:t xml:space="preserve"> </w:t>
      </w:r>
      <w:hyperlink r:id="rId28" w:history="1">
        <w:r w:rsidRPr="00FA7366">
          <w:rPr>
            <w:rStyle w:val="Hyperlink"/>
            <w:rFonts w:ascii="Garamond" w:hAnsi="Garamond"/>
            <w:lang w:val="sq-AL"/>
          </w:rPr>
          <w:t>https://www.rcc.int/pubs/159/western-balkans-digital-economy-society-index-wb-desi-2022-report</w:t>
        </w:r>
      </w:hyperlink>
    </w:p>
  </w:footnote>
  <w:footnote w:id="49">
    <w:p w14:paraId="0F4ABBBC" w14:textId="77777777" w:rsidR="00E528B3" w:rsidRPr="00BD3368" w:rsidRDefault="00E528B3" w:rsidP="00272C0B">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5G: Gjenerata e pestë e teknologjisë celulare </w:t>
      </w:r>
      <w:r w:rsidRPr="007950AB">
        <w:rPr>
          <w:rFonts w:ascii="Garamond" w:hAnsi="Garamond"/>
          <w:i/>
          <w:lang w:val="sq-AL"/>
        </w:rPr>
        <w:t>wireless</w:t>
      </w:r>
      <w:r w:rsidRPr="00BD3368">
        <w:rPr>
          <w:rFonts w:ascii="Garamond" w:hAnsi="Garamond"/>
          <w:lang w:val="sq-AL"/>
        </w:rPr>
        <w:t>.</w:t>
      </w:r>
    </w:p>
  </w:footnote>
  <w:footnote w:id="50">
    <w:p w14:paraId="4110E58D" w14:textId="77777777" w:rsidR="00E528B3" w:rsidRPr="00BD3368" w:rsidRDefault="00E528B3" w:rsidP="00272C0B">
      <w:pPr>
        <w:pStyle w:val="FootnoteText"/>
        <w:rPr>
          <w:sz w:val="18"/>
          <w:szCs w:val="18"/>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29" w:history="1">
        <w:r w:rsidRPr="00BD3368">
          <w:rPr>
            <w:rStyle w:val="Hyperlink"/>
            <w:rFonts w:ascii="Garamond" w:hAnsi="Garamond"/>
            <w:lang w:val="sq-AL"/>
          </w:rPr>
          <w:t>https://www.rcc.int/pubs/159/western-balkans-digital-economy-society-index-wb-desi-2022-report</w:t>
        </w:r>
      </w:hyperlink>
      <w:r w:rsidRPr="00BD3368">
        <w:rPr>
          <w:sz w:val="18"/>
          <w:szCs w:val="18"/>
          <w:lang w:val="sq-AL"/>
        </w:rPr>
        <w:t xml:space="preserve"> </w:t>
      </w:r>
    </w:p>
  </w:footnote>
  <w:footnote w:id="51">
    <w:p w14:paraId="40432C49" w14:textId="77777777" w:rsidR="00E528B3" w:rsidRPr="00BD3368" w:rsidRDefault="00E528B3" w:rsidP="00272C0B">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30" w:history="1">
        <w:r w:rsidRPr="00BD3368">
          <w:rPr>
            <w:rStyle w:val="Hyperlink"/>
            <w:rFonts w:ascii="Garamond" w:hAnsi="Garamond"/>
            <w:lang w:val="sq-AL"/>
          </w:rPr>
          <w:t>https://s3albania.org/</w:t>
        </w:r>
      </w:hyperlink>
      <w:r w:rsidRPr="00BD3368">
        <w:rPr>
          <w:rFonts w:ascii="Garamond" w:hAnsi="Garamond"/>
          <w:lang w:val="sq-AL"/>
        </w:rPr>
        <w:t xml:space="preserve"> </w:t>
      </w:r>
    </w:p>
  </w:footnote>
  <w:footnote w:id="52">
    <w:p w14:paraId="6C06D318" w14:textId="77777777" w:rsidR="00E528B3" w:rsidRPr="00BD3368" w:rsidRDefault="00E528B3" w:rsidP="00272C0B">
      <w:pPr>
        <w:pStyle w:val="FootnoteText"/>
        <w:rPr>
          <w:rFonts w:ascii="Garamond" w:hAnsi="Garamond"/>
          <w:lang w:val="sq-AL"/>
        </w:rPr>
      </w:pPr>
      <w:r w:rsidRPr="00BD3368">
        <w:rPr>
          <w:rStyle w:val="FootnoteReference"/>
          <w:rFonts w:ascii="Garamond" w:hAnsi="Garamond"/>
          <w:szCs w:val="18"/>
          <w:lang w:val="sq-AL"/>
        </w:rPr>
        <w:footnoteRef/>
      </w:r>
      <w:r w:rsidRPr="00BD3368">
        <w:rPr>
          <w:rFonts w:ascii="Garamond" w:hAnsi="Garamond"/>
          <w:szCs w:val="18"/>
          <w:lang w:val="sq-AL"/>
        </w:rPr>
        <w:t xml:space="preserve"> https://www.infrastruktura.gov.al/wp-content/uploads/2020/07/National-Plan-BBand-EN.pdf</w:t>
      </w:r>
    </w:p>
  </w:footnote>
  <w:footnote w:id="53">
    <w:p w14:paraId="5CDD331B" w14:textId="77777777" w:rsidR="00E528B3" w:rsidRPr="00BD3368" w:rsidRDefault="00E528B3" w:rsidP="00272C0B">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31" w:history="1">
        <w:r w:rsidRPr="00BD3368">
          <w:rPr>
            <w:rStyle w:val="Hyperlink"/>
            <w:rFonts w:ascii="Garamond" w:hAnsi="Garamond"/>
            <w:lang w:val="sq-AL"/>
          </w:rPr>
          <w:t>https://www.infrastruktura.gov.al/wp-content/uploads/2020/07/National-Plan-BBand-EN.pdf</w:t>
        </w:r>
      </w:hyperlink>
      <w:r w:rsidRPr="00BD3368">
        <w:rPr>
          <w:rFonts w:ascii="Garamond" w:hAnsi="Garamond"/>
          <w:lang w:val="sq-AL"/>
        </w:rPr>
        <w:t xml:space="preserve"> </w:t>
      </w:r>
    </w:p>
    <w:p w14:paraId="2CFE8886" w14:textId="77777777" w:rsidR="00E528B3" w:rsidRPr="00BD3368" w:rsidRDefault="00E528B3" w:rsidP="00847F23">
      <w:pPr>
        <w:pStyle w:val="FootnoteText"/>
        <w:rPr>
          <w:rFonts w:ascii="Calibri" w:hAnsi="Calibri"/>
          <w:lang w:val="sq-AL"/>
        </w:rPr>
      </w:pPr>
    </w:p>
    <w:p w14:paraId="3BC83DDE" w14:textId="77777777" w:rsidR="00E528B3" w:rsidRPr="00BD3368" w:rsidRDefault="00E528B3" w:rsidP="00847F23">
      <w:pPr>
        <w:pStyle w:val="FootnoteText"/>
        <w:rPr>
          <w:lang w:val="sq-AL"/>
        </w:rPr>
      </w:pPr>
    </w:p>
  </w:footnote>
  <w:footnote w:id="54">
    <w:p w14:paraId="0BFA488A" w14:textId="2F5935B4" w:rsidR="00E528B3" w:rsidRPr="00BD3368" w:rsidRDefault="00E528B3" w:rsidP="00272C0B">
      <w:pPr>
        <w:pStyle w:val="FootnoteText"/>
        <w:rPr>
          <w:rStyle w:val="Hyperlink"/>
          <w:rFonts w:ascii="Garamond" w:hAnsi="Garamond"/>
          <w:lang w:val="sq-AL"/>
        </w:rPr>
      </w:pPr>
      <w:r w:rsidRPr="00BD3368">
        <w:rPr>
          <w:rStyle w:val="FootnoteReference"/>
          <w:rFonts w:ascii="Garamond" w:hAnsi="Garamond"/>
          <w:lang w:val="sq-AL"/>
        </w:rPr>
        <w:footnoteRef/>
      </w:r>
      <w:r>
        <w:rPr>
          <w:lang w:val="sq-AL"/>
        </w:rPr>
        <w:t xml:space="preserve"> </w:t>
      </w:r>
      <w:hyperlink r:id="rId32" w:history="1">
        <w:r w:rsidRPr="00FA7366">
          <w:rPr>
            <w:rStyle w:val="Hyperlink"/>
            <w:rFonts w:ascii="Garamond" w:hAnsi="Garamond"/>
            <w:lang w:val="sq-AL"/>
          </w:rPr>
          <w:t>https://neighbourhood-enlargement.ec.europa.eu/system/files/2020-10/communication_on_wb_economic_and_investment_plan_october_2020_en.pdf</w:t>
        </w:r>
      </w:hyperlink>
    </w:p>
  </w:footnote>
  <w:footnote w:id="55">
    <w:p w14:paraId="1BBD9646" w14:textId="77777777" w:rsidR="00E528B3" w:rsidRPr="00BD3368" w:rsidRDefault="00E528B3" w:rsidP="00272C0B">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33" w:history="1">
        <w:r w:rsidRPr="00BD3368">
          <w:rPr>
            <w:rStyle w:val="Hyperlink"/>
            <w:rFonts w:ascii="Garamond" w:hAnsi="Garamond"/>
            <w:lang w:val="sq-AL"/>
          </w:rPr>
          <w:t>https://digital-strategy.ec.europa.eu/en/activities/5g-smart-communities</w:t>
        </w:r>
      </w:hyperlink>
      <w:r w:rsidRPr="00BD3368">
        <w:rPr>
          <w:rFonts w:ascii="Garamond" w:hAnsi="Garamond"/>
          <w:lang w:val="sq-AL"/>
        </w:rPr>
        <w:t xml:space="preserve"> </w:t>
      </w:r>
    </w:p>
  </w:footnote>
  <w:footnote w:id="56">
    <w:p w14:paraId="533AC17D" w14:textId="77777777" w:rsidR="00E528B3" w:rsidRPr="00BD3368" w:rsidRDefault="00E528B3" w:rsidP="00272C0B">
      <w:pPr>
        <w:pStyle w:val="FootnoteText"/>
        <w:rPr>
          <w:sz w:val="18"/>
          <w:szCs w:val="18"/>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34" w:history="1">
        <w:r w:rsidRPr="00BD3368">
          <w:rPr>
            <w:rStyle w:val="Hyperlink"/>
            <w:rFonts w:ascii="Garamond" w:hAnsi="Garamond"/>
            <w:lang w:val="sq-AL"/>
          </w:rPr>
          <w:t>https://www.qualcomm.com/content/dam/qcomm-martech/dm-assets/documents/5g_and_sustainability-_the_transformative_role_of_5g_-_10.4.2021.pdf</w:t>
        </w:r>
      </w:hyperlink>
      <w:r w:rsidRPr="00BD3368">
        <w:rPr>
          <w:sz w:val="18"/>
          <w:szCs w:val="18"/>
          <w:lang w:val="sq-AL"/>
        </w:rPr>
        <w:t xml:space="preserve"> </w:t>
      </w:r>
    </w:p>
  </w:footnote>
  <w:footnote w:id="57">
    <w:p w14:paraId="101DABE2" w14:textId="77777777" w:rsidR="00E528B3" w:rsidRPr="00BD3368" w:rsidRDefault="00E528B3" w:rsidP="00272C0B">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35" w:history="1">
        <w:r w:rsidRPr="00BD3368">
          <w:rPr>
            <w:rStyle w:val="Hyperlink"/>
            <w:rFonts w:ascii="Garamond" w:hAnsi="Garamond"/>
            <w:lang w:val="sq-AL"/>
          </w:rPr>
          <w:t>https://www.berec.europa.eu/system/files/2022-07/10282-berec-report-on-sustainability-assessing_0_3.pdf</w:t>
        </w:r>
      </w:hyperlink>
      <w:r w:rsidRPr="00BD3368">
        <w:rPr>
          <w:rFonts w:ascii="Garamond" w:hAnsi="Garamond"/>
          <w:lang w:val="sq-AL"/>
        </w:rPr>
        <w:t xml:space="preserve"> </w:t>
      </w:r>
    </w:p>
  </w:footnote>
  <w:footnote w:id="58">
    <w:p w14:paraId="5D57BDEA" w14:textId="77777777" w:rsidR="00E528B3" w:rsidRPr="00BD3368" w:rsidRDefault="00E528B3" w:rsidP="00272C0B">
      <w:pPr>
        <w:pStyle w:val="FootnoteText"/>
        <w:rPr>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36" w:history="1">
        <w:r w:rsidRPr="00BD3368">
          <w:rPr>
            <w:rStyle w:val="Hyperlink"/>
            <w:rFonts w:ascii="Garamond" w:hAnsi="Garamond"/>
            <w:lang w:val="sq-AL"/>
          </w:rPr>
          <w:t>https://commission.europa.eu/strategy-and-policy/priorities-2019-2024/european-green-deal_en</w:t>
        </w:r>
      </w:hyperlink>
      <w:r w:rsidRPr="00BD3368">
        <w:rPr>
          <w:lang w:val="sq-AL"/>
        </w:rPr>
        <w:t xml:space="preserve"> </w:t>
      </w:r>
    </w:p>
  </w:footnote>
  <w:footnote w:id="59">
    <w:p w14:paraId="0A1D986C" w14:textId="77777777" w:rsidR="00E528B3" w:rsidRPr="00BD3368" w:rsidRDefault="00E528B3" w:rsidP="006D6812">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COM(2018) 233 final.</w:t>
      </w:r>
    </w:p>
  </w:footnote>
  <w:footnote w:id="60">
    <w:p w14:paraId="2C6D159E" w14:textId="77777777" w:rsidR="00E528B3" w:rsidRPr="00BD3368" w:rsidRDefault="00E528B3" w:rsidP="006D6812">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COM(2015) 192 final.</w:t>
      </w:r>
    </w:p>
  </w:footnote>
  <w:footnote w:id="61">
    <w:p w14:paraId="6FE31295" w14:textId="77777777" w:rsidR="00E528B3" w:rsidRPr="00BD3368" w:rsidRDefault="00E528B3" w:rsidP="006D6812">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COM(2016) 179 final.</w:t>
      </w:r>
    </w:p>
  </w:footnote>
  <w:footnote w:id="62">
    <w:p w14:paraId="754CC334" w14:textId="77777777" w:rsidR="00E528B3" w:rsidRPr="00BD3368" w:rsidRDefault="00E528B3" w:rsidP="006D6812">
      <w:pPr>
        <w:pStyle w:val="Default"/>
        <w:jc w:val="both"/>
        <w:rPr>
          <w:rFonts w:ascii="Garamond" w:hAnsi="Garamond"/>
          <w:sz w:val="20"/>
          <w:szCs w:val="20"/>
          <w:lang w:val="sq-AL"/>
        </w:rPr>
      </w:pPr>
      <w:r w:rsidRPr="00BD3368">
        <w:rPr>
          <w:rStyle w:val="FootnoteReference"/>
          <w:rFonts w:ascii="Garamond" w:hAnsi="Garamond"/>
          <w:sz w:val="20"/>
          <w:szCs w:val="20"/>
          <w:lang w:val="sq-AL"/>
        </w:rPr>
        <w:footnoteRef/>
      </w:r>
      <w:r w:rsidRPr="00BD3368">
        <w:rPr>
          <w:rFonts w:ascii="Garamond" w:hAnsi="Garamond"/>
          <w:sz w:val="20"/>
          <w:szCs w:val="20"/>
          <w:lang w:val="sq-AL"/>
        </w:rPr>
        <w:t xml:space="preserve"> COM(2017) 228 final. </w:t>
      </w:r>
    </w:p>
  </w:footnote>
  <w:footnote w:id="63">
    <w:p w14:paraId="1CE9A372" w14:textId="0A0605C5" w:rsidR="00E528B3" w:rsidRPr="00BD3368" w:rsidRDefault="00E528B3" w:rsidP="006D6812">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Direktiva (BE) 2016/2102 e Parlamentit Evropian dhe e Këshillit e 26 tetorit 2016 mbi aksesin në faqet e internetit dhe aplikacionet celulare të organeve të sektorit publik (Direktiva e Aksesit në Ueb) (OJ L 327, 2.12.2016, f. 1–15).</w:t>
      </w:r>
    </w:p>
  </w:footnote>
  <w:footnote w:id="64">
    <w:p w14:paraId="4A300223" w14:textId="3D1082ED" w:rsidR="00E528B3" w:rsidRPr="00BD3368" w:rsidRDefault="00E528B3" w:rsidP="006D6812">
      <w:pPr>
        <w:pStyle w:val="Default"/>
        <w:jc w:val="both"/>
        <w:rPr>
          <w:rFonts w:ascii="Garamond" w:hAnsi="Garamond"/>
          <w:sz w:val="20"/>
          <w:szCs w:val="20"/>
          <w:lang w:val="sq-AL"/>
        </w:rPr>
      </w:pPr>
      <w:r w:rsidRPr="00BD3368">
        <w:rPr>
          <w:rStyle w:val="FootnoteReference"/>
          <w:rFonts w:ascii="Garamond" w:hAnsi="Garamond"/>
          <w:sz w:val="20"/>
          <w:szCs w:val="20"/>
          <w:lang w:val="sq-AL"/>
        </w:rPr>
        <w:footnoteRef/>
      </w:r>
      <w:r w:rsidRPr="00BD3368">
        <w:rPr>
          <w:rFonts w:ascii="Garamond" w:hAnsi="Garamond"/>
          <w:sz w:val="20"/>
          <w:szCs w:val="20"/>
          <w:lang w:val="sq-AL"/>
        </w:rPr>
        <w:t xml:space="preserve"> Vendim i Komisionit (BE) 2015/1302 i 28 korrikut 2015 për identifikimin e profileve të Sipërmarrjeve integruese të Kujdesit Shëndetësor për referencë në prokurimet publike (OJ L 199, 29.7.2015, f. 43). </w:t>
      </w:r>
    </w:p>
  </w:footnote>
  <w:footnote w:id="65">
    <w:p w14:paraId="2ECEDB9F" w14:textId="72FD3380" w:rsidR="00E528B3" w:rsidRPr="00BD3368" w:rsidRDefault="00E528B3" w:rsidP="006D6812">
      <w:pPr>
        <w:pStyle w:val="Default"/>
        <w:jc w:val="both"/>
        <w:rPr>
          <w:sz w:val="18"/>
          <w:szCs w:val="18"/>
          <w:lang w:val="sq-AL"/>
        </w:rPr>
      </w:pPr>
      <w:r w:rsidRPr="00BD3368">
        <w:rPr>
          <w:rStyle w:val="FootnoteReference"/>
          <w:rFonts w:ascii="Garamond" w:hAnsi="Garamond"/>
          <w:sz w:val="20"/>
          <w:szCs w:val="20"/>
          <w:lang w:val="sq-AL"/>
        </w:rPr>
        <w:footnoteRef/>
      </w:r>
      <w:r w:rsidRPr="00BD3368">
        <w:rPr>
          <w:rFonts w:ascii="Garamond" w:hAnsi="Garamond"/>
          <w:sz w:val="20"/>
          <w:szCs w:val="20"/>
          <w:lang w:val="sq-AL"/>
        </w:rPr>
        <w:t xml:space="preserve"> </w:t>
      </w:r>
      <w:hyperlink r:id="rId37" w:history="1">
        <w:r w:rsidRPr="00BD3368">
          <w:rPr>
            <w:rStyle w:val="Hyperlink"/>
            <w:rFonts w:ascii="Garamond" w:hAnsi="Garamond"/>
            <w:sz w:val="20"/>
            <w:szCs w:val="20"/>
            <w:lang w:val="sq-AL"/>
          </w:rPr>
          <w:t>https://www.ihe.net/</w:t>
        </w:r>
      </w:hyperlink>
      <w:r w:rsidRPr="00BD3368">
        <w:rPr>
          <w:rFonts w:ascii="Garamond" w:hAnsi="Garamond"/>
          <w:sz w:val="20"/>
          <w:szCs w:val="20"/>
          <w:lang w:val="sq-AL"/>
        </w:rPr>
        <w:t xml:space="preserve"> and </w:t>
      </w:r>
      <w:hyperlink r:id="rId38" w:history="1">
        <w:r w:rsidRPr="00BD3368">
          <w:rPr>
            <w:rStyle w:val="Hyperlink"/>
            <w:rFonts w:ascii="Garamond" w:hAnsi="Garamond"/>
            <w:sz w:val="20"/>
            <w:szCs w:val="20"/>
            <w:lang w:val="sq-AL"/>
          </w:rPr>
          <w:t>https://www.ihe-europe.net/</w:t>
        </w:r>
      </w:hyperlink>
    </w:p>
  </w:footnote>
  <w:footnote w:id="66">
    <w:p w14:paraId="50CC339C" w14:textId="19A8CD05" w:rsidR="00E528B3" w:rsidRPr="00BD3368" w:rsidRDefault="00E528B3" w:rsidP="006D6812">
      <w:pPr>
        <w:pStyle w:val="Default"/>
        <w:jc w:val="both"/>
        <w:rPr>
          <w:rFonts w:ascii="Garamond" w:hAnsi="Garamond"/>
          <w:sz w:val="20"/>
          <w:szCs w:val="20"/>
          <w:lang w:val="sq-AL"/>
        </w:rPr>
      </w:pPr>
      <w:r w:rsidRPr="00BD3368">
        <w:rPr>
          <w:rStyle w:val="FootnoteReference"/>
          <w:rFonts w:ascii="Garamond" w:hAnsi="Garamond"/>
          <w:sz w:val="20"/>
          <w:szCs w:val="20"/>
          <w:lang w:val="sq-AL"/>
        </w:rPr>
        <w:footnoteRef/>
      </w:r>
      <w:r w:rsidRPr="00BD3368">
        <w:rPr>
          <w:rFonts w:ascii="Garamond" w:hAnsi="Garamond"/>
          <w:sz w:val="20"/>
          <w:szCs w:val="20"/>
          <w:lang w:val="sq-AL"/>
        </w:rPr>
        <w:t xml:space="preserve"> Rregullorja e (BE-së) nr. 910/2014 e Parlamentit dhe e Këshillit Evropian e 23 korrikut 2014 për shërbimet e identifikimit elektronik dhe të sigurisë për transaksionet elektronike në tregun e brendshëm dhe që shfuqizon direktivën 1999/93/KE (OJ L 257, 28.8.2014, f. 73). </w:t>
      </w:r>
    </w:p>
  </w:footnote>
  <w:footnote w:id="67">
    <w:p w14:paraId="44E4C123" w14:textId="5FAB22FB" w:rsidR="00E528B3" w:rsidRPr="00BD3368" w:rsidRDefault="00E528B3" w:rsidP="006D6812">
      <w:pPr>
        <w:pStyle w:val="Default"/>
        <w:jc w:val="both"/>
        <w:rPr>
          <w:rFonts w:ascii="Garamond" w:hAnsi="Garamond"/>
          <w:sz w:val="20"/>
          <w:szCs w:val="20"/>
          <w:lang w:val="sq-AL"/>
        </w:rPr>
      </w:pPr>
      <w:r w:rsidRPr="00BD3368">
        <w:rPr>
          <w:rStyle w:val="FootnoteReference"/>
          <w:rFonts w:ascii="Garamond" w:hAnsi="Garamond"/>
          <w:sz w:val="20"/>
          <w:szCs w:val="20"/>
          <w:lang w:val="sq-AL"/>
        </w:rPr>
        <w:footnoteRef/>
      </w:r>
      <w:r w:rsidRPr="00BD3368">
        <w:rPr>
          <w:rFonts w:ascii="Garamond" w:hAnsi="Garamond"/>
          <w:sz w:val="20"/>
          <w:szCs w:val="20"/>
          <w:lang w:val="sq-AL"/>
        </w:rPr>
        <w:t xml:space="preserve"> Direktiva (BE) 2016/1148 e Parlamentit dhe e Këshillit Evropian e 6 korrikut 2016 për masat e nivelit të lartë të përbashkët të sigurisë së rrjetit dhe sistemeve të informacionit në Bashkim (OJ L 194, 19.7.2016, f. 1). </w:t>
      </w:r>
    </w:p>
  </w:footnote>
  <w:footnote w:id="68">
    <w:p w14:paraId="16D230E9" w14:textId="77777777" w:rsidR="00E528B3" w:rsidRPr="00BD3368" w:rsidRDefault="00E528B3" w:rsidP="006D6812">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Shihni </w:t>
      </w:r>
      <w:r w:rsidRPr="00BD3368">
        <w:rPr>
          <w:rFonts w:ascii="Garamond" w:hAnsi="Garamond"/>
          <w:i/>
          <w:lang w:val="sq-AL"/>
        </w:rPr>
        <w:t>Joint Communication on Resilience, Deterrence and Defence: Building strong cybersecurity for the EU,</w:t>
      </w:r>
      <w:r w:rsidRPr="00BD3368">
        <w:rPr>
          <w:rFonts w:ascii="Garamond" w:hAnsi="Garamond"/>
          <w:lang w:val="sq-AL"/>
        </w:rPr>
        <w:t xml:space="preserve"> pika 2.2 (JOIN(2017) 450 final).</w:t>
      </w:r>
    </w:p>
  </w:footnote>
  <w:footnote w:id="69">
    <w:p w14:paraId="18AB2247" w14:textId="0C6E1176" w:rsidR="00E528B3" w:rsidRPr="00BD3368" w:rsidRDefault="00E528B3" w:rsidP="006D6812">
      <w:pPr>
        <w:pStyle w:val="Default"/>
        <w:jc w:val="both"/>
        <w:rPr>
          <w:rFonts w:ascii="Garamond" w:hAnsi="Garamond"/>
          <w:sz w:val="20"/>
          <w:szCs w:val="20"/>
          <w:lang w:val="sq-AL"/>
        </w:rPr>
      </w:pPr>
      <w:r w:rsidRPr="00BD3368">
        <w:rPr>
          <w:rStyle w:val="FootnoteReference"/>
          <w:rFonts w:ascii="Garamond" w:hAnsi="Garamond"/>
          <w:sz w:val="20"/>
          <w:szCs w:val="20"/>
          <w:lang w:val="sq-AL"/>
        </w:rPr>
        <w:footnoteRef/>
      </w:r>
      <w:r>
        <w:rPr>
          <w:rFonts w:ascii="Garamond" w:hAnsi="Garamond"/>
          <w:sz w:val="20"/>
          <w:szCs w:val="20"/>
          <w:lang w:val="sq-AL"/>
        </w:rPr>
        <w:t xml:space="preserve"> </w:t>
      </w:r>
      <w:r w:rsidRPr="00BD3368">
        <w:rPr>
          <w:rFonts w:ascii="Garamond" w:hAnsi="Garamond"/>
          <w:sz w:val="20"/>
          <w:szCs w:val="20"/>
          <w:lang w:val="sq-AL"/>
        </w:rPr>
        <w:t xml:space="preserve">Për shembull, imazheria mjekësore gjeneron kërkesën për teknika më të avancuara të përpunimit të imazhit dhe sekuenca e gjenomit gjeneron kërkesën për risi në përpunimin dhe ruajtjen e të dhënave voluminoze. Janë identifikuar tendencat kryesore teknologjike të mëposhtme: </w:t>
      </w:r>
    </w:p>
    <w:p w14:paraId="784ECA24" w14:textId="7857F4B7" w:rsidR="00E528B3" w:rsidRPr="00BD3368" w:rsidRDefault="00E528B3" w:rsidP="006D6812">
      <w:pPr>
        <w:pStyle w:val="Default"/>
        <w:jc w:val="both"/>
        <w:rPr>
          <w:rFonts w:ascii="Garamond" w:hAnsi="Garamond"/>
          <w:sz w:val="20"/>
          <w:szCs w:val="20"/>
          <w:lang w:val="sq-AL"/>
        </w:rPr>
      </w:pPr>
      <w:r w:rsidRPr="00BD3368">
        <w:rPr>
          <w:rFonts w:ascii="Garamond" w:hAnsi="Garamond"/>
          <w:sz w:val="20"/>
          <w:szCs w:val="20"/>
          <w:lang w:val="sq-AL"/>
        </w:rPr>
        <w:t xml:space="preserve">- Zgjidhjet e TIK për përmirësimin e efikasitetit dhe efektivitetit të sistemeve të kujdesit shëndetësor që tashmë kushtojnë shumë (p.sh., sistemet e informacionit spitalor dhe ERP-të dhe </w:t>
      </w:r>
      <w:r w:rsidRPr="00BD3368">
        <w:rPr>
          <w:rFonts w:ascii="Garamond" w:hAnsi="Garamond"/>
          <w:i/>
          <w:sz w:val="20"/>
          <w:szCs w:val="20"/>
          <w:lang w:val="sq-AL"/>
        </w:rPr>
        <w:t>e-prescriptions</w:t>
      </w:r>
      <w:r w:rsidRPr="00BD3368">
        <w:rPr>
          <w:rFonts w:ascii="Garamond" w:hAnsi="Garamond"/>
          <w:sz w:val="20"/>
          <w:szCs w:val="20"/>
          <w:lang w:val="sq-AL"/>
        </w:rPr>
        <w:t>), duke përfshirë përdorimin më të mirë të burimeve njerëzore të kufizuara për shërbimin në distancë të një popullsie gjithnjë në rritje të qytetarëve të moshuar (p.sh., telemjekësia dhe kujdesi në shtëpi).</w:t>
      </w:r>
    </w:p>
    <w:p w14:paraId="01ADCACE" w14:textId="565CC827" w:rsidR="00E528B3" w:rsidRPr="00BD3368" w:rsidRDefault="00E528B3" w:rsidP="006D6812">
      <w:pPr>
        <w:pStyle w:val="Default"/>
        <w:jc w:val="both"/>
        <w:rPr>
          <w:rFonts w:ascii="Garamond" w:hAnsi="Garamond"/>
          <w:color w:val="auto"/>
          <w:sz w:val="20"/>
          <w:szCs w:val="20"/>
          <w:lang w:val="sq-AL"/>
        </w:rPr>
      </w:pPr>
      <w:r w:rsidRPr="00BD3368">
        <w:rPr>
          <w:rFonts w:ascii="Garamond" w:hAnsi="Garamond"/>
          <w:sz w:val="20"/>
          <w:szCs w:val="20"/>
          <w:lang w:val="sq-AL"/>
        </w:rPr>
        <w:t>- Ripërdorimi i informacionit të shëndetit publik (p.sh., të dhënat e hapura të qeverisë dhe mjekësia sociale) për të zhvilluar aplikacione të reja dhe modele biznesi.</w:t>
      </w:r>
    </w:p>
    <w:p w14:paraId="034A00E7" w14:textId="77777777" w:rsidR="00E528B3" w:rsidRPr="00BD3368" w:rsidRDefault="00E528B3" w:rsidP="00847F23">
      <w:pPr>
        <w:pStyle w:val="FootnoteText"/>
        <w:rPr>
          <w:lang w:val="sq-AL"/>
        </w:rPr>
      </w:pPr>
    </w:p>
  </w:footnote>
  <w:footnote w:id="70">
    <w:p w14:paraId="49115D02" w14:textId="77777777" w:rsidR="00E528B3" w:rsidRPr="00BD3368" w:rsidRDefault="00E528B3" w:rsidP="006D6812">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39" w:history="1">
        <w:r w:rsidRPr="00BD3368">
          <w:rPr>
            <w:rStyle w:val="Hyperlink"/>
            <w:rFonts w:ascii="Garamond" w:hAnsi="Garamond"/>
            <w:lang w:val="sq-AL"/>
          </w:rPr>
          <w:t>https://www.rcc.int/pubs/159/western-balkans-digital-economy-society-index-wb-desi-2022-report</w:t>
        </w:r>
      </w:hyperlink>
      <w:r w:rsidRPr="00BD3368">
        <w:rPr>
          <w:rFonts w:ascii="Garamond" w:hAnsi="Garamond"/>
          <w:lang w:val="sq-AL"/>
        </w:rPr>
        <w:t xml:space="preserve"> </w:t>
      </w:r>
    </w:p>
  </w:footnote>
  <w:footnote w:id="71">
    <w:p w14:paraId="3A2A0451" w14:textId="51E7F4E1" w:rsidR="00E528B3" w:rsidRPr="00BD3368" w:rsidRDefault="00E528B3" w:rsidP="006D6812">
      <w:pPr>
        <w:spacing w:after="0" w:line="240" w:lineRule="auto"/>
        <w:jc w:val="both"/>
        <w:rPr>
          <w:rFonts w:ascii="Garamond" w:hAnsi="Garamond"/>
          <w:sz w:val="20"/>
          <w:szCs w:val="20"/>
        </w:rPr>
      </w:pPr>
      <w:r w:rsidRPr="00BD3368">
        <w:rPr>
          <w:rStyle w:val="FootnoteReference"/>
          <w:rFonts w:ascii="Garamond" w:hAnsi="Garamond"/>
          <w:sz w:val="20"/>
          <w:szCs w:val="20"/>
        </w:rPr>
        <w:footnoteRef/>
      </w:r>
      <w:r w:rsidRPr="00BD3368">
        <w:rPr>
          <w:rFonts w:ascii="Garamond" w:hAnsi="Garamond"/>
          <w:sz w:val="20"/>
          <w:szCs w:val="20"/>
        </w:rPr>
        <w:t xml:space="preserve"> Kostot provizore bazohen në:</w:t>
      </w:r>
    </w:p>
    <w:p w14:paraId="78F46D84" w14:textId="4C1161F6" w:rsidR="00E528B3" w:rsidRPr="00BD3368" w:rsidRDefault="00E528B3" w:rsidP="006D6812">
      <w:pPr>
        <w:spacing w:after="0" w:line="240" w:lineRule="auto"/>
        <w:jc w:val="both"/>
        <w:rPr>
          <w:rFonts w:ascii="Garamond" w:hAnsi="Garamond"/>
          <w:sz w:val="20"/>
          <w:szCs w:val="20"/>
        </w:rPr>
      </w:pPr>
      <w:r w:rsidRPr="00BD3368">
        <w:rPr>
          <w:rFonts w:ascii="Garamond" w:hAnsi="Garamond"/>
          <w:sz w:val="20"/>
          <w:szCs w:val="20"/>
        </w:rPr>
        <w:t xml:space="preserve">Numri i sistemeve ekzistuese dhe të ardhshme të </w:t>
      </w:r>
      <w:r w:rsidRPr="00BD3368">
        <w:rPr>
          <w:rFonts w:ascii="Garamond" w:hAnsi="Garamond"/>
          <w:i/>
          <w:sz w:val="20"/>
          <w:szCs w:val="20"/>
        </w:rPr>
        <w:t>e-health</w:t>
      </w:r>
      <w:r w:rsidRPr="00BD3368">
        <w:rPr>
          <w:rFonts w:ascii="Garamond" w:hAnsi="Garamond"/>
          <w:sz w:val="20"/>
          <w:szCs w:val="20"/>
        </w:rPr>
        <w:t xml:space="preserve"> që duhet të jenë ndërvepruese (20 sisteme: </w:t>
      </w:r>
      <w:r w:rsidRPr="00BD3368">
        <w:rPr>
          <w:rFonts w:ascii="Garamond" w:hAnsi="Garamond"/>
          <w:i/>
          <w:sz w:val="20"/>
          <w:szCs w:val="20"/>
        </w:rPr>
        <w:t>e-prescriptions</w:t>
      </w:r>
      <w:r w:rsidRPr="00BD3368">
        <w:rPr>
          <w:rFonts w:ascii="Garamond" w:hAnsi="Garamond"/>
          <w:sz w:val="20"/>
          <w:szCs w:val="20"/>
        </w:rPr>
        <w:t xml:space="preserve">, </w:t>
      </w:r>
      <w:r w:rsidRPr="00BD3368">
        <w:rPr>
          <w:rFonts w:ascii="Garamond" w:hAnsi="Garamond"/>
          <w:i/>
          <w:sz w:val="20"/>
          <w:szCs w:val="20"/>
        </w:rPr>
        <w:t>e-reference, e-visits</w:t>
      </w:r>
      <w:r w:rsidRPr="00BD3368">
        <w:rPr>
          <w:rFonts w:ascii="Garamond" w:hAnsi="Garamond"/>
          <w:sz w:val="20"/>
          <w:szCs w:val="20"/>
        </w:rPr>
        <w:t>...).</w:t>
      </w:r>
    </w:p>
    <w:p w14:paraId="541A55D7" w14:textId="050E5BBC" w:rsidR="00E528B3" w:rsidRPr="00BD3368" w:rsidRDefault="00E528B3" w:rsidP="006D6812">
      <w:pPr>
        <w:spacing w:after="0" w:line="240" w:lineRule="auto"/>
        <w:jc w:val="both"/>
        <w:rPr>
          <w:rFonts w:ascii="Garamond" w:hAnsi="Garamond"/>
          <w:sz w:val="20"/>
          <w:szCs w:val="20"/>
        </w:rPr>
      </w:pPr>
      <w:r w:rsidRPr="00BD3368">
        <w:rPr>
          <w:rFonts w:ascii="Garamond" w:hAnsi="Garamond"/>
          <w:sz w:val="20"/>
          <w:szCs w:val="20"/>
        </w:rPr>
        <w:t>Numri i ofruesve të kujdesit shëndetësor që do të lidhen me këtë rrjet të integruar shëndetësor (61 spitale publike dhe jopublike, 43 qendra shëndetësore).</w:t>
      </w:r>
    </w:p>
    <w:p w14:paraId="115C00BC" w14:textId="77777777" w:rsidR="00E528B3" w:rsidRPr="00BD3368" w:rsidRDefault="00E528B3" w:rsidP="006D6812">
      <w:pPr>
        <w:spacing w:after="0" w:line="240" w:lineRule="auto"/>
        <w:jc w:val="both"/>
        <w:rPr>
          <w:rFonts w:ascii="Garamond" w:hAnsi="Garamond"/>
          <w:sz w:val="20"/>
          <w:szCs w:val="20"/>
        </w:rPr>
      </w:pPr>
      <w:r w:rsidRPr="00BD3368">
        <w:rPr>
          <w:rFonts w:ascii="Garamond" w:hAnsi="Garamond"/>
          <w:sz w:val="20"/>
          <w:szCs w:val="20"/>
        </w:rPr>
        <w:t>Numri i pajisjeve mjekësore (angiografi, CT, MRI, mamografi; Xray, ekografi - +300) që prodhojnë 500 MB për një imazh, 50 ekzaminime ditore për pajisje = 7 terabit transmetuar dhe ruajtur çdo ditë.</w:t>
      </w:r>
    </w:p>
    <w:p w14:paraId="1194E7CB" w14:textId="07DC3A77" w:rsidR="00E528B3" w:rsidRPr="00BD3368" w:rsidRDefault="00E528B3" w:rsidP="006D6812">
      <w:pPr>
        <w:spacing w:after="0" w:line="240" w:lineRule="auto"/>
        <w:jc w:val="both"/>
        <w:rPr>
          <w:rFonts w:ascii="Garamond" w:hAnsi="Garamond"/>
          <w:sz w:val="20"/>
          <w:szCs w:val="20"/>
        </w:rPr>
      </w:pPr>
      <w:r w:rsidRPr="00BD3368">
        <w:rPr>
          <w:rFonts w:ascii="Garamond" w:hAnsi="Garamond"/>
          <w:sz w:val="20"/>
          <w:szCs w:val="20"/>
        </w:rPr>
        <w:t>Numri i përdoruesve (mjekë, infermierë etj. – 10,000).</w:t>
      </w:r>
    </w:p>
    <w:p w14:paraId="188D12C4" w14:textId="01432482" w:rsidR="00E528B3" w:rsidRPr="00BD3368" w:rsidRDefault="00E528B3" w:rsidP="006D6812">
      <w:pPr>
        <w:spacing w:after="0" w:line="240" w:lineRule="auto"/>
        <w:jc w:val="both"/>
        <w:rPr>
          <w:rFonts w:ascii="Garamond" w:hAnsi="Garamond"/>
          <w:sz w:val="20"/>
          <w:szCs w:val="20"/>
        </w:rPr>
      </w:pPr>
      <w:r w:rsidRPr="00BD3368">
        <w:rPr>
          <w:rFonts w:ascii="Garamond" w:hAnsi="Garamond"/>
          <w:sz w:val="20"/>
          <w:szCs w:val="20"/>
        </w:rPr>
        <w:t>Procesi i përhapjes (trajnimi, ndërgjegjësimi).</w:t>
      </w:r>
    </w:p>
    <w:p w14:paraId="7715AFA2" w14:textId="77777777" w:rsidR="00E528B3" w:rsidRPr="00BD3368" w:rsidRDefault="00E528B3" w:rsidP="00847F23">
      <w:pPr>
        <w:pStyle w:val="FootnoteText"/>
        <w:rPr>
          <w:lang w:val="sq-AL"/>
        </w:rPr>
      </w:pPr>
    </w:p>
  </w:footnote>
  <w:footnote w:id="72">
    <w:p w14:paraId="15FFD02B" w14:textId="50E6C71F" w:rsidR="00E528B3" w:rsidRPr="00BD3368" w:rsidRDefault="00E528B3" w:rsidP="006D6812">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Kjo pjesë bazohet në: OECD, Vlerësimi shumëdimensional i Ballkanit Perëndimor – Nga Analiza në Veprim, shkurt 2022.</w:t>
      </w:r>
    </w:p>
  </w:footnote>
  <w:footnote w:id="73">
    <w:p w14:paraId="11E1ADE8" w14:textId="2537102B" w:rsidR="00E528B3" w:rsidRPr="00BD3368" w:rsidRDefault="00E528B3" w:rsidP="006D6812">
      <w:pPr>
        <w:pStyle w:val="FootnoteText"/>
        <w:rPr>
          <w:sz w:val="18"/>
          <w:szCs w:val="18"/>
          <w:lang w:val="sq-AL"/>
        </w:rPr>
      </w:pPr>
      <w:r w:rsidRPr="00BD3368">
        <w:rPr>
          <w:rStyle w:val="FootnoteReference"/>
          <w:rFonts w:ascii="Garamond" w:hAnsi="Garamond"/>
          <w:lang w:val="sq-AL"/>
        </w:rPr>
        <w:footnoteRef/>
      </w:r>
      <w:r w:rsidRPr="00BD3368">
        <w:rPr>
          <w:rFonts w:ascii="Garamond" w:hAnsi="Garamond"/>
          <w:color w:val="000000"/>
          <w:lang w:val="sq-AL"/>
        </w:rPr>
        <w:t xml:space="preserve"> OECD Vlerësimi shumëdimensional i Ballkanit Perëndimor më 2021 – Nga Analiza në Veprim, shkurt 2022.</w:t>
      </w:r>
    </w:p>
  </w:footnote>
  <w:footnote w:id="74">
    <w:p w14:paraId="19D95E2C" w14:textId="4B2656CB" w:rsidR="00E528B3" w:rsidRPr="00BD3368" w:rsidRDefault="00E528B3" w:rsidP="0003243A">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Komunikim i Komisionit për Parlamentin Evropian, Këshillin dhe Komitetin Evropian Ekonomik dhe Social dhe Komitetin e Rajoneve. Plani i Veprimit për Edukimin Digjitale 2021–2027 Rivendosja e arsimit dhe trajnimit për epokën digjitale, COM/2020/624 final.</w:t>
      </w:r>
    </w:p>
  </w:footnote>
  <w:footnote w:id="75">
    <w:p w14:paraId="42FE7D00" w14:textId="0E0A762A" w:rsidR="00E528B3" w:rsidRPr="00BD3368" w:rsidRDefault="00E528B3" w:rsidP="0030426B">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Komunikim i Komisionit për Parlamentin Evropian, Këshillin dhe Komitetin Evropian Ekonomik dhe Social dhe Komitetin e Rajoneve. Agjenda Evropiane e Aftësive për Konkurrencë të Qëndrueshme, Drejtësi Sociale dhe Aftësi Përshtatëse, COM/2020/274 final.</w:t>
      </w:r>
    </w:p>
  </w:footnote>
  <w:footnote w:id="76">
    <w:p w14:paraId="380E39A0" w14:textId="39265355" w:rsidR="00E528B3" w:rsidRPr="00BD3368" w:rsidRDefault="00E528B3" w:rsidP="0030426B">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Komunikim i Komisionit për Parlamentin Evropian, Këshillin dhe Komitetin Evropian Ekonomik dhe Social dhe Komitetin e Rajoneve. Shtylla Evropiane e Planit të Veprimit për të Drejtat Sociale. </w:t>
      </w:r>
    </w:p>
  </w:footnote>
  <w:footnote w:id="77">
    <w:p w14:paraId="14C573B0" w14:textId="47870ED1" w:rsidR="00E528B3" w:rsidRPr="00BD3368" w:rsidRDefault="00E528B3" w:rsidP="0030426B">
      <w:pPr>
        <w:spacing w:after="0" w:line="240" w:lineRule="auto"/>
        <w:jc w:val="both"/>
        <w:rPr>
          <w:rFonts w:ascii="Garamond" w:hAnsi="Garamond"/>
          <w:sz w:val="20"/>
          <w:szCs w:val="20"/>
        </w:rPr>
      </w:pPr>
      <w:r w:rsidRPr="00BD3368">
        <w:rPr>
          <w:rStyle w:val="FootnoteReference"/>
          <w:rFonts w:ascii="Garamond" w:hAnsi="Garamond"/>
          <w:sz w:val="20"/>
          <w:szCs w:val="20"/>
        </w:rPr>
        <w:footnoteRef/>
      </w:r>
      <w:r w:rsidRPr="00BD3368">
        <w:rPr>
          <w:rFonts w:ascii="Garamond" w:hAnsi="Garamond"/>
          <w:sz w:val="20"/>
          <w:szCs w:val="20"/>
        </w:rPr>
        <w:t xml:space="preserve"> Përndryshe: </w:t>
      </w:r>
      <w:r w:rsidRPr="00BD3368">
        <w:rPr>
          <w:rFonts w:ascii="Garamond" w:hAnsi="Garamond"/>
          <w:bCs/>
          <w:sz w:val="20"/>
          <w:szCs w:val="20"/>
        </w:rPr>
        <w:t xml:space="preserve">Rritja e digjitalizimit të sistemit të arsimit parauniversitar, përfshirë kurrikula të modernizuara të orientuara drejt TIK-ut; dimensioni i kapitalit njerëzor të DESI-it </w:t>
      </w:r>
      <w:hyperlink r:id="rId40" w:history="1">
        <w:r w:rsidRPr="00BD3368">
          <w:rPr>
            <w:rStyle w:val="Hyperlink"/>
            <w:rFonts w:ascii="Garamond" w:hAnsi="Garamond"/>
            <w:sz w:val="20"/>
            <w:szCs w:val="20"/>
          </w:rPr>
          <w:t>https://www.rcc.int/pubs/159/western-balkans-digital-economy-society-index-wb-desi-2022-report</w:t>
        </w:r>
      </w:hyperlink>
      <w:r w:rsidRPr="00BD3368">
        <w:rPr>
          <w:rFonts w:ascii="Garamond" w:hAnsi="Garamond"/>
          <w:sz w:val="20"/>
          <w:szCs w:val="20"/>
        </w:rPr>
        <w:t xml:space="preserve"> </w:t>
      </w:r>
    </w:p>
  </w:footnote>
  <w:footnote w:id="78">
    <w:p w14:paraId="75F3E221" w14:textId="3C535C8C" w:rsidR="00E528B3" w:rsidRPr="00BD3368" w:rsidRDefault="00E528B3" w:rsidP="0030426B">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Dimensioni i kapitalit njerëzor të Indeksit të Ekonomisë dhe Shoqërisë Digjitale (DESI) ka dy nëndimensione që mbulojnë “aftësitë e përdoruesve të internetit” dhe “aftësitë dhe zhvillimin e avancuar”. I pari bazohet në Treguesin e Aftësive Digjitale të Komisionit Evropian, i llogaritur bazuar në numrin dhe kompleksitetin e aktiviteteve që përfshijnë përdorimin e pajisjeve digjitale dhe internetit (shihni</w:t>
      </w:r>
      <w:r>
        <w:rPr>
          <w:rFonts w:ascii="Garamond" w:hAnsi="Garamond"/>
          <w:lang w:val="sq-AL"/>
        </w:rPr>
        <w:t>:</w:t>
      </w:r>
      <w:hyperlink r:id="rId41" w:history="1">
        <w:r w:rsidRPr="00FA7366">
          <w:rPr>
            <w:rStyle w:val="Hyperlink"/>
            <w:rFonts w:ascii="Garamond" w:hAnsi="Garamond"/>
            <w:lang w:val="sq-AL"/>
          </w:rPr>
          <w:t>https://publications.jrc.ec.europa.eu/repository/handle/JRC130341</w:t>
        </w:r>
      </w:hyperlink>
      <w:r w:rsidRPr="00BD3368">
        <w:rPr>
          <w:rFonts w:ascii="Garamond" w:hAnsi="Garamond"/>
          <w:lang w:val="sq-AL"/>
        </w:rPr>
        <w:t xml:space="preserve">). I fundit përfshin tregues për specialistët e TIK-ut, të diplomuarit në TIK dhe ndërmarrjet që ofrojnë trajnime të dedikuara për TIK. </w:t>
      </w:r>
    </w:p>
  </w:footnote>
  <w:footnote w:id="79">
    <w:p w14:paraId="2836F8DC" w14:textId="5BE50265" w:rsidR="00E528B3" w:rsidRPr="00BD3368" w:rsidRDefault="00E528B3" w:rsidP="00211362">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Shihni Dokumentin e Punës të Stafit të Komisionit, Performanca, monitorimi dhe vlerësimi i Fondit Evropian të Zhvillimit Rajonal, Fondit të Kohezionit dhe Fondit të Tranzicionit të Drejtë më 2021–2027, Bruksel, 8.7.2021, SWD (2021) 198 final.</w:t>
      </w:r>
    </w:p>
  </w:footnote>
  <w:footnote w:id="80">
    <w:p w14:paraId="5FF5E6E9" w14:textId="5575688D" w:rsidR="00E528B3" w:rsidRPr="00BD3368" w:rsidRDefault="00E528B3" w:rsidP="00773853">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color w:val="000000"/>
          <w:lang w:val="sq-AL"/>
        </w:rPr>
        <w:t xml:space="preserve"> Agjencia e Bashkimit Evropian për Sigurinë Kibernetike, “Threat Landscape 2022”, tetor/nëntor 2022. Marrë në internet: </w:t>
      </w:r>
      <w:hyperlink r:id="rId42" w:history="1">
        <w:r w:rsidRPr="00BD3368">
          <w:rPr>
            <w:rStyle w:val="Hyperlink"/>
            <w:rFonts w:ascii="Garamond" w:hAnsi="Garamond"/>
            <w:lang w:val="sq-AL"/>
          </w:rPr>
          <w:t>https://www.enisa.europa.eu/publications/enisa-threat-landscape-2022</w:t>
        </w:r>
      </w:hyperlink>
      <w:r w:rsidRPr="00BD3368">
        <w:rPr>
          <w:rFonts w:ascii="Garamond" w:hAnsi="Garamond"/>
          <w:color w:val="000000"/>
          <w:lang w:val="sq-AL"/>
        </w:rPr>
        <w:t xml:space="preserve"> </w:t>
      </w:r>
    </w:p>
  </w:footnote>
  <w:footnote w:id="81">
    <w:p w14:paraId="77A8746C" w14:textId="353F38DE" w:rsidR="00E528B3" w:rsidRPr="00BD3368" w:rsidRDefault="00E528B3" w:rsidP="00773853">
      <w:pPr>
        <w:pStyle w:val="FootnoteText"/>
        <w:rPr>
          <w:rFonts w:ascii="Garamond" w:hAnsi="Garamond"/>
          <w:color w:val="000000"/>
          <w:lang w:val="sq-AL"/>
        </w:rPr>
      </w:pPr>
      <w:bookmarkStart w:id="43" w:name="_Hlk137560413"/>
      <w:r w:rsidRPr="00BD3368">
        <w:rPr>
          <w:rStyle w:val="FootnoteReference"/>
          <w:rFonts w:ascii="Garamond" w:hAnsi="Garamond"/>
          <w:lang w:val="sq-AL"/>
        </w:rPr>
        <w:footnoteRef/>
      </w:r>
      <w:r w:rsidRPr="00BD3368">
        <w:rPr>
          <w:lang w:val="sq-AL"/>
        </w:rPr>
        <w:t xml:space="preserve"> </w:t>
      </w:r>
      <w:hyperlink r:id="rId43" w:history="1">
        <w:r w:rsidRPr="00BD3368">
          <w:rPr>
            <w:rStyle w:val="Hyperlink"/>
            <w:rFonts w:ascii="Garamond" w:hAnsi="Garamond"/>
            <w:lang w:val="sq-AL"/>
          </w:rPr>
          <w:t>https://eur-lex.europa.eu/legal-content/EN/ALL/?uri=CELEX%3A32019R0881</w:t>
        </w:r>
      </w:hyperlink>
    </w:p>
    <w:bookmarkEnd w:id="43"/>
    <w:p w14:paraId="14875623" w14:textId="77777777" w:rsidR="00E528B3" w:rsidRPr="00BD3368" w:rsidRDefault="00E528B3" w:rsidP="00773853">
      <w:pPr>
        <w:pStyle w:val="FootnoteText"/>
        <w:rPr>
          <w:lang w:val="sq-AL"/>
        </w:rPr>
      </w:pPr>
      <w:r w:rsidRPr="00BD3368">
        <w:rPr>
          <w:rFonts w:ascii="Garamond" w:hAnsi="Garamond"/>
          <w:highlight w:val="yellow"/>
          <w:vertAlign w:val="superscript"/>
          <w:lang w:val="sq-AL"/>
        </w:rPr>
        <w:t>18</w:t>
      </w:r>
      <w:r w:rsidRPr="00BD3368">
        <w:rPr>
          <w:rFonts w:ascii="Garamond" w:hAnsi="Garamond"/>
          <w:vertAlign w:val="superscript"/>
          <w:lang w:val="sq-AL"/>
        </w:rPr>
        <w:t xml:space="preserve"> </w:t>
      </w:r>
      <w:hyperlink r:id="rId44" w:history="1">
        <w:r w:rsidRPr="007950F4">
          <w:rPr>
            <w:rStyle w:val="Hyperlink"/>
            <w:rFonts w:ascii="Garamond" w:hAnsi="Garamond"/>
            <w:highlight w:val="yellow"/>
            <w:lang w:val="sq-AL"/>
          </w:rPr>
          <w:t>https://w</w:t>
        </w:r>
        <w:r w:rsidRPr="00BD3368">
          <w:rPr>
            <w:rStyle w:val="Hyperlink"/>
            <w:rFonts w:ascii="Garamond" w:hAnsi="Garamond"/>
            <w:lang w:val="sq-AL"/>
          </w:rPr>
          <w:t>ww.cisa.gov/news-events/cybersecurity-advisories/aa22-264a</w:t>
        </w:r>
      </w:hyperlink>
      <w:r w:rsidRPr="00BD3368">
        <w:rPr>
          <w:sz w:val="18"/>
          <w:szCs w:val="18"/>
          <w:lang w:val="sq-AL"/>
        </w:rPr>
        <w:t xml:space="preserve"> </w:t>
      </w:r>
    </w:p>
  </w:footnote>
  <w:footnote w:id="82">
    <w:p w14:paraId="27003CC8" w14:textId="37C98DB3" w:rsidR="00E528B3" w:rsidRPr="00BD3368" w:rsidRDefault="00E528B3" w:rsidP="00773853">
      <w:pPr>
        <w:pStyle w:val="FootnoteText"/>
        <w:rPr>
          <w:rFonts w:ascii="Garamond" w:hAnsi="Garamond"/>
          <w:lang w:val="sq-AL"/>
        </w:rPr>
      </w:pPr>
      <w:r w:rsidRPr="00BD3368">
        <w:rPr>
          <w:rStyle w:val="FootnoteReference"/>
          <w:rFonts w:ascii="Garamond" w:hAnsi="Garamond"/>
          <w:lang w:val="sq-AL"/>
        </w:rPr>
        <w:footnoteRef/>
      </w:r>
      <w:r>
        <w:rPr>
          <w:lang w:val="sq-AL"/>
        </w:rPr>
        <w:t xml:space="preserve"> </w:t>
      </w:r>
      <w:hyperlink r:id="rId45" w:history="1">
        <w:r w:rsidRPr="00FA7366">
          <w:rPr>
            <w:rStyle w:val="Hyperlink"/>
            <w:rFonts w:ascii="Garamond" w:hAnsi="Garamond"/>
            <w:lang w:val="sq-AL"/>
          </w:rPr>
          <w:t>https://commission.europa.eu/strategy-and-policy/priorities-2019-2024/europe-fit-digital-age/european-data-strategy_en</w:t>
        </w:r>
      </w:hyperlink>
    </w:p>
  </w:footnote>
  <w:footnote w:id="83">
    <w:p w14:paraId="4F2883BF" w14:textId="77777777" w:rsidR="00E528B3" w:rsidRPr="00BD3368" w:rsidRDefault="00E528B3" w:rsidP="00773853">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46" w:history="1">
        <w:r w:rsidRPr="00BD3368">
          <w:rPr>
            <w:rStyle w:val="Hyperlink"/>
            <w:rFonts w:ascii="Garamond" w:hAnsi="Garamond"/>
            <w:lang w:val="sq-AL"/>
          </w:rPr>
          <w:t>https://digital-strategy.ec.europa.eu/en/library/declaration-future-internet</w:t>
        </w:r>
      </w:hyperlink>
      <w:r w:rsidRPr="00BD3368">
        <w:rPr>
          <w:rFonts w:ascii="Garamond" w:hAnsi="Garamond"/>
          <w:lang w:val="sq-AL"/>
        </w:rPr>
        <w:t xml:space="preserve"> </w:t>
      </w:r>
    </w:p>
  </w:footnote>
  <w:footnote w:id="84">
    <w:p w14:paraId="60530DFA" w14:textId="794C4CFE" w:rsidR="00E528B3" w:rsidRPr="00BD3368" w:rsidRDefault="00E528B3" w:rsidP="00773853">
      <w:pPr>
        <w:spacing w:after="0" w:line="240" w:lineRule="auto"/>
        <w:rPr>
          <w:rFonts w:ascii="Garamond" w:hAnsi="Garamond"/>
          <w:color w:val="0C000F"/>
          <w:sz w:val="20"/>
          <w:szCs w:val="20"/>
          <w:shd w:val="clear" w:color="auto" w:fill="FFFFFF"/>
        </w:rPr>
      </w:pPr>
      <w:r w:rsidRPr="00BD3368">
        <w:rPr>
          <w:rStyle w:val="FootnoteReference"/>
          <w:rFonts w:ascii="Garamond" w:hAnsi="Garamond"/>
          <w:sz w:val="20"/>
          <w:szCs w:val="20"/>
        </w:rPr>
        <w:footnoteRef/>
      </w:r>
      <w:r>
        <w:t xml:space="preserve"> </w:t>
      </w:r>
      <w:hyperlink r:id="rId47" w:history="1">
        <w:r w:rsidRPr="00FA7366">
          <w:rPr>
            <w:rStyle w:val="Hyperlink"/>
            <w:rFonts w:ascii="Garamond" w:hAnsi="Garamond"/>
            <w:sz w:val="20"/>
            <w:szCs w:val="20"/>
            <w:shd w:val="clear" w:color="auto" w:fill="FFFFFF"/>
          </w:rPr>
          <w:t>https://ec.europa.eu/neighbourhood-enlargement/sites/near/files/communication_on_wb_economic_and_investment_plan_october_2020_en.pdf</w:t>
        </w:r>
      </w:hyperlink>
    </w:p>
    <w:p w14:paraId="6D4C169F" w14:textId="77777777" w:rsidR="00E528B3" w:rsidRPr="00BD3368" w:rsidRDefault="00E528B3" w:rsidP="00847F23">
      <w:pPr>
        <w:pStyle w:val="FootnoteText"/>
        <w:rPr>
          <w:rFonts w:ascii="Calibri" w:hAnsi="Calibri"/>
          <w:lang w:val="sq-AL"/>
        </w:rPr>
      </w:pPr>
    </w:p>
  </w:footnote>
  <w:footnote w:id="85">
    <w:p w14:paraId="1B0CB3B2" w14:textId="77777777" w:rsidR="00E528B3" w:rsidRPr="00BD3368" w:rsidRDefault="00E528B3" w:rsidP="00773853">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48" w:history="1">
        <w:r w:rsidRPr="00BD3368">
          <w:rPr>
            <w:rStyle w:val="Hyperlink"/>
            <w:rFonts w:ascii="Garamond" w:hAnsi="Garamond"/>
            <w:lang w:val="sq-AL"/>
          </w:rPr>
          <w:t>https://digital-strategy.ec.europa.eu/en/activities/5g-smart-communities</w:t>
        </w:r>
      </w:hyperlink>
      <w:r w:rsidRPr="00BD3368">
        <w:rPr>
          <w:rFonts w:ascii="Garamond" w:hAnsi="Garamond"/>
          <w:lang w:val="sq-AL"/>
        </w:rPr>
        <w:t xml:space="preserve"> </w:t>
      </w:r>
    </w:p>
  </w:footnote>
  <w:footnote w:id="86">
    <w:p w14:paraId="515676B9" w14:textId="77777777" w:rsidR="00E528B3" w:rsidRPr="00BD3368" w:rsidRDefault="00E528B3" w:rsidP="00773853">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49" w:history="1">
        <w:r w:rsidRPr="00BD3368">
          <w:rPr>
            <w:rStyle w:val="Hyperlink"/>
            <w:rFonts w:ascii="Garamond" w:hAnsi="Garamond"/>
            <w:lang w:val="sq-AL"/>
          </w:rPr>
          <w:t>https://digital-strategy.ec.europa.eu/en/library/gigabit-infrastructure-act-proposal-and-impact-assessment</w:t>
        </w:r>
      </w:hyperlink>
      <w:r w:rsidRPr="00BD3368">
        <w:rPr>
          <w:rFonts w:ascii="Garamond" w:hAnsi="Garamond"/>
          <w:lang w:val="sq-AL"/>
        </w:rPr>
        <w:t xml:space="preserve"> </w:t>
      </w:r>
    </w:p>
  </w:footnote>
  <w:footnote w:id="87">
    <w:p w14:paraId="7D1586D9" w14:textId="326B479D" w:rsidR="00E528B3" w:rsidRPr="00BD3368" w:rsidRDefault="00E528B3" w:rsidP="00773853">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Ligji nr</w:t>
      </w:r>
      <w:r>
        <w:rPr>
          <w:rFonts w:ascii="Garamond" w:hAnsi="Garamond"/>
          <w:lang w:val="sq-AL"/>
        </w:rPr>
        <w:t>.</w:t>
      </w:r>
      <w:r w:rsidRPr="00BD3368">
        <w:rPr>
          <w:rFonts w:ascii="Garamond" w:hAnsi="Garamond"/>
          <w:lang w:val="sq-AL"/>
        </w:rPr>
        <w:t xml:space="preserve"> 120/2016 bazuar në BCRD</w:t>
      </w:r>
      <w:r>
        <w:rPr>
          <w:rFonts w:ascii="Garamond" w:hAnsi="Garamond"/>
          <w:lang w:val="sq-AL"/>
        </w:rPr>
        <w:t>.</w:t>
      </w:r>
    </w:p>
  </w:footnote>
  <w:footnote w:id="88">
    <w:p w14:paraId="3DE32566" w14:textId="3C36052B" w:rsidR="00E528B3" w:rsidRPr="00BD3368" w:rsidRDefault="00E528B3" w:rsidP="00773853">
      <w:pPr>
        <w:pStyle w:val="FootnoteText"/>
        <w:rPr>
          <w:sz w:val="18"/>
          <w:szCs w:val="18"/>
          <w:lang w:val="sq-AL"/>
        </w:rPr>
      </w:pPr>
      <w:r w:rsidRPr="00BD3368">
        <w:rPr>
          <w:rStyle w:val="FootnoteReference"/>
          <w:rFonts w:ascii="Garamond" w:hAnsi="Garamond"/>
          <w:lang w:val="sq-AL"/>
        </w:rPr>
        <w:footnoteRef/>
      </w:r>
      <w:r w:rsidRPr="00BD3368">
        <w:rPr>
          <w:rFonts w:ascii="Garamond" w:hAnsi="Garamond"/>
          <w:lang w:val="sq-AL"/>
        </w:rPr>
        <w:t xml:space="preserve"> Bazuar në direktivën për KEKE</w:t>
      </w:r>
      <w:r>
        <w:rPr>
          <w:rFonts w:ascii="Garamond" w:hAnsi="Garamond"/>
          <w:lang w:val="sq-AL"/>
        </w:rPr>
        <w:t>-në.</w:t>
      </w:r>
    </w:p>
  </w:footnote>
  <w:footnote w:id="89">
    <w:p w14:paraId="4E1E898E" w14:textId="77777777" w:rsidR="00E528B3" w:rsidRPr="00BD3368" w:rsidRDefault="00E528B3" w:rsidP="004F525C">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50" w:history="1">
        <w:r w:rsidRPr="00BD3368">
          <w:rPr>
            <w:rStyle w:val="Hyperlink"/>
            <w:rFonts w:ascii="Garamond" w:hAnsi="Garamond"/>
            <w:lang w:val="sq-AL"/>
          </w:rPr>
          <w:t>https://www.rcc.int/pubs/159/western-balkans-digital-economy-society-index-wb-desi-2022-report</w:t>
        </w:r>
      </w:hyperlink>
      <w:r w:rsidRPr="00BD3368">
        <w:rPr>
          <w:rFonts w:ascii="Garamond" w:hAnsi="Garamond"/>
          <w:lang w:val="sq-AL"/>
        </w:rPr>
        <w:t xml:space="preserve"> </w:t>
      </w:r>
    </w:p>
  </w:footnote>
  <w:footnote w:id="90">
    <w:p w14:paraId="048FDBB7" w14:textId="693D4804" w:rsidR="00E528B3" w:rsidRPr="00BD3368" w:rsidRDefault="00E528B3" w:rsidP="004F525C">
      <w:pPr>
        <w:pStyle w:val="FootnoteText"/>
        <w:jc w:val="both"/>
        <w:rPr>
          <w:rFonts w:ascii="Garamond" w:hAnsi="Garamond"/>
          <w:lang w:val="sq-AL"/>
        </w:rPr>
      </w:pPr>
      <w:r w:rsidRPr="00BD3368">
        <w:rPr>
          <w:rStyle w:val="FootnoteReference"/>
          <w:rFonts w:ascii="Garamond" w:hAnsi="Garamond"/>
          <w:lang w:val="sq-AL"/>
        </w:rPr>
        <w:footnoteRef/>
      </w:r>
      <w:r>
        <w:rPr>
          <w:rFonts w:ascii="Garamond" w:hAnsi="Garamond"/>
          <w:lang w:val="sq-AL"/>
        </w:rPr>
        <w:t xml:space="preserve"> </w:t>
      </w:r>
      <w:r w:rsidRPr="00BD3368">
        <w:rPr>
          <w:rFonts w:ascii="Garamond" w:hAnsi="Garamond"/>
          <w:lang w:val="sq-AL"/>
        </w:rPr>
        <w:t>Shihni aneksin 2.</w:t>
      </w:r>
    </w:p>
  </w:footnote>
  <w:footnote w:id="91">
    <w:p w14:paraId="1DECA7C4" w14:textId="15433CB9" w:rsidR="00E528B3" w:rsidRPr="00BD3368" w:rsidRDefault="00E528B3" w:rsidP="004F525C">
      <w:pPr>
        <w:pStyle w:val="ListBullet2"/>
        <w:numPr>
          <w:ilvl w:val="0"/>
          <w:numId w:val="0"/>
        </w:numPr>
        <w:tabs>
          <w:tab w:val="left" w:pos="720"/>
        </w:tabs>
        <w:spacing w:after="0"/>
        <w:rPr>
          <w:rFonts w:ascii="Garamond" w:hAnsi="Garamond" w:cs="Times New Roman"/>
          <w:sz w:val="20"/>
        </w:rPr>
      </w:pPr>
      <w:r w:rsidRPr="00BD3368">
        <w:rPr>
          <w:rStyle w:val="FootnoteReference"/>
          <w:rFonts w:ascii="Garamond" w:hAnsi="Garamond"/>
          <w:sz w:val="20"/>
        </w:rPr>
        <w:footnoteRef/>
      </w:r>
      <w:r w:rsidRPr="00BD3368">
        <w:rPr>
          <w:rFonts w:ascii="Garamond" w:hAnsi="Garamond"/>
          <w:sz w:val="20"/>
        </w:rPr>
        <w:t xml:space="preserve"> Projekti mund të zbatohet në mënyrë modulare dhe investimi llogaritet të jetë rreth 3–5 milionë euro.</w:t>
      </w:r>
    </w:p>
    <w:p w14:paraId="1AECCB18" w14:textId="77777777" w:rsidR="00E528B3" w:rsidRPr="00BD3368" w:rsidRDefault="00E528B3" w:rsidP="00847F23">
      <w:pPr>
        <w:pStyle w:val="FootnoteText"/>
        <w:rPr>
          <w:rFonts w:ascii="Calibri" w:hAnsi="Calibri"/>
          <w:lang w:val="sq-AL"/>
        </w:rPr>
      </w:pPr>
    </w:p>
  </w:footnote>
  <w:footnote w:id="92">
    <w:p w14:paraId="093816BD" w14:textId="09EC5E90" w:rsidR="00E528B3" w:rsidRPr="00BD3368" w:rsidRDefault="00E528B3" w:rsidP="004F525C">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Sipas negocimit me Komisionin Evropian.</w:t>
      </w:r>
    </w:p>
  </w:footnote>
  <w:footnote w:id="93">
    <w:p w14:paraId="47CCFAEB" w14:textId="27445363" w:rsidR="00E528B3" w:rsidRPr="00BD3368" w:rsidRDefault="00E528B3" w:rsidP="004F525C">
      <w:pPr>
        <w:spacing w:after="0" w:line="240" w:lineRule="auto"/>
        <w:jc w:val="both"/>
        <w:rPr>
          <w:rFonts w:ascii="Garamond" w:hAnsi="Garamond"/>
          <w:sz w:val="20"/>
          <w:szCs w:val="18"/>
        </w:rPr>
      </w:pPr>
      <w:r w:rsidRPr="00BD3368">
        <w:rPr>
          <w:rStyle w:val="FootnoteReference"/>
          <w:rFonts w:ascii="Garamond" w:hAnsi="Garamond"/>
          <w:sz w:val="20"/>
          <w:szCs w:val="18"/>
        </w:rPr>
        <w:footnoteRef/>
      </w:r>
      <w:r w:rsidRPr="00BD3368">
        <w:rPr>
          <w:rFonts w:ascii="Garamond" w:hAnsi="Garamond"/>
          <w:sz w:val="20"/>
          <w:szCs w:val="18"/>
        </w:rPr>
        <w:t xml:space="preserve"> 1</w:t>
      </w:r>
      <w:r>
        <w:rPr>
          <w:rFonts w:ascii="Garamond" w:hAnsi="Garamond"/>
          <w:sz w:val="20"/>
          <w:szCs w:val="18"/>
        </w:rPr>
        <w:t xml:space="preserve">) </w:t>
      </w:r>
      <w:r w:rsidRPr="00BD3368">
        <w:rPr>
          <w:rFonts w:ascii="Garamond" w:hAnsi="Garamond"/>
          <w:sz w:val="20"/>
          <w:szCs w:val="18"/>
        </w:rPr>
        <w:t>për mjedisin e jashtëm; 2</w:t>
      </w:r>
      <w:r>
        <w:rPr>
          <w:rFonts w:ascii="Garamond" w:hAnsi="Garamond"/>
          <w:sz w:val="20"/>
          <w:szCs w:val="18"/>
        </w:rPr>
        <w:t xml:space="preserve">) </w:t>
      </w:r>
      <w:r w:rsidRPr="00BD3368">
        <w:rPr>
          <w:rFonts w:ascii="Garamond" w:hAnsi="Garamond"/>
          <w:sz w:val="20"/>
          <w:szCs w:val="18"/>
        </w:rPr>
        <w:t>për planifikimin, proceset dhe sistemet; 3</w:t>
      </w:r>
      <w:r>
        <w:rPr>
          <w:rFonts w:ascii="Garamond" w:hAnsi="Garamond"/>
          <w:sz w:val="20"/>
          <w:szCs w:val="18"/>
        </w:rPr>
        <w:t xml:space="preserve">) </w:t>
      </w:r>
      <w:r w:rsidRPr="00BD3368">
        <w:rPr>
          <w:rFonts w:ascii="Garamond" w:hAnsi="Garamond"/>
          <w:sz w:val="20"/>
          <w:szCs w:val="18"/>
        </w:rPr>
        <w:t>për njerëzit dhe organizatat; 4</w:t>
      </w:r>
      <w:r>
        <w:rPr>
          <w:rFonts w:ascii="Garamond" w:hAnsi="Garamond"/>
          <w:sz w:val="20"/>
          <w:szCs w:val="18"/>
        </w:rPr>
        <w:t xml:space="preserve">) </w:t>
      </w:r>
      <w:r w:rsidRPr="00BD3368">
        <w:rPr>
          <w:rFonts w:ascii="Garamond" w:hAnsi="Garamond"/>
          <w:sz w:val="20"/>
          <w:szCs w:val="18"/>
        </w:rPr>
        <w:t>për aspektin ligjor dhe rregullator; 5</w:t>
      </w:r>
      <w:r>
        <w:rPr>
          <w:rFonts w:ascii="Garamond" w:hAnsi="Garamond"/>
          <w:sz w:val="20"/>
          <w:szCs w:val="18"/>
        </w:rPr>
        <w:t xml:space="preserve">) </w:t>
      </w:r>
      <w:r w:rsidRPr="00BD3368">
        <w:rPr>
          <w:rFonts w:ascii="Garamond" w:hAnsi="Garamond"/>
          <w:sz w:val="20"/>
          <w:szCs w:val="18"/>
        </w:rPr>
        <w:t>për komunikimin dhe informacionin.</w:t>
      </w:r>
    </w:p>
    <w:p w14:paraId="1DC2F44C" w14:textId="77777777" w:rsidR="00E528B3" w:rsidRPr="00BD3368" w:rsidRDefault="00E528B3" w:rsidP="00847F23">
      <w:pPr>
        <w:pStyle w:val="FootnoteText"/>
        <w:rPr>
          <w:lang w:val="sq-AL"/>
        </w:rPr>
      </w:pPr>
    </w:p>
  </w:footnote>
  <w:footnote w:id="94">
    <w:p w14:paraId="5B22C2CD" w14:textId="77777777" w:rsidR="00E528B3" w:rsidRPr="00BD3368" w:rsidRDefault="00E528B3" w:rsidP="004F525C">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51" w:history="1">
        <w:r w:rsidRPr="00BD3368">
          <w:rPr>
            <w:rStyle w:val="Hyperlink"/>
            <w:rFonts w:ascii="Garamond" w:hAnsi="Garamond"/>
            <w:lang w:val="sq-AL"/>
          </w:rPr>
          <w:t>https://op.europa.eu/en/publication-detail/-/publication/93c4192d-aa07-43f6-b78e-f1d236b54cb8</w:t>
        </w:r>
      </w:hyperlink>
      <w:r w:rsidRPr="00BD3368">
        <w:rPr>
          <w:rFonts w:ascii="Garamond" w:hAnsi="Garamond"/>
          <w:lang w:val="sq-AL"/>
        </w:rPr>
        <w:t xml:space="preserve"> </w:t>
      </w:r>
    </w:p>
  </w:footnote>
  <w:footnote w:id="95">
    <w:p w14:paraId="5F981F58" w14:textId="77777777" w:rsidR="00E528B3" w:rsidRPr="00BD3368" w:rsidRDefault="00E528B3" w:rsidP="004F525C">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Kryesisht ata që janë aktivë në promovimin e përfshirjes sociale, mbrojtjen e mjedisit, planifikimin urban dhe mosdiskriminimin.</w:t>
      </w:r>
    </w:p>
  </w:footnote>
  <w:footnote w:id="96">
    <w:p w14:paraId="2D3F42C7" w14:textId="0CFFBFF7" w:rsidR="00E528B3" w:rsidRPr="006775C2" w:rsidRDefault="00E528B3">
      <w:pPr>
        <w:pStyle w:val="FootnoteText"/>
        <w:rPr>
          <w:lang w:val="en-US"/>
        </w:rPr>
      </w:pPr>
      <w:r w:rsidRPr="006775C2">
        <w:rPr>
          <w:rStyle w:val="FootnoteReference"/>
        </w:rPr>
        <w:footnoteRef/>
      </w:r>
      <w:r w:rsidRPr="006775C2">
        <w:t xml:space="preserve"> </w:t>
      </w:r>
      <w:r w:rsidRPr="006775C2">
        <w:rPr>
          <w:rFonts w:ascii="Garamond" w:hAnsi="Garamond"/>
          <w:lang w:val="sq-AL"/>
        </w:rPr>
        <w:t>Eliminimi i ofertave të pasukseshsme pesë vjet pas mbylljes së procedurës së prokurimit.</w:t>
      </w:r>
    </w:p>
  </w:footnote>
  <w:footnote w:id="97">
    <w:p w14:paraId="75A84584" w14:textId="5CA810E6" w:rsidR="00E528B3" w:rsidRPr="006775C2" w:rsidRDefault="00E528B3" w:rsidP="006775C2">
      <w:pPr>
        <w:spacing w:after="0" w:line="240" w:lineRule="auto"/>
        <w:jc w:val="both"/>
        <w:rPr>
          <w:rFonts w:ascii="Garamond" w:hAnsi="Garamond"/>
          <w:sz w:val="20"/>
          <w:szCs w:val="20"/>
        </w:rPr>
      </w:pPr>
      <w:r w:rsidRPr="006775C2">
        <w:rPr>
          <w:rStyle w:val="FootnoteReference"/>
          <w:rFonts w:ascii="Garamond" w:hAnsi="Garamond"/>
          <w:sz w:val="20"/>
          <w:szCs w:val="20"/>
        </w:rPr>
        <w:footnoteRef/>
      </w:r>
      <w:r w:rsidRPr="006775C2">
        <w:rPr>
          <w:rFonts w:ascii="Garamond" w:hAnsi="Garamond"/>
          <w:sz w:val="20"/>
          <w:szCs w:val="20"/>
        </w:rPr>
        <w:t xml:space="preserve"> Eliminimi i ofertave të pasuksesshme tre vjet pas mbylljes së procedurës së grantit.</w:t>
      </w:r>
    </w:p>
  </w:footnote>
  <w:footnote w:id="98">
    <w:p w14:paraId="405ADB38" w14:textId="21CA4831" w:rsidR="00E528B3" w:rsidRPr="00816DD2" w:rsidRDefault="00E528B3" w:rsidP="00816DD2">
      <w:pPr>
        <w:spacing w:after="0" w:line="240" w:lineRule="auto"/>
        <w:rPr>
          <w:rFonts w:ascii="Garamond" w:hAnsi="Garamond"/>
          <w:sz w:val="20"/>
          <w:szCs w:val="20"/>
        </w:rPr>
      </w:pPr>
      <w:r w:rsidRPr="00816DD2">
        <w:rPr>
          <w:rStyle w:val="FootnoteReference"/>
          <w:sz w:val="20"/>
          <w:szCs w:val="20"/>
        </w:rPr>
        <w:footnoteRef/>
      </w:r>
      <w:r w:rsidRPr="00816DD2">
        <w:rPr>
          <w:sz w:val="20"/>
          <w:szCs w:val="20"/>
        </w:rPr>
        <w:t xml:space="preserve"> </w:t>
      </w:r>
      <w:r w:rsidRPr="00816DD2">
        <w:rPr>
          <w:rFonts w:ascii="Garamond" w:hAnsi="Garamond"/>
          <w:sz w:val="20"/>
          <w:szCs w:val="20"/>
        </w:rPr>
        <w:t xml:space="preserve">Për kontratat e shërbimit ky hap përfshin kontrolle </w:t>
      </w:r>
      <w:r w:rsidRPr="00816DD2">
        <w:rPr>
          <w:rFonts w:ascii="Garamond" w:hAnsi="Garamond"/>
          <w:i/>
          <w:sz w:val="20"/>
          <w:szCs w:val="20"/>
        </w:rPr>
        <w:t xml:space="preserve">ex ante </w:t>
      </w:r>
      <w:r w:rsidRPr="00816DD2">
        <w:rPr>
          <w:rFonts w:ascii="Garamond" w:hAnsi="Garamond"/>
          <w:sz w:val="20"/>
          <w:szCs w:val="20"/>
        </w:rPr>
        <w:t>në lidhje me miratimin e listës së përzgjedhur.</w:t>
      </w:r>
    </w:p>
  </w:footnote>
  <w:footnote w:id="99">
    <w:p w14:paraId="2347569E" w14:textId="457CD497" w:rsidR="00E528B3" w:rsidRPr="00225E16" w:rsidRDefault="00E528B3" w:rsidP="00225E16">
      <w:pPr>
        <w:spacing w:after="0" w:line="240" w:lineRule="auto"/>
        <w:jc w:val="both"/>
        <w:rPr>
          <w:rFonts w:ascii="Garamond" w:hAnsi="Garamond"/>
          <w:sz w:val="20"/>
          <w:szCs w:val="20"/>
        </w:rPr>
      </w:pPr>
      <w:r w:rsidRPr="00E06606">
        <w:rPr>
          <w:rStyle w:val="FootnoteReference"/>
          <w:rFonts w:ascii="Garamond" w:hAnsi="Garamond"/>
          <w:sz w:val="20"/>
          <w:szCs w:val="20"/>
        </w:rPr>
        <w:footnoteRef/>
      </w:r>
      <w:r w:rsidRPr="00E06606">
        <w:rPr>
          <w:rFonts w:ascii="Garamond" w:hAnsi="Garamond"/>
          <w:sz w:val="20"/>
          <w:szCs w:val="20"/>
        </w:rPr>
        <w:t xml:space="preserve"> </w:t>
      </w:r>
      <w:r w:rsidRPr="00225E16">
        <w:rPr>
          <w:rFonts w:ascii="Garamond" w:hAnsi="Garamond"/>
          <w:sz w:val="20"/>
          <w:szCs w:val="20"/>
        </w:rPr>
        <w:t>IPA-APP është një aplikacion i dedikuar IT i zhvilluar nga DG NEAR për të zëvendësuar iPerseus që ka qenë instrumenti i përdorur për të monitoruar zbatimin e fondeve të paraaderimit nën menaxhimin indirekt nga vendet përfituese (IMBC).</w:t>
      </w:r>
    </w:p>
  </w:footnote>
  <w:footnote w:id="100">
    <w:p w14:paraId="6EA18105" w14:textId="487DEA3E" w:rsidR="00E528B3" w:rsidRPr="00BD3368" w:rsidRDefault="00E528B3" w:rsidP="00BD3368">
      <w:pPr>
        <w:pStyle w:val="FootnoteText"/>
        <w:jc w:val="both"/>
        <w:rPr>
          <w:lang w:val="sq-AL"/>
        </w:rPr>
      </w:pPr>
      <w:r w:rsidRPr="00BD3368">
        <w:rPr>
          <w:rStyle w:val="FootnoteReference"/>
          <w:lang w:val="sq-AL"/>
        </w:rPr>
        <w:footnoteRef/>
      </w:r>
      <w:r w:rsidRPr="00BD3368">
        <w:rPr>
          <w:lang w:val="sq-AL"/>
        </w:rPr>
        <w:t xml:space="preserve"> </w:t>
      </w:r>
      <w:r w:rsidRPr="00BD3368">
        <w:rPr>
          <w:rFonts w:ascii="Garamond" w:hAnsi="Garamond"/>
          <w:color w:val="0000FF"/>
          <w:u w:val="single"/>
          <w:lang w:val="sq-AL"/>
        </w:rPr>
        <w:t>www.sanctionsmap.eu</w:t>
      </w:r>
      <w:r w:rsidRPr="00BD3368">
        <w:rPr>
          <w:rFonts w:ascii="Garamond" w:hAnsi="Garamond"/>
          <w:lang w:val="sq-AL"/>
        </w:rPr>
        <w:t>. Harta e sanksioneve është një mjet IT për identifikimin e regjimeve të sanksioneve. Burimi i sanksioneve buron nga aktet ligjore të publikuara në Gazetën Zyrtare të Bashkimit Evropian (OJ). Në rast mospërputhjeje ndërmjet akteve ligjore të publikuara dhe përditësimeve në faqen e internetit, mbizotëron versioni i OJ.</w:t>
      </w:r>
    </w:p>
  </w:footnote>
  <w:footnote w:id="101">
    <w:p w14:paraId="69F749E2" w14:textId="7D3B18EF" w:rsidR="00E528B3" w:rsidRPr="00BD3368" w:rsidRDefault="00E528B3" w:rsidP="00BD3368">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Sipas sektorëve në dokumentin e Projektit, p.sh.: sundimi i ligjit, transporti, energjia etj.</w:t>
      </w:r>
    </w:p>
  </w:footnote>
  <w:footnote w:id="102">
    <w:p w14:paraId="4EDA57EA" w14:textId="77777777" w:rsidR="00E528B3" w:rsidRPr="00BD3368" w:rsidRDefault="00E528B3" w:rsidP="00BD3368">
      <w:pPr>
        <w:pStyle w:val="FootnoteText"/>
        <w:jc w:val="both"/>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Sipas Kuadrit të Programimit IPA III</w:t>
      </w:r>
    </w:p>
  </w:footnote>
  <w:footnote w:id="103">
    <w:p w14:paraId="296B8CAB" w14:textId="77777777" w:rsidR="00E528B3" w:rsidRPr="00BD3368" w:rsidRDefault="00E528B3" w:rsidP="00BD3368">
      <w:pPr>
        <w:pStyle w:val="FootnoteText"/>
        <w:jc w:val="both"/>
        <w:rPr>
          <w:rFonts w:ascii="Garamond" w:hAnsi="Garamond"/>
          <w:sz w:val="18"/>
          <w:lang w:val="sq-AL"/>
        </w:rPr>
      </w:pPr>
      <w:r w:rsidRPr="00BD3368">
        <w:rPr>
          <w:rStyle w:val="FootnoteReference"/>
          <w:rFonts w:ascii="Garamond" w:hAnsi="Garamond"/>
          <w:lang w:val="sq-AL"/>
        </w:rPr>
        <w:footnoteRef/>
      </w:r>
      <w:r w:rsidRPr="00BD3368">
        <w:rPr>
          <w:rFonts w:ascii="Garamond" w:hAnsi="Garamond"/>
          <w:lang w:val="sq-AL"/>
        </w:rPr>
        <w:t xml:space="preserve"> Qëndrueshmëria i referohet masës në të cilën përfitimet/rezultatet (produktet dhe rezultatet) e arritura ka të ngjarë të vazhdojnë përtej periudhës së zbatimit të tij. Në veçanti, faktorët kyç që ndikojnë në qëndrueshmëri janë kontrolli mbi përfitimet, kapacitetet e menaxhimit institucional dhe burimet e angazhuara për të siguruar funksionimin dhe ruajtjen e rezultateve.</w:t>
      </w:r>
    </w:p>
  </w:footnote>
  <w:footnote w:id="104">
    <w:p w14:paraId="1E003BBD" w14:textId="77777777" w:rsidR="00E528B3" w:rsidRPr="00BD3368" w:rsidRDefault="00E528B3" w:rsidP="009C2266">
      <w:pPr>
        <w:pStyle w:val="Subtitle"/>
        <w:spacing w:after="0"/>
        <w:jc w:val="both"/>
        <w:rPr>
          <w:rFonts w:ascii="Garamond" w:hAnsi="Garamond"/>
          <w:sz w:val="20"/>
          <w:szCs w:val="20"/>
        </w:rPr>
      </w:pPr>
      <w:r w:rsidRPr="00BD3368">
        <w:rPr>
          <w:rStyle w:val="FootnoteReference"/>
          <w:rFonts w:ascii="Garamond" w:hAnsi="Garamond"/>
          <w:sz w:val="20"/>
          <w:szCs w:val="20"/>
        </w:rPr>
        <w:footnoteRef/>
      </w:r>
      <w:r w:rsidRPr="00BD3368">
        <w:rPr>
          <w:rFonts w:ascii="Garamond" w:hAnsi="Garamond"/>
          <w:sz w:val="20"/>
          <w:szCs w:val="20"/>
        </w:rPr>
        <w:t xml:space="preserve"> Si të plotësohet formulari i aplikimit:</w:t>
      </w:r>
    </w:p>
    <w:p w14:paraId="0A007D4F" w14:textId="77777777" w:rsidR="00E528B3" w:rsidRPr="00BD3368" w:rsidRDefault="00E528B3" w:rsidP="009C2266">
      <w:pPr>
        <w:pStyle w:val="Subtitle"/>
        <w:spacing w:after="0"/>
        <w:jc w:val="both"/>
        <w:rPr>
          <w:rFonts w:ascii="Garamond" w:hAnsi="Garamond"/>
          <w:sz w:val="20"/>
          <w:szCs w:val="20"/>
        </w:rPr>
      </w:pPr>
      <w:r w:rsidRPr="00BD3368">
        <w:rPr>
          <w:rFonts w:ascii="Garamond" w:hAnsi="Garamond"/>
          <w:sz w:val="20"/>
          <w:szCs w:val="20"/>
        </w:rPr>
        <w:t xml:space="preserve">Udhëzimi me të verdhë - ndiqni udhëzimin, hidhni informacionin e kërkuar ose trajtoni temën, pastaj fshini udhëzimin me të verdhë brenda kllapave </w:t>
      </w:r>
    </w:p>
    <w:p w14:paraId="4FD3E34A" w14:textId="195FD648" w:rsidR="00E528B3" w:rsidRPr="00BD3368" w:rsidRDefault="00E528B3" w:rsidP="009C2266">
      <w:pPr>
        <w:pStyle w:val="Subtitle"/>
        <w:spacing w:after="0"/>
        <w:jc w:val="both"/>
        <w:rPr>
          <w:rFonts w:ascii="Garamond" w:hAnsi="Garamond"/>
          <w:sz w:val="20"/>
          <w:szCs w:val="20"/>
        </w:rPr>
      </w:pPr>
      <w:r w:rsidRPr="00BD3368">
        <w:rPr>
          <w:rFonts w:ascii="Garamond" w:hAnsi="Garamond"/>
          <w:sz w:val="20"/>
          <w:szCs w:val="20"/>
        </w:rPr>
        <w:t xml:space="preserve">Udhëzimi me gri - zgjidhni opsionin përkatës dhe fshini ato që </w:t>
      </w:r>
      <w:r w:rsidRPr="00E64173">
        <w:rPr>
          <w:rFonts w:ascii="Garamond" w:hAnsi="Garamond"/>
          <w:sz w:val="20"/>
          <w:szCs w:val="20"/>
        </w:rPr>
        <w:t>nuk kanë lidhje.</w:t>
      </w:r>
    </w:p>
  </w:footnote>
  <w:footnote w:id="105">
    <w:p w14:paraId="0EC37271" w14:textId="19C811A0" w:rsidR="00E528B3" w:rsidRPr="00BD3368" w:rsidRDefault="00E528B3" w:rsidP="009C2266">
      <w:pPr>
        <w:pStyle w:val="Subtitle"/>
        <w:spacing w:after="0"/>
        <w:jc w:val="both"/>
        <w:rPr>
          <w:rFonts w:ascii="Garamond" w:hAnsi="Garamond"/>
          <w:sz w:val="20"/>
          <w:szCs w:val="20"/>
        </w:rPr>
      </w:pPr>
      <w:r w:rsidRPr="00BD3368">
        <w:rPr>
          <w:rStyle w:val="FootnoteReference"/>
          <w:rFonts w:ascii="Garamond" w:hAnsi="Garamond"/>
          <w:sz w:val="20"/>
          <w:szCs w:val="20"/>
        </w:rPr>
        <w:footnoteRef/>
      </w:r>
      <w:r w:rsidRPr="00BD3368">
        <w:rPr>
          <w:rFonts w:ascii="Garamond" w:hAnsi="Garamond"/>
          <w:sz w:val="20"/>
          <w:szCs w:val="20"/>
        </w:rPr>
        <w:t xml:space="preserve"> Fushat prioritare: 1) Transporti (lidhur me Etiketën e IPA III “Transport i qëndrueshëm”)</w:t>
      </w:r>
      <w:r>
        <w:rPr>
          <w:rFonts w:ascii="Garamond" w:hAnsi="Garamond"/>
          <w:sz w:val="20"/>
          <w:szCs w:val="20"/>
        </w:rPr>
        <w:t>;</w:t>
      </w:r>
      <w:r w:rsidRPr="00BD3368">
        <w:rPr>
          <w:rFonts w:ascii="Garamond" w:hAnsi="Garamond"/>
          <w:sz w:val="20"/>
          <w:szCs w:val="20"/>
        </w:rPr>
        <w:t xml:space="preserve"> 2) Energjia (lidhur me Etiketën e IPA III “Energji e pastër”)</w:t>
      </w:r>
      <w:r>
        <w:rPr>
          <w:rFonts w:ascii="Garamond" w:hAnsi="Garamond"/>
          <w:sz w:val="20"/>
          <w:szCs w:val="20"/>
        </w:rPr>
        <w:t>;</w:t>
      </w:r>
      <w:r w:rsidRPr="00BD3368">
        <w:rPr>
          <w:rFonts w:ascii="Garamond" w:hAnsi="Garamond"/>
          <w:sz w:val="20"/>
          <w:szCs w:val="20"/>
        </w:rPr>
        <w:t xml:space="preserve"> 3) Mjedisi dhe përshtatja me klimën (lidhur me Etiketën e IPA III “Agjenda e gjelbër”)</w:t>
      </w:r>
      <w:r>
        <w:rPr>
          <w:rFonts w:ascii="Garamond" w:hAnsi="Garamond"/>
          <w:sz w:val="20"/>
          <w:szCs w:val="20"/>
        </w:rPr>
        <w:t>;</w:t>
      </w:r>
      <w:r w:rsidRPr="00BD3368">
        <w:rPr>
          <w:rFonts w:ascii="Garamond" w:hAnsi="Garamond"/>
          <w:sz w:val="20"/>
          <w:szCs w:val="20"/>
        </w:rPr>
        <w:t xml:space="preserve"> 4) Zhvillimi </w:t>
      </w:r>
      <w:r>
        <w:rPr>
          <w:rFonts w:ascii="Garamond" w:hAnsi="Garamond"/>
          <w:sz w:val="20"/>
          <w:szCs w:val="20"/>
        </w:rPr>
        <w:t>d</w:t>
      </w:r>
      <w:r w:rsidRPr="00BD3368">
        <w:rPr>
          <w:rFonts w:ascii="Garamond" w:hAnsi="Garamond"/>
          <w:sz w:val="20"/>
          <w:szCs w:val="20"/>
        </w:rPr>
        <w:t>igjital (lidhur me Etiketën e IPA III “Agjenda Digjitale”)</w:t>
      </w:r>
      <w:r>
        <w:rPr>
          <w:rFonts w:ascii="Garamond" w:hAnsi="Garamond"/>
          <w:sz w:val="20"/>
          <w:szCs w:val="20"/>
        </w:rPr>
        <w:t>;</w:t>
      </w:r>
      <w:r w:rsidRPr="00BD3368">
        <w:rPr>
          <w:rFonts w:ascii="Garamond" w:hAnsi="Garamond"/>
          <w:sz w:val="20"/>
          <w:szCs w:val="20"/>
        </w:rPr>
        <w:t xml:space="preserve"> 5) Zhvillimi ekonomik (përfsh. sektorin privat, tregtinë dhe mbështetjen makroekonomike) (lidhur me Pikën IPA III “Rritja e zhvillimit të sektorit privat” dhe “Integrimi ekonomik rajonal”), 6) Zhvillimi njerëzor (përfsh. kapitalin njerëzor dhe rininë) (lidhur me </w:t>
      </w:r>
      <w:r>
        <w:rPr>
          <w:rFonts w:ascii="Garamond" w:hAnsi="Garamond"/>
          <w:sz w:val="20"/>
          <w:szCs w:val="20"/>
        </w:rPr>
        <w:t>p</w:t>
      </w:r>
      <w:r w:rsidRPr="00BD3368">
        <w:rPr>
          <w:rFonts w:ascii="Garamond" w:hAnsi="Garamond"/>
          <w:sz w:val="20"/>
          <w:szCs w:val="20"/>
        </w:rPr>
        <w:t>ikën IPA III “Kapitali njerëzor” dhe “Inovacioni”)</w:t>
      </w:r>
      <w:r>
        <w:rPr>
          <w:rFonts w:ascii="Garamond" w:hAnsi="Garamond"/>
          <w:sz w:val="20"/>
          <w:szCs w:val="20"/>
        </w:rPr>
        <w:t>;</w:t>
      </w:r>
      <w:r w:rsidRPr="00BD3368">
        <w:rPr>
          <w:rFonts w:ascii="Garamond" w:hAnsi="Garamond"/>
          <w:sz w:val="20"/>
          <w:szCs w:val="20"/>
        </w:rPr>
        <w:t xml:space="preserve"> 7) Përshtatja me sistemin shëndetësor</w:t>
      </w:r>
      <w:r>
        <w:rPr>
          <w:rFonts w:ascii="Garamond" w:hAnsi="Garamond"/>
          <w:sz w:val="20"/>
          <w:szCs w:val="20"/>
        </w:rPr>
        <w:t>;</w:t>
      </w:r>
      <w:r w:rsidRPr="00BD3368">
        <w:rPr>
          <w:rFonts w:ascii="Garamond" w:hAnsi="Garamond"/>
          <w:sz w:val="20"/>
          <w:szCs w:val="20"/>
        </w:rPr>
        <w:t xml:space="preserve"> 8) Migracioni dhe Lëvizshmëria</w:t>
      </w:r>
      <w:r>
        <w:rPr>
          <w:rFonts w:ascii="Garamond" w:hAnsi="Garamond"/>
          <w:sz w:val="20"/>
          <w:szCs w:val="20"/>
        </w:rPr>
        <w:t>;</w:t>
      </w:r>
      <w:r w:rsidRPr="00BD3368">
        <w:rPr>
          <w:rFonts w:ascii="Garamond" w:hAnsi="Garamond"/>
          <w:sz w:val="20"/>
          <w:szCs w:val="20"/>
        </w:rPr>
        <w:t xml:space="preserve"> 9) Bujqësia, siguria ushqimore dhe zhvillimi rural</w:t>
      </w:r>
      <w:r>
        <w:rPr>
          <w:rFonts w:ascii="Garamond" w:hAnsi="Garamond"/>
          <w:sz w:val="20"/>
          <w:szCs w:val="20"/>
        </w:rPr>
        <w:t>;</w:t>
      </w:r>
      <w:r w:rsidRPr="00BD3368">
        <w:rPr>
          <w:rFonts w:ascii="Garamond" w:hAnsi="Garamond"/>
          <w:sz w:val="20"/>
          <w:szCs w:val="20"/>
        </w:rPr>
        <w:t xml:space="preserve"> 10) Sundimi i ligjit, qeverisja dhe reforma e administratës publike (lidhur me pikën IPA III “Sundimi i ligjit, qeverisja dhe RAP”</w:t>
      </w:r>
      <w:r>
        <w:rPr>
          <w:rFonts w:ascii="Garamond" w:hAnsi="Garamond"/>
          <w:sz w:val="20"/>
          <w:szCs w:val="20"/>
        </w:rPr>
        <w:t>;</w:t>
      </w:r>
      <w:r w:rsidRPr="00BD3368">
        <w:rPr>
          <w:rFonts w:ascii="Garamond" w:hAnsi="Garamond"/>
          <w:sz w:val="20"/>
          <w:szCs w:val="20"/>
        </w:rPr>
        <w:t xml:space="preserve"> 11) Tjetër.</w:t>
      </w:r>
    </w:p>
  </w:footnote>
  <w:footnote w:id="106">
    <w:p w14:paraId="7B0A0362" w14:textId="218E83B0" w:rsidR="00E528B3" w:rsidRPr="00BD3368" w:rsidRDefault="00E528B3" w:rsidP="009C2266">
      <w:pPr>
        <w:pStyle w:val="Subtitle"/>
        <w:spacing w:after="0"/>
        <w:jc w:val="both"/>
        <w:rPr>
          <w:rFonts w:ascii="Garamond" w:hAnsi="Garamond"/>
          <w:sz w:val="20"/>
          <w:szCs w:val="20"/>
        </w:rPr>
      </w:pPr>
      <w:r w:rsidRPr="00BD3368">
        <w:rPr>
          <w:rStyle w:val="FootnoteReference"/>
          <w:rFonts w:ascii="Garamond" w:hAnsi="Garamond"/>
          <w:sz w:val="20"/>
          <w:szCs w:val="20"/>
        </w:rPr>
        <w:footnoteRef/>
      </w:r>
      <w:r w:rsidRPr="00BD3368">
        <w:rPr>
          <w:rFonts w:ascii="Garamond" w:hAnsi="Garamond"/>
          <w:sz w:val="20"/>
          <w:szCs w:val="20"/>
        </w:rPr>
        <w:t xml:space="preserve"> Pjesa e fushave prioritare duket të lidhet me nënetiketimet e PEI NEAR: Transporti, energjia, mjedisi dhe përshtatja me klimën, zhvillimi digjital, zhvillimi ekonomik (përfsh. sektorin privat, tregtinë dhe mbështetjen makroekonomike), zhvillimi njerëzor (përfsh. kapitalin njerëzor dhe rininë), përshtatja me sistemin shëndetësor, migracioni dhe lëvizshmëria, bujqësia, siguria ushqimore dhe zhvillimi rural, sundimi i ligjit, qeverisja dhe reforma e administratës publike, tjetër.</w:t>
      </w:r>
    </w:p>
  </w:footnote>
  <w:footnote w:id="107">
    <w:p w14:paraId="4A30B87E" w14:textId="467504EF" w:rsidR="00E528B3" w:rsidRPr="00BD3368" w:rsidRDefault="00E528B3" w:rsidP="009C2266">
      <w:pPr>
        <w:pStyle w:val="Text1"/>
        <w:spacing w:before="0" w:after="0"/>
        <w:ind w:left="0"/>
        <w:rPr>
          <w:rFonts w:ascii="Garamond" w:hAnsi="Garamond"/>
          <w:sz w:val="20"/>
        </w:rPr>
      </w:pPr>
      <w:r w:rsidRPr="00BD3368">
        <w:rPr>
          <w:rStyle w:val="FootnoteReference"/>
          <w:rFonts w:ascii="Garamond" w:eastAsia="DengXian" w:hAnsi="Garamond"/>
          <w:sz w:val="20"/>
        </w:rPr>
        <w:footnoteRef/>
      </w:r>
      <w:r w:rsidRPr="00BD3368">
        <w:rPr>
          <w:rFonts w:ascii="Garamond" w:hAnsi="Garamond"/>
          <w:sz w:val="20"/>
        </w:rPr>
        <w:t xml:space="preserve"> </w:t>
      </w:r>
      <w:bookmarkStart w:id="66" w:name="_Hlk115183886"/>
      <w:r w:rsidRPr="00BD3368">
        <w:rPr>
          <w:rFonts w:ascii="Garamond" w:hAnsi="Garamond"/>
          <w:sz w:val="20"/>
        </w:rPr>
        <w:t xml:space="preserve">Sektorët (kodet dhe përshkrimet) e Komitetit të Asistencës për Zhvillim (DAC) tregohen në shtyllën e parë dhe të katërt të qelizës “kodet objektive” në dokumentin më poshtë: </w:t>
      </w:r>
      <w:hyperlink r:id="rId52" w:history="1">
        <w:r w:rsidRPr="00BD3368">
          <w:rPr>
            <w:rStyle w:val="Hyperlink"/>
            <w:rFonts w:ascii="Garamond" w:hAnsi="Garamond"/>
            <w:sz w:val="20"/>
          </w:rPr>
          <w:t>DAC and CRS code lists - OECD</w:t>
        </w:r>
      </w:hyperlink>
      <w:r w:rsidRPr="00BD3368">
        <w:rPr>
          <w:rFonts w:ascii="Garamond" w:hAnsi="Garamond"/>
          <w:sz w:val="20"/>
        </w:rPr>
        <w:t xml:space="preserve"> </w:t>
      </w:r>
      <w:bookmarkEnd w:id="66"/>
    </w:p>
  </w:footnote>
  <w:footnote w:id="108">
    <w:p w14:paraId="4A229735" w14:textId="26721338" w:rsidR="00E528B3" w:rsidRPr="00BD3368" w:rsidRDefault="00E528B3" w:rsidP="009C2266">
      <w:pPr>
        <w:pStyle w:val="Text1"/>
        <w:spacing w:before="0" w:after="0"/>
        <w:ind w:left="0"/>
        <w:rPr>
          <w:rFonts w:ascii="Garamond" w:hAnsi="Garamond"/>
          <w:sz w:val="20"/>
        </w:rPr>
      </w:pPr>
      <w:r w:rsidRPr="00BD3368">
        <w:rPr>
          <w:rFonts w:ascii="Garamond" w:hAnsi="Garamond"/>
          <w:sz w:val="20"/>
          <w:vertAlign w:val="superscript"/>
        </w:rPr>
        <w:footnoteRef/>
      </w:r>
      <w:r w:rsidRPr="00BD3368">
        <w:rPr>
          <w:rFonts w:ascii="Garamond" w:hAnsi="Garamond"/>
          <w:sz w:val="20"/>
        </w:rPr>
        <w:t xml:space="preserve"> Për orientim shihni </w:t>
      </w:r>
      <w:hyperlink r:id="rId53" w:history="1">
        <w:r w:rsidRPr="00BD3368">
          <w:rPr>
            <w:rStyle w:val="Hyperlink"/>
            <w:rFonts w:ascii="Garamond" w:hAnsi="Garamond"/>
            <w:sz w:val="20"/>
          </w:rPr>
          <w:t>https://www.oecd.org/development/financing-sustainable-development/development-finance-standards/</w:t>
        </w:r>
      </w:hyperlink>
      <w:r w:rsidRPr="00BD3368">
        <w:rPr>
          <w:rFonts w:ascii="Garamond" w:hAnsi="Garamond"/>
          <w:color w:val="1F497D"/>
          <w:sz w:val="20"/>
        </w:rPr>
        <w:t xml:space="preserve"> </w:t>
      </w:r>
      <w:r w:rsidRPr="00BD3368">
        <w:rPr>
          <w:rFonts w:ascii="Garamond" w:hAnsi="Garamond"/>
          <w:sz w:val="20"/>
        </w:rPr>
        <w:t>Shkoni te “</w:t>
      </w:r>
      <w:r w:rsidRPr="00B10CE8">
        <w:rPr>
          <w:rFonts w:ascii="Garamond" w:hAnsi="Garamond"/>
          <w:i/>
          <w:sz w:val="20"/>
        </w:rPr>
        <w:t>Data collection and resources for reporters</w:t>
      </w:r>
      <w:r w:rsidRPr="00BD3368">
        <w:rPr>
          <w:rFonts w:ascii="Garamond" w:hAnsi="Garamond"/>
          <w:sz w:val="20"/>
        </w:rPr>
        <w:t xml:space="preserve">”, përzgjidhni </w:t>
      </w:r>
      <w:r>
        <w:rPr>
          <w:rFonts w:ascii="Garamond" w:hAnsi="Garamond"/>
          <w:sz w:val="20"/>
        </w:rPr>
        <w:t>s</w:t>
      </w:r>
      <w:r w:rsidRPr="00BD3368">
        <w:rPr>
          <w:rFonts w:ascii="Garamond" w:hAnsi="Garamond"/>
          <w:sz w:val="20"/>
        </w:rPr>
        <w:t>htojca 2, anekset 18 (politika) dhe 19 (Rio) e direktivës së raportimit.</w:t>
      </w:r>
    </w:p>
    <w:p w14:paraId="2C0FB980" w14:textId="19E4B218" w:rsidR="00E528B3" w:rsidRPr="00BD3368" w:rsidRDefault="00E528B3" w:rsidP="009C2266">
      <w:pPr>
        <w:pStyle w:val="Text1"/>
        <w:spacing w:before="0" w:after="0"/>
        <w:ind w:left="0"/>
        <w:rPr>
          <w:rFonts w:ascii="Garamond" w:hAnsi="Garamond"/>
          <w:color w:val="1F497D"/>
          <w:sz w:val="20"/>
        </w:rPr>
      </w:pPr>
      <w:r w:rsidRPr="00BD3368">
        <w:rPr>
          <w:rFonts w:ascii="Garamond" w:hAnsi="Garamond"/>
          <w:sz w:val="20"/>
        </w:rPr>
        <w:t>Nëse një projekt në formularin DAC shënohet si i tillë që kontribuon në një nga objektivat e përgjithshëm të politikave ose për parimet RIO si objektivi parësor ose i rëndësishëm, atëherë kjo duhet të pasqyrohet në matricën e kuadrit logjik (</w:t>
      </w:r>
      <w:r w:rsidRPr="001B7903">
        <w:rPr>
          <w:rFonts w:ascii="Garamond" w:hAnsi="Garamond"/>
          <w:i/>
          <w:sz w:val="20"/>
        </w:rPr>
        <w:t>logframe</w:t>
      </w:r>
      <w:r w:rsidRPr="00BD3368">
        <w:rPr>
          <w:rFonts w:ascii="Garamond" w:hAnsi="Garamond"/>
          <w:sz w:val="20"/>
        </w:rPr>
        <w:t>) (në zinxhirin e rezultatit dhe/ose treguesit).</w:t>
      </w:r>
    </w:p>
  </w:footnote>
  <w:footnote w:id="109">
    <w:p w14:paraId="724C36E4" w14:textId="77777777" w:rsidR="00E528B3" w:rsidRPr="00BD3368" w:rsidRDefault="00E528B3" w:rsidP="009C2266">
      <w:pPr>
        <w:pStyle w:val="Text1"/>
        <w:spacing w:before="0" w:after="0"/>
        <w:ind w:left="0"/>
        <w:rPr>
          <w:rFonts w:ascii="Garamond" w:hAnsi="Garamond"/>
          <w:sz w:val="20"/>
        </w:rPr>
      </w:pPr>
      <w:r w:rsidRPr="00BD3368">
        <w:rPr>
          <w:rStyle w:val="FootnoteReference"/>
          <w:rFonts w:ascii="Garamond" w:eastAsia="DengXian" w:hAnsi="Garamond"/>
          <w:sz w:val="20"/>
        </w:rPr>
        <w:footnoteRef/>
      </w:r>
      <w:r w:rsidRPr="00BD3368">
        <w:rPr>
          <w:rFonts w:ascii="Garamond" w:hAnsi="Garamond"/>
          <w:sz w:val="20"/>
        </w:rPr>
        <w:t xml:space="preserve"> Luteni të shihni </w:t>
      </w:r>
      <w:hyperlink r:id="rId54" w:history="1">
        <w:r w:rsidRPr="00BD3368">
          <w:rPr>
            <w:rStyle w:val="Hyperlink"/>
            <w:rFonts w:ascii="Garamond" w:hAnsi="Garamond"/>
            <w:sz w:val="20"/>
          </w:rPr>
          <w:t>Handbook on the OECD-DAC Nutrition Policy Marker</w:t>
        </w:r>
      </w:hyperlink>
      <w:r w:rsidRPr="00BD3368">
        <w:rPr>
          <w:rStyle w:val="Hyperlink"/>
          <w:rFonts w:ascii="Garamond" w:hAnsi="Garamond"/>
          <w:sz w:val="20"/>
        </w:rPr>
        <w:t>.</w:t>
      </w:r>
    </w:p>
  </w:footnote>
  <w:footnote w:id="110">
    <w:p w14:paraId="70E2CF66" w14:textId="75911536" w:rsidR="00E528B3" w:rsidRPr="00BD3368" w:rsidRDefault="00E528B3" w:rsidP="00B10CE8">
      <w:pPr>
        <w:pStyle w:val="Caption"/>
        <w:spacing w:after="0"/>
        <w:jc w:val="both"/>
        <w:rPr>
          <w:rFonts w:ascii="Garamond" w:hAnsi="Garamond"/>
          <w:b w:val="0"/>
          <w:bCs w:val="0"/>
          <w:smallCaps w:val="0"/>
          <w:color w:val="auto"/>
          <w:sz w:val="20"/>
          <w:szCs w:val="20"/>
        </w:rPr>
      </w:pPr>
      <w:r w:rsidRPr="00BD3368">
        <w:rPr>
          <w:rStyle w:val="FootnoteReference"/>
          <w:rFonts w:ascii="Garamond" w:hAnsi="Garamond"/>
          <w:b w:val="0"/>
          <w:bCs w:val="0"/>
          <w:sz w:val="20"/>
          <w:szCs w:val="20"/>
        </w:rPr>
        <w:footnoteRef/>
      </w:r>
      <w:r w:rsidRPr="00BD3368">
        <w:rPr>
          <w:rFonts w:ascii="Garamond" w:hAnsi="Garamond"/>
          <w:b w:val="0"/>
          <w:bCs w:val="0"/>
          <w:sz w:val="20"/>
          <w:szCs w:val="20"/>
        </w:rPr>
        <w:t xml:space="preserve"> </w:t>
      </w:r>
      <w:r w:rsidRPr="00BD3368">
        <w:rPr>
          <w:rFonts w:ascii="Garamond" w:hAnsi="Garamond"/>
          <w:b w:val="0"/>
          <w:bCs w:val="0"/>
          <w:smallCaps w:val="0"/>
          <w:color w:val="auto"/>
          <w:sz w:val="20"/>
          <w:szCs w:val="20"/>
        </w:rPr>
        <w:t>Këta tregues kanë objekt/arsye tjetër nga kodet DAC. ato janë nxjerrë nga niveli i alokimit të buxhetit dhe theksi vendoset te projekti në lidhje me objektin/objektivat kryesor</w:t>
      </w:r>
      <w:r>
        <w:rPr>
          <w:rFonts w:ascii="Garamond" w:hAnsi="Garamond"/>
          <w:b w:val="0"/>
          <w:bCs w:val="0"/>
          <w:smallCaps w:val="0"/>
          <w:color w:val="auto"/>
          <w:sz w:val="20"/>
          <w:szCs w:val="20"/>
        </w:rPr>
        <w:t>ë</w:t>
      </w:r>
      <w:r w:rsidRPr="00BD3368">
        <w:rPr>
          <w:rFonts w:ascii="Garamond" w:hAnsi="Garamond"/>
          <w:b w:val="0"/>
          <w:bCs w:val="0"/>
          <w:smallCaps w:val="0"/>
          <w:color w:val="auto"/>
          <w:sz w:val="20"/>
          <w:szCs w:val="20"/>
        </w:rPr>
        <w:t>/e të përzgjedhur/a. Përcaktimi i objektivave, rezultateve, aktiviteteve në përshkrimin e projektit duhet të jetë në përputhje me këtë pjesë.</w:t>
      </w:r>
    </w:p>
  </w:footnote>
  <w:footnote w:id="111">
    <w:p w14:paraId="483B5E96" w14:textId="3BC8C8D6" w:rsidR="00E528B3" w:rsidRPr="00BD3368" w:rsidRDefault="00E528B3" w:rsidP="00B10CE8">
      <w:pPr>
        <w:pStyle w:val="FootnoteText"/>
        <w:jc w:val="both"/>
        <w:rPr>
          <w:rFonts w:ascii="Garamond" w:hAnsi="Garamond"/>
          <w:bCs/>
          <w:lang w:val="sq-AL"/>
        </w:rPr>
      </w:pPr>
      <w:r w:rsidRPr="00BD3368">
        <w:rPr>
          <w:rStyle w:val="FootnoteReference"/>
          <w:rFonts w:ascii="Garamond" w:eastAsia="DengXian" w:hAnsi="Garamond"/>
          <w:bCs/>
          <w:lang w:val="sq-AL"/>
        </w:rPr>
        <w:footnoteRef/>
      </w:r>
      <w:r w:rsidRPr="00BD3368">
        <w:rPr>
          <w:rFonts w:ascii="Garamond" w:hAnsi="Garamond"/>
          <w:bCs/>
          <w:lang w:val="sq-AL"/>
        </w:rPr>
        <w:t xml:space="preserve"> Cili angazhim është Objektiv parësor ose Objektiv i Rëndësishëm, luteni të tregoni titullin përkatës duke përzgjedhur “PO” ose “JO”.</w:t>
      </w:r>
    </w:p>
  </w:footnote>
  <w:footnote w:id="112">
    <w:p w14:paraId="28A874F0" w14:textId="2F708F55" w:rsidR="00E528B3" w:rsidRPr="00BD3368" w:rsidRDefault="00E528B3" w:rsidP="009C2266">
      <w:pPr>
        <w:pStyle w:val="FootnoteText"/>
        <w:rPr>
          <w:rFonts w:ascii="Garamond" w:hAnsi="Garamond"/>
          <w:bCs/>
          <w:lang w:val="sq-AL"/>
        </w:rPr>
      </w:pPr>
      <w:r w:rsidRPr="00BD3368">
        <w:rPr>
          <w:rStyle w:val="FootnoteReference"/>
          <w:rFonts w:ascii="Garamond" w:eastAsia="DengXian" w:hAnsi="Garamond"/>
          <w:bCs/>
          <w:lang w:val="sq-AL"/>
        </w:rPr>
        <w:footnoteRef/>
      </w:r>
      <w:r w:rsidRPr="00BD3368">
        <w:rPr>
          <w:rFonts w:ascii="Garamond" w:hAnsi="Garamond"/>
          <w:bCs/>
          <w:lang w:val="sq-AL"/>
        </w:rPr>
        <w:t xml:space="preserve"> Siç e kërkon aplikimi për projekt madhor</w:t>
      </w:r>
      <w:r>
        <w:rPr>
          <w:rFonts w:ascii="Garamond" w:hAnsi="Garamond"/>
          <w:bCs/>
          <w:lang w:val="sq-AL"/>
        </w:rPr>
        <w:t>.</w:t>
      </w:r>
    </w:p>
  </w:footnote>
  <w:footnote w:id="113">
    <w:p w14:paraId="619AE9DC" w14:textId="0C3774E4" w:rsidR="00E528B3" w:rsidRPr="00BD3368" w:rsidRDefault="00E528B3" w:rsidP="009C2266">
      <w:pPr>
        <w:pStyle w:val="FootnoteText"/>
        <w:rPr>
          <w:rFonts w:ascii="Garamond" w:hAnsi="Garamond"/>
          <w:sz w:val="22"/>
          <w:lang w:val="sq-AL"/>
        </w:rPr>
      </w:pPr>
      <w:r w:rsidRPr="00BD3368">
        <w:rPr>
          <w:rStyle w:val="FootnoteReference"/>
          <w:rFonts w:ascii="Garamond" w:eastAsia="DengXian" w:hAnsi="Garamond"/>
          <w:bCs/>
          <w:lang w:val="sq-AL"/>
        </w:rPr>
        <w:footnoteRef/>
      </w:r>
      <w:r w:rsidRPr="00BD3368">
        <w:rPr>
          <w:rFonts w:ascii="Garamond" w:hAnsi="Garamond"/>
          <w:bCs/>
          <w:lang w:val="sq-AL"/>
        </w:rPr>
        <w:t xml:space="preserve"> Sipas vendimit përkatës të Komisionit</w:t>
      </w:r>
      <w:r>
        <w:rPr>
          <w:rFonts w:ascii="Garamond" w:hAnsi="Garamond"/>
          <w:bCs/>
          <w:lang w:val="sq-AL"/>
        </w:rPr>
        <w:t>.</w:t>
      </w:r>
      <w:r w:rsidRPr="00BD3368">
        <w:rPr>
          <w:rFonts w:ascii="Garamond" w:hAnsi="Garamond"/>
          <w:sz w:val="22"/>
          <w:lang w:val="sq-AL"/>
        </w:rPr>
        <w:t xml:space="preserve"> </w:t>
      </w:r>
    </w:p>
  </w:footnote>
  <w:footnote w:id="114">
    <w:p w14:paraId="0F0A927D" w14:textId="0F84964C" w:rsidR="00E528B3" w:rsidRPr="00BD3368" w:rsidRDefault="00E528B3" w:rsidP="009C2266">
      <w:pPr>
        <w:pStyle w:val="FootnoteText"/>
        <w:rPr>
          <w:rFonts w:ascii="Garamond" w:hAnsi="Garamond"/>
          <w:szCs w:val="18"/>
          <w:lang w:val="sq-AL"/>
        </w:rPr>
      </w:pPr>
      <w:r w:rsidRPr="00BD3368">
        <w:rPr>
          <w:rStyle w:val="FootnoteReference"/>
          <w:rFonts w:ascii="Garamond" w:eastAsia="DengXian" w:hAnsi="Garamond"/>
          <w:szCs w:val="18"/>
          <w:lang w:val="sq-AL"/>
        </w:rPr>
        <w:footnoteRef/>
      </w:r>
      <w:r w:rsidRPr="00BD3368">
        <w:rPr>
          <w:rFonts w:ascii="Garamond" w:hAnsi="Garamond"/>
          <w:szCs w:val="18"/>
          <w:lang w:val="sq-AL"/>
        </w:rPr>
        <w:t xml:space="preserve"> Projekti duhet të kontribuojë në arritjen e objektivave të Programit Operacional</w:t>
      </w:r>
      <w:r w:rsidRPr="00BD3368">
        <w:rPr>
          <w:rFonts w:ascii="Garamond" w:hAnsi="Garamond"/>
          <w:i/>
          <w:szCs w:val="18"/>
          <w:lang w:val="sq-AL"/>
        </w:rPr>
        <w:t xml:space="preserve"> </w:t>
      </w:r>
      <w:r w:rsidRPr="00BD3368">
        <w:rPr>
          <w:rFonts w:ascii="Garamond" w:hAnsi="Garamond"/>
          <w:szCs w:val="18"/>
          <w:lang w:val="sq-AL"/>
        </w:rPr>
        <w:t>Shumëvjeçar përkatës</w:t>
      </w:r>
      <w:r>
        <w:rPr>
          <w:rFonts w:ascii="Garamond" w:hAnsi="Garamond"/>
          <w:szCs w:val="18"/>
          <w:lang w:val="sq-AL"/>
        </w:rPr>
        <w:t>.</w:t>
      </w:r>
      <w:r w:rsidRPr="00BD3368">
        <w:rPr>
          <w:rFonts w:ascii="Garamond" w:hAnsi="Garamond"/>
          <w:szCs w:val="18"/>
          <w:lang w:val="sq-AL"/>
        </w:rPr>
        <w:t xml:space="preserve"> </w:t>
      </w:r>
    </w:p>
  </w:footnote>
  <w:footnote w:id="115">
    <w:p w14:paraId="23A278AA" w14:textId="77777777" w:rsidR="00E528B3" w:rsidRPr="00BD3368" w:rsidRDefault="00E528B3" w:rsidP="009C2266">
      <w:pPr>
        <w:pStyle w:val="FootnoteText"/>
        <w:rPr>
          <w:rFonts w:ascii="Garamond" w:hAnsi="Garamond"/>
          <w:lang w:val="sq-AL"/>
        </w:rPr>
      </w:pPr>
      <w:r w:rsidRPr="00BD3368">
        <w:rPr>
          <w:rStyle w:val="FootnoteReference"/>
          <w:rFonts w:ascii="Garamond" w:eastAsia="DengXian" w:hAnsi="Garamond"/>
          <w:lang w:val="sq-AL"/>
        </w:rPr>
        <w:footnoteRef/>
      </w:r>
      <w:r w:rsidRPr="00BD3368">
        <w:rPr>
          <w:rFonts w:ascii="Garamond" w:hAnsi="Garamond"/>
          <w:lang w:val="sq-AL"/>
        </w:rPr>
        <w:t xml:space="preserve"> </w:t>
      </w:r>
      <w:hyperlink r:id="rId55" w:history="1">
        <w:r w:rsidRPr="00BD3368">
          <w:rPr>
            <w:rStyle w:val="Hyperlink"/>
            <w:rFonts w:ascii="Garamond" w:hAnsi="Garamond"/>
            <w:lang w:val="sq-AL"/>
          </w:rPr>
          <w:t>Commission Notice — Technical guidance on the climate proofing of infrastructure in the period 2021-2027 - Publications Office of the EU (europa.eu)</w:t>
        </w:r>
      </w:hyperlink>
    </w:p>
  </w:footnote>
  <w:footnote w:id="116">
    <w:p w14:paraId="2AFBCE87" w14:textId="4C53299E" w:rsidR="00E528B3" w:rsidRPr="00BD3368" w:rsidRDefault="00E528B3" w:rsidP="009C2266">
      <w:pPr>
        <w:pStyle w:val="FootnoteText"/>
        <w:rPr>
          <w:rFonts w:ascii="Garamond" w:hAnsi="Garamond"/>
          <w:lang w:val="sq-AL"/>
        </w:rPr>
      </w:pPr>
      <w:r w:rsidRPr="00BD3368">
        <w:rPr>
          <w:rStyle w:val="FootnoteReference"/>
          <w:rFonts w:ascii="Garamond" w:eastAsia="DengXian" w:hAnsi="Garamond"/>
          <w:lang w:val="sq-AL"/>
        </w:rPr>
        <w:footnoteRef/>
      </w:r>
      <w:r w:rsidRPr="00BD3368">
        <w:rPr>
          <w:rFonts w:ascii="Garamond" w:hAnsi="Garamond"/>
          <w:lang w:val="sq-AL"/>
        </w:rPr>
        <w:t xml:space="preserve"> Shtoni një zë për çdo leje, p</w:t>
      </w:r>
      <w:r>
        <w:rPr>
          <w:rFonts w:ascii="Garamond" w:hAnsi="Garamond"/>
          <w:lang w:val="sq-AL"/>
        </w:rPr>
        <w:t>.</w:t>
      </w:r>
      <w:r w:rsidRPr="00BD3368">
        <w:rPr>
          <w:rFonts w:ascii="Garamond" w:hAnsi="Garamond"/>
          <w:lang w:val="sq-AL"/>
        </w:rPr>
        <w:t>sh</w:t>
      </w:r>
      <w:r>
        <w:rPr>
          <w:rFonts w:ascii="Garamond" w:hAnsi="Garamond"/>
          <w:lang w:val="sq-AL"/>
        </w:rPr>
        <w:t>.,</w:t>
      </w:r>
      <w:r w:rsidRPr="00BD3368">
        <w:rPr>
          <w:rFonts w:ascii="Garamond" w:hAnsi="Garamond"/>
          <w:lang w:val="sq-AL"/>
        </w:rPr>
        <w:t xml:space="preserve"> leje ndërtimi, leje për nxjerrjen e ujit etj.</w:t>
      </w:r>
    </w:p>
  </w:footnote>
  <w:footnote w:id="117">
    <w:p w14:paraId="192ED06F" w14:textId="77777777" w:rsidR="00E528B3" w:rsidRPr="00BD3368" w:rsidRDefault="00E528B3" w:rsidP="00F93F1E">
      <w:pPr>
        <w:spacing w:after="0"/>
        <w:rPr>
          <w:rFonts w:ascii="Garamond" w:hAnsi="Garamond"/>
          <w:sz w:val="20"/>
          <w:szCs w:val="20"/>
        </w:rPr>
      </w:pPr>
      <w:r w:rsidRPr="00BD3368">
        <w:rPr>
          <w:rStyle w:val="FootnoteReference"/>
          <w:rFonts w:ascii="Garamond" w:hAnsi="Garamond"/>
        </w:rPr>
        <w:footnoteRef/>
      </w:r>
      <w:r w:rsidRPr="00BD3368">
        <w:rPr>
          <w:rFonts w:ascii="Garamond" w:hAnsi="Garamond"/>
          <w:sz w:val="20"/>
          <w:szCs w:val="20"/>
        </w:rPr>
        <w:t xml:space="preserve"> </w:t>
      </w:r>
      <w:hyperlink r:id="rId56" w:history="1">
        <w:r w:rsidRPr="00BD3368">
          <w:rPr>
            <w:rStyle w:val="Hyperlink"/>
            <w:rFonts w:ascii="Garamond" w:hAnsi="Garamond"/>
            <w:sz w:val="20"/>
            <w:szCs w:val="20"/>
          </w:rPr>
          <w:t>https://ec.europa.eu/regional_policy/sources/docgener/studies/pdf/cba_guide.pdf</w:t>
        </w:r>
      </w:hyperlink>
      <w:r w:rsidRPr="00BD3368">
        <w:rPr>
          <w:rFonts w:ascii="Garamond" w:hAnsi="Garamond"/>
          <w:sz w:val="20"/>
          <w:szCs w:val="20"/>
        </w:rPr>
        <w:t xml:space="preserve"> </w:t>
      </w:r>
    </w:p>
    <w:p w14:paraId="33FEFF6D" w14:textId="0C56A5A5" w:rsidR="00E528B3" w:rsidRPr="00BD3368" w:rsidRDefault="00E528B3" w:rsidP="00F93F1E">
      <w:pPr>
        <w:pStyle w:val="FootnoteText"/>
        <w:rPr>
          <w:rFonts w:ascii="Garamond" w:hAnsi="Garamond"/>
          <w:lang w:val="sq-AL"/>
        </w:rPr>
      </w:pPr>
      <w:hyperlink r:id="rId57" w:history="1">
        <w:r w:rsidRPr="00BD3368">
          <w:rPr>
            <w:rStyle w:val="Hyperlink"/>
            <w:rFonts w:ascii="Garamond" w:hAnsi="Garamond"/>
            <w:lang w:val="sq-AL"/>
          </w:rPr>
          <w:t>https://op.europa.eu/s/yBiT</w:t>
        </w:r>
      </w:hyperlink>
    </w:p>
  </w:footnote>
  <w:footnote w:id="118">
    <w:p w14:paraId="5899CEEA" w14:textId="001F30E2" w:rsidR="00E528B3" w:rsidRPr="00BD3368" w:rsidRDefault="00E528B3" w:rsidP="0003243A">
      <w:pPr>
        <w:pStyle w:val="FootnoteText"/>
        <w:contextualSpacing/>
        <w:jc w:val="both"/>
        <w:rPr>
          <w:rFonts w:ascii="Garamond" w:hAnsi="Garamond"/>
          <w:lang w:val="sq-AL"/>
        </w:rPr>
      </w:pPr>
      <w:r w:rsidRPr="00BD3368">
        <w:rPr>
          <w:rFonts w:ascii="Garamond" w:hAnsi="Garamond"/>
          <w:vertAlign w:val="superscript"/>
          <w:lang w:val="sq-AL"/>
        </w:rPr>
        <w:footnoteRef/>
      </w:r>
      <w:r w:rsidRPr="00BD3368">
        <w:rPr>
          <w:rFonts w:ascii="Garamond" w:hAnsi="Garamond"/>
          <w:lang w:val="sq-AL"/>
        </w:rPr>
        <w:t xml:space="preserve"> “miratimi për zhvillimin” është vendimi i autoritetit ose autoriteteve kompetente (kombëtare) që i jep të drejtën zhvilluesit të vijojë me projektin.</w:t>
      </w:r>
    </w:p>
  </w:footnote>
  <w:footnote w:id="119">
    <w:p w14:paraId="1FA3CA71" w14:textId="3BC4EB07" w:rsidR="00E528B3" w:rsidRPr="00BD3368" w:rsidRDefault="00E528B3" w:rsidP="0003243A">
      <w:pPr>
        <w:pStyle w:val="FootnoteText"/>
        <w:jc w:val="both"/>
        <w:rPr>
          <w:rFonts w:ascii="Garamond" w:hAnsi="Garamond"/>
          <w:lang w:val="sq-AL"/>
        </w:rPr>
      </w:pPr>
      <w:r w:rsidRPr="00BD3368">
        <w:rPr>
          <w:rStyle w:val="FootnoteReference"/>
          <w:rFonts w:ascii="Garamond" w:eastAsia="DengXian" w:hAnsi="Garamond"/>
          <w:lang w:val="sq-AL"/>
        </w:rPr>
        <w:footnoteRef/>
      </w:r>
      <w:r w:rsidRPr="00BD3368">
        <w:rPr>
          <w:rFonts w:ascii="Garamond" w:hAnsi="Garamond"/>
          <w:lang w:val="sq-AL"/>
        </w:rPr>
        <w:t xml:space="preserve"> Shihni </w:t>
      </w:r>
      <w:hyperlink r:id="rId58" w:history="1">
        <w:r w:rsidRPr="00BD3368">
          <w:rPr>
            <w:rStyle w:val="Hyperlink"/>
            <w:rFonts w:ascii="Garamond" w:hAnsi="Garamond"/>
            <w:lang w:val="sq-AL"/>
          </w:rPr>
          <w:t>https://ec.europa.eu/environment/eia/index_en.htm</w:t>
        </w:r>
      </w:hyperlink>
      <w:r w:rsidRPr="00BD3368">
        <w:rPr>
          <w:rFonts w:ascii="Garamond" w:hAnsi="Garamond"/>
          <w:lang w:val="sq-AL"/>
        </w:rPr>
        <w:t>.</w:t>
      </w:r>
    </w:p>
  </w:footnote>
  <w:footnote w:id="120">
    <w:p w14:paraId="699A05F3" w14:textId="254EF802" w:rsidR="00E528B3" w:rsidRPr="00BD3368" w:rsidRDefault="00E528B3" w:rsidP="0003243A">
      <w:pPr>
        <w:pStyle w:val="FootnoteText"/>
        <w:contextualSpacing/>
        <w:jc w:val="both"/>
        <w:rPr>
          <w:rFonts w:ascii="Garamond" w:hAnsi="Garamond"/>
          <w:lang w:val="sq-AL"/>
        </w:rPr>
      </w:pPr>
      <w:r w:rsidRPr="00BD3368">
        <w:rPr>
          <w:rFonts w:ascii="Garamond" w:hAnsi="Garamond"/>
          <w:vertAlign w:val="superscript"/>
          <w:lang w:val="sq-AL"/>
        </w:rPr>
        <w:footnoteRef/>
      </w:r>
      <w:r w:rsidRPr="00BD3368">
        <w:rPr>
          <w:rFonts w:ascii="Garamond" w:hAnsi="Garamond"/>
          <w:lang w:val="sq-AL"/>
        </w:rPr>
        <w:t xml:space="preserve"> - një përshkrim i projektit që përmban informacion mbi vendin, dizajnin dhe madhësinë e projektit</w:t>
      </w:r>
      <w:r>
        <w:rPr>
          <w:rFonts w:ascii="Garamond" w:hAnsi="Garamond"/>
          <w:lang w:val="sq-AL"/>
        </w:rPr>
        <w:t>:</w:t>
      </w:r>
    </w:p>
    <w:p w14:paraId="54E31E42" w14:textId="618D2995"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një përshkrim i masave të parashikuara për të shmangur, reduktuar dhe, nëse është e mundur, për të korrigjuar efektet negative të konsiderueshme</w:t>
      </w:r>
      <w:r>
        <w:rPr>
          <w:rFonts w:ascii="Garamond" w:hAnsi="Garamond"/>
          <w:lang w:val="sq-AL"/>
        </w:rPr>
        <w:t>;</w:t>
      </w:r>
    </w:p>
    <w:p w14:paraId="280CA1CB" w14:textId="77777777"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të dhënat e nevojshme për të identifikuar dhe vlerësuar efektet kryesore direkte dhe indirekte që projekti ka të ngjarë të ketë në mjedis për faktorët e mëposhtëm:</w:t>
      </w:r>
    </w:p>
    <w:p w14:paraId="07A7BE18" w14:textId="2E929701"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a) qeniet njerëzore, fauna dhe flora (duke përfshirë ato zona të mbrojtura që mund të përfshihen në të ardhmen nën mbrojtjen e Direktivës për Zogjtë (79/409/EEC, e ndryshuar dhe kodifikuar nga direktiva 2009/147/EC) dhe Direktivës së Habitateve (92). /43/EEC);</w:t>
      </w:r>
    </w:p>
    <w:p w14:paraId="49344DEC" w14:textId="77777777"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b) toka, uji, ajri, klima dhe peizazhi;</w:t>
      </w:r>
    </w:p>
    <w:p w14:paraId="769E4134" w14:textId="77777777"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c) pasuritë materiale dhe trashëgimia kulturore;</w:t>
      </w:r>
    </w:p>
    <w:p w14:paraId="30386C5D" w14:textId="604ADE04"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ndërveprimi mes faktorëve të përmendur në paragrafin e parë, të dytë dhe të tretë;</w:t>
      </w:r>
    </w:p>
    <w:p w14:paraId="7FA20B04" w14:textId="09363D65"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çdo informacion të mëtejshëm që mund të lindë nga ndonjë prej detyrimeve që rrjedhin nga aneksi IV i direktivës VNM.</w:t>
      </w:r>
    </w:p>
  </w:footnote>
  <w:footnote w:id="121">
    <w:p w14:paraId="068D937D" w14:textId="76B7CE2F" w:rsidR="00E528B3" w:rsidRPr="00BD3368" w:rsidRDefault="00E528B3" w:rsidP="0003243A">
      <w:pPr>
        <w:pStyle w:val="FootnoteText"/>
        <w:contextualSpacing/>
        <w:jc w:val="both"/>
        <w:rPr>
          <w:rFonts w:ascii="Garamond" w:hAnsi="Garamond"/>
          <w:lang w:val="sq-AL"/>
        </w:rPr>
      </w:pPr>
      <w:r w:rsidRPr="00BD3368">
        <w:rPr>
          <w:rFonts w:ascii="Garamond" w:hAnsi="Garamond"/>
          <w:vertAlign w:val="superscript"/>
          <w:lang w:val="sq-AL"/>
        </w:rPr>
        <w:footnoteRef/>
      </w:r>
      <w:r w:rsidRPr="00BD3368">
        <w:rPr>
          <w:rFonts w:ascii="Garamond" w:hAnsi="Garamond"/>
          <w:lang w:val="sq-AL"/>
        </w:rPr>
        <w:t xml:space="preserve"> Informacioni i dhënë duhet të mbulojë sa vijon:</w:t>
      </w:r>
    </w:p>
    <w:p w14:paraId="005FDFC8" w14:textId="7161E7E1"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publiku i interesuar i cili është konsultuar;</w:t>
      </w:r>
    </w:p>
    <w:p w14:paraId="7918A610" w14:textId="0E24C71A"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vendet ku informacioni është konsultuar;</w:t>
      </w:r>
    </w:p>
    <w:p w14:paraId="41A7ACAC" w14:textId="20705378"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koha që i është dhënë publikut për të shprehur mendimin e tij;</w:t>
      </w:r>
    </w:p>
    <w:p w14:paraId="58982A42" w14:textId="5A786ABB"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mënyra se si është informuar publiku (për shembull, me anë të postimit brenda një zone të caktuar, publikim në gazetat lokale, organizime ekspozitash me plane, vizatime, tabela, grafikë, modele etj.);</w:t>
      </w:r>
    </w:p>
    <w:p w14:paraId="609A15C5" w14:textId="4647759F"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A është informuar publiku dhe a i është dhënë mundësi e hershme dhe efektive për të marrë pjesë në procedurën e vendimmarrjes mjedisore, në përputhje me nenin 6 të direktivës VNM?</w:t>
      </w:r>
    </w:p>
    <w:p w14:paraId="124200B5" w14:textId="58A35E1A"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shpjegoni mënyrën se si është konsultuar publiku (për shembull, me parashtrime me shkrim, me pyetje publike etj.);</w:t>
      </w:r>
    </w:p>
    <w:p w14:paraId="0921E6F1" w14:textId="77777777"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mënyra se si janë marrë parasysh shqetësimet e publikut.</w:t>
      </w:r>
    </w:p>
  </w:footnote>
  <w:footnote w:id="122">
    <w:p w14:paraId="74A54E17" w14:textId="77777777" w:rsidR="00E528B3" w:rsidRPr="00BD3368" w:rsidRDefault="00E528B3" w:rsidP="0003243A">
      <w:pPr>
        <w:pStyle w:val="FootnoteText"/>
        <w:contextualSpacing/>
        <w:jc w:val="both"/>
        <w:rPr>
          <w:rFonts w:ascii="Garamond" w:hAnsi="Garamond"/>
          <w:lang w:val="sq-AL"/>
        </w:rPr>
      </w:pPr>
      <w:r w:rsidRPr="00BD3368">
        <w:rPr>
          <w:rFonts w:ascii="Garamond" w:hAnsi="Garamond"/>
          <w:vertAlign w:val="superscript"/>
          <w:lang w:val="sq-AL"/>
        </w:rPr>
        <w:footnoteRef/>
      </w:r>
      <w:r w:rsidRPr="00BD3368">
        <w:rPr>
          <w:rFonts w:ascii="Garamond" w:hAnsi="Garamond"/>
          <w:lang w:val="sq-AL"/>
        </w:rPr>
        <w:t xml:space="preserve"> Sidomos:</w:t>
      </w:r>
    </w:p>
    <w:p w14:paraId="04B1BE72" w14:textId="428B3AB1"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përmbajtja e vendimit dhe kushtet e bashkëlidhura;</w:t>
      </w:r>
    </w:p>
    <w:p w14:paraId="31E3D915" w14:textId="21049245"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arsyet dhe vlerësimet kryesore mbi të cilat është bazuar vendimi;</w:t>
      </w:r>
    </w:p>
    <w:p w14:paraId="0D0BC0EA" w14:textId="77777777" w:rsidR="00E528B3" w:rsidRPr="00BD3368" w:rsidRDefault="00E528B3" w:rsidP="0003243A">
      <w:pPr>
        <w:pStyle w:val="FootnoteText"/>
        <w:contextualSpacing/>
        <w:jc w:val="both"/>
        <w:rPr>
          <w:rFonts w:ascii="Garamond" w:hAnsi="Garamond"/>
          <w:lang w:val="sq-AL"/>
        </w:rPr>
      </w:pPr>
      <w:r w:rsidRPr="00BD3368">
        <w:rPr>
          <w:rFonts w:ascii="Garamond" w:hAnsi="Garamond"/>
          <w:lang w:val="sq-AL"/>
        </w:rPr>
        <w:t>- një përshkrim, aty ku është e nevojshme, i masave kryesore për të shmangur, reduktuar dhe, nëse është e mundur, për të kompensuar efektet kryesore negative.</w:t>
      </w:r>
    </w:p>
  </w:footnote>
  <w:footnote w:id="123">
    <w:p w14:paraId="16F49306" w14:textId="6B7D86EF" w:rsidR="00E528B3" w:rsidRPr="00BD3368" w:rsidRDefault="00E528B3" w:rsidP="009C2266">
      <w:pPr>
        <w:pStyle w:val="FootnoteText"/>
        <w:contextualSpacing/>
        <w:rPr>
          <w:rFonts w:ascii="Garamond" w:hAnsi="Garamond"/>
          <w:lang w:val="sq-AL"/>
        </w:rPr>
      </w:pPr>
      <w:r w:rsidRPr="00BD3368">
        <w:rPr>
          <w:rFonts w:ascii="Garamond" w:hAnsi="Garamond"/>
          <w:vertAlign w:val="superscript"/>
          <w:lang w:val="sq-AL"/>
        </w:rPr>
        <w:footnoteRef/>
      </w:r>
      <w:r w:rsidRPr="00BD3368">
        <w:rPr>
          <w:rFonts w:ascii="Garamond" w:hAnsi="Garamond"/>
          <w:lang w:val="sq-AL"/>
        </w:rPr>
        <w:t xml:space="preserve"> OJ L 206 of 22.7.1992</w:t>
      </w:r>
      <w:r>
        <w:rPr>
          <w:rFonts w:ascii="Garamond" w:hAnsi="Garamond"/>
          <w:lang w:val="sq-AL"/>
        </w:rPr>
        <w:t>.</w:t>
      </w:r>
    </w:p>
  </w:footnote>
  <w:footnote w:id="124">
    <w:p w14:paraId="3FB901A1" w14:textId="328E5ED5" w:rsidR="00E528B3" w:rsidRPr="00BD3368" w:rsidRDefault="00E528B3" w:rsidP="009C2266">
      <w:pPr>
        <w:pStyle w:val="FootnoteText"/>
        <w:contextualSpacing/>
        <w:rPr>
          <w:rFonts w:ascii="Garamond" w:hAnsi="Garamond"/>
          <w:lang w:val="sq-AL"/>
        </w:rPr>
      </w:pPr>
      <w:r w:rsidRPr="00BD3368">
        <w:rPr>
          <w:rFonts w:ascii="Garamond" w:hAnsi="Garamond"/>
          <w:vertAlign w:val="superscript"/>
          <w:lang w:val="sq-AL"/>
        </w:rPr>
        <w:footnoteRef/>
      </w:r>
      <w:r w:rsidRPr="00BD3368">
        <w:rPr>
          <w:rFonts w:ascii="Garamond" w:hAnsi="Garamond"/>
          <w:lang w:val="sq-AL"/>
        </w:rPr>
        <w:t xml:space="preserve"> Dokumenti 99/7 rev.2 i miratuar nga Komiteti i Habitateve (përfaqësuesit e Shteteve Anëtare, i krijuar sipas direktivës 92/43/EEC) në mbledhjen e tij më 4.10.99.</w:t>
      </w:r>
    </w:p>
  </w:footnote>
  <w:footnote w:id="125">
    <w:p w14:paraId="37805D06" w14:textId="70E45E5B" w:rsidR="00E528B3" w:rsidRPr="00BD3368" w:rsidRDefault="00E528B3" w:rsidP="009C2266">
      <w:pPr>
        <w:pStyle w:val="FootnoteText"/>
        <w:rPr>
          <w:rFonts w:ascii="Garamond" w:hAnsi="Garamond"/>
          <w:lang w:val="sq-AL"/>
        </w:rPr>
      </w:pPr>
      <w:r w:rsidRPr="00BD3368">
        <w:rPr>
          <w:rStyle w:val="FootnoteReference"/>
          <w:rFonts w:ascii="Garamond" w:eastAsia="DengXian" w:hAnsi="Garamond"/>
          <w:lang w:val="sq-AL"/>
        </w:rPr>
        <w:footnoteRef/>
      </w:r>
      <w:r w:rsidRPr="00BD3368">
        <w:rPr>
          <w:rFonts w:ascii="Garamond" w:hAnsi="Garamond"/>
          <w:lang w:val="sq-AL"/>
        </w:rPr>
        <w:t xml:space="preserve"> </w:t>
      </w:r>
      <w:hyperlink r:id="rId59" w:history="1">
        <w:r w:rsidRPr="00BD3368">
          <w:rPr>
            <w:rStyle w:val="Hyperlink"/>
            <w:rFonts w:ascii="Garamond" w:hAnsi="Garamond"/>
            <w:lang w:val="sq-AL"/>
          </w:rPr>
          <w:t>https://www.resilienceindex.org/</w:t>
        </w:r>
      </w:hyperlink>
      <w:r w:rsidRPr="00BD3368">
        <w:rPr>
          <w:rFonts w:ascii="Garamond" w:hAnsi="Garamond"/>
          <w:lang w:val="sq-AL"/>
        </w:rPr>
        <w:t xml:space="preserve"> </w:t>
      </w:r>
    </w:p>
  </w:footnote>
  <w:footnote w:id="126">
    <w:p w14:paraId="527D795C" w14:textId="77777777" w:rsidR="00E528B3" w:rsidRPr="00BD3368" w:rsidRDefault="00E528B3" w:rsidP="009C2266">
      <w:pPr>
        <w:pStyle w:val="FootnoteText"/>
        <w:rPr>
          <w:rFonts w:ascii="Garamond" w:hAnsi="Garamond"/>
          <w:lang w:val="sq-AL"/>
        </w:rPr>
      </w:pPr>
      <w:r w:rsidRPr="00BD3368">
        <w:rPr>
          <w:rStyle w:val="FootnoteReference"/>
          <w:rFonts w:ascii="Garamond" w:eastAsia="DengXian" w:hAnsi="Garamond"/>
          <w:lang w:val="sq-AL"/>
        </w:rPr>
        <w:footnoteRef/>
      </w:r>
      <w:r w:rsidRPr="00BD3368">
        <w:rPr>
          <w:rFonts w:ascii="Garamond" w:hAnsi="Garamond"/>
          <w:lang w:val="sq-AL"/>
        </w:rPr>
        <w:t xml:space="preserve"> Përdorni këtë si bazë </w:t>
      </w:r>
      <w:hyperlink r:id="rId60" w:history="1">
        <w:r w:rsidRPr="00BD3368">
          <w:rPr>
            <w:rStyle w:val="Hyperlink"/>
            <w:rFonts w:ascii="Garamond" w:hAnsi="Garamond"/>
            <w:lang w:val="sq-AL"/>
          </w:rPr>
          <w:t>Commission Notice — Technical guidance on the climate proofing of infrastructure in the period 2021-2027 - Publications Office of the EU (europa.eu)</w:t>
        </w:r>
      </w:hyperlink>
    </w:p>
  </w:footnote>
  <w:footnote w:id="127">
    <w:p w14:paraId="32A59185" w14:textId="2127E4D8" w:rsidR="00E528B3" w:rsidRPr="00BD3368" w:rsidRDefault="00E528B3" w:rsidP="009C2266">
      <w:pPr>
        <w:pStyle w:val="FootnoteText"/>
        <w:rPr>
          <w:rFonts w:ascii="Garamond" w:hAnsi="Garamond"/>
          <w:lang w:val="sq-AL"/>
        </w:rPr>
      </w:pPr>
      <w:r w:rsidRPr="00BD3368">
        <w:rPr>
          <w:rStyle w:val="FootnoteReference"/>
          <w:rFonts w:ascii="Garamond" w:eastAsia="DengXian" w:hAnsi="Garamond"/>
          <w:lang w:val="sq-AL"/>
        </w:rPr>
        <w:footnoteRef/>
      </w:r>
      <w:r w:rsidRPr="00BD3368">
        <w:rPr>
          <w:rFonts w:ascii="Garamond" w:hAnsi="Garamond"/>
          <w:lang w:val="sq-AL"/>
        </w:rPr>
        <w:t xml:space="preserve"> Vetëm nëse përfaqëson një procedurë të veçantë tenderimi.</w:t>
      </w:r>
    </w:p>
  </w:footnote>
  <w:footnote w:id="128">
    <w:p w14:paraId="14CC5FA7" w14:textId="1282E3A0" w:rsidR="00E528B3" w:rsidRPr="00BD3368" w:rsidRDefault="00E528B3" w:rsidP="009C2266">
      <w:pPr>
        <w:pStyle w:val="FootnoteText"/>
        <w:rPr>
          <w:rFonts w:ascii="Garamond" w:hAnsi="Garamond"/>
          <w:lang w:val="sq-AL"/>
        </w:rPr>
      </w:pPr>
      <w:r w:rsidRPr="00BD3368">
        <w:rPr>
          <w:rStyle w:val="FootnoteReference"/>
          <w:rFonts w:ascii="Garamond" w:eastAsia="DengXian" w:hAnsi="Garamond"/>
          <w:lang w:val="sq-AL"/>
        </w:rPr>
        <w:footnoteRef/>
      </w:r>
      <w:r w:rsidRPr="00BD3368">
        <w:rPr>
          <w:rFonts w:ascii="Garamond" w:hAnsi="Garamond"/>
          <w:lang w:val="sq-AL"/>
        </w:rPr>
        <w:t xml:space="preserve"> Maksimumi 15% e buxhetit total.</w:t>
      </w:r>
    </w:p>
  </w:footnote>
  <w:footnote w:id="129">
    <w:p w14:paraId="7F7E5651" w14:textId="77777777" w:rsidR="00E528B3" w:rsidRPr="00BD3368" w:rsidRDefault="00E528B3" w:rsidP="00850FC7">
      <w:pPr>
        <w:pStyle w:val="FootnoteText"/>
        <w:rPr>
          <w:rFonts w:ascii="Garamond" w:hAnsi="Garamond"/>
          <w:lang w:val="sq-AL"/>
        </w:rPr>
      </w:pPr>
      <w:r w:rsidRPr="00BD3368">
        <w:rPr>
          <w:rStyle w:val="FootnoteReference"/>
          <w:rFonts w:ascii="Garamond" w:hAnsi="Garamond"/>
          <w:lang w:val="sq-AL"/>
        </w:rPr>
        <w:footnoteRef/>
      </w:r>
      <w:r w:rsidRPr="00BD3368">
        <w:rPr>
          <w:rFonts w:ascii="Garamond" w:hAnsi="Garamond"/>
          <w:lang w:val="sq-AL"/>
        </w:rPr>
        <w:t xml:space="preserve"> </w:t>
      </w:r>
      <w:hyperlink r:id="rId61" w:history="1">
        <w:r w:rsidRPr="00BD3368">
          <w:rPr>
            <w:rStyle w:val="Hyperlink"/>
            <w:rFonts w:ascii="Garamond" w:eastAsia="SimSun" w:hAnsi="Garamond"/>
            <w:lang w:val="sq-AL"/>
          </w:rPr>
          <w:t>SWD_2022_445_1_EN_document_travail_service_part1_v2.pdf (europa.eu)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C1688" w14:textId="77777777" w:rsidR="00E528B3" w:rsidRDefault="00E528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0089"/>
    <w:multiLevelType w:val="hybridMultilevel"/>
    <w:tmpl w:val="52FCE1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04974B1F"/>
    <w:multiLevelType w:val="hybridMultilevel"/>
    <w:tmpl w:val="39641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A368B"/>
    <w:multiLevelType w:val="hybridMultilevel"/>
    <w:tmpl w:val="D1FE7A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E13F77"/>
    <w:multiLevelType w:val="hybridMultilevel"/>
    <w:tmpl w:val="08AE42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9651E44"/>
    <w:multiLevelType w:val="hybridMultilevel"/>
    <w:tmpl w:val="852E9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D12A6C"/>
    <w:multiLevelType w:val="multilevel"/>
    <w:tmpl w:val="496C276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B1724A1"/>
    <w:multiLevelType w:val="hybridMultilevel"/>
    <w:tmpl w:val="FB86C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D42196"/>
    <w:multiLevelType w:val="hybridMultilevel"/>
    <w:tmpl w:val="54C8141E"/>
    <w:lvl w:ilvl="0" w:tplc="9A52A42C">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D55A86"/>
    <w:multiLevelType w:val="multilevel"/>
    <w:tmpl w:val="C6C889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4007FBD"/>
    <w:multiLevelType w:val="hybridMultilevel"/>
    <w:tmpl w:val="6EF62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BC34BDB"/>
    <w:multiLevelType w:val="hybridMultilevel"/>
    <w:tmpl w:val="98603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3" w15:restartNumberingAfterBreak="0">
    <w:nsid w:val="26E42BEB"/>
    <w:multiLevelType w:val="hybridMultilevel"/>
    <w:tmpl w:val="EFB809DA"/>
    <w:lvl w:ilvl="0" w:tplc="FFFFFFFF">
      <w:start w:val="1"/>
      <w:numFmt w:val="decimal"/>
      <w:lvlText w:val="%1."/>
      <w:lvlJc w:val="left"/>
      <w:pPr>
        <w:tabs>
          <w:tab w:val="num" w:pos="360"/>
        </w:tabs>
        <w:ind w:left="360" w:hanging="360"/>
      </w:pPr>
      <w:rPr>
        <w:rFonts w:cs="Times New Roman" w:hint="default"/>
      </w:rPr>
    </w:lvl>
    <w:lvl w:ilvl="1" w:tplc="35AA195C">
      <w:start w:val="1"/>
      <w:numFmt w:val="lowerLetter"/>
      <w:lvlText w:val="%2)"/>
      <w:lvlJc w:val="left"/>
      <w:pPr>
        <w:ind w:left="1800" w:hanging="720"/>
      </w:pPr>
      <w:rPr>
        <w:rFonts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2882457D"/>
    <w:multiLevelType w:val="hybridMultilevel"/>
    <w:tmpl w:val="FD543302"/>
    <w:lvl w:ilvl="0" w:tplc="FFFFFFFF">
      <w:start w:val="1"/>
      <w:numFmt w:val="bullet"/>
      <w:lvlRestart w:val="0"/>
      <w:pStyle w:val="ListDash1Char"/>
      <w:lvlText w:val="–"/>
      <w:lvlJc w:val="left"/>
      <w:pPr>
        <w:tabs>
          <w:tab w:val="num" w:pos="1003"/>
        </w:tabs>
        <w:ind w:left="1003" w:hanging="283"/>
      </w:pPr>
      <w:rPr>
        <w:rFonts w:ascii="Times New Roman" w:hAnsi="Times New Roman"/>
      </w:rPr>
    </w:lvl>
    <w:lvl w:ilvl="1" w:tplc="FFFFFFFF">
      <w:start w:val="1"/>
      <w:numFmt w:val="bullet"/>
      <w:lvlText w:val="–"/>
      <w:lvlJc w:val="left"/>
      <w:pPr>
        <w:tabs>
          <w:tab w:val="num" w:pos="283"/>
        </w:tabs>
        <w:ind w:left="283" w:hanging="283"/>
      </w:pPr>
      <w:rPr>
        <w:rFonts w:ascii="Times New Roman" w:hAnsi="Times New Roman" w:cs="Times New Roman"/>
      </w:rPr>
    </w:lvl>
    <w:lvl w:ilvl="2" w:tplc="FFFFFFFF">
      <w:start w:val="1"/>
      <w:numFmt w:val="bullet"/>
      <w:lvlText w:val="–"/>
      <w:lvlJc w:val="left"/>
      <w:pPr>
        <w:tabs>
          <w:tab w:val="num" w:pos="283"/>
        </w:tabs>
        <w:ind w:left="283" w:hanging="283"/>
      </w:pPr>
      <w:rPr>
        <w:rFonts w:ascii="Times New Roman" w:hAnsi="Times New Roman" w:cs="Times New Roman"/>
      </w:rPr>
    </w:lvl>
    <w:lvl w:ilvl="3" w:tplc="FFFFFFFF">
      <w:start w:val="1"/>
      <w:numFmt w:val="bullet"/>
      <w:lvlText w:val="–"/>
      <w:lvlJc w:val="left"/>
      <w:pPr>
        <w:tabs>
          <w:tab w:val="num" w:pos="283"/>
        </w:tabs>
        <w:ind w:left="283" w:hanging="283"/>
      </w:pPr>
      <w:rPr>
        <w:rFonts w:ascii="Times New Roman" w:hAnsi="Times New Roman" w:cs="Times New Roman"/>
      </w:rPr>
    </w:lvl>
    <w:lvl w:ilvl="4" w:tplc="FFFFFFFF">
      <w:start w:val="1"/>
      <w:numFmt w:val="bullet"/>
      <w:lvlText w:val="–"/>
      <w:lvlJc w:val="left"/>
      <w:pPr>
        <w:tabs>
          <w:tab w:val="num" w:pos="283"/>
        </w:tabs>
        <w:ind w:left="283" w:hanging="283"/>
      </w:pPr>
      <w:rPr>
        <w:rFonts w:ascii="Times New Roman" w:hAnsi="Times New Roman" w:cs="Times New Roman"/>
      </w:rPr>
    </w:lvl>
    <w:lvl w:ilvl="5" w:tplc="FFFFFFFF">
      <w:start w:val="1"/>
      <w:numFmt w:val="bullet"/>
      <w:lvlText w:val="–"/>
      <w:lvlJc w:val="left"/>
      <w:pPr>
        <w:tabs>
          <w:tab w:val="num" w:pos="283"/>
        </w:tabs>
        <w:ind w:left="283" w:hanging="283"/>
      </w:pPr>
      <w:rPr>
        <w:rFonts w:ascii="Times New Roman" w:hAnsi="Times New Roman" w:cs="Times New Roman"/>
      </w:rPr>
    </w:lvl>
    <w:lvl w:ilvl="6" w:tplc="FFFFFFFF">
      <w:start w:val="1"/>
      <w:numFmt w:val="bullet"/>
      <w:lvlText w:val="–"/>
      <w:lvlJc w:val="left"/>
      <w:pPr>
        <w:tabs>
          <w:tab w:val="num" w:pos="283"/>
        </w:tabs>
        <w:ind w:left="283" w:hanging="283"/>
      </w:pPr>
      <w:rPr>
        <w:rFonts w:ascii="Times New Roman" w:hAnsi="Times New Roman" w:cs="Times New Roman"/>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F20FBE"/>
    <w:multiLevelType w:val="hybridMultilevel"/>
    <w:tmpl w:val="354C2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AA659B3"/>
    <w:multiLevelType w:val="hybridMultilevel"/>
    <w:tmpl w:val="F7ECD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C50DFA"/>
    <w:multiLevelType w:val="hybridMultilevel"/>
    <w:tmpl w:val="E626C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EC6AE5"/>
    <w:multiLevelType w:val="multilevel"/>
    <w:tmpl w:val="14EE615C"/>
    <w:lvl w:ilvl="0">
      <w:start w:val="1"/>
      <w:numFmt w:val="lowerLetter"/>
      <w:lvlText w:val="(%1)"/>
      <w:lvlJc w:val="left"/>
      <w:pPr>
        <w:tabs>
          <w:tab w:val="num" w:pos="375"/>
        </w:tabs>
        <w:ind w:left="375" w:hanging="360"/>
      </w:pPr>
      <w:rPr>
        <w:rFonts w:hint="default"/>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242027"/>
    <w:multiLevelType w:val="multilevel"/>
    <w:tmpl w:val="51524DAE"/>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0CF437D"/>
    <w:multiLevelType w:val="hybridMultilevel"/>
    <w:tmpl w:val="C63C6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8C6F24"/>
    <w:multiLevelType w:val="hybridMultilevel"/>
    <w:tmpl w:val="163C5748"/>
    <w:lvl w:ilvl="0" w:tplc="FE5CD04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170D0B"/>
    <w:multiLevelType w:val="hybridMultilevel"/>
    <w:tmpl w:val="33EA1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31825BC"/>
    <w:multiLevelType w:val="hybridMultilevel"/>
    <w:tmpl w:val="E0C448CC"/>
    <w:lvl w:ilvl="0" w:tplc="33DC0BAA">
      <w:start w:val="1"/>
      <w:numFmt w:val="decimal"/>
      <w:pStyle w:val="NumPar1"/>
      <w:lvlText w:val="%1)"/>
      <w:lvlJc w:val="left"/>
      <w:pPr>
        <w:tabs>
          <w:tab w:val="num" w:pos="3338"/>
        </w:tabs>
        <w:ind w:left="3338" w:hanging="360"/>
      </w:pPr>
      <w:rPr>
        <w:rFonts w:cs="Times New Roman"/>
      </w:rPr>
    </w:lvl>
    <w:lvl w:ilvl="1" w:tplc="08090019">
      <w:start w:val="2"/>
      <w:numFmt w:val="lowerLetter"/>
      <w:lvlText w:val="(%2)"/>
      <w:lvlJc w:val="left"/>
      <w:pPr>
        <w:tabs>
          <w:tab w:val="num" w:pos="1080"/>
        </w:tabs>
        <w:ind w:left="1080" w:hanging="360"/>
      </w:pPr>
      <w:rPr>
        <w:rFonts w:cs="Times New Roman" w:hint="default"/>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8" w15:restartNumberingAfterBreak="0">
    <w:nsid w:val="475265A9"/>
    <w:multiLevelType w:val="multilevel"/>
    <w:tmpl w:val="FFFAA01E"/>
    <w:lvl w:ilvl="0">
      <w:start w:val="1"/>
      <w:numFmt w:val="decimal"/>
      <w:lvlText w:val="%1."/>
      <w:lvlJc w:val="left"/>
      <w:pPr>
        <w:tabs>
          <w:tab w:val="num" w:pos="360"/>
        </w:tabs>
        <w:ind w:left="360" w:hanging="360"/>
      </w:pPr>
      <w:rPr>
        <w:rFonts w:cs="Times New Roman" w:hint="default"/>
      </w:rPr>
    </w:lvl>
    <w:lvl w:ilvl="1">
      <w:start w:val="7"/>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9" w15:restartNumberingAfterBreak="0">
    <w:nsid w:val="4EF60811"/>
    <w:multiLevelType w:val="multilevel"/>
    <w:tmpl w:val="359E4724"/>
    <w:name w:val="Bullets"/>
    <w:lvl w:ilvl="0">
      <w:start w:val="1"/>
      <w:numFmt w:val="bullet"/>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effect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effect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effect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effect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effect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effect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effect w:val="none"/>
        <w:vertAlign w:val="baseline"/>
      </w:rPr>
    </w:lvl>
    <w:lvl w:ilvl="7">
      <w:start w:val="1"/>
      <w:numFmt w:val="none"/>
      <w:lvlRestart w:val="0"/>
      <w:pStyle w:val="BulletL8"/>
      <w:suff w:val="nothing"/>
      <w:lvlText w:val=""/>
      <w:lvlJc w:val="left"/>
      <w:pPr>
        <w:ind w:left="1"/>
      </w:pPr>
      <w:rPr>
        <w:rFonts w:ascii="Symbol" w:hAnsi="Symbol" w:cs="Symbol" w:hint="default"/>
        <w:b w:val="0"/>
        <w:bCs w:val="0"/>
        <w:i w:val="0"/>
        <w:iCs w:val="0"/>
        <w:caps w:val="0"/>
        <w:strike w:val="0"/>
        <w:dstrike w:val="0"/>
        <w:vanish w:val="0"/>
        <w:color w:val="auto"/>
        <w:sz w:val="22"/>
        <w:szCs w:val="22"/>
        <w:u w:val="none"/>
        <w:effect w:val="none"/>
        <w:vertAlign w:val="baseline"/>
      </w:rPr>
    </w:lvl>
    <w:lvl w:ilvl="8">
      <w:start w:val="1"/>
      <w:numFmt w:val="none"/>
      <w:lvlRestart w:val="0"/>
      <w:pStyle w:val="BulletL9"/>
      <w:suff w:val="nothing"/>
      <w:lvlText w:val=""/>
      <w:lvlJc w:val="left"/>
      <w:pPr>
        <w:ind w:left="1"/>
      </w:pPr>
      <w:rPr>
        <w:rFonts w:ascii="Symbol" w:hAnsi="Symbol" w:cs="Symbol" w:hint="default"/>
        <w:b w:val="0"/>
        <w:bCs w:val="0"/>
        <w:i w:val="0"/>
        <w:iCs w:val="0"/>
        <w:caps w:val="0"/>
        <w:strike w:val="0"/>
        <w:dstrike w:val="0"/>
        <w:vanish w:val="0"/>
        <w:color w:val="auto"/>
        <w:sz w:val="22"/>
        <w:szCs w:val="22"/>
        <w:u w:val="none"/>
        <w:effect w:val="none"/>
        <w:vertAlign w:val="baseline"/>
      </w:rPr>
    </w:lvl>
  </w:abstractNum>
  <w:abstractNum w:abstractNumId="30" w15:restartNumberingAfterBreak="0">
    <w:nsid w:val="4F0C331D"/>
    <w:multiLevelType w:val="multilevel"/>
    <w:tmpl w:val="1F18530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54A350F"/>
    <w:multiLevelType w:val="hybridMultilevel"/>
    <w:tmpl w:val="F9F23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BD6C87"/>
    <w:multiLevelType w:val="multilevel"/>
    <w:tmpl w:val="ED965A6E"/>
    <w:lvl w:ilvl="0">
      <w:start w:val="1"/>
      <w:numFmt w:val="decimal"/>
      <w:pStyle w:val="SimpleL1"/>
      <w:lvlText w:val="%1."/>
      <w:lvlJc w:val="left"/>
      <w:pPr>
        <w:tabs>
          <w:tab w:val="num" w:pos="720"/>
        </w:tabs>
        <w:ind w:left="720" w:hanging="720"/>
      </w:pPr>
      <w:rPr>
        <w:rFonts w:ascii="Times New Roman" w:hAnsi="Times New Roman" w:cs="Times New Roman" w:hint="default"/>
        <w:b w:val="0"/>
        <w:bCs w:val="0"/>
        <w:i w:val="0"/>
        <w:iCs w:val="0"/>
        <w:caps w:val="0"/>
        <w:strike w:val="0"/>
        <w:dstrike w:val="0"/>
        <w:vanish w:val="0"/>
        <w:color w:val="auto"/>
        <w:sz w:val="24"/>
        <w:szCs w:val="24"/>
        <w:u w:val="none"/>
        <w:effect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hint="default"/>
        <w:b w:val="0"/>
        <w:bCs w:val="0"/>
        <w:i w:val="0"/>
        <w:iCs w:val="0"/>
        <w:caps w:val="0"/>
        <w:strike w:val="0"/>
        <w:dstrike w:val="0"/>
        <w:vanish w:val="0"/>
        <w:color w:val="auto"/>
        <w:sz w:val="24"/>
        <w:szCs w:val="24"/>
        <w:u w:val="none"/>
        <w:effect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hint="default"/>
        <w:b w:val="0"/>
        <w:bCs w:val="0"/>
        <w:i w:val="0"/>
        <w:iCs w:val="0"/>
        <w:caps w:val="0"/>
        <w:strike w:val="0"/>
        <w:dstrike w:val="0"/>
        <w:vanish w:val="0"/>
        <w:color w:val="auto"/>
        <w:sz w:val="24"/>
        <w:szCs w:val="24"/>
        <w:u w:val="none"/>
        <w:effect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hint="default"/>
        <w:b w:val="0"/>
        <w:bCs w:val="0"/>
        <w:i w:val="0"/>
        <w:iCs w:val="0"/>
        <w:caps w:val="0"/>
        <w:strike w:val="0"/>
        <w:dstrike w:val="0"/>
        <w:vanish w:val="0"/>
        <w:color w:val="auto"/>
        <w:sz w:val="24"/>
        <w:szCs w:val="24"/>
        <w:u w:val="none"/>
        <w:effect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hint="default"/>
        <w:b w:val="0"/>
        <w:bCs w:val="0"/>
        <w:i w:val="0"/>
        <w:iCs w:val="0"/>
        <w:caps w:val="0"/>
        <w:strike w:val="0"/>
        <w:dstrike w:val="0"/>
        <w:vanish w:val="0"/>
        <w:color w:val="auto"/>
        <w:sz w:val="24"/>
        <w:szCs w:val="24"/>
        <w:u w:val="none"/>
        <w:effect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hint="default"/>
        <w:b w:val="0"/>
        <w:bCs w:val="0"/>
        <w:i w:val="0"/>
        <w:iCs w:val="0"/>
        <w:caps w:val="0"/>
        <w:strike w:val="0"/>
        <w:dstrike w:val="0"/>
        <w:vanish w:val="0"/>
        <w:color w:val="auto"/>
        <w:sz w:val="24"/>
        <w:szCs w:val="24"/>
        <w:u w:val="none"/>
        <w:effect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hint="default"/>
        <w:b w:val="0"/>
        <w:bCs w:val="0"/>
        <w:i w:val="0"/>
        <w:iCs w:val="0"/>
        <w:caps w:val="0"/>
        <w:strike w:val="0"/>
        <w:dstrike w:val="0"/>
        <w:vanish w:val="0"/>
        <w:color w:val="auto"/>
        <w:sz w:val="24"/>
        <w:szCs w:val="24"/>
        <w:u w:val="none"/>
        <w:effect w:val="none"/>
        <w:vertAlign w:val="baseline"/>
      </w:rPr>
    </w:lvl>
    <w:lvl w:ilvl="7">
      <w:start w:val="1"/>
      <w:numFmt w:val="none"/>
      <w:lvlRestart w:val="0"/>
      <w:pStyle w:val="SimpleL8"/>
      <w:suff w:val="nothing"/>
      <w:lvlText w:val="%8"/>
      <w:lvlJc w:val="left"/>
      <w:rPr>
        <w:rFonts w:ascii="Times New Roman" w:hAnsi="Times New Roman" w:cs="Times New Roman" w:hint="default"/>
        <w:b w:val="0"/>
        <w:bCs w:val="0"/>
        <w:i w:val="0"/>
        <w:iCs w:val="0"/>
        <w:caps w:val="0"/>
        <w:strike w:val="0"/>
        <w:dstrike w:val="0"/>
        <w:vanish w:val="0"/>
        <w:color w:val="auto"/>
        <w:sz w:val="24"/>
        <w:szCs w:val="24"/>
        <w:u w:val="none"/>
        <w:effect w:val="none"/>
        <w:vertAlign w:val="baseline"/>
      </w:rPr>
    </w:lvl>
    <w:lvl w:ilvl="8">
      <w:start w:val="1"/>
      <w:numFmt w:val="none"/>
      <w:lvlRestart w:val="0"/>
      <w:pStyle w:val="SimpleL9"/>
      <w:suff w:val="nothing"/>
      <w:lvlText w:val="%9"/>
      <w:lvlJc w:val="left"/>
      <w:rPr>
        <w:rFonts w:ascii="Times New Roman" w:hAnsi="Times New Roman" w:cs="Times New Roman" w:hint="default"/>
        <w:b w:val="0"/>
        <w:bCs w:val="0"/>
        <w:i w:val="0"/>
        <w:iCs w:val="0"/>
        <w:caps w:val="0"/>
        <w:strike w:val="0"/>
        <w:dstrike w:val="0"/>
        <w:vanish w:val="0"/>
        <w:color w:val="auto"/>
        <w:sz w:val="24"/>
        <w:szCs w:val="24"/>
        <w:u w:val="none"/>
        <w:effect w:val="none"/>
        <w:vertAlign w:val="baseline"/>
      </w:rPr>
    </w:lvl>
  </w:abstractNum>
  <w:abstractNum w:abstractNumId="33" w15:restartNumberingAfterBreak="0">
    <w:nsid w:val="56F9551D"/>
    <w:multiLevelType w:val="multilevel"/>
    <w:tmpl w:val="0B32BC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7A46CF4"/>
    <w:multiLevelType w:val="hybridMultilevel"/>
    <w:tmpl w:val="5CFC9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263D92"/>
    <w:multiLevelType w:val="hybridMultilevel"/>
    <w:tmpl w:val="8B92E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99743EF"/>
    <w:multiLevelType w:val="hybridMultilevel"/>
    <w:tmpl w:val="F19699F2"/>
    <w:lvl w:ilvl="0" w:tplc="03506B12">
      <w:start w:val="1"/>
      <w:numFmt w:val="decimal"/>
      <w:lvlText w:val="%1"/>
      <w:lvlJc w:val="left"/>
      <w:pPr>
        <w:tabs>
          <w:tab w:val="num" w:pos="357"/>
        </w:tabs>
      </w:pPr>
      <w:rPr>
        <w:rFonts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5F11555D"/>
    <w:multiLevelType w:val="multilevel"/>
    <w:tmpl w:val="62FA98A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9" w15:restartNumberingAfterBreak="0">
    <w:nsid w:val="6ACA0F46"/>
    <w:multiLevelType w:val="hybridMultilevel"/>
    <w:tmpl w:val="4B7C689C"/>
    <w:lvl w:ilvl="0" w:tplc="34BA448A">
      <w:start w:val="1"/>
      <w:numFmt w:val="decimal"/>
      <w:lvlText w:val="%1."/>
      <w:lvlJc w:val="left"/>
      <w:pPr>
        <w:tabs>
          <w:tab w:val="num" w:pos="357"/>
        </w:tabs>
      </w:pPr>
      <w:rPr>
        <w:rFonts w:cs="Times New Roman" w:hint="default"/>
      </w:rPr>
    </w:lvl>
    <w:lvl w:ilvl="1" w:tplc="08090019">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40" w15:restartNumberingAfterBreak="0">
    <w:nsid w:val="6E0B7C8B"/>
    <w:multiLevelType w:val="hybridMultilevel"/>
    <w:tmpl w:val="FFFFFFFF"/>
    <w:lvl w:ilvl="0" w:tplc="3A5C6920">
      <w:start w:val="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2" w15:restartNumberingAfterBreak="0">
    <w:nsid w:val="6F62456B"/>
    <w:multiLevelType w:val="hybridMultilevel"/>
    <w:tmpl w:val="E78EBD8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720CEC"/>
    <w:multiLevelType w:val="hybridMultilevel"/>
    <w:tmpl w:val="7EF2913A"/>
    <w:lvl w:ilvl="0" w:tplc="04090001">
      <w:start w:val="1"/>
      <w:numFmt w:val="bullet"/>
      <w:lvlText w:val=""/>
      <w:lvlJc w:val="left"/>
      <w:pPr>
        <w:ind w:left="0" w:firstLine="0"/>
      </w:pPr>
      <w:rPr>
        <w:rFonts w:ascii="Symbol" w:hAnsi="Symbol"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4" w15:restartNumberingAfterBreak="0">
    <w:nsid w:val="776D6706"/>
    <w:multiLevelType w:val="hybridMultilevel"/>
    <w:tmpl w:val="772C732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A8488A"/>
    <w:multiLevelType w:val="hybridMultilevel"/>
    <w:tmpl w:val="25708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786718"/>
    <w:multiLevelType w:val="hybridMultilevel"/>
    <w:tmpl w:val="A0902F10"/>
    <w:lvl w:ilvl="0" w:tplc="4C2A592C">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F3309BF"/>
    <w:multiLevelType w:val="multilevel"/>
    <w:tmpl w:val="159EC198"/>
    <w:lvl w:ilvl="0">
      <w:start w:val="1"/>
      <w:numFmt w:val="decimal"/>
      <w:lvlText w:val="%1."/>
      <w:lvlJc w:val="left"/>
      <w:pPr>
        <w:tabs>
          <w:tab w:val="num" w:pos="720"/>
        </w:tabs>
        <w:ind w:left="720" w:hanging="720"/>
      </w:pPr>
    </w:lvl>
    <w:lvl w:ilvl="1">
      <w:start w:val="1"/>
      <w:numFmt w:val="decimal"/>
      <w:pStyle w:val="ListNumberLeve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7F7575D0"/>
    <w:multiLevelType w:val="singleLevel"/>
    <w:tmpl w:val="123E1F50"/>
    <w:lvl w:ilvl="0">
      <w:start w:val="1"/>
      <w:numFmt w:val="bullet"/>
      <w:pStyle w:val="ListDash"/>
      <w:lvlText w:val="–"/>
      <w:lvlJc w:val="left"/>
      <w:pPr>
        <w:tabs>
          <w:tab w:val="num" w:pos="283"/>
        </w:tabs>
        <w:ind w:left="283" w:hanging="283"/>
      </w:pPr>
      <w:rPr>
        <w:rFonts w:ascii="Times New Roman" w:hAnsi="Times New Roman"/>
      </w:rPr>
    </w:lvl>
  </w:abstractNum>
  <w:num w:numId="1">
    <w:abstractNumId w:val="12"/>
  </w:num>
  <w:num w:numId="2">
    <w:abstractNumId w:val="1"/>
  </w:num>
  <w:num w:numId="3">
    <w:abstractNumId w:val="20"/>
  </w:num>
  <w:num w:numId="4">
    <w:abstractNumId w:val="24"/>
  </w:num>
  <w:num w:numId="5">
    <w:abstractNumId w:val="27"/>
  </w:num>
  <w:num w:numId="6">
    <w:abstractNumId w:val="32"/>
  </w:num>
  <w:num w:numId="7">
    <w:abstractNumId w:val="29"/>
    <w:lvlOverride w:ilvl="0"/>
    <w:lvlOverride w:ilvl="1"/>
    <w:lvlOverride w:ilvl="2"/>
    <w:lvlOverride w:ilvl="3"/>
    <w:lvlOverride w:ilvl="4"/>
    <w:lvlOverride w:ilvl="5"/>
    <w:lvlOverride w:ilvl="6"/>
    <w:lvlOverride w:ilvl="7">
      <w:startOverride w:val="1"/>
    </w:lvlOverride>
    <w:lvlOverride w:ilvl="8">
      <w:startOverride w:val="1"/>
    </w:lvlOverride>
  </w:num>
  <w:num w:numId="8">
    <w:abstractNumId w:val="19"/>
  </w:num>
  <w:num w:numId="9">
    <w:abstractNumId w:val="41"/>
  </w:num>
  <w:num w:numId="10">
    <w:abstractNumId w:val="14"/>
  </w:num>
  <w:num w:numId="11">
    <w:abstractNumId w:val="38"/>
  </w:num>
  <w:num w:numId="12">
    <w:abstractNumId w:val="4"/>
  </w:num>
  <w:num w:numId="13">
    <w:abstractNumId w:val="47"/>
  </w:num>
  <w:num w:numId="14">
    <w:abstractNumId w:val="6"/>
  </w:num>
  <w:num w:numId="15">
    <w:abstractNumId w:val="30"/>
  </w:num>
  <w:num w:numId="16">
    <w:abstractNumId w:val="8"/>
  </w:num>
  <w:num w:numId="17">
    <w:abstractNumId w:val="22"/>
  </w:num>
  <w:num w:numId="18">
    <w:abstractNumId w:val="10"/>
  </w:num>
  <w:num w:numId="19">
    <w:abstractNumId w:val="0"/>
  </w:num>
  <w:num w:numId="20">
    <w:abstractNumId w:val="15"/>
  </w:num>
  <w:num w:numId="21">
    <w:abstractNumId w:val="43"/>
  </w:num>
  <w:num w:numId="22">
    <w:abstractNumId w:val="25"/>
  </w:num>
  <w:num w:numId="23">
    <w:abstractNumId w:val="31"/>
  </w:num>
  <w:num w:numId="24">
    <w:abstractNumId w:val="7"/>
  </w:num>
  <w:num w:numId="25">
    <w:abstractNumId w:val="33"/>
  </w:num>
  <w:num w:numId="26">
    <w:abstractNumId w:val="11"/>
  </w:num>
  <w:num w:numId="27">
    <w:abstractNumId w:val="45"/>
  </w:num>
  <w:num w:numId="28">
    <w:abstractNumId w:val="34"/>
  </w:num>
  <w:num w:numId="29">
    <w:abstractNumId w:val="5"/>
  </w:num>
  <w:num w:numId="30">
    <w:abstractNumId w:val="35"/>
  </w:num>
  <w:num w:numId="31">
    <w:abstractNumId w:val="17"/>
  </w:num>
  <w:num w:numId="32">
    <w:abstractNumId w:val="40"/>
  </w:num>
  <w:num w:numId="33">
    <w:abstractNumId w:val="44"/>
  </w:num>
  <w:num w:numId="34">
    <w:abstractNumId w:val="9"/>
  </w:num>
  <w:num w:numId="35">
    <w:abstractNumId w:val="42"/>
  </w:num>
  <w:num w:numId="36">
    <w:abstractNumId w:val="16"/>
  </w:num>
  <w:num w:numId="37">
    <w:abstractNumId w:val="21"/>
  </w:num>
  <w:num w:numId="38">
    <w:abstractNumId w:val="37"/>
  </w:num>
  <w:num w:numId="39">
    <w:abstractNumId w:val="18"/>
  </w:num>
  <w:num w:numId="40">
    <w:abstractNumId w:val="23"/>
  </w:num>
  <w:num w:numId="41">
    <w:abstractNumId w:val="46"/>
  </w:num>
  <w:num w:numId="42">
    <w:abstractNumId w:val="2"/>
  </w:num>
  <w:num w:numId="43">
    <w:abstractNumId w:val="48"/>
  </w:num>
  <w:num w:numId="44">
    <w:abstractNumId w:val="28"/>
  </w:num>
  <w:num w:numId="45">
    <w:abstractNumId w:val="13"/>
  </w:num>
  <w:num w:numId="46">
    <w:abstractNumId w:val="39"/>
  </w:num>
  <w:num w:numId="47">
    <w:abstractNumId w:val="36"/>
  </w:num>
  <w:num w:numId="48">
    <w:abstractNumId w:val="3"/>
  </w:num>
  <w:num w:numId="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2"/>
  <w:hideSpellingErrors/>
  <w:hideGrammaticalErrors/>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1342"/>
    <w:rsid w:val="00022847"/>
    <w:rsid w:val="00024529"/>
    <w:rsid w:val="00024790"/>
    <w:rsid w:val="000248B5"/>
    <w:rsid w:val="000268BB"/>
    <w:rsid w:val="0003243A"/>
    <w:rsid w:val="00034663"/>
    <w:rsid w:val="00034D64"/>
    <w:rsid w:val="00040D8C"/>
    <w:rsid w:val="00042303"/>
    <w:rsid w:val="00042B57"/>
    <w:rsid w:val="00043C57"/>
    <w:rsid w:val="000459B6"/>
    <w:rsid w:val="000514F1"/>
    <w:rsid w:val="000518D6"/>
    <w:rsid w:val="000533E4"/>
    <w:rsid w:val="00054966"/>
    <w:rsid w:val="00055AB5"/>
    <w:rsid w:val="00057CFB"/>
    <w:rsid w:val="00060376"/>
    <w:rsid w:val="000619F5"/>
    <w:rsid w:val="00072080"/>
    <w:rsid w:val="00073939"/>
    <w:rsid w:val="000755EA"/>
    <w:rsid w:val="00076265"/>
    <w:rsid w:val="000765C2"/>
    <w:rsid w:val="00082266"/>
    <w:rsid w:val="00082F1D"/>
    <w:rsid w:val="00087C89"/>
    <w:rsid w:val="00091A46"/>
    <w:rsid w:val="00092F25"/>
    <w:rsid w:val="00093AA8"/>
    <w:rsid w:val="0009415D"/>
    <w:rsid w:val="00095C9D"/>
    <w:rsid w:val="00096985"/>
    <w:rsid w:val="00096F02"/>
    <w:rsid w:val="00097617"/>
    <w:rsid w:val="000A1E47"/>
    <w:rsid w:val="000A3B4D"/>
    <w:rsid w:val="000A5C87"/>
    <w:rsid w:val="000A6B3D"/>
    <w:rsid w:val="000B3F8E"/>
    <w:rsid w:val="000B5AFE"/>
    <w:rsid w:val="000D199E"/>
    <w:rsid w:val="000D598C"/>
    <w:rsid w:val="000D7CC8"/>
    <w:rsid w:val="000E268C"/>
    <w:rsid w:val="000E32F6"/>
    <w:rsid w:val="000E4CA8"/>
    <w:rsid w:val="000E5BA6"/>
    <w:rsid w:val="000F02F6"/>
    <w:rsid w:val="000F0BAF"/>
    <w:rsid w:val="000F25ED"/>
    <w:rsid w:val="000F482E"/>
    <w:rsid w:val="000F73E5"/>
    <w:rsid w:val="0010145D"/>
    <w:rsid w:val="00101F1C"/>
    <w:rsid w:val="00105B8E"/>
    <w:rsid w:val="0010675C"/>
    <w:rsid w:val="00106D98"/>
    <w:rsid w:val="00106F6D"/>
    <w:rsid w:val="00107B9B"/>
    <w:rsid w:val="0011415C"/>
    <w:rsid w:val="00117D28"/>
    <w:rsid w:val="00121E29"/>
    <w:rsid w:val="00122D1F"/>
    <w:rsid w:val="0012550D"/>
    <w:rsid w:val="001268E9"/>
    <w:rsid w:val="00130958"/>
    <w:rsid w:val="00132CEC"/>
    <w:rsid w:val="00135A36"/>
    <w:rsid w:val="00136EC9"/>
    <w:rsid w:val="00140FA1"/>
    <w:rsid w:val="00146D52"/>
    <w:rsid w:val="00152CDE"/>
    <w:rsid w:val="00153CC5"/>
    <w:rsid w:val="00154CFD"/>
    <w:rsid w:val="00155BCF"/>
    <w:rsid w:val="00155C06"/>
    <w:rsid w:val="00155EBC"/>
    <w:rsid w:val="00160962"/>
    <w:rsid w:val="001624D1"/>
    <w:rsid w:val="001634B1"/>
    <w:rsid w:val="00163579"/>
    <w:rsid w:val="00165C98"/>
    <w:rsid w:val="00166272"/>
    <w:rsid w:val="00166898"/>
    <w:rsid w:val="00167D1D"/>
    <w:rsid w:val="00170184"/>
    <w:rsid w:val="001749AF"/>
    <w:rsid w:val="00176471"/>
    <w:rsid w:val="00177E6F"/>
    <w:rsid w:val="001816AF"/>
    <w:rsid w:val="00183149"/>
    <w:rsid w:val="00190F27"/>
    <w:rsid w:val="00191A00"/>
    <w:rsid w:val="001942D4"/>
    <w:rsid w:val="001960B2"/>
    <w:rsid w:val="001A1919"/>
    <w:rsid w:val="001A2945"/>
    <w:rsid w:val="001A5959"/>
    <w:rsid w:val="001A65E0"/>
    <w:rsid w:val="001B2638"/>
    <w:rsid w:val="001B4C1E"/>
    <w:rsid w:val="001B6744"/>
    <w:rsid w:val="001B7903"/>
    <w:rsid w:val="001B796E"/>
    <w:rsid w:val="001C0806"/>
    <w:rsid w:val="001C1A1A"/>
    <w:rsid w:val="001C2335"/>
    <w:rsid w:val="001C445C"/>
    <w:rsid w:val="001C5CDE"/>
    <w:rsid w:val="001C6A0A"/>
    <w:rsid w:val="001C7EC0"/>
    <w:rsid w:val="001D2895"/>
    <w:rsid w:val="001D31EB"/>
    <w:rsid w:val="001D77D6"/>
    <w:rsid w:val="001D7939"/>
    <w:rsid w:val="001E7BC5"/>
    <w:rsid w:val="001F11B1"/>
    <w:rsid w:val="001F194A"/>
    <w:rsid w:val="001F2EE7"/>
    <w:rsid w:val="001F78C3"/>
    <w:rsid w:val="001F797D"/>
    <w:rsid w:val="0020004E"/>
    <w:rsid w:val="002007CE"/>
    <w:rsid w:val="002009A1"/>
    <w:rsid w:val="00200D3D"/>
    <w:rsid w:val="0020160E"/>
    <w:rsid w:val="0020170B"/>
    <w:rsid w:val="00204052"/>
    <w:rsid w:val="002044B0"/>
    <w:rsid w:val="0020507F"/>
    <w:rsid w:val="002070EA"/>
    <w:rsid w:val="002101FE"/>
    <w:rsid w:val="00211362"/>
    <w:rsid w:val="00212E52"/>
    <w:rsid w:val="00213234"/>
    <w:rsid w:val="00213B0C"/>
    <w:rsid w:val="00214854"/>
    <w:rsid w:val="0021715D"/>
    <w:rsid w:val="00217DA0"/>
    <w:rsid w:val="00221AAC"/>
    <w:rsid w:val="00223BC9"/>
    <w:rsid w:val="00223E9D"/>
    <w:rsid w:val="00223F53"/>
    <w:rsid w:val="00224329"/>
    <w:rsid w:val="00225DD1"/>
    <w:rsid w:val="00225E16"/>
    <w:rsid w:val="00233280"/>
    <w:rsid w:val="00234BD8"/>
    <w:rsid w:val="0024206A"/>
    <w:rsid w:val="0024225E"/>
    <w:rsid w:val="00242CF2"/>
    <w:rsid w:val="00243465"/>
    <w:rsid w:val="00243B60"/>
    <w:rsid w:val="00244A6F"/>
    <w:rsid w:val="00247DF1"/>
    <w:rsid w:val="00250F7F"/>
    <w:rsid w:val="00260E70"/>
    <w:rsid w:val="00263A53"/>
    <w:rsid w:val="00264FD5"/>
    <w:rsid w:val="00265698"/>
    <w:rsid w:val="00266C06"/>
    <w:rsid w:val="00267E57"/>
    <w:rsid w:val="00272C0B"/>
    <w:rsid w:val="0027350F"/>
    <w:rsid w:val="00274D4C"/>
    <w:rsid w:val="002753F6"/>
    <w:rsid w:val="002755C9"/>
    <w:rsid w:val="00277C89"/>
    <w:rsid w:val="00280456"/>
    <w:rsid w:val="00280A1A"/>
    <w:rsid w:val="00282145"/>
    <w:rsid w:val="00283868"/>
    <w:rsid w:val="00284AC7"/>
    <w:rsid w:val="00284DFC"/>
    <w:rsid w:val="002879C8"/>
    <w:rsid w:val="00291458"/>
    <w:rsid w:val="00294D56"/>
    <w:rsid w:val="00294FCA"/>
    <w:rsid w:val="00296ECC"/>
    <w:rsid w:val="002A4403"/>
    <w:rsid w:val="002A4475"/>
    <w:rsid w:val="002A47D7"/>
    <w:rsid w:val="002B279D"/>
    <w:rsid w:val="002B5575"/>
    <w:rsid w:val="002C1734"/>
    <w:rsid w:val="002C7626"/>
    <w:rsid w:val="002C7D02"/>
    <w:rsid w:val="002D3DB1"/>
    <w:rsid w:val="002D4309"/>
    <w:rsid w:val="002D5E08"/>
    <w:rsid w:val="002D5F14"/>
    <w:rsid w:val="002E0FFB"/>
    <w:rsid w:val="002E2079"/>
    <w:rsid w:val="002E5221"/>
    <w:rsid w:val="002E6408"/>
    <w:rsid w:val="002E6434"/>
    <w:rsid w:val="002F000B"/>
    <w:rsid w:val="002F0D74"/>
    <w:rsid w:val="002F5953"/>
    <w:rsid w:val="002F5F81"/>
    <w:rsid w:val="00300CDA"/>
    <w:rsid w:val="00301305"/>
    <w:rsid w:val="0030276C"/>
    <w:rsid w:val="0030426B"/>
    <w:rsid w:val="00306141"/>
    <w:rsid w:val="0030787B"/>
    <w:rsid w:val="0031187E"/>
    <w:rsid w:val="003168B3"/>
    <w:rsid w:val="00317983"/>
    <w:rsid w:val="003229FE"/>
    <w:rsid w:val="00323264"/>
    <w:rsid w:val="003248D9"/>
    <w:rsid w:val="00325554"/>
    <w:rsid w:val="003305E1"/>
    <w:rsid w:val="00331E2C"/>
    <w:rsid w:val="0033267A"/>
    <w:rsid w:val="003333CC"/>
    <w:rsid w:val="00336EED"/>
    <w:rsid w:val="003403C8"/>
    <w:rsid w:val="003412F2"/>
    <w:rsid w:val="00346E06"/>
    <w:rsid w:val="00346E87"/>
    <w:rsid w:val="003547D6"/>
    <w:rsid w:val="00363075"/>
    <w:rsid w:val="00364C67"/>
    <w:rsid w:val="003655D2"/>
    <w:rsid w:val="00365BF7"/>
    <w:rsid w:val="0036796A"/>
    <w:rsid w:val="003706C5"/>
    <w:rsid w:val="0037437B"/>
    <w:rsid w:val="003745EF"/>
    <w:rsid w:val="00374A9D"/>
    <w:rsid w:val="00375597"/>
    <w:rsid w:val="0038331D"/>
    <w:rsid w:val="003839B4"/>
    <w:rsid w:val="003878FE"/>
    <w:rsid w:val="00395396"/>
    <w:rsid w:val="003953EE"/>
    <w:rsid w:val="00397541"/>
    <w:rsid w:val="00397BE8"/>
    <w:rsid w:val="003A135F"/>
    <w:rsid w:val="003A14C5"/>
    <w:rsid w:val="003A38DC"/>
    <w:rsid w:val="003A3BA9"/>
    <w:rsid w:val="003A63A5"/>
    <w:rsid w:val="003B1CE2"/>
    <w:rsid w:val="003C118D"/>
    <w:rsid w:val="003C400C"/>
    <w:rsid w:val="003C4586"/>
    <w:rsid w:val="003C48FF"/>
    <w:rsid w:val="003C711F"/>
    <w:rsid w:val="003D0E7F"/>
    <w:rsid w:val="003D5049"/>
    <w:rsid w:val="003D59B2"/>
    <w:rsid w:val="003D5A7F"/>
    <w:rsid w:val="003D5ED0"/>
    <w:rsid w:val="003E3C32"/>
    <w:rsid w:val="003E66AE"/>
    <w:rsid w:val="003E72F7"/>
    <w:rsid w:val="003F29A8"/>
    <w:rsid w:val="003F398D"/>
    <w:rsid w:val="0040042E"/>
    <w:rsid w:val="004029C2"/>
    <w:rsid w:val="00403430"/>
    <w:rsid w:val="00403A89"/>
    <w:rsid w:val="00404508"/>
    <w:rsid w:val="00407654"/>
    <w:rsid w:val="0041300C"/>
    <w:rsid w:val="00417093"/>
    <w:rsid w:val="00420682"/>
    <w:rsid w:val="00421586"/>
    <w:rsid w:val="00425FAB"/>
    <w:rsid w:val="00433BCD"/>
    <w:rsid w:val="00436717"/>
    <w:rsid w:val="00437B33"/>
    <w:rsid w:val="00440615"/>
    <w:rsid w:val="00441E33"/>
    <w:rsid w:val="0044332A"/>
    <w:rsid w:val="004449E6"/>
    <w:rsid w:val="00444B6F"/>
    <w:rsid w:val="00445610"/>
    <w:rsid w:val="00446CCC"/>
    <w:rsid w:val="0045538C"/>
    <w:rsid w:val="004555DB"/>
    <w:rsid w:val="00455BBA"/>
    <w:rsid w:val="00456458"/>
    <w:rsid w:val="00460531"/>
    <w:rsid w:val="00460BC4"/>
    <w:rsid w:val="004647DB"/>
    <w:rsid w:val="00471609"/>
    <w:rsid w:val="00471D08"/>
    <w:rsid w:val="00476EC9"/>
    <w:rsid w:val="004771A5"/>
    <w:rsid w:val="00477804"/>
    <w:rsid w:val="00482382"/>
    <w:rsid w:val="0048341A"/>
    <w:rsid w:val="00484922"/>
    <w:rsid w:val="004866A8"/>
    <w:rsid w:val="00486954"/>
    <w:rsid w:val="00492BFD"/>
    <w:rsid w:val="00496497"/>
    <w:rsid w:val="00497B25"/>
    <w:rsid w:val="004A5884"/>
    <w:rsid w:val="004A5DE6"/>
    <w:rsid w:val="004B12D2"/>
    <w:rsid w:val="004B42B2"/>
    <w:rsid w:val="004B6641"/>
    <w:rsid w:val="004B6ED9"/>
    <w:rsid w:val="004C0123"/>
    <w:rsid w:val="004C20B0"/>
    <w:rsid w:val="004C2DFD"/>
    <w:rsid w:val="004C3D2D"/>
    <w:rsid w:val="004D049A"/>
    <w:rsid w:val="004D36A0"/>
    <w:rsid w:val="004D3CFC"/>
    <w:rsid w:val="004D6C7D"/>
    <w:rsid w:val="004D6DAE"/>
    <w:rsid w:val="004D74A9"/>
    <w:rsid w:val="004E0701"/>
    <w:rsid w:val="004E0CFF"/>
    <w:rsid w:val="004E1C0F"/>
    <w:rsid w:val="004E3A56"/>
    <w:rsid w:val="004E48D1"/>
    <w:rsid w:val="004E62D6"/>
    <w:rsid w:val="004E7290"/>
    <w:rsid w:val="004E78DB"/>
    <w:rsid w:val="004E7E53"/>
    <w:rsid w:val="004F20DC"/>
    <w:rsid w:val="004F446C"/>
    <w:rsid w:val="004F447A"/>
    <w:rsid w:val="004F48F4"/>
    <w:rsid w:val="004F525C"/>
    <w:rsid w:val="004F7030"/>
    <w:rsid w:val="00501FFD"/>
    <w:rsid w:val="0050694C"/>
    <w:rsid w:val="00511AEA"/>
    <w:rsid w:val="00513E1E"/>
    <w:rsid w:val="00513F13"/>
    <w:rsid w:val="005201B5"/>
    <w:rsid w:val="00520FD5"/>
    <w:rsid w:val="00521C51"/>
    <w:rsid w:val="0052203F"/>
    <w:rsid w:val="005222A5"/>
    <w:rsid w:val="00522FFB"/>
    <w:rsid w:val="00531970"/>
    <w:rsid w:val="00531A97"/>
    <w:rsid w:val="00533AC7"/>
    <w:rsid w:val="00535039"/>
    <w:rsid w:val="00536F06"/>
    <w:rsid w:val="00542102"/>
    <w:rsid w:val="005447E2"/>
    <w:rsid w:val="00545958"/>
    <w:rsid w:val="00550FA3"/>
    <w:rsid w:val="00552AF2"/>
    <w:rsid w:val="005539A0"/>
    <w:rsid w:val="0055575B"/>
    <w:rsid w:val="00556AD2"/>
    <w:rsid w:val="0055707F"/>
    <w:rsid w:val="00557A82"/>
    <w:rsid w:val="00564DC3"/>
    <w:rsid w:val="00564DFD"/>
    <w:rsid w:val="005661F9"/>
    <w:rsid w:val="0057001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153F"/>
    <w:rsid w:val="005A334C"/>
    <w:rsid w:val="005A65C8"/>
    <w:rsid w:val="005A72A1"/>
    <w:rsid w:val="005A7379"/>
    <w:rsid w:val="005B13DD"/>
    <w:rsid w:val="005B1D69"/>
    <w:rsid w:val="005B3100"/>
    <w:rsid w:val="005B5423"/>
    <w:rsid w:val="005B5FD1"/>
    <w:rsid w:val="005B6E3F"/>
    <w:rsid w:val="005C1F7E"/>
    <w:rsid w:val="005C67AB"/>
    <w:rsid w:val="005C79A5"/>
    <w:rsid w:val="005D05F3"/>
    <w:rsid w:val="005D15D9"/>
    <w:rsid w:val="005D6EAD"/>
    <w:rsid w:val="005E606B"/>
    <w:rsid w:val="005F00A8"/>
    <w:rsid w:val="005F010E"/>
    <w:rsid w:val="005F4CBC"/>
    <w:rsid w:val="005F641A"/>
    <w:rsid w:val="00602362"/>
    <w:rsid w:val="00604043"/>
    <w:rsid w:val="0060535D"/>
    <w:rsid w:val="006054F9"/>
    <w:rsid w:val="006066FA"/>
    <w:rsid w:val="00606E39"/>
    <w:rsid w:val="0061141E"/>
    <w:rsid w:val="00614273"/>
    <w:rsid w:val="00614D80"/>
    <w:rsid w:val="0062077A"/>
    <w:rsid w:val="00621A17"/>
    <w:rsid w:val="006234F9"/>
    <w:rsid w:val="00623F4C"/>
    <w:rsid w:val="00633B19"/>
    <w:rsid w:val="0064441A"/>
    <w:rsid w:val="006465EF"/>
    <w:rsid w:val="00646924"/>
    <w:rsid w:val="00647466"/>
    <w:rsid w:val="00650383"/>
    <w:rsid w:val="00651D0E"/>
    <w:rsid w:val="00651FA2"/>
    <w:rsid w:val="00654305"/>
    <w:rsid w:val="006556A9"/>
    <w:rsid w:val="00660AF3"/>
    <w:rsid w:val="00662001"/>
    <w:rsid w:val="00663243"/>
    <w:rsid w:val="00670431"/>
    <w:rsid w:val="00670AA2"/>
    <w:rsid w:val="0067274B"/>
    <w:rsid w:val="0067406E"/>
    <w:rsid w:val="0067569D"/>
    <w:rsid w:val="006775C2"/>
    <w:rsid w:val="00677E6C"/>
    <w:rsid w:val="00683C22"/>
    <w:rsid w:val="0068478A"/>
    <w:rsid w:val="006908E5"/>
    <w:rsid w:val="00693B1A"/>
    <w:rsid w:val="00694869"/>
    <w:rsid w:val="00696D19"/>
    <w:rsid w:val="00697DA0"/>
    <w:rsid w:val="006A1DED"/>
    <w:rsid w:val="006A2688"/>
    <w:rsid w:val="006A336F"/>
    <w:rsid w:val="006A4408"/>
    <w:rsid w:val="006B02FE"/>
    <w:rsid w:val="006B3074"/>
    <w:rsid w:val="006B3952"/>
    <w:rsid w:val="006C2C78"/>
    <w:rsid w:val="006C3818"/>
    <w:rsid w:val="006C3A0A"/>
    <w:rsid w:val="006C54E5"/>
    <w:rsid w:val="006C6D22"/>
    <w:rsid w:val="006C7476"/>
    <w:rsid w:val="006C7C29"/>
    <w:rsid w:val="006D1036"/>
    <w:rsid w:val="006D558C"/>
    <w:rsid w:val="006D6812"/>
    <w:rsid w:val="006E17B5"/>
    <w:rsid w:val="006E5CF4"/>
    <w:rsid w:val="006E715F"/>
    <w:rsid w:val="006F11A8"/>
    <w:rsid w:val="006F4D55"/>
    <w:rsid w:val="006F5C30"/>
    <w:rsid w:val="007031E5"/>
    <w:rsid w:val="00703E15"/>
    <w:rsid w:val="00707B70"/>
    <w:rsid w:val="00711F23"/>
    <w:rsid w:val="0071247D"/>
    <w:rsid w:val="007140D9"/>
    <w:rsid w:val="00716CDE"/>
    <w:rsid w:val="007217C2"/>
    <w:rsid w:val="007243F1"/>
    <w:rsid w:val="00724C1C"/>
    <w:rsid w:val="00726525"/>
    <w:rsid w:val="00727A4D"/>
    <w:rsid w:val="0073064D"/>
    <w:rsid w:val="00730AC6"/>
    <w:rsid w:val="00736DC8"/>
    <w:rsid w:val="007403CF"/>
    <w:rsid w:val="00740D48"/>
    <w:rsid w:val="00742442"/>
    <w:rsid w:val="007456FE"/>
    <w:rsid w:val="00750152"/>
    <w:rsid w:val="00750246"/>
    <w:rsid w:val="00750AED"/>
    <w:rsid w:val="00760420"/>
    <w:rsid w:val="007617F8"/>
    <w:rsid w:val="007654B3"/>
    <w:rsid w:val="00770CEF"/>
    <w:rsid w:val="00770FAD"/>
    <w:rsid w:val="00772520"/>
    <w:rsid w:val="00772C10"/>
    <w:rsid w:val="00773853"/>
    <w:rsid w:val="00774741"/>
    <w:rsid w:val="007748A2"/>
    <w:rsid w:val="007749AC"/>
    <w:rsid w:val="00774A36"/>
    <w:rsid w:val="00775308"/>
    <w:rsid w:val="00781CCC"/>
    <w:rsid w:val="0078321A"/>
    <w:rsid w:val="00783285"/>
    <w:rsid w:val="0078359B"/>
    <w:rsid w:val="00783B0B"/>
    <w:rsid w:val="00787125"/>
    <w:rsid w:val="007874BD"/>
    <w:rsid w:val="0078794C"/>
    <w:rsid w:val="00787C0C"/>
    <w:rsid w:val="007950AB"/>
    <w:rsid w:val="007950F4"/>
    <w:rsid w:val="007A0597"/>
    <w:rsid w:val="007A1622"/>
    <w:rsid w:val="007A2236"/>
    <w:rsid w:val="007A2A36"/>
    <w:rsid w:val="007A2E0E"/>
    <w:rsid w:val="007A460E"/>
    <w:rsid w:val="007B1BC3"/>
    <w:rsid w:val="007B4156"/>
    <w:rsid w:val="007C03A2"/>
    <w:rsid w:val="007C083E"/>
    <w:rsid w:val="007C12C0"/>
    <w:rsid w:val="007C3B57"/>
    <w:rsid w:val="007C41EB"/>
    <w:rsid w:val="007C63DF"/>
    <w:rsid w:val="007D29FF"/>
    <w:rsid w:val="007D6440"/>
    <w:rsid w:val="007D742E"/>
    <w:rsid w:val="007D76F7"/>
    <w:rsid w:val="007E0959"/>
    <w:rsid w:val="007E2515"/>
    <w:rsid w:val="007E6D9E"/>
    <w:rsid w:val="007F2AAA"/>
    <w:rsid w:val="007F3B8B"/>
    <w:rsid w:val="007F46B2"/>
    <w:rsid w:val="007F5841"/>
    <w:rsid w:val="007F6642"/>
    <w:rsid w:val="007F7012"/>
    <w:rsid w:val="00801431"/>
    <w:rsid w:val="00801790"/>
    <w:rsid w:val="00801F56"/>
    <w:rsid w:val="008030D2"/>
    <w:rsid w:val="00811138"/>
    <w:rsid w:val="0081405B"/>
    <w:rsid w:val="008142BC"/>
    <w:rsid w:val="00814FCE"/>
    <w:rsid w:val="00816DD2"/>
    <w:rsid w:val="00817643"/>
    <w:rsid w:val="0082094B"/>
    <w:rsid w:val="00820E26"/>
    <w:rsid w:val="008220D1"/>
    <w:rsid w:val="00827E64"/>
    <w:rsid w:val="008372DF"/>
    <w:rsid w:val="00840462"/>
    <w:rsid w:val="008420C3"/>
    <w:rsid w:val="00847AEA"/>
    <w:rsid w:val="00847C6A"/>
    <w:rsid w:val="00847F23"/>
    <w:rsid w:val="00850FC7"/>
    <w:rsid w:val="0085205B"/>
    <w:rsid w:val="008535CB"/>
    <w:rsid w:val="0085472C"/>
    <w:rsid w:val="00856C2E"/>
    <w:rsid w:val="00857D03"/>
    <w:rsid w:val="00860735"/>
    <w:rsid w:val="008620E4"/>
    <w:rsid w:val="0086360A"/>
    <w:rsid w:val="00863E39"/>
    <w:rsid w:val="00864192"/>
    <w:rsid w:val="0086631D"/>
    <w:rsid w:val="0087208B"/>
    <w:rsid w:val="008720AB"/>
    <w:rsid w:val="0087264B"/>
    <w:rsid w:val="0087468B"/>
    <w:rsid w:val="00874C9F"/>
    <w:rsid w:val="00875F7D"/>
    <w:rsid w:val="008775AC"/>
    <w:rsid w:val="008814EA"/>
    <w:rsid w:val="008824FD"/>
    <w:rsid w:val="00882ABD"/>
    <w:rsid w:val="0088367C"/>
    <w:rsid w:val="00883D53"/>
    <w:rsid w:val="0088796B"/>
    <w:rsid w:val="00887E61"/>
    <w:rsid w:val="008914C1"/>
    <w:rsid w:val="00892C77"/>
    <w:rsid w:val="00894495"/>
    <w:rsid w:val="00894C20"/>
    <w:rsid w:val="00896644"/>
    <w:rsid w:val="0089762F"/>
    <w:rsid w:val="008A1646"/>
    <w:rsid w:val="008A38AE"/>
    <w:rsid w:val="008A3C31"/>
    <w:rsid w:val="008A48E5"/>
    <w:rsid w:val="008B189E"/>
    <w:rsid w:val="008B1A0A"/>
    <w:rsid w:val="008B1D57"/>
    <w:rsid w:val="008B3FAE"/>
    <w:rsid w:val="008B5591"/>
    <w:rsid w:val="008C15C7"/>
    <w:rsid w:val="008C1C92"/>
    <w:rsid w:val="008C3427"/>
    <w:rsid w:val="008D12D7"/>
    <w:rsid w:val="008D21D2"/>
    <w:rsid w:val="008D3FB7"/>
    <w:rsid w:val="008D4F14"/>
    <w:rsid w:val="008D629B"/>
    <w:rsid w:val="008E125A"/>
    <w:rsid w:val="008E4654"/>
    <w:rsid w:val="00900D7B"/>
    <w:rsid w:val="0090197C"/>
    <w:rsid w:val="0090228E"/>
    <w:rsid w:val="00903B69"/>
    <w:rsid w:val="00903DE7"/>
    <w:rsid w:val="00904604"/>
    <w:rsid w:val="0090583C"/>
    <w:rsid w:val="00907AC1"/>
    <w:rsid w:val="0091014E"/>
    <w:rsid w:val="009104DF"/>
    <w:rsid w:val="00910C6A"/>
    <w:rsid w:val="00913E39"/>
    <w:rsid w:val="009214CB"/>
    <w:rsid w:val="00924274"/>
    <w:rsid w:val="00925F09"/>
    <w:rsid w:val="009304E9"/>
    <w:rsid w:val="009438AE"/>
    <w:rsid w:val="00944D6B"/>
    <w:rsid w:val="00947621"/>
    <w:rsid w:val="00954FD3"/>
    <w:rsid w:val="00956141"/>
    <w:rsid w:val="00957A39"/>
    <w:rsid w:val="00957B5F"/>
    <w:rsid w:val="0096096B"/>
    <w:rsid w:val="00961102"/>
    <w:rsid w:val="00961E3E"/>
    <w:rsid w:val="00963665"/>
    <w:rsid w:val="00963990"/>
    <w:rsid w:val="00964128"/>
    <w:rsid w:val="0096575A"/>
    <w:rsid w:val="00970D95"/>
    <w:rsid w:val="00974717"/>
    <w:rsid w:val="00976A3C"/>
    <w:rsid w:val="00976B1C"/>
    <w:rsid w:val="00977C00"/>
    <w:rsid w:val="00983F4A"/>
    <w:rsid w:val="009874B3"/>
    <w:rsid w:val="00991D86"/>
    <w:rsid w:val="009926E9"/>
    <w:rsid w:val="00993777"/>
    <w:rsid w:val="0099741A"/>
    <w:rsid w:val="00997F40"/>
    <w:rsid w:val="009A2331"/>
    <w:rsid w:val="009A3184"/>
    <w:rsid w:val="009A4870"/>
    <w:rsid w:val="009A6F98"/>
    <w:rsid w:val="009A789B"/>
    <w:rsid w:val="009B1183"/>
    <w:rsid w:val="009B31EE"/>
    <w:rsid w:val="009B61B1"/>
    <w:rsid w:val="009B70D5"/>
    <w:rsid w:val="009B7298"/>
    <w:rsid w:val="009C0ABA"/>
    <w:rsid w:val="009C12D6"/>
    <w:rsid w:val="009C2266"/>
    <w:rsid w:val="009C52A4"/>
    <w:rsid w:val="009D36E7"/>
    <w:rsid w:val="009E259E"/>
    <w:rsid w:val="009E2AF7"/>
    <w:rsid w:val="009F231D"/>
    <w:rsid w:val="009F7315"/>
    <w:rsid w:val="00A01F1A"/>
    <w:rsid w:val="00A03551"/>
    <w:rsid w:val="00A0365C"/>
    <w:rsid w:val="00A068A6"/>
    <w:rsid w:val="00A06D12"/>
    <w:rsid w:val="00A10B5D"/>
    <w:rsid w:val="00A1469E"/>
    <w:rsid w:val="00A159CC"/>
    <w:rsid w:val="00A15DE9"/>
    <w:rsid w:val="00A17508"/>
    <w:rsid w:val="00A22A81"/>
    <w:rsid w:val="00A22AA7"/>
    <w:rsid w:val="00A27C1F"/>
    <w:rsid w:val="00A30214"/>
    <w:rsid w:val="00A34D9D"/>
    <w:rsid w:val="00A35A3F"/>
    <w:rsid w:val="00A36786"/>
    <w:rsid w:val="00A3681E"/>
    <w:rsid w:val="00A40685"/>
    <w:rsid w:val="00A431DD"/>
    <w:rsid w:val="00A45EB0"/>
    <w:rsid w:val="00A510CF"/>
    <w:rsid w:val="00A540A4"/>
    <w:rsid w:val="00A5415E"/>
    <w:rsid w:val="00A5451D"/>
    <w:rsid w:val="00A56912"/>
    <w:rsid w:val="00A645A6"/>
    <w:rsid w:val="00A7323D"/>
    <w:rsid w:val="00A7382D"/>
    <w:rsid w:val="00A73C88"/>
    <w:rsid w:val="00A75385"/>
    <w:rsid w:val="00A7726A"/>
    <w:rsid w:val="00A7761C"/>
    <w:rsid w:val="00A81A3B"/>
    <w:rsid w:val="00A846B0"/>
    <w:rsid w:val="00A86F52"/>
    <w:rsid w:val="00A87C97"/>
    <w:rsid w:val="00A97B73"/>
    <w:rsid w:val="00AA23F3"/>
    <w:rsid w:val="00AA29EF"/>
    <w:rsid w:val="00AA32E0"/>
    <w:rsid w:val="00AA5367"/>
    <w:rsid w:val="00AA545E"/>
    <w:rsid w:val="00AA7433"/>
    <w:rsid w:val="00AB18EF"/>
    <w:rsid w:val="00AB259F"/>
    <w:rsid w:val="00AB2B27"/>
    <w:rsid w:val="00AB53BA"/>
    <w:rsid w:val="00AB6C2C"/>
    <w:rsid w:val="00AC1E29"/>
    <w:rsid w:val="00AC2686"/>
    <w:rsid w:val="00AC3A3A"/>
    <w:rsid w:val="00AC6380"/>
    <w:rsid w:val="00AD1072"/>
    <w:rsid w:val="00AD2AD0"/>
    <w:rsid w:val="00AD4C52"/>
    <w:rsid w:val="00AD6018"/>
    <w:rsid w:val="00AE3721"/>
    <w:rsid w:val="00AE5B81"/>
    <w:rsid w:val="00AE5CA3"/>
    <w:rsid w:val="00AF0CE9"/>
    <w:rsid w:val="00AF1C1D"/>
    <w:rsid w:val="00AF4010"/>
    <w:rsid w:val="00AF4AE2"/>
    <w:rsid w:val="00AF59F6"/>
    <w:rsid w:val="00AF5D8E"/>
    <w:rsid w:val="00AF79BB"/>
    <w:rsid w:val="00B0033A"/>
    <w:rsid w:val="00B03A16"/>
    <w:rsid w:val="00B05637"/>
    <w:rsid w:val="00B05CD9"/>
    <w:rsid w:val="00B05FAF"/>
    <w:rsid w:val="00B07961"/>
    <w:rsid w:val="00B07A20"/>
    <w:rsid w:val="00B07D47"/>
    <w:rsid w:val="00B10CE8"/>
    <w:rsid w:val="00B1253D"/>
    <w:rsid w:val="00B12642"/>
    <w:rsid w:val="00B14BBE"/>
    <w:rsid w:val="00B16385"/>
    <w:rsid w:val="00B17529"/>
    <w:rsid w:val="00B238ED"/>
    <w:rsid w:val="00B24371"/>
    <w:rsid w:val="00B249CF"/>
    <w:rsid w:val="00B26672"/>
    <w:rsid w:val="00B27420"/>
    <w:rsid w:val="00B2797E"/>
    <w:rsid w:val="00B3200A"/>
    <w:rsid w:val="00B32223"/>
    <w:rsid w:val="00B333A0"/>
    <w:rsid w:val="00B37250"/>
    <w:rsid w:val="00B445F5"/>
    <w:rsid w:val="00B46B49"/>
    <w:rsid w:val="00B51F9D"/>
    <w:rsid w:val="00B52CE0"/>
    <w:rsid w:val="00B5319C"/>
    <w:rsid w:val="00B54D96"/>
    <w:rsid w:val="00B55A70"/>
    <w:rsid w:val="00B6099E"/>
    <w:rsid w:val="00B61804"/>
    <w:rsid w:val="00B62C97"/>
    <w:rsid w:val="00B6427E"/>
    <w:rsid w:val="00B66B20"/>
    <w:rsid w:val="00B67778"/>
    <w:rsid w:val="00B67E49"/>
    <w:rsid w:val="00B70578"/>
    <w:rsid w:val="00B800EC"/>
    <w:rsid w:val="00B8514E"/>
    <w:rsid w:val="00B851D3"/>
    <w:rsid w:val="00B8668D"/>
    <w:rsid w:val="00B87F11"/>
    <w:rsid w:val="00B917EE"/>
    <w:rsid w:val="00B9783F"/>
    <w:rsid w:val="00BA0EA0"/>
    <w:rsid w:val="00BA1706"/>
    <w:rsid w:val="00BA1CAD"/>
    <w:rsid w:val="00BA2297"/>
    <w:rsid w:val="00BA5571"/>
    <w:rsid w:val="00BA7E1D"/>
    <w:rsid w:val="00BB15C8"/>
    <w:rsid w:val="00BB1755"/>
    <w:rsid w:val="00BB6F57"/>
    <w:rsid w:val="00BC0B3B"/>
    <w:rsid w:val="00BC1693"/>
    <w:rsid w:val="00BD230E"/>
    <w:rsid w:val="00BD3368"/>
    <w:rsid w:val="00BD4611"/>
    <w:rsid w:val="00BD625D"/>
    <w:rsid w:val="00BE2BB5"/>
    <w:rsid w:val="00BE2D48"/>
    <w:rsid w:val="00BE3B9F"/>
    <w:rsid w:val="00BE3DA6"/>
    <w:rsid w:val="00BE4BA2"/>
    <w:rsid w:val="00BE5023"/>
    <w:rsid w:val="00BE688F"/>
    <w:rsid w:val="00BF2791"/>
    <w:rsid w:val="00C002B8"/>
    <w:rsid w:val="00C03059"/>
    <w:rsid w:val="00C1023D"/>
    <w:rsid w:val="00C10624"/>
    <w:rsid w:val="00C128B8"/>
    <w:rsid w:val="00C17A6D"/>
    <w:rsid w:val="00C238A5"/>
    <w:rsid w:val="00C23E2C"/>
    <w:rsid w:val="00C27FEE"/>
    <w:rsid w:val="00C31328"/>
    <w:rsid w:val="00C33585"/>
    <w:rsid w:val="00C35D67"/>
    <w:rsid w:val="00C40B28"/>
    <w:rsid w:val="00C41722"/>
    <w:rsid w:val="00C4191B"/>
    <w:rsid w:val="00C4225F"/>
    <w:rsid w:val="00C446ED"/>
    <w:rsid w:val="00C4677B"/>
    <w:rsid w:val="00C5239D"/>
    <w:rsid w:val="00C53EBB"/>
    <w:rsid w:val="00C60CAD"/>
    <w:rsid w:val="00C64288"/>
    <w:rsid w:val="00C64341"/>
    <w:rsid w:val="00C6446D"/>
    <w:rsid w:val="00C645AF"/>
    <w:rsid w:val="00C6573D"/>
    <w:rsid w:val="00C67295"/>
    <w:rsid w:val="00C70D94"/>
    <w:rsid w:val="00C71734"/>
    <w:rsid w:val="00C7273C"/>
    <w:rsid w:val="00C73A4C"/>
    <w:rsid w:val="00C74B4C"/>
    <w:rsid w:val="00C751AA"/>
    <w:rsid w:val="00C85BBF"/>
    <w:rsid w:val="00C86CD9"/>
    <w:rsid w:val="00C90FD7"/>
    <w:rsid w:val="00C925DC"/>
    <w:rsid w:val="00C92C5B"/>
    <w:rsid w:val="00CA0828"/>
    <w:rsid w:val="00CA56B4"/>
    <w:rsid w:val="00CB0B77"/>
    <w:rsid w:val="00CB13A2"/>
    <w:rsid w:val="00CB157A"/>
    <w:rsid w:val="00CB1B8E"/>
    <w:rsid w:val="00CB42B1"/>
    <w:rsid w:val="00CC15A1"/>
    <w:rsid w:val="00CC6236"/>
    <w:rsid w:val="00CC7027"/>
    <w:rsid w:val="00CC7CA2"/>
    <w:rsid w:val="00CD5705"/>
    <w:rsid w:val="00CD6948"/>
    <w:rsid w:val="00CD7791"/>
    <w:rsid w:val="00CE2478"/>
    <w:rsid w:val="00CE2A6B"/>
    <w:rsid w:val="00CE3DF6"/>
    <w:rsid w:val="00CE42A7"/>
    <w:rsid w:val="00CE4E9C"/>
    <w:rsid w:val="00CE5517"/>
    <w:rsid w:val="00CF38BF"/>
    <w:rsid w:val="00CF5B26"/>
    <w:rsid w:val="00CF6D0A"/>
    <w:rsid w:val="00D00E2F"/>
    <w:rsid w:val="00D061BD"/>
    <w:rsid w:val="00D127E2"/>
    <w:rsid w:val="00D23C4B"/>
    <w:rsid w:val="00D24B56"/>
    <w:rsid w:val="00D3649D"/>
    <w:rsid w:val="00D37241"/>
    <w:rsid w:val="00D40218"/>
    <w:rsid w:val="00D40E62"/>
    <w:rsid w:val="00D41916"/>
    <w:rsid w:val="00D41B39"/>
    <w:rsid w:val="00D45AC2"/>
    <w:rsid w:val="00D45F60"/>
    <w:rsid w:val="00D47F54"/>
    <w:rsid w:val="00D50CA0"/>
    <w:rsid w:val="00D51772"/>
    <w:rsid w:val="00D52992"/>
    <w:rsid w:val="00D5660B"/>
    <w:rsid w:val="00D56C48"/>
    <w:rsid w:val="00D60C6B"/>
    <w:rsid w:val="00D7368E"/>
    <w:rsid w:val="00D77F1A"/>
    <w:rsid w:val="00D84C4E"/>
    <w:rsid w:val="00D87B52"/>
    <w:rsid w:val="00DA2B84"/>
    <w:rsid w:val="00DA56D4"/>
    <w:rsid w:val="00DB24A2"/>
    <w:rsid w:val="00DB4695"/>
    <w:rsid w:val="00DB5847"/>
    <w:rsid w:val="00DB7647"/>
    <w:rsid w:val="00DC03DB"/>
    <w:rsid w:val="00DC0BDC"/>
    <w:rsid w:val="00DC1137"/>
    <w:rsid w:val="00DC21E3"/>
    <w:rsid w:val="00DC34E0"/>
    <w:rsid w:val="00DC54CE"/>
    <w:rsid w:val="00DC6807"/>
    <w:rsid w:val="00DD183D"/>
    <w:rsid w:val="00DD492E"/>
    <w:rsid w:val="00DD596F"/>
    <w:rsid w:val="00DD7DEF"/>
    <w:rsid w:val="00DE163B"/>
    <w:rsid w:val="00DE5BB1"/>
    <w:rsid w:val="00DE5E91"/>
    <w:rsid w:val="00DE793A"/>
    <w:rsid w:val="00DF2019"/>
    <w:rsid w:val="00DF295D"/>
    <w:rsid w:val="00DF62BA"/>
    <w:rsid w:val="00DF729A"/>
    <w:rsid w:val="00DF7D66"/>
    <w:rsid w:val="00E00B3E"/>
    <w:rsid w:val="00E02F28"/>
    <w:rsid w:val="00E04303"/>
    <w:rsid w:val="00E06606"/>
    <w:rsid w:val="00E07E8C"/>
    <w:rsid w:val="00E10D13"/>
    <w:rsid w:val="00E13629"/>
    <w:rsid w:val="00E20095"/>
    <w:rsid w:val="00E208F9"/>
    <w:rsid w:val="00E2334A"/>
    <w:rsid w:val="00E305CF"/>
    <w:rsid w:val="00E31171"/>
    <w:rsid w:val="00E32B8C"/>
    <w:rsid w:val="00E33812"/>
    <w:rsid w:val="00E370B3"/>
    <w:rsid w:val="00E41425"/>
    <w:rsid w:val="00E452DA"/>
    <w:rsid w:val="00E47C1A"/>
    <w:rsid w:val="00E5279C"/>
    <w:rsid w:val="00E528B3"/>
    <w:rsid w:val="00E533DA"/>
    <w:rsid w:val="00E60B3E"/>
    <w:rsid w:val="00E611BD"/>
    <w:rsid w:val="00E61499"/>
    <w:rsid w:val="00E6234F"/>
    <w:rsid w:val="00E623FD"/>
    <w:rsid w:val="00E64173"/>
    <w:rsid w:val="00E64795"/>
    <w:rsid w:val="00E72BC5"/>
    <w:rsid w:val="00E752EA"/>
    <w:rsid w:val="00E76B9D"/>
    <w:rsid w:val="00E7782A"/>
    <w:rsid w:val="00E8030F"/>
    <w:rsid w:val="00E82905"/>
    <w:rsid w:val="00E82EF2"/>
    <w:rsid w:val="00E8580A"/>
    <w:rsid w:val="00E93B9B"/>
    <w:rsid w:val="00E9471E"/>
    <w:rsid w:val="00EB262A"/>
    <w:rsid w:val="00EC0D96"/>
    <w:rsid w:val="00EC22B4"/>
    <w:rsid w:val="00EC2869"/>
    <w:rsid w:val="00EC47A4"/>
    <w:rsid w:val="00EC55E7"/>
    <w:rsid w:val="00EC57E8"/>
    <w:rsid w:val="00EC5AA5"/>
    <w:rsid w:val="00EC5B31"/>
    <w:rsid w:val="00EC78E7"/>
    <w:rsid w:val="00ED2418"/>
    <w:rsid w:val="00ED3463"/>
    <w:rsid w:val="00ED360C"/>
    <w:rsid w:val="00ED7107"/>
    <w:rsid w:val="00EE0035"/>
    <w:rsid w:val="00EE1211"/>
    <w:rsid w:val="00EE5C98"/>
    <w:rsid w:val="00EE7AFE"/>
    <w:rsid w:val="00EE7E5D"/>
    <w:rsid w:val="00EF4CCD"/>
    <w:rsid w:val="00EF60E1"/>
    <w:rsid w:val="00EF6A00"/>
    <w:rsid w:val="00EF7E55"/>
    <w:rsid w:val="00F03AA2"/>
    <w:rsid w:val="00F03F03"/>
    <w:rsid w:val="00F04393"/>
    <w:rsid w:val="00F07F7F"/>
    <w:rsid w:val="00F234B6"/>
    <w:rsid w:val="00F24014"/>
    <w:rsid w:val="00F2604F"/>
    <w:rsid w:val="00F30C68"/>
    <w:rsid w:val="00F312F4"/>
    <w:rsid w:val="00F320F6"/>
    <w:rsid w:val="00F321FF"/>
    <w:rsid w:val="00F32C43"/>
    <w:rsid w:val="00F46B23"/>
    <w:rsid w:val="00F50416"/>
    <w:rsid w:val="00F52125"/>
    <w:rsid w:val="00F529FF"/>
    <w:rsid w:val="00F537D2"/>
    <w:rsid w:val="00F54D14"/>
    <w:rsid w:val="00F6028E"/>
    <w:rsid w:val="00F60A58"/>
    <w:rsid w:val="00F60E7E"/>
    <w:rsid w:val="00F62A46"/>
    <w:rsid w:val="00F630AC"/>
    <w:rsid w:val="00F66706"/>
    <w:rsid w:val="00F753BD"/>
    <w:rsid w:val="00F814BA"/>
    <w:rsid w:val="00F8279D"/>
    <w:rsid w:val="00F83F04"/>
    <w:rsid w:val="00F84F9C"/>
    <w:rsid w:val="00F86F45"/>
    <w:rsid w:val="00F90923"/>
    <w:rsid w:val="00F92EFE"/>
    <w:rsid w:val="00F93F1E"/>
    <w:rsid w:val="00F955DF"/>
    <w:rsid w:val="00FA02A3"/>
    <w:rsid w:val="00FA0571"/>
    <w:rsid w:val="00FA065B"/>
    <w:rsid w:val="00FA3199"/>
    <w:rsid w:val="00FA3C0E"/>
    <w:rsid w:val="00FA643F"/>
    <w:rsid w:val="00FB4718"/>
    <w:rsid w:val="00FB4F69"/>
    <w:rsid w:val="00FB5CED"/>
    <w:rsid w:val="00FB608D"/>
    <w:rsid w:val="00FB742A"/>
    <w:rsid w:val="00FC0017"/>
    <w:rsid w:val="00FC1B04"/>
    <w:rsid w:val="00FC1BB4"/>
    <w:rsid w:val="00FC484A"/>
    <w:rsid w:val="00FC4C60"/>
    <w:rsid w:val="00FC631E"/>
    <w:rsid w:val="00FC6BDD"/>
    <w:rsid w:val="00FD2FED"/>
    <w:rsid w:val="00FD3EA6"/>
    <w:rsid w:val="00FD4130"/>
    <w:rsid w:val="00FD645F"/>
    <w:rsid w:val="00FE32E6"/>
    <w:rsid w:val="00FF0877"/>
    <w:rsid w:val="00FF1103"/>
    <w:rsid w:val="00FF164A"/>
    <w:rsid w:val="00FF2798"/>
    <w:rsid w:val="00FF4D35"/>
    <w:rsid w:val="00FF4EA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772322C"/>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847F23"/>
    <w:pPr>
      <w:keepNext/>
      <w:spacing w:before="240" w:after="60" w:line="240" w:lineRule="auto"/>
      <w:outlineLvl w:val="0"/>
    </w:pPr>
    <w:rPr>
      <w:rFonts w:ascii="Cambria" w:eastAsia="Times New Roman" w:hAnsi="Cambria" w:cs="Times New Roman"/>
      <w:b/>
      <w:bCs/>
      <w:kern w:val="32"/>
      <w:sz w:val="32"/>
      <w:szCs w:val="32"/>
      <w:lang w:val="en-US"/>
    </w:rPr>
  </w:style>
  <w:style w:type="paragraph" w:styleId="Heading2">
    <w:name w:val="heading 2"/>
    <w:aliases w:val="Sub Heading,ignorer2,Heading 2 Char1,Heading 2 Char Char"/>
    <w:basedOn w:val="Normal"/>
    <w:next w:val="Normal"/>
    <w:link w:val="Heading2Char"/>
    <w:unhideWhenUsed/>
    <w:qFormat/>
    <w:rsid w:val="00847F23"/>
    <w:pPr>
      <w:keepNext/>
      <w:spacing w:before="240" w:after="60" w:line="240" w:lineRule="auto"/>
      <w:outlineLvl w:val="1"/>
    </w:pPr>
    <w:rPr>
      <w:rFonts w:ascii="Cambria" w:eastAsia="Times New Roman" w:hAnsi="Cambria" w:cs="Times New Roman"/>
      <w:b/>
      <w:bCs/>
      <w:i/>
      <w:iCs/>
      <w:sz w:val="28"/>
      <w:szCs w:val="28"/>
      <w:lang w:val="en-US"/>
    </w:rPr>
  </w:style>
  <w:style w:type="paragraph" w:styleId="Heading3">
    <w:name w:val="heading 3"/>
    <w:basedOn w:val="Normal"/>
    <w:next w:val="Normal"/>
    <w:link w:val="Heading3Char"/>
    <w:uiPriority w:val="9"/>
    <w:unhideWhenUsed/>
    <w:qFormat/>
    <w:rsid w:val="00847F23"/>
    <w:pPr>
      <w:keepNext/>
      <w:keepLines/>
      <w:spacing w:before="80" w:after="0" w:line="240" w:lineRule="auto"/>
      <w:outlineLvl w:val="2"/>
    </w:pPr>
    <w:rPr>
      <w:rFonts w:ascii="Calibri Light" w:eastAsia="DengXian Light" w:hAnsi="Calibri Light" w:cs="Times New Roman"/>
      <w:color w:val="538135"/>
      <w:sz w:val="24"/>
      <w:szCs w:val="24"/>
      <w:lang w:eastAsia="ja-JP"/>
    </w:rPr>
  </w:style>
  <w:style w:type="paragraph" w:styleId="Heading4">
    <w:name w:val="heading 4"/>
    <w:basedOn w:val="Normal"/>
    <w:next w:val="Normal"/>
    <w:link w:val="Heading4Char"/>
    <w:uiPriority w:val="9"/>
    <w:semiHidden/>
    <w:unhideWhenUsed/>
    <w:qFormat/>
    <w:rsid w:val="00847F23"/>
    <w:pPr>
      <w:keepNext/>
      <w:spacing w:before="240" w:after="60" w:line="240" w:lineRule="auto"/>
      <w:outlineLvl w:val="3"/>
    </w:pPr>
    <w:rPr>
      <w:rFonts w:ascii="Calibri" w:eastAsia="Times New Roman" w:hAnsi="Calibri" w:cs="Times New Roman"/>
      <w:b/>
      <w:bCs/>
      <w:sz w:val="28"/>
      <w:szCs w:val="28"/>
      <w:lang w:val="en-US"/>
    </w:rPr>
  </w:style>
  <w:style w:type="paragraph" w:styleId="Heading5">
    <w:name w:val="heading 5"/>
    <w:basedOn w:val="Normal"/>
    <w:next w:val="Normal"/>
    <w:link w:val="Heading5Char"/>
    <w:uiPriority w:val="9"/>
    <w:semiHidden/>
    <w:unhideWhenUsed/>
    <w:qFormat/>
    <w:rsid w:val="00847F23"/>
    <w:pPr>
      <w:keepNext/>
      <w:keepLines/>
      <w:spacing w:before="40" w:after="0" w:line="288" w:lineRule="auto"/>
      <w:outlineLvl w:val="4"/>
    </w:pPr>
    <w:rPr>
      <w:rFonts w:ascii="Calibri Light" w:eastAsia="DengXian Light" w:hAnsi="Calibri Light" w:cs="Times New Roman"/>
      <w:i/>
      <w:iCs/>
      <w:color w:val="70AD47"/>
      <w:lang w:eastAsia="ja-JP"/>
    </w:rPr>
  </w:style>
  <w:style w:type="paragraph" w:styleId="Heading6">
    <w:name w:val="heading 6"/>
    <w:basedOn w:val="Normal"/>
    <w:next w:val="Normal"/>
    <w:link w:val="Heading6Char"/>
    <w:uiPriority w:val="9"/>
    <w:semiHidden/>
    <w:unhideWhenUsed/>
    <w:qFormat/>
    <w:rsid w:val="00847F23"/>
    <w:pPr>
      <w:keepNext/>
      <w:keepLines/>
      <w:spacing w:before="40" w:after="0" w:line="288" w:lineRule="auto"/>
      <w:outlineLvl w:val="5"/>
    </w:pPr>
    <w:rPr>
      <w:rFonts w:ascii="Calibri Light" w:eastAsia="DengXian Light" w:hAnsi="Calibri Light" w:cs="Times New Roman"/>
      <w:color w:val="70AD47"/>
      <w:sz w:val="21"/>
      <w:szCs w:val="21"/>
      <w:lang w:eastAsia="ja-JP"/>
    </w:rPr>
  </w:style>
  <w:style w:type="paragraph" w:styleId="Heading7">
    <w:name w:val="heading 7"/>
    <w:basedOn w:val="Normal"/>
    <w:next w:val="Normal"/>
    <w:link w:val="Heading7Char"/>
    <w:uiPriority w:val="9"/>
    <w:qFormat/>
    <w:rsid w:val="00847F23"/>
    <w:pPr>
      <w:keepNext/>
      <w:spacing w:after="0" w:line="240" w:lineRule="auto"/>
      <w:jc w:val="center"/>
      <w:outlineLvl w:val="6"/>
    </w:pPr>
    <w:rPr>
      <w:rFonts w:ascii="Times New Roman" w:eastAsia="Times New Roman" w:hAnsi="Times New Roman" w:cs="Times New Roman"/>
      <w:b/>
      <w:sz w:val="24"/>
      <w:szCs w:val="20"/>
      <w:lang w:val="en-US"/>
    </w:rPr>
  </w:style>
  <w:style w:type="paragraph" w:styleId="Heading8">
    <w:name w:val="heading 8"/>
    <w:basedOn w:val="Normal"/>
    <w:next w:val="Normal"/>
    <w:link w:val="Heading8Char"/>
    <w:uiPriority w:val="9"/>
    <w:semiHidden/>
    <w:unhideWhenUsed/>
    <w:qFormat/>
    <w:rsid w:val="00847F23"/>
    <w:pPr>
      <w:keepNext/>
      <w:keepLines/>
      <w:spacing w:before="40" w:after="0" w:line="288" w:lineRule="auto"/>
      <w:outlineLvl w:val="7"/>
    </w:pPr>
    <w:rPr>
      <w:rFonts w:ascii="Calibri Light" w:eastAsia="DengXian Light" w:hAnsi="Calibri Light" w:cs="Times New Roman"/>
      <w:b/>
      <w:bCs/>
      <w:i/>
      <w:iCs/>
      <w:color w:val="70AD47"/>
      <w:sz w:val="20"/>
      <w:szCs w:val="20"/>
      <w:lang w:eastAsia="ja-JP"/>
    </w:rPr>
  </w:style>
  <w:style w:type="paragraph" w:styleId="Heading9">
    <w:name w:val="heading 9"/>
    <w:basedOn w:val="Normal"/>
    <w:next w:val="Normal"/>
    <w:link w:val="Heading9Char"/>
    <w:uiPriority w:val="9"/>
    <w:semiHidden/>
    <w:unhideWhenUsed/>
    <w:qFormat/>
    <w:rsid w:val="00847F23"/>
    <w:pPr>
      <w:keepNext/>
      <w:keepLines/>
      <w:spacing w:before="40" w:after="0" w:line="288" w:lineRule="auto"/>
      <w:outlineLvl w:val="8"/>
    </w:pPr>
    <w:rPr>
      <w:rFonts w:ascii="Calibri Light" w:eastAsia="DengXian Light" w:hAnsi="Calibri Light" w:cs="Times New Roman"/>
      <w:i/>
      <w:iCs/>
      <w:color w:val="70AD47"/>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Footnote Text Char Char,single space,footnote text,FOOTNOTES,fn,Testo nota a piè di pagina Carattere,Geneva 9,Font: Geneva 9,Boston 10,f,Footnote Text Char1,ft Char Char,single space Char Char,ft,ADB,pod carou"/>
    <w:basedOn w:val="Normal"/>
    <w:link w:val="FootnoteTextChar"/>
    <w:uiPriority w:val="99"/>
    <w:qFormat/>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aliases w:val="Footnote Text Char Char Char Char,Footnote Text Char Char Char1,single space Char,footnote text Char,FOOTNOTES Char,fn Char,Testo nota a piè di pagina Carattere Char,Geneva 9 Char,Font: Geneva 9 Char,Boston 10 Char,f Char,ft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aliases w:val="BVI fnr,16 Point,Superscript 6 Point,nota pié di pagina,Times 10 Point, Exposant 3 Point,Footnote symbol,Footnote reference number,Exposant 3 Point,EN Footnote Reference,note TESI,Footnote Reference Char Char Char,ftref,Ref,stylish,R"/>
    <w:basedOn w:val="DefaultParagraphFont"/>
    <w:link w:val="BVIfnrCarCarCarCarCharCharCharChar"/>
    <w:uiPriority w:val="99"/>
    <w:qFormat/>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customStyle="1" w:styleId="Heading1Char">
    <w:name w:val="Heading 1 Char"/>
    <w:basedOn w:val="DefaultParagraphFont"/>
    <w:link w:val="Heading1"/>
    <w:rsid w:val="00847F23"/>
    <w:rPr>
      <w:rFonts w:ascii="Cambria" w:eastAsia="Times New Roman" w:hAnsi="Cambria" w:cs="Times New Roman"/>
      <w:b/>
      <w:bCs/>
      <w:kern w:val="32"/>
      <w:sz w:val="32"/>
      <w:szCs w:val="32"/>
      <w:lang w:val="en-US"/>
    </w:rPr>
  </w:style>
  <w:style w:type="character" w:customStyle="1" w:styleId="Heading2Char">
    <w:name w:val="Heading 2 Char"/>
    <w:aliases w:val="Sub Heading Char,ignorer2 Char,Heading 2 Char1 Char,Heading 2 Char Char Char"/>
    <w:basedOn w:val="DefaultParagraphFont"/>
    <w:link w:val="Heading2"/>
    <w:rsid w:val="00847F23"/>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uiPriority w:val="9"/>
    <w:rsid w:val="00847F23"/>
    <w:rPr>
      <w:rFonts w:ascii="Calibri Light" w:eastAsia="DengXian Light" w:hAnsi="Calibri Light" w:cs="Times New Roman"/>
      <w:color w:val="538135"/>
      <w:sz w:val="24"/>
      <w:szCs w:val="24"/>
      <w:lang w:eastAsia="ja-JP"/>
    </w:rPr>
  </w:style>
  <w:style w:type="character" w:customStyle="1" w:styleId="Heading4Char">
    <w:name w:val="Heading 4 Char"/>
    <w:basedOn w:val="DefaultParagraphFont"/>
    <w:link w:val="Heading4"/>
    <w:uiPriority w:val="9"/>
    <w:semiHidden/>
    <w:rsid w:val="00847F23"/>
    <w:rPr>
      <w:rFonts w:ascii="Calibri" w:eastAsia="Times New Roman" w:hAnsi="Calibri" w:cs="Times New Roman"/>
      <w:b/>
      <w:bCs/>
      <w:sz w:val="28"/>
      <w:szCs w:val="28"/>
      <w:lang w:val="en-US"/>
    </w:rPr>
  </w:style>
  <w:style w:type="character" w:customStyle="1" w:styleId="Heading5Char">
    <w:name w:val="Heading 5 Char"/>
    <w:basedOn w:val="DefaultParagraphFont"/>
    <w:link w:val="Heading5"/>
    <w:uiPriority w:val="9"/>
    <w:semiHidden/>
    <w:rsid w:val="00847F23"/>
    <w:rPr>
      <w:rFonts w:ascii="Calibri Light" w:eastAsia="DengXian Light" w:hAnsi="Calibri Light" w:cs="Times New Roman"/>
      <w:i/>
      <w:iCs/>
      <w:color w:val="70AD47"/>
      <w:lang w:eastAsia="ja-JP"/>
    </w:rPr>
  </w:style>
  <w:style w:type="character" w:customStyle="1" w:styleId="Heading6Char">
    <w:name w:val="Heading 6 Char"/>
    <w:basedOn w:val="DefaultParagraphFont"/>
    <w:link w:val="Heading6"/>
    <w:uiPriority w:val="9"/>
    <w:semiHidden/>
    <w:rsid w:val="00847F23"/>
    <w:rPr>
      <w:rFonts w:ascii="Calibri Light" w:eastAsia="DengXian Light" w:hAnsi="Calibri Light" w:cs="Times New Roman"/>
      <w:color w:val="70AD47"/>
      <w:sz w:val="21"/>
      <w:szCs w:val="21"/>
      <w:lang w:eastAsia="ja-JP"/>
    </w:rPr>
  </w:style>
  <w:style w:type="character" w:customStyle="1" w:styleId="Heading7Char">
    <w:name w:val="Heading 7 Char"/>
    <w:basedOn w:val="DefaultParagraphFont"/>
    <w:link w:val="Heading7"/>
    <w:uiPriority w:val="9"/>
    <w:rsid w:val="00847F23"/>
    <w:rPr>
      <w:rFonts w:ascii="Times New Roman" w:eastAsia="Times New Roman" w:hAnsi="Times New Roman" w:cs="Times New Roman"/>
      <w:b/>
      <w:sz w:val="24"/>
      <w:szCs w:val="20"/>
      <w:lang w:val="en-US"/>
    </w:rPr>
  </w:style>
  <w:style w:type="character" w:customStyle="1" w:styleId="Heading8Char">
    <w:name w:val="Heading 8 Char"/>
    <w:basedOn w:val="DefaultParagraphFont"/>
    <w:link w:val="Heading8"/>
    <w:uiPriority w:val="9"/>
    <w:semiHidden/>
    <w:rsid w:val="00847F23"/>
    <w:rPr>
      <w:rFonts w:ascii="Calibri Light" w:eastAsia="DengXian Light" w:hAnsi="Calibri Light" w:cs="Times New Roman"/>
      <w:b/>
      <w:bCs/>
      <w:i/>
      <w:iCs/>
      <w:color w:val="70AD47"/>
      <w:sz w:val="20"/>
      <w:szCs w:val="20"/>
      <w:lang w:eastAsia="ja-JP"/>
    </w:rPr>
  </w:style>
  <w:style w:type="character" w:customStyle="1" w:styleId="Heading9Char">
    <w:name w:val="Heading 9 Char"/>
    <w:basedOn w:val="DefaultParagraphFont"/>
    <w:link w:val="Heading9"/>
    <w:uiPriority w:val="9"/>
    <w:semiHidden/>
    <w:rsid w:val="00847F23"/>
    <w:rPr>
      <w:rFonts w:ascii="Calibri Light" w:eastAsia="DengXian Light" w:hAnsi="Calibri Light" w:cs="Times New Roman"/>
      <w:i/>
      <w:iCs/>
      <w:color w:val="70AD47"/>
      <w:sz w:val="20"/>
      <w:szCs w:val="20"/>
      <w:lang w:eastAsia="ja-JP"/>
    </w:rPr>
  </w:style>
  <w:style w:type="numbering" w:customStyle="1" w:styleId="NoList1">
    <w:name w:val="No List1"/>
    <w:next w:val="NoList"/>
    <w:uiPriority w:val="99"/>
    <w:semiHidden/>
    <w:unhideWhenUsed/>
    <w:rsid w:val="00847F23"/>
  </w:style>
  <w:style w:type="character" w:styleId="Hyperlink">
    <w:name w:val="Hyperlink"/>
    <w:rsid w:val="00847F23"/>
    <w:rPr>
      <w:color w:val="0000FF"/>
      <w:u w:val="single"/>
    </w:rPr>
  </w:style>
  <w:style w:type="paragraph" w:customStyle="1" w:styleId="Default">
    <w:name w:val="Default"/>
    <w:rsid w:val="00847F23"/>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CM1">
    <w:name w:val="CM1"/>
    <w:basedOn w:val="Default"/>
    <w:next w:val="Default"/>
    <w:uiPriority w:val="99"/>
    <w:rsid w:val="00847F23"/>
    <w:rPr>
      <w:color w:val="auto"/>
    </w:rPr>
  </w:style>
  <w:style w:type="paragraph" w:customStyle="1" w:styleId="CM7">
    <w:name w:val="CM7"/>
    <w:basedOn w:val="Default"/>
    <w:next w:val="Default"/>
    <w:uiPriority w:val="99"/>
    <w:rsid w:val="00847F23"/>
    <w:rPr>
      <w:color w:val="auto"/>
    </w:rPr>
  </w:style>
  <w:style w:type="paragraph" w:customStyle="1" w:styleId="CM9">
    <w:name w:val="CM9"/>
    <w:basedOn w:val="Default"/>
    <w:next w:val="Default"/>
    <w:uiPriority w:val="99"/>
    <w:rsid w:val="00847F23"/>
    <w:rPr>
      <w:color w:val="auto"/>
    </w:rPr>
  </w:style>
  <w:style w:type="paragraph" w:customStyle="1" w:styleId="CM10">
    <w:name w:val="CM10"/>
    <w:basedOn w:val="Default"/>
    <w:next w:val="Default"/>
    <w:uiPriority w:val="99"/>
    <w:rsid w:val="00847F23"/>
    <w:rPr>
      <w:color w:val="auto"/>
    </w:rPr>
  </w:style>
  <w:style w:type="paragraph" w:customStyle="1" w:styleId="CM5">
    <w:name w:val="CM5"/>
    <w:basedOn w:val="Default"/>
    <w:next w:val="Default"/>
    <w:uiPriority w:val="99"/>
    <w:rsid w:val="00847F23"/>
    <w:pPr>
      <w:spacing w:line="228" w:lineRule="atLeast"/>
    </w:pPr>
    <w:rPr>
      <w:color w:val="auto"/>
    </w:rPr>
  </w:style>
  <w:style w:type="paragraph" w:customStyle="1" w:styleId="CM6">
    <w:name w:val="CM6"/>
    <w:basedOn w:val="Default"/>
    <w:next w:val="Default"/>
    <w:uiPriority w:val="99"/>
    <w:rsid w:val="00847F23"/>
    <w:rPr>
      <w:color w:val="auto"/>
    </w:rPr>
  </w:style>
  <w:style w:type="table" w:styleId="TableGrid">
    <w:name w:val="Table Grid"/>
    <w:basedOn w:val="TableNormal"/>
    <w:uiPriority w:val="59"/>
    <w:rsid w:val="00847F23"/>
    <w:pPr>
      <w:spacing w:after="0" w:line="240" w:lineRule="auto"/>
    </w:pPr>
    <w:rPr>
      <w:rFonts w:ascii="Calibri" w:eastAsia="Calibri" w:hAnsi="Calibri" w:cs="Times New Roman"/>
      <w:sz w:val="20"/>
      <w:szCs w:val="20"/>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rsid w:val="00847F23"/>
    <w:pPr>
      <w:spacing w:after="240" w:line="288" w:lineRule="auto"/>
      <w:jc w:val="both"/>
    </w:pPr>
    <w:rPr>
      <w:rFonts w:ascii="Times New Roman" w:eastAsia="SimSun" w:hAnsi="Times New Roman" w:cs="Times New Roman"/>
      <w:sz w:val="24"/>
      <w:szCs w:val="24"/>
      <w:lang w:val="en-US" w:eastAsia="en-GB"/>
    </w:rPr>
  </w:style>
  <w:style w:type="character" w:customStyle="1" w:styleId="BodyTextChar">
    <w:name w:val="Body Text Char"/>
    <w:basedOn w:val="DefaultParagraphFont"/>
    <w:link w:val="BodyText"/>
    <w:uiPriority w:val="99"/>
    <w:rsid w:val="00847F23"/>
    <w:rPr>
      <w:rFonts w:ascii="Times New Roman" w:eastAsia="SimSun" w:hAnsi="Times New Roman" w:cs="Times New Roman"/>
      <w:sz w:val="24"/>
      <w:szCs w:val="24"/>
      <w:lang w:val="en-US" w:eastAsia="en-GB"/>
    </w:rPr>
  </w:style>
  <w:style w:type="paragraph" w:customStyle="1" w:styleId="NormalNS">
    <w:name w:val="NormalNS"/>
    <w:basedOn w:val="Normal"/>
    <w:rsid w:val="00847F23"/>
    <w:pPr>
      <w:spacing w:after="0" w:line="288" w:lineRule="auto"/>
      <w:jc w:val="both"/>
    </w:pPr>
    <w:rPr>
      <w:rFonts w:ascii="Times New Roman" w:eastAsia="SimSun" w:hAnsi="Times New Roman" w:cs="Times New Roman"/>
      <w:sz w:val="24"/>
      <w:szCs w:val="24"/>
      <w:lang w:val="en-US" w:eastAsia="zh-CN"/>
    </w:rPr>
  </w:style>
  <w:style w:type="paragraph" w:customStyle="1" w:styleId="RecipientSP">
    <w:name w:val="RecipientSP"/>
    <w:rsid w:val="00847F23"/>
    <w:pPr>
      <w:spacing w:after="0" w:line="240" w:lineRule="auto"/>
    </w:pPr>
    <w:rPr>
      <w:rFonts w:ascii="Times New Roman" w:eastAsia="SimSun" w:hAnsi="Times New Roman" w:cs="Times New Roman"/>
      <w:sz w:val="2"/>
      <w:szCs w:val="2"/>
      <w:lang w:val="en-GB" w:eastAsia="zh-CN"/>
    </w:rPr>
  </w:style>
  <w:style w:type="paragraph" w:customStyle="1" w:styleId="SimpleL9">
    <w:name w:val="Simple L9"/>
    <w:basedOn w:val="Normal"/>
    <w:rsid w:val="00847F23"/>
    <w:pPr>
      <w:numPr>
        <w:ilvl w:val="8"/>
        <w:numId w:val="6"/>
      </w:numPr>
      <w:spacing w:after="240" w:line="288" w:lineRule="auto"/>
      <w:jc w:val="both"/>
      <w:outlineLvl w:val="8"/>
    </w:pPr>
    <w:rPr>
      <w:rFonts w:ascii="Times New Roman" w:eastAsia="Times New Roman" w:hAnsi="Times New Roman" w:cs="Times New Roman"/>
      <w:sz w:val="24"/>
      <w:szCs w:val="24"/>
      <w:lang w:val="en-US" w:eastAsia="zh-CN"/>
    </w:rPr>
  </w:style>
  <w:style w:type="paragraph" w:customStyle="1" w:styleId="SimpleL8">
    <w:name w:val="Simple L8"/>
    <w:basedOn w:val="Normal"/>
    <w:rsid w:val="00847F23"/>
    <w:pPr>
      <w:numPr>
        <w:ilvl w:val="7"/>
        <w:numId w:val="6"/>
      </w:numPr>
      <w:spacing w:after="240" w:line="288" w:lineRule="auto"/>
      <w:jc w:val="both"/>
      <w:outlineLvl w:val="7"/>
    </w:pPr>
    <w:rPr>
      <w:rFonts w:ascii="Times New Roman" w:eastAsia="Times New Roman" w:hAnsi="Times New Roman" w:cs="Times New Roman"/>
      <w:sz w:val="24"/>
      <w:szCs w:val="24"/>
      <w:lang w:val="en-US" w:eastAsia="zh-CN"/>
    </w:rPr>
  </w:style>
  <w:style w:type="paragraph" w:customStyle="1" w:styleId="SimpleL7">
    <w:name w:val="Simple L7"/>
    <w:basedOn w:val="Normal"/>
    <w:rsid w:val="00847F23"/>
    <w:pPr>
      <w:numPr>
        <w:ilvl w:val="6"/>
        <w:numId w:val="6"/>
      </w:numPr>
      <w:spacing w:after="240" w:line="288" w:lineRule="auto"/>
      <w:jc w:val="both"/>
      <w:outlineLvl w:val="6"/>
    </w:pPr>
    <w:rPr>
      <w:rFonts w:ascii="Times New Roman" w:eastAsia="Times New Roman" w:hAnsi="Times New Roman" w:cs="Times New Roman"/>
      <w:sz w:val="24"/>
      <w:szCs w:val="24"/>
      <w:lang w:val="en-US" w:eastAsia="zh-CN"/>
    </w:rPr>
  </w:style>
  <w:style w:type="paragraph" w:customStyle="1" w:styleId="SimpleL6">
    <w:name w:val="Simple L6"/>
    <w:basedOn w:val="Normal"/>
    <w:rsid w:val="00847F23"/>
    <w:pPr>
      <w:numPr>
        <w:ilvl w:val="5"/>
        <w:numId w:val="6"/>
      </w:numPr>
      <w:spacing w:after="240" w:line="288" w:lineRule="auto"/>
      <w:jc w:val="both"/>
      <w:outlineLvl w:val="5"/>
    </w:pPr>
    <w:rPr>
      <w:rFonts w:ascii="Times New Roman" w:eastAsia="Times New Roman" w:hAnsi="Times New Roman" w:cs="Times New Roman"/>
      <w:sz w:val="24"/>
      <w:szCs w:val="24"/>
      <w:lang w:val="en-US" w:eastAsia="zh-CN"/>
    </w:rPr>
  </w:style>
  <w:style w:type="paragraph" w:customStyle="1" w:styleId="SimpleL5">
    <w:name w:val="Simple L5"/>
    <w:basedOn w:val="Normal"/>
    <w:rsid w:val="00847F23"/>
    <w:pPr>
      <w:numPr>
        <w:ilvl w:val="4"/>
        <w:numId w:val="6"/>
      </w:numPr>
      <w:spacing w:after="240" w:line="288" w:lineRule="auto"/>
      <w:jc w:val="both"/>
      <w:outlineLvl w:val="4"/>
    </w:pPr>
    <w:rPr>
      <w:rFonts w:ascii="Times New Roman" w:eastAsia="Times New Roman" w:hAnsi="Times New Roman" w:cs="Times New Roman"/>
      <w:sz w:val="24"/>
      <w:szCs w:val="24"/>
      <w:lang w:val="en-US" w:eastAsia="zh-CN"/>
    </w:rPr>
  </w:style>
  <w:style w:type="paragraph" w:customStyle="1" w:styleId="SimpleL4">
    <w:name w:val="Simple L4"/>
    <w:basedOn w:val="Normal"/>
    <w:rsid w:val="00847F23"/>
    <w:pPr>
      <w:numPr>
        <w:ilvl w:val="3"/>
        <w:numId w:val="6"/>
      </w:numPr>
      <w:spacing w:after="240" w:line="288" w:lineRule="auto"/>
      <w:jc w:val="both"/>
      <w:outlineLvl w:val="3"/>
    </w:pPr>
    <w:rPr>
      <w:rFonts w:ascii="Times New Roman" w:eastAsia="Times New Roman" w:hAnsi="Times New Roman" w:cs="Times New Roman"/>
      <w:sz w:val="24"/>
      <w:szCs w:val="24"/>
      <w:lang w:val="en-US" w:eastAsia="zh-CN"/>
    </w:rPr>
  </w:style>
  <w:style w:type="paragraph" w:customStyle="1" w:styleId="SimpleL3">
    <w:name w:val="Simple L3"/>
    <w:basedOn w:val="Normal"/>
    <w:rsid w:val="00847F23"/>
    <w:pPr>
      <w:numPr>
        <w:ilvl w:val="2"/>
        <w:numId w:val="6"/>
      </w:numPr>
      <w:spacing w:after="240" w:line="288" w:lineRule="auto"/>
      <w:jc w:val="both"/>
      <w:outlineLvl w:val="2"/>
    </w:pPr>
    <w:rPr>
      <w:rFonts w:ascii="Times New Roman" w:eastAsia="Times New Roman" w:hAnsi="Times New Roman" w:cs="Times New Roman"/>
      <w:sz w:val="24"/>
      <w:szCs w:val="24"/>
      <w:lang w:val="en-US" w:eastAsia="zh-CN"/>
    </w:rPr>
  </w:style>
  <w:style w:type="paragraph" w:customStyle="1" w:styleId="SimpleL2">
    <w:name w:val="Simple L2"/>
    <w:basedOn w:val="Normal"/>
    <w:rsid w:val="00847F23"/>
    <w:pPr>
      <w:numPr>
        <w:ilvl w:val="1"/>
        <w:numId w:val="6"/>
      </w:numPr>
      <w:spacing w:after="240" w:line="288" w:lineRule="auto"/>
      <w:jc w:val="both"/>
      <w:outlineLvl w:val="1"/>
    </w:pPr>
    <w:rPr>
      <w:rFonts w:ascii="Times New Roman" w:eastAsia="Times New Roman" w:hAnsi="Times New Roman" w:cs="Times New Roman"/>
      <w:sz w:val="24"/>
      <w:szCs w:val="24"/>
      <w:lang w:val="en-US" w:eastAsia="zh-CN"/>
    </w:rPr>
  </w:style>
  <w:style w:type="paragraph" w:customStyle="1" w:styleId="SimpleL1">
    <w:name w:val="Simple L1"/>
    <w:basedOn w:val="Normal"/>
    <w:rsid w:val="00847F23"/>
    <w:pPr>
      <w:numPr>
        <w:numId w:val="6"/>
      </w:numPr>
      <w:spacing w:after="240" w:line="288" w:lineRule="auto"/>
      <w:jc w:val="both"/>
      <w:outlineLvl w:val="0"/>
    </w:pPr>
    <w:rPr>
      <w:rFonts w:ascii="Times New Roman" w:eastAsia="Times New Roman" w:hAnsi="Times New Roman" w:cs="Times New Roman"/>
      <w:sz w:val="24"/>
      <w:szCs w:val="24"/>
      <w:lang w:val="en-US" w:eastAsia="zh-CN"/>
    </w:rPr>
  </w:style>
  <w:style w:type="paragraph" w:customStyle="1" w:styleId="BulletL9">
    <w:name w:val="Bullet L9"/>
    <w:basedOn w:val="Normal"/>
    <w:rsid w:val="00847F23"/>
    <w:pPr>
      <w:numPr>
        <w:ilvl w:val="8"/>
        <w:numId w:val="7"/>
      </w:numPr>
      <w:spacing w:after="240" w:line="288" w:lineRule="auto"/>
      <w:jc w:val="both"/>
      <w:outlineLvl w:val="8"/>
    </w:pPr>
    <w:rPr>
      <w:rFonts w:ascii="Times New Roman" w:eastAsia="Times New Roman" w:hAnsi="Times New Roman" w:cs="Times New Roman"/>
      <w:sz w:val="24"/>
      <w:szCs w:val="24"/>
      <w:lang w:val="en-US" w:eastAsia="zh-CN"/>
    </w:rPr>
  </w:style>
  <w:style w:type="paragraph" w:customStyle="1" w:styleId="BulletL8">
    <w:name w:val="Bullet L8"/>
    <w:basedOn w:val="Normal"/>
    <w:rsid w:val="00847F23"/>
    <w:pPr>
      <w:numPr>
        <w:ilvl w:val="7"/>
        <w:numId w:val="7"/>
      </w:numPr>
      <w:spacing w:after="240" w:line="288" w:lineRule="auto"/>
      <w:jc w:val="both"/>
      <w:outlineLvl w:val="7"/>
    </w:pPr>
    <w:rPr>
      <w:rFonts w:ascii="Times New Roman" w:eastAsia="Times New Roman" w:hAnsi="Times New Roman" w:cs="Times New Roman"/>
      <w:sz w:val="24"/>
      <w:szCs w:val="24"/>
      <w:lang w:val="en-US" w:eastAsia="zh-CN"/>
    </w:rPr>
  </w:style>
  <w:style w:type="paragraph" w:customStyle="1" w:styleId="BulletL7">
    <w:name w:val="Bullet L7"/>
    <w:basedOn w:val="Normal"/>
    <w:rsid w:val="00847F23"/>
    <w:pPr>
      <w:numPr>
        <w:ilvl w:val="6"/>
        <w:numId w:val="7"/>
      </w:numPr>
      <w:spacing w:after="240" w:line="288" w:lineRule="auto"/>
      <w:jc w:val="both"/>
      <w:outlineLvl w:val="6"/>
    </w:pPr>
    <w:rPr>
      <w:rFonts w:ascii="Times New Roman" w:eastAsia="Times New Roman" w:hAnsi="Times New Roman" w:cs="Times New Roman"/>
      <w:sz w:val="24"/>
      <w:szCs w:val="24"/>
      <w:lang w:val="en-US" w:eastAsia="zh-CN"/>
    </w:rPr>
  </w:style>
  <w:style w:type="paragraph" w:customStyle="1" w:styleId="BulletL6">
    <w:name w:val="Bullet L6"/>
    <w:basedOn w:val="Normal"/>
    <w:rsid w:val="00847F23"/>
    <w:pPr>
      <w:numPr>
        <w:ilvl w:val="5"/>
        <w:numId w:val="7"/>
      </w:numPr>
      <w:spacing w:after="240" w:line="288" w:lineRule="auto"/>
      <w:jc w:val="both"/>
      <w:outlineLvl w:val="5"/>
    </w:pPr>
    <w:rPr>
      <w:rFonts w:ascii="Times New Roman" w:eastAsia="Times New Roman" w:hAnsi="Times New Roman" w:cs="Times New Roman"/>
      <w:sz w:val="24"/>
      <w:szCs w:val="24"/>
      <w:lang w:val="en-US" w:eastAsia="zh-CN"/>
    </w:rPr>
  </w:style>
  <w:style w:type="paragraph" w:customStyle="1" w:styleId="BulletL5">
    <w:name w:val="Bullet L5"/>
    <w:basedOn w:val="Normal"/>
    <w:rsid w:val="00847F23"/>
    <w:pPr>
      <w:numPr>
        <w:ilvl w:val="4"/>
        <w:numId w:val="7"/>
      </w:numPr>
      <w:spacing w:after="240" w:line="288" w:lineRule="auto"/>
      <w:jc w:val="both"/>
      <w:outlineLvl w:val="4"/>
    </w:pPr>
    <w:rPr>
      <w:rFonts w:ascii="Times New Roman" w:eastAsia="Times New Roman" w:hAnsi="Times New Roman" w:cs="Times New Roman"/>
      <w:sz w:val="24"/>
      <w:szCs w:val="24"/>
      <w:lang w:val="en-US" w:eastAsia="zh-CN"/>
    </w:rPr>
  </w:style>
  <w:style w:type="paragraph" w:customStyle="1" w:styleId="BulletL4">
    <w:name w:val="Bullet L4"/>
    <w:basedOn w:val="Normal"/>
    <w:rsid w:val="00847F23"/>
    <w:pPr>
      <w:numPr>
        <w:ilvl w:val="3"/>
        <w:numId w:val="7"/>
      </w:numPr>
      <w:spacing w:after="240" w:line="288" w:lineRule="auto"/>
      <w:jc w:val="both"/>
      <w:outlineLvl w:val="3"/>
    </w:pPr>
    <w:rPr>
      <w:rFonts w:ascii="Times New Roman" w:eastAsia="Times New Roman" w:hAnsi="Times New Roman" w:cs="Times New Roman"/>
      <w:sz w:val="24"/>
      <w:szCs w:val="24"/>
      <w:lang w:val="en-US" w:eastAsia="zh-CN"/>
    </w:rPr>
  </w:style>
  <w:style w:type="paragraph" w:customStyle="1" w:styleId="BulletL3">
    <w:name w:val="Bullet L3"/>
    <w:basedOn w:val="Normal"/>
    <w:rsid w:val="00847F23"/>
    <w:pPr>
      <w:numPr>
        <w:ilvl w:val="2"/>
        <w:numId w:val="7"/>
      </w:numPr>
      <w:spacing w:after="240" w:line="288" w:lineRule="auto"/>
      <w:jc w:val="both"/>
      <w:outlineLvl w:val="2"/>
    </w:pPr>
    <w:rPr>
      <w:rFonts w:ascii="Times New Roman" w:eastAsia="Times New Roman" w:hAnsi="Times New Roman" w:cs="Times New Roman"/>
      <w:sz w:val="24"/>
      <w:szCs w:val="24"/>
      <w:lang w:val="en-US" w:eastAsia="zh-CN"/>
    </w:rPr>
  </w:style>
  <w:style w:type="paragraph" w:customStyle="1" w:styleId="BulletL2">
    <w:name w:val="Bullet L2"/>
    <w:basedOn w:val="Normal"/>
    <w:rsid w:val="00847F23"/>
    <w:pPr>
      <w:numPr>
        <w:ilvl w:val="1"/>
        <w:numId w:val="7"/>
      </w:numPr>
      <w:spacing w:after="240" w:line="288" w:lineRule="auto"/>
      <w:jc w:val="both"/>
      <w:outlineLvl w:val="1"/>
    </w:pPr>
    <w:rPr>
      <w:rFonts w:ascii="Times New Roman" w:eastAsia="Times New Roman" w:hAnsi="Times New Roman" w:cs="Times New Roman"/>
      <w:sz w:val="24"/>
      <w:szCs w:val="24"/>
      <w:lang w:val="en-US" w:eastAsia="zh-CN"/>
    </w:rPr>
  </w:style>
  <w:style w:type="paragraph" w:customStyle="1" w:styleId="BulletL1">
    <w:name w:val="Bullet L1"/>
    <w:basedOn w:val="Normal"/>
    <w:rsid w:val="00847F23"/>
    <w:pPr>
      <w:numPr>
        <w:numId w:val="7"/>
      </w:numPr>
      <w:spacing w:after="240" w:line="288" w:lineRule="auto"/>
      <w:jc w:val="both"/>
      <w:outlineLvl w:val="0"/>
    </w:pPr>
    <w:rPr>
      <w:rFonts w:ascii="Times New Roman" w:eastAsia="Times New Roman" w:hAnsi="Times New Roman" w:cs="Times New Roman"/>
      <w:sz w:val="24"/>
      <w:szCs w:val="24"/>
      <w:lang w:val="en-US" w:eastAsia="zh-CN"/>
    </w:rPr>
  </w:style>
  <w:style w:type="character" w:customStyle="1" w:styleId="f11">
    <w:name w:val="f11"/>
    <w:rsid w:val="00847F23"/>
    <w:rPr>
      <w:rFonts w:ascii="Times New Roman" w:hAnsi="Times New Roman" w:cs="Times New Roman"/>
      <w:color w:val="000000"/>
      <w:sz w:val="26"/>
      <w:szCs w:val="26"/>
    </w:rPr>
  </w:style>
  <w:style w:type="paragraph" w:customStyle="1" w:styleId="a0">
    <w:name w:val="a0"/>
    <w:basedOn w:val="Normal"/>
    <w:rsid w:val="00847F23"/>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character" w:customStyle="1" w:styleId="f31">
    <w:name w:val="f31"/>
    <w:rsid w:val="00847F23"/>
    <w:rPr>
      <w:rFonts w:ascii="Times New Roman" w:hAnsi="Times New Roman" w:cs="Times New Roman"/>
      <w:color w:val="808080"/>
      <w:sz w:val="24"/>
      <w:szCs w:val="24"/>
    </w:rPr>
  </w:style>
  <w:style w:type="character" w:customStyle="1" w:styleId="txtfaqe">
    <w:name w:val="txtfaqe"/>
    <w:basedOn w:val="DefaultParagraphFont"/>
    <w:rsid w:val="00847F23"/>
  </w:style>
  <w:style w:type="paragraph" w:styleId="NormalWeb">
    <w:name w:val="Normal (Web)"/>
    <w:basedOn w:val="Normal"/>
    <w:uiPriority w:val="99"/>
    <w:unhideWhenUsed/>
    <w:rsid w:val="00847F2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uiPriority w:val="20"/>
    <w:qFormat/>
    <w:rsid w:val="00847F23"/>
    <w:rPr>
      <w:i/>
      <w:iCs/>
    </w:rPr>
  </w:style>
  <w:style w:type="paragraph" w:styleId="TOCHeading">
    <w:name w:val="TOC Heading"/>
    <w:basedOn w:val="Heading1"/>
    <w:next w:val="Normal"/>
    <w:uiPriority w:val="39"/>
    <w:qFormat/>
    <w:rsid w:val="00847F23"/>
    <w:pPr>
      <w:keepLines/>
      <w:spacing w:before="480" w:after="0" w:line="276" w:lineRule="auto"/>
      <w:outlineLvl w:val="9"/>
    </w:pPr>
    <w:rPr>
      <w:color w:val="365F91"/>
      <w:kern w:val="0"/>
      <w:sz w:val="28"/>
      <w:szCs w:val="28"/>
      <w:lang w:val="sq-AL" w:eastAsia="x-none"/>
    </w:rPr>
  </w:style>
  <w:style w:type="paragraph" w:styleId="TOC1">
    <w:name w:val="toc 1"/>
    <w:basedOn w:val="Normal"/>
    <w:next w:val="Normal"/>
    <w:autoRedefine/>
    <w:uiPriority w:val="39"/>
    <w:rsid w:val="00847F23"/>
    <w:pPr>
      <w:tabs>
        <w:tab w:val="right" w:leader="dot" w:pos="9016"/>
      </w:tabs>
      <w:spacing w:after="0" w:line="240" w:lineRule="auto"/>
      <w:ind w:left="1440" w:right="26" w:hanging="1440"/>
      <w:jc w:val="both"/>
    </w:pPr>
    <w:rPr>
      <w:rFonts w:ascii="Times New Roman" w:eastAsia="Times New Roman" w:hAnsi="Times New Roman" w:cs="Times New Roman"/>
      <w:szCs w:val="24"/>
    </w:rPr>
  </w:style>
  <w:style w:type="character" w:styleId="Strong">
    <w:name w:val="Strong"/>
    <w:uiPriority w:val="22"/>
    <w:qFormat/>
    <w:rsid w:val="00847F23"/>
    <w:rPr>
      <w:b/>
      <w:bCs/>
    </w:rPr>
  </w:style>
  <w:style w:type="table" w:customStyle="1" w:styleId="TableGrid1">
    <w:name w:val="Table Grid1"/>
    <w:basedOn w:val="TableNormal"/>
    <w:next w:val="TableGrid"/>
    <w:uiPriority w:val="59"/>
    <w:rsid w:val="00847F23"/>
    <w:pPr>
      <w:spacing w:after="0" w:line="240" w:lineRule="auto"/>
    </w:pPr>
    <w:rPr>
      <w:rFonts w:ascii="Calibri" w:eastAsia="Calibri" w:hAnsi="Calibri" w:cs="Times New Roma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847F23"/>
    <w:rPr>
      <w:color w:val="605E5C"/>
      <w:shd w:val="clear" w:color="auto" w:fill="E1DFDD"/>
    </w:rPr>
  </w:style>
  <w:style w:type="paragraph" w:customStyle="1" w:styleId="ListNumberLevel2Char1">
    <w:name w:val="List Number (Level 2) Char1"/>
    <w:basedOn w:val="Normal"/>
    <w:link w:val="ListNumberLevel2Char1Char"/>
    <w:rsid w:val="00847F23"/>
    <w:pPr>
      <w:spacing w:before="120" w:after="120" w:line="240" w:lineRule="auto"/>
      <w:jc w:val="both"/>
    </w:pPr>
    <w:rPr>
      <w:rFonts w:ascii="Times New Roman" w:eastAsia="Times New Roman" w:hAnsi="Times New Roman" w:cs="Arial"/>
      <w:sz w:val="24"/>
      <w:szCs w:val="20"/>
      <w:lang w:eastAsia="en-GB"/>
    </w:rPr>
  </w:style>
  <w:style w:type="character" w:customStyle="1" w:styleId="ListNumberLevel2Char1Char">
    <w:name w:val="List Number (Level 2) Char1 Char"/>
    <w:link w:val="ListNumberLevel2Char1"/>
    <w:rsid w:val="00847F23"/>
    <w:rPr>
      <w:rFonts w:ascii="Times New Roman" w:eastAsia="Times New Roman" w:hAnsi="Times New Roman" w:cs="Arial"/>
      <w:sz w:val="24"/>
      <w:szCs w:val="20"/>
      <w:lang w:eastAsia="en-GB"/>
    </w:rPr>
  </w:style>
  <w:style w:type="paragraph" w:styleId="ListBullet2">
    <w:name w:val="List Bullet 2"/>
    <w:basedOn w:val="Normal"/>
    <w:uiPriority w:val="99"/>
    <w:rsid w:val="00847F23"/>
    <w:pPr>
      <w:numPr>
        <w:numId w:val="8"/>
      </w:numPr>
      <w:tabs>
        <w:tab w:val="clear" w:pos="1360"/>
        <w:tab w:val="num" w:pos="720"/>
      </w:tabs>
      <w:spacing w:after="240" w:line="240" w:lineRule="auto"/>
      <w:ind w:left="720" w:hanging="720"/>
      <w:jc w:val="both"/>
    </w:pPr>
    <w:rPr>
      <w:rFonts w:ascii="Times New Roman" w:eastAsia="Times New Roman" w:hAnsi="Times New Roman" w:cs="Arial"/>
      <w:sz w:val="24"/>
      <w:szCs w:val="20"/>
      <w:lang w:eastAsia="ja-JP"/>
    </w:rPr>
  </w:style>
  <w:style w:type="paragraph" w:customStyle="1" w:styleId="ListDash3">
    <w:name w:val="List Dash 3"/>
    <w:basedOn w:val="Normal"/>
    <w:rsid w:val="00847F23"/>
    <w:pPr>
      <w:numPr>
        <w:numId w:val="9"/>
      </w:numPr>
      <w:tabs>
        <w:tab w:val="clear" w:pos="2199"/>
        <w:tab w:val="num" w:pos="720"/>
      </w:tabs>
      <w:spacing w:after="240" w:line="240" w:lineRule="auto"/>
      <w:ind w:left="721" w:hanging="720"/>
      <w:jc w:val="both"/>
    </w:pPr>
    <w:rPr>
      <w:rFonts w:ascii="Times New Roman" w:eastAsia="Times New Roman" w:hAnsi="Times New Roman" w:cs="Arial"/>
      <w:sz w:val="24"/>
      <w:szCs w:val="20"/>
      <w:lang w:eastAsia="ja-JP"/>
    </w:rPr>
  </w:style>
  <w:style w:type="paragraph" w:customStyle="1" w:styleId="ListDash1Char">
    <w:name w:val="List Dash 1 Char"/>
    <w:basedOn w:val="Normal"/>
    <w:link w:val="ListDash1CharChar"/>
    <w:rsid w:val="00847F23"/>
    <w:pPr>
      <w:numPr>
        <w:numId w:val="10"/>
      </w:numPr>
      <w:spacing w:before="120" w:after="120" w:line="240" w:lineRule="auto"/>
      <w:jc w:val="both"/>
    </w:pPr>
    <w:rPr>
      <w:rFonts w:ascii="Times New Roman" w:eastAsia="Times New Roman" w:hAnsi="Times New Roman" w:cs="Arial"/>
      <w:sz w:val="24"/>
      <w:szCs w:val="20"/>
      <w:lang w:eastAsia="en-GB"/>
    </w:rPr>
  </w:style>
  <w:style w:type="character" w:customStyle="1" w:styleId="ListDash1CharChar">
    <w:name w:val="List Dash 1 Char Char"/>
    <w:link w:val="ListDash1Char"/>
    <w:rsid w:val="00847F23"/>
    <w:rPr>
      <w:rFonts w:ascii="Times New Roman" w:eastAsia="Times New Roman" w:hAnsi="Times New Roman" w:cs="Arial"/>
      <w:sz w:val="24"/>
      <w:szCs w:val="20"/>
      <w:lang w:eastAsia="en-GB"/>
    </w:rPr>
  </w:style>
  <w:style w:type="paragraph" w:customStyle="1" w:styleId="Text1">
    <w:name w:val="Text 1"/>
    <w:basedOn w:val="Normal"/>
    <w:link w:val="Text1Char"/>
    <w:qFormat/>
    <w:rsid w:val="00847F23"/>
    <w:pPr>
      <w:spacing w:before="120" w:after="120" w:line="240" w:lineRule="auto"/>
      <w:ind w:left="850"/>
      <w:jc w:val="both"/>
    </w:pPr>
    <w:rPr>
      <w:rFonts w:ascii="Times New Roman" w:eastAsia="Times New Roman" w:hAnsi="Times New Roman" w:cs="Arial"/>
      <w:sz w:val="24"/>
      <w:szCs w:val="20"/>
      <w:lang w:eastAsia="en-GB"/>
    </w:rPr>
  </w:style>
  <w:style w:type="character" w:customStyle="1" w:styleId="Text1Char">
    <w:name w:val="Text 1 Char"/>
    <w:link w:val="Text1"/>
    <w:rsid w:val="00847F23"/>
    <w:rPr>
      <w:rFonts w:ascii="Times New Roman" w:eastAsia="Times New Roman" w:hAnsi="Times New Roman" w:cs="Arial"/>
      <w:sz w:val="24"/>
      <w:szCs w:val="20"/>
      <w:lang w:eastAsia="en-GB"/>
    </w:rPr>
  </w:style>
  <w:style w:type="paragraph" w:styleId="BodyText2">
    <w:name w:val="Body Text 2"/>
    <w:basedOn w:val="Normal"/>
    <w:link w:val="BodyText2Char"/>
    <w:rsid w:val="00847F23"/>
    <w:pPr>
      <w:spacing w:after="0" w:line="240" w:lineRule="auto"/>
      <w:jc w:val="both"/>
    </w:pPr>
    <w:rPr>
      <w:rFonts w:ascii="Times New Roman" w:eastAsia="Times New Roman" w:hAnsi="Times New Roman" w:cs="Arial"/>
      <w:sz w:val="24"/>
      <w:szCs w:val="20"/>
      <w:lang w:eastAsia="ja-JP"/>
    </w:rPr>
  </w:style>
  <w:style w:type="character" w:customStyle="1" w:styleId="BodyText2Char">
    <w:name w:val="Body Text 2 Char"/>
    <w:basedOn w:val="DefaultParagraphFont"/>
    <w:link w:val="BodyText2"/>
    <w:rsid w:val="00847F23"/>
    <w:rPr>
      <w:rFonts w:ascii="Times New Roman" w:eastAsia="Times New Roman" w:hAnsi="Times New Roman" w:cs="Arial"/>
      <w:sz w:val="24"/>
      <w:szCs w:val="20"/>
      <w:lang w:eastAsia="ja-JP"/>
    </w:rPr>
  </w:style>
  <w:style w:type="paragraph" w:customStyle="1" w:styleId="Text2">
    <w:name w:val="Text 2"/>
    <w:basedOn w:val="Normal"/>
    <w:link w:val="Text2Char"/>
    <w:rsid w:val="00847F23"/>
    <w:pPr>
      <w:tabs>
        <w:tab w:val="left" w:pos="2160"/>
      </w:tabs>
      <w:spacing w:after="240" w:line="240" w:lineRule="auto"/>
      <w:ind w:left="1077"/>
      <w:jc w:val="both"/>
    </w:pPr>
    <w:rPr>
      <w:rFonts w:ascii="Times New Roman" w:eastAsia="Times New Roman" w:hAnsi="Times New Roman" w:cs="Arial"/>
      <w:sz w:val="24"/>
      <w:szCs w:val="20"/>
      <w:lang w:eastAsia="ja-JP"/>
    </w:rPr>
  </w:style>
  <w:style w:type="paragraph" w:customStyle="1" w:styleId="ListDash1">
    <w:name w:val="List Dash 1"/>
    <w:basedOn w:val="Text1"/>
    <w:rsid w:val="00847F23"/>
    <w:pPr>
      <w:numPr>
        <w:numId w:val="11"/>
      </w:numPr>
      <w:tabs>
        <w:tab w:val="clear" w:pos="765"/>
        <w:tab w:val="num" w:pos="720"/>
      </w:tabs>
      <w:spacing w:before="0" w:after="240"/>
      <w:ind w:left="420" w:hanging="420"/>
    </w:pPr>
    <w:rPr>
      <w:lang w:eastAsia="en-US"/>
    </w:rPr>
  </w:style>
  <w:style w:type="character" w:customStyle="1" w:styleId="Text2Char">
    <w:name w:val="Text 2 Char"/>
    <w:link w:val="Text2"/>
    <w:rsid w:val="00847F23"/>
    <w:rPr>
      <w:rFonts w:ascii="Times New Roman" w:eastAsia="Times New Roman" w:hAnsi="Times New Roman" w:cs="Arial"/>
      <w:sz w:val="24"/>
      <w:szCs w:val="20"/>
      <w:lang w:eastAsia="ja-JP"/>
    </w:rPr>
  </w:style>
  <w:style w:type="paragraph" w:customStyle="1" w:styleId="ListNumberLevel2">
    <w:name w:val="List Number (Level 2)"/>
    <w:basedOn w:val="Normal"/>
    <w:rsid w:val="00847F23"/>
    <w:pPr>
      <w:numPr>
        <w:ilvl w:val="1"/>
        <w:numId w:val="13"/>
      </w:numPr>
      <w:tabs>
        <w:tab w:val="clear" w:pos="1440"/>
      </w:tabs>
      <w:spacing w:before="120" w:after="120" w:line="240" w:lineRule="auto"/>
      <w:ind w:hanging="360"/>
      <w:jc w:val="both"/>
    </w:pPr>
    <w:rPr>
      <w:rFonts w:ascii="Times New Roman" w:eastAsia="Times New Roman" w:hAnsi="Times New Roman" w:cs="Arial"/>
      <w:sz w:val="24"/>
      <w:szCs w:val="20"/>
      <w:lang w:eastAsia="zh-CN"/>
    </w:rPr>
  </w:style>
  <w:style w:type="paragraph" w:styleId="CommentText">
    <w:name w:val="annotation text"/>
    <w:basedOn w:val="Normal"/>
    <w:link w:val="CommentTextChar"/>
    <w:uiPriority w:val="99"/>
    <w:unhideWhenUsed/>
    <w:rsid w:val="00847F23"/>
    <w:pPr>
      <w:spacing w:after="200" w:line="240" w:lineRule="auto"/>
    </w:pPr>
    <w:rPr>
      <w:rFonts w:ascii="Calibri" w:eastAsia="DengXian" w:hAnsi="Calibri" w:cs="Arial"/>
      <w:sz w:val="20"/>
      <w:szCs w:val="20"/>
      <w:lang w:eastAsia="ja-JP"/>
    </w:rPr>
  </w:style>
  <w:style w:type="character" w:customStyle="1" w:styleId="CommentTextChar">
    <w:name w:val="Comment Text Char"/>
    <w:basedOn w:val="DefaultParagraphFont"/>
    <w:link w:val="CommentText"/>
    <w:uiPriority w:val="99"/>
    <w:rsid w:val="00847F23"/>
    <w:rPr>
      <w:rFonts w:ascii="Calibri" w:eastAsia="DengXian" w:hAnsi="Calibri" w:cs="Arial"/>
      <w:sz w:val="20"/>
      <w:szCs w:val="20"/>
      <w:lang w:eastAsia="ja-JP"/>
    </w:rPr>
  </w:style>
  <w:style w:type="character" w:styleId="CommentReference">
    <w:name w:val="annotation reference"/>
    <w:uiPriority w:val="99"/>
    <w:semiHidden/>
    <w:unhideWhenUsed/>
    <w:rsid w:val="00847F23"/>
    <w:rPr>
      <w:sz w:val="16"/>
      <w:szCs w:val="16"/>
    </w:rPr>
  </w:style>
  <w:style w:type="paragraph" w:customStyle="1" w:styleId="BVIfnrCarCarCarCarCharCharCharChar">
    <w:name w:val="BVI fnr Car Car Car Car Char Char Char Char"/>
    <w:aliases w:val="BVI fnr Car Car Car Car Char Char,BVI fnr Car Car Car Car Char Char Char Char Char Char Char Char Char,BVI fnr Car Car Car Car Char Char Char"/>
    <w:basedOn w:val="Normal"/>
    <w:link w:val="FootnoteReference"/>
    <w:uiPriority w:val="99"/>
    <w:rsid w:val="00847F23"/>
    <w:pPr>
      <w:spacing w:line="240" w:lineRule="exact"/>
    </w:pPr>
    <w:rPr>
      <w:rFonts w:cs="Times New Roman"/>
      <w:vertAlign w:val="superscript"/>
    </w:rPr>
  </w:style>
  <w:style w:type="paragraph" w:customStyle="1" w:styleId="BVIfnrChar1">
    <w:name w:val="BVI fnr Char1"/>
    <w:aliases w:val="Appel note de bas de p..BVI fnr Car Car Car Car, BVI fnr Car Car,BVI fnr Car, BVI fnr Car Car Car Car, BVI fnr Car Car Car Car Char,Appel note de bas de p..BVI fnr Car Car Car Car1, BVI fnr, BVI fnr Char,Appel note de bas de p."/>
    <w:basedOn w:val="Normal"/>
    <w:uiPriority w:val="99"/>
    <w:rsid w:val="00847F23"/>
    <w:pPr>
      <w:spacing w:after="0" w:line="240" w:lineRule="exact"/>
      <w:jc w:val="both"/>
    </w:pPr>
    <w:rPr>
      <w:rFonts w:ascii="Times New Roman" w:eastAsia="DengXian" w:hAnsi="Times New Roman" w:cs="Arial"/>
      <w:sz w:val="24"/>
      <w:szCs w:val="21"/>
      <w:vertAlign w:val="superscript"/>
      <w:lang w:eastAsia="ja-JP"/>
    </w:rPr>
  </w:style>
  <w:style w:type="paragraph" w:customStyle="1" w:styleId="Fichedinformationtitre">
    <w:name w:val="Fiche d'information titre"/>
    <w:basedOn w:val="Normal"/>
    <w:next w:val="Normal"/>
    <w:rsid w:val="00847F23"/>
    <w:pPr>
      <w:spacing w:before="120" w:after="120" w:line="240" w:lineRule="auto"/>
      <w:jc w:val="center"/>
    </w:pPr>
    <w:rPr>
      <w:rFonts w:ascii="Times New Roman" w:eastAsia="Times New Roman" w:hAnsi="Times New Roman" w:cs="Arial"/>
      <w:b/>
      <w:sz w:val="24"/>
      <w:szCs w:val="24"/>
      <w:u w:val="single"/>
      <w:lang w:eastAsia="ja-JP"/>
    </w:rPr>
  </w:style>
  <w:style w:type="paragraph" w:styleId="CommentSubject">
    <w:name w:val="annotation subject"/>
    <w:basedOn w:val="CommentText"/>
    <w:next w:val="CommentText"/>
    <w:link w:val="CommentSubjectChar"/>
    <w:uiPriority w:val="99"/>
    <w:semiHidden/>
    <w:unhideWhenUsed/>
    <w:rsid w:val="00847F23"/>
    <w:pPr>
      <w:spacing w:line="276" w:lineRule="auto"/>
    </w:pPr>
    <w:rPr>
      <w:rFonts w:eastAsia="Calibri"/>
      <w:b/>
      <w:bCs/>
    </w:rPr>
  </w:style>
  <w:style w:type="character" w:customStyle="1" w:styleId="CommentSubjectChar">
    <w:name w:val="Comment Subject Char"/>
    <w:basedOn w:val="CommentTextChar"/>
    <w:link w:val="CommentSubject"/>
    <w:uiPriority w:val="99"/>
    <w:semiHidden/>
    <w:rsid w:val="00847F23"/>
    <w:rPr>
      <w:rFonts w:ascii="Calibri" w:eastAsia="Calibri" w:hAnsi="Calibri" w:cs="Arial"/>
      <w:b/>
      <w:bCs/>
      <w:sz w:val="20"/>
      <w:szCs w:val="20"/>
      <w:lang w:eastAsia="ja-JP"/>
    </w:rPr>
  </w:style>
  <w:style w:type="table" w:customStyle="1" w:styleId="TableGrid2">
    <w:name w:val="Table Grid2"/>
    <w:basedOn w:val="TableNormal"/>
    <w:next w:val="TableGrid"/>
    <w:uiPriority w:val="59"/>
    <w:rsid w:val="00847F23"/>
    <w:pPr>
      <w:spacing w:after="200" w:line="288" w:lineRule="auto"/>
    </w:pPr>
    <w:rPr>
      <w:rFonts w:ascii="Calibri" w:eastAsia="DengXian" w:hAnsi="Calibri" w:cs="Arial"/>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uiPriority w:val="99"/>
    <w:rsid w:val="00847F23"/>
    <w:pPr>
      <w:spacing w:before="100" w:beforeAutospacing="1" w:after="100" w:afterAutospacing="1" w:line="240" w:lineRule="auto"/>
    </w:pPr>
    <w:rPr>
      <w:rFonts w:ascii="Times New Roman" w:eastAsia="Calibri" w:hAnsi="Times New Roman" w:cs="Arial"/>
      <w:sz w:val="24"/>
      <w:szCs w:val="24"/>
      <w:lang w:eastAsia="en-GB"/>
    </w:rPr>
  </w:style>
  <w:style w:type="character" w:customStyle="1" w:styleId="normaltextrun">
    <w:name w:val="normaltextrun"/>
    <w:rsid w:val="00847F23"/>
  </w:style>
  <w:style w:type="character" w:customStyle="1" w:styleId="eop">
    <w:name w:val="eop"/>
    <w:rsid w:val="00847F23"/>
  </w:style>
  <w:style w:type="paragraph" w:styleId="Revision">
    <w:name w:val="Revision"/>
    <w:hidden/>
    <w:uiPriority w:val="99"/>
    <w:semiHidden/>
    <w:rsid w:val="00847F23"/>
    <w:pPr>
      <w:spacing w:after="200" w:line="288" w:lineRule="auto"/>
    </w:pPr>
    <w:rPr>
      <w:rFonts w:ascii="Calibri" w:eastAsia="DengXian" w:hAnsi="Calibri" w:cs="Arial"/>
    </w:rPr>
  </w:style>
  <w:style w:type="character" w:styleId="FollowedHyperlink">
    <w:name w:val="FollowedHyperlink"/>
    <w:uiPriority w:val="99"/>
    <w:semiHidden/>
    <w:unhideWhenUsed/>
    <w:rsid w:val="00847F23"/>
    <w:rPr>
      <w:color w:val="954F72"/>
      <w:u w:val="single"/>
    </w:rPr>
  </w:style>
  <w:style w:type="character" w:customStyle="1" w:styleId="Text1Car">
    <w:name w:val="Text 1 Car"/>
    <w:locked/>
    <w:rsid w:val="00847F23"/>
    <w:rPr>
      <w:rFonts w:ascii="Times New Roman" w:eastAsia="Times New Roman" w:hAnsi="Times New Roman"/>
      <w:sz w:val="24"/>
      <w:szCs w:val="24"/>
    </w:rPr>
  </w:style>
  <w:style w:type="paragraph" w:styleId="TOC3">
    <w:name w:val="toc 3"/>
    <w:basedOn w:val="Normal"/>
    <w:next w:val="Normal"/>
    <w:autoRedefine/>
    <w:uiPriority w:val="39"/>
    <w:unhideWhenUsed/>
    <w:rsid w:val="00847F23"/>
    <w:pPr>
      <w:spacing w:after="100" w:line="288" w:lineRule="auto"/>
      <w:ind w:left="440"/>
    </w:pPr>
    <w:rPr>
      <w:rFonts w:ascii="Calibri" w:eastAsia="DengXian" w:hAnsi="Calibri" w:cs="Arial"/>
      <w:sz w:val="21"/>
      <w:szCs w:val="21"/>
      <w:lang w:eastAsia="ja-JP"/>
    </w:rPr>
  </w:style>
  <w:style w:type="paragraph" w:customStyle="1" w:styleId="Style1">
    <w:name w:val="Style1"/>
    <w:basedOn w:val="CommentText"/>
    <w:link w:val="Style1Char"/>
    <w:rsid w:val="00847F23"/>
    <w:pPr>
      <w:shd w:val="clear" w:color="auto" w:fill="BDD6EE"/>
      <w:spacing w:after="0"/>
    </w:pPr>
  </w:style>
  <w:style w:type="character" w:customStyle="1" w:styleId="Style1Char">
    <w:name w:val="Style1 Char"/>
    <w:link w:val="Style1"/>
    <w:rsid w:val="00847F23"/>
    <w:rPr>
      <w:rFonts w:ascii="Calibri" w:eastAsia="DengXian" w:hAnsi="Calibri" w:cs="Arial"/>
      <w:sz w:val="20"/>
      <w:szCs w:val="20"/>
      <w:shd w:val="clear" w:color="auto" w:fill="BDD6EE"/>
      <w:lang w:eastAsia="ja-JP"/>
    </w:rPr>
  </w:style>
  <w:style w:type="character" w:styleId="SubtleEmphasis">
    <w:name w:val="Subtle Emphasis"/>
    <w:uiPriority w:val="19"/>
    <w:qFormat/>
    <w:rsid w:val="00847F23"/>
    <w:rPr>
      <w:i/>
      <w:iCs/>
    </w:rPr>
  </w:style>
  <w:style w:type="character" w:customStyle="1" w:styleId="jpfdse">
    <w:name w:val="jpfdse"/>
    <w:rsid w:val="00847F23"/>
  </w:style>
  <w:style w:type="paragraph" w:customStyle="1" w:styleId="BVIfnrCarCarCarCarChar">
    <w:name w:val="BVI fnr Car Car Car Car Char"/>
    <w:basedOn w:val="Normal"/>
    <w:uiPriority w:val="99"/>
    <w:rsid w:val="00847F23"/>
    <w:pPr>
      <w:spacing w:line="240" w:lineRule="exact"/>
    </w:pPr>
    <w:rPr>
      <w:rFonts w:ascii="Calibri" w:eastAsia="Calibri" w:hAnsi="Calibri" w:cs="Arial"/>
      <w:sz w:val="24"/>
      <w:szCs w:val="24"/>
      <w:vertAlign w:val="superscript"/>
      <w:lang w:eastAsia="ja-JP"/>
    </w:rPr>
  </w:style>
  <w:style w:type="paragraph" w:customStyle="1" w:styleId="p">
    <w:name w:val="p"/>
    <w:basedOn w:val="Normal"/>
    <w:rsid w:val="00847F23"/>
    <w:pPr>
      <w:spacing w:before="100" w:beforeAutospacing="1" w:after="100" w:afterAutospacing="1" w:line="240" w:lineRule="auto"/>
    </w:pPr>
    <w:rPr>
      <w:rFonts w:ascii="Times New Roman" w:eastAsia="Times New Roman" w:hAnsi="Times New Roman" w:cs="Arial"/>
      <w:sz w:val="24"/>
      <w:szCs w:val="24"/>
      <w:lang w:eastAsia="ja-JP"/>
    </w:rPr>
  </w:style>
  <w:style w:type="paragraph" w:customStyle="1" w:styleId="yiv3292160291msonormal">
    <w:name w:val="yiv3292160291msonormal"/>
    <w:basedOn w:val="Normal"/>
    <w:rsid w:val="00847F23"/>
    <w:pPr>
      <w:spacing w:before="100" w:beforeAutospacing="1" w:after="100" w:afterAutospacing="1" w:line="240" w:lineRule="auto"/>
    </w:pPr>
    <w:rPr>
      <w:rFonts w:ascii="Times New Roman" w:eastAsia="Times New Roman" w:hAnsi="Times New Roman" w:cs="Arial"/>
      <w:sz w:val="24"/>
      <w:szCs w:val="24"/>
      <w:lang w:eastAsia="ja-JP"/>
    </w:rPr>
  </w:style>
  <w:style w:type="paragraph" w:customStyle="1" w:styleId="yiv3292160291default">
    <w:name w:val="yiv3292160291default"/>
    <w:basedOn w:val="Normal"/>
    <w:rsid w:val="00847F23"/>
    <w:pPr>
      <w:spacing w:before="100" w:beforeAutospacing="1" w:after="100" w:afterAutospacing="1" w:line="240" w:lineRule="auto"/>
    </w:pPr>
    <w:rPr>
      <w:rFonts w:ascii="Times New Roman" w:eastAsia="Times New Roman" w:hAnsi="Times New Roman" w:cs="Arial"/>
      <w:sz w:val="24"/>
      <w:szCs w:val="24"/>
      <w:lang w:eastAsia="ja-JP"/>
    </w:rPr>
  </w:style>
  <w:style w:type="paragraph" w:customStyle="1" w:styleId="yiv8920788147msolistparagraph">
    <w:name w:val="yiv8920788147msolistparagraph"/>
    <w:basedOn w:val="Normal"/>
    <w:rsid w:val="00847F23"/>
    <w:pPr>
      <w:spacing w:before="100" w:beforeAutospacing="1" w:after="100" w:afterAutospacing="1" w:line="240" w:lineRule="auto"/>
    </w:pPr>
    <w:rPr>
      <w:rFonts w:ascii="Times New Roman" w:eastAsia="Times New Roman" w:hAnsi="Times New Roman" w:cs="Arial"/>
      <w:sz w:val="24"/>
      <w:szCs w:val="24"/>
      <w:lang w:eastAsia="ja-JP"/>
    </w:rPr>
  </w:style>
  <w:style w:type="paragraph" w:customStyle="1" w:styleId="NumberedList2">
    <w:name w:val="Numbered List2"/>
    <w:uiPriority w:val="12"/>
    <w:rsid w:val="00847F23"/>
    <w:pPr>
      <w:spacing w:after="60" w:line="260" w:lineRule="exact"/>
      <w:ind w:left="680" w:hanging="340"/>
      <w:jc w:val="both"/>
    </w:pPr>
    <w:rPr>
      <w:rFonts w:ascii="Calibri" w:eastAsia="Calibri" w:hAnsi="Calibri" w:cs="Arial"/>
      <w:color w:val="000000"/>
      <w:sz w:val="21"/>
    </w:rPr>
  </w:style>
  <w:style w:type="paragraph" w:customStyle="1" w:styleId="xl44">
    <w:name w:val="xl44"/>
    <w:basedOn w:val="Normal"/>
    <w:uiPriority w:val="99"/>
    <w:rsid w:val="00847F23"/>
    <w:pPr>
      <w:pBdr>
        <w:left w:val="single" w:sz="4" w:space="0" w:color="auto"/>
      </w:pBdr>
      <w:spacing w:before="100" w:beforeAutospacing="1" w:after="100" w:afterAutospacing="1" w:line="240" w:lineRule="auto"/>
      <w:jc w:val="center"/>
    </w:pPr>
    <w:rPr>
      <w:rFonts w:ascii="Arial Unicode MS" w:eastAsia="SimSun" w:hAnsi="Arial Unicode MS" w:cs="Arial Unicode MS"/>
      <w:sz w:val="24"/>
      <w:szCs w:val="24"/>
      <w:lang w:eastAsia="en-GB"/>
    </w:rPr>
  </w:style>
  <w:style w:type="paragraph" w:customStyle="1" w:styleId="xydpd8215bb1msonormal">
    <w:name w:val="x_ydpd8215bb1msonormal"/>
    <w:basedOn w:val="Normal"/>
    <w:uiPriority w:val="99"/>
    <w:rsid w:val="00847F23"/>
    <w:pPr>
      <w:spacing w:before="100" w:beforeAutospacing="1" w:after="100" w:afterAutospacing="1" w:line="240" w:lineRule="auto"/>
    </w:pPr>
    <w:rPr>
      <w:rFonts w:ascii="Times New Roman" w:eastAsia="Times New Roman" w:hAnsi="Times New Roman" w:cs="Arial"/>
      <w:sz w:val="24"/>
      <w:szCs w:val="24"/>
      <w:lang w:eastAsia="ja-JP"/>
    </w:rPr>
  </w:style>
  <w:style w:type="paragraph" w:customStyle="1" w:styleId="BodyReportAlbania">
    <w:name w:val="Body Report Albania"/>
    <w:basedOn w:val="Normal"/>
    <w:rsid w:val="00847F23"/>
    <w:pPr>
      <w:spacing w:before="100" w:beforeAutospacing="1" w:line="240" w:lineRule="auto"/>
      <w:jc w:val="both"/>
    </w:pPr>
    <w:rPr>
      <w:rFonts w:ascii="Calibri" w:eastAsia="DengXian" w:hAnsi="Calibri" w:cs="Calibri (Body)"/>
      <w:sz w:val="21"/>
      <w:szCs w:val="21"/>
      <w:lang w:eastAsia="ja-JP"/>
    </w:rPr>
  </w:style>
  <w:style w:type="character" w:customStyle="1" w:styleId="UnresolvedMention2">
    <w:name w:val="Unresolved Mention2"/>
    <w:uiPriority w:val="99"/>
    <w:semiHidden/>
    <w:unhideWhenUsed/>
    <w:rsid w:val="00847F23"/>
    <w:rPr>
      <w:color w:val="605E5C"/>
      <w:shd w:val="clear" w:color="auto" w:fill="E1DFDD"/>
    </w:rPr>
  </w:style>
  <w:style w:type="paragraph" w:customStyle="1" w:styleId="yiv2334282829xmsonormal">
    <w:name w:val="yiv2334282829xmsonormal"/>
    <w:basedOn w:val="Normal"/>
    <w:rsid w:val="00847F23"/>
    <w:pPr>
      <w:spacing w:before="100" w:beforeAutospacing="1" w:after="100" w:afterAutospacing="1" w:line="240" w:lineRule="auto"/>
    </w:pPr>
    <w:rPr>
      <w:rFonts w:ascii="Times New Roman" w:eastAsia="Times New Roman" w:hAnsi="Times New Roman" w:cs="Arial"/>
      <w:sz w:val="24"/>
      <w:szCs w:val="24"/>
      <w:lang w:eastAsia="ja-JP"/>
    </w:rPr>
  </w:style>
  <w:style w:type="character" w:styleId="IntenseEmphasis">
    <w:name w:val="Intense Emphasis"/>
    <w:uiPriority w:val="21"/>
    <w:qFormat/>
    <w:rsid w:val="00847F23"/>
    <w:rPr>
      <w:b/>
      <w:bCs/>
      <w:i/>
      <w:iCs/>
    </w:rPr>
  </w:style>
  <w:style w:type="paragraph" w:customStyle="1" w:styleId="yiv9136645546ydp8112e3c1yiv9670609409msonormal">
    <w:name w:val="yiv9136645546ydp8112e3c1yiv9670609409msonormal"/>
    <w:basedOn w:val="Normal"/>
    <w:rsid w:val="00847F23"/>
    <w:pPr>
      <w:spacing w:before="100" w:beforeAutospacing="1" w:after="100" w:afterAutospacing="1" w:line="240" w:lineRule="auto"/>
    </w:pPr>
    <w:rPr>
      <w:rFonts w:ascii="Times New Roman" w:eastAsia="Times New Roman" w:hAnsi="Times New Roman" w:cs="Arial"/>
      <w:sz w:val="24"/>
      <w:szCs w:val="24"/>
      <w:lang w:eastAsia="ja-JP"/>
    </w:rPr>
  </w:style>
  <w:style w:type="character" w:customStyle="1" w:styleId="yiv9136645546ydp8112e3c1yiv9670609409contentpasted0">
    <w:name w:val="yiv9136645546ydp8112e3c1yiv9670609409contentpasted0"/>
    <w:rsid w:val="00847F23"/>
  </w:style>
  <w:style w:type="paragraph" w:customStyle="1" w:styleId="yiv9136645546msonormal">
    <w:name w:val="yiv9136645546msonormal"/>
    <w:basedOn w:val="Normal"/>
    <w:rsid w:val="00847F23"/>
    <w:pPr>
      <w:spacing w:before="100" w:beforeAutospacing="1" w:after="100" w:afterAutospacing="1" w:line="240" w:lineRule="auto"/>
    </w:pPr>
    <w:rPr>
      <w:rFonts w:ascii="Times New Roman" w:eastAsia="Times New Roman" w:hAnsi="Times New Roman" w:cs="Arial"/>
      <w:sz w:val="24"/>
      <w:szCs w:val="24"/>
      <w:lang w:eastAsia="ja-JP"/>
    </w:rPr>
  </w:style>
  <w:style w:type="paragraph" w:styleId="EndnoteText">
    <w:name w:val="endnote text"/>
    <w:basedOn w:val="Normal"/>
    <w:link w:val="EndnoteTextChar"/>
    <w:uiPriority w:val="99"/>
    <w:semiHidden/>
    <w:unhideWhenUsed/>
    <w:rsid w:val="00847F23"/>
    <w:pPr>
      <w:spacing w:after="0" w:line="240" w:lineRule="auto"/>
    </w:pPr>
    <w:rPr>
      <w:rFonts w:ascii="Calibri" w:eastAsia="DengXian" w:hAnsi="Calibri" w:cs="Arial"/>
      <w:sz w:val="20"/>
      <w:szCs w:val="20"/>
      <w:lang w:eastAsia="ja-JP"/>
    </w:rPr>
  </w:style>
  <w:style w:type="character" w:customStyle="1" w:styleId="EndnoteTextChar">
    <w:name w:val="Endnote Text Char"/>
    <w:basedOn w:val="DefaultParagraphFont"/>
    <w:link w:val="EndnoteText"/>
    <w:uiPriority w:val="99"/>
    <w:semiHidden/>
    <w:rsid w:val="00847F23"/>
    <w:rPr>
      <w:rFonts w:ascii="Calibri" w:eastAsia="DengXian" w:hAnsi="Calibri" w:cs="Arial"/>
      <w:sz w:val="20"/>
      <w:szCs w:val="20"/>
      <w:lang w:eastAsia="ja-JP"/>
    </w:rPr>
  </w:style>
  <w:style w:type="character" w:styleId="EndnoteReference">
    <w:name w:val="endnote reference"/>
    <w:uiPriority w:val="99"/>
    <w:semiHidden/>
    <w:unhideWhenUsed/>
    <w:rsid w:val="00847F23"/>
    <w:rPr>
      <w:vertAlign w:val="superscript"/>
    </w:rPr>
  </w:style>
  <w:style w:type="table" w:customStyle="1" w:styleId="TableGrid3">
    <w:name w:val="Table Grid3"/>
    <w:basedOn w:val="TableNormal"/>
    <w:next w:val="TableGrid"/>
    <w:uiPriority w:val="59"/>
    <w:rsid w:val="00847F23"/>
    <w:pPr>
      <w:spacing w:after="200" w:line="288" w:lineRule="auto"/>
    </w:pPr>
    <w:rPr>
      <w:rFonts w:ascii="Times New Roman" w:eastAsia="Times New Roman" w:hAnsi="Times New Roman" w:cs="Arial"/>
      <w:sz w:val="21"/>
      <w:szCs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847F23"/>
    <w:pPr>
      <w:spacing w:after="200" w:line="240" w:lineRule="auto"/>
    </w:pPr>
    <w:rPr>
      <w:rFonts w:ascii="Calibri" w:eastAsia="DengXian" w:hAnsi="Calibri" w:cs="Arial"/>
      <w:b/>
      <w:bCs/>
      <w:smallCaps/>
      <w:color w:val="595959"/>
      <w:sz w:val="21"/>
      <w:szCs w:val="21"/>
      <w:lang w:eastAsia="ja-JP"/>
    </w:rPr>
  </w:style>
  <w:style w:type="paragraph" w:styleId="Title">
    <w:name w:val="Title"/>
    <w:basedOn w:val="Normal"/>
    <w:next w:val="Normal"/>
    <w:link w:val="TitleChar"/>
    <w:uiPriority w:val="10"/>
    <w:qFormat/>
    <w:rsid w:val="00847F23"/>
    <w:pPr>
      <w:spacing w:after="0" w:line="240" w:lineRule="auto"/>
      <w:contextualSpacing/>
    </w:pPr>
    <w:rPr>
      <w:rFonts w:ascii="Calibri Light" w:eastAsia="DengXian Light" w:hAnsi="Calibri Light" w:cs="Times New Roman"/>
      <w:color w:val="262626"/>
      <w:spacing w:val="-15"/>
      <w:sz w:val="96"/>
      <w:szCs w:val="96"/>
      <w:lang w:eastAsia="ja-JP"/>
    </w:rPr>
  </w:style>
  <w:style w:type="character" w:customStyle="1" w:styleId="TitleChar">
    <w:name w:val="Title Char"/>
    <w:basedOn w:val="DefaultParagraphFont"/>
    <w:link w:val="Title"/>
    <w:uiPriority w:val="10"/>
    <w:rsid w:val="00847F23"/>
    <w:rPr>
      <w:rFonts w:ascii="Calibri Light" w:eastAsia="DengXian Light" w:hAnsi="Calibri Light" w:cs="Times New Roman"/>
      <w:color w:val="262626"/>
      <w:spacing w:val="-15"/>
      <w:sz w:val="96"/>
      <w:szCs w:val="96"/>
      <w:lang w:eastAsia="ja-JP"/>
    </w:rPr>
  </w:style>
  <w:style w:type="paragraph" w:styleId="Subtitle">
    <w:name w:val="Subtitle"/>
    <w:basedOn w:val="Normal"/>
    <w:next w:val="Normal"/>
    <w:link w:val="SubtitleChar"/>
    <w:qFormat/>
    <w:rsid w:val="00847F23"/>
    <w:pPr>
      <w:numPr>
        <w:ilvl w:val="1"/>
      </w:numPr>
      <w:spacing w:after="200" w:line="240" w:lineRule="auto"/>
    </w:pPr>
    <w:rPr>
      <w:rFonts w:ascii="Calibri Light" w:eastAsia="DengXian Light" w:hAnsi="Calibri Light" w:cs="Times New Roman"/>
      <w:sz w:val="30"/>
      <w:szCs w:val="30"/>
      <w:lang w:eastAsia="ja-JP"/>
    </w:rPr>
  </w:style>
  <w:style w:type="character" w:customStyle="1" w:styleId="SubtitleChar">
    <w:name w:val="Subtitle Char"/>
    <w:basedOn w:val="DefaultParagraphFont"/>
    <w:link w:val="Subtitle"/>
    <w:rsid w:val="00847F23"/>
    <w:rPr>
      <w:rFonts w:ascii="Calibri Light" w:eastAsia="DengXian Light" w:hAnsi="Calibri Light" w:cs="Times New Roman"/>
      <w:sz w:val="30"/>
      <w:szCs w:val="30"/>
      <w:lang w:eastAsia="ja-JP"/>
    </w:rPr>
  </w:style>
  <w:style w:type="paragraph" w:styleId="Quote">
    <w:name w:val="Quote"/>
    <w:basedOn w:val="Normal"/>
    <w:next w:val="Normal"/>
    <w:link w:val="QuoteChar"/>
    <w:uiPriority w:val="29"/>
    <w:qFormat/>
    <w:rsid w:val="00847F23"/>
    <w:pPr>
      <w:spacing w:before="160" w:after="200" w:line="288" w:lineRule="auto"/>
      <w:ind w:left="720" w:right="720"/>
      <w:jc w:val="center"/>
    </w:pPr>
    <w:rPr>
      <w:rFonts w:ascii="Calibri" w:eastAsia="DengXian" w:hAnsi="Calibri" w:cs="Arial"/>
      <w:i/>
      <w:iCs/>
      <w:color w:val="262626"/>
      <w:sz w:val="21"/>
      <w:szCs w:val="21"/>
      <w:lang w:eastAsia="ja-JP"/>
    </w:rPr>
  </w:style>
  <w:style w:type="character" w:customStyle="1" w:styleId="QuoteChar">
    <w:name w:val="Quote Char"/>
    <w:basedOn w:val="DefaultParagraphFont"/>
    <w:link w:val="Quote"/>
    <w:uiPriority w:val="29"/>
    <w:rsid w:val="00847F23"/>
    <w:rPr>
      <w:rFonts w:ascii="Calibri" w:eastAsia="DengXian" w:hAnsi="Calibri" w:cs="Arial"/>
      <w:i/>
      <w:iCs/>
      <w:color w:val="262626"/>
      <w:sz w:val="21"/>
      <w:szCs w:val="21"/>
      <w:lang w:eastAsia="ja-JP"/>
    </w:rPr>
  </w:style>
  <w:style w:type="paragraph" w:styleId="IntenseQuote">
    <w:name w:val="Intense Quote"/>
    <w:basedOn w:val="Normal"/>
    <w:next w:val="Normal"/>
    <w:link w:val="IntenseQuoteChar"/>
    <w:uiPriority w:val="30"/>
    <w:qFormat/>
    <w:rsid w:val="00847F23"/>
    <w:pPr>
      <w:spacing w:before="160" w:line="264" w:lineRule="auto"/>
      <w:ind w:left="720" w:right="720"/>
      <w:jc w:val="center"/>
    </w:pPr>
    <w:rPr>
      <w:rFonts w:ascii="Calibri Light" w:eastAsia="DengXian Light" w:hAnsi="Calibri Light" w:cs="Times New Roman"/>
      <w:i/>
      <w:iCs/>
      <w:color w:val="70AD47"/>
      <w:sz w:val="32"/>
      <w:szCs w:val="32"/>
      <w:lang w:eastAsia="ja-JP"/>
    </w:rPr>
  </w:style>
  <w:style w:type="character" w:customStyle="1" w:styleId="IntenseQuoteChar">
    <w:name w:val="Intense Quote Char"/>
    <w:basedOn w:val="DefaultParagraphFont"/>
    <w:link w:val="IntenseQuote"/>
    <w:uiPriority w:val="30"/>
    <w:rsid w:val="00847F23"/>
    <w:rPr>
      <w:rFonts w:ascii="Calibri Light" w:eastAsia="DengXian Light" w:hAnsi="Calibri Light" w:cs="Times New Roman"/>
      <w:i/>
      <w:iCs/>
      <w:color w:val="70AD47"/>
      <w:sz w:val="32"/>
      <w:szCs w:val="32"/>
      <w:lang w:eastAsia="ja-JP"/>
    </w:rPr>
  </w:style>
  <w:style w:type="character" w:styleId="SubtleReference">
    <w:name w:val="Subtle Reference"/>
    <w:uiPriority w:val="31"/>
    <w:qFormat/>
    <w:rsid w:val="00847F23"/>
    <w:rPr>
      <w:smallCaps/>
      <w:color w:val="595959"/>
    </w:rPr>
  </w:style>
  <w:style w:type="character" w:styleId="IntenseReference">
    <w:name w:val="Intense Reference"/>
    <w:uiPriority w:val="32"/>
    <w:qFormat/>
    <w:rsid w:val="00847F23"/>
    <w:rPr>
      <w:b/>
      <w:bCs/>
      <w:smallCaps/>
      <w:color w:val="70AD47"/>
    </w:rPr>
  </w:style>
  <w:style w:type="character" w:styleId="BookTitle">
    <w:name w:val="Book Title"/>
    <w:uiPriority w:val="33"/>
    <w:qFormat/>
    <w:rsid w:val="00847F23"/>
    <w:rPr>
      <w:b/>
      <w:bCs/>
      <w:caps w:val="0"/>
      <w:smallCaps/>
      <w:spacing w:val="7"/>
      <w:sz w:val="21"/>
      <w:szCs w:val="21"/>
    </w:rPr>
  </w:style>
  <w:style w:type="paragraph" w:customStyle="1" w:styleId="pf0">
    <w:name w:val="pf0"/>
    <w:basedOn w:val="Normal"/>
    <w:rsid w:val="00847F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rsid w:val="00847F23"/>
    <w:rPr>
      <w:rFonts w:ascii="Segoe UI" w:hAnsi="Segoe UI" w:cs="Segoe UI" w:hint="default"/>
      <w:sz w:val="18"/>
      <w:szCs w:val="18"/>
      <w:shd w:val="clear" w:color="auto" w:fill="00FF00"/>
    </w:rPr>
  </w:style>
  <w:style w:type="character" w:customStyle="1" w:styleId="cf21">
    <w:name w:val="cf21"/>
    <w:rsid w:val="00847F23"/>
    <w:rPr>
      <w:rFonts w:ascii="Segoe UI" w:hAnsi="Segoe UI" w:cs="Segoe UI" w:hint="default"/>
      <w:b/>
      <w:bCs/>
      <w:sz w:val="18"/>
      <w:szCs w:val="18"/>
      <w:shd w:val="clear" w:color="auto" w:fill="00FF00"/>
    </w:rPr>
  </w:style>
  <w:style w:type="character" w:customStyle="1" w:styleId="UnresolvedMention3">
    <w:name w:val="Unresolved Mention3"/>
    <w:uiPriority w:val="99"/>
    <w:semiHidden/>
    <w:unhideWhenUsed/>
    <w:rsid w:val="00847F23"/>
    <w:rPr>
      <w:color w:val="605E5C"/>
      <w:shd w:val="clear" w:color="auto" w:fill="E1DFDD"/>
    </w:rPr>
  </w:style>
  <w:style w:type="character" w:customStyle="1" w:styleId="UnresolvedMention4">
    <w:name w:val="Unresolved Mention4"/>
    <w:uiPriority w:val="99"/>
    <w:semiHidden/>
    <w:unhideWhenUsed/>
    <w:rsid w:val="00847F23"/>
    <w:rPr>
      <w:color w:val="605E5C"/>
      <w:shd w:val="clear" w:color="auto" w:fill="E1DFDD"/>
    </w:rPr>
  </w:style>
  <w:style w:type="character" w:customStyle="1" w:styleId="UnresolvedMention5">
    <w:name w:val="Unresolved Mention5"/>
    <w:uiPriority w:val="99"/>
    <w:semiHidden/>
    <w:unhideWhenUsed/>
    <w:rsid w:val="00847F23"/>
    <w:rPr>
      <w:color w:val="605E5C"/>
      <w:shd w:val="clear" w:color="auto" w:fill="E1DFDD"/>
    </w:rPr>
  </w:style>
  <w:style w:type="character" w:customStyle="1" w:styleId="UnresolvedMention6">
    <w:name w:val="Unresolved Mention6"/>
    <w:uiPriority w:val="99"/>
    <w:semiHidden/>
    <w:unhideWhenUsed/>
    <w:rsid w:val="00847F23"/>
    <w:rPr>
      <w:color w:val="605E5C"/>
      <w:shd w:val="clear" w:color="auto" w:fill="E1DFDD"/>
    </w:rPr>
  </w:style>
  <w:style w:type="character" w:styleId="PlaceholderText">
    <w:name w:val="Placeholder Text"/>
    <w:uiPriority w:val="99"/>
    <w:semiHidden/>
    <w:rsid w:val="00847F23"/>
    <w:rPr>
      <w:color w:val="808080"/>
    </w:rPr>
  </w:style>
  <w:style w:type="character" w:customStyle="1" w:styleId="FunoteChar">
    <w:name w:val="Fußnote Char"/>
    <w:uiPriority w:val="99"/>
    <w:rsid w:val="00903B69"/>
    <w:rPr>
      <w:rFonts w:ascii="Times New Roman" w:eastAsia="Times New Roman" w:hAnsi="Times New Roman"/>
      <w:lang w:val="sq-AL" w:eastAsia="en-GB"/>
    </w:rPr>
  </w:style>
  <w:style w:type="character" w:customStyle="1" w:styleId="Headerorfooter">
    <w:name w:val="Header or footer"/>
    <w:rsid w:val="00903B6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sq-AL" w:eastAsia="en-US" w:bidi="en-US"/>
    </w:rPr>
  </w:style>
  <w:style w:type="paragraph" w:customStyle="1" w:styleId="Text3">
    <w:name w:val="Text 3"/>
    <w:basedOn w:val="Normal"/>
    <w:rsid w:val="0090197C"/>
    <w:pPr>
      <w:spacing w:before="120" w:after="120" w:line="240" w:lineRule="auto"/>
      <w:ind w:left="850"/>
      <w:jc w:val="both"/>
    </w:pPr>
    <w:rPr>
      <w:rFonts w:ascii="Times New Roman" w:eastAsia="Times New Roman" w:hAnsi="Times New Roman" w:cs="Times New Roman"/>
      <w:sz w:val="24"/>
      <w:szCs w:val="24"/>
      <w:lang w:eastAsia="en-GB"/>
    </w:rPr>
  </w:style>
  <w:style w:type="paragraph" w:customStyle="1" w:styleId="ListDash">
    <w:name w:val="List Dash"/>
    <w:basedOn w:val="Normal"/>
    <w:rsid w:val="0090197C"/>
    <w:pPr>
      <w:numPr>
        <w:numId w:val="43"/>
      </w:numPr>
      <w:spacing w:before="120" w:after="120" w:line="240" w:lineRule="auto"/>
      <w:jc w:val="both"/>
    </w:pPr>
    <w:rPr>
      <w:rFonts w:ascii="Times New Roman" w:eastAsia="Times New Roman" w:hAnsi="Times New Roman" w:cs="Times New Roman"/>
      <w:sz w:val="24"/>
      <w:szCs w:val="24"/>
      <w:lang w:eastAsia="en-GB"/>
    </w:rPr>
  </w:style>
  <w:style w:type="paragraph" w:customStyle="1" w:styleId="StyleListNumberLevel2Left125cmFirstline0cm">
    <w:name w:val="Style List Number (Level 2) + Left:  1.25 cm First line:  0 cm"/>
    <w:basedOn w:val="ListNumberLevel2"/>
    <w:rsid w:val="0090197C"/>
    <w:pPr>
      <w:numPr>
        <w:ilvl w:val="0"/>
        <w:numId w:val="0"/>
      </w:numPr>
      <w:spacing w:after="0"/>
      <w:ind w:left="709"/>
    </w:pPr>
    <w:rPr>
      <w:rFonts w:cs="Times New Roman"/>
      <w:lang w:eastAsia="en-GB"/>
    </w:rPr>
  </w:style>
  <w:style w:type="character" w:customStyle="1" w:styleId="ui-provider">
    <w:name w:val="ui-provider"/>
    <w:rsid w:val="0090197C"/>
  </w:style>
  <w:style w:type="paragraph" w:customStyle="1" w:styleId="NumPar1">
    <w:name w:val="NumPar 1"/>
    <w:basedOn w:val="Normal"/>
    <w:next w:val="Normal"/>
    <w:rsid w:val="00564DFD"/>
    <w:pPr>
      <w:numPr>
        <w:numId w:val="49"/>
      </w:numPr>
      <w:spacing w:before="120" w:after="120" w:line="240" w:lineRule="auto"/>
      <w:jc w:val="both"/>
    </w:pPr>
    <w:rPr>
      <w:rFonts w:ascii="Times New Roman" w:eastAsia="Times New Roman" w:hAnsi="Times New Roman" w:cs="Times New Roman"/>
      <w:sz w:val="24"/>
      <w:szCs w:val="20"/>
      <w:lang w:eastAsia="zh-CN"/>
    </w:rPr>
  </w:style>
  <w:style w:type="paragraph" w:customStyle="1" w:styleId="AnnexHeading">
    <w:name w:val="Annex Heading"/>
    <w:basedOn w:val="Normal"/>
    <w:rsid w:val="00564DFD"/>
    <w:pPr>
      <w:pageBreakBefore/>
      <w:tabs>
        <w:tab w:val="left" w:pos="8748"/>
      </w:tabs>
      <w:spacing w:after="240" w:line="240" w:lineRule="auto"/>
      <w:jc w:val="center"/>
      <w:outlineLvl w:val="8"/>
    </w:pPr>
    <w:rPr>
      <w:rFonts w:ascii="Times New Roman" w:eastAsia="Times New Roman" w:hAnsi="Times New Roman" w:cs="Times New Roman"/>
      <w:b/>
      <w:sz w:val="24"/>
      <w:szCs w:val="24"/>
      <w:lang w:eastAsia="en-GB"/>
    </w:rPr>
  </w:style>
  <w:style w:type="character" w:styleId="UnresolvedMention">
    <w:name w:val="Unresolved Mention"/>
    <w:basedOn w:val="DefaultParagraphFont"/>
    <w:uiPriority w:val="99"/>
    <w:semiHidden/>
    <w:unhideWhenUsed/>
    <w:rsid w:val="00977C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146483340">
      <w:bodyDiv w:val="1"/>
      <w:marLeft w:val="0"/>
      <w:marRight w:val="0"/>
      <w:marTop w:val="0"/>
      <w:marBottom w:val="0"/>
      <w:divBdr>
        <w:top w:val="none" w:sz="0" w:space="0" w:color="auto"/>
        <w:left w:val="none" w:sz="0" w:space="0" w:color="auto"/>
        <w:bottom w:val="none" w:sz="0" w:space="0" w:color="auto"/>
        <w:right w:val="none" w:sz="0" w:space="0" w:color="auto"/>
      </w:divBdr>
    </w:div>
    <w:div w:id="168717493">
      <w:bodyDiv w:val="1"/>
      <w:marLeft w:val="0"/>
      <w:marRight w:val="0"/>
      <w:marTop w:val="0"/>
      <w:marBottom w:val="0"/>
      <w:divBdr>
        <w:top w:val="none" w:sz="0" w:space="0" w:color="auto"/>
        <w:left w:val="none" w:sz="0" w:space="0" w:color="auto"/>
        <w:bottom w:val="none" w:sz="0" w:space="0" w:color="auto"/>
        <w:right w:val="none" w:sz="0" w:space="0" w:color="auto"/>
      </w:divBdr>
      <w:divsChild>
        <w:div w:id="2124155120">
          <w:marLeft w:val="0"/>
          <w:marRight w:val="0"/>
          <w:marTop w:val="0"/>
          <w:marBottom w:val="0"/>
          <w:divBdr>
            <w:top w:val="none" w:sz="0" w:space="0" w:color="auto"/>
            <w:left w:val="none" w:sz="0" w:space="0" w:color="auto"/>
            <w:bottom w:val="none" w:sz="0" w:space="0" w:color="auto"/>
            <w:right w:val="none" w:sz="0" w:space="0" w:color="auto"/>
          </w:divBdr>
        </w:div>
        <w:div w:id="1914663314">
          <w:marLeft w:val="0"/>
          <w:marRight w:val="0"/>
          <w:marTop w:val="0"/>
          <w:marBottom w:val="0"/>
          <w:divBdr>
            <w:top w:val="none" w:sz="0" w:space="0" w:color="auto"/>
            <w:left w:val="none" w:sz="0" w:space="0" w:color="auto"/>
            <w:bottom w:val="none" w:sz="0" w:space="0" w:color="auto"/>
            <w:right w:val="none" w:sz="0" w:space="0" w:color="auto"/>
          </w:divBdr>
        </w:div>
      </w:divsChild>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42335731">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09543329">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199140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5.jpeg"/><Relationship Id="rId21" Type="http://schemas.openxmlformats.org/officeDocument/2006/relationships/image" Target="media/image5.png"/><Relationship Id="rId42" Type="http://schemas.openxmlformats.org/officeDocument/2006/relationships/hyperlink" Target="https://www.google.com/url?sa=t&amp;rct=j&amp;q=&amp;esrc=s&amp;source=web&amp;cd=&amp;cad=rja&amp;uact=8&amp;ved=2ahUKEwiNv_mv6cT_AhWxbvEDHQjPB4EQFnoECBAQAQ&amp;url=https://akshi.gov.al/&amp;usg=AOvVaw1j305u3lzl3ABFLziFYSz2" TargetMode="External"/><Relationship Id="rId63" Type="http://schemas.openxmlformats.org/officeDocument/2006/relationships/image" Target="media/image21.jpeg"/><Relationship Id="rId84" Type="http://schemas.openxmlformats.org/officeDocument/2006/relationships/image" Target="media/image42.jpeg"/><Relationship Id="rId138" Type="http://schemas.openxmlformats.org/officeDocument/2006/relationships/image" Target="media/image96.jpeg"/><Relationship Id="rId159" Type="http://schemas.openxmlformats.org/officeDocument/2006/relationships/image" Target="media/image117.jpeg"/><Relationship Id="rId170" Type="http://schemas.openxmlformats.org/officeDocument/2006/relationships/image" Target="media/image128.jpeg"/><Relationship Id="rId191" Type="http://schemas.openxmlformats.org/officeDocument/2006/relationships/image" Target="media/image149.jpeg"/><Relationship Id="rId205" Type="http://schemas.openxmlformats.org/officeDocument/2006/relationships/image" Target="media/image163.jpeg"/><Relationship Id="rId226" Type="http://schemas.openxmlformats.org/officeDocument/2006/relationships/image" Target="media/image184.jpeg"/><Relationship Id="rId107" Type="http://schemas.openxmlformats.org/officeDocument/2006/relationships/image" Target="media/image65.jpeg"/><Relationship Id="rId11" Type="http://schemas.openxmlformats.org/officeDocument/2006/relationships/footnotes" Target="footnotes.xml"/><Relationship Id="rId32" Type="http://schemas.openxmlformats.org/officeDocument/2006/relationships/hyperlink" Target="https://akep.al/wp-content/uploads/2022/06/AKEP-Raporti-Vjetor-2021.pdf" TargetMode="External"/><Relationship Id="rId53" Type="http://schemas.openxmlformats.org/officeDocument/2006/relationships/image" Target="media/image12.jpeg"/><Relationship Id="rId74" Type="http://schemas.openxmlformats.org/officeDocument/2006/relationships/image" Target="media/image32.jpeg"/><Relationship Id="rId128" Type="http://schemas.openxmlformats.org/officeDocument/2006/relationships/image" Target="media/image86.jpeg"/><Relationship Id="rId149" Type="http://schemas.openxmlformats.org/officeDocument/2006/relationships/image" Target="media/image107.jpeg"/><Relationship Id="rId5" Type="http://schemas.openxmlformats.org/officeDocument/2006/relationships/customXml" Target="../customXml/item5.xml"/><Relationship Id="rId95" Type="http://schemas.openxmlformats.org/officeDocument/2006/relationships/image" Target="media/image53.jpeg"/><Relationship Id="rId160" Type="http://schemas.openxmlformats.org/officeDocument/2006/relationships/image" Target="media/image118.jpeg"/><Relationship Id="rId181" Type="http://schemas.openxmlformats.org/officeDocument/2006/relationships/image" Target="media/image139.jpeg"/><Relationship Id="rId216" Type="http://schemas.openxmlformats.org/officeDocument/2006/relationships/image" Target="media/image174.jpeg"/><Relationship Id="rId22" Type="http://schemas.openxmlformats.org/officeDocument/2006/relationships/image" Target="media/image6.jpeg"/><Relationship Id="rId43" Type="http://schemas.openxmlformats.org/officeDocument/2006/relationships/header" Target="header1.xml"/><Relationship Id="rId64" Type="http://schemas.openxmlformats.org/officeDocument/2006/relationships/image" Target="media/image22.jpeg"/><Relationship Id="rId118" Type="http://schemas.openxmlformats.org/officeDocument/2006/relationships/image" Target="media/image76.jpeg"/><Relationship Id="rId139" Type="http://schemas.openxmlformats.org/officeDocument/2006/relationships/image" Target="media/image97.jpeg"/><Relationship Id="rId85" Type="http://schemas.openxmlformats.org/officeDocument/2006/relationships/image" Target="media/image43.jpeg"/><Relationship Id="rId150" Type="http://schemas.openxmlformats.org/officeDocument/2006/relationships/image" Target="media/image108.jpeg"/><Relationship Id="rId171" Type="http://schemas.openxmlformats.org/officeDocument/2006/relationships/image" Target="media/image129.jpeg"/><Relationship Id="rId192" Type="http://schemas.openxmlformats.org/officeDocument/2006/relationships/image" Target="media/image150.jpeg"/><Relationship Id="rId206" Type="http://schemas.openxmlformats.org/officeDocument/2006/relationships/image" Target="media/image164.jpeg"/><Relationship Id="rId227" Type="http://schemas.openxmlformats.org/officeDocument/2006/relationships/image" Target="media/image185.jpeg"/><Relationship Id="rId12" Type="http://schemas.openxmlformats.org/officeDocument/2006/relationships/endnotes" Target="endnotes.xml"/><Relationship Id="rId33" Type="http://schemas.openxmlformats.org/officeDocument/2006/relationships/hyperlink" Target="https://akep.al/wp-content/uploads/2022/06/AKEP-Raporti-Vjetor-2021.pdf" TargetMode="External"/><Relationship Id="rId108" Type="http://schemas.openxmlformats.org/officeDocument/2006/relationships/image" Target="media/image66.jpeg"/><Relationship Id="rId129" Type="http://schemas.openxmlformats.org/officeDocument/2006/relationships/image" Target="media/image87.jpeg"/><Relationship Id="rId54" Type="http://schemas.openxmlformats.org/officeDocument/2006/relationships/image" Target="media/image13.jpeg"/><Relationship Id="rId75" Type="http://schemas.openxmlformats.org/officeDocument/2006/relationships/image" Target="media/image33.jpeg"/><Relationship Id="rId96" Type="http://schemas.openxmlformats.org/officeDocument/2006/relationships/image" Target="media/image54.jpeg"/><Relationship Id="rId140" Type="http://schemas.openxmlformats.org/officeDocument/2006/relationships/image" Target="media/image98.jpeg"/><Relationship Id="rId161" Type="http://schemas.openxmlformats.org/officeDocument/2006/relationships/image" Target="media/image119.jpeg"/><Relationship Id="rId182" Type="http://schemas.openxmlformats.org/officeDocument/2006/relationships/image" Target="media/image140.jpeg"/><Relationship Id="rId217" Type="http://schemas.openxmlformats.org/officeDocument/2006/relationships/image" Target="media/image175.jpeg"/><Relationship Id="rId6" Type="http://schemas.openxmlformats.org/officeDocument/2006/relationships/customXml" Target="../customXml/item6.xml"/><Relationship Id="rId23" Type="http://schemas.openxmlformats.org/officeDocument/2006/relationships/hyperlink" Target="https://exit.al/en/2020/07/21/doctors-and-nurses-are-leaving-albania-in-high-numbers-writes-german-newspaper-faz/" TargetMode="External"/><Relationship Id="rId119" Type="http://schemas.openxmlformats.org/officeDocument/2006/relationships/image" Target="media/image77.jpeg"/><Relationship Id="rId44" Type="http://schemas.openxmlformats.org/officeDocument/2006/relationships/footer" Target="footer1.xml"/><Relationship Id="rId65" Type="http://schemas.openxmlformats.org/officeDocument/2006/relationships/image" Target="media/image23.jpeg"/><Relationship Id="rId86" Type="http://schemas.openxmlformats.org/officeDocument/2006/relationships/image" Target="media/image44.jpeg"/><Relationship Id="rId130" Type="http://schemas.openxmlformats.org/officeDocument/2006/relationships/image" Target="media/image88.jpeg"/><Relationship Id="rId151" Type="http://schemas.openxmlformats.org/officeDocument/2006/relationships/image" Target="media/image109.jpeg"/><Relationship Id="rId172" Type="http://schemas.openxmlformats.org/officeDocument/2006/relationships/image" Target="media/image130.jpeg"/><Relationship Id="rId193" Type="http://schemas.openxmlformats.org/officeDocument/2006/relationships/image" Target="media/image151.jpeg"/><Relationship Id="rId207" Type="http://schemas.openxmlformats.org/officeDocument/2006/relationships/image" Target="media/image165.jpeg"/><Relationship Id="rId228" Type="http://schemas.openxmlformats.org/officeDocument/2006/relationships/image" Target="media/image186.jpeg"/><Relationship Id="rId13" Type="http://schemas.openxmlformats.org/officeDocument/2006/relationships/hyperlink" Target="mailto:NEAR-D@ec.europa.eu" TargetMode="External"/><Relationship Id="rId109" Type="http://schemas.openxmlformats.org/officeDocument/2006/relationships/image" Target="media/image67.jpeg"/><Relationship Id="rId34" Type="http://schemas.openxmlformats.org/officeDocument/2006/relationships/hyperlink" Target="https://www.rcc.int/pubs/159/western-balkans-digital-economy-society-index-wb-desi-2022-report" TargetMode="External"/><Relationship Id="rId55" Type="http://schemas.openxmlformats.org/officeDocument/2006/relationships/image" Target="media/image14.jpeg"/><Relationship Id="rId76" Type="http://schemas.openxmlformats.org/officeDocument/2006/relationships/image" Target="media/image34.jpeg"/><Relationship Id="rId97" Type="http://schemas.openxmlformats.org/officeDocument/2006/relationships/image" Target="media/image55.jpeg"/><Relationship Id="rId120" Type="http://schemas.openxmlformats.org/officeDocument/2006/relationships/image" Target="media/image78.jpeg"/><Relationship Id="rId141" Type="http://schemas.openxmlformats.org/officeDocument/2006/relationships/image" Target="media/image99.jpeg"/><Relationship Id="rId7" Type="http://schemas.openxmlformats.org/officeDocument/2006/relationships/numbering" Target="numbering.xml"/><Relationship Id="rId162" Type="http://schemas.openxmlformats.org/officeDocument/2006/relationships/image" Target="media/image120.jpeg"/><Relationship Id="rId183" Type="http://schemas.openxmlformats.org/officeDocument/2006/relationships/image" Target="media/image141.jpeg"/><Relationship Id="rId218" Type="http://schemas.openxmlformats.org/officeDocument/2006/relationships/image" Target="media/image176.jpeg"/><Relationship Id="rId24" Type="http://schemas.openxmlformats.org/officeDocument/2006/relationships/hyperlink" Target="https://exit.al/en/2020/08/25/albanian-health-minister-defends-who-report-findings-over-low-number-of-doctors/" TargetMode="External"/><Relationship Id="rId45" Type="http://schemas.openxmlformats.org/officeDocument/2006/relationships/hyperlink" Target="https://international-partnerships.ec.europa.eu/knowledge-hub/communicating-and-raising-eu-visibility-guidance-external-actions_en" TargetMode="External"/><Relationship Id="rId66" Type="http://schemas.openxmlformats.org/officeDocument/2006/relationships/image" Target="media/image24.jpeg"/><Relationship Id="rId87" Type="http://schemas.openxmlformats.org/officeDocument/2006/relationships/image" Target="media/image45.jpeg"/><Relationship Id="rId110" Type="http://schemas.openxmlformats.org/officeDocument/2006/relationships/image" Target="media/image68.jpeg"/><Relationship Id="rId131" Type="http://schemas.openxmlformats.org/officeDocument/2006/relationships/image" Target="media/image89.jpeg"/><Relationship Id="rId152" Type="http://schemas.openxmlformats.org/officeDocument/2006/relationships/image" Target="media/image110.jpeg"/><Relationship Id="rId173" Type="http://schemas.openxmlformats.org/officeDocument/2006/relationships/image" Target="media/image131.jpeg"/><Relationship Id="rId194" Type="http://schemas.openxmlformats.org/officeDocument/2006/relationships/image" Target="media/image152.jpeg"/><Relationship Id="rId208" Type="http://schemas.openxmlformats.org/officeDocument/2006/relationships/image" Target="media/image166.jpeg"/><Relationship Id="rId229" Type="http://schemas.openxmlformats.org/officeDocument/2006/relationships/image" Target="media/image187.jpeg"/><Relationship Id="rId14" Type="http://schemas.openxmlformats.org/officeDocument/2006/relationships/hyperlink" Target="mailto:eridana.cano@saspac.gov.al" TargetMode="External"/><Relationship Id="rId35" Type="http://schemas.openxmlformats.org/officeDocument/2006/relationships/hyperlink" Target="https://www.eeas.europa.eu/delegations/albania/regional-broadband-infrastructure-development-albania-closing-workshop_en" TargetMode="External"/><Relationship Id="rId56" Type="http://schemas.openxmlformats.org/officeDocument/2006/relationships/hyperlink" Target="http://www.oecd.org/dac/financing-sustainable-development/development-finance-standards/annex2.htm" TargetMode="External"/><Relationship Id="rId77" Type="http://schemas.openxmlformats.org/officeDocument/2006/relationships/image" Target="media/image35.jpeg"/><Relationship Id="rId100" Type="http://schemas.openxmlformats.org/officeDocument/2006/relationships/image" Target="media/image58.jpeg"/><Relationship Id="rId8" Type="http://schemas.openxmlformats.org/officeDocument/2006/relationships/styles" Target="styles.xml"/><Relationship Id="rId98" Type="http://schemas.openxmlformats.org/officeDocument/2006/relationships/image" Target="media/image56.jpeg"/><Relationship Id="rId121" Type="http://schemas.openxmlformats.org/officeDocument/2006/relationships/image" Target="media/image79.jpeg"/><Relationship Id="rId142" Type="http://schemas.openxmlformats.org/officeDocument/2006/relationships/image" Target="media/image100.jpeg"/><Relationship Id="rId163" Type="http://schemas.openxmlformats.org/officeDocument/2006/relationships/image" Target="media/image121.jpeg"/><Relationship Id="rId184" Type="http://schemas.openxmlformats.org/officeDocument/2006/relationships/image" Target="media/image142.jpeg"/><Relationship Id="rId219" Type="http://schemas.openxmlformats.org/officeDocument/2006/relationships/image" Target="media/image177.jpeg"/><Relationship Id="rId230" Type="http://schemas.openxmlformats.org/officeDocument/2006/relationships/image" Target="media/image188.jpeg"/><Relationship Id="rId25" Type="http://schemas.openxmlformats.org/officeDocument/2006/relationships/hyperlink" Target="https://akep.al/vendime-akte/komunikimet-elektronike/" TargetMode="External"/><Relationship Id="rId46" Type="http://schemas.openxmlformats.org/officeDocument/2006/relationships/hyperlink" Target="https://international-partnerships.ec.europa.eu/knowledge-hub/communicating-and-raising-eu-visibility-guidance-external-actions_en" TargetMode="External"/><Relationship Id="rId67" Type="http://schemas.openxmlformats.org/officeDocument/2006/relationships/image" Target="media/image25.jpeg"/><Relationship Id="rId20" Type="http://schemas.openxmlformats.org/officeDocument/2006/relationships/image" Target="media/image4.png"/><Relationship Id="rId41" Type="http://schemas.openxmlformats.org/officeDocument/2006/relationships/hyperlink" Target="about:blank" TargetMode="External"/><Relationship Id="rId62" Type="http://schemas.openxmlformats.org/officeDocument/2006/relationships/image" Target="media/image20.jpeg"/><Relationship Id="rId83" Type="http://schemas.openxmlformats.org/officeDocument/2006/relationships/image" Target="media/image41.jpeg"/><Relationship Id="rId88" Type="http://schemas.openxmlformats.org/officeDocument/2006/relationships/image" Target="media/image46.jpeg"/><Relationship Id="rId111" Type="http://schemas.openxmlformats.org/officeDocument/2006/relationships/image" Target="media/image69.jpeg"/><Relationship Id="rId132" Type="http://schemas.openxmlformats.org/officeDocument/2006/relationships/image" Target="media/image90.jpeg"/><Relationship Id="rId153" Type="http://schemas.openxmlformats.org/officeDocument/2006/relationships/image" Target="media/image111.jpeg"/><Relationship Id="rId174" Type="http://schemas.openxmlformats.org/officeDocument/2006/relationships/image" Target="media/image132.jpeg"/><Relationship Id="rId179" Type="http://schemas.openxmlformats.org/officeDocument/2006/relationships/image" Target="media/image137.jpeg"/><Relationship Id="rId195" Type="http://schemas.openxmlformats.org/officeDocument/2006/relationships/image" Target="media/image153.jpeg"/><Relationship Id="rId209" Type="http://schemas.openxmlformats.org/officeDocument/2006/relationships/image" Target="media/image167.jpeg"/><Relationship Id="rId190" Type="http://schemas.openxmlformats.org/officeDocument/2006/relationships/image" Target="media/image148.jpeg"/><Relationship Id="rId204" Type="http://schemas.openxmlformats.org/officeDocument/2006/relationships/image" Target="media/image162.jpeg"/><Relationship Id="rId220" Type="http://schemas.openxmlformats.org/officeDocument/2006/relationships/image" Target="media/image178.jpeg"/><Relationship Id="rId225" Type="http://schemas.openxmlformats.org/officeDocument/2006/relationships/image" Target="media/image183.jpeg"/><Relationship Id="rId15" Type="http://schemas.openxmlformats.org/officeDocument/2006/relationships/hyperlink" Target="mailto:blerina.naska@financa.gov.al" TargetMode="External"/><Relationship Id="rId36" Type="http://schemas.openxmlformats.org/officeDocument/2006/relationships/hyperlink" Target="https://neighbourhood-enlargement.ec.europa.eu/system/files/2020-10/communication_on_wb_economic_and_investment_plan_october_2020_en.pdf" TargetMode="External"/><Relationship Id="rId57" Type="http://schemas.openxmlformats.org/officeDocument/2006/relationships/image" Target="media/image15.jpeg"/><Relationship Id="rId106" Type="http://schemas.openxmlformats.org/officeDocument/2006/relationships/image" Target="media/image64.jpeg"/><Relationship Id="rId127" Type="http://schemas.openxmlformats.org/officeDocument/2006/relationships/image" Target="media/image85.jpeg"/><Relationship Id="rId10" Type="http://schemas.openxmlformats.org/officeDocument/2006/relationships/webSettings" Target="webSettings.xml"/><Relationship Id="rId31" Type="http://schemas.openxmlformats.org/officeDocument/2006/relationships/hyperlink" Target="https://akshi.gov.al/qeverisja-dixhitale-shqiperia-e-para-dhe-e-vetmja-ne-rajon-qe-permbush-cdo-standard/" TargetMode="External"/><Relationship Id="rId52" Type="http://schemas.openxmlformats.org/officeDocument/2006/relationships/image" Target="media/image11.jpeg"/><Relationship Id="rId73" Type="http://schemas.openxmlformats.org/officeDocument/2006/relationships/image" Target="media/image31.jpeg"/><Relationship Id="rId78" Type="http://schemas.openxmlformats.org/officeDocument/2006/relationships/image" Target="media/image36.jpeg"/><Relationship Id="rId94" Type="http://schemas.openxmlformats.org/officeDocument/2006/relationships/image" Target="media/image52.jpeg"/><Relationship Id="rId99" Type="http://schemas.openxmlformats.org/officeDocument/2006/relationships/image" Target="media/image57.jpeg"/><Relationship Id="rId101" Type="http://schemas.openxmlformats.org/officeDocument/2006/relationships/image" Target="media/image59.jpeg"/><Relationship Id="rId122" Type="http://schemas.openxmlformats.org/officeDocument/2006/relationships/image" Target="media/image80.jpeg"/><Relationship Id="rId143" Type="http://schemas.openxmlformats.org/officeDocument/2006/relationships/image" Target="media/image101.jpeg"/><Relationship Id="rId148" Type="http://schemas.openxmlformats.org/officeDocument/2006/relationships/image" Target="media/image106.jpeg"/><Relationship Id="rId164" Type="http://schemas.openxmlformats.org/officeDocument/2006/relationships/image" Target="media/image122.jpeg"/><Relationship Id="rId169" Type="http://schemas.openxmlformats.org/officeDocument/2006/relationships/image" Target="media/image127.jpeg"/><Relationship Id="rId185" Type="http://schemas.openxmlformats.org/officeDocument/2006/relationships/image" Target="media/image143.jpeg"/><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image" Target="media/image138.jpeg"/><Relationship Id="rId210" Type="http://schemas.openxmlformats.org/officeDocument/2006/relationships/image" Target="media/image168.jpeg"/><Relationship Id="rId215" Type="http://schemas.openxmlformats.org/officeDocument/2006/relationships/image" Target="media/image173.jpeg"/><Relationship Id="rId26" Type="http://schemas.openxmlformats.org/officeDocument/2006/relationships/hyperlink" Target="https://akep.al/wp-content/uploads/2023/05/REGJISTRI-I-SIPERMARRESVE-TE-AUTORIZIMIT-TE-PERGJITHSHEM-DERI-NE-DATEN-08.05.2023.pdf" TargetMode="External"/><Relationship Id="rId231" Type="http://schemas.openxmlformats.org/officeDocument/2006/relationships/image" Target="media/image189.jpeg"/><Relationship Id="rId47" Type="http://schemas.openxmlformats.org/officeDocument/2006/relationships/hyperlink" Target="https://assets.publishing.service.gov.uk/government/uploads/system/uploads/attachment_data/file/664563/industrial-strategy-white-paper-web-ready-version.pdf" TargetMode="External"/><Relationship Id="rId68" Type="http://schemas.openxmlformats.org/officeDocument/2006/relationships/image" Target="media/image26.jpeg"/><Relationship Id="rId89" Type="http://schemas.openxmlformats.org/officeDocument/2006/relationships/image" Target="media/image47.jpeg"/><Relationship Id="rId112" Type="http://schemas.openxmlformats.org/officeDocument/2006/relationships/image" Target="media/image70.jpeg"/><Relationship Id="rId133" Type="http://schemas.openxmlformats.org/officeDocument/2006/relationships/image" Target="media/image91.jpeg"/><Relationship Id="rId154" Type="http://schemas.openxmlformats.org/officeDocument/2006/relationships/image" Target="media/image112.jpeg"/><Relationship Id="rId175" Type="http://schemas.openxmlformats.org/officeDocument/2006/relationships/image" Target="media/image133.jpeg"/><Relationship Id="rId196" Type="http://schemas.openxmlformats.org/officeDocument/2006/relationships/image" Target="media/image154.jpeg"/><Relationship Id="rId200" Type="http://schemas.openxmlformats.org/officeDocument/2006/relationships/image" Target="media/image158.jpeg"/><Relationship Id="rId16" Type="http://schemas.openxmlformats.org/officeDocument/2006/relationships/image" Target="media/image1.jpeg"/><Relationship Id="rId221" Type="http://schemas.openxmlformats.org/officeDocument/2006/relationships/image" Target="media/image179.jpeg"/><Relationship Id="rId37" Type="http://schemas.openxmlformats.org/officeDocument/2006/relationships/hyperlink" Target="https://www.investment.com.al/sq/newsletter_ic/keshilli-investimeve-lajmet-kryesore-korrik-shtator-2021/" TargetMode="External"/><Relationship Id="rId58" Type="http://schemas.openxmlformats.org/officeDocument/2006/relationships/image" Target="media/image16.jpeg"/><Relationship Id="rId79" Type="http://schemas.openxmlformats.org/officeDocument/2006/relationships/image" Target="media/image37.jpeg"/><Relationship Id="rId102" Type="http://schemas.openxmlformats.org/officeDocument/2006/relationships/image" Target="media/image60.jpeg"/><Relationship Id="rId123" Type="http://schemas.openxmlformats.org/officeDocument/2006/relationships/image" Target="media/image81.jpeg"/><Relationship Id="rId144" Type="http://schemas.openxmlformats.org/officeDocument/2006/relationships/image" Target="media/image102.jpeg"/><Relationship Id="rId90" Type="http://schemas.openxmlformats.org/officeDocument/2006/relationships/image" Target="media/image48.jpeg"/><Relationship Id="rId165" Type="http://schemas.openxmlformats.org/officeDocument/2006/relationships/image" Target="media/image123.jpeg"/><Relationship Id="rId186" Type="http://schemas.openxmlformats.org/officeDocument/2006/relationships/image" Target="media/image144.jpeg"/><Relationship Id="rId211" Type="http://schemas.openxmlformats.org/officeDocument/2006/relationships/image" Target="media/image169.jpeg"/><Relationship Id="rId232" Type="http://schemas.openxmlformats.org/officeDocument/2006/relationships/footer" Target="footer2.xml"/><Relationship Id="rId27" Type="http://schemas.openxmlformats.org/officeDocument/2006/relationships/hyperlink" Target="https://akep.al/wp-content/uploads/2022/06/AKEP-Raporti-Vjetor-2021.pdf" TargetMode="External"/><Relationship Id="rId48" Type="http://schemas.openxmlformats.org/officeDocument/2006/relationships/image" Target="media/image7.emf"/><Relationship Id="rId69" Type="http://schemas.openxmlformats.org/officeDocument/2006/relationships/image" Target="media/image27.jpeg"/><Relationship Id="rId113" Type="http://schemas.openxmlformats.org/officeDocument/2006/relationships/image" Target="media/image71.jpeg"/><Relationship Id="rId134" Type="http://schemas.openxmlformats.org/officeDocument/2006/relationships/image" Target="media/image92.jpeg"/><Relationship Id="rId80" Type="http://schemas.openxmlformats.org/officeDocument/2006/relationships/image" Target="media/image38.jpeg"/><Relationship Id="rId155" Type="http://schemas.openxmlformats.org/officeDocument/2006/relationships/image" Target="media/image113.jpeg"/><Relationship Id="rId176" Type="http://schemas.openxmlformats.org/officeDocument/2006/relationships/image" Target="media/image134.jpeg"/><Relationship Id="rId197" Type="http://schemas.openxmlformats.org/officeDocument/2006/relationships/image" Target="media/image155.jpeg"/><Relationship Id="rId201" Type="http://schemas.openxmlformats.org/officeDocument/2006/relationships/image" Target="media/image159.jpeg"/><Relationship Id="rId222" Type="http://schemas.openxmlformats.org/officeDocument/2006/relationships/image" Target="media/image180.jpeg"/><Relationship Id="rId17" Type="http://schemas.openxmlformats.org/officeDocument/2006/relationships/image" Target="media/image2.png"/><Relationship Id="rId38" Type="http://schemas.openxmlformats.org/officeDocument/2006/relationships/hyperlink" Target="https://s3albania.org/" TargetMode="External"/><Relationship Id="rId59" Type="http://schemas.openxmlformats.org/officeDocument/2006/relationships/image" Target="media/image17.jpeg"/><Relationship Id="rId103" Type="http://schemas.openxmlformats.org/officeDocument/2006/relationships/image" Target="media/image61.jpeg"/><Relationship Id="rId124" Type="http://schemas.openxmlformats.org/officeDocument/2006/relationships/image" Target="media/image82.jpeg"/><Relationship Id="rId70" Type="http://schemas.openxmlformats.org/officeDocument/2006/relationships/image" Target="media/image28.jpeg"/><Relationship Id="rId91" Type="http://schemas.openxmlformats.org/officeDocument/2006/relationships/image" Target="media/image49.jpeg"/><Relationship Id="rId145" Type="http://schemas.openxmlformats.org/officeDocument/2006/relationships/image" Target="media/image103.jpeg"/><Relationship Id="rId166" Type="http://schemas.openxmlformats.org/officeDocument/2006/relationships/image" Target="media/image124.jpeg"/><Relationship Id="rId187" Type="http://schemas.openxmlformats.org/officeDocument/2006/relationships/image" Target="media/image145.jpeg"/><Relationship Id="rId1" Type="http://schemas.openxmlformats.org/officeDocument/2006/relationships/customXml" Target="../customXml/item1.xml"/><Relationship Id="rId212" Type="http://schemas.openxmlformats.org/officeDocument/2006/relationships/image" Target="media/image170.jpeg"/><Relationship Id="rId233" Type="http://schemas.openxmlformats.org/officeDocument/2006/relationships/fontTable" Target="fontTable.xml"/><Relationship Id="rId28" Type="http://schemas.openxmlformats.org/officeDocument/2006/relationships/hyperlink" Target="https://www.rcc.int/pubs/159/western-balkans-digital-economy-society-index-wb-desi-2022-report" TargetMode="External"/><Relationship Id="rId49" Type="http://schemas.openxmlformats.org/officeDocument/2006/relationships/image" Target="media/image8.emf"/><Relationship Id="rId114" Type="http://schemas.openxmlformats.org/officeDocument/2006/relationships/image" Target="media/image72.jpeg"/><Relationship Id="rId60" Type="http://schemas.openxmlformats.org/officeDocument/2006/relationships/image" Target="media/image18.jpeg"/><Relationship Id="rId81" Type="http://schemas.openxmlformats.org/officeDocument/2006/relationships/image" Target="media/image39.jpeg"/><Relationship Id="rId135" Type="http://schemas.openxmlformats.org/officeDocument/2006/relationships/image" Target="media/image93.jpeg"/><Relationship Id="rId156" Type="http://schemas.openxmlformats.org/officeDocument/2006/relationships/image" Target="media/image114.jpeg"/><Relationship Id="rId177" Type="http://schemas.openxmlformats.org/officeDocument/2006/relationships/image" Target="media/image135.jpeg"/><Relationship Id="rId198" Type="http://schemas.openxmlformats.org/officeDocument/2006/relationships/image" Target="media/image156.jpeg"/><Relationship Id="rId202" Type="http://schemas.openxmlformats.org/officeDocument/2006/relationships/image" Target="media/image160.jpeg"/><Relationship Id="rId223" Type="http://schemas.openxmlformats.org/officeDocument/2006/relationships/image" Target="media/image181.jpeg"/><Relationship Id="rId18" Type="http://schemas.openxmlformats.org/officeDocument/2006/relationships/hyperlink" Target="https://akep.al/rreth-akep/" TargetMode="External"/><Relationship Id="rId39" Type="http://schemas.openxmlformats.org/officeDocument/2006/relationships/hyperlink" Target="https://akep.al/wp-content/uploads/2021/11/5G-Strategic-Plan-Public-Consultation-English-Version.pdf" TargetMode="External"/><Relationship Id="rId50" Type="http://schemas.openxmlformats.org/officeDocument/2006/relationships/image" Target="media/image9.png"/><Relationship Id="rId104" Type="http://schemas.openxmlformats.org/officeDocument/2006/relationships/image" Target="media/image62.jpeg"/><Relationship Id="rId125" Type="http://schemas.openxmlformats.org/officeDocument/2006/relationships/image" Target="media/image83.jpeg"/><Relationship Id="rId146" Type="http://schemas.openxmlformats.org/officeDocument/2006/relationships/image" Target="media/image104.jpeg"/><Relationship Id="rId167" Type="http://schemas.openxmlformats.org/officeDocument/2006/relationships/image" Target="media/image125.jpeg"/><Relationship Id="rId188" Type="http://schemas.openxmlformats.org/officeDocument/2006/relationships/image" Target="media/image146.jpeg"/><Relationship Id="rId71" Type="http://schemas.openxmlformats.org/officeDocument/2006/relationships/image" Target="media/image29.jpeg"/><Relationship Id="rId92" Type="http://schemas.openxmlformats.org/officeDocument/2006/relationships/image" Target="media/image50.jpeg"/><Relationship Id="rId213" Type="http://schemas.openxmlformats.org/officeDocument/2006/relationships/image" Target="media/image171.jpeg"/><Relationship Id="rId234"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akep.al/wp-content/uploads/2022/06/AKEP-Raporti-Vjetor-2021.pdf" TargetMode="External"/><Relationship Id="rId40" Type="http://schemas.openxmlformats.org/officeDocument/2006/relationships/hyperlink" Target="https://s3albania.org/" TargetMode="External"/><Relationship Id="rId115" Type="http://schemas.openxmlformats.org/officeDocument/2006/relationships/image" Target="media/image73.jpeg"/><Relationship Id="rId136" Type="http://schemas.openxmlformats.org/officeDocument/2006/relationships/image" Target="media/image94.jpeg"/><Relationship Id="rId157" Type="http://schemas.openxmlformats.org/officeDocument/2006/relationships/image" Target="media/image115.jpeg"/><Relationship Id="rId178" Type="http://schemas.openxmlformats.org/officeDocument/2006/relationships/image" Target="media/image136.jpeg"/><Relationship Id="rId61" Type="http://schemas.openxmlformats.org/officeDocument/2006/relationships/image" Target="media/image19.jpeg"/><Relationship Id="rId82" Type="http://schemas.openxmlformats.org/officeDocument/2006/relationships/image" Target="media/image40.jpeg"/><Relationship Id="rId199" Type="http://schemas.openxmlformats.org/officeDocument/2006/relationships/image" Target="media/image157.jpeg"/><Relationship Id="rId203" Type="http://schemas.openxmlformats.org/officeDocument/2006/relationships/image" Target="media/image161.jpeg"/><Relationship Id="rId19" Type="http://schemas.openxmlformats.org/officeDocument/2006/relationships/image" Target="media/image3.jpeg"/><Relationship Id="rId224" Type="http://schemas.openxmlformats.org/officeDocument/2006/relationships/image" Target="media/image182.jpeg"/><Relationship Id="rId30" Type="http://schemas.openxmlformats.org/officeDocument/2006/relationships/hyperlink" Target="https://e-albania.al/" TargetMode="External"/><Relationship Id="rId105" Type="http://schemas.openxmlformats.org/officeDocument/2006/relationships/image" Target="media/image63.jpeg"/><Relationship Id="rId126" Type="http://schemas.openxmlformats.org/officeDocument/2006/relationships/image" Target="media/image84.jpeg"/><Relationship Id="rId147" Type="http://schemas.openxmlformats.org/officeDocument/2006/relationships/image" Target="media/image105.jpeg"/><Relationship Id="rId168" Type="http://schemas.openxmlformats.org/officeDocument/2006/relationships/image" Target="media/image126.jpeg"/><Relationship Id="rId51" Type="http://schemas.openxmlformats.org/officeDocument/2006/relationships/image" Target="media/image10.jpeg"/><Relationship Id="rId72" Type="http://schemas.openxmlformats.org/officeDocument/2006/relationships/image" Target="media/image30.jpeg"/><Relationship Id="rId93" Type="http://schemas.openxmlformats.org/officeDocument/2006/relationships/image" Target="media/image51.jpeg"/><Relationship Id="rId189" Type="http://schemas.openxmlformats.org/officeDocument/2006/relationships/image" Target="media/image147.jpeg"/><Relationship Id="rId3" Type="http://schemas.openxmlformats.org/officeDocument/2006/relationships/customXml" Target="../customXml/item3.xml"/><Relationship Id="rId214" Type="http://schemas.openxmlformats.org/officeDocument/2006/relationships/image" Target="media/image172.jpeg"/><Relationship Id="rId116" Type="http://schemas.openxmlformats.org/officeDocument/2006/relationships/image" Target="media/image74.jpeg"/><Relationship Id="rId137" Type="http://schemas.openxmlformats.org/officeDocument/2006/relationships/image" Target="media/image95.jpeg"/><Relationship Id="rId158" Type="http://schemas.openxmlformats.org/officeDocument/2006/relationships/image" Target="media/image116.jpeg"/></Relationships>
</file>

<file path=word/_rels/footnotes.xml.rels><?xml version="1.0" encoding="UTF-8" standalone="yes"?>
<Relationships xmlns="http://schemas.openxmlformats.org/package/2006/relationships"><Relationship Id="rId13" Type="http://schemas.openxmlformats.org/officeDocument/2006/relationships/hyperlink" Target="https://uis.unesco.org/en/country/al" TargetMode="External"/><Relationship Id="rId18" Type="http://schemas.openxmlformats.org/officeDocument/2006/relationships/hyperlink" Target="https://www.rcc.int/pubs/159/western-balkans-digital-economy-society-index-wb-desi-2022-report" TargetMode="External"/><Relationship Id="rId26" Type="http://schemas.openxmlformats.org/officeDocument/2006/relationships/hyperlink" Target="http://www.instat.gov.al/al/temat/kushtet-sociale/teknologjis%C3%AB-s%C3%AB-informacionit-dhe-komunikimit-tik-n%C3%AB-familje-dhe-nga-individ%C3%ABt/" TargetMode="External"/><Relationship Id="rId39" Type="http://schemas.openxmlformats.org/officeDocument/2006/relationships/hyperlink" Target="https://www.rcc.int/pubs/159/western-balkans-digital-economy-society-index-wb-desi-2022-report" TargetMode="External"/><Relationship Id="rId21" Type="http://schemas.openxmlformats.org/officeDocument/2006/relationships/hyperlink" Target="https://www.ncbi.nlm.nih.gov/pmc/articles/PMC9815606/" TargetMode="External"/><Relationship Id="rId34" Type="http://schemas.openxmlformats.org/officeDocument/2006/relationships/hyperlink" Target="https://www.qualcomm.com/content/dam/qcomm-martech/dm-assets/documents/5g_and_sustainability-_the_transformative_role_of_5g_-_10.4.2021.pdf" TargetMode="External"/><Relationship Id="rId42" Type="http://schemas.openxmlformats.org/officeDocument/2006/relationships/hyperlink" Target="https://www.enisa.europa.eu/publications/enisa-threat-landscape-2022" TargetMode="External"/><Relationship Id="rId47" Type="http://schemas.openxmlformats.org/officeDocument/2006/relationships/hyperlink" Target="https://ec.europa.eu/neighbourhood-enlargement/sites/near/files/communication_on_wb_economic_and_investment_plan_october_2020_en.pdf" TargetMode="External"/><Relationship Id="rId50" Type="http://schemas.openxmlformats.org/officeDocument/2006/relationships/hyperlink" Target="https://www.rcc.int/pubs/159/western-balkans-digital-economy-society-index-wb-desi-2022-report" TargetMode="External"/><Relationship Id="rId55" Type="http://schemas.openxmlformats.org/officeDocument/2006/relationships/hyperlink" Target="https://op.europa.eu/en/publication-detail/-/publication/23a24b21-16d0-11ec-b4fe-01aa75ed71a1/language-en" TargetMode="External"/><Relationship Id="rId7" Type="http://schemas.openxmlformats.org/officeDocument/2006/relationships/hyperlink" Target="https://www.infrastruktura.gov.al/wp-content/uploads/2020/07/National-Plan-BBand-EN.pdf" TargetMode="External"/><Relationship Id="rId2" Type="http://schemas.openxmlformats.org/officeDocument/2006/relationships/hyperlink" Target="https://arsimi.gov.al/vendim-nr-742-date-3-12-2021-per-krijimin-e-bazes-se-te-dhenave-shteterore-te-sistemit-te-menaxhimit-te-informacionit-parauniversitar-smip/" TargetMode="External"/><Relationship Id="rId16" Type="http://schemas.openxmlformats.org/officeDocument/2006/relationships/hyperlink" Target="https://data.gsmaintelligence.com/api-web/v2/research-file-download?id=54165956&amp;file=241120-5G-energy.pdf" TargetMode="External"/><Relationship Id="rId29" Type="http://schemas.openxmlformats.org/officeDocument/2006/relationships/hyperlink" Target="https://www.rcc.int/pubs/159/western-balkans-digital-economy-society-index-wb-desi-2022-report" TargetMode="External"/><Relationship Id="rId11" Type="http://schemas.openxmlformats.org/officeDocument/2006/relationships/hyperlink" Target="https://www.idp.al/wp-content/uploads/2020/03/Ligj_nr.9887_dat%C3%AB_10.3.2008_i_ndryshuar.pdf" TargetMode="External"/><Relationship Id="rId24" Type="http://schemas.openxmlformats.org/officeDocument/2006/relationships/hyperlink" Target="https://www.instat.gov.al/media/11169/ict-2022-english.pdf" TargetMode="External"/><Relationship Id="rId32" Type="http://schemas.openxmlformats.org/officeDocument/2006/relationships/hyperlink" Target="https://neighbourhood-enlargement.ec.europa.eu/system/files/2020-10/communication_on_wb_economic_and_investment_plan_october_2020_en.pdf" TargetMode="External"/><Relationship Id="rId37" Type="http://schemas.openxmlformats.org/officeDocument/2006/relationships/hyperlink" Target="https://www.ihe.net/" TargetMode="External"/><Relationship Id="rId40" Type="http://schemas.openxmlformats.org/officeDocument/2006/relationships/hyperlink" Target="https://www.rcc.int/pubs/159/western-balkans-digital-economy-society-index-wb-desi-2022-report" TargetMode="External"/><Relationship Id="rId45" Type="http://schemas.openxmlformats.org/officeDocument/2006/relationships/hyperlink" Target="https://commission.europa.eu/strategy-and-policy/priorities-2019-2024/europe-fit-digital-age/european-data-strategy_en" TargetMode="External"/><Relationship Id="rId53" Type="http://schemas.openxmlformats.org/officeDocument/2006/relationships/hyperlink" Target="https://www.oecd.org/development/financing-sustainable-development/development-finance-standards/" TargetMode="External"/><Relationship Id="rId58" Type="http://schemas.openxmlformats.org/officeDocument/2006/relationships/hyperlink" Target="https://ec.europa.eu/environment/eia/index_en.htm" TargetMode="External"/><Relationship Id="rId5" Type="http://schemas.openxmlformats.org/officeDocument/2006/relationships/hyperlink" Target="https://qbz.gov.al/eli/ligj/2019/06/17/35/6739219d-6930-48d6-bd7d-e844756a07f8" TargetMode="External"/><Relationship Id="rId61" Type="http://schemas.openxmlformats.org/officeDocument/2006/relationships/hyperlink" Target="https://neighbourhood-enlargement.ec.europa.eu/system/files/2022-12/SWD_2022_445_1_EN_document_travail_service_part1_v2.pdf" TargetMode="External"/><Relationship Id="rId19" Type="http://schemas.openxmlformats.org/officeDocument/2006/relationships/hyperlink" Target="https://pubmed.ncbi.nlm.nih.gov/?term=Kalaja%20R%5bAuthor%5d" TargetMode="External"/><Relationship Id="rId14" Type="http://schemas.openxmlformats.org/officeDocument/2006/relationships/hyperlink" Target="https://akshi.gov.al/wp-content/uploads/2018/03/Digital_Agenda_Strategy_2015_-_2020.pdf" TargetMode="External"/><Relationship Id="rId22" Type="http://schemas.openxmlformats.org/officeDocument/2006/relationships/hyperlink" Target="https://www.opengovpartnership.org/members/albania/commitments/al0058/" TargetMode="External"/><Relationship Id="rId27" Type="http://schemas.openxmlformats.org/officeDocument/2006/relationships/hyperlink" Target="https://akep.al/en/about-akep/" TargetMode="External"/><Relationship Id="rId30" Type="http://schemas.openxmlformats.org/officeDocument/2006/relationships/hyperlink" Target="https://s3albania.org/" TargetMode="External"/><Relationship Id="rId35" Type="http://schemas.openxmlformats.org/officeDocument/2006/relationships/hyperlink" Target="https://www.berec.europa.eu/system/files/2022-07/10282-berec-report-on-sustainability-assessing_0_3.pdf" TargetMode="External"/><Relationship Id="rId43" Type="http://schemas.openxmlformats.org/officeDocument/2006/relationships/hyperlink" Target="https://eur-lex.europa.eu/legal-content/EN/ALL/?uri=CELEX%3A32019R0881" TargetMode="External"/><Relationship Id="rId48" Type="http://schemas.openxmlformats.org/officeDocument/2006/relationships/hyperlink" Target="https://digital-strategy.ec.europa.eu/en/activities/5g-smart-communities" TargetMode="External"/><Relationship Id="rId56" Type="http://schemas.openxmlformats.org/officeDocument/2006/relationships/hyperlink" Target="https://ec.europa.eu/regional_policy/sources/docgener/studies/pdf/cba_guide.pdf" TargetMode="External"/><Relationship Id="rId8" Type="http://schemas.openxmlformats.org/officeDocument/2006/relationships/hyperlink" Target="https://www.tatime.gov.al/eng/shkarko.php?id=683" TargetMode="External"/><Relationship Id="rId51" Type="http://schemas.openxmlformats.org/officeDocument/2006/relationships/hyperlink" Target="https://op.europa.eu/en/publication-detail/-/publication/93c4192d-aa07-43f6-b78e-f1d236b54cb8" TargetMode="External"/><Relationship Id="rId3" Type="http://schemas.openxmlformats.org/officeDocument/2006/relationships/hyperlink" Target="https://www.ascap.edu.al/tik-klasa-ii/" TargetMode="External"/><Relationship Id="rId12" Type="http://schemas.openxmlformats.org/officeDocument/2006/relationships/hyperlink" Target="https://akep.al/vendime-akte/komunikimet-elektronike/" TargetMode="External"/><Relationship Id="rId17" Type="http://schemas.openxmlformats.org/officeDocument/2006/relationships/hyperlink" Target="https://desapublications.un.org/sites/default/files/publications/2022-11/Web%20version%20E-Government%202022%20November%2010.pdf" TargetMode="External"/><Relationship Id="rId25" Type="http://schemas.openxmlformats.org/officeDocument/2006/relationships/hyperlink" Target="https://akep.al/en/about-akep/" TargetMode="External"/><Relationship Id="rId33" Type="http://schemas.openxmlformats.org/officeDocument/2006/relationships/hyperlink" Target="https://digital-strategy.ec.europa.eu/en/activities/5g-smart-communities" TargetMode="External"/><Relationship Id="rId38" Type="http://schemas.openxmlformats.org/officeDocument/2006/relationships/hyperlink" Target="https://www.ihe-europe.net/" TargetMode="External"/><Relationship Id="rId46" Type="http://schemas.openxmlformats.org/officeDocument/2006/relationships/hyperlink" Target="https://digital-strategy.ec.europa.eu/en/library/declaration-future-internet" TargetMode="External"/><Relationship Id="rId59" Type="http://schemas.openxmlformats.org/officeDocument/2006/relationships/hyperlink" Target="https://www.resilienceindex.org/" TargetMode="External"/><Relationship Id="rId20" Type="http://schemas.openxmlformats.org/officeDocument/2006/relationships/hyperlink" Target="file:///C:/Users/valer/Downloads/Marsida%20Krasniqi" TargetMode="External"/><Relationship Id="rId41" Type="http://schemas.openxmlformats.org/officeDocument/2006/relationships/hyperlink" Target="https://publications.jrc.ec.europa.eu/repository/handle/JRC130341" TargetMode="External"/><Relationship Id="rId54" Type="http://schemas.openxmlformats.org/officeDocument/2006/relationships/hyperlink" Target="https://scalingupnutrition.org/wp-content/uploads/2020/12/OECD_PolicyMarkerNutrition.pdf" TargetMode="External"/><Relationship Id="rId1" Type="http://schemas.openxmlformats.org/officeDocument/2006/relationships/hyperlink" Target="https://commission.europa.eu/funding-tenders/find-funding/eu-funding-programmes/technical-support-instrument/technical-support-instrument-tsi_en" TargetMode="External"/><Relationship Id="rId6" Type="http://schemas.openxmlformats.org/officeDocument/2006/relationships/hyperlink" Target="https://cesk.gov.al/wp-content/uploads/2020/07/strategjia_kombetare_sigurise_kibernetike-1.pdf" TargetMode="External"/><Relationship Id="rId15" Type="http://schemas.openxmlformats.org/officeDocument/2006/relationships/hyperlink" Target="https://akshi.gov.al/wp-content/uploads/2018/03/RAPORT-MONITORIMI-VJETOR-2015-2016.pdf" TargetMode="External"/><Relationship Id="rId23" Type="http://schemas.openxmlformats.org/officeDocument/2006/relationships/hyperlink" Target="https://www.rcc.int/pubs/159/western-balkans-digital-economy-society-index-wb-desi-2022-report" TargetMode="External"/><Relationship Id="rId28" Type="http://schemas.openxmlformats.org/officeDocument/2006/relationships/hyperlink" Target="https://www.rcc.int/pubs/159/western-balkans-digital-economy-society-index-wb-desi-2022-report" TargetMode="External"/><Relationship Id="rId36" Type="http://schemas.openxmlformats.org/officeDocument/2006/relationships/hyperlink" Target="https://commission.europa.eu/strategy-and-policy/priorities-2019-2024/european-green-deal_en" TargetMode="External"/><Relationship Id="rId49" Type="http://schemas.openxmlformats.org/officeDocument/2006/relationships/hyperlink" Target="https://digital-strategy.ec.europa.eu/en/library/gigabit-infrastructure-act-proposal-and-impact-assessment" TargetMode="External"/><Relationship Id="rId57" Type="http://schemas.openxmlformats.org/officeDocument/2006/relationships/hyperlink" Target="https://op.europa.eu/s/yBiT" TargetMode="External"/><Relationship Id="rId10" Type="http://schemas.openxmlformats.org/officeDocument/2006/relationships/hyperlink" Target="https://www.tatime.gov.al/c/6/452/fiskalizimi" TargetMode="External"/><Relationship Id="rId31" Type="http://schemas.openxmlformats.org/officeDocument/2006/relationships/hyperlink" Target="https://www.infrastruktura.gov.al/wp-content/uploads/2020/07/National-Plan-BBand-EN.pdf" TargetMode="External"/><Relationship Id="rId44" Type="http://schemas.openxmlformats.org/officeDocument/2006/relationships/hyperlink" Target="https://www.cisa.gov/news-events/cybersecurity-advisories/aa22-264a" TargetMode="External"/><Relationship Id="rId52" Type="http://schemas.openxmlformats.org/officeDocument/2006/relationships/hyperlink" Target="https://www.oecd.org/development/financing-sustainable-development/development-finance-standards/dacandcrscodelists.htm" TargetMode="External"/><Relationship Id="rId60" Type="http://schemas.openxmlformats.org/officeDocument/2006/relationships/hyperlink" Target="https://op.europa.eu/en/publication-detail/-/publication/23a24b21-16d0-11ec-b4fe-01aa75ed71a1/language-en" TargetMode="External"/><Relationship Id="rId4" Type="http://schemas.openxmlformats.org/officeDocument/2006/relationships/hyperlink" Target="https://smip.al/login" TargetMode="External"/><Relationship Id="rId9" Type="http://schemas.openxmlformats.org/officeDocument/2006/relationships/hyperlink" Target="https://www.tatime.gov.al/eng/shkarko.php?id=33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985E4DA75FC406986F0C53C280468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2025-06-23T13:24:06Z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2025-06-23T00:00:00Z</Date_x0020_protokolli>
    <Titulli xmlns="0e656187-b300-4fb0-8bf4-3a50f872073c">Për ratifikimin e marrëveshjes së financimit ndërmjet Republikës së Shqipërisë, përfaqësuar nga Këshilli i Ministrave i Republikës së Shqipërisë dhe Komisionit Evropian, për programin operacional shumëvjeçar për ekonominë dhe shoqërinë digjitale, në favor të Republikës së Shqipërisë, për periudhën 2024-2027, në kuadër të Instrumentit të Asistencës së Paraanëtarësimit (IPA III)</Titulli>
    <Modifikuesi xmlns="0e656187-b300-4fb0-8bf4-3a50f872073c">valeta.kaftalli</Modifikuesi>
    <Nr_x002e__x0020_prot_x0020_QBZ xmlns="0e656187-b300-4fb0-8bf4-3a50f872073c">996/5</Nr_x002e__x0020_prot_x0020_QBZ>
    <Data_x0020_e_x0020_Modifikimit xmlns="0e656187-b300-4fb0-8bf4-3a50f872073c">2025-07-02T11:22:05Z</Data_x0020_e_x0020_Modifikimit>
    <Dekretuar xmlns="0e656187-b300-4fb0-8bf4-3a50f872073c">false</Dekretuar>
    <Data xmlns="0e656187-b300-4fb0-8bf4-3a50f872073c">2025-06-05T00:00:00Z</Data>
    <Nr_x002e__x0020_protokolli_x0020_i_x0020_aktit xmlns="0e656187-b300-4fb0-8bf4-3a50f872073c">1822/5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985E4DA75FC406986F0C53C280468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FB09D-AF81-4A31-90F6-680A6EFD4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36F0A27-E873-4A46-92EE-41BC73964CB8}">
  <ds:schemaRefs>
    <ds:schemaRef ds:uri="http://schemas.microsoft.com/sharepoint/v3/contenttype/forms"/>
  </ds:schemaRefs>
</ds:datastoreItem>
</file>

<file path=customXml/itemProps3.xml><?xml version="1.0" encoding="utf-8"?>
<ds:datastoreItem xmlns:ds="http://schemas.openxmlformats.org/officeDocument/2006/customXml" ds:itemID="{448C7896-66C3-4FEB-A3B2-5550EE5DC15E}">
  <ds:schemaRefs>
    <ds:schemaRef ds:uri="http://purl.org/dc/terms/"/>
    <ds:schemaRef ds:uri="http://schemas.openxmlformats.org/package/2006/metadata/core-properties"/>
    <ds:schemaRef ds:uri="http://www.w3.org/XML/1998/namespace"/>
    <ds:schemaRef ds:uri="http://purl.org/dc/elements/1.1/"/>
    <ds:schemaRef ds:uri="http://schemas.microsoft.com/office/2006/documentManagement/types"/>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F7852690-3F5A-49E0-BE70-06E4E155D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B44E435-85A5-4977-A54C-11CC23DAF5B8}">
  <ds:schemaRefs>
    <ds:schemaRef ds:uri="http://schemas.microsoft.com/sharepoint/v3/contenttype/forms"/>
  </ds:schemaRefs>
</ds:datastoreItem>
</file>

<file path=customXml/itemProps6.xml><?xml version="1.0" encoding="utf-8"?>
<ds:datastoreItem xmlns:ds="http://schemas.openxmlformats.org/officeDocument/2006/customXml" ds:itemID="{09E0107E-1067-41BF-9997-51CB6C594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325</Pages>
  <Words>79932</Words>
  <Characters>455617</Characters>
  <Application>Microsoft Office Word</Application>
  <DocSecurity>0</DocSecurity>
  <Lines>3796</Lines>
  <Paragraphs>1068</Paragraphs>
  <ScaleCrop>false</ScaleCrop>
  <HeadingPairs>
    <vt:vector size="2" baseType="variant">
      <vt:variant>
        <vt:lpstr>Title</vt:lpstr>
      </vt:variant>
      <vt:variant>
        <vt:i4>1</vt:i4>
      </vt:variant>
    </vt:vector>
  </HeadingPairs>
  <TitlesOfParts>
    <vt:vector size="1" baseType="lpstr">
      <vt:lpstr>Për ratifikimin e marrëveshjes së financimit ndërmjet Republikës së Shqipërisë, përfaqësuar nga Këshilli i Ministrave i Republikës së Shqipërisë dhe Komisionit Evropian, për programin operacional shumëvjeçar për ekonominë dhe shoqërinë digjitale, në favor</vt:lpstr>
    </vt:vector>
  </TitlesOfParts>
  <Company/>
  <LinksUpToDate>false</LinksUpToDate>
  <CharactersWithSpaces>534481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financimit ndërmjet Republikës së Shqipërisë, përfaqësuar nga Këshilli i Ministrave i Republikës së Shqipërisë dhe Komisionit Evropian, për programin operacional shumëvjeçar për ekonominë dhe shoqërinë digjitale, në favor të Republikës së Shqipërisë, për periudhën 2024-2027, në kuadër të Instrumentit të Asistencës së Paraanëtarësimit (IPA III)</dc:title>
  <dc:creator>gazmend.hanku</dc:creator>
  <cp:lastModifiedBy>Nevila Samarxhi</cp:lastModifiedBy>
  <cp:revision>466</cp:revision>
  <cp:lastPrinted>2025-06-10T10:50:00Z</cp:lastPrinted>
  <dcterms:created xsi:type="dcterms:W3CDTF">2024-03-05T14:35:00Z</dcterms:created>
  <dcterms:modified xsi:type="dcterms:W3CDTF">2025-07-02T10:54:00Z</dcterms:modified>
</cp:coreProperties>
</file>