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DC59C" w14:textId="77777777" w:rsidR="00420682" w:rsidRPr="00B37883" w:rsidRDefault="00420682" w:rsidP="003945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7883">
        <w:rPr>
          <w:rFonts w:ascii="Garamond" w:hAnsi="Garamond" w:cs="Times New Roman"/>
          <w:b/>
          <w:sz w:val="24"/>
          <w:szCs w:val="24"/>
        </w:rPr>
        <w:t>LIGJ</w:t>
      </w:r>
    </w:p>
    <w:p w14:paraId="2D92A7EC" w14:textId="77777777" w:rsidR="00024790" w:rsidRPr="00B37883" w:rsidRDefault="002009A1" w:rsidP="003945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7883">
        <w:rPr>
          <w:rFonts w:ascii="Garamond" w:hAnsi="Garamond" w:cs="Times New Roman"/>
          <w:b/>
          <w:sz w:val="24"/>
          <w:szCs w:val="24"/>
        </w:rPr>
        <w:t>Nr.</w:t>
      </w:r>
      <w:r w:rsidR="00F62A46" w:rsidRPr="00B37883">
        <w:rPr>
          <w:rFonts w:ascii="Garamond" w:hAnsi="Garamond" w:cs="Times New Roman"/>
          <w:b/>
          <w:sz w:val="24"/>
          <w:szCs w:val="24"/>
        </w:rPr>
        <w:t xml:space="preserve"> </w:t>
      </w:r>
      <w:r w:rsidR="00D00917" w:rsidRPr="00B37883">
        <w:rPr>
          <w:rFonts w:ascii="Garamond" w:hAnsi="Garamond" w:cs="Times New Roman"/>
          <w:b/>
          <w:sz w:val="24"/>
          <w:szCs w:val="24"/>
        </w:rPr>
        <w:t>79</w:t>
      </w:r>
      <w:r w:rsidR="007748A2" w:rsidRPr="00B37883">
        <w:rPr>
          <w:rFonts w:ascii="Garamond" w:hAnsi="Garamond" w:cs="Times New Roman"/>
          <w:b/>
          <w:sz w:val="24"/>
          <w:szCs w:val="24"/>
        </w:rPr>
        <w:t>/202</w:t>
      </w:r>
      <w:r w:rsidR="00DE793A" w:rsidRPr="00B37883">
        <w:rPr>
          <w:rFonts w:ascii="Garamond" w:hAnsi="Garamond" w:cs="Times New Roman"/>
          <w:b/>
          <w:sz w:val="24"/>
          <w:szCs w:val="24"/>
        </w:rPr>
        <w:t>5</w:t>
      </w:r>
      <w:r w:rsidRPr="00B3788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E40CFB0" w14:textId="77777777" w:rsidR="004C67EE" w:rsidRPr="00B37883" w:rsidRDefault="004C67EE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6C93AA" w14:textId="77777777" w:rsidR="00060FA4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7883">
        <w:rPr>
          <w:rFonts w:ascii="Garamond" w:hAnsi="Garamond" w:cs="Times New Roman"/>
          <w:b/>
          <w:sz w:val="24"/>
          <w:szCs w:val="24"/>
        </w:rPr>
        <w:t>PËR DISA NDRYSHIME DHE SHTESA NË LIGJIN NR.</w:t>
      </w:r>
      <w:r w:rsidR="00D00917" w:rsidRPr="00B37883">
        <w:rPr>
          <w:rFonts w:ascii="Garamond" w:hAnsi="Garamond" w:cs="Times New Roman"/>
          <w:b/>
          <w:sz w:val="24"/>
          <w:szCs w:val="24"/>
        </w:rPr>
        <w:t xml:space="preserve"> </w:t>
      </w:r>
      <w:r w:rsidRPr="00B37883">
        <w:rPr>
          <w:rFonts w:ascii="Garamond" w:hAnsi="Garamond" w:cs="Times New Roman"/>
          <w:b/>
          <w:sz w:val="24"/>
          <w:szCs w:val="24"/>
        </w:rPr>
        <w:t>9920, DATË 19.5.2008,</w:t>
      </w:r>
    </w:p>
    <w:p w14:paraId="2B69BCFF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7883">
        <w:rPr>
          <w:rFonts w:ascii="Garamond" w:hAnsi="Garamond" w:cs="Times New Roman"/>
          <w:b/>
          <w:sz w:val="24"/>
          <w:szCs w:val="24"/>
        </w:rPr>
        <w:t xml:space="preserve"> “PËR PROCEDURAT TATIMORE NË REPUBLIKËN E SHQIPËRISË”, </w:t>
      </w:r>
      <w:r w:rsidR="00D00917" w:rsidRPr="00B37883">
        <w:rPr>
          <w:rFonts w:ascii="Garamond" w:hAnsi="Garamond" w:cs="Times New Roman"/>
          <w:b/>
          <w:sz w:val="24"/>
          <w:szCs w:val="24"/>
        </w:rPr>
        <w:t>I</w:t>
      </w:r>
      <w:r w:rsidRPr="00B37883">
        <w:rPr>
          <w:rFonts w:ascii="Garamond" w:hAnsi="Garamond" w:cs="Times New Roman"/>
          <w:b/>
          <w:sz w:val="24"/>
          <w:szCs w:val="24"/>
        </w:rPr>
        <w:t xml:space="preserve"> NDRYSHUAR</w:t>
      </w:r>
    </w:p>
    <w:p w14:paraId="12844D1E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8F4080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Në mbështetje të</w:t>
      </w:r>
      <w:r w:rsidR="00001FC3" w:rsidRPr="00B37883">
        <w:rPr>
          <w:rFonts w:ascii="Garamond" w:hAnsi="Garamond" w:cs="Times New Roman"/>
          <w:sz w:val="24"/>
          <w:szCs w:val="24"/>
        </w:rPr>
        <w:t xml:space="preserve"> neneve 78, 83, pika 1, dhe 155</w:t>
      </w:r>
      <w:r w:rsidRPr="00B37883">
        <w:rPr>
          <w:rFonts w:ascii="Garamond" w:hAnsi="Garamond" w:cs="Times New Roman"/>
          <w:sz w:val="24"/>
          <w:szCs w:val="24"/>
        </w:rPr>
        <w:t xml:space="preserve"> të Kushtetutës, me propozimin e Këshillit të Ministrave, </w:t>
      </w:r>
    </w:p>
    <w:p w14:paraId="2AAA6F14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774206A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KUVENDI</w:t>
      </w:r>
    </w:p>
    <w:p w14:paraId="6D0C6DA7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I REPUBLIKËS SË SHQIPËRISË</w:t>
      </w:r>
    </w:p>
    <w:p w14:paraId="10D79622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9A75092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VENDOSI:</w:t>
      </w:r>
    </w:p>
    <w:p w14:paraId="62CAD00C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99C427D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Në ligjin nr.</w:t>
      </w:r>
      <w:r w:rsidR="008F4288" w:rsidRPr="00B37883">
        <w:rPr>
          <w:rFonts w:ascii="Garamond" w:hAnsi="Garamond" w:cs="Times New Roman"/>
          <w:sz w:val="24"/>
          <w:szCs w:val="24"/>
        </w:rPr>
        <w:t xml:space="preserve"> </w:t>
      </w:r>
      <w:r w:rsidRPr="00B37883">
        <w:rPr>
          <w:rFonts w:ascii="Garamond" w:hAnsi="Garamond" w:cs="Times New Roman"/>
          <w:sz w:val="24"/>
          <w:szCs w:val="24"/>
        </w:rPr>
        <w:t>9920, datë 19.5.2006, “Për procedurat tatimore në Republikën e Shqipërisë”, të ndryshuar, bëhen këto ndryshime dhe shtesa:</w:t>
      </w:r>
    </w:p>
    <w:p w14:paraId="1AAF7EFE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A797FC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1</w:t>
      </w:r>
    </w:p>
    <w:p w14:paraId="0D7E83DA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9950BD9" w14:textId="210A40B2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Pikat 2, 3 dhe 4</w:t>
      </w:r>
      <w:r w:rsidR="00B37883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nenit 23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ndryshojnë si më poshtë:</w:t>
      </w:r>
    </w:p>
    <w:p w14:paraId="75F472DF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“2. Vlerësimet, njoftimet, vendimet dhe komunikimet zyrtare të administratës tatimore, drejtuar </w:t>
      </w:r>
      <w:r w:rsidR="008F4288" w:rsidRPr="00B37883">
        <w:rPr>
          <w:rFonts w:ascii="Garamond" w:hAnsi="Garamond" w:cs="Times New Roman"/>
          <w:sz w:val="24"/>
          <w:szCs w:val="24"/>
        </w:rPr>
        <w:t>tatimpaguesit, i njoftohen atij</w:t>
      </w:r>
      <w:r w:rsidRPr="00B37883">
        <w:rPr>
          <w:rFonts w:ascii="Garamond" w:hAnsi="Garamond" w:cs="Times New Roman"/>
          <w:sz w:val="24"/>
          <w:szCs w:val="24"/>
        </w:rPr>
        <w:t xml:space="preserve"> duke ia dërguar në llogarinë e tij elektronike në sistemin tatimor “</w:t>
      </w:r>
      <w:r w:rsidRPr="00B37883">
        <w:rPr>
          <w:rFonts w:ascii="Garamond" w:hAnsi="Garamond" w:cs="Times New Roman"/>
          <w:i/>
          <w:sz w:val="24"/>
          <w:szCs w:val="24"/>
        </w:rPr>
        <w:t>e-filing</w:t>
      </w:r>
      <w:r w:rsidRPr="00B37883">
        <w:rPr>
          <w:rFonts w:ascii="Garamond" w:hAnsi="Garamond" w:cs="Times New Roman"/>
          <w:sz w:val="24"/>
          <w:szCs w:val="24"/>
        </w:rPr>
        <w:t>” dhe/apo nëpërmjet shërbimit postar rekomande.</w:t>
      </w:r>
    </w:p>
    <w:p w14:paraId="3DE7DC8F" w14:textId="77777777" w:rsidR="001E4D90" w:rsidRPr="00B37883" w:rsidRDefault="007D1A8F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3. </w:t>
      </w:r>
      <w:r w:rsidR="001E4D90" w:rsidRPr="00B37883">
        <w:rPr>
          <w:rFonts w:ascii="Garamond" w:hAnsi="Garamond" w:cs="Times New Roman"/>
          <w:sz w:val="24"/>
          <w:szCs w:val="24"/>
        </w:rPr>
        <w:t>Aktet e përcaktuara në pikën 2</w:t>
      </w:r>
      <w:r w:rsidR="008F4288" w:rsidRPr="00B37883">
        <w:rPr>
          <w:rFonts w:ascii="Garamond" w:hAnsi="Garamond" w:cs="Times New Roman"/>
          <w:sz w:val="24"/>
          <w:szCs w:val="24"/>
        </w:rPr>
        <w:t xml:space="preserve"> të këtij neni dhe çdo korrespondencë tjetër 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që i dërgohet tatimpaguesit nga administrata tatimore, konsiderohen </w:t>
      </w:r>
      <w:r w:rsidR="00DD1CF8" w:rsidRPr="00B37883">
        <w:rPr>
          <w:rFonts w:ascii="Garamond" w:hAnsi="Garamond" w:cs="Times New Roman"/>
          <w:sz w:val="24"/>
          <w:szCs w:val="24"/>
        </w:rPr>
        <w:t>të marra nga tatimpaguesi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jo më vonë se 10 ditë kalendarike pas datës së dërgimit të mesazhit elektronik apo të postës rekomande. Për njoftimet elektronike, datë e njoftimit është data e ni</w:t>
      </w:r>
      <w:r w:rsidR="00DD1CF8" w:rsidRPr="00B37883">
        <w:rPr>
          <w:rFonts w:ascii="Garamond" w:hAnsi="Garamond" w:cs="Times New Roman"/>
          <w:sz w:val="24"/>
          <w:szCs w:val="24"/>
        </w:rPr>
        <w:t>sjes së mesazhit elektronik dhe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për dokumentet e dërguara me postë rekomande, datë e njoftimit është data e pranimit të dokumentit nga shërbimi postar. Për qëllime të përcaktimit të fillimit të afatit për marrjen e akteve tatimore, sipas këtij ligji, në llogaritjen e afateve, në përputhje me Kodin e Procedurave Administrative, nuk përfshihet dita në të cilën del akti.</w:t>
      </w:r>
    </w:p>
    <w:p w14:paraId="0305240F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4. Tatimpaguesi është i detyruar të deklarojë të dhëna të sakta të lidhura me adresën dhe postën elektronike, në mënyrë që të sigurojë marrjen në kohë të njoftimeve.”.</w:t>
      </w:r>
    </w:p>
    <w:p w14:paraId="7744F936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C197B71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2</w:t>
      </w:r>
    </w:p>
    <w:p w14:paraId="68A15AF7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12BA96C" w14:textId="1434D5EE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Pas pikës 1</w:t>
      </w:r>
      <w:r w:rsidR="00B37883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nenit 40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shtohet pika 1/1 me këtë përmbajtje:</w:t>
      </w:r>
    </w:p>
    <w:p w14:paraId="530F5918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“1/1. Veprimtaria ekonomiko-tregtare, në kuptim të këtij neni, përfshin edhe veprimtarinë e ushtruar nëpërmjet internetit. Personat fizikë, individë tregtarë e të vetëpunësuar dhe entitetet, që ushtrojnë veprimtari ekonomik</w:t>
      </w:r>
      <w:r w:rsidR="009D4EE1" w:rsidRPr="00B37883">
        <w:rPr>
          <w:rFonts w:ascii="Garamond" w:hAnsi="Garamond" w:cs="Times New Roman"/>
          <w:sz w:val="24"/>
          <w:szCs w:val="24"/>
        </w:rPr>
        <w:t>o-tregtare</w:t>
      </w:r>
      <w:r w:rsidRPr="00B37883">
        <w:rPr>
          <w:rFonts w:ascii="Garamond" w:hAnsi="Garamond" w:cs="Times New Roman"/>
          <w:sz w:val="24"/>
          <w:szCs w:val="24"/>
        </w:rPr>
        <w:t xml:space="preserve"> sipas kësaj pike, duhet të publikojnë në faqen e internetit, nëpërmjet së cilës kryejnë këtë veprimtari</w:t>
      </w:r>
      <w:r w:rsidR="009D4EE1" w:rsidRPr="00B37883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dhënat e mëposhtme: </w:t>
      </w:r>
    </w:p>
    <w:p w14:paraId="0ED9C4CA" w14:textId="77777777" w:rsidR="001E4D90" w:rsidRPr="00B37883" w:rsidRDefault="009D4EE1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a) 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numrin e NIPT-it; </w:t>
      </w:r>
    </w:p>
    <w:p w14:paraId="535F2F68" w14:textId="77777777" w:rsidR="001E4D90" w:rsidRPr="00B37883" w:rsidRDefault="009D4EE1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b) 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emrin e subjektit tregtar; </w:t>
      </w:r>
    </w:p>
    <w:p w14:paraId="05AA8133" w14:textId="77777777" w:rsidR="001E4D90" w:rsidRPr="00B37883" w:rsidRDefault="009D4EE1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c) 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adresën e selisë; </w:t>
      </w:r>
    </w:p>
    <w:p w14:paraId="792B41E3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ç) numrin e telefonit.</w:t>
      </w:r>
    </w:p>
    <w:p w14:paraId="0B8BA2CB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Kur administra</w:t>
      </w:r>
      <w:r w:rsidR="009D4EE1" w:rsidRPr="00B37883">
        <w:rPr>
          <w:rFonts w:ascii="Garamond" w:hAnsi="Garamond" w:cs="Times New Roman"/>
          <w:sz w:val="24"/>
          <w:szCs w:val="24"/>
        </w:rPr>
        <w:t>ta tatimore identifikon persona</w:t>
      </w:r>
      <w:r w:rsidRPr="00B37883">
        <w:rPr>
          <w:rFonts w:ascii="Garamond" w:hAnsi="Garamond" w:cs="Times New Roman"/>
          <w:sz w:val="24"/>
          <w:szCs w:val="24"/>
        </w:rPr>
        <w:t xml:space="preserve"> që ushtrojnë veprimtari ekonomiko-tregtare nëpërmjet internetit dhe nuk kanë publikuar në faqen e tyre elektronike këto të dhëna, u dërgon një njoftim zyrtar për publikimin e tyre.</w:t>
      </w:r>
    </w:p>
    <w:p w14:paraId="06F10D02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Nëse brenda 15 ditëve nga marrja e njoftimit zyrtar nuk merren masa për publikimin e të dhënave, administrata tatimore i kërkon Autoritetit të Komunikimeve Elektronike dhe Postare bllokimin e përkohshëm të faqes së internetit, përmes së cilës ushtrohet aktiviteti.”.</w:t>
      </w:r>
    </w:p>
    <w:p w14:paraId="688CAF3C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2B82C2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3</w:t>
      </w:r>
    </w:p>
    <w:p w14:paraId="3844573F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D3CEA6" w14:textId="0F953D1B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lastRenderedPageBreak/>
        <w:t>Në fjalinë e dytë</w:t>
      </w:r>
      <w:r w:rsidR="00B37883">
        <w:rPr>
          <w:rFonts w:ascii="Garamond" w:hAnsi="Garamond" w:cs="Times New Roman"/>
          <w:sz w:val="24"/>
          <w:szCs w:val="24"/>
        </w:rPr>
        <w:t>,</w:t>
      </w:r>
      <w:r w:rsidR="00244F58">
        <w:rPr>
          <w:rFonts w:ascii="Garamond" w:hAnsi="Garamond" w:cs="Times New Roman"/>
          <w:sz w:val="24"/>
          <w:szCs w:val="24"/>
        </w:rPr>
        <w:t xml:space="preserve"> </w:t>
      </w:r>
      <w:r w:rsidRPr="00B37883">
        <w:rPr>
          <w:rFonts w:ascii="Garamond" w:hAnsi="Garamond" w:cs="Times New Roman"/>
          <w:sz w:val="24"/>
          <w:szCs w:val="24"/>
        </w:rPr>
        <w:t>të pikës 1</w:t>
      </w:r>
      <w:r w:rsidR="00B37883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nenit 41 </w:t>
      </w:r>
      <w:r w:rsidR="009D4EE1" w:rsidRPr="00B37883">
        <w:rPr>
          <w:rFonts w:ascii="Garamond" w:hAnsi="Garamond" w:cs="Times New Roman"/>
          <w:sz w:val="24"/>
          <w:szCs w:val="24"/>
        </w:rPr>
        <w:t>pas togfjalëshit “sipas pikës 2</w:t>
      </w:r>
      <w:r w:rsidR="00B37883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nenit 121 të këtij ligji.” shtohen fjalitë me këtë përmbajtje:</w:t>
      </w:r>
    </w:p>
    <w:p w14:paraId="48AB8A13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“..</w:t>
      </w:r>
      <w:r w:rsidR="003945E1" w:rsidRPr="00B37883">
        <w:rPr>
          <w:rFonts w:ascii="Garamond" w:hAnsi="Garamond" w:cs="Times New Roman"/>
          <w:sz w:val="24"/>
          <w:szCs w:val="24"/>
        </w:rPr>
        <w:t>.</w:t>
      </w:r>
      <w:r w:rsidRPr="00B37883">
        <w:rPr>
          <w:rFonts w:ascii="Garamond" w:hAnsi="Garamond" w:cs="Times New Roman"/>
          <w:sz w:val="24"/>
          <w:szCs w:val="24"/>
        </w:rPr>
        <w:t xml:space="preserve"> si dhe masat e tjera administrative, që parashikon ky ligj për të gjitha shkeljet e konstatuara nga administrata tatimore. Për mallrat e konstatuara pa faturë bëhet rivlerës</w:t>
      </w:r>
      <w:r w:rsidR="009D4EE1" w:rsidRPr="00B37883">
        <w:rPr>
          <w:rFonts w:ascii="Garamond" w:hAnsi="Garamond" w:cs="Times New Roman"/>
          <w:sz w:val="24"/>
          <w:szCs w:val="24"/>
        </w:rPr>
        <w:t>i</w:t>
      </w:r>
      <w:r w:rsidRPr="00B37883">
        <w:rPr>
          <w:rFonts w:ascii="Garamond" w:hAnsi="Garamond" w:cs="Times New Roman"/>
          <w:sz w:val="24"/>
          <w:szCs w:val="24"/>
        </w:rPr>
        <w:t xml:space="preserve">mi i TVSH-së dhe </w:t>
      </w:r>
      <w:r w:rsidR="009D4EE1" w:rsidRPr="00B37883">
        <w:rPr>
          <w:rFonts w:ascii="Garamond" w:hAnsi="Garamond" w:cs="Times New Roman"/>
          <w:sz w:val="24"/>
          <w:szCs w:val="24"/>
        </w:rPr>
        <w:t>i detyrimeve përkatëse tatimore</w:t>
      </w:r>
      <w:r w:rsidRPr="00B37883">
        <w:rPr>
          <w:rFonts w:ascii="Garamond" w:hAnsi="Garamond" w:cs="Times New Roman"/>
          <w:sz w:val="24"/>
          <w:szCs w:val="24"/>
        </w:rPr>
        <w:t xml:space="preserve"> bazuar në vlerën e tregut.</w:t>
      </w:r>
    </w:p>
    <w:p w14:paraId="77DCD796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Në rast të mospërmbushjes së detyrimit për regjistrim, detyrimet tatimore dhe penalitetet, që lindin sipas kësaj pike, zbatohen nga administrata tatimore ndaj tatimpaguesit individ.”.</w:t>
      </w:r>
    </w:p>
    <w:p w14:paraId="6E4789C7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97D93E6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4</w:t>
      </w:r>
    </w:p>
    <w:p w14:paraId="719FBB17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7D947B6" w14:textId="52607573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Pika 7</w:t>
      </w:r>
      <w:r w:rsidR="00B37883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e nenit 44 shfuqizohet.</w:t>
      </w:r>
    </w:p>
    <w:p w14:paraId="05A0C964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5AC49E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5</w:t>
      </w:r>
    </w:p>
    <w:p w14:paraId="29359939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843DF8D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Në nenin 59 bëhen ndryshimi dhe shtesa e mëposhtme:</w:t>
      </w:r>
    </w:p>
    <w:p w14:paraId="2EE3CE69" w14:textId="77777777" w:rsidR="001E4D90" w:rsidRPr="00B37883" w:rsidRDefault="009D4EE1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1. </w:t>
      </w:r>
      <w:r w:rsidR="001E4D90" w:rsidRPr="00B37883">
        <w:rPr>
          <w:rFonts w:ascii="Garamond" w:hAnsi="Garamond" w:cs="Times New Roman"/>
          <w:sz w:val="24"/>
          <w:szCs w:val="24"/>
        </w:rPr>
        <w:t>Pika 1 ndryshohet si më poshtë:</w:t>
      </w:r>
    </w:p>
    <w:p w14:paraId="74724FBC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“1. Tatimpaguesit, personat fizikë, individë tregtarë e të vetëpunësuar apo entitetet nuk mund të kryejnë ndërmjet tyre transaksione shitje</w:t>
      </w:r>
      <w:r w:rsidR="009D4EE1" w:rsidRPr="00B37883">
        <w:rPr>
          <w:rFonts w:ascii="Garamond" w:hAnsi="Garamond" w:cs="Times New Roman"/>
          <w:sz w:val="24"/>
          <w:szCs w:val="24"/>
        </w:rPr>
        <w:t>je ose blerjeje me para në dorë</w:t>
      </w:r>
      <w:r w:rsidRPr="00B37883">
        <w:rPr>
          <w:rFonts w:ascii="Garamond" w:hAnsi="Garamond" w:cs="Times New Roman"/>
          <w:sz w:val="24"/>
          <w:szCs w:val="24"/>
        </w:rPr>
        <w:t xml:space="preserve"> kur vlera e transaksionit është më e madhe se 100 000 lekë.”.</w:t>
      </w:r>
    </w:p>
    <w:p w14:paraId="6069C4F9" w14:textId="77777777" w:rsidR="001E4D90" w:rsidRPr="00B37883" w:rsidRDefault="009D4EE1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2. </w:t>
      </w:r>
      <w:r w:rsidR="001E4D90" w:rsidRPr="00B37883">
        <w:rPr>
          <w:rFonts w:ascii="Garamond" w:hAnsi="Garamond" w:cs="Times New Roman"/>
          <w:sz w:val="24"/>
          <w:szCs w:val="24"/>
        </w:rPr>
        <w:t>Pas pikës 2 shtohet pika 3 me këtë përmbajtje:</w:t>
      </w:r>
    </w:p>
    <w:p w14:paraId="54B67107" w14:textId="77777777" w:rsidR="001E4D90" w:rsidRPr="00B37883" w:rsidRDefault="009D4EE1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“3. 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Personat fizikë, </w:t>
      </w:r>
      <w:r w:rsidRPr="00B37883">
        <w:rPr>
          <w:rFonts w:ascii="Garamond" w:hAnsi="Garamond" w:cs="Times New Roman"/>
          <w:sz w:val="24"/>
          <w:szCs w:val="24"/>
        </w:rPr>
        <w:t>individë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tregtarë e të vetëpunësuar apo entitetet nuk mund të kryejnë transaksione shitjeje ose blerj</w:t>
      </w:r>
      <w:r w:rsidRPr="00B37883">
        <w:rPr>
          <w:rFonts w:ascii="Garamond" w:hAnsi="Garamond" w:cs="Times New Roman"/>
          <w:sz w:val="24"/>
          <w:szCs w:val="24"/>
        </w:rPr>
        <w:t>eje me para në dorë me individë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kur vlera e transaksionit është më e madhe se 500 000 lekë.”.</w:t>
      </w:r>
    </w:p>
    <w:p w14:paraId="761AFAF2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6</w:t>
      </w:r>
    </w:p>
    <w:p w14:paraId="041A1B37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92C5D9" w14:textId="42F85B5D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Pas nenit 59/2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shtohet neni 59/3 me këtë përmbajtje:</w:t>
      </w:r>
    </w:p>
    <w:p w14:paraId="31BD10DE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D3CD204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“Neni 59/3</w:t>
      </w:r>
    </w:p>
    <w:p w14:paraId="6151B439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67BE792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7883">
        <w:rPr>
          <w:rFonts w:ascii="Garamond" w:hAnsi="Garamond" w:cs="Times New Roman"/>
          <w:b/>
          <w:sz w:val="24"/>
          <w:szCs w:val="24"/>
        </w:rPr>
        <w:t>Pajisja me terminal “POS/POI”</w:t>
      </w:r>
    </w:p>
    <w:p w14:paraId="2A6F7EFE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679D89" w14:textId="77777777" w:rsidR="001E4D90" w:rsidRPr="00B37883" w:rsidRDefault="009D4EE1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1. Tatimpaguesit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që</w:t>
      </w:r>
      <w:r w:rsidRPr="00B37883">
        <w:rPr>
          <w:rFonts w:ascii="Garamond" w:hAnsi="Garamond" w:cs="Times New Roman"/>
          <w:sz w:val="24"/>
          <w:szCs w:val="24"/>
        </w:rPr>
        <w:t xml:space="preserve"> kryejnë shitje me para në dorë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duhet të jenë të pajisur me terminal “POS/POI” në çdo pikë shitjeje, sipas kalendarit të mëposhtëm:</w:t>
      </w:r>
    </w:p>
    <w:p w14:paraId="2C133A48" w14:textId="77777777" w:rsidR="001E4D90" w:rsidRPr="00B37883" w:rsidRDefault="009D4EE1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a) </w:t>
      </w:r>
      <w:r w:rsidR="00B53668" w:rsidRPr="00B37883">
        <w:rPr>
          <w:rFonts w:ascii="Garamond" w:hAnsi="Garamond" w:cs="Times New Roman"/>
          <w:sz w:val="24"/>
          <w:szCs w:val="24"/>
        </w:rPr>
        <w:t>B</w:t>
      </w:r>
      <w:r w:rsidRPr="00B37883">
        <w:rPr>
          <w:rFonts w:ascii="Garamond" w:hAnsi="Garamond" w:cs="Times New Roman"/>
          <w:sz w:val="24"/>
          <w:szCs w:val="24"/>
        </w:rPr>
        <w:t>renda datës 30 maj 2026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të gjithë tatimpaguesit, të cilët:</w:t>
      </w:r>
    </w:p>
    <w:p w14:paraId="78AFA7C1" w14:textId="57033BA0" w:rsidR="001E4D90" w:rsidRPr="00B37883" w:rsidRDefault="009D4EE1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i. </w:t>
      </w:r>
      <w:r w:rsidR="001E4D90" w:rsidRPr="00B37883">
        <w:rPr>
          <w:rFonts w:ascii="Garamond" w:hAnsi="Garamond" w:cs="Times New Roman"/>
          <w:sz w:val="24"/>
          <w:szCs w:val="24"/>
        </w:rPr>
        <w:t>ushtrojnë aktivitet e</w:t>
      </w:r>
      <w:r w:rsidRPr="00B37883">
        <w:rPr>
          <w:rFonts w:ascii="Garamond" w:hAnsi="Garamond" w:cs="Times New Roman"/>
          <w:sz w:val="24"/>
          <w:szCs w:val="24"/>
        </w:rPr>
        <w:t>konomik si struktura akomoduese</w:t>
      </w:r>
      <w:r w:rsidR="00B37883">
        <w:rPr>
          <w:rFonts w:ascii="Garamond" w:hAnsi="Garamond" w:cs="Times New Roman"/>
          <w:sz w:val="24"/>
          <w:szCs w:val="24"/>
        </w:rPr>
        <w:t>,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sipas përcaktimeve në ligjin për turizmin, dhe, konkretisht: “Bujtinë”; “Bllok apartamentesh”; “Motel”; “Fjetje dhe mëngjes”; “Hotel”; “Hotel i shpërndarë”; “Resort” dhe “Strukturë akomoduese e trashëgimisë kulturore”;</w:t>
      </w:r>
    </w:p>
    <w:p w14:paraId="05C3A1E2" w14:textId="77777777" w:rsidR="001E4D90" w:rsidRPr="00B37883" w:rsidRDefault="009D4EE1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ii. </w:t>
      </w:r>
      <w:r w:rsidR="001E4D90" w:rsidRPr="00B37883">
        <w:rPr>
          <w:rFonts w:ascii="Garamond" w:hAnsi="Garamond" w:cs="Times New Roman"/>
          <w:sz w:val="24"/>
          <w:szCs w:val="24"/>
        </w:rPr>
        <w:t>ofrojnë shërbime në sektorin e transportit; si dhe</w:t>
      </w:r>
    </w:p>
    <w:p w14:paraId="3D261DDD" w14:textId="652682F8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iii.</w:t>
      </w:r>
      <w:r w:rsidR="003945E1" w:rsidRPr="00B37883">
        <w:rPr>
          <w:rFonts w:ascii="Garamond" w:hAnsi="Garamond" w:cs="Times New Roman"/>
          <w:sz w:val="24"/>
          <w:szCs w:val="24"/>
        </w:rPr>
        <w:t xml:space="preserve"> </w:t>
      </w:r>
      <w:r w:rsidRPr="00B37883">
        <w:rPr>
          <w:rFonts w:ascii="Garamond" w:hAnsi="Garamond" w:cs="Times New Roman"/>
          <w:sz w:val="24"/>
          <w:szCs w:val="24"/>
        </w:rPr>
        <w:t>institucionet publike dhe shoqëri</w:t>
      </w:r>
      <w:r w:rsidR="00B37883">
        <w:rPr>
          <w:rFonts w:ascii="Garamond" w:hAnsi="Garamond" w:cs="Times New Roman"/>
          <w:sz w:val="24"/>
          <w:szCs w:val="24"/>
        </w:rPr>
        <w:t>të publike me kapital shtetëror;</w:t>
      </w:r>
    </w:p>
    <w:p w14:paraId="7A547B0D" w14:textId="0E7E89B3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b) Brenda datës 31 dhjetor 2026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të gjithë tatimpaguesit e tjerë</w:t>
      </w:r>
      <w:r w:rsidR="00B37883">
        <w:rPr>
          <w:rFonts w:ascii="Garamond" w:hAnsi="Garamond" w:cs="Times New Roman"/>
          <w:sz w:val="24"/>
          <w:szCs w:val="24"/>
        </w:rPr>
        <w:t>,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të papërmendur në shkronjën “a” të kësaj pike.</w:t>
      </w:r>
    </w:p>
    <w:p w14:paraId="1601A4C6" w14:textId="77777777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2. 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Përjashtohen nga detyrimi i pajisjes me terminal “POS/POI”: </w:t>
      </w:r>
    </w:p>
    <w:p w14:paraId="581B0DEE" w14:textId="77777777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a) tatimpaguesit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>që ushtro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jnë aktivitet ekonomik në zonat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ku nuk ka mbulim me internet;</w:t>
      </w:r>
    </w:p>
    <w:p w14:paraId="20F240AD" w14:textId="55E1E27B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b) tatimpaguesit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që përjashtohen nga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detyrimi për të lëshuar faturë</w:t>
      </w:r>
      <w:r w:rsidR="00B3788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sipas ligjit për faturën dhe sistemin e monit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o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>rimit të qarkullimit;</w:t>
      </w:r>
    </w:p>
    <w:p w14:paraId="08A7DED4" w14:textId="77777777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c) 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tatimpaguesit, të cilët përmbushin njëkohësisht kriteret e mëposhtme: </w:t>
      </w:r>
    </w:p>
    <w:p w14:paraId="2B1C246A" w14:textId="77777777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i. 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nuk janë subjekt i tatimit mbi vlerën e shtuar; </w:t>
      </w:r>
    </w:p>
    <w:p w14:paraId="71ADAF3A" w14:textId="77777777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ii. 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kanë përgjegjësi tatimore të tatimit mbi të ardhurat personale nga biznesi; </w:t>
      </w:r>
    </w:p>
    <w:p w14:paraId="2F28312B" w14:textId="77777777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iii. 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nuk kanë më shumë se një vendndodhje të ushtrimit të veprimtarisë së biznesit; </w:t>
      </w:r>
    </w:p>
    <w:p w14:paraId="33F30415" w14:textId="77777777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iv. 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kanë </w:t>
      </w:r>
      <w:r w:rsidR="001335B4" w:rsidRPr="00B37883">
        <w:rPr>
          <w:rFonts w:ascii="Garamond" w:hAnsi="Garamond" w:cs="Times New Roman"/>
          <w:color w:val="000000" w:themeColor="text1"/>
          <w:sz w:val="24"/>
          <w:szCs w:val="24"/>
        </w:rPr>
        <w:t>statusin/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>kategorinë e punësimit “I vetëpunësuar i vetëm”.</w:t>
      </w:r>
    </w:p>
    <w:p w14:paraId="0CF05BB8" w14:textId="77777777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>Terminali “POS/POI” është pajisja që bën të mundur përdorimin e kartave bankare apo të instrumenteve të tjera të pagesave elektronike në pikën e shitjes ose të ndërveprimit. Informacioni për pagesën merret nëpërmjet faturave letër nga terminalet mekanike ose elektronike.”.</w:t>
      </w:r>
    </w:p>
    <w:p w14:paraId="7BFB5D42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55D014F" w14:textId="77777777" w:rsidR="00B37883" w:rsidRDefault="00B37883" w:rsidP="003945E1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C082657" w14:textId="77777777" w:rsidR="00B37883" w:rsidRDefault="00B37883" w:rsidP="003945E1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535AEC0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Neni 7</w:t>
      </w:r>
    </w:p>
    <w:p w14:paraId="277DECAB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4ED2BC6" w14:textId="3153026A" w:rsidR="001E4D90" w:rsidRPr="00B37883" w:rsidRDefault="0053785A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Pika 1</w:t>
      </w:r>
      <w:r w:rsidR="00B3788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e nenit 65</w:t>
      </w:r>
      <w:r w:rsidR="00B3788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ndryshohet si më poshtë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39B501A1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“1. Tatimpaguesi </w:t>
      </w:r>
      <w:r w:rsidR="00B53668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e 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dorëzon deklaratën tatimore në mënyrë elektronike nga llogaria e tij në sistemin informatik të administratës tatimore.”.</w:t>
      </w:r>
    </w:p>
    <w:p w14:paraId="700C47E4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22EDDD5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Neni 8</w:t>
      </w:r>
    </w:p>
    <w:p w14:paraId="7B00EC59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D780678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Në nenin 67 bëhen ndryshimi dhe shtesa e mëposhtme:</w:t>
      </w:r>
    </w:p>
    <w:p w14:paraId="309D186A" w14:textId="77777777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53785A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Në pikën 2 togfjalëshi “brenda 36 muajve” zëvendësohet me </w:t>
      </w:r>
      <w:r w:rsidR="001335B4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togfjalëshin </w:t>
      </w:r>
      <w:r w:rsidR="0053785A" w:rsidRPr="00B37883">
        <w:rPr>
          <w:rFonts w:ascii="Garamond" w:hAnsi="Garamond" w:cs="Times New Roman"/>
          <w:color w:val="000000" w:themeColor="text1"/>
          <w:sz w:val="24"/>
          <w:szCs w:val="24"/>
        </w:rPr>
        <w:t>“brenda 24 muajve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>”.</w:t>
      </w:r>
    </w:p>
    <w:p w14:paraId="15BE66DD" w14:textId="001EEB7A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53785A" w:rsidRPr="00B37883">
        <w:rPr>
          <w:rFonts w:ascii="Garamond" w:hAnsi="Garamond" w:cs="Times New Roman"/>
          <w:color w:val="000000" w:themeColor="text1"/>
          <w:sz w:val="24"/>
          <w:szCs w:val="24"/>
        </w:rPr>
        <w:t>Pas pikës 4</w:t>
      </w:r>
      <w:r w:rsidR="00B3788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53785A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shtohet pika 5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me këtë përmbajtje:</w:t>
      </w:r>
    </w:p>
    <w:p w14:paraId="447CE348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“5. Deklaruesi i deklaratës vjetore të të ardhurave personale mund t</w:t>
      </w:r>
      <w:r w:rsidR="00B53668" w:rsidRPr="00B37883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k</w:t>
      </w:r>
      <w:r w:rsidR="00B53668" w:rsidRPr="00B37883">
        <w:rPr>
          <w:rFonts w:ascii="Garamond" w:hAnsi="Garamond" w:cs="Times New Roman"/>
          <w:color w:val="000000" w:themeColor="text1"/>
          <w:sz w:val="24"/>
          <w:szCs w:val="24"/>
        </w:rPr>
        <w:t>orrigjojë deklaratën e dorëzuar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brenda 6 muajve nga data e dorëzimit, por jo më shumë se dy herë.”.</w:t>
      </w:r>
    </w:p>
    <w:p w14:paraId="06282770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D7DA4D7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Neni 9</w:t>
      </w:r>
    </w:p>
    <w:p w14:paraId="6829ABF0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1B5FC3E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Në nenin 69 bëhen ndryshimet dhe shtesa e mëposhtme:</w:t>
      </w:r>
    </w:p>
    <w:p w14:paraId="5D9A9922" w14:textId="77777777" w:rsidR="00E85AD5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E85AD5" w:rsidRPr="00B37883">
        <w:rPr>
          <w:rFonts w:ascii="Garamond" w:hAnsi="Garamond" w:cs="Times New Roman"/>
          <w:color w:val="000000" w:themeColor="text1"/>
          <w:sz w:val="24"/>
          <w:szCs w:val="24"/>
        </w:rPr>
        <w:t>Pika 1 ndryshohet si më poshtë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0EF1998D" w14:textId="1F460B09" w:rsidR="001E4D90" w:rsidRPr="00B37883" w:rsidRDefault="00E85AD5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“1. Administrata tatimore</w:t>
      </w:r>
      <w:r w:rsidR="00B3788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brenda 10 ditëve kalendarike nga data e llo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garitjes së vlerësimit prej saj</w:t>
      </w:r>
      <w:r w:rsidR="00B3788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i dërgon tatimpaguesit njoftimin e vlerësimit tatimor dhe kërkesën për pagesën e detyrimit tatimor: </w:t>
      </w:r>
    </w:p>
    <w:p w14:paraId="659C74C9" w14:textId="77777777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në rrugë elektronike, në përputhje me legjislacionin e komunikimeve elektronike, kur njoftimi i vlerësimit është nënshkruar elektronikisht; ose </w:t>
      </w:r>
    </w:p>
    <w:p w14:paraId="3E39368F" w14:textId="77777777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>nëpër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mjet shërbimit postar rekomande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në rastet kur njoftimi i vlerësimit nuk është i nënshkruar elektronikisht.”.</w:t>
      </w:r>
    </w:p>
    <w:p w14:paraId="33EEE93C" w14:textId="117B61AD" w:rsidR="001E4D90" w:rsidRPr="00B37883" w:rsidRDefault="00B53668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E85AD5" w:rsidRPr="00B37883">
        <w:rPr>
          <w:rFonts w:ascii="Garamond" w:hAnsi="Garamond" w:cs="Times New Roman"/>
          <w:color w:val="000000" w:themeColor="text1"/>
          <w:sz w:val="24"/>
          <w:szCs w:val="24"/>
        </w:rPr>
        <w:t>Shkronja “a”</w:t>
      </w:r>
      <w:r w:rsidR="00B3788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E85AD5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e pikës 2</w:t>
      </w:r>
      <w:r w:rsidR="00B3788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E85AD5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ndryshohet si më poshtë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6F76821A" w14:textId="455EEDCF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“a) emrin dhe mbiemri</w:t>
      </w:r>
      <w:r w:rsidR="00B37883">
        <w:rPr>
          <w:rFonts w:ascii="Garamond" w:hAnsi="Garamond" w:cs="Times New Roman"/>
          <w:color w:val="000000" w:themeColor="text1"/>
          <w:sz w:val="24"/>
          <w:szCs w:val="24"/>
        </w:rPr>
        <w:t>n e tatimpaguesit, person fizik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ose emrin e entitetit, adresën e</w:t>
      </w:r>
      <w:r w:rsid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selisë dhe adresën elektronike;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”.</w:t>
      </w:r>
    </w:p>
    <w:p w14:paraId="306A2172" w14:textId="0E8CE752" w:rsidR="001E4D90" w:rsidRPr="00B37883" w:rsidRDefault="00E85AD5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3. Në fund të fjalisë së dytë</w:t>
      </w:r>
      <w:r w:rsidR="00B3788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të pikës 4 shtohen fjalët “</w:t>
      </w:r>
      <w:r w:rsidR="001E4D90" w:rsidRPr="00B37883">
        <w:rPr>
          <w:rFonts w:ascii="Garamond" w:hAnsi="Garamond" w:cs="Times New Roman"/>
          <w:color w:val="000000" w:themeColor="text1"/>
          <w:sz w:val="24"/>
          <w:szCs w:val="24"/>
        </w:rPr>
        <w:t>ose në format elektronik.”.</w:t>
      </w:r>
    </w:p>
    <w:p w14:paraId="7291F1F2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FBC174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10</w:t>
      </w:r>
    </w:p>
    <w:p w14:paraId="4C3978C0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3DA3005" w14:textId="65D5EE5F" w:rsidR="001E4D90" w:rsidRPr="00B37883" w:rsidRDefault="00E85AD5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Në shkronjën “e”</w:t>
      </w:r>
      <w:r w:rsidR="00B37883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pikës 1</w:t>
      </w:r>
      <w:r w:rsidR="00B37883">
        <w:rPr>
          <w:rFonts w:ascii="Garamond" w:hAnsi="Garamond" w:cs="Times New Roman"/>
          <w:sz w:val="24"/>
          <w:szCs w:val="24"/>
        </w:rPr>
        <w:t>,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të </w:t>
      </w:r>
      <w:r w:rsidRPr="00B37883">
        <w:rPr>
          <w:rFonts w:ascii="Garamond" w:hAnsi="Garamond" w:cs="Times New Roman"/>
          <w:sz w:val="24"/>
          <w:szCs w:val="24"/>
        </w:rPr>
        <w:t>nenit 71</w:t>
      </w:r>
      <w:r w:rsidR="00244F58">
        <w:rPr>
          <w:rFonts w:ascii="Garamond" w:hAnsi="Garamond" w:cs="Times New Roman"/>
          <w:sz w:val="24"/>
          <w:szCs w:val="24"/>
        </w:rPr>
        <w:t xml:space="preserve"> togfjalëshi 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“150 000 lekë” zëvendësohet me </w:t>
      </w:r>
      <w:r w:rsidR="000A2793" w:rsidRPr="00B37883">
        <w:rPr>
          <w:rFonts w:ascii="Garamond" w:hAnsi="Garamond" w:cs="Times New Roman"/>
          <w:sz w:val="24"/>
          <w:szCs w:val="24"/>
        </w:rPr>
        <w:t xml:space="preserve">togfjalëshin </w:t>
      </w:r>
      <w:r w:rsidR="001E4D90" w:rsidRPr="00B37883">
        <w:rPr>
          <w:rFonts w:ascii="Garamond" w:hAnsi="Garamond" w:cs="Times New Roman"/>
          <w:sz w:val="24"/>
          <w:szCs w:val="24"/>
        </w:rPr>
        <w:t>“100 000 lekë”.</w:t>
      </w:r>
    </w:p>
    <w:p w14:paraId="74711A96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15E67A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11</w:t>
      </w:r>
    </w:p>
    <w:p w14:paraId="0D37A513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AC479B5" w14:textId="532B241D" w:rsidR="001E4D90" w:rsidRPr="00B37883" w:rsidRDefault="00E85AD5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Pas pikës 5</w:t>
      </w:r>
      <w:r w:rsidR="00B37883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nenit 71/1</w:t>
      </w:r>
      <w:r w:rsidR="00B37883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shtohet pika 6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4E7DEA3F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“6. Në rast se tatimpaguesi nuk k</w:t>
      </w:r>
      <w:r w:rsidR="000A2793" w:rsidRPr="00B37883">
        <w:rPr>
          <w:rFonts w:ascii="Garamond" w:hAnsi="Garamond" w:cs="Times New Roman"/>
          <w:sz w:val="24"/>
          <w:szCs w:val="24"/>
        </w:rPr>
        <w:t>a dorëzuar deklaratën e TVSH-së</w:t>
      </w:r>
      <w:r w:rsidRPr="00B37883">
        <w:rPr>
          <w:rFonts w:ascii="Garamond" w:hAnsi="Garamond" w:cs="Times New Roman"/>
          <w:sz w:val="24"/>
          <w:szCs w:val="24"/>
        </w:rPr>
        <w:t xml:space="preserve"> brenda afatit të përcaktuar në ligj, sistemi elektronik i administratës tatimore, brenda 24 orëve nga përfundimi i këtij afati, plotëson dhe dorëzon automatikisht deklaratën e TVSH-së mbi bazën e të dhënave të librit të shitjes e të librit të blerjes. Përgjegjësia për çdo penalitet për mosdorëzimin e saj në afat i ngarkohet tatimpaguesit, i cili ka të drejtën ta kontrollojë, ta ndryshojë apo ta korrigjojë deklaratën sipas procedurës dhe afateve të këtij ligji.”.</w:t>
      </w:r>
    </w:p>
    <w:p w14:paraId="4F905664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F4F1C8E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12</w:t>
      </w:r>
    </w:p>
    <w:p w14:paraId="490778CF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B2758A" w14:textId="54978B05" w:rsidR="001E4D90" w:rsidRPr="00B37883" w:rsidRDefault="00E85AD5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Pas pikës 1/2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nenit 75/1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shtohet pika 1/3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5F540EE4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“1/3. Kërkesat për rimbursim të tatimpaguesit, për të cilin ka të regjistruar një çështje hetimore në proces, për konsumimin e veprës penale të krijimit të skemave mashtruese me TVSH-në apo fshehje të të ardhurave, parashikuar nga neni 144/a ose nga neni 180 i Kodit Penal, pezullohen deri në përfundim të veprimeve hetimore.”.</w:t>
      </w:r>
    </w:p>
    <w:p w14:paraId="36CC1FEA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60AB1D" w14:textId="77777777" w:rsidR="00420947" w:rsidRDefault="00420947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1912D55" w14:textId="77777777" w:rsidR="00420947" w:rsidRDefault="00420947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FF11ABD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13</w:t>
      </w:r>
    </w:p>
    <w:p w14:paraId="6F9BB07B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2CE4722" w14:textId="572C615F" w:rsidR="001E4D90" w:rsidRPr="00B37883" w:rsidRDefault="00E85AD5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lastRenderedPageBreak/>
        <w:t>Pas pikës 4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nenit 76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shtohet pika 5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7E8BC548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“5. Përjashtimisht</w:t>
      </w:r>
      <w:r w:rsidR="000A2793" w:rsidRPr="00B37883">
        <w:rPr>
          <w:rFonts w:ascii="Garamond" w:hAnsi="Garamond" w:cs="Times New Roman"/>
          <w:sz w:val="24"/>
          <w:szCs w:val="24"/>
        </w:rPr>
        <w:t xml:space="preserve"> nga parashikimi në pikën 4</w:t>
      </w:r>
      <w:r w:rsidRPr="00B37883">
        <w:rPr>
          <w:rFonts w:ascii="Garamond" w:hAnsi="Garamond" w:cs="Times New Roman"/>
          <w:sz w:val="24"/>
          <w:szCs w:val="24"/>
        </w:rPr>
        <w:t xml:space="preserve"> të këtij neni, kamatëvonesat e parashikuara nga ky ligj nuk zbatohen për njësitë e qeverisjes qendrore dhe n</w:t>
      </w:r>
      <w:r w:rsidR="000A2793" w:rsidRPr="00B37883">
        <w:rPr>
          <w:rFonts w:ascii="Garamond" w:hAnsi="Garamond" w:cs="Times New Roman"/>
          <w:sz w:val="24"/>
          <w:szCs w:val="24"/>
        </w:rPr>
        <w:t>jësitë e vetëqeverisjes vendore</w:t>
      </w:r>
      <w:r w:rsidRPr="00B37883">
        <w:rPr>
          <w:rFonts w:ascii="Garamond" w:hAnsi="Garamond" w:cs="Times New Roman"/>
          <w:sz w:val="24"/>
          <w:szCs w:val="24"/>
        </w:rPr>
        <w:t xml:space="preserve"> në rastet kur mosdeklarimi brenda afatit ka ndodhur si pasojë:</w:t>
      </w:r>
    </w:p>
    <w:p w14:paraId="531C4481" w14:textId="77777777" w:rsidR="001E4D90" w:rsidRPr="00B37883" w:rsidRDefault="000A2793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a) </w:t>
      </w:r>
      <w:r w:rsidR="001E4D90" w:rsidRPr="00B37883">
        <w:rPr>
          <w:rFonts w:ascii="Garamond" w:hAnsi="Garamond" w:cs="Times New Roman"/>
          <w:sz w:val="24"/>
          <w:szCs w:val="24"/>
        </w:rPr>
        <w:t>e zbatimit të një akti ligjor apo nënligjor me efekte prapavepruese; ose</w:t>
      </w:r>
    </w:p>
    <w:p w14:paraId="7E7CF1AF" w14:textId="77777777" w:rsidR="001E4D90" w:rsidRPr="00B37883" w:rsidRDefault="000A2793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b) </w:t>
      </w:r>
      <w:r w:rsidR="001E4D90" w:rsidRPr="00B37883">
        <w:rPr>
          <w:rFonts w:ascii="Garamond" w:hAnsi="Garamond" w:cs="Times New Roman"/>
          <w:sz w:val="24"/>
          <w:szCs w:val="24"/>
        </w:rPr>
        <w:t>e zbatimit të një vendimi gjykate të formës së prerë.”.</w:t>
      </w:r>
    </w:p>
    <w:p w14:paraId="1A50CB33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902A7C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14</w:t>
      </w:r>
    </w:p>
    <w:p w14:paraId="3DBAB169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34E53B" w14:textId="3226CA7E" w:rsidR="001E4D90" w:rsidRPr="00B37883" w:rsidRDefault="00E85AD5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Pika 4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e nenit 96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ndryshohet si më poshtë</w:t>
      </w:r>
      <w:r w:rsidR="001E4D90" w:rsidRPr="00B37883">
        <w:rPr>
          <w:rFonts w:ascii="Garamond" w:hAnsi="Garamond" w:cs="Times New Roman"/>
          <w:sz w:val="24"/>
          <w:szCs w:val="24"/>
        </w:rPr>
        <w:t>:</w:t>
      </w:r>
    </w:p>
    <w:p w14:paraId="0E4AEB58" w14:textId="77777777" w:rsidR="001E4D90" w:rsidRPr="00B37883" w:rsidRDefault="000A2793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“4. Procedurat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që do të zbatohen për shitjen e pasurisë së konfiskuar, në zbatim të aktit administrativ të konfiskimit, përcaktohen me vendim të Këshillit të Ministrave, me propozim të ministrit përgjegjës për financat.”.</w:t>
      </w:r>
    </w:p>
    <w:p w14:paraId="6B333973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2FF09B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15</w:t>
      </w:r>
    </w:p>
    <w:p w14:paraId="752E3FA6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4CBF3D" w14:textId="72EE52D4" w:rsidR="001E4D90" w:rsidRPr="00B37883" w:rsidRDefault="00E85AD5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Pas shkronjës “b”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pikës 2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nenit 105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shtohet shkronja “c”</w:t>
      </w:r>
      <w:r w:rsidR="00244F58">
        <w:rPr>
          <w:rFonts w:ascii="Garamond" w:hAnsi="Garamond" w:cs="Times New Roman"/>
          <w:sz w:val="24"/>
          <w:szCs w:val="24"/>
        </w:rPr>
        <w:t>,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3D514B6C" w14:textId="3BEC79A4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“c) kryerjen e ver</w:t>
      </w:r>
      <w:r w:rsidR="00047035" w:rsidRPr="00B37883">
        <w:rPr>
          <w:rFonts w:ascii="Garamond" w:hAnsi="Garamond" w:cs="Times New Roman"/>
          <w:sz w:val="24"/>
          <w:szCs w:val="24"/>
        </w:rPr>
        <w:t>ifikimit dhe vlerësimit tatimor</w:t>
      </w:r>
      <w:r w:rsidRPr="00B37883">
        <w:rPr>
          <w:rFonts w:ascii="Garamond" w:hAnsi="Garamond" w:cs="Times New Roman"/>
          <w:sz w:val="24"/>
          <w:szCs w:val="24"/>
        </w:rPr>
        <w:t xml:space="preserve"> në përputh</w:t>
      </w:r>
      <w:r w:rsidR="000A2793" w:rsidRPr="00B37883">
        <w:rPr>
          <w:rFonts w:ascii="Garamond" w:hAnsi="Garamond" w:cs="Times New Roman"/>
          <w:sz w:val="24"/>
          <w:szCs w:val="24"/>
        </w:rPr>
        <w:t xml:space="preserve">je me përcaktimet e kreut VIII </w:t>
      </w:r>
      <w:r w:rsidRPr="00B37883">
        <w:rPr>
          <w:rFonts w:ascii="Garamond" w:hAnsi="Garamond" w:cs="Times New Roman"/>
          <w:sz w:val="24"/>
          <w:szCs w:val="24"/>
        </w:rPr>
        <w:t>të këtij ligji, në të gjitha rastet e konstatuara të konsumimit të veprës penale të fshehjes së të ardhurave kur vlera e tatimit, taksës apo kontributit të fshehur nuk është llogaritur parapraki</w:t>
      </w:r>
      <w:r w:rsidR="000A2793" w:rsidRPr="00B37883">
        <w:rPr>
          <w:rFonts w:ascii="Garamond" w:hAnsi="Garamond" w:cs="Times New Roman"/>
          <w:sz w:val="24"/>
          <w:szCs w:val="24"/>
        </w:rPr>
        <w:t>sht, sipas kreut X</w:t>
      </w:r>
      <w:r w:rsidRPr="00B37883">
        <w:rPr>
          <w:rFonts w:ascii="Garamond" w:hAnsi="Garamond" w:cs="Times New Roman"/>
          <w:sz w:val="24"/>
          <w:szCs w:val="24"/>
        </w:rPr>
        <w:t xml:space="preserve"> të këtij ligji. Vlerësimi tatimor dhe nxjerrja e njoftimit të vlerësimit në këto raste bëhet vetëm pas autorizimit nga drejtori i </w:t>
      </w:r>
      <w:r w:rsidR="00244F58" w:rsidRPr="00B37883">
        <w:rPr>
          <w:rFonts w:ascii="Garamond" w:hAnsi="Garamond" w:cs="Times New Roman"/>
          <w:sz w:val="24"/>
          <w:szCs w:val="24"/>
        </w:rPr>
        <w:t xml:space="preserve">përgjithshëm </w:t>
      </w:r>
      <w:r w:rsidRPr="00B37883">
        <w:rPr>
          <w:rFonts w:ascii="Garamond" w:hAnsi="Garamond" w:cs="Times New Roman"/>
          <w:sz w:val="24"/>
          <w:szCs w:val="24"/>
        </w:rPr>
        <w:t>i Tatimeve.”.</w:t>
      </w:r>
    </w:p>
    <w:p w14:paraId="72C733EA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F1F955C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16</w:t>
      </w:r>
    </w:p>
    <w:p w14:paraId="59B1E647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8DC154D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Në nenin 115/1 bëhen ndryshimet e mëposhtme:</w:t>
      </w:r>
    </w:p>
    <w:p w14:paraId="4E29E6D7" w14:textId="63357BBE" w:rsidR="001E4D90" w:rsidRPr="00B37883" w:rsidRDefault="000A2793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1. 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Në </w:t>
      </w:r>
      <w:r w:rsidR="00047035" w:rsidRPr="00B37883">
        <w:rPr>
          <w:rFonts w:ascii="Garamond" w:hAnsi="Garamond" w:cs="Times New Roman"/>
          <w:sz w:val="24"/>
          <w:szCs w:val="24"/>
        </w:rPr>
        <w:t>pikat 2 dhe 3,</w:t>
      </w:r>
      <w:r w:rsidR="00244F58">
        <w:rPr>
          <w:rFonts w:ascii="Garamond" w:hAnsi="Garamond" w:cs="Times New Roman"/>
          <w:sz w:val="24"/>
          <w:szCs w:val="24"/>
        </w:rPr>
        <w:t xml:space="preserve"> </w:t>
      </w:r>
      <w:r w:rsidR="00E85AD5" w:rsidRPr="00B37883">
        <w:rPr>
          <w:rFonts w:ascii="Garamond" w:hAnsi="Garamond" w:cs="Times New Roman"/>
          <w:sz w:val="24"/>
          <w:szCs w:val="24"/>
        </w:rPr>
        <w:t>togfjalëshi “</w:t>
      </w:r>
      <w:r w:rsidRPr="00B37883">
        <w:rPr>
          <w:rFonts w:ascii="Garamond" w:hAnsi="Garamond" w:cs="Times New Roman"/>
          <w:sz w:val="24"/>
          <w:szCs w:val="24"/>
        </w:rPr>
        <w:t>të nenit 36</w:t>
      </w:r>
      <w:r w:rsidR="00244F58">
        <w:rPr>
          <w:rFonts w:ascii="Garamond" w:hAnsi="Garamond" w:cs="Times New Roman"/>
          <w:sz w:val="24"/>
          <w:szCs w:val="24"/>
        </w:rPr>
        <w:t>,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të ligjit nr.</w:t>
      </w:r>
      <w:r w:rsidRPr="00B37883">
        <w:rPr>
          <w:rFonts w:ascii="Garamond" w:hAnsi="Garamond" w:cs="Times New Roman"/>
          <w:sz w:val="24"/>
          <w:szCs w:val="24"/>
        </w:rPr>
        <w:t xml:space="preserve"> </w:t>
      </w:r>
      <w:r w:rsidR="001E4D90" w:rsidRPr="00B37883">
        <w:rPr>
          <w:rFonts w:ascii="Garamond" w:hAnsi="Garamond" w:cs="Times New Roman"/>
          <w:sz w:val="24"/>
          <w:szCs w:val="24"/>
        </w:rPr>
        <w:t>8438, datë 28.12.1998, “Për tatimin mb</w:t>
      </w:r>
      <w:r w:rsidR="00E85AD5" w:rsidRPr="00B37883">
        <w:rPr>
          <w:rFonts w:ascii="Garamond" w:hAnsi="Garamond" w:cs="Times New Roman"/>
          <w:sz w:val="24"/>
          <w:szCs w:val="24"/>
        </w:rPr>
        <w:t xml:space="preserve">i të ardhurat”, të ndryshuar” zëvendësohet me </w:t>
      </w:r>
      <w:r w:rsidRPr="00B37883">
        <w:rPr>
          <w:rFonts w:ascii="Garamond" w:hAnsi="Garamond" w:cs="Times New Roman"/>
          <w:sz w:val="24"/>
          <w:szCs w:val="24"/>
        </w:rPr>
        <w:t xml:space="preserve">togfjalëshin </w:t>
      </w:r>
      <w:r w:rsidR="00E85AD5" w:rsidRPr="00B37883">
        <w:rPr>
          <w:rFonts w:ascii="Garamond" w:hAnsi="Garamond" w:cs="Times New Roman"/>
          <w:sz w:val="24"/>
          <w:szCs w:val="24"/>
        </w:rPr>
        <w:t>“të nenit 32</w:t>
      </w:r>
      <w:r w:rsidR="00244F58">
        <w:rPr>
          <w:rFonts w:ascii="Garamond" w:hAnsi="Garamond" w:cs="Times New Roman"/>
          <w:sz w:val="24"/>
          <w:szCs w:val="24"/>
        </w:rPr>
        <w:t>,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të ligjit nr.</w:t>
      </w:r>
      <w:r w:rsidR="00E85AD5" w:rsidRPr="00B37883">
        <w:rPr>
          <w:rFonts w:ascii="Garamond" w:hAnsi="Garamond" w:cs="Times New Roman"/>
          <w:sz w:val="24"/>
          <w:szCs w:val="24"/>
        </w:rPr>
        <w:t xml:space="preserve"> 29/2023</w:t>
      </w:r>
      <w:r w:rsidR="00244F58">
        <w:rPr>
          <w:rFonts w:ascii="Garamond" w:hAnsi="Garamond" w:cs="Times New Roman"/>
          <w:sz w:val="24"/>
          <w:szCs w:val="24"/>
        </w:rPr>
        <w:t>,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“Për tatimin mb</w:t>
      </w:r>
      <w:r w:rsidR="00E85AD5" w:rsidRPr="00B37883">
        <w:rPr>
          <w:rFonts w:ascii="Garamond" w:hAnsi="Garamond" w:cs="Times New Roman"/>
          <w:sz w:val="24"/>
          <w:szCs w:val="24"/>
        </w:rPr>
        <w:t>i të ardhurat”, të ndryshuar</w:t>
      </w:r>
      <w:r w:rsidR="00244F58">
        <w:rPr>
          <w:rFonts w:ascii="Garamond" w:hAnsi="Garamond" w:cs="Times New Roman"/>
          <w:sz w:val="24"/>
          <w:szCs w:val="24"/>
        </w:rPr>
        <w:t>”.</w:t>
      </w:r>
    </w:p>
    <w:p w14:paraId="3889A4F7" w14:textId="77777777" w:rsidR="001E4D90" w:rsidRPr="00B37883" w:rsidRDefault="000A2793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2. </w:t>
      </w:r>
      <w:r w:rsidR="00E85AD5" w:rsidRPr="00B37883">
        <w:rPr>
          <w:rFonts w:ascii="Garamond" w:hAnsi="Garamond" w:cs="Times New Roman"/>
          <w:sz w:val="24"/>
          <w:szCs w:val="24"/>
        </w:rPr>
        <w:t>Në pikën 3 togfjalëshi “</w:t>
      </w:r>
      <w:r w:rsidR="001E4D90" w:rsidRPr="00B37883">
        <w:rPr>
          <w:rFonts w:ascii="Garamond" w:hAnsi="Garamond" w:cs="Times New Roman"/>
          <w:sz w:val="24"/>
          <w:szCs w:val="24"/>
        </w:rPr>
        <w:t>në nenin 36/5 të l</w:t>
      </w:r>
      <w:r w:rsidR="00E85AD5" w:rsidRPr="00B37883">
        <w:rPr>
          <w:rFonts w:ascii="Garamond" w:hAnsi="Garamond" w:cs="Times New Roman"/>
          <w:sz w:val="24"/>
          <w:szCs w:val="24"/>
        </w:rPr>
        <w:t xml:space="preserve">igjit” zëvendësohet me </w:t>
      </w:r>
      <w:r w:rsidRPr="00B37883">
        <w:rPr>
          <w:rFonts w:ascii="Garamond" w:hAnsi="Garamond" w:cs="Times New Roman"/>
          <w:sz w:val="24"/>
          <w:szCs w:val="24"/>
        </w:rPr>
        <w:t xml:space="preserve">togfjalëshin </w:t>
      </w:r>
      <w:r w:rsidR="00E85AD5" w:rsidRPr="00B37883">
        <w:rPr>
          <w:rFonts w:ascii="Garamond" w:hAnsi="Garamond" w:cs="Times New Roman"/>
          <w:sz w:val="24"/>
          <w:szCs w:val="24"/>
        </w:rPr>
        <w:t>“në nenin 37 të ligjit</w:t>
      </w:r>
      <w:r w:rsidR="001E4D90" w:rsidRPr="00B37883">
        <w:rPr>
          <w:rFonts w:ascii="Garamond" w:hAnsi="Garamond" w:cs="Times New Roman"/>
          <w:sz w:val="24"/>
          <w:szCs w:val="24"/>
        </w:rPr>
        <w:t>”.</w:t>
      </w:r>
    </w:p>
    <w:p w14:paraId="138A6FED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0F4828E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17</w:t>
      </w:r>
    </w:p>
    <w:p w14:paraId="7F4168E9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629EFF" w14:textId="7A034E55" w:rsidR="001E4D90" w:rsidRPr="00B37883" w:rsidRDefault="00E85AD5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Shkronja “c”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e pikës 2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nenit 116 ndryshohet si më poshtë</w:t>
      </w:r>
      <w:r w:rsidR="001E4D90" w:rsidRPr="00B37883">
        <w:rPr>
          <w:rFonts w:ascii="Garamond" w:hAnsi="Garamond" w:cs="Times New Roman"/>
          <w:sz w:val="24"/>
          <w:szCs w:val="24"/>
        </w:rPr>
        <w:t>:</w:t>
      </w:r>
    </w:p>
    <w:p w14:paraId="617A42EC" w14:textId="6BE11733" w:rsidR="001E4D90" w:rsidRPr="00B37883" w:rsidRDefault="00E85AD5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“c) pikën 4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nenit 123</w:t>
      </w:r>
      <w:r w:rsidR="00244F58">
        <w:rPr>
          <w:rFonts w:ascii="Garamond" w:hAnsi="Garamond" w:cs="Times New Roman"/>
          <w:sz w:val="24"/>
          <w:szCs w:val="24"/>
        </w:rPr>
        <w:t xml:space="preserve"> të këtij ligji;</w:t>
      </w:r>
      <w:r w:rsidR="001E4D90" w:rsidRPr="00B37883">
        <w:rPr>
          <w:rFonts w:ascii="Garamond" w:hAnsi="Garamond" w:cs="Times New Roman"/>
          <w:sz w:val="24"/>
          <w:szCs w:val="24"/>
        </w:rPr>
        <w:t>”.</w:t>
      </w:r>
    </w:p>
    <w:p w14:paraId="2A6650F8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3D0FE3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18</w:t>
      </w:r>
    </w:p>
    <w:p w14:paraId="6B97507A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6F7506F" w14:textId="551EA137" w:rsidR="001E4D90" w:rsidRPr="00B37883" w:rsidRDefault="00E85AD5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Pas pikës 2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të nenit 124/1</w:t>
      </w:r>
      <w:r w:rsidR="00244F58">
        <w:rPr>
          <w:rFonts w:ascii="Garamond" w:hAnsi="Garamond" w:cs="Times New Roman"/>
          <w:sz w:val="24"/>
          <w:szCs w:val="24"/>
        </w:rPr>
        <w:t>,</w:t>
      </w:r>
      <w:r w:rsidRPr="00B37883">
        <w:rPr>
          <w:rFonts w:ascii="Garamond" w:hAnsi="Garamond" w:cs="Times New Roman"/>
          <w:sz w:val="24"/>
          <w:szCs w:val="24"/>
        </w:rPr>
        <w:t xml:space="preserve"> shtohen pikat 3 dhe 4</w:t>
      </w:r>
      <w:r w:rsidR="001E4D90" w:rsidRPr="00B37883">
        <w:rPr>
          <w:rFonts w:ascii="Garamond" w:hAnsi="Garamond" w:cs="Times New Roman"/>
          <w:sz w:val="24"/>
          <w:szCs w:val="24"/>
        </w:rPr>
        <w:t xml:space="preserve"> me këtë përmbajtje: </w:t>
      </w:r>
    </w:p>
    <w:p w14:paraId="78D56C64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“3. Prodhuesi ose mirëmbajtësi i </w:t>
      </w:r>
      <w:r w:rsidRPr="00B37883">
        <w:rPr>
          <w:rFonts w:ascii="Garamond" w:hAnsi="Garamond" w:cs="Times New Roman"/>
          <w:i/>
          <w:sz w:val="24"/>
          <w:szCs w:val="24"/>
        </w:rPr>
        <w:t>software</w:t>
      </w:r>
      <w:r w:rsidRPr="00B37883">
        <w:rPr>
          <w:rFonts w:ascii="Garamond" w:hAnsi="Garamond" w:cs="Times New Roman"/>
          <w:sz w:val="24"/>
          <w:szCs w:val="24"/>
        </w:rPr>
        <w:t>-it, programi i të cilit përdoret nga subjekti që lëshon fatura, që, për rastet e konfiskimit të pajisjeve fiskale, nuk bashkëpunon me administratën tatimore, me kërkesë të saj për hapjen ose verifikimin e pajisjeve, ku është instaluar ky program, dënohet me gjobë 1 000 000 (një milion) lekë për këtë shkelje.</w:t>
      </w:r>
    </w:p>
    <w:p w14:paraId="2EAC2FC4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 xml:space="preserve">4. Në rast se prodhuesi ose mirëmbajtësi i </w:t>
      </w:r>
      <w:r w:rsidRPr="00B37883">
        <w:rPr>
          <w:rFonts w:ascii="Garamond" w:hAnsi="Garamond" w:cs="Times New Roman"/>
          <w:i/>
          <w:sz w:val="24"/>
          <w:szCs w:val="24"/>
        </w:rPr>
        <w:t>software</w:t>
      </w:r>
      <w:r w:rsidRPr="00B37883">
        <w:rPr>
          <w:rFonts w:ascii="Garamond" w:hAnsi="Garamond" w:cs="Times New Roman"/>
          <w:sz w:val="24"/>
          <w:szCs w:val="24"/>
        </w:rPr>
        <w:t>-it, i ci</w:t>
      </w:r>
      <w:r w:rsidR="00AF3C1E" w:rsidRPr="00B37883">
        <w:rPr>
          <w:rFonts w:ascii="Garamond" w:hAnsi="Garamond" w:cs="Times New Roman"/>
          <w:sz w:val="24"/>
          <w:szCs w:val="24"/>
        </w:rPr>
        <w:t>li është gjobitur sipas pikës 3</w:t>
      </w:r>
      <w:r w:rsidRPr="00B37883">
        <w:rPr>
          <w:rFonts w:ascii="Garamond" w:hAnsi="Garamond" w:cs="Times New Roman"/>
          <w:sz w:val="24"/>
          <w:szCs w:val="24"/>
        </w:rPr>
        <w:t xml:space="preserve"> të këtij neni, refuzon për herë të dytë, pa shkaqe të arsyeshme, bashkëpunimin me administratën tatimore, komisioni i përhershëm për monitorimin e tyre, në përputhje me aktet nënligjore në fuqi, harton një relacion sqarues dhe u propozon titullarëve të institucioneve, që kanë miratuar certifikimin, marrjen e masës së shfuqizimit të certifikatës. Titullarët përkatës vendosin nëse certifikata do të shfuqizohet ose jo.”.</w:t>
      </w:r>
    </w:p>
    <w:p w14:paraId="1EB13A5D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18B231" w14:textId="77777777" w:rsidR="001E4D90" w:rsidRPr="00B37883" w:rsidRDefault="001E4D90" w:rsidP="003945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37883">
        <w:rPr>
          <w:rFonts w:ascii="Garamond" w:hAnsi="Garamond" w:cs="Times New Roman"/>
          <w:sz w:val="24"/>
          <w:szCs w:val="24"/>
        </w:rPr>
        <w:t>Neni 19</w:t>
      </w:r>
    </w:p>
    <w:p w14:paraId="1E78C251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9C35FF7" w14:textId="77777777" w:rsidR="001E4D90" w:rsidRPr="00B37883" w:rsidRDefault="001E4D90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37883">
        <w:rPr>
          <w:rFonts w:ascii="Garamond" w:hAnsi="Garamond" w:cs="Times New Roman"/>
          <w:color w:val="000000" w:themeColor="text1"/>
          <w:sz w:val="24"/>
          <w:szCs w:val="24"/>
        </w:rPr>
        <w:t>Ky ligj hyn</w:t>
      </w:r>
      <w:r w:rsidR="00E85AD5" w:rsidRPr="00B37883">
        <w:rPr>
          <w:rFonts w:ascii="Garamond" w:hAnsi="Garamond" w:cs="Times New Roman"/>
          <w:color w:val="000000" w:themeColor="text1"/>
          <w:sz w:val="24"/>
          <w:szCs w:val="24"/>
        </w:rPr>
        <w:t xml:space="preserve"> në fuqi 15 ditë pas botimit në Fletoren Zyrtare</w:t>
      </w:r>
      <w:r w:rsidR="00CF376A" w:rsidRPr="00B37883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77454598" w14:textId="77777777" w:rsidR="00E70AE9" w:rsidRPr="00B37883" w:rsidRDefault="00E70AE9" w:rsidP="003945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78BC145" w14:textId="76CC6C52" w:rsidR="00976A3C" w:rsidRPr="00B37883" w:rsidRDefault="00976A3C" w:rsidP="003945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3788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B37883">
        <w:rPr>
          <w:rFonts w:ascii="Garamond" w:hAnsi="Garamond" w:cs="Times New Roman"/>
          <w:bCs/>
          <w:sz w:val="24"/>
          <w:szCs w:val="24"/>
        </w:rPr>
        <w:t xml:space="preserve"> </w:t>
      </w:r>
      <w:r w:rsidR="00741ED9" w:rsidRPr="00B37883">
        <w:rPr>
          <w:rFonts w:ascii="Garamond" w:hAnsi="Garamond" w:cs="Times New Roman"/>
          <w:bCs/>
          <w:sz w:val="24"/>
          <w:szCs w:val="24"/>
        </w:rPr>
        <w:t>11</w:t>
      </w:r>
      <w:r w:rsidR="00E611BD" w:rsidRPr="00B37883">
        <w:rPr>
          <w:rFonts w:ascii="Garamond" w:hAnsi="Garamond" w:cs="Times New Roman"/>
          <w:bCs/>
          <w:sz w:val="24"/>
          <w:szCs w:val="24"/>
        </w:rPr>
        <w:t>.</w:t>
      </w:r>
      <w:r w:rsidR="00741ED9" w:rsidRPr="00B37883">
        <w:rPr>
          <w:rFonts w:ascii="Garamond" w:hAnsi="Garamond" w:cs="Times New Roman"/>
          <w:bCs/>
          <w:sz w:val="24"/>
          <w:szCs w:val="24"/>
        </w:rPr>
        <w:t>12.</w:t>
      </w:r>
      <w:r w:rsidR="007748A2" w:rsidRPr="00B37883">
        <w:rPr>
          <w:rFonts w:ascii="Garamond" w:hAnsi="Garamond" w:cs="Times New Roman"/>
          <w:bCs/>
          <w:sz w:val="24"/>
          <w:szCs w:val="24"/>
        </w:rPr>
        <w:t>202</w:t>
      </w:r>
      <w:r w:rsidR="00DE793A" w:rsidRPr="00B37883">
        <w:rPr>
          <w:rFonts w:ascii="Garamond" w:hAnsi="Garamond" w:cs="Times New Roman"/>
          <w:bCs/>
          <w:sz w:val="24"/>
          <w:szCs w:val="24"/>
        </w:rPr>
        <w:t>5</w:t>
      </w:r>
      <w:r w:rsidR="00244F58">
        <w:rPr>
          <w:rFonts w:ascii="Garamond" w:hAnsi="Garamond" w:cs="Times New Roman"/>
          <w:bCs/>
          <w:sz w:val="24"/>
          <w:szCs w:val="24"/>
        </w:rPr>
        <w:t>.</w:t>
      </w:r>
    </w:p>
    <w:p w14:paraId="07824106" w14:textId="77777777" w:rsidR="00B57A0F" w:rsidRPr="00B37883" w:rsidRDefault="00B57A0F" w:rsidP="003945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B052533" w14:textId="58C6993E" w:rsidR="00B57A0F" w:rsidRPr="00B37883" w:rsidRDefault="00B57A0F" w:rsidP="00B57A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B37883">
        <w:rPr>
          <w:rFonts w:ascii="Garamond" w:eastAsia="Times New Roman" w:hAnsi="Garamond" w:cs="Times New Roman"/>
          <w:b/>
          <w:sz w:val="24"/>
          <w:szCs w:val="24"/>
        </w:rPr>
        <w:lastRenderedPageBreak/>
        <w:t xml:space="preserve">Shpallur me dekretin nr. </w:t>
      </w:r>
      <w:r w:rsidR="00420947">
        <w:rPr>
          <w:rFonts w:ascii="Garamond" w:eastAsia="Times New Roman" w:hAnsi="Garamond" w:cs="Times New Roman"/>
          <w:b/>
          <w:sz w:val="24"/>
          <w:szCs w:val="24"/>
        </w:rPr>
        <w:t>16</w:t>
      </w:r>
      <w:r w:rsidRPr="00B37883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42094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7D387C" w:rsidRPr="00B37883">
        <w:rPr>
          <w:rFonts w:ascii="Garamond" w:eastAsia="Times New Roman" w:hAnsi="Garamond" w:cs="Times New Roman"/>
          <w:b/>
          <w:sz w:val="24"/>
          <w:szCs w:val="24"/>
        </w:rPr>
        <w:t>datë</w:t>
      </w:r>
      <w:r w:rsidRPr="00B37883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244F58">
        <w:rPr>
          <w:rStyle w:val="Strong"/>
          <w:rFonts w:ascii="Garamond" w:hAnsi="Garamond"/>
          <w:color w:val="232323"/>
          <w:bdr w:val="none" w:sz="0" w:space="0" w:color="auto" w:frame="1"/>
        </w:rPr>
        <w:t>12.</w:t>
      </w:r>
      <w:r w:rsidRPr="00B37883">
        <w:rPr>
          <w:rStyle w:val="Strong"/>
          <w:rFonts w:ascii="Garamond" w:hAnsi="Garamond"/>
          <w:color w:val="232323"/>
          <w:bdr w:val="none" w:sz="0" w:space="0" w:color="auto" w:frame="1"/>
        </w:rPr>
        <w:t>1.2026</w:t>
      </w:r>
      <w:r w:rsidRPr="00B37883">
        <w:rPr>
          <w:rFonts w:ascii="Garamond" w:eastAsia="Times New Roman" w:hAnsi="Garamond" w:cs="Times New Roman"/>
          <w:b/>
          <w:sz w:val="24"/>
          <w:szCs w:val="24"/>
        </w:rPr>
        <w:t>, të Presidentit të Republikës së Shqipërisë, Bajram Begaj.</w:t>
      </w:r>
    </w:p>
    <w:p w14:paraId="7F70DAD5" w14:textId="77777777" w:rsidR="00B57A0F" w:rsidRPr="00B37883" w:rsidRDefault="00B57A0F" w:rsidP="003945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B57A0F" w:rsidRPr="00B37883" w:rsidSect="001B633F">
      <w:pgSz w:w="11906" w:h="16838" w:code="9"/>
      <w:pgMar w:top="1080" w:right="1152" w:bottom="810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53005" w14:textId="77777777" w:rsidR="00420947" w:rsidRDefault="00420947" w:rsidP="00420682">
      <w:pPr>
        <w:spacing w:after="0" w:line="240" w:lineRule="auto"/>
      </w:pPr>
      <w:r>
        <w:separator/>
      </w:r>
    </w:p>
  </w:endnote>
  <w:endnote w:type="continuationSeparator" w:id="0">
    <w:p w14:paraId="393C69FC" w14:textId="77777777" w:rsidR="00420947" w:rsidRDefault="00420947" w:rsidP="00420682">
      <w:pPr>
        <w:spacing w:after="0" w:line="240" w:lineRule="auto"/>
      </w:pPr>
      <w:r>
        <w:continuationSeparator/>
      </w:r>
    </w:p>
  </w:endnote>
  <w:endnote w:type="continuationNotice" w:id="1">
    <w:p w14:paraId="5F89AF9A" w14:textId="77777777" w:rsidR="00420947" w:rsidRDefault="004209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E09397" w14:textId="77777777" w:rsidR="00420947" w:rsidRDefault="00420947" w:rsidP="00420682">
      <w:pPr>
        <w:spacing w:after="0" w:line="240" w:lineRule="auto"/>
      </w:pPr>
      <w:r>
        <w:separator/>
      </w:r>
    </w:p>
  </w:footnote>
  <w:footnote w:type="continuationSeparator" w:id="0">
    <w:p w14:paraId="44404D21" w14:textId="77777777" w:rsidR="00420947" w:rsidRDefault="00420947" w:rsidP="00420682">
      <w:pPr>
        <w:spacing w:after="0" w:line="240" w:lineRule="auto"/>
      </w:pPr>
      <w:r>
        <w:continuationSeparator/>
      </w:r>
    </w:p>
  </w:footnote>
  <w:footnote w:type="continuationNotice" w:id="1">
    <w:p w14:paraId="19904E5E" w14:textId="77777777" w:rsidR="00420947" w:rsidRDefault="004209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1FC3"/>
    <w:rsid w:val="00002637"/>
    <w:rsid w:val="00002A97"/>
    <w:rsid w:val="00002F75"/>
    <w:rsid w:val="00005CCE"/>
    <w:rsid w:val="00011558"/>
    <w:rsid w:val="000115A2"/>
    <w:rsid w:val="000141A5"/>
    <w:rsid w:val="00024790"/>
    <w:rsid w:val="00024A13"/>
    <w:rsid w:val="000279D8"/>
    <w:rsid w:val="00030E05"/>
    <w:rsid w:val="00040D8C"/>
    <w:rsid w:val="00043C57"/>
    <w:rsid w:val="00047035"/>
    <w:rsid w:val="000514F1"/>
    <w:rsid w:val="000518D6"/>
    <w:rsid w:val="00054966"/>
    <w:rsid w:val="00055AB5"/>
    <w:rsid w:val="00060376"/>
    <w:rsid w:val="00060FA4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2793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35B4"/>
    <w:rsid w:val="00135A36"/>
    <w:rsid w:val="00136EC9"/>
    <w:rsid w:val="00146D52"/>
    <w:rsid w:val="00153CC5"/>
    <w:rsid w:val="001547CA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633F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4D90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4F58"/>
    <w:rsid w:val="00247DF1"/>
    <w:rsid w:val="00250F7F"/>
    <w:rsid w:val="00260E70"/>
    <w:rsid w:val="00264FD5"/>
    <w:rsid w:val="00266C06"/>
    <w:rsid w:val="00267E57"/>
    <w:rsid w:val="0027350F"/>
    <w:rsid w:val="00274D4C"/>
    <w:rsid w:val="00274E73"/>
    <w:rsid w:val="002753F6"/>
    <w:rsid w:val="00277C89"/>
    <w:rsid w:val="00280456"/>
    <w:rsid w:val="002805AE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153D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45E1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4BA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20947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3785A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2616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148B9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D6CB0"/>
    <w:rsid w:val="006F4D55"/>
    <w:rsid w:val="006F5C30"/>
    <w:rsid w:val="007031E5"/>
    <w:rsid w:val="00703E15"/>
    <w:rsid w:val="0070711C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1ED9"/>
    <w:rsid w:val="00742442"/>
    <w:rsid w:val="00750246"/>
    <w:rsid w:val="00750AED"/>
    <w:rsid w:val="007603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1639"/>
    <w:rsid w:val="007B4156"/>
    <w:rsid w:val="007C083E"/>
    <w:rsid w:val="007D1A8F"/>
    <w:rsid w:val="007D387C"/>
    <w:rsid w:val="007D6440"/>
    <w:rsid w:val="007D742E"/>
    <w:rsid w:val="007D76F7"/>
    <w:rsid w:val="007E01E9"/>
    <w:rsid w:val="007E0959"/>
    <w:rsid w:val="007E2515"/>
    <w:rsid w:val="007E6D9E"/>
    <w:rsid w:val="007F12D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25DBC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F276D"/>
    <w:rsid w:val="008F4288"/>
    <w:rsid w:val="00900D7B"/>
    <w:rsid w:val="00903DE7"/>
    <w:rsid w:val="00904604"/>
    <w:rsid w:val="0090583C"/>
    <w:rsid w:val="0091014E"/>
    <w:rsid w:val="009104DF"/>
    <w:rsid w:val="00923AC6"/>
    <w:rsid w:val="00925F09"/>
    <w:rsid w:val="009348F8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77EB4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D4EE1"/>
    <w:rsid w:val="009E259E"/>
    <w:rsid w:val="00A01F1A"/>
    <w:rsid w:val="00A06D12"/>
    <w:rsid w:val="00A10B5D"/>
    <w:rsid w:val="00A159CC"/>
    <w:rsid w:val="00A15DE9"/>
    <w:rsid w:val="00A26E25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3C1E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7883"/>
    <w:rsid w:val="00B40D6A"/>
    <w:rsid w:val="00B46B49"/>
    <w:rsid w:val="00B51F9D"/>
    <w:rsid w:val="00B53668"/>
    <w:rsid w:val="00B54D96"/>
    <w:rsid w:val="00B57A0F"/>
    <w:rsid w:val="00B6099E"/>
    <w:rsid w:val="00B61804"/>
    <w:rsid w:val="00B6427E"/>
    <w:rsid w:val="00B67778"/>
    <w:rsid w:val="00B67E49"/>
    <w:rsid w:val="00B8668D"/>
    <w:rsid w:val="00B92457"/>
    <w:rsid w:val="00B9783F"/>
    <w:rsid w:val="00BA1706"/>
    <w:rsid w:val="00BA1CAD"/>
    <w:rsid w:val="00BA5571"/>
    <w:rsid w:val="00BA7E1D"/>
    <w:rsid w:val="00BB1379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245D5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376A"/>
    <w:rsid w:val="00CF5B26"/>
    <w:rsid w:val="00CF6D0A"/>
    <w:rsid w:val="00D00917"/>
    <w:rsid w:val="00D073BE"/>
    <w:rsid w:val="00D127E2"/>
    <w:rsid w:val="00D23C4B"/>
    <w:rsid w:val="00D24B56"/>
    <w:rsid w:val="00D3649D"/>
    <w:rsid w:val="00D36E40"/>
    <w:rsid w:val="00D41916"/>
    <w:rsid w:val="00D441DB"/>
    <w:rsid w:val="00D45AC2"/>
    <w:rsid w:val="00D45F60"/>
    <w:rsid w:val="00D50CA0"/>
    <w:rsid w:val="00D51772"/>
    <w:rsid w:val="00D52992"/>
    <w:rsid w:val="00D5660B"/>
    <w:rsid w:val="00D56C48"/>
    <w:rsid w:val="00D60C6B"/>
    <w:rsid w:val="00D71105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1CF8"/>
    <w:rsid w:val="00DD492E"/>
    <w:rsid w:val="00DD4A8B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0AE9"/>
    <w:rsid w:val="00E72BC5"/>
    <w:rsid w:val="00E76B9D"/>
    <w:rsid w:val="00E7782A"/>
    <w:rsid w:val="00E82905"/>
    <w:rsid w:val="00E85AD5"/>
    <w:rsid w:val="00E9471E"/>
    <w:rsid w:val="00EB262A"/>
    <w:rsid w:val="00EB5D81"/>
    <w:rsid w:val="00EC47A4"/>
    <w:rsid w:val="00EC55E7"/>
    <w:rsid w:val="00EC57E8"/>
    <w:rsid w:val="00EC5AA5"/>
    <w:rsid w:val="00EC5B31"/>
    <w:rsid w:val="00EC662B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299F"/>
    <w:rsid w:val="00F234B6"/>
    <w:rsid w:val="00F30C68"/>
    <w:rsid w:val="00F312F4"/>
    <w:rsid w:val="00F320F6"/>
    <w:rsid w:val="00F321FF"/>
    <w:rsid w:val="00F32C43"/>
    <w:rsid w:val="00F50304"/>
    <w:rsid w:val="00F50416"/>
    <w:rsid w:val="00F52125"/>
    <w:rsid w:val="00F537D2"/>
    <w:rsid w:val="00F57C37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389D"/>
    <w:rsid w:val="00FC484A"/>
    <w:rsid w:val="00FC631E"/>
    <w:rsid w:val="00FC6BDD"/>
    <w:rsid w:val="00FD3EA6"/>
    <w:rsid w:val="00FD4130"/>
    <w:rsid w:val="00FD607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9E83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Strong">
    <w:name w:val="Strong"/>
    <w:basedOn w:val="DefaultParagraphFont"/>
    <w:uiPriority w:val="22"/>
    <w:qFormat/>
    <w:rsid w:val="00B57A0F"/>
    <w:rPr>
      <w:b/>
      <w:bCs/>
    </w:rPr>
  </w:style>
  <w:style w:type="paragraph" w:styleId="Revision">
    <w:name w:val="Revision"/>
    <w:hidden/>
    <w:uiPriority w:val="99"/>
    <w:semiHidden/>
    <w:rsid w:val="00D441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5BBF6AA75342C5B25AE9790D97D0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2026-01-15T10:58:04Z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2026-01-15T00:00:00Z</Date_x0020_protokolli>
    <Titulli xmlns="0e656187-b300-4fb0-8bf4-3a50f872073c">Për disa ndryshime dhe shtesa në ligjin nr. 9920, datë 19.5.2008, “Për procedurat tatimore në Republikën e Shqipërisë”, i ndryshuar</Titulli>
    <Modifikuesi xmlns="0e656187-b300-4fb0-8bf4-3a50f872073c">Fjora.Cahani</Modifikuesi>
    <Nr_x002e__x0020_prot_x0020_QBZ xmlns="0e656187-b300-4fb0-8bf4-3a50f872073c">69/1</Nr_x002e__x0020_prot_x0020_QBZ>
    <Data_x0020_e_x0020_Modifikimit xmlns="0e656187-b300-4fb0-8bf4-3a50f872073c">2026-01-15T12:33:57Z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4241/2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5BBF6AA75342C5B25AE9790D97D0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CC12D-7B5A-4EDD-A63C-D6A0BFF97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348850-3245-4286-8A26-D25687CDF7AF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D340D64-288E-4B71-AC5B-9E29274763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1E8E07-EF00-49BE-B05E-BECDD489E9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F2077B-424F-46BA-B36D-DC1735CFD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363019-CA98-40AD-8070-2EAB85C4F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9920, datë 19.5.2008, “Për procedurat tatimore në Republikën e Shqipërisë”, i ndryshuar</vt:lpstr>
    </vt:vector>
  </TitlesOfParts>
  <Company/>
  <LinksUpToDate>false</LinksUpToDate>
  <CharactersWithSpaces>11122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9920, datë 19.5.2008, “Për procedurat tatimore në Republikën e Shqipërisë”, i ndryshuar</dc:title>
  <dc:creator>gazmend.hanku</dc:creator>
  <cp:lastModifiedBy>Entela Suli</cp:lastModifiedBy>
  <cp:revision>70</cp:revision>
  <cp:lastPrinted>2025-12-17T12:51:00Z</cp:lastPrinted>
  <dcterms:created xsi:type="dcterms:W3CDTF">2025-12-12T11:20:00Z</dcterms:created>
  <dcterms:modified xsi:type="dcterms:W3CDTF">2026-01-15T11:56:00Z</dcterms:modified>
</cp:coreProperties>
</file>