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E5AC6" w14:textId="77777777" w:rsidR="00420682" w:rsidRPr="0041306C" w:rsidRDefault="00420682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79852076" w14:textId="52DE7883" w:rsidR="00024790" w:rsidRPr="0041306C" w:rsidRDefault="002009A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271FC0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84</w:t>
      </w:r>
      <w:r w:rsidR="007748A2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DE793A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5</w:t>
      </w: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033B4795" w14:textId="77777777" w:rsidR="00ED3463" w:rsidRPr="0041306C" w:rsidRDefault="00ED3463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435C439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PËR MARRËVESHJEN E PAQES FISKALE</w:t>
      </w:r>
    </w:p>
    <w:p w14:paraId="6DB56ED0" w14:textId="77777777" w:rsidR="005E6D91" w:rsidRPr="0041306C" w:rsidRDefault="005E6D91" w:rsidP="00FD6603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4690391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83, pika 1, dhe 155 të Kushtetutës, me propozimin e Këshillit të Ministrave, </w:t>
      </w:r>
    </w:p>
    <w:p w14:paraId="2BBAC1FF" w14:textId="77777777" w:rsidR="005E6D91" w:rsidRPr="0041306C" w:rsidRDefault="005E6D91" w:rsidP="00FD6603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B111D4" w14:textId="2A055DF3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720BB201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45B8D42A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EB01637" w14:textId="43BE18DC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24511659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5D30A0E" w14:textId="6F3EDC46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KREU I</w:t>
      </w:r>
    </w:p>
    <w:p w14:paraId="4FFAEA1F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DISPOZITA TË PËRGJITHSHME</w:t>
      </w:r>
    </w:p>
    <w:p w14:paraId="67F480B9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9FB34C4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72C08017" w14:textId="4368959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Objekti i ligjit</w:t>
      </w:r>
      <w:r w:rsidR="00FA30B9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5DFEF614" w14:textId="77777777" w:rsidR="005E6D91" w:rsidRPr="0041306C" w:rsidRDefault="005E6D91" w:rsidP="00FD6603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040E387" w14:textId="2AF1E996" w:rsidR="00FA30B9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Objekt i këtij ligji është përcaktimi i rregullave dhe i procedurave për lidhjen e marrëveshjes vullnetare ndërmjet tatimpagu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esit dhe administratës tatimore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për pagimin e tatimit mbi të ardhurat e korporatave ose të tatimit mbi të ardhurat personale nga biznesi, bazuar në vlerësimin e fitimit të tatueshëm, si dhe të drejtën për rivlerësimin e pasqyrave financiare të tri viteve të mëparshme.</w:t>
      </w:r>
    </w:p>
    <w:p w14:paraId="737B33E3" w14:textId="5ECF41D3" w:rsidR="00FA30B9" w:rsidRPr="0041306C" w:rsidRDefault="00FA30B9" w:rsidP="00FD660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41306C">
        <w:rPr>
          <w:rFonts w:ascii="Garamond" w:hAnsi="Garamond"/>
          <w:color w:val="000000" w:themeColor="text1"/>
          <w:lang w:val="sq-AL"/>
        </w:rPr>
        <w:t>Ky ligj nuk sjell asnjë lloj imuniteti administrativ, tatimor ose penal ndaj veprimeve t</w:t>
      </w:r>
      <w:r w:rsidR="00E914BA" w:rsidRPr="0041306C">
        <w:rPr>
          <w:rFonts w:ascii="Garamond" w:hAnsi="Garamond"/>
          <w:color w:val="000000" w:themeColor="text1"/>
          <w:lang w:val="sq-AL"/>
        </w:rPr>
        <w:t>ë</w:t>
      </w:r>
      <w:r w:rsidRPr="0041306C">
        <w:rPr>
          <w:rFonts w:ascii="Garamond" w:hAnsi="Garamond"/>
          <w:color w:val="000000" w:themeColor="text1"/>
          <w:lang w:val="sq-AL"/>
        </w:rPr>
        <w:t xml:space="preserve"> tatimpaguesve p</w:t>
      </w:r>
      <w:r w:rsidR="00E914BA" w:rsidRPr="0041306C">
        <w:rPr>
          <w:rFonts w:ascii="Garamond" w:hAnsi="Garamond"/>
          <w:color w:val="000000" w:themeColor="text1"/>
          <w:lang w:val="sq-AL"/>
        </w:rPr>
        <w:t>ë</w:t>
      </w:r>
      <w:r w:rsidRPr="0041306C">
        <w:rPr>
          <w:rFonts w:ascii="Garamond" w:hAnsi="Garamond"/>
          <w:color w:val="000000" w:themeColor="text1"/>
          <w:lang w:val="sq-AL"/>
        </w:rPr>
        <w:t xml:space="preserve">r pastrimin e parave, financimin e terrorizmit apo për çdo vepër tjetër penale që lidhet me origjinën e paligjshme të pasurisë. Administrata tatimore </w:t>
      </w:r>
      <w:r w:rsidR="00E637A2" w:rsidRPr="0041306C">
        <w:rPr>
          <w:rFonts w:ascii="Garamond" w:hAnsi="Garamond"/>
          <w:color w:val="000000" w:themeColor="text1"/>
          <w:lang w:val="sq-AL"/>
        </w:rPr>
        <w:t xml:space="preserve">informon </w:t>
      </w:r>
      <w:r w:rsidRPr="0041306C">
        <w:rPr>
          <w:rFonts w:ascii="Garamond" w:hAnsi="Garamond"/>
          <w:color w:val="000000" w:themeColor="text1"/>
          <w:lang w:val="sq-AL"/>
        </w:rPr>
        <w:t xml:space="preserve">rastet e dyshimeve të arsyeshme pranë </w:t>
      </w:r>
      <w:r w:rsidR="00271FC0" w:rsidRPr="0041306C">
        <w:rPr>
          <w:rFonts w:ascii="Garamond" w:hAnsi="Garamond"/>
          <w:color w:val="000000" w:themeColor="text1"/>
          <w:lang w:val="sq-AL"/>
        </w:rPr>
        <w:t>Agjencisë</w:t>
      </w:r>
      <w:r w:rsidR="00E637A2" w:rsidRPr="0041306C">
        <w:rPr>
          <w:rFonts w:ascii="Garamond" w:hAnsi="Garamond"/>
          <w:color w:val="000000" w:themeColor="text1"/>
          <w:lang w:val="sq-AL"/>
        </w:rPr>
        <w:t xml:space="preserve"> </w:t>
      </w:r>
      <w:r w:rsidRPr="0041306C">
        <w:rPr>
          <w:rFonts w:ascii="Garamond" w:hAnsi="Garamond"/>
          <w:color w:val="000000" w:themeColor="text1"/>
          <w:lang w:val="sq-AL"/>
        </w:rPr>
        <w:t>së Inteligjencës Financiare.</w:t>
      </w:r>
    </w:p>
    <w:p w14:paraId="5EB8C2C1" w14:textId="6A961976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1143DB4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41C71333" w14:textId="1E3FAA4F" w:rsidR="00E914BA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Qëllimi i ligjit</w:t>
      </w:r>
      <w:r w:rsidR="00E914BA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20BD7EBC" w14:textId="442104EF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20B3B549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93E73D5" w14:textId="270E7A74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Qëllimi i këtij ligji është të nxisë përmbushjen vullnetare të detyrimeve për tatimin mbi të ardhurat e korporatave ose tatimin mbi të ardhurat personale nga biznesi, si dhe rivlerësimit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pasqyrave financiare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nëpërmjet një marrëveshjeje njëvjeçare, kundrejt mosushtrimit të kontrollit tatimor për këtë tatim gjatë vitit tatimor të marrëveshjes.</w:t>
      </w:r>
    </w:p>
    <w:p w14:paraId="5BEE82B3" w14:textId="4C5BFE2C" w:rsidR="005E6D91" w:rsidRPr="0041306C" w:rsidRDefault="005E6D91" w:rsidP="00FD6603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8190270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0EADEEF2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Fusha e zbatimit të ligjit dhe kohëzgjatja e marrëveshjes së paqes</w:t>
      </w:r>
    </w:p>
    <w:p w14:paraId="41B4788E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381B3BB" w14:textId="0A5170AA" w:rsidR="005E6D91" w:rsidRPr="0041306C" w:rsidRDefault="00271FC0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Ky ligj zbatohet për tatimpaguesit, që ushtrojnë veprimtari ekonomike në territorin e Republikës së Shqipërisë, të cilët:</w:t>
      </w:r>
    </w:p>
    <w:p w14:paraId="61D8E619" w14:textId="77777777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janë të regjistruar në Qendrën Kombëtare të Biznesit;</w:t>
      </w:r>
    </w:p>
    <w:p w14:paraId="59002CC4" w14:textId="16539D60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i nënshtrohen tatimit mbi të ardhurat e korporatave ose tatimit mbi të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ardhurat personale nga biznesi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sipas dispozitave të lig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jit për tatimin mbi të ardhurat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dhe nuk përfitojnë nga normat e reduktuar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e përjashtimet sipas nenit 69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ligjit nr.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30154" w:rsidRPr="0041306C">
        <w:rPr>
          <w:rFonts w:ascii="Garamond" w:hAnsi="Garamond" w:cs="Times New Roman"/>
          <w:color w:val="000000" w:themeColor="text1"/>
          <w:sz w:val="24"/>
          <w:szCs w:val="24"/>
        </w:rPr>
        <w:t>29/2023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“Për tatimin mbi të ardhurat”, të ndryshuar;</w:t>
      </w:r>
    </w:p>
    <w:p w14:paraId="76C23351" w14:textId="77777777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përmbushin kushtet dhe kriteret e përcaktuara në këtë ligj e në aktet nënligjore në zbatim të tij.</w:t>
      </w:r>
    </w:p>
    <w:p w14:paraId="575ACE19" w14:textId="143A4EDB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Marrëveshja e paqes fiskale zbatohet për një vit tatimor, me të drejtë rinovimi për 2 (dy) vite tatimore.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4C767D5" w14:textId="77777777" w:rsidR="00271FC0" w:rsidRPr="0041306C" w:rsidRDefault="00271FC0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1A18805" w14:textId="4CAA1A7F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48B1718B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Përkufizime</w:t>
      </w:r>
    </w:p>
    <w:p w14:paraId="5A5DBA23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8BAA5FB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Në kuptim të këtij ligji, termat e mëposhtëm kanë këto kuptime:</w:t>
      </w:r>
    </w:p>
    <w:p w14:paraId="0B7E8326" w14:textId="30C8A0D3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 xml:space="preserve">a)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“Marrëveshje e paqes 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fiskale”</w:t>
      </w:r>
      <w:r w:rsidR="00A11A0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A11A0E" w:rsidRPr="0041306C">
        <w:rPr>
          <w:rFonts w:ascii="Garamond" w:hAnsi="Garamond" w:cs="Times New Roman"/>
          <w:color w:val="000000" w:themeColor="text1"/>
          <w:sz w:val="24"/>
          <w:szCs w:val="24"/>
        </w:rPr>
        <w:t>sht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marrëveshja vullnetare ndërmjet tatimpaguesit dhe administratës tatimore, me kërkesë të tatimpaguesit, me efekt detyrues për një vit tatimor, për vlerësimin e fitimit të tatueshëm, normën dhe pagimin e tatimit mbi të ardhurat e korporatave ose të tatimit mbi të ardhurat personale nga biznesi, si dhe të drejtën për rivlerësimin e pasqyrave financiare të tri viteve të mëparshme;</w:t>
      </w:r>
    </w:p>
    <w:p w14:paraId="0F7A110A" w14:textId="2FACE139" w:rsidR="005E6D91" w:rsidRPr="0041306C" w:rsidRDefault="00A11A0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926CA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“Tatimpagues”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sht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çdo person fizik ose entitet, që është subjekt i detyrimit të tatimit mbi të ardhurat e korporatave dhe tatimit mbi të ardhurat personale nga biznesi, sipas legjislacionit tatimor në fuqi dhe që plotëson kushtet për të hyrë në marrëveshje;</w:t>
      </w:r>
    </w:p>
    <w:p w14:paraId="58EC6401" w14:textId="44D2A262" w:rsidR="005E6D91" w:rsidRPr="0041306C" w:rsidRDefault="008926D8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ab/>
        <w:t>“Administrata tatimore”</w:t>
      </w:r>
      <w:r w:rsidR="00330154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është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Drejtoria e Përgjithshme e Tatimeve dhe strukturat e saj territoriale e qendrore;</w:t>
      </w:r>
    </w:p>
    <w:p w14:paraId="7FC55D1D" w14:textId="5E535BAD" w:rsidR="005E6D91" w:rsidRPr="0041306C" w:rsidRDefault="008926D8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ç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“Vlerësim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i i fitimit të tatueshëm”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sht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vlerësimi i fitimit të tatueshëm për vitin tatimor, të llogaritur sipas dispozitave të parashikuara në l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egjislacionin n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fuqi p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ër tatimin mbi të ardhurat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për të cilin lidhet marrëveshja, bazuar në një përqindje rritjeje në krahasim me vitin paraardhës, sipas kushteve të përcaktuara në këtë ligj;</w:t>
      </w:r>
    </w:p>
    <w:p w14:paraId="5192312C" w14:textId="29E1A894" w:rsidR="005E6D91" w:rsidRPr="0041306C" w:rsidRDefault="008926D8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="00926CA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“Normë tatimore e marrëveshjes” është:</w:t>
      </w:r>
    </w:p>
    <w:p w14:paraId="707546C3" w14:textId="273AE195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i.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përqindja standarde e tatimit mbi të ardhurat e korporatave ose tatimit mbi të ardhurat e biznesit, që zbatohet mbi fitimin e tatueshëm të vlerësuar, deri në një përqindje të caktuar rritjeje në krahasim me vitin e mëparshëm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;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si dhe</w:t>
      </w:r>
    </w:p>
    <w:p w14:paraId="5E28A89D" w14:textId="5D301342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ii.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5% për çdo rritje të fitimit të tatueshëm të vlerësuar mbi përqindjen e rritjes së caktuar në këtë ligj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;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58D97FF3" w14:textId="6BA9BAC8" w:rsidR="005E6D91" w:rsidRPr="0041306C" w:rsidRDefault="00271FC0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dh)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ab/>
        <w:t>“Rinovimi i marrëveshjes”</w:t>
      </w:r>
      <w:r w:rsidR="008926D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926D8" w:rsidRPr="0041306C">
        <w:rPr>
          <w:rFonts w:ascii="Garamond" w:hAnsi="Garamond" w:cs="Times New Roman"/>
          <w:color w:val="000000" w:themeColor="text1"/>
          <w:sz w:val="24"/>
          <w:szCs w:val="24"/>
        </w:rPr>
        <w:t>sht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procedura për lidhjen e një marrëveshjeje të re vjetore, për aq kohë sa tatimpaguesi përmbush kushtet e kriteret e përcaktuara dhe dorëzon një aplikim të ri;</w:t>
      </w:r>
    </w:p>
    <w:p w14:paraId="2B0E8337" w14:textId="3C26E2BC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e) 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“Afat i vlefshmërisë”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926D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konsiderohet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viti tatimor gjatë të cilit marrëveshja prodhon efektet e saj tatimore e procedurale.</w:t>
      </w:r>
    </w:p>
    <w:p w14:paraId="4AD1D756" w14:textId="77777777" w:rsidR="00953066" w:rsidRPr="0041306C" w:rsidRDefault="00953066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4CBC66D" w14:textId="6A048792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KREU II</w:t>
      </w:r>
    </w:p>
    <w:p w14:paraId="0AEF0B91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REGJIMI MATERIAL I MARRËVESHJES</w:t>
      </w:r>
    </w:p>
    <w:p w14:paraId="0F9B75B2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9FEF418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549D8C7A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Fitimi i tatueshëm dhe tatimi gjatë marrëveshjes së paqes fiskale</w:t>
      </w:r>
    </w:p>
    <w:p w14:paraId="3B23049B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9747172" w14:textId="79B86609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Tatimpaguesit, në mënyrë vullnetare, aplikojnë nëpërmjet platformës elektronike “</w:t>
      </w:r>
      <w:r w:rsidR="005E6D91" w:rsidRPr="0041306C">
        <w:rPr>
          <w:rFonts w:ascii="Garamond" w:hAnsi="Garamond" w:cs="Times New Roman"/>
          <w:i/>
          <w:color w:val="000000" w:themeColor="text1"/>
          <w:sz w:val="24"/>
          <w:szCs w:val="24"/>
        </w:rPr>
        <w:t>e-filing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” për lidhjen e marrëveshjes së paqes fiskale, sipas kushteve dhe kritereve të përcaktuara në këtë ligj dhe aktet nënligjore në zbatim të tij.</w:t>
      </w:r>
    </w:p>
    <w:p w14:paraId="57DA2BD6" w14:textId="31B5C026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Fitimi i tatueshëm i vlerësuar është fitimi i tatueshëm i vitit të mëparshëm i rritur me 18% në krahasim me fitimin e tatueshëm të vitit paraardhës tatimor.</w:t>
      </w:r>
    </w:p>
    <w:p w14:paraId="67D0A6E7" w14:textId="034F8D66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Tatimi mbi fitimin e tatueshëm të korporatës ose tatimi mbi të ardhurat personale nga biznesi 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>llogaritet si shumëzim i normës,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sipas përcaktimeve në ligjin nr.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29/2023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“Për tatimin mbi të ardhurat”, të ndryshuar, me fitimin e tatueshëm me rritje deri në 18%, sipas përcaktimeve të pikës 2 të këtij neni.</w:t>
      </w:r>
    </w:p>
    <w:p w14:paraId="4A9FD6EA" w14:textId="77777777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4.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Për çdo fitim të tatueshëm, që tejkalon vlerën e parashikuar sipas pikës 2 të këtij neni, zbatohet norma tatimore prej 5%.</w:t>
      </w:r>
    </w:p>
    <w:p w14:paraId="7104B788" w14:textId="0441CF35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5.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Administrata tatimore, mbi bazën e formulës së vlerësimit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</w:t>
      </w:r>
      <w:r w:rsidR="00271FC0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përcaktuar në pikat 2, 3 dhe 4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neni, harton dhe i propozon tatimpaguesit vlerën e paracaktuar të fitimit të tatueshëm, që përdoret për llogaritjen e detyrimit tatimor gjatë periudhës së marrëveshjes.</w:t>
      </w:r>
    </w:p>
    <w:p w14:paraId="5D01C528" w14:textId="77777777" w:rsidR="005E6D91" w:rsidRPr="0041306C" w:rsidRDefault="00926CA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6.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Detyrimi tatimor është tatimi mbi të ardhurat e korporatave ose tatimi mbi të ardhurat personale nga biznesi dhe nuk prek detyrimet e tjera tatimore.</w:t>
      </w:r>
    </w:p>
    <w:p w14:paraId="27F566F9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4915A7C" w14:textId="28A4C491" w:rsidR="004A6129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6</w:t>
      </w:r>
      <w:r w:rsidR="004A6129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C0D7BF8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Rideklarimi i elementeve të veçanta të pasqyrave financiare vjetore</w:t>
      </w:r>
    </w:p>
    <w:p w14:paraId="6C59A272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5B9E8F3" w14:textId="3FEB9C95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Tatimpaguesit, të cilët lidhin marrëveshjen e paqes fiskale, kanë të drejtë të bëjnë rideklarimin e elementeve të veçanta të aktiveve, të detyrimeve apo të kapitaleve të veta të pasqyrave financiare vjetore të shoqërisë, për deri në tri vitet e mëparshme tatimore. Në aplikimin e tyre për lidhje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n e marrëveshjes, sipas pikës 1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nenit 5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ligji, tatimpaguesi duhet të shprehet se do të kryejë edhe rideklarimin e pasqyrave financiare. </w:t>
      </w:r>
    </w:p>
    <w:p w14:paraId="61264566" w14:textId="7C10C0C8" w:rsidR="005E6D91" w:rsidRPr="0041306C" w:rsidRDefault="00B1311C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2</w:t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Për çdo diferencë deri në 30%, që lind nga gjendja reale me gjendjen aktuale kontabël, diferencë, e cila jep efekt neto në rritje në të ardhura apo kapital, subjektit i lind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detyrimi për pagesë të tatimit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si më poshtë:</w:t>
      </w:r>
    </w:p>
    <w:p w14:paraId="14414B6D" w14:textId="0A454442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a) a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ktive monetare, rideklarim i gjendjes së </w:t>
      </w:r>
      <w:r w:rsidR="005E6D91" w:rsidRPr="0041306C">
        <w:rPr>
          <w:rFonts w:ascii="Garamond" w:hAnsi="Garamond" w:cs="Times New Roman"/>
          <w:i/>
          <w:color w:val="000000" w:themeColor="text1"/>
          <w:sz w:val="24"/>
          <w:szCs w:val="24"/>
        </w:rPr>
        <w:t>cash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-it të shoqërisë, si në ulje apo në rritje. Tatim në masën 5% të çdo devijanc</w:t>
      </w:r>
      <w:r w:rsidR="00330154" w:rsidRPr="0041306C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negative apo pozitive nga gjendja reale e </w:t>
      </w:r>
      <w:r w:rsidR="005E6D91" w:rsidRPr="0041306C">
        <w:rPr>
          <w:rFonts w:ascii="Garamond" w:hAnsi="Garamond" w:cs="Times New Roman"/>
          <w:i/>
          <w:color w:val="000000" w:themeColor="text1"/>
          <w:sz w:val="24"/>
          <w:szCs w:val="24"/>
        </w:rPr>
        <w:t>cash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-it;</w:t>
      </w:r>
    </w:p>
    <w:p w14:paraId="27F74142" w14:textId="0BC6A851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b) a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ktivet e tjera financiare 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–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fshirja e shumave 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parregullta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në zërin kërkesa të arkëtueshme. Tatim në masën 5% për fshirjen e detyrimeve 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parregullta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538F3E58" w14:textId="109E37DD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c) f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shirja e aktiveve afatgjata materiale/jomateriale 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parregullta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të deklaruara. Tatim në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masën 5% përkundrejt fshirjes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së inventarit 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parregullt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395786BE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ç) d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eklarim i aktiveve afatgjata materiale të papërfshira në pasqyrat financiare. Tatim në masën 5% për përfshirjen e aktivit afatgjatë material/jomaterial;</w:t>
      </w:r>
    </w:p>
    <w:p w14:paraId="6DD8F984" w14:textId="5962EFFB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d) f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shirja e detyrimeve 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67E58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parregullta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/borxheve në pasqyra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t financiare. Fshihen detyrimet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duke i konsideruar të ardhura të patatueshme përkundrejt 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pagesës së tatimit në masën 5%;</w:t>
      </w:r>
    </w:p>
    <w:p w14:paraId="37E93CA2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dh)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ab/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ideklarim i fitimit të mbartur të shoqërisë dhe shpërndarja si dividend/fitim i tij. Tatim në masën 5% për dividendin dhe ndarjen e fitimeve.</w:t>
      </w:r>
    </w:p>
    <w:p w14:paraId="09C7DA1D" w14:textId="45E64AC6" w:rsidR="005E6D91" w:rsidRPr="0041306C" w:rsidRDefault="00B1311C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3</w:t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Çdo diferencë e kontabilizuar, bazuar në kuadrin rregullator të kontabilitetit të sektorit privat për këtë qëllim, do të klasifikohet si e ardhur e patatueshme apo shpenzim i pazbritshëm për qëllime të deklaratës së tatimfitimit apo tatimit të thjeshtuar të fitimit.</w:t>
      </w:r>
    </w:p>
    <w:p w14:paraId="5307340B" w14:textId="12825BC9" w:rsidR="005E6D91" w:rsidRPr="0041306C" w:rsidRDefault="00820E4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4</w:t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Shumat e detyrimeve ndaj ortakëve të shoqërisë, të rivlerësuara sipas dispozitave të këtij neni, mund të përdoren lirisht prej tyre për qëllime të biznesit apo personale.</w:t>
      </w:r>
    </w:p>
    <w:p w14:paraId="67F470C5" w14:textId="2621AF1E" w:rsidR="005E6D91" w:rsidRPr="0041306C" w:rsidRDefault="00820E4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5</w:t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Asnjë rideklarim pozicionesh nuk mund të japë në periudhat e kaluara periudhën korrente</w:t>
      </w:r>
      <w:r w:rsidR="000F2A13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apo periudhat e ardhshme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efekte në rritjen e shpenzimeve apo elementeve të tjera, që reduktojnë fitimin tatimor apo TVSH-në e pagueshme.</w:t>
      </w:r>
    </w:p>
    <w:p w14:paraId="27971EB1" w14:textId="52C58493" w:rsidR="005E6D91" w:rsidRPr="0041306C" w:rsidRDefault="00820E4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6</w:t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Për të gjitha transaksionet e mësipërme nuk do të aplikohen dënimet administrative sipas l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>egjislacionit n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fuqi p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ër procedurat tatimore dhe nuk ushtrohet kontroll tatimor.</w:t>
      </w:r>
    </w:p>
    <w:p w14:paraId="6B814011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4F071D0" w14:textId="610F7267" w:rsidR="004A6129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7</w:t>
      </w:r>
      <w:r w:rsidR="004A6129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630939BF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Kriteret për përfitimin nga marrëveshja</w:t>
      </w:r>
    </w:p>
    <w:p w14:paraId="73F95316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EF5791D" w14:textId="2A69BBDA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Kanë të drejtën të aplikojnë për marrëveshjen e paqes fiskale tatimpaguesit, që plotësojnë 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>nj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herazi 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kushtet e mëposhtme:</w:t>
      </w:r>
    </w:p>
    <w:p w14:paraId="6A342CC4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a) j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anë persona fizikë dhe entitete të regjistruara në regjistrin tatimor dhe ushtrojnë veprimtari ekonomike në Republikën e Shqipërisë;</w:t>
      </w:r>
    </w:p>
    <w:p w14:paraId="6EA6563C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b) n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uk kanë detyrime tatimore të papaguara ose të padeklaruara;</w:t>
      </w:r>
    </w:p>
    <w:p w14:paraId="7E471F60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c) n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uk janë në proces ankimimi administrativ;</w:t>
      </w:r>
    </w:p>
    <w:p w14:paraId="098B8F27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ç) n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uk janë subjekt i procedimeve penale për vepra në fushën tatimore.</w:t>
      </w:r>
    </w:p>
    <w:p w14:paraId="49FF8696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d) n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uk janë dënuar me vendim të formës së prerë për mashtrim tatimor, pastrim të produkteve të veprës penale ose fshehje të ardhurash;</w:t>
      </w:r>
    </w:p>
    <w:p w14:paraId="6ADB03E7" w14:textId="7043175D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dh)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ab/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uk janë subjekt </w:t>
      </w:r>
      <w:r w:rsidR="0099289B" w:rsidRPr="0041306C">
        <w:rPr>
          <w:rFonts w:ascii="Garamond" w:hAnsi="Garamond" w:cs="Times New Roman"/>
          <w:color w:val="000000" w:themeColor="text1"/>
          <w:sz w:val="24"/>
          <w:szCs w:val="24"/>
        </w:rPr>
        <w:t>hetimi nga administrata tatimore;</w:t>
      </w:r>
    </w:p>
    <w:p w14:paraId="6F31A5D5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e) n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uk realizojnë projekte koncesionare.</w:t>
      </w:r>
    </w:p>
    <w:p w14:paraId="5EB3D264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39B2377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2C8FC0D4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Detyrimet tatimore të përfshira në marrëveshje</w:t>
      </w:r>
    </w:p>
    <w:p w14:paraId="21E53D5D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26FE309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Marrëveshja e paqes fiskale përfshin:</w:t>
      </w:r>
    </w:p>
    <w:p w14:paraId="4965D0B2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vlerësimin dhe paracaktimin e fitimit të tatueshëm, që rezulton nga veprimtaria ekonomike e tatimpaguesit;</w:t>
      </w:r>
    </w:p>
    <w:p w14:paraId="62042364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normën tatimore për tatimin mbi të ardhurat e korporatave dhe tatimit mbi të ardhurat personale nga biznesi;</w:t>
      </w:r>
    </w:p>
    <w:p w14:paraId="53CE8E4A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të drejtën për rideklarimin e elementeve të veçanta të aktiveve, të detyrimeve apo të kapitaleve të veta të pasqyrave financiare vjetore të shoqërisë, sipas normës së tatimit dhe procedurës së përcaktuar në këtë ligj.</w:t>
      </w:r>
    </w:p>
    <w:p w14:paraId="36359A5B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5F8433" w14:textId="77777777" w:rsidR="0041306C" w:rsidRDefault="0041306C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FF6A2BF" w14:textId="5E6838B7" w:rsidR="002377B3" w:rsidRPr="0041306C" w:rsidRDefault="0041306C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]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Neni 9</w:t>
      </w:r>
      <w:r w:rsidR="002377B3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D0E7A56" w14:textId="58DD619D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Efektet juridike dhe kufizimi i kontrolleve tatimore</w:t>
      </w:r>
    </w:p>
    <w:p w14:paraId="3F782569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F4003C2" w14:textId="04B7FF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Gjatë vlefshmërisë së marrëveshjes së paqes fiskale, për tatimin mbi të ardhurat e korporatave dhe tatimin mbi të ardhurat personale nga biznesi nuk kryhen kontrolle tatimore në terren, përveç rasteve kur për tatimpaguesin është regjistruar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një çështje hetimore në proces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për konsumin e veprës penale të krijimit të skemave mashtruese me tatimin mbi vlerën e shtuar apo fshehje e të ardhurave, sipas parashikimeve në Kodin Penal.</w:t>
      </w:r>
    </w:p>
    <w:p w14:paraId="55DD28C7" w14:textId="63F0E8B8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Subjektet e parashikuara në këtë ligj i nënshtrohen monitorimit periodik nga zyra gjatë 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gjithë periudhës së marrëveshjes. Vlerësimi/verifikimi nga zyra për qëllime monitorimi do të bëhe</w:t>
      </w:r>
      <w:r w:rsidR="000F2A13" w:rsidRPr="0041306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sipas l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>egjislacionit n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fuqi p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ër procedurat tatimore.</w:t>
      </w:r>
    </w:p>
    <w:p w14:paraId="7165C3B1" w14:textId="77777777" w:rsidR="002601E3" w:rsidRPr="0041306C" w:rsidRDefault="002601E3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5BC7A5AC" w14:textId="27974604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10</w:t>
      </w:r>
      <w:r w:rsidR="00F81EFF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62A8F87" w14:textId="7C87202B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Përfundimi </w:t>
      </w:r>
      <w:r w:rsidR="00373FB1"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i</w:t>
      </w: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vlefshmërisë së marrëveshjes</w:t>
      </w:r>
    </w:p>
    <w:p w14:paraId="69D10794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31CBB4B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Marrëveshja e paqes fiskale përfundon në rastet e mëposhtme:</w:t>
      </w:r>
    </w:p>
    <w:p w14:paraId="5049EFC1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 ndryshon llojin e veprimtarisë së deklaruar në marrëveshje;</w:t>
      </w:r>
    </w:p>
    <w:p w14:paraId="3F7FB234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 nuk realizon rritjen me mbi 18% të fitimit të tatueshëm;</w:t>
      </w:r>
    </w:p>
    <w:p w14:paraId="20E44EBB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 pezullon apo ndërpret përfundimisht aktivitetin ekonomik;</w:t>
      </w:r>
    </w:p>
    <w:p w14:paraId="71AD2D9A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ç)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ka kryer shkelje të përsëritura të detyrimeve tatimore, që cenojnë ndershmërinë fiskale;</w:t>
      </w:r>
    </w:p>
    <w:p w14:paraId="1BBB6CB3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d)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nuk paguan detyrimet sipas marrëveshjes;</w:t>
      </w:r>
    </w:p>
    <w:p w14:paraId="0045DD55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dh) nuk përmbush më kushtet e parashikuara në nenin 6 të këtij ligji;</w:t>
      </w:r>
    </w:p>
    <w:p w14:paraId="1348B23D" w14:textId="3EEA7099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e)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ka realizuar një rritje të fitimit të tatuesh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ëm mbi 50% gjatë vitit tatimor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për të cilin është lidhur marrëveshja, krahasuar me vitin tatimor paraardhës.</w:t>
      </w:r>
    </w:p>
    <w:p w14:paraId="66EA9604" w14:textId="670A116E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Në rast se marrëveshja për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fundon sipas rasteve të pikës 1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neni, për pasqyrat e rivle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rësuara në përputhje me nenin 6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ë këtij ligji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administrata tatimore kryen kontrollin dhe r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ivlerësimin e detyrimit tatimor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në përputhje me normat e përcaktuara në l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>egjislacionin n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7640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fuqi p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ër tatimin mbi të ardhurat. </w:t>
      </w:r>
    </w:p>
    <w:p w14:paraId="508A0714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Ministri përgjegjës për financat përcakton me udhëzim procedurat për zbatimin e këtij neni.</w:t>
      </w:r>
    </w:p>
    <w:p w14:paraId="5A3E5E55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5B5DB71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KREU III</w:t>
      </w:r>
    </w:p>
    <w:p w14:paraId="1FE72884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PROCEDURA E LIDHJES DHE ADMINISTRIMIT TË MARRËVESHJES</w:t>
      </w:r>
    </w:p>
    <w:p w14:paraId="020A1E55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93A5634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11</w:t>
      </w:r>
    </w:p>
    <w:p w14:paraId="4EBBCC8B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Zbatimi dhe propozimi i marrëveshjes</w:t>
      </w:r>
    </w:p>
    <w:p w14:paraId="15A2DB46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C2B9B0" w14:textId="1461424C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2C499D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Aplikimi </w:t>
      </w:r>
      <w:r w:rsidR="00D94D6E" w:rsidRPr="0041306C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D94D6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r lidhjen e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marrëveshje</w:t>
      </w:r>
      <w:r w:rsidR="00D94D6E" w:rsidRPr="0041306C">
        <w:rPr>
          <w:rFonts w:ascii="Garamond" w:hAnsi="Garamond" w:cs="Times New Roman"/>
          <w:color w:val="000000" w:themeColor="text1"/>
          <w:sz w:val="24"/>
          <w:szCs w:val="24"/>
        </w:rPr>
        <w:t>s s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paqes fiskale bëhet nga tatimpaguesi nëpërmjet platformës elektronike “</w:t>
      </w:r>
      <w:r w:rsidR="005E6D91" w:rsidRPr="0041306C">
        <w:rPr>
          <w:rFonts w:ascii="Garamond" w:hAnsi="Garamond" w:cs="Times New Roman"/>
          <w:i/>
          <w:color w:val="000000" w:themeColor="text1"/>
          <w:sz w:val="24"/>
          <w:szCs w:val="24"/>
        </w:rPr>
        <w:t>e-filing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brenda afatit për dorëzimin e deklaratës vjetore të të ardhurave të vitit paraardhës, sipas legjislacionit në fuqi. Për vitin e parë tatimor të zbatimit, afati përcaktohet me udhëzim të drejtorit të </w:t>
      </w:r>
      <w:r w:rsidR="0041306C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përgjithshëm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të Tatimeve.</w:t>
      </w:r>
    </w:p>
    <w:p w14:paraId="005A63B1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Propozimi i marrëveshjes së paqes fiskale hartohet nga administrata tatimore.</w:t>
      </w:r>
    </w:p>
    <w:p w14:paraId="26AF2D1B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Propozimi i formuluar i komunikohet tatimpaguesit përmes platformës elektronike “</w:t>
      </w:r>
      <w:r w:rsidR="005E6D91" w:rsidRPr="0041306C">
        <w:rPr>
          <w:rFonts w:ascii="Garamond" w:hAnsi="Garamond" w:cs="Times New Roman"/>
          <w:i/>
          <w:color w:val="000000" w:themeColor="text1"/>
          <w:sz w:val="24"/>
          <w:szCs w:val="24"/>
        </w:rPr>
        <w:t>e-filing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” dhe përmban vlerën e fitimit të tatueshëm, si dhe normat e detyrimit tatimor për periudhën përkatëse.</w:t>
      </w:r>
    </w:p>
    <w:p w14:paraId="29623A4E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4.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Procedurat për hartimin dhe përmbajtjen e propozimit të marrëveshjes, mënyrat e komunikimit me tatimpaguesin e konfirmimin elektronik, regjistrimin dhe ruajtjen e marrëveshjes në regjistrin elektronik tatimor, trajtimin e rasteve të refuzimit, mospranimit ose pavlefshmërisë së marrëveshjes, përcaktohen me udhëzim të ministrit përgjegjës për financat.</w:t>
      </w:r>
    </w:p>
    <w:p w14:paraId="38638DDD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E4634B8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12</w:t>
      </w:r>
    </w:p>
    <w:p w14:paraId="214999C1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Efektet e pranimit të marrëveshjes</w:t>
      </w:r>
    </w:p>
    <w:p w14:paraId="1F9C3AF6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78EAB89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 ka të drejtë të pranojë ose të refuzojë propozimin e marrëveshjes së paqes fiskale nga administrata tatimore brenda datës 15 prill.</w:t>
      </w:r>
    </w:p>
    <w:p w14:paraId="47577B23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Me pranimin nëpërmjet nënshkrimit elektronik, marrëveshja konsiderohet e lidhur dhe ka efekt ligjor për vitin tatimor përkatës.</w:t>
      </w:r>
    </w:p>
    <w:p w14:paraId="021BDBCA" w14:textId="137C19E0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Tatimpaguesi ka detyrimin të deklarojë d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he të paguajë detyrimin tatimor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sipas marrëveshjes s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ë paqes fiskale, sipas nenit 63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ligjit nr.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29/2023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“Për tatimin mbi të ardhurat”, të ndryshuar.</w:t>
      </w:r>
    </w:p>
    <w:p w14:paraId="01CB8158" w14:textId="77777777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4.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Të dhënat e deklaruara i nënshtrohen kontrollit nga zyra nga administrata tatimore, sipas legjislacionit në fuqi.</w:t>
      </w:r>
    </w:p>
    <w:p w14:paraId="772DBFD8" w14:textId="784B7DE0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5.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Mospërmbushja e detyrimeve të deklarimit apo pagesës, sipas marrëveshjes së pranuar, trajtohet si shkelje tatimore dhe u nënshtrohet dispozitave përkatëse të l</w:t>
      </w:r>
      <w:r w:rsidR="00D94D6E" w:rsidRPr="0041306C">
        <w:rPr>
          <w:rFonts w:ascii="Garamond" w:hAnsi="Garamond" w:cs="Times New Roman"/>
          <w:color w:val="000000" w:themeColor="text1"/>
          <w:sz w:val="24"/>
          <w:szCs w:val="24"/>
        </w:rPr>
        <w:t>egjislacionit n</w:t>
      </w:r>
      <w:r w:rsidR="00E914BA" w:rsidRPr="0041306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D94D6E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fuqi p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ër procedurat tatimore.</w:t>
      </w:r>
    </w:p>
    <w:p w14:paraId="3125BF1F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021CBA0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KREU IV</w:t>
      </w:r>
    </w:p>
    <w:p w14:paraId="7D3E2E16" w14:textId="708DFE00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DISPOZITA TË FUNDIT</w:t>
      </w:r>
    </w:p>
    <w:p w14:paraId="557AF95A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E0A213" w14:textId="4A1265B4" w:rsidR="00D23C88" w:rsidRPr="0041306C" w:rsidRDefault="00D23C88" w:rsidP="00FD6603">
      <w:pPr>
        <w:pStyle w:val="NoSpacing"/>
        <w:tabs>
          <w:tab w:val="left" w:pos="284"/>
        </w:tabs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</w:t>
      </w:r>
      <w:r w:rsidR="009140E6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3 </w:t>
      </w:r>
    </w:p>
    <w:p w14:paraId="03841B41" w14:textId="32FEAE70" w:rsidR="0099289B" w:rsidRPr="0041306C" w:rsidRDefault="0099289B" w:rsidP="00FD6603">
      <w:pPr>
        <w:pStyle w:val="NoSpacing"/>
        <w:tabs>
          <w:tab w:val="left" w:pos="284"/>
        </w:tabs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Transparenca publike dhe monitorimi</w:t>
      </w:r>
    </w:p>
    <w:p w14:paraId="6F76D467" w14:textId="77777777" w:rsidR="00C10D0B" w:rsidRPr="0041306C" w:rsidRDefault="00C10D0B" w:rsidP="00FD6603">
      <w:pPr>
        <w:pStyle w:val="NoSpacing"/>
        <w:tabs>
          <w:tab w:val="left" w:pos="284"/>
        </w:tabs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E164C26" w14:textId="2F130E53" w:rsidR="0099289B" w:rsidRPr="0041306C" w:rsidRDefault="0099289B" w:rsidP="00FD660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Cs/>
          <w:color w:val="000000" w:themeColor="text1"/>
          <w:sz w:val="24"/>
          <w:szCs w:val="24"/>
        </w:rPr>
        <w:t>Drejtoria e Përgjithshme e Tatimeve publikon në faqen e saj zyrtare, mbi baza periodike 6</w:t>
      </w:r>
      <w:r w:rsidR="00C10D0B" w:rsidRPr="0041306C">
        <w:rPr>
          <w:rFonts w:ascii="Garamond" w:hAnsi="Garamond" w:cs="Times New Roman"/>
          <w:bCs/>
          <w:color w:val="000000" w:themeColor="text1"/>
          <w:sz w:val="24"/>
          <w:szCs w:val="24"/>
        </w:rPr>
        <w:t>-</w:t>
      </w:r>
      <w:r w:rsidRPr="0041306C">
        <w:rPr>
          <w:rFonts w:ascii="Garamond" w:hAnsi="Garamond" w:cs="Times New Roman"/>
          <w:bCs/>
          <w:color w:val="000000" w:themeColor="text1"/>
          <w:sz w:val="24"/>
          <w:szCs w:val="24"/>
        </w:rPr>
        <w:t>mujore, raportime statistikore</w:t>
      </w:r>
      <w:r w:rsidR="0041306C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Pr="0041306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lidhur me zbatimin e këtij ligji, në përputhje me legjislacionin në fuqi për të dhënat personale dhe </w:t>
      </w:r>
      <w:r w:rsidR="00C10D0B" w:rsidRPr="0041306C">
        <w:rPr>
          <w:rFonts w:ascii="Garamond" w:hAnsi="Garamond" w:cs="Times New Roman"/>
          <w:bCs/>
          <w:color w:val="000000" w:themeColor="text1"/>
          <w:sz w:val="24"/>
          <w:szCs w:val="24"/>
        </w:rPr>
        <w:t>ligjit për procedurat tatimore.</w:t>
      </w:r>
    </w:p>
    <w:p w14:paraId="38744F35" w14:textId="77777777" w:rsidR="0099289B" w:rsidRPr="0041306C" w:rsidRDefault="0099289B" w:rsidP="00FD6603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9BCD92B" w14:textId="1DEE35A3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</w:t>
      </w:r>
      <w:r w:rsidR="009140E6" w:rsidRPr="0041306C">
        <w:rPr>
          <w:rFonts w:ascii="Garamond" w:hAnsi="Garamond" w:cs="Times New Roman"/>
          <w:color w:val="000000" w:themeColor="text1"/>
          <w:sz w:val="24"/>
          <w:szCs w:val="24"/>
        </w:rPr>
        <w:t>4</w:t>
      </w:r>
    </w:p>
    <w:p w14:paraId="2B9AC88B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Aktet nënligjore</w:t>
      </w:r>
    </w:p>
    <w:p w14:paraId="6C0C422D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D53B5B4" w14:textId="3D27DA39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>Ngarkohet ministri përg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jegjës për financat të miratojë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brenda 3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muajve </w:t>
      </w:r>
      <w:r w:rsidR="00C10D0B" w:rsidRPr="0041306C">
        <w:rPr>
          <w:rFonts w:ascii="Garamond" w:hAnsi="Garamond" w:cs="Times New Roman"/>
          <w:color w:val="000000" w:themeColor="text1"/>
          <w:sz w:val="24"/>
          <w:szCs w:val="24"/>
        </w:rPr>
        <w:t>nga hyrja në fuqi e këtij ligji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aktet nënligjore në zbatim të neneve 10, pika 3, dhe 11, pika 4, të këtij ligji.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7F6E8FE1" w14:textId="5F433EED" w:rsidR="005E6D91" w:rsidRPr="0041306C" w:rsidRDefault="0020047E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Ngarkohet drejtori i </w:t>
      </w:r>
      <w:r w:rsidR="0041306C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përgjithshëm </w:t>
      </w:r>
      <w:r w:rsidR="00BC39F4" w:rsidRPr="0041306C">
        <w:rPr>
          <w:rFonts w:ascii="Garamond" w:hAnsi="Garamond" w:cs="Times New Roman"/>
          <w:color w:val="000000" w:themeColor="text1"/>
          <w:sz w:val="24"/>
          <w:szCs w:val="24"/>
        </w:rPr>
        <w:t>i Tatimeve të miratojë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C39F4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brenda 3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muajve </w:t>
      </w:r>
      <w:r w:rsidR="00BC39F4" w:rsidRPr="0041306C">
        <w:rPr>
          <w:rFonts w:ascii="Garamond" w:hAnsi="Garamond" w:cs="Times New Roman"/>
          <w:color w:val="000000" w:themeColor="text1"/>
          <w:sz w:val="24"/>
          <w:szCs w:val="24"/>
        </w:rPr>
        <w:t>nga hyrja në fuqi e këtij ligji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C39F4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udhëzimin në zbatim të pikës 1</w:t>
      </w:r>
      <w:r w:rsidR="0041306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C39F4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nenit 11</w:t>
      </w:r>
      <w:r w:rsidR="005E6D91"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ligji.</w:t>
      </w:r>
    </w:p>
    <w:p w14:paraId="4F92B49B" w14:textId="77777777" w:rsidR="005E6D91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A27808A" w14:textId="771E739E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>Neni 1</w:t>
      </w:r>
      <w:r w:rsidR="009140E6" w:rsidRPr="0041306C">
        <w:rPr>
          <w:rFonts w:ascii="Garamond" w:hAnsi="Garamond" w:cs="Times New Roman"/>
          <w:color w:val="000000" w:themeColor="text1"/>
          <w:sz w:val="24"/>
          <w:szCs w:val="24"/>
        </w:rPr>
        <w:t>5</w:t>
      </w:r>
    </w:p>
    <w:p w14:paraId="53AE4477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5F855B0D" w14:textId="77777777" w:rsidR="005E6D91" w:rsidRPr="0041306C" w:rsidRDefault="005E6D91" w:rsidP="00FD660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02E90D" w14:textId="6380D22D" w:rsidR="00221AAC" w:rsidRPr="0041306C" w:rsidRDefault="005E6D91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Ky ligj hyn </w:t>
      </w:r>
      <w:r w:rsidR="0020047E" w:rsidRPr="0041306C">
        <w:rPr>
          <w:rFonts w:ascii="Garamond" w:hAnsi="Garamond" w:cs="Times New Roman"/>
          <w:color w:val="000000" w:themeColor="text1"/>
          <w:sz w:val="24"/>
          <w:szCs w:val="24"/>
        </w:rPr>
        <w:t>në fuqi 15 ditë pas botimit në Fletoren Zyrtare</w:t>
      </w:r>
      <w:r w:rsidRPr="0041306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267E4" w:rsidRPr="0041306C">
        <w:rPr>
          <w:rFonts w:ascii="Garamond" w:hAnsi="Garamond" w:cs="Times New Roman"/>
          <w:color w:val="000000" w:themeColor="text1"/>
          <w:sz w:val="24"/>
          <w:szCs w:val="24"/>
        </w:rPr>
        <w:t>dhe i shtrin efektet deri në vitin tatimor 2028.</w:t>
      </w:r>
    </w:p>
    <w:p w14:paraId="600BEE19" w14:textId="77777777" w:rsidR="00953066" w:rsidRPr="0041306C" w:rsidRDefault="00953066" w:rsidP="00FD66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2134F7B" w14:textId="51D78411" w:rsidR="00953066" w:rsidRPr="0041306C" w:rsidRDefault="00953066" w:rsidP="00FD660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1306C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 11.12.2025</w:t>
      </w:r>
      <w:r w:rsidR="0041306C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69DD227C" w14:textId="77777777" w:rsidR="00953066" w:rsidRPr="0041306C" w:rsidRDefault="00953066" w:rsidP="0041306C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176AF9E" w14:textId="4DDBAA1D" w:rsidR="00953066" w:rsidRPr="0041306C" w:rsidRDefault="00953066" w:rsidP="0041306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41306C">
        <w:rPr>
          <w:rFonts w:ascii="Garamond" w:hAnsi="Garamond"/>
          <w:b/>
          <w:lang w:val="sq-AL"/>
        </w:rPr>
        <w:t xml:space="preserve">Shpallur me dekretin </w:t>
      </w:r>
      <w:r w:rsidR="0041306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21, datë 12.</w:t>
      </w:r>
      <w:r w:rsidRPr="0041306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1.2026</w:t>
      </w:r>
      <w:r w:rsidRPr="0041306C">
        <w:rPr>
          <w:rFonts w:ascii="Garamond" w:hAnsi="Garamond"/>
          <w:b/>
          <w:lang w:val="sq-AL"/>
        </w:rPr>
        <w:t>, të Presidentit të Republikës së Shqipërisë, Bajram Begaj.</w:t>
      </w:r>
    </w:p>
    <w:sectPr w:rsidR="00953066" w:rsidRPr="0041306C" w:rsidSect="002601E3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4334556" w16cex:dateUtc="2025-11-21T10:50:00Z"/>
  <w16cex:commentExtensible w16cex:durableId="280F6B64" w16cex:dateUtc="2025-12-02T14:26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157A8" w14:textId="77777777" w:rsidR="00CD4E73" w:rsidRDefault="00CD4E73" w:rsidP="00420682">
      <w:pPr>
        <w:spacing w:after="0" w:line="240" w:lineRule="auto"/>
      </w:pPr>
      <w:r>
        <w:separator/>
      </w:r>
    </w:p>
  </w:endnote>
  <w:endnote w:type="continuationSeparator" w:id="0">
    <w:p w14:paraId="436DA5DB" w14:textId="77777777" w:rsidR="00CD4E73" w:rsidRDefault="00CD4E73" w:rsidP="00420682">
      <w:pPr>
        <w:spacing w:after="0" w:line="240" w:lineRule="auto"/>
      </w:pPr>
      <w:r>
        <w:continuationSeparator/>
      </w:r>
    </w:p>
  </w:endnote>
  <w:endnote w:type="continuationNotice" w:id="1">
    <w:p w14:paraId="68431884" w14:textId="77777777" w:rsidR="00120ACD" w:rsidRDefault="00120A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69A32" w14:textId="530721BB" w:rsidR="00CD4E73" w:rsidRDefault="00CD4E7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0AC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FB619C0" w14:textId="77777777" w:rsidR="00CD4E73" w:rsidRDefault="00CD4E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CACE4" w14:textId="77777777" w:rsidR="00CD4E73" w:rsidRDefault="00CD4E73" w:rsidP="00420682">
      <w:pPr>
        <w:spacing w:after="0" w:line="240" w:lineRule="auto"/>
      </w:pPr>
      <w:r>
        <w:separator/>
      </w:r>
    </w:p>
  </w:footnote>
  <w:footnote w:type="continuationSeparator" w:id="0">
    <w:p w14:paraId="31866616" w14:textId="77777777" w:rsidR="00CD4E73" w:rsidRDefault="00CD4E73" w:rsidP="00420682">
      <w:pPr>
        <w:spacing w:after="0" w:line="240" w:lineRule="auto"/>
      </w:pPr>
      <w:r>
        <w:continuationSeparator/>
      </w:r>
    </w:p>
  </w:footnote>
  <w:footnote w:type="continuationNotice" w:id="1">
    <w:p w14:paraId="7FBDA1CE" w14:textId="77777777" w:rsidR="00120ACD" w:rsidRDefault="00120A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F54D5"/>
    <w:multiLevelType w:val="hybridMultilevel"/>
    <w:tmpl w:val="74AED7D8"/>
    <w:lvl w:ilvl="0" w:tplc="041C0017">
      <w:start w:val="1"/>
      <w:numFmt w:val="lowerLetter"/>
      <w:lvlText w:val="%1)"/>
      <w:lvlJc w:val="left"/>
      <w:pPr>
        <w:ind w:left="1052" w:hanging="360"/>
      </w:pPr>
    </w:lvl>
    <w:lvl w:ilvl="1" w:tplc="041C0019" w:tentative="1">
      <w:start w:val="1"/>
      <w:numFmt w:val="lowerLetter"/>
      <w:lvlText w:val="%2."/>
      <w:lvlJc w:val="left"/>
      <w:pPr>
        <w:ind w:left="1772" w:hanging="360"/>
      </w:pPr>
    </w:lvl>
    <w:lvl w:ilvl="2" w:tplc="041C001B" w:tentative="1">
      <w:start w:val="1"/>
      <w:numFmt w:val="lowerRoman"/>
      <w:lvlText w:val="%3."/>
      <w:lvlJc w:val="right"/>
      <w:pPr>
        <w:ind w:left="2492" w:hanging="180"/>
      </w:pPr>
    </w:lvl>
    <w:lvl w:ilvl="3" w:tplc="041C000F" w:tentative="1">
      <w:start w:val="1"/>
      <w:numFmt w:val="decimal"/>
      <w:lvlText w:val="%4."/>
      <w:lvlJc w:val="left"/>
      <w:pPr>
        <w:ind w:left="3212" w:hanging="360"/>
      </w:pPr>
    </w:lvl>
    <w:lvl w:ilvl="4" w:tplc="041C0019" w:tentative="1">
      <w:start w:val="1"/>
      <w:numFmt w:val="lowerLetter"/>
      <w:lvlText w:val="%5."/>
      <w:lvlJc w:val="left"/>
      <w:pPr>
        <w:ind w:left="3932" w:hanging="360"/>
      </w:pPr>
    </w:lvl>
    <w:lvl w:ilvl="5" w:tplc="041C001B" w:tentative="1">
      <w:start w:val="1"/>
      <w:numFmt w:val="lowerRoman"/>
      <w:lvlText w:val="%6."/>
      <w:lvlJc w:val="right"/>
      <w:pPr>
        <w:ind w:left="4652" w:hanging="180"/>
      </w:pPr>
    </w:lvl>
    <w:lvl w:ilvl="6" w:tplc="041C000F" w:tentative="1">
      <w:start w:val="1"/>
      <w:numFmt w:val="decimal"/>
      <w:lvlText w:val="%7."/>
      <w:lvlJc w:val="left"/>
      <w:pPr>
        <w:ind w:left="5372" w:hanging="360"/>
      </w:pPr>
    </w:lvl>
    <w:lvl w:ilvl="7" w:tplc="041C0019" w:tentative="1">
      <w:start w:val="1"/>
      <w:numFmt w:val="lowerLetter"/>
      <w:lvlText w:val="%8."/>
      <w:lvlJc w:val="left"/>
      <w:pPr>
        <w:ind w:left="6092" w:hanging="360"/>
      </w:pPr>
    </w:lvl>
    <w:lvl w:ilvl="8" w:tplc="041C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54440BCF"/>
    <w:multiLevelType w:val="hybridMultilevel"/>
    <w:tmpl w:val="74A0BB6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980BCB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26265"/>
    <w:rsid w:val="00040D8C"/>
    <w:rsid w:val="00043C57"/>
    <w:rsid w:val="0004400B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00AE"/>
    <w:rsid w:val="000F2A13"/>
    <w:rsid w:val="000F482E"/>
    <w:rsid w:val="00106F6D"/>
    <w:rsid w:val="0011415C"/>
    <w:rsid w:val="00117D28"/>
    <w:rsid w:val="00120ACD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770"/>
    <w:rsid w:val="001B796E"/>
    <w:rsid w:val="001C0806"/>
    <w:rsid w:val="001C1A1A"/>
    <w:rsid w:val="001C2335"/>
    <w:rsid w:val="001C445C"/>
    <w:rsid w:val="001C5CDE"/>
    <w:rsid w:val="001C611A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47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77B3"/>
    <w:rsid w:val="0024206A"/>
    <w:rsid w:val="00243B60"/>
    <w:rsid w:val="00247DF1"/>
    <w:rsid w:val="00250F7F"/>
    <w:rsid w:val="002601E3"/>
    <w:rsid w:val="00260E70"/>
    <w:rsid w:val="00264FD5"/>
    <w:rsid w:val="00266C06"/>
    <w:rsid w:val="00267E57"/>
    <w:rsid w:val="00271FC0"/>
    <w:rsid w:val="0027350F"/>
    <w:rsid w:val="00274D4C"/>
    <w:rsid w:val="002753F6"/>
    <w:rsid w:val="00276401"/>
    <w:rsid w:val="00277C89"/>
    <w:rsid w:val="00280456"/>
    <w:rsid w:val="00282145"/>
    <w:rsid w:val="00284AC7"/>
    <w:rsid w:val="00292D5E"/>
    <w:rsid w:val="00294FCA"/>
    <w:rsid w:val="00296ECC"/>
    <w:rsid w:val="002A47D7"/>
    <w:rsid w:val="002B5575"/>
    <w:rsid w:val="002B5C65"/>
    <w:rsid w:val="002B6619"/>
    <w:rsid w:val="002C499D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154"/>
    <w:rsid w:val="003305E1"/>
    <w:rsid w:val="003333CC"/>
    <w:rsid w:val="00336EED"/>
    <w:rsid w:val="003403C8"/>
    <w:rsid w:val="003547D6"/>
    <w:rsid w:val="00363075"/>
    <w:rsid w:val="00365BF7"/>
    <w:rsid w:val="003706C5"/>
    <w:rsid w:val="00373FB1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306C"/>
    <w:rsid w:val="00420682"/>
    <w:rsid w:val="00433BCD"/>
    <w:rsid w:val="00436717"/>
    <w:rsid w:val="00437B33"/>
    <w:rsid w:val="00445610"/>
    <w:rsid w:val="00446CCC"/>
    <w:rsid w:val="00450DD3"/>
    <w:rsid w:val="0045538C"/>
    <w:rsid w:val="004555DB"/>
    <w:rsid w:val="00455BBA"/>
    <w:rsid w:val="00460BC4"/>
    <w:rsid w:val="004647DB"/>
    <w:rsid w:val="00467F74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A6129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67EE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884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4A3F"/>
    <w:rsid w:val="005D51F4"/>
    <w:rsid w:val="005E6D91"/>
    <w:rsid w:val="005F00A8"/>
    <w:rsid w:val="005F010E"/>
    <w:rsid w:val="005F4623"/>
    <w:rsid w:val="0060176B"/>
    <w:rsid w:val="00602362"/>
    <w:rsid w:val="0060535D"/>
    <w:rsid w:val="006066FA"/>
    <w:rsid w:val="0061031F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66088"/>
    <w:rsid w:val="00670AA2"/>
    <w:rsid w:val="0067406E"/>
    <w:rsid w:val="00677E6C"/>
    <w:rsid w:val="00683C22"/>
    <w:rsid w:val="0068478A"/>
    <w:rsid w:val="00693991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3B42"/>
    <w:rsid w:val="006F4D55"/>
    <w:rsid w:val="006F5C30"/>
    <w:rsid w:val="007031E5"/>
    <w:rsid w:val="00703E15"/>
    <w:rsid w:val="00707B70"/>
    <w:rsid w:val="0071247D"/>
    <w:rsid w:val="007140D9"/>
    <w:rsid w:val="0072170C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0C17"/>
    <w:rsid w:val="007654B3"/>
    <w:rsid w:val="00767E58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0E4E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6D9E"/>
    <w:rsid w:val="0088796B"/>
    <w:rsid w:val="00887E61"/>
    <w:rsid w:val="008914C1"/>
    <w:rsid w:val="008926D8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40E6"/>
    <w:rsid w:val="00925F09"/>
    <w:rsid w:val="00926CAE"/>
    <w:rsid w:val="009438AE"/>
    <w:rsid w:val="00944D6B"/>
    <w:rsid w:val="00953066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1A50"/>
    <w:rsid w:val="00983F4A"/>
    <w:rsid w:val="009874B3"/>
    <w:rsid w:val="00991D86"/>
    <w:rsid w:val="0099289B"/>
    <w:rsid w:val="00993777"/>
    <w:rsid w:val="0099741A"/>
    <w:rsid w:val="009A2331"/>
    <w:rsid w:val="009A4870"/>
    <w:rsid w:val="009A54E6"/>
    <w:rsid w:val="009A6F98"/>
    <w:rsid w:val="009A789B"/>
    <w:rsid w:val="009B1183"/>
    <w:rsid w:val="009B61B1"/>
    <w:rsid w:val="009B630C"/>
    <w:rsid w:val="009C0ABA"/>
    <w:rsid w:val="009C12D6"/>
    <w:rsid w:val="009C52A4"/>
    <w:rsid w:val="009D36E7"/>
    <w:rsid w:val="009E259E"/>
    <w:rsid w:val="00A01F1A"/>
    <w:rsid w:val="00A06D12"/>
    <w:rsid w:val="00A10B5D"/>
    <w:rsid w:val="00A11A0E"/>
    <w:rsid w:val="00A159CC"/>
    <w:rsid w:val="00A15DE9"/>
    <w:rsid w:val="00A1706D"/>
    <w:rsid w:val="00A17720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1C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DB3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39F4"/>
    <w:rsid w:val="00BD4611"/>
    <w:rsid w:val="00BD625D"/>
    <w:rsid w:val="00BE2D48"/>
    <w:rsid w:val="00BE4BA2"/>
    <w:rsid w:val="00BE5023"/>
    <w:rsid w:val="00BF2791"/>
    <w:rsid w:val="00C1023D"/>
    <w:rsid w:val="00C10624"/>
    <w:rsid w:val="00C10D0B"/>
    <w:rsid w:val="00C13E45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B60C0"/>
    <w:rsid w:val="00CB69B8"/>
    <w:rsid w:val="00CC15A1"/>
    <w:rsid w:val="00CC7027"/>
    <w:rsid w:val="00CC7CA2"/>
    <w:rsid w:val="00CD4E73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3C88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4D6E"/>
    <w:rsid w:val="00D96C4B"/>
    <w:rsid w:val="00DA2B84"/>
    <w:rsid w:val="00DA56D4"/>
    <w:rsid w:val="00DB5847"/>
    <w:rsid w:val="00DC03DB"/>
    <w:rsid w:val="00DC0BDC"/>
    <w:rsid w:val="00DC1137"/>
    <w:rsid w:val="00DC34E0"/>
    <w:rsid w:val="00DD2084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67E4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7A2"/>
    <w:rsid w:val="00E64795"/>
    <w:rsid w:val="00E72BC5"/>
    <w:rsid w:val="00E76B9D"/>
    <w:rsid w:val="00E7782A"/>
    <w:rsid w:val="00E82905"/>
    <w:rsid w:val="00E87FD9"/>
    <w:rsid w:val="00E914BA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3EB7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1EFF"/>
    <w:rsid w:val="00F8279D"/>
    <w:rsid w:val="00F84F9C"/>
    <w:rsid w:val="00F86F45"/>
    <w:rsid w:val="00F90923"/>
    <w:rsid w:val="00F92EFE"/>
    <w:rsid w:val="00F97EFC"/>
    <w:rsid w:val="00FA02A3"/>
    <w:rsid w:val="00FA0571"/>
    <w:rsid w:val="00FA065B"/>
    <w:rsid w:val="00FA30B9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6603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B04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A11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A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A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A0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4A3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A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530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2026-01-15T10:58:03Z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2026-01-15T00:00:00Z</Date_x0020_protokolli>
    <Titulli xmlns="0e656187-b300-4fb0-8bf4-3a50f872073c">Për marrëveshjen e paqes fiskale</Titulli>
    <Modifikuesi xmlns="0e656187-b300-4fb0-8bf4-3a50f872073c">Fjora.Cahani</Modifikuesi>
    <Nr_x002e__x0020_prot_x0020_QBZ xmlns="0e656187-b300-4fb0-8bf4-3a50f872073c">69/6</Nr_x002e__x0020_prot_x0020_QBZ>
    <Data_x0020_e_x0020_Modifikimit xmlns="0e656187-b300-4fb0-8bf4-3a50f872073c">2026-01-15T13:04:48Z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4A69C7FD74AEF9D05F21528E67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4A69C7FD74AEF9D05F21528E67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B62F5-BDE5-4D72-9823-447F3BAC9FC6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C45CB01-728E-4A1E-9CBA-0E0121B071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FC86B-F6AF-45A3-9DB5-D8EF40218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4707E5-41AB-4965-B7D7-FFCD299F1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818F8B-3FCB-4512-837D-AF9F9ED57D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056361-7D42-416F-97EB-8C11EEC2FC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marrëveshjen e paqes fiskale</vt:lpstr>
    </vt:vector>
  </TitlesOfParts>
  <Company/>
  <LinksUpToDate>false</LinksUpToDate>
  <CharactersWithSpaces>14030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marrëveshjen e paqes fiskale</dc:title>
  <dc:creator>gazmend.hanku</dc:creator>
  <cp:lastModifiedBy>Entela Suli</cp:lastModifiedBy>
  <cp:revision>36</cp:revision>
  <cp:lastPrinted>2026-01-07T11:23:00Z</cp:lastPrinted>
  <dcterms:created xsi:type="dcterms:W3CDTF">2025-12-12T15:13:00Z</dcterms:created>
  <dcterms:modified xsi:type="dcterms:W3CDTF">2026-01-15T12:20:00Z</dcterms:modified>
</cp:coreProperties>
</file>