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A0F41E" w14:textId="77777777" w:rsidR="00420682" w:rsidRPr="00E757B2" w:rsidRDefault="00420682"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LIGJ</w:t>
      </w:r>
    </w:p>
    <w:p w14:paraId="7DC1CD01" w14:textId="77777777" w:rsidR="004C67EE" w:rsidRPr="00E757B2" w:rsidRDefault="002009A1"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Nr.</w:t>
      </w:r>
      <w:r w:rsidR="00F62A46" w:rsidRPr="00E757B2">
        <w:rPr>
          <w:rFonts w:ascii="Garamond" w:hAnsi="Garamond" w:cs="Times New Roman"/>
          <w:b/>
          <w:color w:val="000000" w:themeColor="text1"/>
          <w:sz w:val="24"/>
          <w:szCs w:val="24"/>
        </w:rPr>
        <w:t xml:space="preserve"> </w:t>
      </w:r>
      <w:r w:rsidR="0030305D" w:rsidRPr="00E757B2">
        <w:rPr>
          <w:rFonts w:ascii="Garamond" w:hAnsi="Garamond" w:cs="Times New Roman"/>
          <w:b/>
          <w:color w:val="000000" w:themeColor="text1"/>
          <w:sz w:val="24"/>
          <w:szCs w:val="24"/>
        </w:rPr>
        <w:t>88</w:t>
      </w:r>
      <w:r w:rsidR="007748A2" w:rsidRPr="00E757B2">
        <w:rPr>
          <w:rFonts w:ascii="Garamond" w:hAnsi="Garamond" w:cs="Times New Roman"/>
          <w:b/>
          <w:color w:val="000000" w:themeColor="text1"/>
          <w:sz w:val="24"/>
          <w:szCs w:val="24"/>
        </w:rPr>
        <w:t>/202</w:t>
      </w:r>
      <w:r w:rsidR="00DE793A" w:rsidRPr="00E757B2">
        <w:rPr>
          <w:rFonts w:ascii="Garamond" w:hAnsi="Garamond" w:cs="Times New Roman"/>
          <w:b/>
          <w:color w:val="000000" w:themeColor="text1"/>
          <w:sz w:val="24"/>
          <w:szCs w:val="24"/>
        </w:rPr>
        <w:t>5</w:t>
      </w:r>
    </w:p>
    <w:p w14:paraId="0EE2A2B7"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78909FE" w14:textId="77777777" w:rsidR="000E01EE" w:rsidRPr="00E757B2" w:rsidRDefault="00AA6CE4"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b/>
          <w:color w:val="000000" w:themeColor="text1"/>
          <w:sz w:val="24"/>
          <w:szCs w:val="24"/>
        </w:rPr>
        <w:t xml:space="preserve">PËR </w:t>
      </w:r>
      <w:r w:rsidR="000E01EE" w:rsidRPr="00E757B2">
        <w:rPr>
          <w:rFonts w:ascii="Garamond" w:hAnsi="Garamond" w:cs="Times New Roman"/>
          <w:b/>
          <w:color w:val="000000" w:themeColor="text1"/>
          <w:sz w:val="24"/>
          <w:szCs w:val="24"/>
        </w:rPr>
        <w:t>KONCESIONET DHE PARTNERITETIN PUBLIK PRIVAT</w:t>
      </w:r>
      <w:r w:rsidRPr="00E757B2">
        <w:rPr>
          <w:rStyle w:val="FootnoteReference"/>
          <w:rFonts w:ascii="Garamond" w:hAnsi="Garamond"/>
          <w:color w:val="000000" w:themeColor="text1"/>
          <w:sz w:val="24"/>
          <w:szCs w:val="24"/>
        </w:rPr>
        <w:footnoteReference w:id="2"/>
      </w:r>
    </w:p>
    <w:p w14:paraId="61DB90C7"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F4DFBD5" w14:textId="77777777" w:rsidR="00AA6CE4"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Në mbështetje të neneve 78 e 83, pika 1, të Kushtetutës, me propozimin e Këshillit të Ministrave, </w:t>
      </w:r>
    </w:p>
    <w:p w14:paraId="2DC2F68B" w14:textId="77777777" w:rsidR="00AA6CE4" w:rsidRPr="00E757B2" w:rsidRDefault="00AA6CE4" w:rsidP="002D3692">
      <w:pPr>
        <w:spacing w:after="0" w:line="240" w:lineRule="auto"/>
        <w:ind w:firstLine="284"/>
        <w:jc w:val="both"/>
        <w:rPr>
          <w:rFonts w:ascii="Garamond" w:hAnsi="Garamond" w:cs="Times New Roman"/>
          <w:color w:val="000000" w:themeColor="text1"/>
          <w:sz w:val="24"/>
          <w:szCs w:val="24"/>
        </w:rPr>
      </w:pPr>
    </w:p>
    <w:p w14:paraId="2B78F602" w14:textId="77777777" w:rsidR="00AA6CE4" w:rsidRPr="00E757B2" w:rsidRDefault="00AA6CE4"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KUVENDI</w:t>
      </w:r>
    </w:p>
    <w:p w14:paraId="5A827774" w14:textId="77777777" w:rsidR="000E01EE" w:rsidRPr="00E757B2" w:rsidRDefault="00AA6CE4"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 REPUBLIKËS SË SHQIPËRISË</w:t>
      </w:r>
    </w:p>
    <w:p w14:paraId="5A2D76FA"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1D3A4CDC"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VENDOSI:</w:t>
      </w:r>
    </w:p>
    <w:p w14:paraId="60A346F2"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72E5A680"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KREU I</w:t>
      </w:r>
    </w:p>
    <w:p w14:paraId="6F316E9D"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DISPOZITA TË PËRGJITHSHME</w:t>
      </w:r>
    </w:p>
    <w:p w14:paraId="566D6F73"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3F5976B4"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w:t>
      </w:r>
    </w:p>
    <w:p w14:paraId="662BAEC1"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Qëllimi i ligjit</w:t>
      </w:r>
    </w:p>
    <w:p w14:paraId="34DC1A6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AEC9CC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Ky ligj ka për qëllim </w:t>
      </w:r>
      <w:r w:rsidR="0078533B" w:rsidRPr="00E757B2">
        <w:rPr>
          <w:rFonts w:ascii="Garamond" w:hAnsi="Garamond" w:cs="Times New Roman"/>
          <w:color w:val="000000" w:themeColor="text1"/>
          <w:sz w:val="24"/>
          <w:szCs w:val="24"/>
        </w:rPr>
        <w:t>krijimin e një kuad</w:t>
      </w:r>
      <w:r w:rsidRPr="00E757B2">
        <w:rPr>
          <w:rFonts w:ascii="Garamond" w:hAnsi="Garamond" w:cs="Times New Roman"/>
          <w:color w:val="000000" w:themeColor="text1"/>
          <w:sz w:val="24"/>
          <w:szCs w:val="24"/>
        </w:rPr>
        <w:t>r</w:t>
      </w:r>
      <w:r w:rsidR="0078533B" w:rsidRPr="00E757B2">
        <w:rPr>
          <w:rFonts w:ascii="Garamond" w:hAnsi="Garamond" w:cs="Times New Roman"/>
          <w:color w:val="000000" w:themeColor="text1"/>
          <w:sz w:val="24"/>
          <w:szCs w:val="24"/>
        </w:rPr>
        <w:t>i</w:t>
      </w:r>
      <w:r w:rsidRPr="00E757B2">
        <w:rPr>
          <w:rFonts w:ascii="Garamond" w:hAnsi="Garamond" w:cs="Times New Roman"/>
          <w:color w:val="000000" w:themeColor="text1"/>
          <w:sz w:val="24"/>
          <w:szCs w:val="24"/>
        </w:rPr>
        <w:t xml:space="preserve"> të favorshëm e të qëndrueshëm për nxitjen, tërheqjen dhe krijimin e lehtësive për investimet, që realizohen si koncesione/partneritete publike private.</w:t>
      </w:r>
    </w:p>
    <w:p w14:paraId="6248730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072F9C4"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w:t>
      </w:r>
    </w:p>
    <w:p w14:paraId="25E49C96"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Objekti i ligjit</w:t>
      </w:r>
    </w:p>
    <w:p w14:paraId="4E57EBC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DFDF1F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Ky ligj rregullon kompetencat e autoriteteve dhe të enteve kontraktuese për të hyrë në marrëveshje për investime të bazuara në koncesione/partneritete publike private, procedurat për dhënien e marrëveshjeve të tilla, si: nënshkrimi, ndërprerja dhe ndryshimet e marrëveshjeve të koncesionit/partneritetit publik privat, ndarja e risqeve fiskale, çështjet që kanë të bëjnë me rregullimet financiare dhe</w:t>
      </w:r>
      <w:r w:rsidR="007A7E29"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 xml:space="preserve">mbështetjen, në lidhje me koncesionet/partneritetet publike private, politikën e këtyre koncesioneve dhe autoritetin për zbatimin </w:t>
      </w:r>
      <w:r w:rsidR="006358E2" w:rsidRPr="00E757B2">
        <w:rPr>
          <w:rFonts w:ascii="Garamond" w:hAnsi="Garamond" w:cs="Times New Roman"/>
          <w:color w:val="000000" w:themeColor="text1"/>
          <w:sz w:val="24"/>
          <w:szCs w:val="24"/>
        </w:rPr>
        <w:t>e tyre, si dhe çështje të tjera</w:t>
      </w:r>
      <w:r w:rsidRPr="00E757B2">
        <w:rPr>
          <w:rFonts w:ascii="Garamond" w:hAnsi="Garamond" w:cs="Times New Roman"/>
          <w:color w:val="000000" w:themeColor="text1"/>
          <w:sz w:val="24"/>
          <w:szCs w:val="24"/>
        </w:rPr>
        <w:t xml:space="preserve"> që lidhen me koncesionet/partneritetet publike private.</w:t>
      </w:r>
    </w:p>
    <w:p w14:paraId="32393A9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888CDB3"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w:t>
      </w:r>
    </w:p>
    <w:p w14:paraId="134843FE"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Përkufizime</w:t>
      </w:r>
    </w:p>
    <w:p w14:paraId="5665135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EA3763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Në kuptim të këtij ligji, me termat e mëposhtëm nënkuptojmë:</w:t>
      </w:r>
    </w:p>
    <w:p w14:paraId="5FFB5A72"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“Koncesion”</w:t>
      </w:r>
      <w:r w:rsidR="00481A08" w:rsidRPr="00E757B2">
        <w:rPr>
          <w:rFonts w:ascii="Garamond" w:hAnsi="Garamond" w:cs="Times New Roman"/>
          <w:color w:val="000000" w:themeColor="text1"/>
          <w:sz w:val="24"/>
          <w:szCs w:val="24"/>
        </w:rPr>
        <w:t xml:space="preserve"> është</w:t>
      </w:r>
      <w:r w:rsidR="000E01EE" w:rsidRPr="00E757B2">
        <w:rPr>
          <w:rFonts w:ascii="Garamond" w:hAnsi="Garamond" w:cs="Times New Roman"/>
          <w:color w:val="000000" w:themeColor="text1"/>
          <w:sz w:val="24"/>
          <w:szCs w:val="24"/>
        </w:rPr>
        <w:t xml:space="preserve"> koncesioni i punëve publike ose koncesioni i shërbimeve publike.</w:t>
      </w:r>
    </w:p>
    <w:p w14:paraId="48C9BD6D"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481A08" w:rsidRPr="00E757B2">
        <w:rPr>
          <w:rFonts w:ascii="Garamond" w:hAnsi="Garamond" w:cs="Times New Roman"/>
          <w:color w:val="000000" w:themeColor="text1"/>
          <w:sz w:val="24"/>
          <w:szCs w:val="24"/>
        </w:rPr>
        <w:t>“Koncesioni i punëve publike” është</w:t>
      </w:r>
      <w:r w:rsidR="000E01EE" w:rsidRPr="00E757B2">
        <w:rPr>
          <w:rFonts w:ascii="Garamond" w:hAnsi="Garamond" w:cs="Times New Roman"/>
          <w:color w:val="000000" w:themeColor="text1"/>
          <w:sz w:val="24"/>
          <w:szCs w:val="24"/>
        </w:rPr>
        <w:t xml:space="preserve"> një marrëveshje me interes financiar</w:t>
      </w:r>
      <w:r w:rsidR="00481A08"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e lidhur me shkrim ndërmjet autoritetit ose entit kontraktues dhe një ose më shumë operatorëve ekonomikë, objekti i së cilës është kryerja e punimeve, ku shpërblimi për punimet që duhet të kryhen përbëhet nga e drejta për të shfrytëzuar veprat, </w:t>
      </w:r>
      <w:r w:rsidR="00481A08" w:rsidRPr="00E757B2">
        <w:rPr>
          <w:rFonts w:ascii="Garamond" w:hAnsi="Garamond" w:cs="Times New Roman"/>
          <w:color w:val="000000" w:themeColor="text1"/>
          <w:sz w:val="24"/>
          <w:szCs w:val="24"/>
        </w:rPr>
        <w:t>të cilat</w:t>
      </w:r>
      <w:r w:rsidR="000E01EE" w:rsidRPr="00E757B2">
        <w:rPr>
          <w:rFonts w:ascii="Garamond" w:hAnsi="Garamond" w:cs="Times New Roman"/>
          <w:color w:val="000000" w:themeColor="text1"/>
          <w:sz w:val="24"/>
          <w:szCs w:val="24"/>
        </w:rPr>
        <w:t xml:space="preserve"> janë objekt i kontratës, ose nga kjo e drejtë së bashku me pagesën.</w:t>
      </w:r>
    </w:p>
    <w:p w14:paraId="7E74DBA8"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“Koncesioni i shërbimeve publike”</w:t>
      </w:r>
      <w:r w:rsidR="00481A08" w:rsidRPr="00E757B2">
        <w:rPr>
          <w:rFonts w:ascii="Garamond" w:hAnsi="Garamond" w:cs="Times New Roman"/>
          <w:color w:val="000000" w:themeColor="text1"/>
          <w:sz w:val="24"/>
          <w:szCs w:val="24"/>
        </w:rPr>
        <w:t xml:space="preserve"> është</w:t>
      </w:r>
      <w:r w:rsidR="000E01EE" w:rsidRPr="00E757B2">
        <w:rPr>
          <w:rFonts w:ascii="Garamond" w:hAnsi="Garamond" w:cs="Times New Roman"/>
          <w:color w:val="000000" w:themeColor="text1"/>
          <w:sz w:val="24"/>
          <w:szCs w:val="24"/>
        </w:rPr>
        <w:t xml:space="preserve"> një marrëveshje me interes financiar, e lidhur me shkrim ndërmjet autoritetit ose entit kontraktues dhe një ose më shumë operatorëve ekonomikë, objekti i së cilës është sigurimi dhe menaxhimi i shërbimeve, ku shpërblimi për shërbimet që do të sigurohen përbëhet nga e drejta për të shfrytëzuar shërbimet, që janë objekt i kontratës, ose nga kjo e drejtë së bashku me pagesën.</w:t>
      </w:r>
    </w:p>
    <w:p w14:paraId="641BACCC"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lastRenderedPageBreak/>
        <w:t xml:space="preserve">4. </w:t>
      </w:r>
      <w:r w:rsidR="000E01EE" w:rsidRPr="00E757B2">
        <w:rPr>
          <w:rFonts w:ascii="Garamond" w:hAnsi="Garamond" w:cs="Times New Roman"/>
          <w:color w:val="000000" w:themeColor="text1"/>
          <w:sz w:val="24"/>
          <w:szCs w:val="24"/>
        </w:rPr>
        <w:t>“E drejta për të shfrytëzuar veprat dhe/ose shërbimet” ka kuptimet e mëposhtme:</w:t>
      </w:r>
    </w:p>
    <w:p w14:paraId="14C0F630"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e</w:t>
      </w:r>
      <w:r w:rsidR="000E01EE" w:rsidRPr="00E757B2">
        <w:rPr>
          <w:rFonts w:ascii="Garamond" w:hAnsi="Garamond" w:cs="Times New Roman"/>
          <w:color w:val="000000" w:themeColor="text1"/>
          <w:sz w:val="24"/>
          <w:szCs w:val="24"/>
        </w:rPr>
        <w:t xml:space="preserve"> drejta për të nxjerrë të ardhura, në përputhje me kontratën e koncesionit; </w:t>
      </w:r>
    </w:p>
    <w:p w14:paraId="49B14E61"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t</w:t>
      </w:r>
      <w:r w:rsidR="000E01EE" w:rsidRPr="00E757B2">
        <w:rPr>
          <w:rFonts w:ascii="Garamond" w:hAnsi="Garamond" w:cs="Times New Roman"/>
          <w:color w:val="000000" w:themeColor="text1"/>
          <w:sz w:val="24"/>
          <w:szCs w:val="24"/>
        </w:rPr>
        <w:t>ransferimi te koncesionari i një risku operacional në shfrytëzimin e atyre punëve ose të shërbimeve, që përfshijnë riskun e kërkesës ose të ofertës ose të dyja. Koncesionari konsiderohet se merr përsipër riskun operacional, kur, në kushte normale operimi, nuk garantohet rikuperimi i investimeve të kryera ose i kostove të krijuara gjatë operimit të punimeve ose shërbimeve, që janë objekt i koncesionit. Pjesa e riskut që i transferohet koncesionarit përfshin ekspozimin real ndaj ndryshimeve të papritura të tregut, në mënyrë që çdo humbje e mundshme e vlerësuar</w:t>
      </w:r>
      <w:r w:rsidR="00DA3AAF"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e shkaktuar nga koncesionari</w:t>
      </w:r>
      <w:r w:rsidR="00DA3AAF"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nuk është thjesht nominale ose e papërfillshme.</w:t>
      </w:r>
    </w:p>
    <w:p w14:paraId="3218A8E5"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CE50A5" w:rsidRPr="00E757B2">
        <w:rPr>
          <w:rFonts w:ascii="Garamond" w:hAnsi="Garamond" w:cs="Times New Roman"/>
          <w:color w:val="000000" w:themeColor="text1"/>
          <w:sz w:val="24"/>
          <w:szCs w:val="24"/>
        </w:rPr>
        <w:t>“Risku operacional” është</w:t>
      </w:r>
      <w:r w:rsidR="000E01EE" w:rsidRPr="00E757B2">
        <w:rPr>
          <w:rFonts w:ascii="Garamond" w:hAnsi="Garamond" w:cs="Times New Roman"/>
          <w:color w:val="000000" w:themeColor="text1"/>
          <w:sz w:val="24"/>
          <w:szCs w:val="24"/>
        </w:rPr>
        <w:t xml:space="preserve"> risku që lidhet me përdorimin e veprave ose ofrimin e shërbimeve ose risku që lidhet me disponueshmërinë e objektit të infrastrukturës që ndërtohet ose përdoret për të siguruar shërbime për përfituesit fundorë, në përputhje me kontratën e koncesionit/partneritetit publik privat.</w:t>
      </w:r>
    </w:p>
    <w:p w14:paraId="771421DE"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CE50A5" w:rsidRPr="00E757B2">
        <w:rPr>
          <w:rFonts w:ascii="Garamond" w:hAnsi="Garamond" w:cs="Times New Roman"/>
          <w:color w:val="000000" w:themeColor="text1"/>
          <w:sz w:val="24"/>
          <w:szCs w:val="24"/>
        </w:rPr>
        <w:t>“Komunikimi me shkrim” është</w:t>
      </w:r>
      <w:r w:rsidR="000E01EE" w:rsidRPr="00E757B2">
        <w:rPr>
          <w:rFonts w:ascii="Garamond" w:hAnsi="Garamond" w:cs="Times New Roman"/>
          <w:color w:val="000000" w:themeColor="text1"/>
          <w:sz w:val="24"/>
          <w:szCs w:val="24"/>
        </w:rPr>
        <w:t xml:space="preserve"> çdo shprehje që përbëhet nga fjalë ose shifra, të cilat mund të lexohen, të kopjohen e të komunikohen, përfshirë </w:t>
      </w:r>
      <w:r w:rsidR="00CE50A5" w:rsidRPr="00E757B2">
        <w:rPr>
          <w:rFonts w:ascii="Garamond" w:hAnsi="Garamond" w:cs="Times New Roman"/>
          <w:color w:val="000000" w:themeColor="text1"/>
          <w:sz w:val="24"/>
          <w:szCs w:val="24"/>
        </w:rPr>
        <w:t>e</w:t>
      </w:r>
      <w:r w:rsidR="000E01EE" w:rsidRPr="00E757B2">
        <w:rPr>
          <w:rFonts w:ascii="Garamond" w:hAnsi="Garamond" w:cs="Times New Roman"/>
          <w:color w:val="000000" w:themeColor="text1"/>
          <w:sz w:val="24"/>
          <w:szCs w:val="24"/>
        </w:rPr>
        <w:t>dhe informacionin që transmetohet e ruhet me mjete elektronike.</w:t>
      </w:r>
    </w:p>
    <w:p w14:paraId="5A644931"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7. </w:t>
      </w:r>
      <w:r w:rsidR="00CE50A5" w:rsidRPr="00E757B2">
        <w:rPr>
          <w:rFonts w:ascii="Garamond" w:hAnsi="Garamond" w:cs="Times New Roman"/>
          <w:color w:val="000000" w:themeColor="text1"/>
          <w:sz w:val="24"/>
          <w:szCs w:val="24"/>
        </w:rPr>
        <w:t>“Realizimi i punëve” është</w:t>
      </w:r>
      <w:r w:rsidR="000E01EE" w:rsidRPr="00E757B2">
        <w:rPr>
          <w:rFonts w:ascii="Garamond" w:hAnsi="Garamond" w:cs="Times New Roman"/>
          <w:color w:val="000000" w:themeColor="text1"/>
          <w:sz w:val="24"/>
          <w:szCs w:val="24"/>
        </w:rPr>
        <w:t xml:space="preserve"> realizimi ose projektimi dhe realizimi i punëve, që lidhen me objektin e koncesionit/partneritetit publik privat ose me realizimin, me çfarëdo mjeti, të një pune, që përputhet me kërkesat e përcaktuara nga autoriteti ose enti kontraktues, që ushtron një ndikim vendimtar në llojin ose projektimin e punës.</w:t>
      </w:r>
    </w:p>
    <w:p w14:paraId="5458CD44"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8. </w:t>
      </w:r>
      <w:r w:rsidR="00CE50A5" w:rsidRPr="00E757B2">
        <w:rPr>
          <w:rFonts w:ascii="Garamond" w:hAnsi="Garamond" w:cs="Times New Roman"/>
          <w:color w:val="000000" w:themeColor="text1"/>
          <w:sz w:val="24"/>
          <w:szCs w:val="24"/>
        </w:rPr>
        <w:t>“Punë” është</w:t>
      </w:r>
      <w:r w:rsidR="000E01EE" w:rsidRPr="00E757B2">
        <w:rPr>
          <w:rFonts w:ascii="Garamond" w:hAnsi="Garamond" w:cs="Times New Roman"/>
          <w:color w:val="000000" w:themeColor="text1"/>
          <w:sz w:val="24"/>
          <w:szCs w:val="24"/>
        </w:rPr>
        <w:t xml:space="preserve"> objekti, i cili është rezultati i ndërtimit ose i veprave civile inxhinierike, të marra si një tërësi, i cili është i mjaftueshëm në vetvete për të përmbushur një funksion ekonomik ose teknik.</w:t>
      </w:r>
    </w:p>
    <w:p w14:paraId="6DC79C31" w14:textId="77777777" w:rsidR="000E01EE" w:rsidRPr="00E757B2" w:rsidRDefault="00CD114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9. </w:t>
      </w:r>
      <w:r w:rsidR="00CE50A5" w:rsidRPr="00E757B2">
        <w:rPr>
          <w:rFonts w:ascii="Garamond" w:hAnsi="Garamond" w:cs="Times New Roman"/>
          <w:color w:val="000000" w:themeColor="text1"/>
          <w:sz w:val="24"/>
          <w:szCs w:val="24"/>
        </w:rPr>
        <w:t>“Sigurimi i shërbimeve” është</w:t>
      </w:r>
      <w:r w:rsidR="000E01EE" w:rsidRPr="00E757B2">
        <w:rPr>
          <w:rFonts w:ascii="Garamond" w:hAnsi="Garamond" w:cs="Times New Roman"/>
          <w:color w:val="000000" w:themeColor="text1"/>
          <w:sz w:val="24"/>
          <w:szCs w:val="24"/>
        </w:rPr>
        <w:t xml:space="preserve"> sigurimi apo realizimi i shërbimit publik, që korrespondon me objektin e koncesionit/partneritetit publik privat dhe me kërkesat e specifikuara nga autoriteti ose enti kontraktues.</w:t>
      </w:r>
    </w:p>
    <w:p w14:paraId="1DBFF29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10.</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“Objekti i koncesionit/partneritetit publik privat</w:t>
      </w:r>
      <w:r w:rsidR="0030305D" w:rsidRPr="00E757B2">
        <w:rPr>
          <w:rFonts w:ascii="Garamond" w:hAnsi="Garamond" w:cs="Times New Roman"/>
          <w:color w:val="000000" w:themeColor="text1"/>
          <w:sz w:val="24"/>
          <w:szCs w:val="24"/>
        </w:rPr>
        <w:t xml:space="preserve">” janë </w:t>
      </w:r>
      <w:r w:rsidRPr="00E757B2">
        <w:rPr>
          <w:rFonts w:ascii="Garamond" w:hAnsi="Garamond" w:cs="Times New Roman"/>
          <w:color w:val="000000" w:themeColor="text1"/>
          <w:sz w:val="24"/>
          <w:szCs w:val="24"/>
        </w:rPr>
        <w:t>veprat publike dhe/ose shërbimet publike të siguruara në bazë të një marrëveshjeje koncesioni/partneriteti publik privat në çdonjërin nga sektorët e përcaktuar në këtë ligj.</w:t>
      </w:r>
    </w:p>
    <w:p w14:paraId="67CB8A1D" w14:textId="77777777" w:rsidR="000E01EE" w:rsidRPr="00E757B2" w:rsidRDefault="00CE50A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11.</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“Koncesionari” është</w:t>
      </w:r>
      <w:r w:rsidR="000E01EE" w:rsidRPr="00E757B2">
        <w:rPr>
          <w:rFonts w:ascii="Garamond" w:hAnsi="Garamond" w:cs="Times New Roman"/>
          <w:color w:val="000000" w:themeColor="text1"/>
          <w:sz w:val="24"/>
          <w:szCs w:val="24"/>
        </w:rPr>
        <w:t xml:space="preserve"> operatori ekonomik ose subjekti për qëllime të veçanta, me të cilin autoriteti ose enti kontraktues ka nënshkruar një kontratë koncesioni.</w:t>
      </w:r>
    </w:p>
    <w:p w14:paraId="067E57E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12.</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“Subjekt</w:t>
      </w:r>
      <w:r w:rsidR="00121A53" w:rsidRPr="00E757B2">
        <w:rPr>
          <w:rFonts w:ascii="Garamond" w:hAnsi="Garamond" w:cs="Times New Roman"/>
          <w:color w:val="000000" w:themeColor="text1"/>
          <w:sz w:val="24"/>
          <w:szCs w:val="24"/>
        </w:rPr>
        <w:t>i për qëllime të veçanta (SPV)” është</w:t>
      </w:r>
      <w:r w:rsidRPr="00E757B2">
        <w:rPr>
          <w:rFonts w:ascii="Garamond" w:hAnsi="Garamond" w:cs="Times New Roman"/>
          <w:color w:val="000000" w:themeColor="text1"/>
          <w:sz w:val="24"/>
          <w:szCs w:val="24"/>
        </w:rPr>
        <w:t xml:space="preserve"> një person juridik privat, me seli në Republikën e Shqipërisë, i krijuar me kërkesë të autoritetit ose të entit kontraktues nga operatori ekonomik i zgjedhur si ofertuesi më i suksesshëm, me të cilin lidhet kontrata e koncesionit/partneritetit publik privat.</w:t>
      </w:r>
    </w:p>
    <w:p w14:paraId="37FED278"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13.</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w:t>
      </w:r>
      <w:r w:rsidR="00121A53" w:rsidRPr="00E757B2">
        <w:rPr>
          <w:rFonts w:ascii="Garamond" w:hAnsi="Garamond" w:cs="Times New Roman"/>
          <w:color w:val="000000" w:themeColor="text1"/>
          <w:sz w:val="24"/>
          <w:szCs w:val="24"/>
        </w:rPr>
        <w:t>Projekte” janë një sërë aktivitete</w:t>
      </w:r>
      <w:r w:rsidR="00DA3AAF" w:rsidRPr="00E757B2">
        <w:rPr>
          <w:rFonts w:ascii="Garamond" w:hAnsi="Garamond" w:cs="Times New Roman"/>
          <w:color w:val="000000" w:themeColor="text1"/>
          <w:sz w:val="24"/>
          <w:szCs w:val="24"/>
        </w:rPr>
        <w:t>sh</w:t>
      </w:r>
      <w:r w:rsidRPr="00E757B2">
        <w:rPr>
          <w:rFonts w:ascii="Garamond" w:hAnsi="Garamond" w:cs="Times New Roman"/>
          <w:color w:val="000000" w:themeColor="text1"/>
          <w:sz w:val="24"/>
          <w:szCs w:val="24"/>
        </w:rPr>
        <w:t xml:space="preserve"> të ndërlidhura, që ndërmerren në një mënyrë të caktuar, me qëllimin e arritjes së objektivave të qartë brenda një periudhe kohore të specifikuar dhe brenda një kuadri të caktuar financiar.</w:t>
      </w:r>
    </w:p>
    <w:p w14:paraId="45DD1D1C"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14.</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“Objekti”</w:t>
      </w:r>
      <w:r w:rsidR="00121A53" w:rsidRPr="00E757B2">
        <w:rPr>
          <w:rFonts w:ascii="Garamond" w:hAnsi="Garamond" w:cs="Times New Roman"/>
          <w:color w:val="000000" w:themeColor="text1"/>
          <w:sz w:val="24"/>
          <w:szCs w:val="24"/>
        </w:rPr>
        <w:t xml:space="preserve"> është</w:t>
      </w:r>
      <w:r w:rsidRPr="00E757B2">
        <w:rPr>
          <w:rFonts w:ascii="Garamond" w:hAnsi="Garamond" w:cs="Times New Roman"/>
          <w:color w:val="000000" w:themeColor="text1"/>
          <w:sz w:val="24"/>
          <w:szCs w:val="24"/>
        </w:rPr>
        <w:t xml:space="preserve"> rezultati i ndërtimit ose i një infrastrukture ekzistuese publike në posedim, që përdoret ose zotërohet nga koncesionari/partneri privat</w:t>
      </w:r>
      <w:r w:rsidR="00121A53" w:rsidRPr="00E757B2">
        <w:rPr>
          <w:rFonts w:ascii="Garamond" w:hAnsi="Garamond" w:cs="Times New Roman"/>
          <w:color w:val="000000" w:themeColor="text1"/>
          <w:sz w:val="24"/>
          <w:szCs w:val="24"/>
        </w:rPr>
        <w:t>,</w:t>
      </w:r>
      <w:r w:rsidRPr="00E757B2">
        <w:rPr>
          <w:rFonts w:ascii="Garamond" w:hAnsi="Garamond" w:cs="Times New Roman"/>
          <w:color w:val="000000" w:themeColor="text1"/>
          <w:sz w:val="24"/>
          <w:szCs w:val="24"/>
        </w:rPr>
        <w:t xml:space="preserve"> ose një infrastrukturë publike, që do të realizohet në zbatim të kontratës së koncesionit/partneritetit publik privat dhe që mund të sigurohet për të mirën e publikut o</w:t>
      </w:r>
      <w:r w:rsidR="005F7DA9" w:rsidRPr="00E757B2">
        <w:rPr>
          <w:rFonts w:ascii="Garamond" w:hAnsi="Garamond" w:cs="Times New Roman"/>
          <w:color w:val="000000" w:themeColor="text1"/>
          <w:sz w:val="24"/>
          <w:szCs w:val="24"/>
        </w:rPr>
        <w:t>se të ndonjë pjese të publikut.</w:t>
      </w:r>
    </w:p>
    <w:p w14:paraId="4EB29B01" w14:textId="55E7BF65"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15.</w:t>
      </w:r>
      <w:r w:rsidR="00F64194">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“Mbështetja financiare”</w:t>
      </w:r>
      <w:r w:rsidR="00121A53" w:rsidRPr="00E757B2">
        <w:rPr>
          <w:rFonts w:ascii="Garamond" w:hAnsi="Garamond" w:cs="Times New Roman"/>
          <w:color w:val="000000" w:themeColor="text1"/>
          <w:sz w:val="24"/>
          <w:szCs w:val="24"/>
        </w:rPr>
        <w:t xml:space="preserve"> është</w:t>
      </w:r>
      <w:r w:rsidRPr="00E757B2">
        <w:rPr>
          <w:rFonts w:ascii="Garamond" w:hAnsi="Garamond" w:cs="Times New Roman"/>
          <w:color w:val="000000" w:themeColor="text1"/>
          <w:sz w:val="24"/>
          <w:szCs w:val="24"/>
        </w:rPr>
        <w:t xml:space="preserve"> lloji i mbështetjes monetare ose jomonetare dhe/ose financimi i dhënë nga sektori publik, duke përfshirë, por pa u kufizuar, subvencione, garanci financiare apo të tjera, kontribute kapitale dhe transferim të të drejtave të pronësisë.</w:t>
      </w:r>
    </w:p>
    <w:p w14:paraId="34F15B6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16.</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w:t>
      </w:r>
      <w:r w:rsidR="00AF314C" w:rsidRPr="00E757B2">
        <w:rPr>
          <w:rFonts w:ascii="Garamond" w:hAnsi="Garamond" w:cs="Times New Roman"/>
          <w:iCs/>
          <w:color w:val="000000" w:themeColor="text1"/>
          <w:sz w:val="24"/>
          <w:szCs w:val="24"/>
        </w:rPr>
        <w:t>Vlera për para</w:t>
      </w:r>
      <w:r w:rsidR="00121A53" w:rsidRPr="00E757B2">
        <w:rPr>
          <w:rFonts w:ascii="Garamond" w:hAnsi="Garamond" w:cs="Times New Roman"/>
          <w:color w:val="000000" w:themeColor="text1"/>
          <w:sz w:val="24"/>
          <w:szCs w:val="24"/>
        </w:rPr>
        <w:t>” është</w:t>
      </w:r>
      <w:r w:rsidRPr="00E757B2">
        <w:rPr>
          <w:rFonts w:ascii="Garamond" w:hAnsi="Garamond" w:cs="Times New Roman"/>
          <w:color w:val="000000" w:themeColor="text1"/>
          <w:sz w:val="24"/>
          <w:szCs w:val="24"/>
        </w:rPr>
        <w:t xml:space="preserve"> një term, i cili përdoret për të përcaktuar nëse autoriteti ose enti kontraktues ka marrë fitimet maksimale të mundshme nga punët apo shërbimet e dhëna me koncesion/partneritet publik privat. Ky term nuk kufizohet në masën e </w:t>
      </w:r>
      <w:r w:rsidR="0093023D" w:rsidRPr="00E757B2">
        <w:rPr>
          <w:rFonts w:ascii="Garamond" w:hAnsi="Garamond" w:cs="Times New Roman"/>
          <w:color w:val="000000" w:themeColor="text1"/>
          <w:sz w:val="24"/>
          <w:szCs w:val="24"/>
        </w:rPr>
        <w:t>vlerës p</w:t>
      </w:r>
      <w:r w:rsidRPr="00E757B2">
        <w:rPr>
          <w:rFonts w:ascii="Garamond" w:hAnsi="Garamond" w:cs="Times New Roman"/>
          <w:color w:val="000000" w:themeColor="text1"/>
          <w:sz w:val="24"/>
          <w:szCs w:val="24"/>
        </w:rPr>
        <w:t>ë</w:t>
      </w:r>
      <w:r w:rsidR="0093023D" w:rsidRPr="00E757B2">
        <w:rPr>
          <w:rFonts w:ascii="Garamond" w:hAnsi="Garamond" w:cs="Times New Roman"/>
          <w:color w:val="000000" w:themeColor="text1"/>
          <w:sz w:val="24"/>
          <w:szCs w:val="24"/>
        </w:rPr>
        <w:t>r para</w:t>
      </w:r>
      <w:r w:rsidR="00FE6623" w:rsidRPr="00E757B2">
        <w:rPr>
          <w:rFonts w:ascii="Garamond" w:hAnsi="Garamond" w:cs="Times New Roman"/>
          <w:color w:val="000000" w:themeColor="text1"/>
          <w:sz w:val="24"/>
          <w:szCs w:val="24"/>
        </w:rPr>
        <w:t xml:space="preserve"> t</w:t>
      </w:r>
      <w:r w:rsidRPr="00E757B2">
        <w:rPr>
          <w:rFonts w:ascii="Garamond" w:hAnsi="Garamond" w:cs="Times New Roman"/>
          <w:color w:val="000000" w:themeColor="text1"/>
          <w:sz w:val="24"/>
          <w:szCs w:val="24"/>
        </w:rPr>
        <w:t xml:space="preserve">ë punëve/shërbimeve, por përfshin, gjithashtu, edhe vlerësimin e cilësisë, të kostos dhe shfrytëzimin </w:t>
      </w:r>
      <w:r w:rsidRPr="00E757B2">
        <w:rPr>
          <w:rFonts w:ascii="Garamond" w:hAnsi="Garamond" w:cs="Times New Roman"/>
          <w:color w:val="000000" w:themeColor="text1"/>
          <w:sz w:val="24"/>
          <w:szCs w:val="24"/>
        </w:rPr>
        <w:lastRenderedPageBreak/>
        <w:t>e burimeve, përshtatshmërinë me qëllimin dhe objektivin e kontratës, kohën e mundësinë për të vendosur nëse të gjitha këto elemente të kombinuara përbëjnë vlerën më të mirë ekonomike.</w:t>
      </w:r>
    </w:p>
    <w:p w14:paraId="2A4CDA7C" w14:textId="77777777" w:rsidR="000E01EE" w:rsidRPr="00E757B2" w:rsidRDefault="00121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17.</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“Operator ekonomik” është</w:t>
      </w:r>
      <w:r w:rsidR="000E01EE" w:rsidRPr="00E757B2">
        <w:rPr>
          <w:rFonts w:ascii="Garamond" w:hAnsi="Garamond" w:cs="Times New Roman"/>
          <w:color w:val="000000" w:themeColor="text1"/>
          <w:sz w:val="24"/>
          <w:szCs w:val="24"/>
        </w:rPr>
        <w:t xml:space="preserve"> çdo person, fizik ose juridik, ent publik ose grup personash dhe/ose entesh të tilla, që ofrojnë në treg, respektivisht, realizimin e punëve dhe/ose të punëve dhe shërbimeve.</w:t>
      </w:r>
    </w:p>
    <w:p w14:paraId="61668CE1" w14:textId="2246902C" w:rsidR="000E01EE" w:rsidRPr="00E757B2" w:rsidRDefault="00121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18.</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“Kandidat” është</w:t>
      </w:r>
      <w:r w:rsidR="000E01EE" w:rsidRPr="00E757B2">
        <w:rPr>
          <w:rFonts w:ascii="Garamond" w:hAnsi="Garamond" w:cs="Times New Roman"/>
          <w:color w:val="000000" w:themeColor="text1"/>
          <w:sz w:val="24"/>
          <w:szCs w:val="24"/>
        </w:rPr>
        <w:t xml:space="preserve"> një operator ekonomik</w:t>
      </w:r>
      <w:r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që ka paraqitur një kërkesë për shprehje interesi ose është ftuar për të marrë pjesë në një procedurë konkurruese të dhënies me koncesion/</w:t>
      </w:r>
      <w:r w:rsid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partneritet publik privat.</w:t>
      </w:r>
    </w:p>
    <w:p w14:paraId="363778A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19.</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“Ofertues”</w:t>
      </w:r>
      <w:r w:rsidR="00121A53" w:rsidRPr="00E757B2">
        <w:rPr>
          <w:rFonts w:ascii="Garamond" w:hAnsi="Garamond" w:cs="Times New Roman"/>
          <w:color w:val="000000" w:themeColor="text1"/>
          <w:sz w:val="24"/>
          <w:szCs w:val="24"/>
        </w:rPr>
        <w:t xml:space="preserve"> është</w:t>
      </w:r>
      <w:r w:rsidRPr="00E757B2">
        <w:rPr>
          <w:rFonts w:ascii="Garamond" w:hAnsi="Garamond" w:cs="Times New Roman"/>
          <w:color w:val="000000" w:themeColor="text1"/>
          <w:sz w:val="24"/>
          <w:szCs w:val="24"/>
        </w:rPr>
        <w:t xml:space="preserve"> operatori ekonomik, i cili ka paraqitur një ofertë në një procedurë konkurruese të dhënies me koncesion/partneritet publik privat.</w:t>
      </w:r>
    </w:p>
    <w:p w14:paraId="091D054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20.</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“Dokumentet e tenderit”</w:t>
      </w:r>
      <w:r w:rsidR="00121A53" w:rsidRPr="00E757B2">
        <w:rPr>
          <w:rFonts w:ascii="Garamond" w:hAnsi="Garamond" w:cs="Times New Roman"/>
          <w:color w:val="000000" w:themeColor="text1"/>
          <w:sz w:val="24"/>
          <w:szCs w:val="24"/>
        </w:rPr>
        <w:t xml:space="preserve"> janë</w:t>
      </w:r>
      <w:r w:rsidRPr="00E757B2">
        <w:rPr>
          <w:rFonts w:ascii="Garamond" w:hAnsi="Garamond" w:cs="Times New Roman"/>
          <w:color w:val="000000" w:themeColor="text1"/>
          <w:sz w:val="24"/>
          <w:szCs w:val="24"/>
        </w:rPr>
        <w:t xml:space="preserve"> dokumentet që autoriteti ose enti kontraktues ua vë në dispozicion kandidatëve dhe ofertuesve të mundshëm për të përshkruar ose përcaktuar elemente të koncesionit/partneritetit publik privat ose të procedurës, duke përfshirë njoftimin e kontratës, specifikimet teknike, kushtet e propozuara të kontratës, formularët për paraqitjen e dokumenteve nga kandidatët dhe ofertuesit, informacionin për detyrimet e përgjithshme të zbatueshme dhe çdo dokument shtesë.</w:t>
      </w:r>
    </w:p>
    <w:p w14:paraId="396111E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21.</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“Mjet elektronik”</w:t>
      </w:r>
      <w:r w:rsidR="00121A53" w:rsidRPr="00E757B2">
        <w:rPr>
          <w:rFonts w:ascii="Garamond" w:hAnsi="Garamond" w:cs="Times New Roman"/>
          <w:color w:val="000000" w:themeColor="text1"/>
          <w:sz w:val="24"/>
          <w:szCs w:val="24"/>
        </w:rPr>
        <w:t xml:space="preserve"> është</w:t>
      </w:r>
      <w:r w:rsidRPr="00E757B2">
        <w:rPr>
          <w:rFonts w:ascii="Garamond" w:hAnsi="Garamond" w:cs="Times New Roman"/>
          <w:color w:val="000000" w:themeColor="text1"/>
          <w:sz w:val="24"/>
          <w:szCs w:val="24"/>
        </w:rPr>
        <w:t xml:space="preserve"> pajisje elektronike për përpunimin (përfshirë kompresimin digjital) dhe ruajtjen e të dhënave, të cilat transmetohen, dërgohen dhe merren nëpërmjet telit, radios, mjeteve optike ose mjeteve të tjera elektromagnetike.</w:t>
      </w:r>
    </w:p>
    <w:p w14:paraId="5BF85D8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22.</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“E drejtë ekskluzive”</w:t>
      </w:r>
      <w:r w:rsidR="00EA17E8" w:rsidRPr="00E757B2">
        <w:rPr>
          <w:rFonts w:ascii="Garamond" w:hAnsi="Garamond" w:cs="Times New Roman"/>
          <w:color w:val="000000" w:themeColor="text1"/>
          <w:sz w:val="24"/>
          <w:szCs w:val="24"/>
        </w:rPr>
        <w:t xml:space="preserve"> është</w:t>
      </w:r>
      <w:r w:rsidRPr="00E757B2">
        <w:rPr>
          <w:rFonts w:ascii="Garamond" w:hAnsi="Garamond" w:cs="Times New Roman"/>
          <w:color w:val="000000" w:themeColor="text1"/>
          <w:sz w:val="24"/>
          <w:szCs w:val="24"/>
        </w:rPr>
        <w:t xml:space="preserve"> një e drejtë e dhënë nga një autoritet kompetent me anë të një ligji, rregulloreje ose akti administrativ publik, efekti i së cilës është të kufizojë ushtrimin e një aktiviteti në një operator të vetëm ekonomik e që ndikon në mënyrë thelbësore në aftësinë e operatorëve të tjerë ekonomikë për të kryer një aktivitet të tillë.</w:t>
      </w:r>
    </w:p>
    <w:p w14:paraId="6227D323" w14:textId="77777777" w:rsidR="000E01EE" w:rsidRPr="00E757B2" w:rsidRDefault="00551F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23.</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“E drejtë e veçantë” është</w:t>
      </w:r>
      <w:r w:rsidR="000E01EE" w:rsidRPr="00E757B2">
        <w:rPr>
          <w:rFonts w:ascii="Garamond" w:hAnsi="Garamond" w:cs="Times New Roman"/>
          <w:color w:val="000000" w:themeColor="text1"/>
          <w:sz w:val="24"/>
          <w:szCs w:val="24"/>
        </w:rPr>
        <w:t xml:space="preserve"> një e drejtë e dhënë nga një autoritet kompetent me anë të një ligji, rregulloreje ose akti administrativ publik, efekti i së cilës është të kufizojë ushtrimin e një aktiviteti në dy ose më shumë operatorë ekonomikë dhe që ndikon në mënyrë thelbësore aftësinë e operatorëve të tjerë ekonomikë për të kryer një aktivitet të tillë.</w:t>
      </w:r>
    </w:p>
    <w:p w14:paraId="2CDBC52D" w14:textId="5B4B91CA" w:rsidR="000E01EE" w:rsidRPr="00E757B2" w:rsidRDefault="00551F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24.</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“Kontratë koncesioni” është</w:t>
      </w:r>
      <w:r w:rsidR="000E01EE" w:rsidRPr="00E757B2">
        <w:rPr>
          <w:rFonts w:ascii="Garamond" w:hAnsi="Garamond" w:cs="Times New Roman"/>
          <w:color w:val="000000" w:themeColor="text1"/>
          <w:sz w:val="24"/>
          <w:szCs w:val="24"/>
        </w:rPr>
        <w:t xml:space="preserve"> një kontratë e nënshkruar ndërmjet autoritetit/entit kontraktues në njërën anë dhe operatorit ekonomik të zgjedhur si ofertuesi më</w:t>
      </w:r>
      <w:r w:rsidR="00F64194">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i suksesshëm apo subjektit, për qëllime të veçanta (SPV), i themeluar nga operatori ekonomik në fjalë, kontratë, e cila përmban përcaktimet që rregullojnë të drejtat e detyrimet lidhur me koncesionin e dhënë.</w:t>
      </w:r>
    </w:p>
    <w:p w14:paraId="0628129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25.</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“Kontratë</w:t>
      </w:r>
      <w:r w:rsidR="00551F53" w:rsidRPr="00E757B2">
        <w:rPr>
          <w:rFonts w:ascii="Garamond" w:hAnsi="Garamond" w:cs="Times New Roman"/>
          <w:color w:val="000000" w:themeColor="text1"/>
          <w:sz w:val="24"/>
          <w:szCs w:val="24"/>
        </w:rPr>
        <w:t xml:space="preserve"> e partneritetit publik privat” është</w:t>
      </w:r>
      <w:r w:rsidRPr="00E757B2">
        <w:rPr>
          <w:rFonts w:ascii="Garamond" w:hAnsi="Garamond" w:cs="Times New Roman"/>
          <w:color w:val="000000" w:themeColor="text1"/>
          <w:sz w:val="24"/>
          <w:szCs w:val="24"/>
        </w:rPr>
        <w:t xml:space="preserve"> një kontratë pune publike apo kontratë shërbimi publik, e cila nuk është kontratë koncesioni, që plotëson kushtet, të cilat e përcaktojnë atë si një partneritet publik privat, sikurse është rregulluar në këtë ligj e që nënshkruhet ndërmjet autoritetit/entit kontraktues në njërën anë dhe operatorit ekonomik të përzgjedhur si ofertuesi më i suksesshëm ose subjektit për qëllime të veçanta (SPV), i themeluar për këtë qëllim.</w:t>
      </w:r>
    </w:p>
    <w:p w14:paraId="4A5CCF2A" w14:textId="77777777" w:rsidR="000E01EE" w:rsidRPr="00E757B2" w:rsidRDefault="00551F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26.</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“Inovacion” është</w:t>
      </w:r>
      <w:r w:rsidR="000E01EE" w:rsidRPr="00E757B2">
        <w:rPr>
          <w:rFonts w:ascii="Garamond" w:hAnsi="Garamond" w:cs="Times New Roman"/>
          <w:color w:val="000000" w:themeColor="text1"/>
          <w:sz w:val="24"/>
          <w:szCs w:val="24"/>
        </w:rPr>
        <w:t xml:space="preserve"> realizimi i një produkti, shërbimi ose procesi të ri ose të përmirësuar ndjeshëm, duke përfshirë, por pa u kufizuar, proceset e prodhimit, ndërtimit ose konstruksionit, në një metodë të re marketingu ose në një metodë të re organizative në praktikat e punës, në organizimin e vendit të punës ose në marrëdhëniet e jashtme.</w:t>
      </w:r>
    </w:p>
    <w:p w14:paraId="65846894" w14:textId="77777777" w:rsidR="000E01EE" w:rsidRPr="00E757B2" w:rsidRDefault="00551F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27.</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“Veprimtari sektoriale” është</w:t>
      </w:r>
      <w:r w:rsidR="000E01EE" w:rsidRPr="00E757B2">
        <w:rPr>
          <w:rFonts w:ascii="Garamond" w:hAnsi="Garamond" w:cs="Times New Roman"/>
          <w:color w:val="000000" w:themeColor="text1"/>
          <w:sz w:val="24"/>
          <w:szCs w:val="24"/>
        </w:rPr>
        <w:t xml:space="preserve"> veprimtari nga fusha e prokurimit në sektorët e ujit, të energjetikës, transportit dhe shërbimeve postare, të cilat janë të përcaktuara në këtë ligj.</w:t>
      </w:r>
    </w:p>
    <w:p w14:paraId="23ACEC4E" w14:textId="77777777" w:rsidR="000E01EE" w:rsidRPr="00E757B2" w:rsidRDefault="00551F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28.</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“Kontratat sektoriale” janë</w:t>
      </w:r>
      <w:r w:rsidR="000E01EE" w:rsidRPr="00E757B2">
        <w:rPr>
          <w:rFonts w:ascii="Garamond" w:hAnsi="Garamond" w:cs="Times New Roman"/>
          <w:color w:val="000000" w:themeColor="text1"/>
          <w:sz w:val="24"/>
          <w:szCs w:val="24"/>
        </w:rPr>
        <w:t xml:space="preserve"> kontrata publike, të lidhura nga entet kontraktore, që veprojnë në sektorët e shërbimit ujor, energjetik, të transportit dhe të atij postar, ndërmjet një ose më shumë operatorëve ekonomikë, që kanë si qëllim kryerjen e veprimtarive të përcaktuara në këtë ligj.</w:t>
      </w:r>
    </w:p>
    <w:p w14:paraId="3BF22D73" w14:textId="3D8CF548"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29.</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“Lista Unike e P</w:t>
      </w:r>
      <w:r w:rsidR="00551F53" w:rsidRPr="00E757B2">
        <w:rPr>
          <w:rFonts w:ascii="Garamond" w:hAnsi="Garamond" w:cs="Times New Roman"/>
          <w:color w:val="000000" w:themeColor="text1"/>
          <w:sz w:val="24"/>
          <w:szCs w:val="24"/>
        </w:rPr>
        <w:t>rojekteve me Rëndësi Kombëtare” është</w:t>
      </w:r>
      <w:r w:rsidRPr="00E757B2">
        <w:rPr>
          <w:rFonts w:ascii="Garamond" w:hAnsi="Garamond" w:cs="Times New Roman"/>
          <w:color w:val="000000" w:themeColor="text1"/>
          <w:sz w:val="24"/>
          <w:szCs w:val="24"/>
        </w:rPr>
        <w:t xml:space="preserve"> dokumenti i miratuar nga Këshilli i Ministrave, </w:t>
      </w:r>
      <w:r w:rsidR="00E757B2" w:rsidRPr="00E757B2">
        <w:rPr>
          <w:rFonts w:ascii="Garamond" w:hAnsi="Garamond" w:cs="Times New Roman"/>
          <w:color w:val="000000" w:themeColor="text1"/>
          <w:sz w:val="24"/>
          <w:szCs w:val="24"/>
        </w:rPr>
        <w:t>në</w:t>
      </w:r>
      <w:r w:rsidRPr="00E757B2">
        <w:rPr>
          <w:rFonts w:ascii="Garamond" w:hAnsi="Garamond" w:cs="Times New Roman"/>
          <w:color w:val="000000" w:themeColor="text1"/>
          <w:sz w:val="24"/>
          <w:szCs w:val="24"/>
        </w:rPr>
        <w:t xml:space="preserve"> përputhje me </w:t>
      </w:r>
      <w:r w:rsidR="00E757B2" w:rsidRPr="00E757B2">
        <w:rPr>
          <w:rFonts w:ascii="Garamond" w:hAnsi="Garamond" w:cs="Times New Roman"/>
          <w:color w:val="000000" w:themeColor="text1"/>
          <w:sz w:val="24"/>
          <w:szCs w:val="24"/>
        </w:rPr>
        <w:t>formën</w:t>
      </w:r>
      <w:r w:rsidRPr="00E757B2">
        <w:rPr>
          <w:rFonts w:ascii="Garamond" w:hAnsi="Garamond" w:cs="Times New Roman"/>
          <w:color w:val="000000" w:themeColor="text1"/>
          <w:sz w:val="24"/>
          <w:szCs w:val="24"/>
        </w:rPr>
        <w:t>, kriteret dhe procedurën e parashikuar n</w:t>
      </w:r>
      <w:r w:rsidR="00E757B2">
        <w:rPr>
          <w:rFonts w:ascii="Garamond" w:hAnsi="Garamond" w:cs="Times New Roman"/>
          <w:color w:val="000000" w:themeColor="text1"/>
          <w:sz w:val="24"/>
          <w:szCs w:val="24"/>
        </w:rPr>
        <w:t>ë</w:t>
      </w:r>
      <w:r w:rsidRPr="00E757B2">
        <w:rPr>
          <w:rFonts w:ascii="Garamond" w:hAnsi="Garamond" w:cs="Times New Roman"/>
          <w:color w:val="000000" w:themeColor="text1"/>
          <w:sz w:val="24"/>
          <w:szCs w:val="24"/>
        </w:rPr>
        <w:t xml:space="preserve"> vendimin nr.</w:t>
      </w:r>
      <w:r w:rsid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887, datë 27.12.2</w:t>
      </w:r>
      <w:r w:rsidR="00551F53" w:rsidRPr="00E757B2">
        <w:rPr>
          <w:rFonts w:ascii="Garamond" w:hAnsi="Garamond" w:cs="Times New Roman"/>
          <w:color w:val="000000" w:themeColor="text1"/>
          <w:sz w:val="24"/>
          <w:szCs w:val="24"/>
        </w:rPr>
        <w:t>022, të Këshillit të Ministrave</w:t>
      </w:r>
      <w:r w:rsidRPr="00E757B2">
        <w:rPr>
          <w:rFonts w:ascii="Garamond" w:hAnsi="Garamond" w:cs="Times New Roman"/>
          <w:color w:val="000000" w:themeColor="text1"/>
          <w:sz w:val="24"/>
          <w:szCs w:val="24"/>
        </w:rPr>
        <w:t xml:space="preserve"> “Për procedurat e menaxhimit të investimeve publike”, ose </w:t>
      </w:r>
      <w:r w:rsidR="00E757B2" w:rsidRPr="00E757B2">
        <w:rPr>
          <w:rFonts w:ascii="Garamond" w:hAnsi="Garamond" w:cs="Times New Roman"/>
          <w:color w:val="000000" w:themeColor="text1"/>
          <w:sz w:val="24"/>
          <w:szCs w:val="24"/>
        </w:rPr>
        <w:t>në</w:t>
      </w:r>
      <w:r w:rsidRPr="00E757B2">
        <w:rPr>
          <w:rFonts w:ascii="Garamond" w:hAnsi="Garamond" w:cs="Times New Roman"/>
          <w:color w:val="000000" w:themeColor="text1"/>
          <w:sz w:val="24"/>
          <w:szCs w:val="24"/>
        </w:rPr>
        <w:t xml:space="preserve"> çdo akt </w:t>
      </w:r>
      <w:r w:rsidR="00E757B2" w:rsidRPr="00E757B2">
        <w:rPr>
          <w:rFonts w:ascii="Garamond" w:hAnsi="Garamond" w:cs="Times New Roman"/>
          <w:color w:val="000000" w:themeColor="text1"/>
          <w:sz w:val="24"/>
          <w:szCs w:val="24"/>
        </w:rPr>
        <w:t>tjetër</w:t>
      </w:r>
      <w:r w:rsidRPr="00E757B2">
        <w:rPr>
          <w:rFonts w:ascii="Garamond" w:hAnsi="Garamond" w:cs="Times New Roman"/>
          <w:color w:val="000000" w:themeColor="text1"/>
          <w:sz w:val="24"/>
          <w:szCs w:val="24"/>
        </w:rPr>
        <w:t xml:space="preserve"> t</w:t>
      </w:r>
      <w:r w:rsidR="00E757B2">
        <w:rPr>
          <w:rFonts w:ascii="Garamond" w:hAnsi="Garamond" w:cs="Times New Roman"/>
          <w:color w:val="000000" w:themeColor="text1"/>
          <w:sz w:val="24"/>
          <w:szCs w:val="24"/>
        </w:rPr>
        <w:t>ë</w:t>
      </w:r>
      <w:r w:rsidRPr="00E757B2">
        <w:rPr>
          <w:rFonts w:ascii="Garamond" w:hAnsi="Garamond" w:cs="Times New Roman"/>
          <w:color w:val="000000" w:themeColor="text1"/>
          <w:sz w:val="24"/>
          <w:szCs w:val="24"/>
        </w:rPr>
        <w:t xml:space="preserve"> mëvonshëm, q</w:t>
      </w:r>
      <w:r w:rsidR="00E757B2">
        <w:rPr>
          <w:rFonts w:ascii="Garamond" w:hAnsi="Garamond" w:cs="Times New Roman"/>
          <w:color w:val="000000" w:themeColor="text1"/>
          <w:sz w:val="24"/>
          <w:szCs w:val="24"/>
        </w:rPr>
        <w:t>ë</w:t>
      </w:r>
      <w:r w:rsidRPr="00E757B2">
        <w:rPr>
          <w:rFonts w:ascii="Garamond" w:hAnsi="Garamond" w:cs="Times New Roman"/>
          <w:color w:val="000000" w:themeColor="text1"/>
          <w:sz w:val="24"/>
          <w:szCs w:val="24"/>
        </w:rPr>
        <w:t xml:space="preserve"> ndryshon apo </w:t>
      </w:r>
      <w:r w:rsidRPr="00E757B2">
        <w:rPr>
          <w:rFonts w:ascii="Garamond" w:hAnsi="Garamond" w:cs="Times New Roman"/>
          <w:color w:val="000000" w:themeColor="text1"/>
          <w:sz w:val="24"/>
          <w:szCs w:val="24"/>
        </w:rPr>
        <w:lastRenderedPageBreak/>
        <w:t>zëvendëson k</w:t>
      </w:r>
      <w:r w:rsidR="00E757B2">
        <w:rPr>
          <w:rFonts w:ascii="Garamond" w:hAnsi="Garamond" w:cs="Times New Roman"/>
          <w:color w:val="000000" w:themeColor="text1"/>
          <w:sz w:val="24"/>
          <w:szCs w:val="24"/>
        </w:rPr>
        <w:t>ë</w:t>
      </w:r>
      <w:r w:rsidRPr="00E757B2">
        <w:rPr>
          <w:rFonts w:ascii="Garamond" w:hAnsi="Garamond" w:cs="Times New Roman"/>
          <w:color w:val="000000" w:themeColor="text1"/>
          <w:sz w:val="24"/>
          <w:szCs w:val="24"/>
        </w:rPr>
        <w:t>t</w:t>
      </w:r>
      <w:r w:rsidR="00E757B2">
        <w:rPr>
          <w:rFonts w:ascii="Garamond" w:hAnsi="Garamond" w:cs="Times New Roman"/>
          <w:color w:val="000000" w:themeColor="text1"/>
          <w:sz w:val="24"/>
          <w:szCs w:val="24"/>
        </w:rPr>
        <w:t>ë</w:t>
      </w:r>
      <w:r w:rsidRPr="00E757B2">
        <w:rPr>
          <w:rFonts w:ascii="Garamond" w:hAnsi="Garamond" w:cs="Times New Roman"/>
          <w:color w:val="000000" w:themeColor="text1"/>
          <w:sz w:val="24"/>
          <w:szCs w:val="24"/>
        </w:rPr>
        <w:t xml:space="preserve"> vendim, në përputhje me legjislacionin në fuqi për menaxhimin e sistemit buxhetor.</w:t>
      </w:r>
    </w:p>
    <w:p w14:paraId="54C668B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30.</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“Detyrim k</w:t>
      </w:r>
      <w:r w:rsidR="00551F53" w:rsidRPr="00E757B2">
        <w:rPr>
          <w:rFonts w:ascii="Garamond" w:hAnsi="Garamond" w:cs="Times New Roman"/>
          <w:color w:val="000000" w:themeColor="text1"/>
          <w:sz w:val="24"/>
          <w:szCs w:val="24"/>
        </w:rPr>
        <w:t>ontingjent” është</w:t>
      </w:r>
      <w:r w:rsidRPr="00E757B2">
        <w:rPr>
          <w:rFonts w:ascii="Garamond" w:hAnsi="Garamond" w:cs="Times New Roman"/>
          <w:color w:val="000000" w:themeColor="text1"/>
          <w:sz w:val="24"/>
          <w:szCs w:val="24"/>
        </w:rPr>
        <w:t xml:space="preserve"> detyrimi që mund t’i lindë njësisë së qeverisjes së përgjithshme në raport me të tretë, në të ardhmen, si rezultat i risqeve të mundshme, të lidhura me ngjarje apo nisma, të drejtpërdrejta ose të tërthorta, të viteve të mëparshme.</w:t>
      </w:r>
    </w:p>
    <w:p w14:paraId="5AAB5F4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31.</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“Risqe fiskale”</w:t>
      </w:r>
      <w:r w:rsidR="00551F53" w:rsidRPr="00E757B2">
        <w:rPr>
          <w:rFonts w:ascii="Garamond" w:hAnsi="Garamond" w:cs="Times New Roman"/>
          <w:color w:val="000000" w:themeColor="text1"/>
          <w:sz w:val="24"/>
          <w:szCs w:val="24"/>
        </w:rPr>
        <w:t xml:space="preserve"> janë</w:t>
      </w:r>
      <w:r w:rsidRPr="00E757B2">
        <w:rPr>
          <w:rFonts w:ascii="Garamond" w:hAnsi="Garamond" w:cs="Times New Roman"/>
          <w:color w:val="000000" w:themeColor="text1"/>
          <w:sz w:val="24"/>
          <w:szCs w:val="24"/>
        </w:rPr>
        <w:t xml:space="preserve"> ngjarje të mundshme, që mund të kenë ndikim negativ mbi financat publike.</w:t>
      </w:r>
    </w:p>
    <w:p w14:paraId="7B735F9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42614AC"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w:t>
      </w:r>
    </w:p>
    <w:p w14:paraId="13F3B99E"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Fusha e zbatimit të koncesioneve/partneriteteve publike private</w:t>
      </w:r>
    </w:p>
    <w:p w14:paraId="08249F8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009535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w:t>
      </w:r>
      <w:r w:rsidR="006B299A"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Koncesionet/partneritetet publike private mund të jepen për realizimin e punimeve dhe/ose ofrimin e shërbimeve për sektorët dhe qëllimet e mëposhtme:</w:t>
      </w:r>
    </w:p>
    <w:p w14:paraId="00CFF5A6"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t</w:t>
      </w:r>
      <w:r w:rsidR="000E01EE" w:rsidRPr="00E757B2">
        <w:rPr>
          <w:rFonts w:ascii="Garamond" w:hAnsi="Garamond" w:cs="Times New Roman"/>
          <w:color w:val="000000" w:themeColor="text1"/>
          <w:sz w:val="24"/>
          <w:szCs w:val="24"/>
        </w:rPr>
        <w:t>ransport (sistemi i hekurudhave, transporti hekurudhor, portet, aeroportet, rrugët, tunelet, urat, parkimi, transporti publik);</w:t>
      </w:r>
    </w:p>
    <w:p w14:paraId="450F9322"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p</w:t>
      </w:r>
      <w:r w:rsidR="000E01EE" w:rsidRPr="00E757B2">
        <w:rPr>
          <w:rFonts w:ascii="Garamond" w:hAnsi="Garamond" w:cs="Times New Roman"/>
          <w:color w:val="000000" w:themeColor="text1"/>
          <w:sz w:val="24"/>
          <w:szCs w:val="24"/>
        </w:rPr>
        <w:t>rodhim dhe shpërndarje e energjisë elektrike dhe e energjisë për ngrohje;</w:t>
      </w:r>
    </w:p>
    <w:p w14:paraId="018C5ED5"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p</w:t>
      </w:r>
      <w:r w:rsidR="000E01EE" w:rsidRPr="00E757B2">
        <w:rPr>
          <w:rFonts w:ascii="Garamond" w:hAnsi="Garamond" w:cs="Times New Roman"/>
          <w:color w:val="000000" w:themeColor="text1"/>
          <w:sz w:val="24"/>
          <w:szCs w:val="24"/>
        </w:rPr>
        <w:t>rodhim dhe shpërndarje e ujit, trajtim, mbledhje, ujitje, drenazhim, pastrim i kanaleve dhe digave;</w:t>
      </w:r>
    </w:p>
    <w:p w14:paraId="011EC708"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m</w:t>
      </w:r>
      <w:r w:rsidR="000E01EE" w:rsidRPr="00E757B2">
        <w:rPr>
          <w:rFonts w:ascii="Garamond" w:hAnsi="Garamond" w:cs="Times New Roman"/>
          <w:color w:val="000000" w:themeColor="text1"/>
          <w:sz w:val="24"/>
          <w:szCs w:val="24"/>
        </w:rPr>
        <w:t>enaxhim i mbeturinave, duke përfshirë mbledhjen, trajtimin, transferimin dhe depozitimin e tyre;</w:t>
      </w:r>
    </w:p>
    <w:p w14:paraId="14C6337C" w14:textId="0D45062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 t</w:t>
      </w:r>
      <w:r w:rsidR="00E757B2">
        <w:rPr>
          <w:rFonts w:ascii="Garamond" w:hAnsi="Garamond" w:cs="Times New Roman"/>
          <w:color w:val="000000" w:themeColor="text1"/>
          <w:sz w:val="24"/>
          <w:szCs w:val="24"/>
        </w:rPr>
        <w:t>elekomunikacion;</w:t>
      </w:r>
    </w:p>
    <w:p w14:paraId="12B1D628"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dh) s</w:t>
      </w:r>
      <w:r w:rsidR="000E01EE" w:rsidRPr="00E757B2">
        <w:rPr>
          <w:rFonts w:ascii="Garamond" w:hAnsi="Garamond" w:cs="Times New Roman"/>
          <w:color w:val="000000" w:themeColor="text1"/>
          <w:sz w:val="24"/>
          <w:szCs w:val="24"/>
        </w:rPr>
        <w:t>hkencë dhe arsim;</w:t>
      </w:r>
    </w:p>
    <w:p w14:paraId="4B7166E7" w14:textId="0D8270D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e) t</w:t>
      </w:r>
      <w:r w:rsidR="000E01EE" w:rsidRPr="00E757B2">
        <w:rPr>
          <w:rFonts w:ascii="Garamond" w:hAnsi="Garamond" w:cs="Times New Roman"/>
          <w:color w:val="000000" w:themeColor="text1"/>
          <w:sz w:val="24"/>
          <w:szCs w:val="24"/>
        </w:rPr>
        <w:t>urizëm, argëti</w:t>
      </w:r>
      <w:r w:rsidR="00E757B2">
        <w:rPr>
          <w:rFonts w:ascii="Garamond" w:hAnsi="Garamond" w:cs="Times New Roman"/>
          <w:color w:val="000000" w:themeColor="text1"/>
          <w:sz w:val="24"/>
          <w:szCs w:val="24"/>
        </w:rPr>
        <w:t>m dhe hoteleri;</w:t>
      </w:r>
    </w:p>
    <w:p w14:paraId="58858E1C"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ë) k</w:t>
      </w:r>
      <w:r w:rsidR="000E01EE" w:rsidRPr="00E757B2">
        <w:rPr>
          <w:rFonts w:ascii="Garamond" w:hAnsi="Garamond" w:cs="Times New Roman"/>
          <w:color w:val="000000" w:themeColor="text1"/>
          <w:sz w:val="24"/>
          <w:szCs w:val="24"/>
        </w:rPr>
        <w:t>ulturë dhe sport;</w:t>
      </w:r>
    </w:p>
    <w:p w14:paraId="16A9B6C5"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f) s</w:t>
      </w:r>
      <w:r w:rsidR="000E01EE" w:rsidRPr="00E757B2">
        <w:rPr>
          <w:rFonts w:ascii="Garamond" w:hAnsi="Garamond" w:cs="Times New Roman"/>
          <w:color w:val="000000" w:themeColor="text1"/>
          <w:sz w:val="24"/>
          <w:szCs w:val="24"/>
        </w:rPr>
        <w:t>hëndetësi;</w:t>
      </w:r>
    </w:p>
    <w:p w14:paraId="07D55AF1"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g) s</w:t>
      </w:r>
      <w:r w:rsidR="000E01EE" w:rsidRPr="00E757B2">
        <w:rPr>
          <w:rFonts w:ascii="Garamond" w:hAnsi="Garamond" w:cs="Times New Roman"/>
          <w:color w:val="000000" w:themeColor="text1"/>
          <w:sz w:val="24"/>
          <w:szCs w:val="24"/>
        </w:rPr>
        <w:t>hërbime sociale;</w:t>
      </w:r>
    </w:p>
    <w:p w14:paraId="1F0E8BF2"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gj) b</w:t>
      </w:r>
      <w:r w:rsidR="000E01EE" w:rsidRPr="00E757B2">
        <w:rPr>
          <w:rFonts w:ascii="Garamond" w:hAnsi="Garamond" w:cs="Times New Roman"/>
          <w:color w:val="000000" w:themeColor="text1"/>
          <w:sz w:val="24"/>
          <w:szCs w:val="24"/>
        </w:rPr>
        <w:t>urgje dhe infrastrukturë gjyqësore;</w:t>
      </w:r>
    </w:p>
    <w:p w14:paraId="0C1B85D4"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h) r</w:t>
      </w:r>
      <w:r w:rsidR="000E01EE" w:rsidRPr="00E757B2">
        <w:rPr>
          <w:rFonts w:ascii="Garamond" w:hAnsi="Garamond" w:cs="Times New Roman"/>
          <w:color w:val="000000" w:themeColor="text1"/>
          <w:sz w:val="24"/>
          <w:szCs w:val="24"/>
        </w:rPr>
        <w:t>ehabilitim i tokës dhe i pyjeve;</w:t>
      </w:r>
    </w:p>
    <w:p w14:paraId="16E9D15D"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 p</w:t>
      </w:r>
      <w:r w:rsidR="000E01EE" w:rsidRPr="00E757B2">
        <w:rPr>
          <w:rFonts w:ascii="Garamond" w:hAnsi="Garamond" w:cs="Times New Roman"/>
          <w:color w:val="000000" w:themeColor="text1"/>
          <w:sz w:val="24"/>
          <w:szCs w:val="24"/>
        </w:rPr>
        <w:t>arqe industriale, miniera dhe infrastrukturë të ngjashme për mbështetjen e biznesit;</w:t>
      </w:r>
    </w:p>
    <w:p w14:paraId="23118ADE"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j) s</w:t>
      </w:r>
      <w:r w:rsidR="000E01EE" w:rsidRPr="00E757B2">
        <w:rPr>
          <w:rFonts w:ascii="Garamond" w:hAnsi="Garamond" w:cs="Times New Roman"/>
          <w:color w:val="000000" w:themeColor="text1"/>
          <w:sz w:val="24"/>
          <w:szCs w:val="24"/>
        </w:rPr>
        <w:t>trehim;</w:t>
      </w:r>
    </w:p>
    <w:p w14:paraId="73093552"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 g</w:t>
      </w:r>
      <w:r w:rsidR="000E01EE" w:rsidRPr="00E757B2">
        <w:rPr>
          <w:rFonts w:ascii="Garamond" w:hAnsi="Garamond" w:cs="Times New Roman"/>
          <w:color w:val="000000" w:themeColor="text1"/>
          <w:sz w:val="24"/>
          <w:szCs w:val="24"/>
        </w:rPr>
        <w:t>odina të</w:t>
      </w:r>
      <w:r w:rsidR="002D3692"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administratës publike, teknologji e informacionit dhe infrastrukturë e bazës së të dhënave;</w:t>
      </w:r>
    </w:p>
    <w:p w14:paraId="434F805A"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l) s</w:t>
      </w:r>
      <w:r w:rsidR="000E01EE" w:rsidRPr="00E757B2">
        <w:rPr>
          <w:rFonts w:ascii="Garamond" w:hAnsi="Garamond" w:cs="Times New Roman"/>
          <w:color w:val="000000" w:themeColor="text1"/>
          <w:sz w:val="24"/>
          <w:szCs w:val="24"/>
        </w:rPr>
        <w:t>hpërndarje e gazit natyror;</w:t>
      </w:r>
    </w:p>
    <w:p w14:paraId="5BFBD66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l</w:t>
      </w:r>
      <w:r w:rsidR="006B299A" w:rsidRPr="00E757B2">
        <w:rPr>
          <w:rFonts w:ascii="Garamond" w:hAnsi="Garamond" w:cs="Times New Roman"/>
          <w:color w:val="000000" w:themeColor="text1"/>
          <w:sz w:val="24"/>
          <w:szCs w:val="24"/>
        </w:rPr>
        <w:t>l) r</w:t>
      </w:r>
      <w:r w:rsidRPr="00E757B2">
        <w:rPr>
          <w:rFonts w:ascii="Garamond" w:hAnsi="Garamond" w:cs="Times New Roman"/>
          <w:color w:val="000000" w:themeColor="text1"/>
          <w:sz w:val="24"/>
          <w:szCs w:val="24"/>
        </w:rPr>
        <w:t>ehabilitim dhe zhvillim urban e suburban;</w:t>
      </w:r>
    </w:p>
    <w:p w14:paraId="675C57B3"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m) n</w:t>
      </w:r>
      <w:r w:rsidR="000E01EE" w:rsidRPr="00E757B2">
        <w:rPr>
          <w:rFonts w:ascii="Garamond" w:hAnsi="Garamond" w:cs="Times New Roman"/>
          <w:color w:val="000000" w:themeColor="text1"/>
          <w:sz w:val="24"/>
          <w:szCs w:val="24"/>
        </w:rPr>
        <w:t>driçim publik në territorin e njësive administrative vendore;</w:t>
      </w:r>
    </w:p>
    <w:p w14:paraId="5C9D4FA8"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 b</w:t>
      </w:r>
      <w:r w:rsidR="000E01EE" w:rsidRPr="00E757B2">
        <w:rPr>
          <w:rFonts w:ascii="Garamond" w:hAnsi="Garamond" w:cs="Times New Roman"/>
          <w:color w:val="000000" w:themeColor="text1"/>
          <w:sz w:val="24"/>
          <w:szCs w:val="24"/>
        </w:rPr>
        <w:t>ujqësi;</w:t>
      </w:r>
    </w:p>
    <w:p w14:paraId="1A05D3DF"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nj) k</w:t>
      </w:r>
      <w:r w:rsidR="000E01EE" w:rsidRPr="00E757B2">
        <w:rPr>
          <w:rFonts w:ascii="Garamond" w:hAnsi="Garamond" w:cs="Times New Roman"/>
          <w:color w:val="000000" w:themeColor="text1"/>
          <w:sz w:val="24"/>
          <w:szCs w:val="24"/>
        </w:rPr>
        <w:t>ontrata të tjera në sektorët utilitarë.</w:t>
      </w:r>
    </w:p>
    <w:p w14:paraId="6C9DE4CE" w14:textId="77777777" w:rsidR="000E01EE" w:rsidRPr="00E757B2" w:rsidRDefault="006B29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Këshilli i Ministrave, me propozimin e ministrive të linjës, të ministrisë përgjegjëse për pushtetin vendor ose të ministrisë përgjegjëse për ekonomi</w:t>
      </w:r>
      <w:r w:rsidR="00316C08" w:rsidRPr="00E757B2">
        <w:rPr>
          <w:rFonts w:ascii="Garamond" w:hAnsi="Garamond" w:cs="Times New Roman"/>
          <w:color w:val="000000" w:themeColor="text1"/>
          <w:sz w:val="24"/>
          <w:szCs w:val="24"/>
        </w:rPr>
        <w:t>në, vendos për sektorë të tjerë</w:t>
      </w:r>
      <w:r w:rsidR="000E01EE" w:rsidRPr="00E757B2">
        <w:rPr>
          <w:rFonts w:ascii="Garamond" w:hAnsi="Garamond" w:cs="Times New Roman"/>
          <w:color w:val="000000" w:themeColor="text1"/>
          <w:sz w:val="24"/>
          <w:szCs w:val="24"/>
        </w:rPr>
        <w:t xml:space="preserve"> në të cilët mund të zbatohen koncesionet/partneritetet publike private.</w:t>
      </w:r>
    </w:p>
    <w:p w14:paraId="005FA807"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0BDCB50"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w:t>
      </w:r>
    </w:p>
    <w:p w14:paraId="3C2DB3CD"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Përjashtime të përgjithshme</w:t>
      </w:r>
    </w:p>
    <w:p w14:paraId="40578B6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98ABBC9" w14:textId="7777777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Ky ligj nuk zbatohet për koncesionet/partneritetet publike private në rastet e mëposhtme:</w:t>
      </w:r>
    </w:p>
    <w:p w14:paraId="5A530D06" w14:textId="7777777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316C08"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kontratat, vlera e përllogaritur e të cilave është nën kufirin minimal monetar;</w:t>
      </w:r>
    </w:p>
    <w:p w14:paraId="3F277486" w14:textId="7777777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316C08" w:rsidRPr="00E757B2">
        <w:rPr>
          <w:rFonts w:ascii="Garamond" w:hAnsi="Garamond" w:cs="Times New Roman"/>
          <w:color w:val="000000" w:themeColor="text1"/>
          <w:sz w:val="24"/>
          <w:szCs w:val="24"/>
        </w:rPr>
        <w:t>k</w:t>
      </w:r>
      <w:r w:rsidR="000E01EE" w:rsidRPr="00E757B2">
        <w:rPr>
          <w:rFonts w:ascii="Garamond" w:hAnsi="Garamond" w:cs="Times New Roman"/>
          <w:color w:val="000000" w:themeColor="text1"/>
          <w:sz w:val="24"/>
          <w:szCs w:val="24"/>
        </w:rPr>
        <w:t>ur realizimi i tyre duhet të shoqërohet me masa të veçanta të sigurisë, në përputhje me ligjet, rregulloret ose dispozitat administrative në fuqi apo kur një gjë e tillë kërkohet nga mbrojtja e interesave thelbësorë të shtetit;</w:t>
      </w:r>
    </w:p>
    <w:p w14:paraId="67AE0E3F" w14:textId="7777777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lastRenderedPageBreak/>
        <w:t xml:space="preserve">c) </w:t>
      </w:r>
      <w:r w:rsidR="00316C08"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 xml:space="preserve">ër blerjen </w:t>
      </w:r>
      <w:r w:rsidR="00316C08" w:rsidRPr="00E757B2">
        <w:rPr>
          <w:rFonts w:ascii="Garamond" w:hAnsi="Garamond" w:cs="Times New Roman"/>
          <w:color w:val="000000" w:themeColor="text1"/>
          <w:sz w:val="24"/>
          <w:szCs w:val="24"/>
        </w:rPr>
        <w:t>ose marrjen me qira, me çfarëdo</w:t>
      </w:r>
      <w:r w:rsidR="000E01EE" w:rsidRPr="00E757B2">
        <w:rPr>
          <w:rFonts w:ascii="Garamond" w:hAnsi="Garamond" w:cs="Times New Roman"/>
          <w:color w:val="000000" w:themeColor="text1"/>
          <w:sz w:val="24"/>
          <w:szCs w:val="24"/>
        </w:rPr>
        <w:t>lloj mjetesh financiare, të pasurisë së paluajtshme ose të të drejtav</w:t>
      </w:r>
      <w:r w:rsidR="00316C08" w:rsidRPr="00E757B2">
        <w:rPr>
          <w:rFonts w:ascii="Garamond" w:hAnsi="Garamond" w:cs="Times New Roman"/>
          <w:color w:val="000000" w:themeColor="text1"/>
          <w:sz w:val="24"/>
          <w:szCs w:val="24"/>
        </w:rPr>
        <w:t xml:space="preserve">e të lidhura me to. Megjithatë, </w:t>
      </w:r>
      <w:r w:rsidR="000E01EE" w:rsidRPr="00E757B2">
        <w:rPr>
          <w:rFonts w:ascii="Garamond" w:hAnsi="Garamond" w:cs="Times New Roman"/>
          <w:color w:val="000000" w:themeColor="text1"/>
          <w:sz w:val="24"/>
          <w:szCs w:val="24"/>
        </w:rPr>
        <w:t>kontratat e shërbimeve financiare, të nënshkruara në të njëjtën kohë para ose pas kontratës së blerjes ose të qirasë, në çfarëdolloj forme, i nënshtrohen këtij ligji;</w:t>
      </w:r>
    </w:p>
    <w:p w14:paraId="1B65715D" w14:textId="7777777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6E6E2B"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blerjen, zhvillimin, prodhimin ose bashkëprodhimin e materialit programor të destinuar për shërbime mediatike audiovizive ose shërbime mediatike radiofonike, që jepen nga ofruesit e shërbimeve mediatike audiovizive ose radiofonike, ose koncesionet për kohën e transmetimit ose ofrimin e programit, që i jepen ofruesit të shërbimeve mediatike audiovizive ose radiofonike;</w:t>
      </w:r>
    </w:p>
    <w:p w14:paraId="1DBAB489" w14:textId="63AA8ED1" w:rsidR="00AF314C"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 </w:t>
      </w:r>
      <w:r w:rsidR="00662514" w:rsidRPr="00E757B2">
        <w:rPr>
          <w:rFonts w:ascii="Garamond" w:hAnsi="Garamond" w:cs="Times New Roman"/>
          <w:color w:val="000000" w:themeColor="text1"/>
          <w:sz w:val="24"/>
          <w:szCs w:val="24"/>
        </w:rPr>
        <w:t>p</w:t>
      </w:r>
      <w:r w:rsidR="00AF314C" w:rsidRPr="00E757B2">
        <w:rPr>
          <w:rFonts w:ascii="Garamond" w:hAnsi="Garamond" w:cs="Times New Roman"/>
          <w:color w:val="000000" w:themeColor="text1"/>
          <w:sz w:val="24"/>
          <w:szCs w:val="24"/>
        </w:rPr>
        <w:t>ër koncesione/partneritete publike private që u nënshtrohen rregullave të ndryshme dhe që janë dhënë në përputhje me marrëveshjet ndërkombëtare, të cilat Republika e Shqipërisë i ka lidhur me një ose disa shtete të tjera, të nënshkruara në pajtim me Traktatin për Funksionimin e Bashkimit Evropian dhe që përfshijnë punë, mallra apo shërbime të destinuara për zbatimin e përbashkët ose përdorimin e projektev</w:t>
      </w:r>
      <w:r w:rsidRPr="00E757B2">
        <w:rPr>
          <w:rFonts w:ascii="Garamond" w:hAnsi="Garamond" w:cs="Times New Roman"/>
          <w:color w:val="000000" w:themeColor="text1"/>
          <w:sz w:val="24"/>
          <w:szCs w:val="24"/>
        </w:rPr>
        <w:t>e nga ana e vendeve nënshkruese</w:t>
      </w:r>
      <w:r w:rsidR="00E757B2">
        <w:rPr>
          <w:rFonts w:ascii="Garamond" w:hAnsi="Garamond" w:cs="Times New Roman"/>
          <w:color w:val="000000" w:themeColor="text1"/>
          <w:sz w:val="24"/>
          <w:szCs w:val="24"/>
        </w:rPr>
        <w:t>;</w:t>
      </w:r>
    </w:p>
    <w:p w14:paraId="1EACA4A4" w14:textId="77777777" w:rsidR="000E01EE"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dh</w:t>
      </w:r>
      <w:r w:rsidR="00E57EB0" w:rsidRPr="00E757B2">
        <w:rPr>
          <w:rFonts w:ascii="Garamond" w:hAnsi="Garamond" w:cs="Times New Roman"/>
          <w:color w:val="000000" w:themeColor="text1"/>
          <w:sz w:val="24"/>
          <w:szCs w:val="24"/>
        </w:rPr>
        <w:t xml:space="preserve">) </w:t>
      </w:r>
      <w:r w:rsidR="001E4782"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koncesionet, të cilat u nënshtrohen rregullave të ndryshme dhe që jepen në përputhje me rregullat procedurale të veçanta të organizatave ndërkombëtare ose të institucioneve financiare ndërkombëtare, ku koncesionet në fjalë financohen plotësisht nga ato organizata ose institucione. Në rastin e koncesioneve të bashkëfinancuara, në pjesën më të madhe nga një organizatë ndërkombëtare ose institucion financiar ndërkombëtar, palët bien dakord për procedurat e zbatueshme të prokurimit;</w:t>
      </w:r>
    </w:p>
    <w:p w14:paraId="6034FC3F" w14:textId="77777777" w:rsidR="000E01EE"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e</w:t>
      </w:r>
      <w:r w:rsidR="001E4782" w:rsidRPr="00E757B2">
        <w:rPr>
          <w:rFonts w:ascii="Garamond" w:hAnsi="Garamond" w:cs="Times New Roman"/>
          <w:color w:val="000000" w:themeColor="text1"/>
          <w:sz w:val="24"/>
          <w:szCs w:val="24"/>
        </w:rPr>
        <w:t>) p</w:t>
      </w:r>
      <w:r w:rsidR="000E01EE" w:rsidRPr="00E757B2">
        <w:rPr>
          <w:rFonts w:ascii="Garamond" w:hAnsi="Garamond" w:cs="Times New Roman"/>
          <w:color w:val="000000" w:themeColor="text1"/>
          <w:sz w:val="24"/>
          <w:szCs w:val="24"/>
        </w:rPr>
        <w:t>ër shërbimet e arbitrazhit e të pajtimit;</w:t>
      </w:r>
    </w:p>
    <w:p w14:paraId="6BBDE077" w14:textId="77777777" w:rsidR="000E01EE"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ë</w:t>
      </w:r>
      <w:r w:rsidR="00E57EB0" w:rsidRPr="00E757B2">
        <w:rPr>
          <w:rFonts w:ascii="Garamond" w:hAnsi="Garamond" w:cs="Times New Roman"/>
          <w:color w:val="000000" w:themeColor="text1"/>
          <w:sz w:val="24"/>
          <w:szCs w:val="24"/>
        </w:rPr>
        <w:t xml:space="preserve">) </w:t>
      </w:r>
      <w:r w:rsidR="001E4782" w:rsidRPr="00E757B2">
        <w:rPr>
          <w:rFonts w:ascii="Garamond" w:hAnsi="Garamond" w:cs="Times New Roman"/>
          <w:color w:val="000000" w:themeColor="text1"/>
          <w:sz w:val="24"/>
          <w:szCs w:val="24"/>
        </w:rPr>
        <w:t>për shërbimet financiare</w:t>
      </w:r>
      <w:r w:rsidR="000E01EE" w:rsidRPr="00E757B2">
        <w:rPr>
          <w:rFonts w:ascii="Garamond" w:hAnsi="Garamond" w:cs="Times New Roman"/>
          <w:color w:val="000000" w:themeColor="text1"/>
          <w:sz w:val="24"/>
          <w:szCs w:val="24"/>
        </w:rPr>
        <w:t xml:space="preserve"> në lidhje me nxjerrjen, shitjen, blerjen apo transferimin e titujve ose të instrumenteve të tjera financiare, në mënyrë të veçantë, transaksionet nga autoritetet kontraktuese ose entet kontraktuese për të mbledhur para ose kapital;</w:t>
      </w:r>
    </w:p>
    <w:p w14:paraId="6E591E6D" w14:textId="77777777" w:rsidR="000E01EE"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f</w:t>
      </w:r>
      <w:r w:rsidR="00E57EB0" w:rsidRPr="00E757B2">
        <w:rPr>
          <w:rFonts w:ascii="Garamond" w:hAnsi="Garamond" w:cs="Times New Roman"/>
          <w:color w:val="000000" w:themeColor="text1"/>
          <w:sz w:val="24"/>
          <w:szCs w:val="24"/>
        </w:rPr>
        <w:t xml:space="preserve">) </w:t>
      </w:r>
      <w:r w:rsidR="001E4782"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huat, pavarësisht nëse janë ose jo të lidhura me emetimin, shitjen, blerjen ose transferimin e titujve ose të instrumenteve të tjera financiare;</w:t>
      </w:r>
    </w:p>
    <w:p w14:paraId="6BF13CB2" w14:textId="77777777" w:rsidR="000E01EE"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g</w:t>
      </w:r>
      <w:r w:rsidR="00E57EB0" w:rsidRPr="00E757B2">
        <w:rPr>
          <w:rFonts w:ascii="Garamond" w:hAnsi="Garamond" w:cs="Times New Roman"/>
          <w:color w:val="000000" w:themeColor="text1"/>
          <w:sz w:val="24"/>
          <w:szCs w:val="24"/>
        </w:rPr>
        <w:t xml:space="preserve">) </w:t>
      </w:r>
      <w:r w:rsidR="001E4782"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shërbimet e mbrojtjes civile, të emergjencave civile dhe shërbimet e parandalimit të rreziqeve, që ofrohen nga organizata ose shoqata jofitimprurëse, përveç shërbimeve të transportit me ambulancë;</w:t>
      </w:r>
    </w:p>
    <w:p w14:paraId="20B277AB" w14:textId="7777777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g</w:t>
      </w:r>
      <w:r w:rsidR="00126249" w:rsidRPr="00E757B2">
        <w:rPr>
          <w:rFonts w:ascii="Garamond" w:hAnsi="Garamond" w:cs="Times New Roman"/>
          <w:color w:val="000000" w:themeColor="text1"/>
          <w:sz w:val="24"/>
          <w:szCs w:val="24"/>
        </w:rPr>
        <w:t xml:space="preserve">j) </w:t>
      </w:r>
      <w:r w:rsidR="001E4782"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shërbimet e fushatave politike, kur jepen nga partitë politike në kuadër të fushatave elektorale;</w:t>
      </w:r>
    </w:p>
    <w:p w14:paraId="79A5B076" w14:textId="77777777" w:rsidR="000E01EE"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h</w:t>
      </w:r>
      <w:r w:rsidR="00E57EB0" w:rsidRPr="00E757B2">
        <w:rPr>
          <w:rFonts w:ascii="Garamond" w:hAnsi="Garamond" w:cs="Times New Roman"/>
          <w:color w:val="000000" w:themeColor="text1"/>
          <w:sz w:val="24"/>
          <w:szCs w:val="24"/>
        </w:rPr>
        <w:t>)</w:t>
      </w:r>
      <w:r w:rsidRPr="00E757B2">
        <w:rPr>
          <w:rFonts w:ascii="Garamond" w:hAnsi="Garamond" w:cs="Times New Roman"/>
          <w:color w:val="000000" w:themeColor="text1"/>
          <w:sz w:val="24"/>
          <w:szCs w:val="24"/>
        </w:rPr>
        <w:t xml:space="preserve"> </w:t>
      </w:r>
      <w:r w:rsidR="001E4782"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shërbimet e lotarisë, të dhëna për një operator ekonomik në bazë të një të drejte ekskluzive;</w:t>
      </w:r>
    </w:p>
    <w:p w14:paraId="646F9ACC" w14:textId="77777777" w:rsidR="000E01EE"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w:t>
      </w:r>
      <w:r w:rsidR="00E57EB0" w:rsidRPr="00E757B2">
        <w:rPr>
          <w:rFonts w:ascii="Garamond" w:hAnsi="Garamond" w:cs="Times New Roman"/>
          <w:color w:val="000000" w:themeColor="text1"/>
          <w:sz w:val="24"/>
          <w:szCs w:val="24"/>
        </w:rPr>
        <w:t xml:space="preserve">) </w:t>
      </w:r>
      <w:r w:rsidR="001E4782"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shërbimet e transportit ajror bazuar në dhënien një licence operimi, sipas legjislacionit të fushës në fuqi;</w:t>
      </w:r>
    </w:p>
    <w:p w14:paraId="28926EBC" w14:textId="77777777" w:rsidR="000E01EE"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j</w:t>
      </w:r>
      <w:r w:rsidR="00E57EB0" w:rsidRPr="00E757B2">
        <w:rPr>
          <w:rFonts w:ascii="Garamond" w:hAnsi="Garamond" w:cs="Times New Roman"/>
          <w:color w:val="000000" w:themeColor="text1"/>
          <w:sz w:val="24"/>
          <w:szCs w:val="24"/>
        </w:rPr>
        <w:t xml:space="preserve">) </w:t>
      </w:r>
      <w:r w:rsidR="001E4782"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koncesionin/partneritetin publik privat, në atë masë që ky ligj bie ndesh me një detyrim të shtetit, që është në bazë ose që rrjedh prej një marrëveshjeje me një ose më shumë shtete të tjera a me një organizëm ndërkombëtar, mbizotërojnë dispozitat e kësaj marrëveshjeje. Në të gjitha aspektet e tjera, procedurat dhe parimet e dhënies së koncesionit/partneritetit publik privat rregullohen me këtë ligj;</w:t>
      </w:r>
    </w:p>
    <w:p w14:paraId="14AEE7FC" w14:textId="77777777" w:rsidR="000E01EE"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w:t>
      </w:r>
      <w:r w:rsidR="00E57EB0" w:rsidRPr="00E757B2">
        <w:rPr>
          <w:rFonts w:ascii="Garamond" w:hAnsi="Garamond" w:cs="Times New Roman"/>
          <w:color w:val="000000" w:themeColor="text1"/>
          <w:sz w:val="24"/>
          <w:szCs w:val="24"/>
        </w:rPr>
        <w:t xml:space="preserve">) </w:t>
      </w:r>
      <w:r w:rsidR="00EB1DD3"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koncesionet e shërbimit publik që një autoritet kontraktues ia ka dhënë një autoriteti tjetër kontraktues ose një shoqate të autoriteteve kontraktuese, në bazë të një të d</w:t>
      </w:r>
      <w:r w:rsidR="00EB1DD3" w:rsidRPr="00E757B2">
        <w:rPr>
          <w:rFonts w:ascii="Garamond" w:hAnsi="Garamond" w:cs="Times New Roman"/>
          <w:color w:val="000000" w:themeColor="text1"/>
          <w:sz w:val="24"/>
          <w:szCs w:val="24"/>
        </w:rPr>
        <w:t>rejte ekskluzive që ata gëzojnë</w:t>
      </w:r>
      <w:r w:rsidR="000E01EE" w:rsidRPr="00E757B2">
        <w:rPr>
          <w:rFonts w:ascii="Garamond" w:hAnsi="Garamond" w:cs="Times New Roman"/>
          <w:color w:val="000000" w:themeColor="text1"/>
          <w:sz w:val="24"/>
          <w:szCs w:val="24"/>
        </w:rPr>
        <w:t xml:space="preserve"> sipas legjislacionit në fuqi;</w:t>
      </w:r>
    </w:p>
    <w:p w14:paraId="15065F2E" w14:textId="77777777" w:rsidR="000E01EE" w:rsidRPr="00E757B2" w:rsidRDefault="00126249"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l</w:t>
      </w:r>
      <w:r w:rsidR="00E57EB0" w:rsidRPr="00E757B2">
        <w:rPr>
          <w:rFonts w:ascii="Garamond" w:hAnsi="Garamond" w:cs="Times New Roman"/>
          <w:color w:val="000000" w:themeColor="text1"/>
          <w:sz w:val="24"/>
          <w:szCs w:val="24"/>
        </w:rPr>
        <w:t xml:space="preserve">) </w:t>
      </w:r>
      <w:r w:rsidR="00EB1DD3"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koncesionet në fushën e ujit të dhëna:</w:t>
      </w:r>
    </w:p>
    <w:p w14:paraId="307E16C4" w14:textId="7777777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 </w:t>
      </w:r>
      <w:r w:rsidR="000E01EE" w:rsidRPr="00E757B2">
        <w:rPr>
          <w:rFonts w:ascii="Garamond" w:hAnsi="Garamond" w:cs="Times New Roman"/>
          <w:color w:val="000000" w:themeColor="text1"/>
          <w:sz w:val="24"/>
          <w:szCs w:val="24"/>
        </w:rPr>
        <w:t>për të siguruar ose për të operuar rrjete fikse të destinuara për të ofruar një shërbim për publikun në lidhje me prodhimin, transportin ose shpërndarjen e ujit të pijshëm;</w:t>
      </w:r>
    </w:p>
    <w:p w14:paraId="703C39BD" w14:textId="2135C29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për furnizimin me ujë</w:t>
      </w:r>
      <w:r w:rsidR="00E757B2">
        <w:rPr>
          <w:rFonts w:ascii="Garamond" w:hAnsi="Garamond" w:cs="Times New Roman"/>
          <w:color w:val="000000" w:themeColor="text1"/>
          <w:sz w:val="24"/>
          <w:szCs w:val="24"/>
        </w:rPr>
        <w:t xml:space="preserve"> të pijshëm për rrjete të tilla;</w:t>
      </w:r>
    </w:p>
    <w:p w14:paraId="517FEE03" w14:textId="77777777" w:rsidR="000E01EE" w:rsidRPr="00E757B2" w:rsidRDefault="0093023D"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ll</w:t>
      </w:r>
      <w:r w:rsidR="00E57EB0" w:rsidRPr="00E757B2">
        <w:rPr>
          <w:rFonts w:ascii="Garamond" w:hAnsi="Garamond" w:cs="Times New Roman"/>
          <w:color w:val="000000" w:themeColor="text1"/>
          <w:sz w:val="24"/>
          <w:szCs w:val="24"/>
        </w:rPr>
        <w:t xml:space="preserve">) </w:t>
      </w:r>
      <w:r w:rsidR="00EB1DD3"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 koncesionet me njërin ose të dyja objektet e mëposhtme, kur ato lidhen me një veprimtari të parashikuar në shkronjën “k” të kësaj pike:</w:t>
      </w:r>
    </w:p>
    <w:p w14:paraId="33DAC7BA" w14:textId="7777777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 </w:t>
      </w:r>
      <w:r w:rsidR="000E01EE" w:rsidRPr="00E757B2">
        <w:rPr>
          <w:rFonts w:ascii="Garamond" w:hAnsi="Garamond" w:cs="Times New Roman"/>
          <w:color w:val="000000" w:themeColor="text1"/>
          <w:sz w:val="24"/>
          <w:szCs w:val="24"/>
        </w:rPr>
        <w:t xml:space="preserve">projekte inxhinierike hidraulike, ujitje ose kullim të tokës, me kusht që vëllimi i ujit, që do të përdoret për furnizimin me ujë të pijshëm, të përfaqësojë më shumë se 20% të vëllimit të </w:t>
      </w:r>
      <w:r w:rsidR="000E01EE" w:rsidRPr="00E757B2">
        <w:rPr>
          <w:rFonts w:ascii="Garamond" w:hAnsi="Garamond" w:cs="Times New Roman"/>
          <w:color w:val="000000" w:themeColor="text1"/>
          <w:sz w:val="24"/>
          <w:szCs w:val="24"/>
        </w:rPr>
        <w:lastRenderedPageBreak/>
        <w:t>përgjithshëm të ujit të vënë në dispozicion nga këto projekte ose instalime vaditëse ose kulluese; ose</w:t>
      </w:r>
    </w:p>
    <w:p w14:paraId="6B2CEDDB" w14:textId="7777777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largimin apo trajtimin e ujërave të zeza.</w:t>
      </w:r>
    </w:p>
    <w:p w14:paraId="35ADC8BF" w14:textId="77777777" w:rsidR="000E01EE" w:rsidRPr="00E757B2" w:rsidRDefault="00E57E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Rastet e përjashtuara, sipas pikës 1 të këtij neni, rregullohen me akte të tjera ligjore ose nënligjore.</w:t>
      </w:r>
    </w:p>
    <w:p w14:paraId="66FB074C"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753EC7D"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6</w:t>
      </w:r>
    </w:p>
    <w:p w14:paraId="79A4573E"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Licencat dhe lejet</w:t>
      </w:r>
    </w:p>
    <w:p w14:paraId="30B3CB9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C95AF8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Ky ligj nuk zbatohet për licencat dhe lejet administrative, që u jepen operatorëve ekonomikë, autoriteteve kontraktuese, enteve kontraktuese dhe organeve të tjera të sektorit privat apo publik.</w:t>
      </w:r>
    </w:p>
    <w:p w14:paraId="157BA1D1"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2FB8566"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w:t>
      </w:r>
    </w:p>
    <w:p w14:paraId="463975EB"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Kontratat e përziera</w:t>
      </w:r>
    </w:p>
    <w:p w14:paraId="256D866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5C8C7B8"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Koncesionet, që kanë si objekt të tyre si punë, ashtu edhe shërbime, jepen në përputhje me dispozitat e zbatueshme për llojin e koncesionit, që karakterizon objektin kryesor të kontratës në fjalë.</w:t>
      </w:r>
    </w:p>
    <w:p w14:paraId="32A2DC8C" w14:textId="77777777" w:rsidR="000E01EE" w:rsidRPr="00E757B2" w:rsidRDefault="00EB1DD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Në rastin e koncesioneve</w:t>
      </w:r>
      <w:r w:rsidR="000E01EE" w:rsidRPr="00E757B2">
        <w:rPr>
          <w:rFonts w:ascii="Garamond" w:hAnsi="Garamond" w:cs="Times New Roman"/>
          <w:color w:val="000000" w:themeColor="text1"/>
          <w:sz w:val="24"/>
          <w:szCs w:val="24"/>
        </w:rPr>
        <w:t xml:space="preserve"> të përziera, që përbëhen pjesërisht nga shërbime sociale dhe shërbime të tjera specifike, sipas nenit 27 të këtij ligji, dhe pjesërisht nga shërbime të tjera, objekti kryesor përcaktohet sipas asaj se cila nga vlerat e parashikuara të shërbimeve përkatëse është më e larta.</w:t>
      </w:r>
    </w:p>
    <w:p w14:paraId="2CF3C6B2"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 xml:space="preserve">Në rastin e kontratave që kanë si objekt punë ose shërbime të mbuluara nga ky ligj, si dhe furnizime, punë ose shërbime, që rregullohen nga regjime të tjera juridike, autoritetet/entet kontraktuese mund të zgjedhin të lidhin kontrata të veçanta për pjesët e veçanta ose të </w:t>
      </w:r>
      <w:r w:rsidR="00EB1DD3" w:rsidRPr="00E757B2">
        <w:rPr>
          <w:rFonts w:ascii="Garamond" w:hAnsi="Garamond" w:cs="Times New Roman"/>
          <w:color w:val="000000" w:themeColor="text1"/>
          <w:sz w:val="24"/>
          <w:szCs w:val="24"/>
        </w:rPr>
        <w:t>japin një kontratë të vetme kur</w:t>
      </w:r>
      <w:r w:rsidR="000E01EE" w:rsidRPr="00E757B2">
        <w:rPr>
          <w:rFonts w:ascii="Garamond" w:hAnsi="Garamond" w:cs="Times New Roman"/>
          <w:color w:val="000000" w:themeColor="text1"/>
          <w:sz w:val="24"/>
          <w:szCs w:val="24"/>
        </w:rPr>
        <w:t xml:space="preserve"> për arsye ob</w:t>
      </w:r>
      <w:r w:rsidR="00EB1DD3" w:rsidRPr="00E757B2">
        <w:rPr>
          <w:rFonts w:ascii="Garamond" w:hAnsi="Garamond" w:cs="Times New Roman"/>
          <w:color w:val="000000" w:themeColor="text1"/>
          <w:sz w:val="24"/>
          <w:szCs w:val="24"/>
        </w:rPr>
        <w:t>jektive</w:t>
      </w:r>
      <w:r w:rsidR="000E01EE" w:rsidRPr="00E757B2">
        <w:rPr>
          <w:rFonts w:ascii="Garamond" w:hAnsi="Garamond" w:cs="Times New Roman"/>
          <w:color w:val="000000" w:themeColor="text1"/>
          <w:sz w:val="24"/>
          <w:szCs w:val="24"/>
        </w:rPr>
        <w:t xml:space="preserve"> është e pamundur dhënia e kontratave të veçanta. Kur autoritetet/entet kontraktuese zgjedhin të japin kontrata të veçanta për pjesë të veçanta, vendimi se cili regjim juridik zbatohet për secilën nga këto kontrata të veçanta merret në bazë të karakteristikave të pjesës së veçantë në fjalë.</w:t>
      </w:r>
    </w:p>
    <w:p w14:paraId="1F1A5A5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Në çdo rast, zgjedhja midis dhënies së një kontrate të vetme apo të disa kontratave të ndara nuk duhet të bëhet me qëllimin për ta përjashtuar kontratën ose kontratat nga fusha e zbatimit të këtij ligji.</w:t>
      </w:r>
    </w:p>
    <w:p w14:paraId="510917AB" w14:textId="77777777" w:rsidR="000E01EE" w:rsidRPr="00E757B2" w:rsidRDefault="00EB1DD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Kur autoritetet/entet kontraktuese zgjedhin të japin një kontratë të vetme, për dhënien e kontratës do të zbatohen rregullat e mëposhtme:</w:t>
      </w:r>
    </w:p>
    <w:p w14:paraId="64DDE751"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256139"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ë rastin e kontratave të përziera, që përmbajnë elemente të koncesioneve dhe të kontratave publike, sipas ligjit të prokurimit publik, kontrata e vetme jepet në përputhje me ligjin e prokurimit publik, nëse vlera e parashikuar e pjesës së kontratës, që mbulohet nga ligji i prokurimit publik, e llogaritur në përputhje me parashikimet e ligjit të prokurimit publik, është e barabartë ose më e madhe se kufiri i lartë monetar;</w:t>
      </w:r>
    </w:p>
    <w:p w14:paraId="2FFFF35B"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905306" w:rsidRPr="00E757B2">
        <w:rPr>
          <w:rFonts w:ascii="Garamond" w:hAnsi="Garamond" w:cs="Times New Roman"/>
          <w:color w:val="000000" w:themeColor="text1"/>
          <w:sz w:val="24"/>
          <w:szCs w:val="24"/>
        </w:rPr>
        <w:t>në rastin e kontratave</w:t>
      </w:r>
      <w:r w:rsidR="000E01EE" w:rsidRPr="00E757B2">
        <w:rPr>
          <w:rFonts w:ascii="Garamond" w:hAnsi="Garamond" w:cs="Times New Roman"/>
          <w:color w:val="000000" w:themeColor="text1"/>
          <w:sz w:val="24"/>
          <w:szCs w:val="24"/>
        </w:rPr>
        <w:t xml:space="preserve"> për të cilat është objektivisht e pamundur të përcaktohet se për cilën veprimtari është menduar fillimisht kontrata, rregullat që zbatohen përcaktohen në përputhje me sa vijon:</w:t>
      </w:r>
    </w:p>
    <w:p w14:paraId="0927B73D"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 </w:t>
      </w:r>
      <w:r w:rsidR="00905306" w:rsidRPr="00E757B2">
        <w:rPr>
          <w:rFonts w:ascii="Garamond" w:hAnsi="Garamond" w:cs="Times New Roman"/>
          <w:color w:val="000000" w:themeColor="text1"/>
          <w:sz w:val="24"/>
          <w:szCs w:val="24"/>
        </w:rPr>
        <w:t>k</w:t>
      </w:r>
      <w:r w:rsidR="000E01EE" w:rsidRPr="00E757B2">
        <w:rPr>
          <w:rFonts w:ascii="Garamond" w:hAnsi="Garamond" w:cs="Times New Roman"/>
          <w:color w:val="000000" w:themeColor="text1"/>
          <w:sz w:val="24"/>
          <w:szCs w:val="24"/>
        </w:rPr>
        <w:t>ontrata jepet në përputhje me ligjin e prokurimit p</w:t>
      </w:r>
      <w:r w:rsidR="00905306" w:rsidRPr="00E757B2">
        <w:rPr>
          <w:rFonts w:ascii="Garamond" w:hAnsi="Garamond" w:cs="Times New Roman"/>
          <w:color w:val="000000" w:themeColor="text1"/>
          <w:sz w:val="24"/>
          <w:szCs w:val="24"/>
        </w:rPr>
        <w:t>ublik nëse një nga aktivitetet për të cilat synohet kontrata</w:t>
      </w:r>
      <w:r w:rsidR="000E01EE" w:rsidRPr="00E757B2">
        <w:rPr>
          <w:rFonts w:ascii="Garamond" w:hAnsi="Garamond" w:cs="Times New Roman"/>
          <w:color w:val="000000" w:themeColor="text1"/>
          <w:sz w:val="24"/>
          <w:szCs w:val="24"/>
        </w:rPr>
        <w:t xml:space="preserve"> është objekt i këtij ligji dhe tjetri është objekt i prokurimit në sektorin klasik sipas ligjit të prokurimit publik;</w:t>
      </w:r>
    </w:p>
    <w:p w14:paraId="53AD5615" w14:textId="2676EC74"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ii.</w:t>
      </w:r>
      <w:r w:rsidR="000D23A0" w:rsidRPr="00E757B2">
        <w:rPr>
          <w:rFonts w:ascii="Garamond" w:hAnsi="Garamond" w:cs="Times New Roman"/>
          <w:color w:val="000000" w:themeColor="text1"/>
          <w:sz w:val="24"/>
          <w:szCs w:val="24"/>
        </w:rPr>
        <w:t xml:space="preserve"> </w:t>
      </w:r>
      <w:r w:rsidR="00905306" w:rsidRPr="00E757B2">
        <w:rPr>
          <w:rFonts w:ascii="Garamond" w:hAnsi="Garamond" w:cs="Times New Roman"/>
          <w:color w:val="000000" w:themeColor="text1"/>
          <w:sz w:val="24"/>
          <w:szCs w:val="24"/>
        </w:rPr>
        <w:t>k</w:t>
      </w:r>
      <w:r w:rsidRPr="00E757B2">
        <w:rPr>
          <w:rFonts w:ascii="Garamond" w:hAnsi="Garamond" w:cs="Times New Roman"/>
          <w:color w:val="000000" w:themeColor="text1"/>
          <w:sz w:val="24"/>
          <w:szCs w:val="24"/>
        </w:rPr>
        <w:t>ontrata jepet n</w:t>
      </w:r>
      <w:r w:rsidR="00905306" w:rsidRPr="00E757B2">
        <w:rPr>
          <w:rFonts w:ascii="Garamond" w:hAnsi="Garamond" w:cs="Times New Roman"/>
          <w:color w:val="000000" w:themeColor="text1"/>
          <w:sz w:val="24"/>
          <w:szCs w:val="24"/>
        </w:rPr>
        <w:t>ë përputhje me këtë ligj nëse një nga aktivitetet për të cilat synohet kontrata</w:t>
      </w:r>
      <w:r w:rsidRPr="00E757B2">
        <w:rPr>
          <w:rFonts w:ascii="Garamond" w:hAnsi="Garamond" w:cs="Times New Roman"/>
          <w:color w:val="000000" w:themeColor="text1"/>
          <w:sz w:val="24"/>
          <w:szCs w:val="24"/>
        </w:rPr>
        <w:t xml:space="preserve"> i nënshtrohet këtij ligji dhe tjetri nuk i nënshtrohet as këtij ligji, as ligjit të prokurimit pub</w:t>
      </w:r>
      <w:r w:rsidR="00E757B2">
        <w:rPr>
          <w:rFonts w:ascii="Garamond" w:hAnsi="Garamond" w:cs="Times New Roman"/>
          <w:color w:val="000000" w:themeColor="text1"/>
          <w:sz w:val="24"/>
          <w:szCs w:val="24"/>
        </w:rPr>
        <w:t>lik;</w:t>
      </w:r>
    </w:p>
    <w:p w14:paraId="3BCC42F0"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905306"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ë rastin kur pjesë të ndryshme të një kontrate të caktuar mbulohen nga ligji për prokurimet në fushën e mbrojtjes e të sigurisë, kontrata mund të jepet pa zbatuar këtë ligj, me kusht që dhënia e një kontrate të vetme është e justifikuar për arsye objektive;</w:t>
      </w:r>
    </w:p>
    <w:p w14:paraId="2630CCD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905306" w:rsidRPr="00E757B2">
        <w:rPr>
          <w:rFonts w:ascii="Garamond" w:hAnsi="Garamond" w:cs="Times New Roman"/>
          <w:color w:val="000000" w:themeColor="text1"/>
          <w:sz w:val="24"/>
          <w:szCs w:val="24"/>
        </w:rPr>
        <w:t>n</w:t>
      </w:r>
      <w:r w:rsidRPr="00E757B2">
        <w:rPr>
          <w:rFonts w:ascii="Garamond" w:hAnsi="Garamond" w:cs="Times New Roman"/>
          <w:color w:val="000000" w:themeColor="text1"/>
          <w:sz w:val="24"/>
          <w:szCs w:val="24"/>
        </w:rPr>
        <w:t xml:space="preserve">ë rastin kur një pjesë e një kontrate të caktuar mbulohet nga ligji për prokurimet në fushën e mbrojtjes e të sigurisë, kontrata mund </w:t>
      </w:r>
      <w:r w:rsidR="00905306" w:rsidRPr="00E757B2">
        <w:rPr>
          <w:rFonts w:ascii="Garamond" w:hAnsi="Garamond" w:cs="Times New Roman"/>
          <w:color w:val="000000" w:themeColor="text1"/>
          <w:sz w:val="24"/>
          <w:szCs w:val="24"/>
        </w:rPr>
        <w:t xml:space="preserve">të </w:t>
      </w:r>
      <w:r w:rsidRPr="00E757B2">
        <w:rPr>
          <w:rFonts w:ascii="Garamond" w:hAnsi="Garamond" w:cs="Times New Roman"/>
          <w:color w:val="000000" w:themeColor="text1"/>
          <w:sz w:val="24"/>
          <w:szCs w:val="24"/>
        </w:rPr>
        <w:t>jepet në përputhje me këtë ligj ose në përputhje me ligjin për prokurimet në fushën e mbrojtjes dhe të sigurisë, me kusht që dhënia e një kontrate të vetme justifikohet për arsye objektive;</w:t>
      </w:r>
    </w:p>
    <w:p w14:paraId="392E9A1D"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 </w:t>
      </w:r>
      <w:r w:rsidR="00905306"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ë rastin e kontratave që synojnë të mbulojnë një veprimtari sektoriale, që i nënshtrohet këtij ligji, dhe një tjetri që mbulohet nga ligji për prokurimet në fushën e mbrojtjes dhe të sigurisë, autoriteti/enti kontraktues mund të zgjedhë të japë një kontratë ose në përputhje me këtë ligj, ose në përputhje me ligjin për prokurimet në fushën e mbrojtjes e të sigurisë.</w:t>
      </w:r>
    </w:p>
    <w:p w14:paraId="4BDB0DBF"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Kur është e pamundur që pjesë të ndryshme të një kontrate publike të përzier të ndahen, kontrata e vetme do të jepet në bazë të rregullave të zbatuesh</w:t>
      </w:r>
      <w:r w:rsidR="00905306" w:rsidRPr="00E757B2">
        <w:rPr>
          <w:rFonts w:ascii="Garamond" w:hAnsi="Garamond" w:cs="Times New Roman"/>
          <w:color w:val="000000" w:themeColor="text1"/>
          <w:sz w:val="24"/>
          <w:szCs w:val="24"/>
        </w:rPr>
        <w:t>me për objektin kryesor të saj.</w:t>
      </w:r>
    </w:p>
    <w:p w14:paraId="2DAB2F9B"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905306" w:rsidRPr="00E757B2">
        <w:rPr>
          <w:rFonts w:ascii="Garamond" w:hAnsi="Garamond" w:cs="Times New Roman"/>
          <w:color w:val="000000" w:themeColor="text1"/>
          <w:sz w:val="24"/>
          <w:szCs w:val="24"/>
        </w:rPr>
        <w:t>Për kontratat e përziera</w:t>
      </w:r>
      <w:r w:rsidR="000E01EE" w:rsidRPr="00E757B2">
        <w:rPr>
          <w:rFonts w:ascii="Garamond" w:hAnsi="Garamond" w:cs="Times New Roman"/>
          <w:color w:val="000000" w:themeColor="text1"/>
          <w:sz w:val="24"/>
          <w:szCs w:val="24"/>
        </w:rPr>
        <w:t xml:space="preserve"> për të cilat është e pamundur të ndahen dhe është e pamundur të përcaktohet se cila veprimtari është objekti kryesor, rre</w:t>
      </w:r>
      <w:r w:rsidR="00EC698D" w:rsidRPr="00E757B2">
        <w:rPr>
          <w:rFonts w:ascii="Garamond" w:hAnsi="Garamond" w:cs="Times New Roman"/>
          <w:color w:val="000000" w:themeColor="text1"/>
          <w:sz w:val="24"/>
          <w:szCs w:val="24"/>
        </w:rPr>
        <w:t>gullat e zbatueshme përcaktohen</w:t>
      </w:r>
      <w:r w:rsidR="000E01EE" w:rsidRPr="00E757B2">
        <w:rPr>
          <w:rFonts w:ascii="Garamond" w:hAnsi="Garamond" w:cs="Times New Roman"/>
          <w:color w:val="000000" w:themeColor="text1"/>
          <w:sz w:val="24"/>
          <w:szCs w:val="24"/>
        </w:rPr>
        <w:t xml:space="preserve"> si më poshtë:</w:t>
      </w:r>
    </w:p>
    <w:p w14:paraId="1B4E1145"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n</w:t>
      </w:r>
      <w:r w:rsidR="000E01EE" w:rsidRPr="00E757B2">
        <w:rPr>
          <w:rFonts w:ascii="Garamond" w:hAnsi="Garamond" w:cs="Times New Roman"/>
          <w:color w:val="000000" w:themeColor="text1"/>
          <w:sz w:val="24"/>
          <w:szCs w:val="24"/>
        </w:rPr>
        <w:t>ë rast se kontrata të tilla përfshijnë elemente të një koncesioni shërbimesh dhe të një kontrate mallrash, objekti kryesor përcaktohet sipas asaj se cila nga vlerat e parashikuara të shërbimeve ose të mallrave përkatëse është më e larta;</w:t>
      </w:r>
    </w:p>
    <w:p w14:paraId="1CF9543E" w14:textId="77777777" w:rsidR="000E01EE" w:rsidRPr="00E757B2" w:rsidRDefault="000D23A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n</w:t>
      </w:r>
      <w:r w:rsidR="000E01EE" w:rsidRPr="00E757B2">
        <w:rPr>
          <w:rFonts w:ascii="Garamond" w:hAnsi="Garamond" w:cs="Times New Roman"/>
          <w:color w:val="000000" w:themeColor="text1"/>
          <w:sz w:val="24"/>
          <w:szCs w:val="24"/>
        </w:rPr>
        <w:t>ë rast se kontratat e përziera përfshijnë elemente të një koncesioni dhe të kontratave të furnizimit, punëve dhe shërbimeve sipas ligjit të prokurimeve në fushën e mbrojtjes e të sigurisë, autoriteti/enti kontraktues mund të zgj</w:t>
      </w:r>
      <w:r w:rsidR="00EC698D" w:rsidRPr="00E757B2">
        <w:rPr>
          <w:rFonts w:ascii="Garamond" w:hAnsi="Garamond" w:cs="Times New Roman"/>
          <w:color w:val="000000" w:themeColor="text1"/>
          <w:sz w:val="24"/>
          <w:szCs w:val="24"/>
        </w:rPr>
        <w:t>edhë për të lidhur një kontratë</w:t>
      </w:r>
      <w:r w:rsidR="000E01EE" w:rsidRPr="00E757B2">
        <w:rPr>
          <w:rFonts w:ascii="Garamond" w:hAnsi="Garamond" w:cs="Times New Roman"/>
          <w:color w:val="000000" w:themeColor="text1"/>
          <w:sz w:val="24"/>
          <w:szCs w:val="24"/>
        </w:rPr>
        <w:t xml:space="preserve"> në përputhje me këtë ligj ose në përputhje me ligjin për prokurimet në fushën e mbrojtjes e të sigurisë.</w:t>
      </w:r>
    </w:p>
    <w:p w14:paraId="24218FA3"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6903423"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8</w:t>
      </w:r>
    </w:p>
    <w:p w14:paraId="552CE6F9"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Partneriteti publik privat</w:t>
      </w:r>
    </w:p>
    <w:p w14:paraId="36A5CA81"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1568DDC"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w:t>
      </w:r>
      <w:r w:rsidR="00EC698D"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Partneriteti publik privat nënkupton një formë bashkëpunimi afatgjatë, të rregulluar me kontratë, ndërmjet autoritetit/entit kontraktues, partnerit publik, dhe një ose më shumë operatorëve ekonomikë, ose SPV, partnerit privat, ku:</w:t>
      </w:r>
    </w:p>
    <w:p w14:paraId="408CDFFA"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w:t>
      </w:r>
      <w:r w:rsidR="00EC698D"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partneri publik merr përsipër të ofrojë mbështetje të drejtpërdrejtë financiare, pjesërisht ose plotësisht për realizimin e investimit në kontratat e punëve publike ose kontratat e shërbimeve të partneritetit publik privat;</w:t>
      </w:r>
    </w:p>
    <w:p w14:paraId="7779565B"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w:t>
      </w:r>
      <w:r w:rsidR="00EC698D"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partneri privat merr përsipër detyrimin për t’u ofruar shërbime publike përdoruesve të shërbimeve brenda fushës së kompetencave të partnerit publik dhe/ose detyrimin për t’i siguruar partnerit publik parakushtet e nevojshme për t’u ofruar shërbimet publike përdoruesve të shërbimeve dhe/ose veprimtaritë brenda fushës së kompetencave të tij;</w:t>
      </w:r>
    </w:p>
    <w:p w14:paraId="04F2C76A"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w:t>
      </w:r>
      <w:r w:rsidR="00EC698D"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partneri privat, me qëllim që të përmbushë detyrimet e shkronjës “a” të kësaj pike, mund të marrë përsipër:</w:t>
      </w:r>
    </w:p>
    <w:p w14:paraId="70D8E5C7"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w:t>
      </w:r>
      <w:r w:rsidR="00EC698D"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detyrimin që të financojë, të projektojë, të ndërtojë dhe/ose të rindërtojë/të rinovojë objektin e infrastrukturës publike, të operojë dhe të mirëmbajë objektin e infrastrukturës publike të ndërtuar dhe/ose të rindërtuar/të rinovuar rishtazi;</w:t>
      </w:r>
    </w:p>
    <w:p w14:paraId="4BF3ECF1"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ii.</w:t>
      </w:r>
      <w:r w:rsidR="00EC698D"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detyrimin që të përdorë, të operojë dhe të mirëmbajë një objekt ekzistues të infrastrukturës publike;</w:t>
      </w:r>
    </w:p>
    <w:p w14:paraId="67D5B7E2" w14:textId="3B59F090"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iii.</w:t>
      </w:r>
      <w:r w:rsidR="00EC698D"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çdo kombinim të d</w:t>
      </w:r>
      <w:r w:rsidR="00EC698D" w:rsidRPr="00E757B2">
        <w:rPr>
          <w:rFonts w:ascii="Garamond" w:hAnsi="Garamond" w:cs="Times New Roman"/>
          <w:color w:val="000000" w:themeColor="text1"/>
          <w:sz w:val="24"/>
          <w:szCs w:val="24"/>
        </w:rPr>
        <w:t>etyrimeve të përmendura më lart</w:t>
      </w:r>
      <w:r w:rsidR="000E01EE" w:rsidRPr="00E757B2">
        <w:rPr>
          <w:rFonts w:ascii="Garamond" w:hAnsi="Garamond" w:cs="Times New Roman"/>
          <w:color w:val="000000" w:themeColor="text1"/>
          <w:sz w:val="24"/>
          <w:szCs w:val="24"/>
        </w:rPr>
        <w:t xml:space="preserve"> për sa kohë që kombinimi i këtyre detyrimeve është për qëllim të përmbushjes së objektivave të përcaktuar</w:t>
      </w:r>
      <w:r w:rsidR="00E757B2">
        <w:rPr>
          <w:rFonts w:ascii="Garamond" w:hAnsi="Garamond" w:cs="Times New Roman"/>
          <w:color w:val="000000" w:themeColor="text1"/>
          <w:sz w:val="24"/>
          <w:szCs w:val="24"/>
        </w:rPr>
        <w:t xml:space="preserve"> në shkronjën “a” të kësaj pike;</w:t>
      </w:r>
    </w:p>
    <w:p w14:paraId="0CFC4D3E"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0E01EE" w:rsidRPr="00E757B2">
        <w:rPr>
          <w:rFonts w:ascii="Garamond" w:hAnsi="Garamond" w:cs="Times New Roman"/>
          <w:color w:val="000000" w:themeColor="text1"/>
          <w:sz w:val="24"/>
          <w:szCs w:val="24"/>
        </w:rPr>
        <w:t xml:space="preserve">në kuadër të marrjes përsipër të detyrimeve të </w:t>
      </w:r>
      <w:r w:rsidR="00364715" w:rsidRPr="00E757B2">
        <w:rPr>
          <w:rFonts w:ascii="Garamond" w:hAnsi="Garamond" w:cs="Times New Roman"/>
          <w:color w:val="000000" w:themeColor="text1"/>
          <w:sz w:val="24"/>
          <w:szCs w:val="24"/>
        </w:rPr>
        <w:t>parashikuara në</w:t>
      </w:r>
      <w:r w:rsidR="00EC698D" w:rsidRPr="00E757B2">
        <w:rPr>
          <w:rFonts w:ascii="Garamond" w:hAnsi="Garamond" w:cs="Times New Roman"/>
          <w:color w:val="000000" w:themeColor="text1"/>
          <w:sz w:val="24"/>
          <w:szCs w:val="24"/>
        </w:rPr>
        <w:t xml:space="preserve"> shkronjat “a” dhe “b”</w:t>
      </w:r>
      <w:r w:rsidR="000E01EE" w:rsidRPr="00E757B2">
        <w:rPr>
          <w:rFonts w:ascii="Garamond" w:hAnsi="Garamond" w:cs="Times New Roman"/>
          <w:color w:val="000000" w:themeColor="text1"/>
          <w:sz w:val="24"/>
          <w:szCs w:val="24"/>
        </w:rPr>
        <w:t xml:space="preserve"> të kësaj pike, partneri privat zakonisht merr përsipër nivele dhe shtrirje të ndryshme të risqeve, që lidhen me financimin, ndërtimin, kërkesën dhe/ose disponueshmërinë, dhe të tjera, si: operimi, menaxhimi, mirëmbajtja dhe risqet teknike, varësisht nga forma e partneritetit publik privat dhe varësisht nga përcaktimi, rast pas rasti;</w:t>
      </w:r>
    </w:p>
    <w:p w14:paraId="462C0BD4"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 </w:t>
      </w:r>
      <w:r w:rsidR="000E01EE" w:rsidRPr="00E757B2">
        <w:rPr>
          <w:rFonts w:ascii="Garamond" w:hAnsi="Garamond" w:cs="Times New Roman"/>
          <w:color w:val="000000" w:themeColor="text1"/>
          <w:sz w:val="24"/>
          <w:szCs w:val="24"/>
        </w:rPr>
        <w:t>për kohëzgjatjen e partneritetit publik privat, çdo partner zakonisht merr përgjegjësinë për rastet e riskut, që janë nën sferën e ndikimit të tij ose kur përgjegjësia ndahet;</w:t>
      </w:r>
    </w:p>
    <w:p w14:paraId="22CEA8B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dh) partneri privat shpërblehet kryesisht, por jo ekskluzivisht, dhe në përputhje me kontratën:</w:t>
      </w:r>
    </w:p>
    <w:p w14:paraId="6D2B797A"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 </w:t>
      </w:r>
      <w:r w:rsidR="000E01EE" w:rsidRPr="00E757B2">
        <w:rPr>
          <w:rFonts w:ascii="Garamond" w:hAnsi="Garamond" w:cs="Times New Roman"/>
          <w:color w:val="000000" w:themeColor="text1"/>
          <w:sz w:val="24"/>
          <w:szCs w:val="24"/>
        </w:rPr>
        <w:t>me pagesat e rregullta të drejtpërdrejta të paguara nga ose në emër të partnerit publik, zakonisht në lidhje me disponueshmërinë e objektit dhe/ose shërbimit të ofruar;</w:t>
      </w:r>
    </w:p>
    <w:p w14:paraId="37E026F8"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me forma të tjera të mbështetjes financiare, duke përfshirë transferimin e të drejtave materiale dhe të të drejtave të tjera reale;</w:t>
      </w:r>
    </w:p>
    <w:p w14:paraId="2D43D66E" w14:textId="046E96AA"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iii.</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një kombinim i</w:t>
      </w:r>
      <w:r w:rsidR="00E757B2">
        <w:rPr>
          <w:rFonts w:ascii="Garamond" w:hAnsi="Garamond" w:cs="Times New Roman"/>
          <w:color w:val="000000" w:themeColor="text1"/>
          <w:sz w:val="24"/>
          <w:szCs w:val="24"/>
        </w:rPr>
        <w:t xml:space="preserve"> mjeteve të përshkruara më lart;</w:t>
      </w:r>
    </w:p>
    <w:p w14:paraId="1E8607BD"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e) </w:t>
      </w:r>
      <w:r w:rsidR="000E01EE" w:rsidRPr="00E757B2">
        <w:rPr>
          <w:rFonts w:ascii="Garamond" w:hAnsi="Garamond" w:cs="Times New Roman"/>
          <w:color w:val="000000" w:themeColor="text1"/>
          <w:sz w:val="24"/>
          <w:szCs w:val="24"/>
        </w:rPr>
        <w:t>partneri publik i mundëson partnerit privat kryerjen e aktiviteteve tregtare, të përcaktuara në kontratë së bashku me detyrimet, që rrjedhin nga shkronjat “a” dhe “</w:t>
      </w:r>
      <w:r w:rsidR="00662A53" w:rsidRPr="00E757B2">
        <w:rPr>
          <w:rFonts w:ascii="Garamond" w:hAnsi="Garamond" w:cs="Times New Roman"/>
          <w:color w:val="000000" w:themeColor="text1"/>
          <w:sz w:val="24"/>
          <w:szCs w:val="24"/>
        </w:rPr>
        <w:t>b”</w:t>
      </w:r>
      <w:r w:rsidR="000E01EE" w:rsidRPr="00E757B2">
        <w:rPr>
          <w:rFonts w:ascii="Garamond" w:hAnsi="Garamond" w:cs="Times New Roman"/>
          <w:color w:val="000000" w:themeColor="text1"/>
          <w:sz w:val="24"/>
          <w:szCs w:val="24"/>
        </w:rPr>
        <w:t xml:space="preserve"> të kësaj pike, nëse kjo siguron nivelin e nevojshëm të efikasitetit të kostos së pjesëmarrjes private dhe kthimit të arsyeshëm të investimit, si dhe </w:t>
      </w:r>
      <w:r w:rsidR="00662A53" w:rsidRPr="00E757B2">
        <w:rPr>
          <w:rFonts w:ascii="Garamond" w:hAnsi="Garamond" w:cs="Times New Roman"/>
          <w:color w:val="000000" w:themeColor="text1"/>
          <w:sz w:val="24"/>
          <w:szCs w:val="24"/>
        </w:rPr>
        <w:t>një vlerë më të mirë të parasë.</w:t>
      </w:r>
    </w:p>
    <w:p w14:paraId="16E3A5F8"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Kontratat publike, që nuk i plotësojnë kushtet e këtij neni, nuk konsiderohen partneritet publik privat. Kushte të tilla nënkuptojnë, por nuk kufizohen vetëm në kohëzgjatjen e kontratës, transferimin e risqeve kryesore të natyrshme dhe mjetet e shpërblimit.</w:t>
      </w:r>
    </w:p>
    <w:p w14:paraId="3662D96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93C55F6"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9</w:t>
      </w:r>
    </w:p>
    <w:p w14:paraId="6ABA81A7"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Parimet themelore</w:t>
      </w:r>
    </w:p>
    <w:p w14:paraId="100CC1D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475AE66"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Procedura për dhënien e koncesioneve/partneriteteve publike private zbatohet në përputhje me parimet e transparencës, mosdiskriminimit, proporcionalitetit, efikasitetit, trajtimit të barabartë, reciprocitetit dhe të sigurisë ligjore.</w:t>
      </w:r>
    </w:p>
    <w:p w14:paraId="41B04F9A"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Përgatitja e procedurës konkurruese të dhënies me koncesion/partneritet publik privat, duke përfshirë përllogaritjen e vlerës, nuk bëhet me qëllimin e përjashtimit nga objekti i këtij ligji ose për të favorizuar ose disavantazhuar në mënyrë të padrejtë një numër operatorësh ekonomikë ose punësh, mallrash ose shërbimesh të caktuara.</w:t>
      </w:r>
    </w:p>
    <w:p w14:paraId="23EAAAE7"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Ky ligj njeh parimin e administrimit të lirë nga autoritetet kombëtare, qendrore dhe vendore. Këto autoritete janë të lira të vendosin se si ta menaxhojnë më mirë ekzekutimin e pu</w:t>
      </w:r>
      <w:r w:rsidR="0063457B" w:rsidRPr="00E757B2">
        <w:rPr>
          <w:rFonts w:ascii="Garamond" w:hAnsi="Garamond" w:cs="Times New Roman"/>
          <w:color w:val="000000" w:themeColor="text1"/>
          <w:sz w:val="24"/>
          <w:szCs w:val="24"/>
        </w:rPr>
        <w:t>nimeve ose ofrimin e shërbimeve</w:t>
      </w:r>
      <w:r w:rsidR="000E01EE" w:rsidRPr="00E757B2">
        <w:rPr>
          <w:rFonts w:ascii="Garamond" w:hAnsi="Garamond" w:cs="Times New Roman"/>
          <w:color w:val="000000" w:themeColor="text1"/>
          <w:sz w:val="24"/>
          <w:szCs w:val="24"/>
        </w:rPr>
        <w:t xml:space="preserve"> për të siguruar në veçanti një nivel të lartë cilësie, sigurie dhe përballueshmërie, trajtim të barabartë dhe promovimin e aksesit universal dhe të të drejtave të përdoruesve në shërbimet publike. Këto autoritete mund të zgjedhin të kryejnë detyrat e tyre me interes publik me burimet e tyre ose në bashkëpunim me autoritete të tjera ose t’ua delegojnë ato operatorëve ekonomikë.</w:t>
      </w:r>
    </w:p>
    <w:p w14:paraId="7CAB1F3B"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Ky ligj nuk ndikon në sistemet e pronësisë së Republikës së Shqipërisë, ku, në veçanti, nuk kërkohet privatizimi i ndërmarrjeve publike, që ofrojnë shërbime për publikun.</w:t>
      </w:r>
    </w:p>
    <w:p w14:paraId="4BDA06EE" w14:textId="77777777" w:rsidR="00A0515F" w:rsidRPr="00E757B2" w:rsidRDefault="00A0515F" w:rsidP="002D3692">
      <w:pPr>
        <w:spacing w:after="0" w:line="240" w:lineRule="auto"/>
        <w:ind w:firstLine="284"/>
        <w:jc w:val="both"/>
        <w:rPr>
          <w:rFonts w:ascii="Garamond" w:hAnsi="Garamond" w:cs="Times New Roman"/>
          <w:color w:val="000000" w:themeColor="text1"/>
          <w:sz w:val="24"/>
          <w:szCs w:val="24"/>
        </w:rPr>
      </w:pPr>
    </w:p>
    <w:p w14:paraId="0648B2E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10</w:t>
      </w:r>
    </w:p>
    <w:p w14:paraId="2E04049C"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Ministria përgjegjëse për ekonominë</w:t>
      </w:r>
    </w:p>
    <w:p w14:paraId="6B31B37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CBE60B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Ministria përgjegjëse për ekonominë është institucioni përgjegjës, i cili orienton dhe harmonizon veprimtaritë për zhvillimin e koncesioneve/partneriteteve publike private.</w:t>
      </w:r>
    </w:p>
    <w:p w14:paraId="5E919583" w14:textId="77777777" w:rsidR="007879F0" w:rsidRPr="00E757B2" w:rsidRDefault="007879F0" w:rsidP="002D3692">
      <w:pPr>
        <w:spacing w:after="0" w:line="240" w:lineRule="auto"/>
        <w:ind w:firstLine="284"/>
        <w:jc w:val="both"/>
        <w:rPr>
          <w:rFonts w:ascii="Garamond" w:hAnsi="Garamond" w:cs="Times New Roman"/>
          <w:color w:val="000000" w:themeColor="text1"/>
          <w:sz w:val="24"/>
          <w:szCs w:val="24"/>
        </w:rPr>
      </w:pPr>
    </w:p>
    <w:p w14:paraId="1221A99F"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11</w:t>
      </w:r>
    </w:p>
    <w:p w14:paraId="3074E2DF"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Ministria përgjegjëse për financat</w:t>
      </w:r>
    </w:p>
    <w:p w14:paraId="0F30620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E2C5D6F"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Autoriteti i ministrisë përgjegjëse për financat lidhur me koncesionet/partneritetet publike private ushtrohet sipas përcaktimeve në nenet e veçanta të këtij ligji.</w:t>
      </w:r>
    </w:p>
    <w:p w14:paraId="17095773"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Ministria përgjegjëse për financat vlerëson e mir</w:t>
      </w:r>
      <w:r w:rsidR="0063457B" w:rsidRPr="00E757B2">
        <w:rPr>
          <w:rFonts w:ascii="Garamond" w:hAnsi="Garamond" w:cs="Times New Roman"/>
          <w:color w:val="000000" w:themeColor="text1"/>
          <w:sz w:val="24"/>
          <w:szCs w:val="24"/>
        </w:rPr>
        <w:t xml:space="preserve">aton paraprakisht të gjitha </w:t>
      </w:r>
      <w:r w:rsidR="000E01EE" w:rsidRPr="00E757B2">
        <w:rPr>
          <w:rFonts w:ascii="Garamond" w:hAnsi="Garamond" w:cs="Times New Roman"/>
          <w:color w:val="000000" w:themeColor="text1"/>
          <w:sz w:val="24"/>
          <w:szCs w:val="24"/>
        </w:rPr>
        <w:t>studimet e fizibilitetit të projekteve të koncesionit/partneritetit publik privat, si dhe çdo ndryshim apo transferim të tyre, nga pikëpamja e implikimeve individuale apo në grup për shpenzimet buxhetore, deficitin buxhetor, qëndrueshmërinë e borxhit publik dhe detyrimet kontingjente eventuale. Nëse autoriteti ose enti kontraktues nuk e ka shpallur procedurën konkurruese të dhënies me koncesion/partneri</w:t>
      </w:r>
      <w:r w:rsidR="0063457B" w:rsidRPr="00E757B2">
        <w:rPr>
          <w:rFonts w:ascii="Garamond" w:hAnsi="Garamond" w:cs="Times New Roman"/>
          <w:color w:val="000000" w:themeColor="text1"/>
          <w:sz w:val="24"/>
          <w:szCs w:val="24"/>
        </w:rPr>
        <w:t xml:space="preserve">tet publik privat brenda 2 </w:t>
      </w:r>
      <w:r w:rsidR="000E01EE" w:rsidRPr="00E757B2">
        <w:rPr>
          <w:rFonts w:ascii="Garamond" w:hAnsi="Garamond" w:cs="Times New Roman"/>
          <w:color w:val="000000" w:themeColor="text1"/>
          <w:sz w:val="24"/>
          <w:szCs w:val="24"/>
        </w:rPr>
        <w:t>vjetëve nga marrja e miratimit nga ministria përgjegjëse për financat, do të dërgojë studimin e fizibilitetit të rishikuar edhe një herë për miratim.</w:t>
      </w:r>
    </w:p>
    <w:p w14:paraId="5C6C8E5F"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Autoritetet kontraktuese ose entet ko</w:t>
      </w:r>
      <w:r w:rsidR="0063457B" w:rsidRPr="00E757B2">
        <w:rPr>
          <w:rFonts w:ascii="Garamond" w:hAnsi="Garamond" w:cs="Times New Roman"/>
          <w:color w:val="000000" w:themeColor="text1"/>
          <w:sz w:val="24"/>
          <w:szCs w:val="24"/>
        </w:rPr>
        <w:t>ntraktuese janë të detyruara që</w:t>
      </w:r>
      <w:r w:rsidR="000E01EE" w:rsidRPr="00E757B2">
        <w:rPr>
          <w:rFonts w:ascii="Garamond" w:hAnsi="Garamond" w:cs="Times New Roman"/>
          <w:color w:val="000000" w:themeColor="text1"/>
          <w:sz w:val="24"/>
          <w:szCs w:val="24"/>
        </w:rPr>
        <w:t xml:space="preserve"> përpara nënshkrimit të kontratës së koncesionit/partneritetit publik privat me operatorin ekonomik të shpallur si fitues, ta paraqesin atë për vlerësim, në përputhje me kriteret e përcaktuara në pikën 2 të këtij neni, në ministrinë përgjegjëse për financat.</w:t>
      </w:r>
    </w:p>
    <w:p w14:paraId="4B9ECA2C"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Autoritetet kontraktuese ose</w:t>
      </w:r>
      <w:r w:rsidR="00597521" w:rsidRPr="00E757B2">
        <w:rPr>
          <w:rFonts w:ascii="Garamond" w:hAnsi="Garamond" w:cs="Times New Roman"/>
          <w:color w:val="000000" w:themeColor="text1"/>
          <w:sz w:val="24"/>
          <w:szCs w:val="24"/>
        </w:rPr>
        <w:t xml:space="preserve"> entet kontraktuese i paraqesin</w:t>
      </w:r>
      <w:r w:rsidR="000E01EE" w:rsidRPr="00E757B2">
        <w:rPr>
          <w:rFonts w:ascii="Garamond" w:hAnsi="Garamond" w:cs="Times New Roman"/>
          <w:color w:val="000000" w:themeColor="text1"/>
          <w:sz w:val="24"/>
          <w:szCs w:val="24"/>
        </w:rPr>
        <w:t xml:space="preserve"> sa herë që kërkohet, por jo më pak se katër herë në vit, ministrit përgjegjës për financat raportet e përmbledhura të monitorimit të zbatimit të kontratave të koncesionit/partneritet publik privat me argumentet dhe shpjegimet përkatëse. Forma, përmbajtja dhe afatet e raporteve të monitorimit përcaktohen me udhëzim të veçantë të ministrit përgjegjës për financat.</w:t>
      </w:r>
    </w:p>
    <w:p w14:paraId="25BED6E6"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Bazuar në raportet e monitorimit, të specifikuara në pikën 4 të këtij neni, ministria përgjegjëse për financat mund t’u rekomandojë autoriteteve kontraktuese ose enteve kontraktuese marrjen e masave për përmirësimin e performancës në ofrimin e shërbimeve dhe të punëve publike, objekt i këtyre kontratave, si dhe për minimizimin apo eliminimin e risqeve të drejtpërdrejta e të tërthorta, që ndikojnë në buxhetin e shtetit.</w:t>
      </w:r>
    </w:p>
    <w:p w14:paraId="2546F206"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Autoritetet kontraktuese ose entet kontraktuese, brenda gjashtëmujorit të parë të çdo viti, dërgojnë në ministrinë përgjegjëse p</w:t>
      </w:r>
      <w:r w:rsidR="00597521" w:rsidRPr="00E757B2">
        <w:rPr>
          <w:rFonts w:ascii="Garamond" w:hAnsi="Garamond" w:cs="Times New Roman"/>
          <w:color w:val="000000" w:themeColor="text1"/>
          <w:sz w:val="24"/>
          <w:szCs w:val="24"/>
        </w:rPr>
        <w:t xml:space="preserve">ër financat pasqyrat financiare </w:t>
      </w:r>
      <w:r w:rsidR="000E01EE" w:rsidRPr="00E757B2">
        <w:rPr>
          <w:rFonts w:ascii="Garamond" w:hAnsi="Garamond" w:cs="Times New Roman"/>
          <w:color w:val="000000" w:themeColor="text1"/>
          <w:sz w:val="24"/>
          <w:szCs w:val="24"/>
        </w:rPr>
        <w:t>vjetore të audituara dhe të konfirmuara nga autoritetet tatimore të vitit paraardhës të shoqërive koncesionare.</w:t>
      </w:r>
    </w:p>
    <w:p w14:paraId="2DBF9A0F"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7. </w:t>
      </w:r>
      <w:r w:rsidR="000E01EE" w:rsidRPr="00E757B2">
        <w:rPr>
          <w:rFonts w:ascii="Garamond" w:hAnsi="Garamond" w:cs="Times New Roman"/>
          <w:color w:val="000000" w:themeColor="text1"/>
          <w:sz w:val="24"/>
          <w:szCs w:val="24"/>
        </w:rPr>
        <w:t xml:space="preserve">Bazuar në të dhënat e mbledhura, në përputhje me pikat 4 e 6 të këtij neni, ministri përgjegjës për financat përgatit një raport vjetor të përmbledhur </w:t>
      </w:r>
      <w:r w:rsidR="00597521" w:rsidRPr="00E757B2">
        <w:rPr>
          <w:rFonts w:ascii="Garamond" w:hAnsi="Garamond" w:cs="Times New Roman"/>
          <w:color w:val="000000" w:themeColor="text1"/>
          <w:sz w:val="24"/>
          <w:szCs w:val="24"/>
        </w:rPr>
        <w:t>për</w:t>
      </w:r>
      <w:r w:rsidR="000E01EE" w:rsidRPr="00E757B2">
        <w:rPr>
          <w:rFonts w:ascii="Garamond" w:hAnsi="Garamond" w:cs="Times New Roman"/>
          <w:color w:val="000000" w:themeColor="text1"/>
          <w:sz w:val="24"/>
          <w:szCs w:val="24"/>
        </w:rPr>
        <w:t xml:space="preserve"> ecurinë e kontratave aktive të koncesionit/partneritetit publik privat, si aneks i raportit vjetor të zbatimit të buxhetit, në përputhje me legjislacionin në fuqi për menaxhimin e sistemit buxhetor.</w:t>
      </w:r>
    </w:p>
    <w:p w14:paraId="2A860F09"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8. </w:t>
      </w:r>
      <w:r w:rsidR="000E01EE" w:rsidRPr="00E757B2">
        <w:rPr>
          <w:rFonts w:ascii="Garamond" w:hAnsi="Garamond" w:cs="Times New Roman"/>
          <w:color w:val="000000" w:themeColor="text1"/>
          <w:sz w:val="24"/>
          <w:szCs w:val="24"/>
        </w:rPr>
        <w:t>Këshilli i Ministrave miraton rregullat për vler</w:t>
      </w:r>
      <w:r w:rsidR="00597521" w:rsidRPr="00E757B2">
        <w:rPr>
          <w:rFonts w:ascii="Garamond" w:hAnsi="Garamond" w:cs="Times New Roman"/>
          <w:color w:val="000000" w:themeColor="text1"/>
          <w:sz w:val="24"/>
          <w:szCs w:val="24"/>
        </w:rPr>
        <w:t>ësimin e miratimin e projekteve</w:t>
      </w:r>
      <w:r w:rsidR="000E01EE" w:rsidRPr="00E757B2">
        <w:rPr>
          <w:rFonts w:ascii="Garamond" w:hAnsi="Garamond" w:cs="Times New Roman"/>
          <w:color w:val="000000" w:themeColor="text1"/>
          <w:sz w:val="24"/>
          <w:szCs w:val="24"/>
        </w:rPr>
        <w:t xml:space="preserve"> sipas pikës 2 të këtij neni.</w:t>
      </w:r>
    </w:p>
    <w:p w14:paraId="73FBA11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75FBA83"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12</w:t>
      </w:r>
    </w:p>
    <w:p w14:paraId="4E82EE42"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Agjencia e Prokurimit Publik</w:t>
      </w:r>
    </w:p>
    <w:p w14:paraId="0FFB3C7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44A3BBA"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Agjencia e Prokurimit Publik kryen detyrat e mëposhtme:</w:t>
      </w:r>
    </w:p>
    <w:p w14:paraId="1EE21A66"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k</w:t>
      </w:r>
      <w:r w:rsidR="000E01EE" w:rsidRPr="00E757B2">
        <w:rPr>
          <w:rFonts w:ascii="Garamond" w:hAnsi="Garamond" w:cs="Times New Roman"/>
          <w:color w:val="000000" w:themeColor="text1"/>
          <w:sz w:val="24"/>
          <w:szCs w:val="24"/>
        </w:rPr>
        <w:t>ryen publikimin e dokumenteve standarde të tenderit;</w:t>
      </w:r>
    </w:p>
    <w:p w14:paraId="631B8E00"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p</w:t>
      </w:r>
      <w:r w:rsidR="000E01EE" w:rsidRPr="00E757B2">
        <w:rPr>
          <w:rFonts w:ascii="Garamond" w:hAnsi="Garamond" w:cs="Times New Roman"/>
          <w:color w:val="000000" w:themeColor="text1"/>
          <w:sz w:val="24"/>
          <w:szCs w:val="24"/>
        </w:rPr>
        <w:t>ërjashton një operator ekonomik, sipas dispozitave të ligjit të prokurimit publik, nga përfitimi i kontratave publike.</w:t>
      </w:r>
    </w:p>
    <w:p w14:paraId="332372C3"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1F677BB"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13</w:t>
      </w:r>
    </w:p>
    <w:p w14:paraId="175C396C"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Institucioni përgjegjës për koncesionet dhe partneritetin publik privat</w:t>
      </w:r>
    </w:p>
    <w:p w14:paraId="48139AB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322ED9E"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Institucioni përgjegjës për koncesionet dhe partneritetin publik privat është institucion publik buxhetor në varësi të ministrit përgjegjës për ekonominë.</w:t>
      </w:r>
    </w:p>
    <w:p w14:paraId="5E029466"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Institucioni përgjegjës për koncesionet dhe partneritetin publik privat financohet nga buxheti i shtetit, si dhe nga të ardhurat që sigurohen nga shërbimet që ofron.</w:t>
      </w:r>
    </w:p>
    <w:p w14:paraId="2403EA44"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Punonjësit e institucionit përgjegjës për koncesionet dhe partneritetin publik privat, të cilët hartojnë studime fizibiliteti, përfitojnë shpërblim të veçantë.</w:t>
      </w:r>
    </w:p>
    <w:p w14:paraId="453F0B0B"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Mënyra e organizimit dhe e funksionimit, shpërblimet e veçanta për punonjësit, si dhe procedurat e niveli i tarifave të shërbimeve, që do të ofrohen nga institucioni përgjegjës për koncesionet dhe partneritetin publik privat, përcaktohen me vendim të Këshillit të Ministrave.</w:t>
      </w:r>
    </w:p>
    <w:p w14:paraId="1E9784C2"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Institucioni përgjegjës për koncesionet dhe partneritetin publik privat ka për qëllim rregullimin dhe mbikëqyrjen e praktikave të koncesioneve dhe partneriteteve</w:t>
      </w:r>
      <w:r w:rsidR="00597521" w:rsidRPr="00E757B2">
        <w:rPr>
          <w:rFonts w:ascii="Garamond" w:hAnsi="Garamond" w:cs="Times New Roman"/>
          <w:color w:val="000000" w:themeColor="text1"/>
          <w:sz w:val="24"/>
          <w:szCs w:val="24"/>
        </w:rPr>
        <w:t xml:space="preserve"> publike private</w:t>
      </w:r>
      <w:r w:rsidR="000E01EE" w:rsidRPr="00E757B2">
        <w:rPr>
          <w:rFonts w:ascii="Garamond" w:hAnsi="Garamond" w:cs="Times New Roman"/>
          <w:color w:val="000000" w:themeColor="text1"/>
          <w:sz w:val="24"/>
          <w:szCs w:val="24"/>
        </w:rPr>
        <w:t xml:space="preserve"> në përputhje me legjislacionin në fuqi dhe standardet evropiane.</w:t>
      </w:r>
    </w:p>
    <w:p w14:paraId="35CCBF33" w14:textId="259F8F7D"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Kompetencat e institucionit përgjegjës për koncesionet dhe p</w:t>
      </w:r>
      <w:r w:rsidR="00597521" w:rsidRPr="00E757B2">
        <w:rPr>
          <w:rFonts w:ascii="Garamond" w:hAnsi="Garamond" w:cs="Times New Roman"/>
          <w:color w:val="000000" w:themeColor="text1"/>
          <w:sz w:val="24"/>
          <w:szCs w:val="24"/>
        </w:rPr>
        <w:t>artneritetin publik privat janë si më poshtë</w:t>
      </w:r>
      <w:r w:rsidR="000E01EE" w:rsidRPr="00E757B2">
        <w:rPr>
          <w:rFonts w:ascii="Garamond" w:hAnsi="Garamond" w:cs="Times New Roman"/>
          <w:color w:val="000000" w:themeColor="text1"/>
          <w:sz w:val="24"/>
          <w:szCs w:val="24"/>
        </w:rPr>
        <w:t>:</w:t>
      </w:r>
      <w:r w:rsidR="00F64194">
        <w:rPr>
          <w:rFonts w:ascii="Garamond" w:hAnsi="Garamond" w:cs="Times New Roman"/>
          <w:color w:val="000000" w:themeColor="text1"/>
          <w:sz w:val="24"/>
          <w:szCs w:val="24"/>
        </w:rPr>
        <w:t xml:space="preserve"> </w:t>
      </w:r>
    </w:p>
    <w:p w14:paraId="0ACFCE43"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p</w:t>
      </w:r>
      <w:r w:rsidR="000E01EE" w:rsidRPr="00E757B2">
        <w:rPr>
          <w:rFonts w:ascii="Garamond" w:hAnsi="Garamond" w:cs="Times New Roman"/>
          <w:color w:val="000000" w:themeColor="text1"/>
          <w:sz w:val="24"/>
          <w:szCs w:val="24"/>
        </w:rPr>
        <w:t>ërgatit studimin e fizibilitetit për projektet e institucioneve qendrore dhe enteve në varësi të tyre;</w:t>
      </w:r>
    </w:p>
    <w:p w14:paraId="6128A5CC"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p</w:t>
      </w:r>
      <w:r w:rsidR="000E01EE" w:rsidRPr="00E757B2">
        <w:rPr>
          <w:rFonts w:ascii="Garamond" w:hAnsi="Garamond" w:cs="Times New Roman"/>
          <w:color w:val="000000" w:themeColor="text1"/>
          <w:sz w:val="24"/>
          <w:szCs w:val="24"/>
        </w:rPr>
        <w:t>ër institucionet e vetëqeverisjes vendore dhe entet</w:t>
      </w:r>
      <w:r w:rsidR="00597521" w:rsidRPr="00E757B2">
        <w:rPr>
          <w:rFonts w:ascii="Garamond" w:hAnsi="Garamond" w:cs="Times New Roman"/>
          <w:color w:val="000000" w:themeColor="text1"/>
          <w:sz w:val="24"/>
          <w:szCs w:val="24"/>
        </w:rPr>
        <w:t xml:space="preserve"> e përcaktuara në shkronjën “b” të pikës 2 të nenit 15,</w:t>
      </w:r>
      <w:r w:rsidR="000E01EE" w:rsidRPr="00E757B2">
        <w:rPr>
          <w:rFonts w:ascii="Garamond" w:hAnsi="Garamond" w:cs="Times New Roman"/>
          <w:color w:val="000000" w:themeColor="text1"/>
          <w:sz w:val="24"/>
          <w:szCs w:val="24"/>
        </w:rPr>
        <w:t xml:space="preserve"> studimet e fizibilitetit hartohen kundrejt pagesës së një tarife të posaçme dhe në varësi të disponueshmërisë;</w:t>
      </w:r>
    </w:p>
    <w:p w14:paraId="6F6D6B8F"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p</w:t>
      </w:r>
      <w:r w:rsidR="000E01EE" w:rsidRPr="00E757B2">
        <w:rPr>
          <w:rFonts w:ascii="Garamond" w:hAnsi="Garamond" w:cs="Times New Roman"/>
          <w:color w:val="000000" w:themeColor="text1"/>
          <w:sz w:val="24"/>
          <w:szCs w:val="24"/>
        </w:rPr>
        <w:t>ropozon pranë ministrit përgjegjës për ekonominë ndryshimin e legjislacionit në fushën e koncesioneve/partneriteteve publike private, si dhe udhëzimet për zbatimin e dispozitave të këtij ligji;</w:t>
      </w:r>
    </w:p>
    <w:p w14:paraId="53C42EBB"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h</w:t>
      </w:r>
      <w:r w:rsidR="000E01EE" w:rsidRPr="00E757B2">
        <w:rPr>
          <w:rFonts w:ascii="Garamond" w:hAnsi="Garamond" w:cs="Times New Roman"/>
          <w:color w:val="000000" w:themeColor="text1"/>
          <w:sz w:val="24"/>
          <w:szCs w:val="24"/>
        </w:rPr>
        <w:t>arton dokumentet standarde të koncesionit/partneritetit publik privat dhe bashkëpunon me Agjencinë e Prokurimit Publik për publikimin e dokumenteve standarde të tenderit;</w:t>
      </w:r>
    </w:p>
    <w:p w14:paraId="2841976C"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 k</w:t>
      </w:r>
      <w:r w:rsidR="000E01EE" w:rsidRPr="00E757B2">
        <w:rPr>
          <w:rFonts w:ascii="Garamond" w:hAnsi="Garamond" w:cs="Times New Roman"/>
          <w:color w:val="000000" w:themeColor="text1"/>
          <w:sz w:val="24"/>
          <w:szCs w:val="24"/>
        </w:rPr>
        <w:t>ryen procedurat e përzgjedhjes së konsulentëve të jashtëm në përputhje me procedurat e prokurimit publik;</w:t>
      </w:r>
    </w:p>
    <w:p w14:paraId="775ADBC1" w14:textId="77777777" w:rsidR="000E01EE" w:rsidRPr="00E757B2" w:rsidRDefault="0059752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dh) </w:t>
      </w:r>
      <w:r w:rsidR="00494B65" w:rsidRPr="00E757B2">
        <w:rPr>
          <w:rFonts w:ascii="Garamond" w:hAnsi="Garamond" w:cs="Times New Roman"/>
          <w:color w:val="000000" w:themeColor="text1"/>
          <w:sz w:val="24"/>
          <w:szCs w:val="24"/>
        </w:rPr>
        <w:t>m</w:t>
      </w:r>
      <w:r w:rsidR="000E01EE" w:rsidRPr="00E757B2">
        <w:rPr>
          <w:rFonts w:ascii="Garamond" w:hAnsi="Garamond" w:cs="Times New Roman"/>
          <w:color w:val="000000" w:themeColor="text1"/>
          <w:sz w:val="24"/>
          <w:szCs w:val="24"/>
        </w:rPr>
        <w:t>bikëqyr veprimtarinë e njësisë së zbatimit të kontratës, me qëllim verifikimin e përputhshmërisë me detyrimet e nenit 60 të këtij ligji dhe të akteve nënligjore në zbatim të tij.</w:t>
      </w:r>
    </w:p>
    <w:p w14:paraId="73AD6CE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F38BD00"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14</w:t>
      </w:r>
    </w:p>
    <w:p w14:paraId="1EB7A16A"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Marrëdhënia e institucionit përgjegjës për koncesionet dhe partneritetin publik privat me autoritetet/entet kontraktuese</w:t>
      </w:r>
    </w:p>
    <w:p w14:paraId="05B80F0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124C614"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Institucioni përgjegjës për koncesionet dhe partneritetin publik privat jep mbështetje teknike dhe asistencë për autoritetin/entet kontraktuese për identifikimin e projekteve të mundshme për koncesionin apo partneritetin publik privat.</w:t>
      </w:r>
    </w:p>
    <w:p w14:paraId="7ACF9486" w14:textId="2A09276E"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Autoritetet/entet kontraktuese janë të detyruara të rapor</w:t>
      </w:r>
      <w:r w:rsidR="00E757B2">
        <w:rPr>
          <w:rFonts w:ascii="Garamond" w:hAnsi="Garamond" w:cs="Times New Roman"/>
          <w:color w:val="000000" w:themeColor="text1"/>
          <w:sz w:val="24"/>
          <w:szCs w:val="24"/>
        </w:rPr>
        <w:t>tojnë peri</w:t>
      </w:r>
      <w:r w:rsidR="00C44404" w:rsidRPr="00E757B2">
        <w:rPr>
          <w:rFonts w:ascii="Garamond" w:hAnsi="Garamond" w:cs="Times New Roman"/>
          <w:color w:val="000000" w:themeColor="text1"/>
          <w:sz w:val="24"/>
          <w:szCs w:val="24"/>
        </w:rPr>
        <w:t>odikisht, të paktën</w:t>
      </w:r>
      <w:r w:rsidR="000E01EE" w:rsidRPr="00E757B2">
        <w:rPr>
          <w:rFonts w:ascii="Garamond" w:hAnsi="Garamond" w:cs="Times New Roman"/>
          <w:color w:val="000000" w:themeColor="text1"/>
          <w:sz w:val="24"/>
          <w:szCs w:val="24"/>
        </w:rPr>
        <w:t xml:space="preserve"> 2 herë në vit, te</w:t>
      </w:r>
      <w:r w:rsidR="00F64194">
        <w:rPr>
          <w:rFonts w:ascii="Garamond" w:hAnsi="Garamond" w:cs="Times New Roman"/>
          <w:color w:val="000000" w:themeColor="text1"/>
          <w:sz w:val="24"/>
          <w:szCs w:val="24"/>
        </w:rPr>
        <w:t>k</w:t>
      </w:r>
      <w:r w:rsidR="000E01EE" w:rsidRPr="00E757B2">
        <w:rPr>
          <w:rFonts w:ascii="Garamond" w:hAnsi="Garamond" w:cs="Times New Roman"/>
          <w:color w:val="000000" w:themeColor="text1"/>
          <w:sz w:val="24"/>
          <w:szCs w:val="24"/>
        </w:rPr>
        <w:t xml:space="preserve"> institucioni përgjegjës për koncesionet dhe partneritetin publik privat për performancën financiare dhe jofinanciare të kontratave të koncesionit/partneritetit publik privat, si dhe një raport vjetor për ecurinë e zbatimit të kushteve dhe të afateve të kontratës së koncesionit/partneritetit publik privat, duke identifikuar çdo problematikë të hasur gjatë periudhës së raportimit.</w:t>
      </w:r>
    </w:p>
    <w:p w14:paraId="0881DFC8"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Institucioni përgjegjës për koncesionet dhe partneritetin publik privat dhe autoritetet/entet kontraktuese bashkëpunojnë në mënyrë të vazhdueshme për të siguruar:</w:t>
      </w:r>
    </w:p>
    <w:p w14:paraId="7972A77C"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standardizimin me praktikat e Bashkimit Evropian;</w:t>
      </w:r>
    </w:p>
    <w:p w14:paraId="3E904A37"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shkëmbimin e eksperiencës dhe trajnimin e personelit;</w:t>
      </w:r>
    </w:p>
    <w:p w14:paraId="407BF7B9" w14:textId="77777777" w:rsidR="000E01EE" w:rsidRPr="00E757B2" w:rsidRDefault="00494B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0E01EE" w:rsidRPr="00E757B2">
        <w:rPr>
          <w:rFonts w:ascii="Garamond" w:hAnsi="Garamond" w:cs="Times New Roman"/>
          <w:color w:val="000000" w:themeColor="text1"/>
          <w:sz w:val="24"/>
          <w:szCs w:val="24"/>
        </w:rPr>
        <w:t>përmirësimin e legjislacionit dhe të procedurave.</w:t>
      </w:r>
    </w:p>
    <w:p w14:paraId="6EDB4294" w14:textId="77777777" w:rsidR="000E01EE" w:rsidRPr="00E757B2" w:rsidRDefault="002D3692"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 </w:t>
      </w:r>
      <w:r w:rsidR="00494B65"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Autoritetet/entet kontraktuese janë të detyruara të respektojnë udhëzimet metodologjike dhe standardet e miratuara nga institucioni përgjegjës për koncesionet dhe partneritetin publik privat, për sa nuk bien ndesh me legjislacionin në fuqi.</w:t>
      </w:r>
    </w:p>
    <w:p w14:paraId="6C9627D1"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7826719"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15</w:t>
      </w:r>
    </w:p>
    <w:p w14:paraId="40BA12C2"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Autoritetet/entet kontraktuese</w:t>
      </w:r>
    </w:p>
    <w:p w14:paraId="3D6E6CC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050C385"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w:t>
      </w:r>
      <w:r w:rsidR="009749B0"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Autoritetet/entet kontraktuese janë institucionet dhe entet, të cilave ky ligj u jep kompetencat për të ndërmarrë një procedurë për dhënien e koncesionit/partneritetit publik privat.</w:t>
      </w:r>
    </w:p>
    <w:p w14:paraId="4569B75B"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w:t>
      </w:r>
      <w:r w:rsidR="009749B0"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Autoritetet kontraktuese janë:</w:t>
      </w:r>
    </w:p>
    <w:p w14:paraId="03AC096F"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w:t>
      </w:r>
      <w:r w:rsidR="009749B0"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institucionet qendrore dhe njësitë e vetëqeverisjes vendore;</w:t>
      </w:r>
    </w:p>
    <w:p w14:paraId="79F2A5F6"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w:t>
      </w:r>
      <w:r w:rsidR="009749B0"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çdo ent:</w:t>
      </w:r>
    </w:p>
    <w:p w14:paraId="6CD5C8DF"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w:t>
      </w:r>
      <w:r w:rsidR="009749B0"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i themeluar për të ndjekur një interes të përgjithshëm dhe me karakter joekonomik apo tregtar;</w:t>
      </w:r>
    </w:p>
    <w:p w14:paraId="6088129D"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i cili ka personalitet juridik;</w:t>
      </w:r>
    </w:p>
    <w:p w14:paraId="5F3EF7C3"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iii.</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i financuar kryesisht nga shteti, autoritetet rajonale apo vendore ose nga ente të tjera publike apo i administruar prej tyre ose me një bord administrativ, menaxherial apo mbikëqyrës, ku më shumë se gjysma e anëtarëve të tyre emërohen nga shteti, autoritetet rajonale ose vendore apo nga entet e tjera publike.</w:t>
      </w:r>
    </w:p>
    <w:p w14:paraId="0DB3CECE"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 xml:space="preserve">Entet kontraktuese janë institucionet dhe entet e përcaktuara në </w:t>
      </w:r>
      <w:r w:rsidR="009749B0" w:rsidRPr="00E757B2">
        <w:rPr>
          <w:rFonts w:ascii="Garamond" w:hAnsi="Garamond" w:cs="Times New Roman"/>
          <w:color w:val="000000" w:themeColor="text1"/>
          <w:sz w:val="24"/>
          <w:szCs w:val="24"/>
        </w:rPr>
        <w:t>pikën 2 të këtij neni, të cilat</w:t>
      </w:r>
      <w:r w:rsidR="000E01EE" w:rsidRPr="00E757B2">
        <w:rPr>
          <w:rFonts w:ascii="Garamond" w:hAnsi="Garamond" w:cs="Times New Roman"/>
          <w:color w:val="000000" w:themeColor="text1"/>
          <w:sz w:val="24"/>
          <w:szCs w:val="24"/>
        </w:rPr>
        <w:t xml:space="preserve"> në</w:t>
      </w:r>
      <w:r w:rsidR="009749B0" w:rsidRPr="00E757B2">
        <w:rPr>
          <w:rFonts w:ascii="Garamond" w:hAnsi="Garamond" w:cs="Times New Roman"/>
          <w:color w:val="000000" w:themeColor="text1"/>
          <w:sz w:val="24"/>
          <w:szCs w:val="24"/>
        </w:rPr>
        <w:t xml:space="preserve"> fushën e tyre të përgjegjësisë</w:t>
      </w:r>
      <w:r w:rsidR="000E01EE" w:rsidRPr="00E757B2">
        <w:rPr>
          <w:rFonts w:ascii="Garamond" w:hAnsi="Garamond" w:cs="Times New Roman"/>
          <w:color w:val="000000" w:themeColor="text1"/>
          <w:sz w:val="24"/>
          <w:szCs w:val="24"/>
        </w:rPr>
        <w:t xml:space="preserve"> kryejnë një nga aktivitetet në sektorët utilitarë të përcaktuar në këtë ligj dhe që do të ndërmarrin një procedurë për dhënien e koncesionit/partneritetit publik privat për ushtrimin e njërit prej këtyre aktiviteteve.</w:t>
      </w:r>
    </w:p>
    <w:p w14:paraId="46117BF1"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Entet kontraktuese janë, gjithashtu, entitete, të ndryshme nga ato</w:t>
      </w:r>
      <w:r w:rsidR="009749B0" w:rsidRPr="00E757B2">
        <w:rPr>
          <w:rFonts w:ascii="Garamond" w:hAnsi="Garamond" w:cs="Times New Roman"/>
          <w:color w:val="000000" w:themeColor="text1"/>
          <w:sz w:val="24"/>
          <w:szCs w:val="24"/>
        </w:rPr>
        <w:t xml:space="preserve"> të përmendura në pikat 2 dhe 3</w:t>
      </w:r>
      <w:r w:rsidR="000E01EE" w:rsidRPr="00E757B2">
        <w:rPr>
          <w:rFonts w:ascii="Garamond" w:hAnsi="Garamond" w:cs="Times New Roman"/>
          <w:color w:val="000000" w:themeColor="text1"/>
          <w:sz w:val="24"/>
          <w:szCs w:val="24"/>
        </w:rPr>
        <w:t xml:space="preserve"> të këtij neni, por që veprojnë në bazë të të drejtave të veçanta ose ekskluzive, të dhëna për ushtrimin e njërit prej aktiviteteve në sektorët e shërbimev</w:t>
      </w:r>
      <w:r w:rsidR="009749B0" w:rsidRPr="00E757B2">
        <w:rPr>
          <w:rFonts w:ascii="Garamond" w:hAnsi="Garamond" w:cs="Times New Roman"/>
          <w:color w:val="000000" w:themeColor="text1"/>
          <w:sz w:val="24"/>
          <w:szCs w:val="24"/>
        </w:rPr>
        <w:t>e të specifikuara në këtë ligj.</w:t>
      </w:r>
    </w:p>
    <w:p w14:paraId="27CCB4DA"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Kur objekti i kontratës së koncesionit/partneritetit publik privat është fushë e veprimtarisë së më shumë se një autoriteti kon</w:t>
      </w:r>
      <w:r w:rsidR="009749B0" w:rsidRPr="00E757B2">
        <w:rPr>
          <w:rFonts w:ascii="Garamond" w:hAnsi="Garamond" w:cs="Times New Roman"/>
          <w:color w:val="000000" w:themeColor="text1"/>
          <w:sz w:val="24"/>
          <w:szCs w:val="24"/>
        </w:rPr>
        <w:t>traktues, Këshilli i Ministrave me vendim</w:t>
      </w:r>
      <w:r w:rsidR="000E01EE" w:rsidRPr="00E757B2">
        <w:rPr>
          <w:rFonts w:ascii="Garamond" w:hAnsi="Garamond" w:cs="Times New Roman"/>
          <w:color w:val="000000" w:themeColor="text1"/>
          <w:sz w:val="24"/>
          <w:szCs w:val="24"/>
        </w:rPr>
        <w:t xml:space="preserve"> përcakton autoritetin kontraktues, sipas rastit.</w:t>
      </w:r>
    </w:p>
    <w:p w14:paraId="7342E30A"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80CDA49"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16</w:t>
      </w:r>
    </w:p>
    <w:p w14:paraId="501F12D6"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Rregulla të zbatueshme për njësitë e vetëqeverisjes vendore dhe entet publike</w:t>
      </w:r>
    </w:p>
    <w:p w14:paraId="5322804C"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DA0B44E"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Njësitë e vetëqeverisjes vendore nuk mund të lidhin kontrata konces</w:t>
      </w:r>
      <w:r w:rsidR="009749B0" w:rsidRPr="00E757B2">
        <w:rPr>
          <w:rFonts w:ascii="Garamond" w:hAnsi="Garamond" w:cs="Times New Roman"/>
          <w:color w:val="000000" w:themeColor="text1"/>
          <w:sz w:val="24"/>
          <w:szCs w:val="24"/>
        </w:rPr>
        <w:t>ioni/partneriteti publik privat</w:t>
      </w:r>
      <w:r w:rsidR="000E01EE" w:rsidRPr="00E757B2">
        <w:rPr>
          <w:rFonts w:ascii="Garamond" w:hAnsi="Garamond" w:cs="Times New Roman"/>
          <w:color w:val="000000" w:themeColor="text1"/>
          <w:sz w:val="24"/>
          <w:szCs w:val="24"/>
        </w:rPr>
        <w:t xml:space="preserve"> nëse vlera totale e tyre kalon vlerën e 5 për qind të aktiveve, që rezulton në pasqyrat e fundit financiare të certifikuara. Shuma e përgjithshme e pagesave vjetore neto, që kryhen nga njësitë e vetëqeverisjes vendore, të cilat rezultojnë nga kontrata koncesionare apo partneriteti publik privat, nuk duhet të tejkalojnë kufirin prej 5 për </w:t>
      </w:r>
      <w:r w:rsidR="009749B0" w:rsidRPr="00E757B2">
        <w:rPr>
          <w:rFonts w:ascii="Garamond" w:hAnsi="Garamond" w:cs="Times New Roman"/>
          <w:color w:val="000000" w:themeColor="text1"/>
          <w:sz w:val="24"/>
          <w:szCs w:val="24"/>
        </w:rPr>
        <w:t>qindësh</w:t>
      </w:r>
      <w:r w:rsidR="000E01EE" w:rsidRPr="00E757B2">
        <w:rPr>
          <w:rFonts w:ascii="Garamond" w:hAnsi="Garamond" w:cs="Times New Roman"/>
          <w:color w:val="000000" w:themeColor="text1"/>
          <w:sz w:val="24"/>
          <w:szCs w:val="24"/>
        </w:rPr>
        <w:t xml:space="preserve"> të të ardhurave tatimore faktike të vitit paraardhës buxhetor.</w:t>
      </w:r>
    </w:p>
    <w:p w14:paraId="4932063A" w14:textId="3C3A7616"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Entet</w:t>
      </w:r>
      <w:r w:rsidR="009749B0" w:rsidRPr="00E757B2">
        <w:rPr>
          <w:rFonts w:ascii="Garamond" w:hAnsi="Garamond" w:cs="Times New Roman"/>
          <w:color w:val="000000" w:themeColor="text1"/>
          <w:sz w:val="24"/>
          <w:szCs w:val="24"/>
        </w:rPr>
        <w:t xml:space="preserve"> e përcaktuara në shkronjën “b”</w:t>
      </w:r>
      <w:r w:rsidR="00E757B2">
        <w:rPr>
          <w:rFonts w:ascii="Garamond" w:hAnsi="Garamond" w:cs="Times New Roman"/>
          <w:color w:val="000000" w:themeColor="text1"/>
          <w:sz w:val="24"/>
          <w:szCs w:val="24"/>
        </w:rPr>
        <w:t>,</w:t>
      </w:r>
      <w:r w:rsidR="009749B0" w:rsidRPr="00E757B2">
        <w:rPr>
          <w:rFonts w:ascii="Garamond" w:hAnsi="Garamond" w:cs="Times New Roman"/>
          <w:color w:val="000000" w:themeColor="text1"/>
          <w:sz w:val="24"/>
          <w:szCs w:val="24"/>
        </w:rPr>
        <w:t xml:space="preserve"> të pikës 2</w:t>
      </w:r>
      <w:r w:rsidR="00E757B2">
        <w:rPr>
          <w:rFonts w:ascii="Garamond" w:hAnsi="Garamond" w:cs="Times New Roman"/>
          <w:color w:val="000000" w:themeColor="text1"/>
          <w:sz w:val="24"/>
          <w:szCs w:val="24"/>
        </w:rPr>
        <w:t>,</w:t>
      </w:r>
      <w:r w:rsidR="009749B0" w:rsidRPr="00E757B2">
        <w:rPr>
          <w:rFonts w:ascii="Garamond" w:hAnsi="Garamond" w:cs="Times New Roman"/>
          <w:color w:val="000000" w:themeColor="text1"/>
          <w:sz w:val="24"/>
          <w:szCs w:val="24"/>
        </w:rPr>
        <w:t xml:space="preserve"> të nenit 15 të këtij ligji</w:t>
      </w:r>
      <w:r w:rsid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nuk mund të lidhin kontratë konces</w:t>
      </w:r>
      <w:r w:rsidR="009749B0" w:rsidRPr="00E757B2">
        <w:rPr>
          <w:rFonts w:ascii="Garamond" w:hAnsi="Garamond" w:cs="Times New Roman"/>
          <w:color w:val="000000" w:themeColor="text1"/>
          <w:sz w:val="24"/>
          <w:szCs w:val="24"/>
        </w:rPr>
        <w:t>ioni/partneriteti publik privat</w:t>
      </w:r>
      <w:r w:rsidR="000E01EE" w:rsidRPr="00E757B2">
        <w:rPr>
          <w:rFonts w:ascii="Garamond" w:hAnsi="Garamond" w:cs="Times New Roman"/>
          <w:color w:val="000000" w:themeColor="text1"/>
          <w:sz w:val="24"/>
          <w:szCs w:val="24"/>
        </w:rPr>
        <w:t xml:space="preserve"> nëse vlera totale e tyre kalon vlerën e 5 për qind të aktiveve, që rezulton në pasqyrat e fundit financiare të certifikuara.</w:t>
      </w:r>
    </w:p>
    <w:p w14:paraId="1F25BC8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5BD8E1D"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17</w:t>
      </w:r>
    </w:p>
    <w:p w14:paraId="54019B91"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Regjistri i koncesionit/partneritetit publik privat</w:t>
      </w:r>
    </w:p>
    <w:p w14:paraId="5CB9E9E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34E65A1"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Regjistri i koncesionit/partneritetit publik privat është një bazë të dhënash elektronike e të gjitha kontratave të koncesionit dhe të partneritetit publik privat, të cilat janë dhënë në Republikën e Shqipërisë.</w:t>
      </w:r>
    </w:p>
    <w:p w14:paraId="519DCC38"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 xml:space="preserve">Regjistri i koncesionit/partneritetit publik privat krijohet dhe mbahet nga institucioni përgjegjës për koncesionet </w:t>
      </w:r>
      <w:r w:rsidR="009749B0" w:rsidRPr="00E757B2">
        <w:rPr>
          <w:rFonts w:ascii="Garamond" w:hAnsi="Garamond" w:cs="Times New Roman"/>
          <w:color w:val="000000" w:themeColor="text1"/>
          <w:sz w:val="24"/>
          <w:szCs w:val="24"/>
        </w:rPr>
        <w:t>dhe partneritetin publik privat</w:t>
      </w:r>
      <w:r w:rsidR="000E01EE" w:rsidRPr="00E757B2">
        <w:rPr>
          <w:rFonts w:ascii="Garamond" w:hAnsi="Garamond" w:cs="Times New Roman"/>
          <w:color w:val="000000" w:themeColor="text1"/>
          <w:sz w:val="24"/>
          <w:szCs w:val="24"/>
        </w:rPr>
        <w:t xml:space="preserve"> në përputhje me dispozitat ligjore në fuqi.</w:t>
      </w:r>
    </w:p>
    <w:p w14:paraId="2DB06E6A" w14:textId="17E32498" w:rsidR="000E01EE" w:rsidRPr="00E757B2" w:rsidRDefault="009749B0"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Këshilli i Ministrave miraton rregullat për përmbajtjen dhe formën e regjistrit të koncesioneve/partneritetit publik privat.</w:t>
      </w:r>
    </w:p>
    <w:p w14:paraId="6488ABD3"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A34BD41"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18</w:t>
      </w:r>
    </w:p>
    <w:p w14:paraId="044D4D45"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Konfidencialiteti</w:t>
      </w:r>
    </w:p>
    <w:p w14:paraId="2499FDB3"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2A68741"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Përveç rasteve kur parashikohet ndryshe në këtë ligj, të cilit i nënshtrohet autoriteti kontraktues, veçanërisht legjislacioni në lidhje me aksesin në informacion, dhe pa cenuar detyrimet në lidhje me njoftimin e kontratave të koncesionit të shpallura fituese dhe me informacionin për kandidatët dhe ofertuesit e pë</w:t>
      </w:r>
      <w:r w:rsidR="00BF3CD2" w:rsidRPr="00E757B2">
        <w:rPr>
          <w:rFonts w:ascii="Garamond" w:hAnsi="Garamond" w:cs="Times New Roman"/>
          <w:color w:val="000000" w:themeColor="text1"/>
          <w:sz w:val="24"/>
          <w:szCs w:val="24"/>
        </w:rPr>
        <w:t>rcaktuar në nenet 31, 40 dhe 48</w:t>
      </w:r>
      <w:r w:rsidR="000E01EE" w:rsidRPr="00E757B2">
        <w:rPr>
          <w:rFonts w:ascii="Garamond" w:hAnsi="Garamond" w:cs="Times New Roman"/>
          <w:color w:val="000000" w:themeColor="text1"/>
          <w:sz w:val="24"/>
          <w:szCs w:val="24"/>
        </w:rPr>
        <w:t xml:space="preserve"> të këtij ligji, autoriteti ose enti kontraktues nuk</w:t>
      </w:r>
      <w:r w:rsidR="00BF3CD2" w:rsidRPr="00E757B2">
        <w:rPr>
          <w:rFonts w:ascii="Garamond" w:hAnsi="Garamond" w:cs="Times New Roman"/>
          <w:color w:val="000000" w:themeColor="text1"/>
          <w:sz w:val="24"/>
          <w:szCs w:val="24"/>
        </w:rPr>
        <w:t xml:space="preserve"> e</w:t>
      </w:r>
      <w:r w:rsidR="000E01EE" w:rsidRPr="00E757B2">
        <w:rPr>
          <w:rFonts w:ascii="Garamond" w:hAnsi="Garamond" w:cs="Times New Roman"/>
          <w:color w:val="000000" w:themeColor="text1"/>
          <w:sz w:val="24"/>
          <w:szCs w:val="24"/>
        </w:rPr>
        <w:t xml:space="preserve"> publikon informacionin e përcjellë atij nga operatorët ekonomikë, të cilin ata e kanë caktuar si konfidencial, du</w:t>
      </w:r>
      <w:r w:rsidR="00BF3CD2" w:rsidRPr="00E757B2">
        <w:rPr>
          <w:rFonts w:ascii="Garamond" w:hAnsi="Garamond" w:cs="Times New Roman"/>
          <w:color w:val="000000" w:themeColor="text1"/>
          <w:sz w:val="24"/>
          <w:szCs w:val="24"/>
        </w:rPr>
        <w:t>ke përfshirë, por pa u kufizuar</w:t>
      </w:r>
      <w:r w:rsidR="000E01EE" w:rsidRPr="00E757B2">
        <w:rPr>
          <w:rFonts w:ascii="Garamond" w:hAnsi="Garamond" w:cs="Times New Roman"/>
          <w:color w:val="000000" w:themeColor="text1"/>
          <w:sz w:val="24"/>
          <w:szCs w:val="24"/>
        </w:rPr>
        <w:t xml:space="preserve"> në sekretet teknike ose tregtare dhe aspektet konfidenciale të ofertave. Ky nen nuk zbatohet në rastet e publikimit të pjesëve jokonfidenciale të kontratave të lidhura, duke përfshirë çdo ndryshim të mëvonshëm.</w:t>
      </w:r>
    </w:p>
    <w:p w14:paraId="099FB08B"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Operatori ekonomik nuk mund të klasifikojë si konfidencial çmimin e ofertës, listën e çmimeve, katalogun, informacionin lidhur me kriteret e përzgjedhjes së ofertës, dokumentet publike, fragmente nga regjistrat publikë dhe informacione të tjera, që duhet të bëhen publike ose që nuk janë konfidenciale, në përputhje me legjislacionin në fuqi.</w:t>
      </w:r>
    </w:p>
    <w:p w14:paraId="4E447580"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Autoriteti kontraktues ose enti kontraktues, në përputhje me legjislacionin në fuqi, mund t’u imponojë operatorëve ekonomikë kërkesa që synojnë mbrojtjen e natyrës konfidenciale të informacionit, që ai vë në dispozicion gjatë gjithë procedurës së dhënies së koncesionit.</w:t>
      </w:r>
    </w:p>
    <w:p w14:paraId="335C816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EDCEDFB"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19</w:t>
      </w:r>
    </w:p>
    <w:p w14:paraId="7CA2C4C5"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Parandalimi i korrupsionit dhe i konfliktit të interesit</w:t>
      </w:r>
    </w:p>
    <w:p w14:paraId="0B63ACE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9EC2290"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 xml:space="preserve">Autoriteti kontraktues ose enti kontraktues është i detyruar të marrë të gjitha masat e nevojshme gjatë zhvillimit të procedurës konkurruese të dhënies me koncesion/partneritet publik privat për </w:t>
      </w:r>
      <w:r w:rsidR="00AF314C" w:rsidRPr="00E757B2">
        <w:rPr>
          <w:rFonts w:ascii="Garamond" w:hAnsi="Garamond" w:cs="Times New Roman"/>
          <w:iCs/>
          <w:color w:val="000000" w:themeColor="text1"/>
          <w:sz w:val="24"/>
          <w:szCs w:val="24"/>
        </w:rPr>
        <w:t>parandalimin</w:t>
      </w:r>
      <w:r w:rsidR="000E01EE" w:rsidRPr="00E757B2">
        <w:rPr>
          <w:rFonts w:ascii="Garamond" w:hAnsi="Garamond" w:cs="Times New Roman"/>
          <w:color w:val="000000" w:themeColor="text1"/>
          <w:sz w:val="24"/>
          <w:szCs w:val="24"/>
        </w:rPr>
        <w:t xml:space="preserve"> në kohë të korrupsionit dhe eliminimin e pasojave të dëmshme të korrupsionit, si dhe për identifikimin dhe parandalimin e çdo lloj konflikti interesi, me qëllim garantimin e konkurrencës, transparencës dhe të trajtimit të barabartë të kandidatëve dhe ofertuesve.</w:t>
      </w:r>
    </w:p>
    <w:p w14:paraId="42F6943A"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Konflikti i interesit, për qëllime të këtij ligji, përfshin çdo situatë kur punonjësit e autoritetit kontraktues ose entit kontraktues, të cilët marrin pjesë në zhvillimin e procedurës së dhënies së koncesionit dhe që mund të ndikojnë në rezultatin e kësaj procedure, ka</w:t>
      </w:r>
      <w:r w:rsidR="00BF3CD2" w:rsidRPr="00E757B2">
        <w:rPr>
          <w:rFonts w:ascii="Garamond" w:hAnsi="Garamond" w:cs="Times New Roman"/>
          <w:color w:val="000000" w:themeColor="text1"/>
          <w:sz w:val="24"/>
          <w:szCs w:val="24"/>
        </w:rPr>
        <w:t>në drejtpërdrejt ose tërthorazi</w:t>
      </w:r>
      <w:r w:rsidR="000E01EE" w:rsidRPr="00E757B2">
        <w:rPr>
          <w:rFonts w:ascii="Garamond" w:hAnsi="Garamond" w:cs="Times New Roman"/>
          <w:color w:val="000000" w:themeColor="text1"/>
          <w:sz w:val="24"/>
          <w:szCs w:val="24"/>
        </w:rPr>
        <w:t xml:space="preserve"> një interes financiar, ekonomik ose një interes tjetër personal, që mund të cenojë paanshmërinë dhe pavarësinë e tyre, në kuadër të procedurës së dhënies së koncesionit.</w:t>
      </w:r>
    </w:p>
    <w:p w14:paraId="08A14B77"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Masat e ndërmarra në lidhje me konfliktin e interesit duhet të jenë në përpjesëtim me nevojën për të parandaluar një konflikt të mundshëm interesi ose për të shmangur një konflikt interesi të identifikuar.</w:t>
      </w:r>
    </w:p>
    <w:p w14:paraId="2ED8D84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FED7FD8"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KREU II</w:t>
      </w:r>
    </w:p>
    <w:p w14:paraId="654E64D2" w14:textId="3677968C"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VEPR</w:t>
      </w:r>
      <w:r w:rsidR="00E757B2">
        <w:rPr>
          <w:rFonts w:ascii="Garamond" w:hAnsi="Garamond" w:cs="Times New Roman"/>
          <w:color w:val="000000" w:themeColor="text1"/>
          <w:sz w:val="24"/>
          <w:szCs w:val="24"/>
        </w:rPr>
        <w:t>IMET PËR DHËNIEN E KONCESIONIT/</w:t>
      </w:r>
      <w:r w:rsidRPr="00E757B2">
        <w:rPr>
          <w:rFonts w:ascii="Garamond" w:hAnsi="Garamond" w:cs="Times New Roman"/>
          <w:color w:val="000000" w:themeColor="text1"/>
          <w:sz w:val="24"/>
          <w:szCs w:val="24"/>
        </w:rPr>
        <w:t>PARTNERITETIT PUBLIK PRIVAT</w:t>
      </w:r>
    </w:p>
    <w:p w14:paraId="0B7EC6F3"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19A31905"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20</w:t>
      </w:r>
    </w:p>
    <w:p w14:paraId="210385E6"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Veprimet për dhënien e koncesionit/partneritetit publik privat</w:t>
      </w:r>
    </w:p>
    <w:p w14:paraId="1F347B0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B61B243"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Veprime</w:t>
      </w:r>
      <w:r w:rsidR="00BF3CD2" w:rsidRPr="00E757B2">
        <w:rPr>
          <w:rFonts w:ascii="Garamond" w:hAnsi="Garamond" w:cs="Times New Roman"/>
          <w:color w:val="000000" w:themeColor="text1"/>
          <w:sz w:val="24"/>
          <w:szCs w:val="24"/>
        </w:rPr>
        <w:t>t</w:t>
      </w:r>
      <w:r w:rsidR="000E01EE" w:rsidRPr="00E757B2">
        <w:rPr>
          <w:rFonts w:ascii="Garamond" w:hAnsi="Garamond" w:cs="Times New Roman"/>
          <w:color w:val="000000" w:themeColor="text1"/>
          <w:sz w:val="24"/>
          <w:szCs w:val="24"/>
        </w:rPr>
        <w:t xml:space="preserve"> për dhënien e një koncesioni/partneriteti publik privat quhen të gjitha aktivitetet e ndërmarra që nga identifikimi i projekteve deri në fazën e lidhjes së kontratës, në zbatim të këtij ligji.</w:t>
      </w:r>
    </w:p>
    <w:p w14:paraId="2E007694"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Autoriteti kontraktues ose enti kontraktues mund të angazhojë këshilltarë të jashtëm për të siguruar mbështetjen e ekspertëve në përgatitjen dhe dhënien e projekteve të koncesionit/partneritetit publik privat.</w:t>
      </w:r>
    </w:p>
    <w:p w14:paraId="62D1D51E"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Në rastet kur studimi i fizibilitetit përgatitet nga vetë autoritetet kontraktuese ose entet kontraktuese dhe këta të fundit kanë nevojë për ekspertizë të specializuar për hartimin e studimit të fizibilitetit dhe/ose oponencën e projekteve të koncesionit/partneritetit publik privat, i drejtohen me kërkesë të argumentuar institucionit përgjegjës për koncesionet dhe partneritetin publik privat. Kërkesa duhet të përmbajë argument mbi përshtatshmërinë, nevojën dhe elemente të leverdisshmërisë së dhënies së këtij projekti me koncesion/partneritet publik privat, si dhe referencat për ekspertizën e duhur.</w:t>
      </w:r>
    </w:p>
    <w:p w14:paraId="26E9D96F"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Këshilli i Ministrave miraton rregulla më të hollësishme në zbatim të këtij neni.</w:t>
      </w:r>
    </w:p>
    <w:p w14:paraId="744742A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CD3E304"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21</w:t>
      </w:r>
    </w:p>
    <w:p w14:paraId="17B90A11"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Identifikimi i projekteve të mundshme të koncesionit/partneritetit publik privat</w:t>
      </w:r>
    </w:p>
    <w:p w14:paraId="30C3DA2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4952245"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Autoriteti ose enti kontraktues identifikon dhe shqyrton projektet e mundshme të koncesionit/partneritetit publik privat brenda sferës së kompetencave të tij.</w:t>
      </w:r>
    </w:p>
    <w:p w14:paraId="4850A6EE"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Autoriteti ose enti kontraktues informohet dhe mund të marrë në shqyrtim projektet e mundshme të koncesionit/partneritetit publik privat të identifikuara apo të propozuara nga:</w:t>
      </w:r>
    </w:p>
    <w:p w14:paraId="5920C796"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Kryeministria;</w:t>
      </w:r>
    </w:p>
    <w:p w14:paraId="59959823"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autoritetet e tjera kontraktuese të së njëjtës hierarki administrative, organet e qeverisjes qendrore apo vendore;</w:t>
      </w:r>
    </w:p>
    <w:p w14:paraId="5AFA5DF7"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0E01EE" w:rsidRPr="00E757B2">
        <w:rPr>
          <w:rFonts w:ascii="Garamond" w:hAnsi="Garamond" w:cs="Times New Roman"/>
          <w:color w:val="000000" w:themeColor="text1"/>
          <w:sz w:val="24"/>
          <w:szCs w:val="24"/>
        </w:rPr>
        <w:t>institucionet dhe organizatat vendase e ndërkombëtare financiare dhe të zhvillimit;</w:t>
      </w:r>
    </w:p>
    <w:p w14:paraId="51F3B21C"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0E01EE" w:rsidRPr="00E757B2">
        <w:rPr>
          <w:rFonts w:ascii="Garamond" w:hAnsi="Garamond" w:cs="Times New Roman"/>
          <w:color w:val="000000" w:themeColor="text1"/>
          <w:sz w:val="24"/>
          <w:szCs w:val="24"/>
        </w:rPr>
        <w:t>institucionet dhe organizatat shkencore vendase e ndërkombëtare.</w:t>
      </w:r>
    </w:p>
    <w:p w14:paraId="0D04ACCC"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765D2AC"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22</w:t>
      </w:r>
    </w:p>
    <w:p w14:paraId="684FCBAD"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Komisioni i koncesionit/partneritetit publik privat</w:t>
      </w:r>
    </w:p>
    <w:p w14:paraId="584598B8"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100A1C4"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Për shqyrtimin dhe dhënien e koncesionit/partneritetit publik privat, autoriteti ose enti kontraktues krijon komisionin e koncesionit/partneritetit publik privat.</w:t>
      </w:r>
    </w:p>
    <w:p w14:paraId="104A844B"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Anëtarët e komisionit duhet të jenë me profesion juristë, ekonomistë dhe me profesione nga fusha të tjera përkatëse, në varësi të objektit dhe karakteristikave të koncesionit/partneritetit publik privat.</w:t>
      </w:r>
    </w:p>
    <w:p w14:paraId="15C1EB8B"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Numri i anëtarëve në komisionin e dhënies së koncesionit/partneritetit publik privat ësht</w:t>
      </w:r>
      <w:r w:rsidR="00BF3CD2" w:rsidRPr="00E757B2">
        <w:rPr>
          <w:rFonts w:ascii="Garamond" w:hAnsi="Garamond" w:cs="Times New Roman"/>
          <w:color w:val="000000" w:themeColor="text1"/>
          <w:sz w:val="24"/>
          <w:szCs w:val="24"/>
        </w:rPr>
        <w:t>ë tek, por jo më pak se 5</w:t>
      </w:r>
      <w:r w:rsidR="000E01EE" w:rsidRPr="00E757B2">
        <w:rPr>
          <w:rFonts w:ascii="Garamond" w:hAnsi="Garamond" w:cs="Times New Roman"/>
          <w:color w:val="000000" w:themeColor="text1"/>
          <w:sz w:val="24"/>
          <w:szCs w:val="24"/>
        </w:rPr>
        <w:t xml:space="preserve"> anëtarë. Për projekte koncesioni/partneriteti publik privat, objekti i të cilave është i ngjashëm në natyrë, mund të krijohet një komision i vetëm.</w:t>
      </w:r>
    </w:p>
    <w:p w14:paraId="4B75FE9D"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Komisioni i koncesionit/partneritetit publik privat kryen detyrat e mëposhtme:</w:t>
      </w:r>
    </w:p>
    <w:p w14:paraId="08B59755"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h</w:t>
      </w:r>
      <w:r w:rsidR="000E01EE" w:rsidRPr="00E757B2">
        <w:rPr>
          <w:rFonts w:ascii="Garamond" w:hAnsi="Garamond" w:cs="Times New Roman"/>
          <w:color w:val="000000" w:themeColor="text1"/>
          <w:sz w:val="24"/>
          <w:szCs w:val="24"/>
        </w:rPr>
        <w:t>arton raportin përmbledhës mbi bazën e të cilit autoriteti/enti kontraktues merr vendimin për shtyrjen, refuzimin e plotë ose vazhdimin e procedurave;</w:t>
      </w:r>
    </w:p>
    <w:p w14:paraId="397B3BD8"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p</w:t>
      </w:r>
      <w:r w:rsidR="000E01EE" w:rsidRPr="00E757B2">
        <w:rPr>
          <w:rFonts w:ascii="Garamond" w:hAnsi="Garamond" w:cs="Times New Roman"/>
          <w:color w:val="000000" w:themeColor="text1"/>
          <w:sz w:val="24"/>
          <w:szCs w:val="24"/>
        </w:rPr>
        <w:t>ërcakton procedurën e zbatueshme për dhënien e koncesionit/partneritetit publik privat dhe harton dokumentacionin e tenderit;</w:t>
      </w:r>
    </w:p>
    <w:p w14:paraId="47B3AE80"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s</w:t>
      </w:r>
      <w:r w:rsidR="000E01EE" w:rsidRPr="00E757B2">
        <w:rPr>
          <w:rFonts w:ascii="Garamond" w:hAnsi="Garamond" w:cs="Times New Roman"/>
          <w:color w:val="000000" w:themeColor="text1"/>
          <w:sz w:val="24"/>
          <w:szCs w:val="24"/>
        </w:rPr>
        <w:t>hqyrton dhe vlerëson ofertat e pranuara dhe/ose kërkesat për pjesëmarrje, që janë dorëzuar;</w:t>
      </w:r>
    </w:p>
    <w:p w14:paraId="533A46F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981F73" w:rsidRPr="00E757B2">
        <w:rPr>
          <w:rFonts w:ascii="Garamond" w:hAnsi="Garamond" w:cs="Times New Roman"/>
          <w:color w:val="000000" w:themeColor="text1"/>
          <w:sz w:val="24"/>
          <w:szCs w:val="24"/>
        </w:rPr>
        <w:t>f</w:t>
      </w:r>
      <w:r w:rsidRPr="00E757B2">
        <w:rPr>
          <w:rFonts w:ascii="Garamond" w:hAnsi="Garamond" w:cs="Times New Roman"/>
          <w:color w:val="000000" w:themeColor="text1"/>
          <w:sz w:val="24"/>
          <w:szCs w:val="24"/>
        </w:rPr>
        <w:t>ormulon propozimin e përzgjedhjes së ofertës së suksesshme ose propozimin e vendimit për ndërprerjen e procedurës së dhënies së koncesionit/partneritetit publik privat, si dhe një shpjegim të tyre;</w:t>
      </w:r>
    </w:p>
    <w:p w14:paraId="7DC0F267"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 k</w:t>
      </w:r>
      <w:r w:rsidR="000E01EE" w:rsidRPr="00E757B2">
        <w:rPr>
          <w:rFonts w:ascii="Garamond" w:hAnsi="Garamond" w:cs="Times New Roman"/>
          <w:color w:val="000000" w:themeColor="text1"/>
          <w:sz w:val="24"/>
          <w:szCs w:val="24"/>
        </w:rPr>
        <w:t>ryen të gjitha aktivitetet e tjera, që kërkohen për zhvillimin e procedurës së koncesionit/partneritetit publik privat, në përputhje me legjislacionin në fuqi.</w:t>
      </w:r>
    </w:p>
    <w:p w14:paraId="6E204B9B"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Komisioni i dhënies së koncesionit/partneritetit publik privat dokumenton në mënyrë të përshtatshme të gjitha proceset e punës së tij.</w:t>
      </w:r>
    </w:p>
    <w:p w14:paraId="6801729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A96F43D"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23</w:t>
      </w:r>
    </w:p>
    <w:p w14:paraId="2C247DA9"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Studimi i fizibilitetit të koncesionit/partneritetit publik privat</w:t>
      </w:r>
    </w:p>
    <w:p w14:paraId="0EF58A66"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7CCB21E6"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Studimi i fizibilitetit për koncesionin/partneritetin publik privat përmban, në mënyrë të veçantë:</w:t>
      </w:r>
    </w:p>
    <w:p w14:paraId="17E07343"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përmbledhjen operacionale dhe përshkrimin e përgjithshëm të projektit;</w:t>
      </w:r>
    </w:p>
    <w:p w14:paraId="18B28AD0"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analizat teknike, financiare, ligjore dhe ekonomike, që përfshijnë patjetër detajimin e investimeve të planifikuara, kostot e mirëmbajtjes, amortizimin dhe ndikimet e inflacionit të pritshëm;</w:t>
      </w:r>
    </w:p>
    <w:p w14:paraId="14840D41"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w:t>
      </w:r>
      <w:r w:rsidR="00981F73"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studimet mjedisore dhe implikimet në natyrë;</w:t>
      </w:r>
    </w:p>
    <w:p w14:paraId="28FD393A"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0E01EE" w:rsidRPr="00E757B2">
        <w:rPr>
          <w:rFonts w:ascii="Garamond" w:hAnsi="Garamond" w:cs="Times New Roman"/>
          <w:color w:val="000000" w:themeColor="text1"/>
          <w:sz w:val="24"/>
          <w:szCs w:val="24"/>
        </w:rPr>
        <w:t>anekset shoqëruese, shtesat e kërkuara, konkluzionet dhe rekomandimet, përcaktimin e llojit dhe objektin e koncesionit/partneritetit publik privat;</w:t>
      </w:r>
    </w:p>
    <w:p w14:paraId="15892BE8"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 </w:t>
      </w:r>
      <w:r w:rsidR="000E01EE" w:rsidRPr="00E757B2">
        <w:rPr>
          <w:rFonts w:ascii="Garamond" w:hAnsi="Garamond" w:cs="Times New Roman"/>
          <w:color w:val="000000" w:themeColor="text1"/>
          <w:sz w:val="24"/>
          <w:szCs w:val="24"/>
        </w:rPr>
        <w:t>vlerësimin e risqeve të drejtpërdrejta financiare dhe ndikimin në buxhetin e qeverisë qendrore e vendore;</w:t>
      </w:r>
    </w:p>
    <w:p w14:paraId="4A6621D9"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dh) </w:t>
      </w:r>
      <w:r w:rsidR="000E01EE" w:rsidRPr="00E757B2">
        <w:rPr>
          <w:rFonts w:ascii="Garamond" w:hAnsi="Garamond" w:cs="Times New Roman"/>
          <w:color w:val="000000" w:themeColor="text1"/>
          <w:sz w:val="24"/>
          <w:szCs w:val="24"/>
        </w:rPr>
        <w:t>vlerën e parashikuar të kontratës;</w:t>
      </w:r>
    </w:p>
    <w:p w14:paraId="4B2D4F02"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e) </w:t>
      </w:r>
      <w:r w:rsidR="000E01EE" w:rsidRPr="00E757B2">
        <w:rPr>
          <w:rFonts w:ascii="Garamond" w:hAnsi="Garamond" w:cs="Times New Roman"/>
          <w:color w:val="000000" w:themeColor="text1"/>
          <w:sz w:val="24"/>
          <w:szCs w:val="24"/>
        </w:rPr>
        <w:t>v</w:t>
      </w:r>
      <w:r w:rsidRPr="00E757B2">
        <w:rPr>
          <w:rFonts w:ascii="Garamond" w:hAnsi="Garamond" w:cs="Times New Roman"/>
          <w:color w:val="000000" w:themeColor="text1"/>
          <w:sz w:val="24"/>
          <w:szCs w:val="24"/>
        </w:rPr>
        <w:t>lerësimet</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në</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lidhje</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me</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 xml:space="preserve">kriteret </w:t>
      </w:r>
      <w:r w:rsidR="00BD0274" w:rsidRPr="00E757B2">
        <w:rPr>
          <w:rFonts w:ascii="Garamond" w:hAnsi="Garamond" w:cs="Times New Roman"/>
          <w:color w:val="000000" w:themeColor="text1"/>
          <w:sz w:val="24"/>
          <w:szCs w:val="24"/>
        </w:rPr>
        <w:t>e zgjedhjes</w:t>
      </w:r>
      <w:r w:rsidR="002D3692" w:rsidRPr="00E757B2">
        <w:rPr>
          <w:rFonts w:ascii="Garamond" w:hAnsi="Garamond" w:cs="Times New Roman"/>
          <w:color w:val="000000" w:themeColor="text1"/>
          <w:sz w:val="24"/>
          <w:szCs w:val="24"/>
        </w:rPr>
        <w:t xml:space="preserve"> </w:t>
      </w:r>
      <w:r w:rsidR="00BD0274" w:rsidRPr="00E757B2">
        <w:rPr>
          <w:rFonts w:ascii="Garamond" w:hAnsi="Garamond" w:cs="Times New Roman"/>
          <w:color w:val="000000" w:themeColor="text1"/>
          <w:sz w:val="24"/>
          <w:szCs w:val="24"/>
        </w:rPr>
        <w:t xml:space="preserve">dhe </w:t>
      </w:r>
      <w:r w:rsidR="000E01EE" w:rsidRPr="00E757B2">
        <w:rPr>
          <w:rFonts w:ascii="Garamond" w:hAnsi="Garamond" w:cs="Times New Roman"/>
          <w:color w:val="000000" w:themeColor="text1"/>
          <w:sz w:val="24"/>
          <w:szCs w:val="24"/>
        </w:rPr>
        <w:t>të</w:t>
      </w:r>
      <w:r w:rsidR="002D3692"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dhënies së koncesionit/partneritetit publik privat;</w:t>
      </w:r>
    </w:p>
    <w:p w14:paraId="243CDD0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ë) kohëzgjatjen e propozuar të kontratës, si edhe çdo informacion tjetër të nevojshëm për përgatitjen e dokumentacionit të tenderit.</w:t>
      </w:r>
    </w:p>
    <w:p w14:paraId="4DF79B66"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 xml:space="preserve">Në studimin e fizibilitetit merren parasysh, në veçanti, interesi publik, ndikimi në mjedis dhe mbrojtja e mjedisit, qëndrueshmëria, përshtatshmëria financiare e </w:t>
      </w:r>
      <w:r w:rsidR="00AF314C" w:rsidRPr="00E757B2">
        <w:rPr>
          <w:rFonts w:ascii="Garamond" w:hAnsi="Garamond" w:cs="Times New Roman"/>
          <w:color w:val="000000" w:themeColor="text1"/>
          <w:sz w:val="24"/>
          <w:szCs w:val="24"/>
        </w:rPr>
        <w:t>projektit, treguesit e vlerës për para</w:t>
      </w:r>
      <w:r w:rsidR="000E01EE" w:rsidRPr="00E757B2">
        <w:rPr>
          <w:rFonts w:ascii="Garamond" w:hAnsi="Garamond" w:cs="Times New Roman"/>
          <w:color w:val="000000" w:themeColor="text1"/>
          <w:sz w:val="24"/>
          <w:szCs w:val="24"/>
        </w:rPr>
        <w:t>, harmonizimi i projektit me objektivat kombëtarë dhe sektorialë strategjikë, risqet direkte e indirekte financiare dhe ndikimet në buxhetin qendror dhe në atë të qeverisjes vendore, mbështetja e nevojshme financiare, realizueshmëria teknike e tregtare, si dhe interesi i tregut dhe aftësia për të tërhequr operatorët e interesuar ekonomikë dhe mbështetësit financiarë.</w:t>
      </w:r>
    </w:p>
    <w:p w14:paraId="2F1173B1" w14:textId="3753F54A"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Përpara shpalljes së procedurës së dhënies me koncesion/partneritet publik privat, autoritetet kontraktuese dhe entet kontraktuese dërgojnë në ministrinë përgjegjëse për financat, për miratim paraprak, studimin e fizibilitetit, si dhe ç</w:t>
      </w:r>
      <w:r w:rsidR="00BD0274" w:rsidRPr="00E757B2">
        <w:rPr>
          <w:rFonts w:ascii="Garamond" w:hAnsi="Garamond" w:cs="Times New Roman"/>
          <w:color w:val="000000" w:themeColor="text1"/>
          <w:sz w:val="24"/>
          <w:szCs w:val="24"/>
        </w:rPr>
        <w:t>do ndryshim të mëtejshëm të tij</w:t>
      </w:r>
      <w:r w:rsidR="000E01EE" w:rsidRPr="00E757B2">
        <w:rPr>
          <w:rFonts w:ascii="Garamond" w:hAnsi="Garamond" w:cs="Times New Roman"/>
          <w:color w:val="000000" w:themeColor="text1"/>
          <w:sz w:val="24"/>
          <w:szCs w:val="24"/>
        </w:rPr>
        <w:t xml:space="preserve"> së bashku me projektkontratën e ndarë në pjesën e panegociueshme dhe të negociueshme. Ministria përgjegjëse për financat e vlerëson dhe </w:t>
      </w:r>
      <w:r w:rsidR="00BD0274" w:rsidRPr="00E757B2">
        <w:rPr>
          <w:rFonts w:ascii="Garamond" w:hAnsi="Garamond" w:cs="Times New Roman"/>
          <w:color w:val="000000" w:themeColor="text1"/>
          <w:sz w:val="24"/>
          <w:szCs w:val="24"/>
        </w:rPr>
        <w:t xml:space="preserve">e </w:t>
      </w:r>
      <w:r w:rsidR="000E01EE" w:rsidRPr="00E757B2">
        <w:rPr>
          <w:rFonts w:ascii="Garamond" w:hAnsi="Garamond" w:cs="Times New Roman"/>
          <w:color w:val="000000" w:themeColor="text1"/>
          <w:sz w:val="24"/>
          <w:szCs w:val="24"/>
        </w:rPr>
        <w:t>miraton studimi</w:t>
      </w:r>
      <w:r w:rsidR="00BD0274" w:rsidRPr="00E757B2">
        <w:rPr>
          <w:rFonts w:ascii="Garamond" w:hAnsi="Garamond" w:cs="Times New Roman"/>
          <w:color w:val="000000" w:themeColor="text1"/>
          <w:sz w:val="24"/>
          <w:szCs w:val="24"/>
        </w:rPr>
        <w:t>n së bashku me projektkontratën</w:t>
      </w:r>
      <w:r w:rsidR="004D1F5C">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në përputhje me kr</w:t>
      </w:r>
      <w:r w:rsidR="00BD0274" w:rsidRPr="00E757B2">
        <w:rPr>
          <w:rFonts w:ascii="Garamond" w:hAnsi="Garamond" w:cs="Times New Roman"/>
          <w:color w:val="000000" w:themeColor="text1"/>
          <w:sz w:val="24"/>
          <w:szCs w:val="24"/>
        </w:rPr>
        <w:t>iteret e përcaktuara në pikën 2 të nenit 11</w:t>
      </w:r>
      <w:r w:rsidR="000E01EE" w:rsidRPr="00E757B2">
        <w:rPr>
          <w:rFonts w:ascii="Garamond" w:hAnsi="Garamond" w:cs="Times New Roman"/>
          <w:color w:val="000000" w:themeColor="text1"/>
          <w:sz w:val="24"/>
          <w:szCs w:val="24"/>
        </w:rPr>
        <w:t xml:space="preserve"> të këtij ligji.</w:t>
      </w:r>
    </w:p>
    <w:p w14:paraId="4B902CC2"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Përfshirja në Listën Unike të Projekteve me Rëndësi Kombëtare, që shoqërohen me investime, të cilat mund të kërkojnë angazhimin e fondeve të buxhetit të shtetit, direkt apo indirekt, aktualisht ose në të ardhmen, dhe kur vlera e plotë e investimit është mbi vlerat kufi të miratuara me udhëzim të ministrit përgjegjës për finan</w:t>
      </w:r>
      <w:r w:rsidR="00AB284D" w:rsidRPr="00E757B2">
        <w:rPr>
          <w:rFonts w:ascii="Garamond" w:hAnsi="Garamond" w:cs="Times New Roman"/>
          <w:color w:val="000000" w:themeColor="text1"/>
          <w:sz w:val="24"/>
          <w:szCs w:val="24"/>
        </w:rPr>
        <w:t>cat, miratohen sipas rregullave</w:t>
      </w:r>
      <w:r w:rsidR="000E01EE" w:rsidRPr="00E757B2">
        <w:rPr>
          <w:rFonts w:ascii="Garamond" w:hAnsi="Garamond" w:cs="Times New Roman"/>
          <w:color w:val="000000" w:themeColor="text1"/>
          <w:sz w:val="24"/>
          <w:szCs w:val="24"/>
        </w:rPr>
        <w:t xml:space="preserve"> që caktohen në vendimin e Këshillit të Ministrave për menaxhimin e investimeve publike. Në këtë rast, pas maturimit të projektit në Listën Unike të Projekteve me Rëndësi Kombëtare, vijohen procedurat për dhënien me koncesion, sipas përcaktimeve të këtij ligji.</w:t>
      </w:r>
    </w:p>
    <w:p w14:paraId="7511F80C"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Pas maturimit të projektit në Listën Unike të Projekteve me Rëndësi Kombëtare, nëse studimi i fizibilitetit përcakton se koncesioni/partneriteti publik privat është forma më e mirë e financimit, ndiqen procedurat e mëtejshme sipas këtij ligji.</w:t>
      </w:r>
    </w:p>
    <w:p w14:paraId="4D65E1F0"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Të gjitha projektet e koncesionit/partneritetit publik privat, të cilat janë nën kufijtë financiarë të vendosur me udhëzim të ministrit përgjegjës për financat, ndjekin procedurat sipas këtij ligji.</w:t>
      </w:r>
    </w:p>
    <w:p w14:paraId="58999E82" w14:textId="77777777" w:rsidR="00177254" w:rsidRPr="00E757B2" w:rsidRDefault="00177254" w:rsidP="002D3692">
      <w:pPr>
        <w:spacing w:after="0" w:line="240" w:lineRule="auto"/>
        <w:ind w:firstLine="284"/>
        <w:jc w:val="both"/>
        <w:rPr>
          <w:rFonts w:ascii="Garamond" w:hAnsi="Garamond" w:cs="Times New Roman"/>
          <w:color w:val="000000" w:themeColor="text1"/>
          <w:sz w:val="24"/>
          <w:szCs w:val="24"/>
        </w:rPr>
      </w:pPr>
    </w:p>
    <w:p w14:paraId="1862D7C4"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24</w:t>
      </w:r>
    </w:p>
    <w:p w14:paraId="22FC3B51"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Kufiri monetar</w:t>
      </w:r>
    </w:p>
    <w:p w14:paraId="417C665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C6F2897"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Për qëllime të këtij ligji zbatohet një kufi monetar.</w:t>
      </w:r>
    </w:p>
    <w:p w14:paraId="2F7514E7"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Kufiri minimal monetar miratohet me vendim të Këshillit të Ministrave.</w:t>
      </w:r>
    </w:p>
    <w:p w14:paraId="39AFB8E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5559811"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25</w:t>
      </w:r>
    </w:p>
    <w:p w14:paraId="5FB77A59"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Llogaritja e vlerës së koncesionit/partneritetit publik privat</w:t>
      </w:r>
    </w:p>
    <w:p w14:paraId="1CDD8EB0"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7AB7AE0E"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Autoriteti/enti kontraktues llogarit vlerën e parashikuar të koncesionit si xhiro totale e koncesionarit të krijuar gjatë kohëzgjatjes së kontratës, pa TVSH, e vlerësuar nga autoriteti kontraktues ose enti kontraktues për punët dhe shërbimet, që janë objekt i koncesionit/partneritetit publik privat, si dhe për mallrat që lidhen me këto punë dhe shërbime.</w:t>
      </w:r>
    </w:p>
    <w:p w14:paraId="739D5129"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AB284D" w:rsidRPr="00E757B2">
        <w:rPr>
          <w:rFonts w:ascii="Garamond" w:hAnsi="Garamond" w:cs="Times New Roman"/>
          <w:color w:val="000000" w:themeColor="text1"/>
          <w:sz w:val="24"/>
          <w:szCs w:val="24"/>
        </w:rPr>
        <w:t>Për qëllim të pikës 1</w:t>
      </w:r>
      <w:r w:rsidR="000E01EE" w:rsidRPr="00E757B2">
        <w:rPr>
          <w:rFonts w:ascii="Garamond" w:hAnsi="Garamond" w:cs="Times New Roman"/>
          <w:color w:val="000000" w:themeColor="text1"/>
          <w:sz w:val="24"/>
          <w:szCs w:val="24"/>
        </w:rPr>
        <w:t xml:space="preserve"> të këtij neni, nëse vlera e koncesionit në kohën e dhënies është më shumë se 20% më e lartë se vlera e tij e parashikuar, vlerësimi i vlefshëm është vlera e koncesionit/partneritetit publik privat në kohën e dhënies së tij.</w:t>
      </w:r>
    </w:p>
    <w:p w14:paraId="753F7852"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Ky vlerësim është i vlefshëm në momentin kur dërgohet njoftimi i koncesionit ose në momentin kur autoriteti kontraktues ose enti kontraktues fillon procedurën e dhënies së koncesionit/partneritetit publik privat.</w:t>
      </w:r>
    </w:p>
    <w:p w14:paraId="1EF7C752"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Vlera e parashikuar e koncesionit llogaritet në bazë të të dhënave, që përmban studimi i fizibilitetit përkatës të koncesionit/partneritetit publik privat.</w:t>
      </w:r>
    </w:p>
    <w:p w14:paraId="22A64D10"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Vlera e parashikuar e koncesionit llogaritet duke përdorur një metodë objektive të përcaktuar në dokumentet e koncesionit. Gjatë llogaritjes së vlerës së parashikuar të koncesionit, autoritetet kontraktuese dhe entet kontraktuese, sipas rastit, marrin parasysh në veçanti:</w:t>
      </w:r>
    </w:p>
    <w:p w14:paraId="60E72219"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vlerën e çdo forme opsioni dhe çdo zgjatje të kohëzgjatjes së koncesionit;</w:t>
      </w:r>
    </w:p>
    <w:p w14:paraId="1E13F745"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të ardhurat nga pagesa e tarifave dhe gjobave nga përdoruesit e punimeve ose shërbimeve të ndryshme nga ato të mbledhura për llogari të autoritetit kontraktues ose entit kontraktues;</w:t>
      </w:r>
    </w:p>
    <w:p w14:paraId="7F01D1E7"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0E01EE" w:rsidRPr="00E757B2">
        <w:rPr>
          <w:rFonts w:ascii="Garamond" w:hAnsi="Garamond" w:cs="Times New Roman"/>
          <w:color w:val="000000" w:themeColor="text1"/>
          <w:sz w:val="24"/>
          <w:szCs w:val="24"/>
        </w:rPr>
        <w:t>pagesat ose çdo avantazh financiar në çfarëdolloj forme, të bëra nga autoriteti kontraktues ose enti kontraktues ose çdo autoritet tjetër publik për koncesionarin, duke përfshirë kompensimin për përmbushjen e një detyrimi për shërbimin publik dhe subvencionet e investimeve publike;</w:t>
      </w:r>
    </w:p>
    <w:p w14:paraId="03DE81D5"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v</w:t>
      </w:r>
      <w:r w:rsidR="000E01EE" w:rsidRPr="00E757B2">
        <w:rPr>
          <w:rFonts w:ascii="Garamond" w:hAnsi="Garamond" w:cs="Times New Roman"/>
          <w:color w:val="000000" w:themeColor="text1"/>
          <w:sz w:val="24"/>
          <w:szCs w:val="24"/>
        </w:rPr>
        <w:t>lerën e granteve ose të çdo përfitimi tjetër financiar, në çfarëdolloj forme, nga palët e treta për realizimin e koncesionit;</w:t>
      </w:r>
    </w:p>
    <w:p w14:paraId="0A27860C"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 </w:t>
      </w:r>
      <w:r w:rsidR="000E01EE" w:rsidRPr="00E757B2">
        <w:rPr>
          <w:rFonts w:ascii="Garamond" w:hAnsi="Garamond" w:cs="Times New Roman"/>
          <w:color w:val="000000" w:themeColor="text1"/>
          <w:sz w:val="24"/>
          <w:szCs w:val="24"/>
        </w:rPr>
        <w:t>të ardhurat nga shitja e çdo prone që është pjesë e koncesionit;</w:t>
      </w:r>
    </w:p>
    <w:p w14:paraId="294E40A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dh)</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vlerën e të gjitha mallrave dhe shërbimeve, që vihen në dispozicion të koncesionarit nga autoritetet kontraktuese ose entet kontraktuese, me kusht që ato të jenë të nevojshme për kryerjen e punimeve ose ofrimin e shërbimeve;</w:t>
      </w:r>
    </w:p>
    <w:p w14:paraId="3A12BBF4"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e) </w:t>
      </w:r>
      <w:r w:rsidR="000E01EE" w:rsidRPr="00E757B2">
        <w:rPr>
          <w:rFonts w:ascii="Garamond" w:hAnsi="Garamond" w:cs="Times New Roman"/>
          <w:color w:val="000000" w:themeColor="text1"/>
          <w:sz w:val="24"/>
          <w:szCs w:val="24"/>
        </w:rPr>
        <w:t>çdo çmim ose pagesë për kandidatët ose ofertuesit.</w:t>
      </w:r>
    </w:p>
    <w:p w14:paraId="7BC15A73"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Zgjedhja e metodës së përdorur për llogaritjen e vlerës së parashikuar të një koncesioni nuk bëhet me qëllim të përjashtimit të tij nga fusha e zbatimit të këtij ligji. Koncesioni nuk nënndahet, me qëllim që të mos hyjë në objektin e këtij ligji, përveç rasteve kur justifikohet nga arsye objektive.</w:t>
      </w:r>
    </w:p>
    <w:p w14:paraId="43B7F3AD"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7. </w:t>
      </w:r>
      <w:r w:rsidR="000E01EE" w:rsidRPr="00E757B2">
        <w:rPr>
          <w:rFonts w:ascii="Garamond" w:hAnsi="Garamond" w:cs="Times New Roman"/>
          <w:color w:val="000000" w:themeColor="text1"/>
          <w:sz w:val="24"/>
          <w:szCs w:val="24"/>
        </w:rPr>
        <w:t>Vlera e parashikuar e kontratës së partneritetit publik privat në formën e kontratës së punës ose shërbimit publik, sipas nenit 8 të këtij ligji, llogaritet sipas përcaktimeve në legjislacionin e prokurimit publik.</w:t>
      </w:r>
    </w:p>
    <w:p w14:paraId="030BFE1B"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8. </w:t>
      </w:r>
      <w:r w:rsidR="000E01EE" w:rsidRPr="00E757B2">
        <w:rPr>
          <w:rFonts w:ascii="Garamond" w:hAnsi="Garamond" w:cs="Times New Roman"/>
          <w:color w:val="000000" w:themeColor="text1"/>
          <w:sz w:val="24"/>
          <w:szCs w:val="24"/>
        </w:rPr>
        <w:t>Kur një punë ose shërbim i propozuar mund të rezultojë në dhënien e koncesioneve në formën e loteve të veçanta, do të merret parasysh vlera totale e vlerësuar e të gjitha këtyre loteve.</w:t>
      </w:r>
    </w:p>
    <w:p w14:paraId="7E200581" w14:textId="626487D4"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9. </w:t>
      </w:r>
      <w:r w:rsidR="000E01EE" w:rsidRPr="00E757B2">
        <w:rPr>
          <w:rFonts w:ascii="Garamond" w:hAnsi="Garamond" w:cs="Times New Roman"/>
          <w:color w:val="000000" w:themeColor="text1"/>
          <w:sz w:val="24"/>
          <w:szCs w:val="24"/>
        </w:rPr>
        <w:t>Kur vlera e agreguar e loteve është e barabartë ose e kalon kufirin minimal mone</w:t>
      </w:r>
      <w:r w:rsidR="00A70F4D" w:rsidRPr="00E757B2">
        <w:rPr>
          <w:rFonts w:ascii="Garamond" w:hAnsi="Garamond" w:cs="Times New Roman"/>
          <w:color w:val="000000" w:themeColor="text1"/>
          <w:sz w:val="24"/>
          <w:szCs w:val="24"/>
        </w:rPr>
        <w:t>tar të përcaktuar sipas pikës 2</w:t>
      </w:r>
      <w:r w:rsidR="004D1F5C">
        <w:rPr>
          <w:rFonts w:ascii="Garamond" w:hAnsi="Garamond" w:cs="Times New Roman"/>
          <w:color w:val="000000" w:themeColor="text1"/>
          <w:sz w:val="24"/>
          <w:szCs w:val="24"/>
        </w:rPr>
        <w:t>,</w:t>
      </w:r>
      <w:r w:rsidR="00A70F4D" w:rsidRPr="00E757B2">
        <w:rPr>
          <w:rFonts w:ascii="Garamond" w:hAnsi="Garamond" w:cs="Times New Roman"/>
          <w:color w:val="000000" w:themeColor="text1"/>
          <w:sz w:val="24"/>
          <w:szCs w:val="24"/>
        </w:rPr>
        <w:t xml:space="preserve"> të nenit 24</w:t>
      </w:r>
      <w:r w:rsidR="000E01EE" w:rsidRPr="00E757B2">
        <w:rPr>
          <w:rFonts w:ascii="Garamond" w:hAnsi="Garamond" w:cs="Times New Roman"/>
          <w:color w:val="000000" w:themeColor="text1"/>
          <w:sz w:val="24"/>
          <w:szCs w:val="24"/>
        </w:rPr>
        <w:t xml:space="preserve"> të këtij ligji, atëherë do të zbatohen rregullat e përcaktuara në këtë ligj për dhënien e secilit lot.</w:t>
      </w:r>
    </w:p>
    <w:p w14:paraId="2D8032C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A29ECDE"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26</w:t>
      </w:r>
    </w:p>
    <w:p w14:paraId="2570C6EF"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Dokumentet e tenderit</w:t>
      </w:r>
    </w:p>
    <w:p w14:paraId="728C80D5" w14:textId="77777777" w:rsidR="000E01EE" w:rsidRPr="00E757B2" w:rsidRDefault="000E01EE" w:rsidP="002D3692">
      <w:pPr>
        <w:spacing w:after="0" w:line="240" w:lineRule="auto"/>
        <w:ind w:firstLine="284"/>
        <w:jc w:val="both"/>
        <w:rPr>
          <w:rFonts w:ascii="Garamond" w:hAnsi="Garamond" w:cs="Times New Roman"/>
          <w:b/>
          <w:color w:val="000000" w:themeColor="text1"/>
          <w:sz w:val="24"/>
          <w:szCs w:val="24"/>
        </w:rPr>
      </w:pPr>
    </w:p>
    <w:p w14:paraId="13376C8F"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Dokumentet e tenderit hartohen dhe trajtohen nga komisioni i koncesio</w:t>
      </w:r>
      <w:r w:rsidR="00A70F4D" w:rsidRPr="00E757B2">
        <w:rPr>
          <w:rFonts w:ascii="Garamond" w:hAnsi="Garamond" w:cs="Times New Roman"/>
          <w:color w:val="000000" w:themeColor="text1"/>
          <w:sz w:val="24"/>
          <w:szCs w:val="24"/>
        </w:rPr>
        <w:t>nit/partneritetit publik privat</w:t>
      </w:r>
      <w:r w:rsidR="000E01EE" w:rsidRPr="00E757B2">
        <w:rPr>
          <w:rFonts w:ascii="Garamond" w:hAnsi="Garamond" w:cs="Times New Roman"/>
          <w:color w:val="000000" w:themeColor="text1"/>
          <w:sz w:val="24"/>
          <w:szCs w:val="24"/>
        </w:rPr>
        <w:t xml:space="preserve"> në përputhje me dispozitat përkatëse të këtij ligji.</w:t>
      </w:r>
    </w:p>
    <w:p w14:paraId="504C631E"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Rregulla</w:t>
      </w:r>
      <w:r w:rsidR="007438AD" w:rsidRPr="00E757B2">
        <w:rPr>
          <w:rFonts w:ascii="Garamond" w:hAnsi="Garamond" w:cs="Times New Roman"/>
          <w:color w:val="000000" w:themeColor="text1"/>
          <w:sz w:val="24"/>
          <w:szCs w:val="24"/>
        </w:rPr>
        <w:t>t</w:t>
      </w:r>
      <w:r w:rsidR="000E01EE" w:rsidRPr="00E757B2">
        <w:rPr>
          <w:rFonts w:ascii="Garamond" w:hAnsi="Garamond" w:cs="Times New Roman"/>
          <w:color w:val="000000" w:themeColor="text1"/>
          <w:sz w:val="24"/>
          <w:szCs w:val="24"/>
        </w:rPr>
        <w:t xml:space="preserve"> më të hollësishme për çështjet e përcaktuara në pikën 1 të këtij neni miratohen me vendim të Këshillit të Ministrave.</w:t>
      </w:r>
    </w:p>
    <w:p w14:paraId="1D836671"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Pa cenuar pikën 1 të këtij neni, në dokumentet e tenderit për procedurën për dhënien e koncesionit/partneritetit publik privat mund t</w:t>
      </w:r>
      <w:r w:rsidR="007438AD" w:rsidRPr="00E757B2">
        <w:rPr>
          <w:rFonts w:ascii="Garamond" w:hAnsi="Garamond" w:cs="Times New Roman"/>
          <w:color w:val="000000" w:themeColor="text1"/>
          <w:sz w:val="24"/>
          <w:szCs w:val="24"/>
        </w:rPr>
        <w:t>ë përfshihet informacion shtesë</w:t>
      </w:r>
      <w:r w:rsidR="000E01EE" w:rsidRPr="00E757B2">
        <w:rPr>
          <w:rFonts w:ascii="Garamond" w:hAnsi="Garamond" w:cs="Times New Roman"/>
          <w:color w:val="000000" w:themeColor="text1"/>
          <w:sz w:val="24"/>
          <w:szCs w:val="24"/>
        </w:rPr>
        <w:t xml:space="preserve"> sipas përcaktimeve në akte të tjera ligjore dhe nënligjore.</w:t>
      </w:r>
    </w:p>
    <w:p w14:paraId="54FDD02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8270624"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27</w:t>
      </w:r>
    </w:p>
    <w:p w14:paraId="7C235FBA"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Shërbime sociale dhe shërbime të tjera specifike</w:t>
      </w:r>
    </w:p>
    <w:p w14:paraId="741C5BC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EFAC3C6"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Koncesionet për shërbime sociale dhe shërbime të tjera specifike u nënshtrohen vetëm detyrimeve të përcaktuara në pikat 3 dhe 4 të këtij neni.</w:t>
      </w:r>
    </w:p>
    <w:p w14:paraId="75359051"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Llojet e shërbimeve, sipas pikës 1 të këtij neni, përcaktohen me vendim të Këshillit të Ministrave.</w:t>
      </w:r>
    </w:p>
    <w:p w14:paraId="22EE6A57"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 xml:space="preserve">Autoriteti/enti kontraktues bën të ditur synimin për dhënien e planifikuar të koncesionit të shërbimeve të </w:t>
      </w:r>
      <w:r w:rsidR="007438AD" w:rsidRPr="00E757B2">
        <w:rPr>
          <w:rFonts w:ascii="Garamond" w:hAnsi="Garamond" w:cs="Times New Roman"/>
          <w:color w:val="000000" w:themeColor="text1"/>
          <w:sz w:val="24"/>
          <w:szCs w:val="24"/>
        </w:rPr>
        <w:t>përmendura në pikën 1 të këtij neni</w:t>
      </w:r>
      <w:r w:rsidR="000E01EE" w:rsidRPr="00E757B2">
        <w:rPr>
          <w:rFonts w:ascii="Garamond" w:hAnsi="Garamond" w:cs="Times New Roman"/>
          <w:color w:val="000000" w:themeColor="text1"/>
          <w:sz w:val="24"/>
          <w:szCs w:val="24"/>
        </w:rPr>
        <w:t xml:space="preserve"> nëpërmjet publikimit të një njoftimi paraprak të informacionit. Ky njoftim duhet të përmbajë minimalisht informacionin e mëposhtëm:</w:t>
      </w:r>
    </w:p>
    <w:p w14:paraId="2F724946" w14:textId="29D0FCA4"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e</w:t>
      </w:r>
      <w:r w:rsidR="000E01EE" w:rsidRPr="00E757B2">
        <w:rPr>
          <w:rFonts w:ascii="Garamond" w:hAnsi="Garamond" w:cs="Times New Roman"/>
          <w:color w:val="000000" w:themeColor="text1"/>
          <w:sz w:val="24"/>
          <w:szCs w:val="24"/>
        </w:rPr>
        <w:t>mrin, numrin e identifikimit, adresën, duk</w:t>
      </w:r>
      <w:r w:rsidR="007438AD" w:rsidRPr="00E757B2">
        <w:rPr>
          <w:rFonts w:ascii="Garamond" w:hAnsi="Garamond" w:cs="Times New Roman"/>
          <w:color w:val="000000" w:themeColor="text1"/>
          <w:sz w:val="24"/>
          <w:szCs w:val="24"/>
        </w:rPr>
        <w:t xml:space="preserve">e përfshirë numrin e telefonit, </w:t>
      </w:r>
      <w:r w:rsidR="004D1F5C" w:rsidRPr="004D1F5C">
        <w:rPr>
          <w:rFonts w:ascii="Garamond" w:hAnsi="Garamond" w:cs="Times New Roman"/>
          <w:i/>
          <w:color w:val="000000" w:themeColor="text1"/>
          <w:sz w:val="24"/>
          <w:szCs w:val="24"/>
        </w:rPr>
        <w:t>e</w:t>
      </w:r>
      <w:r w:rsidR="000E01EE" w:rsidRPr="004D1F5C">
        <w:rPr>
          <w:rFonts w:ascii="Garamond" w:hAnsi="Garamond" w:cs="Times New Roman"/>
          <w:i/>
          <w:color w:val="000000" w:themeColor="text1"/>
          <w:sz w:val="24"/>
          <w:szCs w:val="24"/>
        </w:rPr>
        <w:t>mail</w:t>
      </w:r>
      <w:r w:rsidR="000E01EE" w:rsidRPr="00E757B2">
        <w:rPr>
          <w:rFonts w:ascii="Garamond" w:hAnsi="Garamond" w:cs="Times New Roman"/>
          <w:color w:val="000000" w:themeColor="text1"/>
          <w:sz w:val="24"/>
          <w:szCs w:val="24"/>
        </w:rPr>
        <w:t>-in dhe adresën e internetit të autoritetit ose të entit kontraktues;</w:t>
      </w:r>
    </w:p>
    <w:p w14:paraId="4E71C8B6" w14:textId="25481A9C"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k</w:t>
      </w:r>
      <w:r w:rsidR="004D1F5C">
        <w:rPr>
          <w:rFonts w:ascii="Garamond" w:hAnsi="Garamond" w:cs="Times New Roman"/>
          <w:color w:val="000000" w:themeColor="text1"/>
          <w:sz w:val="24"/>
          <w:szCs w:val="24"/>
        </w:rPr>
        <w:t xml:space="preserve">ur është e përshtatshme, </w:t>
      </w:r>
      <w:r w:rsidR="004D1F5C" w:rsidRPr="004D1F5C">
        <w:rPr>
          <w:rFonts w:ascii="Garamond" w:hAnsi="Garamond" w:cs="Times New Roman"/>
          <w:i/>
          <w:color w:val="000000" w:themeColor="text1"/>
          <w:sz w:val="24"/>
          <w:szCs w:val="24"/>
        </w:rPr>
        <w:t>e</w:t>
      </w:r>
      <w:r w:rsidR="000E01EE" w:rsidRPr="004D1F5C">
        <w:rPr>
          <w:rFonts w:ascii="Garamond" w:hAnsi="Garamond" w:cs="Times New Roman"/>
          <w:i/>
          <w:color w:val="000000" w:themeColor="text1"/>
          <w:sz w:val="24"/>
          <w:szCs w:val="24"/>
        </w:rPr>
        <w:t>m</w:t>
      </w:r>
      <w:r w:rsidR="007438AD" w:rsidRPr="004D1F5C">
        <w:rPr>
          <w:rFonts w:ascii="Garamond" w:hAnsi="Garamond" w:cs="Times New Roman"/>
          <w:i/>
          <w:color w:val="000000" w:themeColor="text1"/>
          <w:sz w:val="24"/>
          <w:szCs w:val="24"/>
        </w:rPr>
        <w:t>ail</w:t>
      </w:r>
      <w:r w:rsidR="007438AD" w:rsidRPr="00E757B2">
        <w:rPr>
          <w:rFonts w:ascii="Garamond" w:hAnsi="Garamond" w:cs="Times New Roman"/>
          <w:color w:val="000000" w:themeColor="text1"/>
          <w:sz w:val="24"/>
          <w:szCs w:val="24"/>
        </w:rPr>
        <w:t>-in ose adresën e internetit</w:t>
      </w:r>
      <w:r w:rsidR="000E01EE" w:rsidRPr="00E757B2">
        <w:rPr>
          <w:rFonts w:ascii="Garamond" w:hAnsi="Garamond" w:cs="Times New Roman"/>
          <w:color w:val="000000" w:themeColor="text1"/>
          <w:sz w:val="24"/>
          <w:szCs w:val="24"/>
        </w:rPr>
        <w:t xml:space="preserve"> në të cilën do të jenë të disponueshme specifikimet dhe çdo dokument mbështetës;</w:t>
      </w:r>
    </w:p>
    <w:p w14:paraId="7E2DD67D"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l</w:t>
      </w:r>
      <w:r w:rsidR="000E01EE" w:rsidRPr="00E757B2">
        <w:rPr>
          <w:rFonts w:ascii="Garamond" w:hAnsi="Garamond" w:cs="Times New Roman"/>
          <w:color w:val="000000" w:themeColor="text1"/>
          <w:sz w:val="24"/>
          <w:szCs w:val="24"/>
        </w:rPr>
        <w:t>lojin e autoritetit ose të entit kontraktues dhe veprimtarinë kryesore të ushtruar;</w:t>
      </w:r>
    </w:p>
    <w:p w14:paraId="3F8A7A96"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k</w:t>
      </w:r>
      <w:r w:rsidR="000E01EE" w:rsidRPr="00E757B2">
        <w:rPr>
          <w:rFonts w:ascii="Garamond" w:hAnsi="Garamond" w:cs="Times New Roman"/>
          <w:color w:val="000000" w:themeColor="text1"/>
          <w:sz w:val="24"/>
          <w:szCs w:val="24"/>
        </w:rPr>
        <w:t>odet CPV. Kur kontrata është e ndarë në lote, ky informacion duhet të jepet për çdo lot;</w:t>
      </w:r>
    </w:p>
    <w:p w14:paraId="3E8DAC07"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 p</w:t>
      </w:r>
      <w:r w:rsidR="000E01EE" w:rsidRPr="00E757B2">
        <w:rPr>
          <w:rFonts w:ascii="Garamond" w:hAnsi="Garamond" w:cs="Times New Roman"/>
          <w:color w:val="000000" w:themeColor="text1"/>
          <w:sz w:val="24"/>
          <w:szCs w:val="24"/>
        </w:rPr>
        <w:t xml:space="preserve">ërshkrimin e shërbimeve, renditja treguese e madhësisë ose e vlerës; </w:t>
      </w:r>
    </w:p>
    <w:p w14:paraId="5C0D52B8"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dh) </w:t>
      </w:r>
      <w:r w:rsidR="00981F73" w:rsidRPr="00E757B2">
        <w:rPr>
          <w:rFonts w:ascii="Garamond" w:hAnsi="Garamond" w:cs="Times New Roman"/>
          <w:color w:val="000000" w:themeColor="text1"/>
          <w:sz w:val="24"/>
          <w:szCs w:val="24"/>
        </w:rPr>
        <w:t>k</w:t>
      </w:r>
      <w:r w:rsidRPr="00E757B2">
        <w:rPr>
          <w:rFonts w:ascii="Garamond" w:hAnsi="Garamond" w:cs="Times New Roman"/>
          <w:color w:val="000000" w:themeColor="text1"/>
          <w:sz w:val="24"/>
          <w:szCs w:val="24"/>
        </w:rPr>
        <w:t>ushtet për pjesëmarrje;</w:t>
      </w:r>
    </w:p>
    <w:p w14:paraId="062B564E"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e) k</w:t>
      </w:r>
      <w:r w:rsidR="000E01EE" w:rsidRPr="00E757B2">
        <w:rPr>
          <w:rFonts w:ascii="Garamond" w:hAnsi="Garamond" w:cs="Times New Roman"/>
          <w:color w:val="000000" w:themeColor="text1"/>
          <w:sz w:val="24"/>
          <w:szCs w:val="24"/>
        </w:rPr>
        <w:t>ur është e mundshme, afatin ose afatet kohore për kontaktimin me autoritetin ose entin kontraktues në funksion të pjesëmarrjes;</w:t>
      </w:r>
    </w:p>
    <w:p w14:paraId="479AB2AC"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ë) k</w:t>
      </w:r>
      <w:r w:rsidR="000E01EE" w:rsidRPr="00E757B2">
        <w:rPr>
          <w:rFonts w:ascii="Garamond" w:hAnsi="Garamond" w:cs="Times New Roman"/>
          <w:color w:val="000000" w:themeColor="text1"/>
          <w:sz w:val="24"/>
          <w:szCs w:val="24"/>
        </w:rPr>
        <w:t>ur është e mundshme, përshkrim të shkurtër të veçorive kryesore të procedurës së dhënies së kontratës, që do të zbatohet;</w:t>
      </w:r>
    </w:p>
    <w:p w14:paraId="14C53D24"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f) ç</w:t>
      </w:r>
      <w:r w:rsidR="000E01EE" w:rsidRPr="00E757B2">
        <w:rPr>
          <w:rFonts w:ascii="Garamond" w:hAnsi="Garamond" w:cs="Times New Roman"/>
          <w:color w:val="000000" w:themeColor="text1"/>
          <w:sz w:val="24"/>
          <w:szCs w:val="24"/>
        </w:rPr>
        <w:t>do infor</w:t>
      </w:r>
      <w:r w:rsidR="007438AD" w:rsidRPr="00E757B2">
        <w:rPr>
          <w:rFonts w:ascii="Garamond" w:hAnsi="Garamond" w:cs="Times New Roman"/>
          <w:color w:val="000000" w:themeColor="text1"/>
          <w:sz w:val="24"/>
          <w:szCs w:val="24"/>
        </w:rPr>
        <w:t>macion tjetër të rëndësishëm.</w:t>
      </w:r>
    </w:p>
    <w:p w14:paraId="6DC73A95"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4.</w:t>
      </w:r>
      <w:r w:rsidR="00500284"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Autoritetet ose entet kontraktuese publikojnë njoftimin e fituesit bazuar mbi rezultatet e procedurës së dhënies së koncesionit. Ky njoftim duhet të përmbajë informacionin minimal të mëposhtëm:</w:t>
      </w:r>
    </w:p>
    <w:p w14:paraId="0F1F624A" w14:textId="5A31A34B"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w:t>
      </w:r>
      <w:r w:rsidR="00500284" w:rsidRPr="00E757B2">
        <w:rPr>
          <w:rFonts w:ascii="Garamond" w:hAnsi="Garamond" w:cs="Times New Roman"/>
          <w:color w:val="000000" w:themeColor="text1"/>
          <w:sz w:val="24"/>
          <w:szCs w:val="24"/>
        </w:rPr>
        <w:t xml:space="preserve"> e</w:t>
      </w:r>
      <w:r w:rsidR="000E01EE" w:rsidRPr="00E757B2">
        <w:rPr>
          <w:rFonts w:ascii="Garamond" w:hAnsi="Garamond" w:cs="Times New Roman"/>
          <w:color w:val="000000" w:themeColor="text1"/>
          <w:sz w:val="24"/>
          <w:szCs w:val="24"/>
        </w:rPr>
        <w:t>mrin, numrin e identifikimit, adresën, duk</w:t>
      </w:r>
      <w:r w:rsidR="00A607D8" w:rsidRPr="00E757B2">
        <w:rPr>
          <w:rFonts w:ascii="Garamond" w:hAnsi="Garamond" w:cs="Times New Roman"/>
          <w:color w:val="000000" w:themeColor="text1"/>
          <w:sz w:val="24"/>
          <w:szCs w:val="24"/>
        </w:rPr>
        <w:t xml:space="preserve">e përfshirë numrin e telefonit, </w:t>
      </w:r>
      <w:r w:rsidR="004D1F5C" w:rsidRPr="004D1F5C">
        <w:rPr>
          <w:rFonts w:ascii="Garamond" w:hAnsi="Garamond" w:cs="Times New Roman"/>
          <w:i/>
          <w:color w:val="000000" w:themeColor="text1"/>
          <w:sz w:val="24"/>
          <w:szCs w:val="24"/>
        </w:rPr>
        <w:t>e</w:t>
      </w:r>
      <w:r w:rsidR="000E01EE" w:rsidRPr="004D1F5C">
        <w:rPr>
          <w:rFonts w:ascii="Garamond" w:hAnsi="Garamond" w:cs="Times New Roman"/>
          <w:i/>
          <w:color w:val="000000" w:themeColor="text1"/>
          <w:sz w:val="24"/>
          <w:szCs w:val="24"/>
        </w:rPr>
        <w:t>mail</w:t>
      </w:r>
      <w:r w:rsidR="000E01EE" w:rsidRPr="00E757B2">
        <w:rPr>
          <w:rFonts w:ascii="Garamond" w:hAnsi="Garamond" w:cs="Times New Roman"/>
          <w:color w:val="000000" w:themeColor="text1"/>
          <w:sz w:val="24"/>
          <w:szCs w:val="24"/>
        </w:rPr>
        <w:t>-in dhe adresën e internetit të autoritetit ose të entit kontraktues;</w:t>
      </w:r>
    </w:p>
    <w:p w14:paraId="420A639C"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w:t>
      </w:r>
      <w:r w:rsidR="00500284" w:rsidRPr="00E757B2">
        <w:rPr>
          <w:rFonts w:ascii="Garamond" w:hAnsi="Garamond" w:cs="Times New Roman"/>
          <w:color w:val="000000" w:themeColor="text1"/>
          <w:sz w:val="24"/>
          <w:szCs w:val="24"/>
        </w:rPr>
        <w:t xml:space="preserve"> l</w:t>
      </w:r>
      <w:r w:rsidR="000E01EE" w:rsidRPr="00E757B2">
        <w:rPr>
          <w:rFonts w:ascii="Garamond" w:hAnsi="Garamond" w:cs="Times New Roman"/>
          <w:color w:val="000000" w:themeColor="text1"/>
          <w:sz w:val="24"/>
          <w:szCs w:val="24"/>
        </w:rPr>
        <w:t>lojin e autoritetit ose të entit kontraktues dhe veprimtarinë kryesore të ushtruar;</w:t>
      </w:r>
    </w:p>
    <w:p w14:paraId="239C306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w:t>
      </w:r>
      <w:r w:rsidR="00981F73" w:rsidRPr="00E757B2">
        <w:rPr>
          <w:rFonts w:ascii="Garamond" w:hAnsi="Garamond" w:cs="Times New Roman"/>
          <w:color w:val="000000" w:themeColor="text1"/>
          <w:sz w:val="24"/>
          <w:szCs w:val="24"/>
        </w:rPr>
        <w:t>)</w:t>
      </w:r>
      <w:r w:rsidR="00500284" w:rsidRPr="00E757B2">
        <w:rPr>
          <w:rFonts w:ascii="Garamond" w:hAnsi="Garamond" w:cs="Times New Roman"/>
          <w:color w:val="000000" w:themeColor="text1"/>
          <w:sz w:val="24"/>
          <w:szCs w:val="24"/>
        </w:rPr>
        <w:t xml:space="preserve"> k</w:t>
      </w:r>
      <w:r w:rsidRPr="00E757B2">
        <w:rPr>
          <w:rFonts w:ascii="Garamond" w:hAnsi="Garamond" w:cs="Times New Roman"/>
          <w:color w:val="000000" w:themeColor="text1"/>
          <w:sz w:val="24"/>
          <w:szCs w:val="24"/>
        </w:rPr>
        <w:t>odet CPV. Kur kontrata është e ndarë në lote, ky informacion duhet të jepet për çdo lot;</w:t>
      </w:r>
    </w:p>
    <w:p w14:paraId="39F92234"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500284"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jë përshkrim të objektit të koncesionit;</w:t>
      </w:r>
    </w:p>
    <w:p w14:paraId="25A1EF5F"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w:t>
      </w:r>
      <w:r w:rsidR="00500284" w:rsidRPr="00E757B2">
        <w:rPr>
          <w:rFonts w:ascii="Garamond" w:hAnsi="Garamond" w:cs="Times New Roman"/>
          <w:color w:val="000000" w:themeColor="text1"/>
          <w:sz w:val="24"/>
          <w:szCs w:val="24"/>
        </w:rPr>
        <w:t xml:space="preserve"> n</w:t>
      </w:r>
      <w:r w:rsidR="000E01EE" w:rsidRPr="00E757B2">
        <w:rPr>
          <w:rFonts w:ascii="Garamond" w:hAnsi="Garamond" w:cs="Times New Roman"/>
          <w:color w:val="000000" w:themeColor="text1"/>
          <w:sz w:val="24"/>
          <w:szCs w:val="24"/>
        </w:rPr>
        <w:t>umrin e ofertave të marra;</w:t>
      </w:r>
    </w:p>
    <w:p w14:paraId="5068D81E"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dh) </w:t>
      </w:r>
      <w:r w:rsidR="00500284" w:rsidRPr="00E757B2">
        <w:rPr>
          <w:rFonts w:ascii="Garamond" w:hAnsi="Garamond" w:cs="Times New Roman"/>
          <w:color w:val="000000" w:themeColor="text1"/>
          <w:sz w:val="24"/>
          <w:szCs w:val="24"/>
        </w:rPr>
        <w:t>v</w:t>
      </w:r>
      <w:r w:rsidR="000E01EE" w:rsidRPr="00E757B2">
        <w:rPr>
          <w:rFonts w:ascii="Garamond" w:hAnsi="Garamond" w:cs="Times New Roman"/>
          <w:color w:val="000000" w:themeColor="text1"/>
          <w:sz w:val="24"/>
          <w:szCs w:val="24"/>
        </w:rPr>
        <w:t>lerën e ofertës së suksesshme, duke përfshirë tarifat e çmimet;</w:t>
      </w:r>
    </w:p>
    <w:p w14:paraId="6137D11C" w14:textId="3D525F2B"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e)</w:t>
      </w:r>
      <w:r w:rsidR="00500284" w:rsidRPr="00E757B2">
        <w:rPr>
          <w:rFonts w:ascii="Garamond" w:hAnsi="Garamond" w:cs="Times New Roman"/>
          <w:color w:val="000000" w:themeColor="text1"/>
          <w:sz w:val="24"/>
          <w:szCs w:val="24"/>
        </w:rPr>
        <w:t xml:space="preserve"> e</w:t>
      </w:r>
      <w:r w:rsidR="000E01EE" w:rsidRPr="00E757B2">
        <w:rPr>
          <w:rFonts w:ascii="Garamond" w:hAnsi="Garamond" w:cs="Times New Roman"/>
          <w:color w:val="000000" w:themeColor="text1"/>
          <w:sz w:val="24"/>
          <w:szCs w:val="24"/>
        </w:rPr>
        <w:t>mrin dhe a</w:t>
      </w:r>
      <w:r w:rsidR="004D1F5C">
        <w:rPr>
          <w:rFonts w:ascii="Garamond" w:hAnsi="Garamond" w:cs="Times New Roman"/>
          <w:color w:val="000000" w:themeColor="text1"/>
          <w:sz w:val="24"/>
          <w:szCs w:val="24"/>
        </w:rPr>
        <w:t xml:space="preserve">dresën e telefonit, adresën e </w:t>
      </w:r>
      <w:r w:rsidR="004D1F5C" w:rsidRPr="004D1F5C">
        <w:rPr>
          <w:rFonts w:ascii="Garamond" w:hAnsi="Garamond" w:cs="Times New Roman"/>
          <w:i/>
          <w:color w:val="000000" w:themeColor="text1"/>
          <w:sz w:val="24"/>
          <w:szCs w:val="24"/>
        </w:rPr>
        <w:t>e</w:t>
      </w:r>
      <w:r w:rsidR="000E01EE" w:rsidRPr="004D1F5C">
        <w:rPr>
          <w:rFonts w:ascii="Garamond" w:hAnsi="Garamond" w:cs="Times New Roman"/>
          <w:i/>
          <w:color w:val="000000" w:themeColor="text1"/>
          <w:sz w:val="24"/>
          <w:szCs w:val="24"/>
        </w:rPr>
        <w:t>mail</w:t>
      </w:r>
      <w:r w:rsidR="000E01EE" w:rsidRPr="00E757B2">
        <w:rPr>
          <w:rFonts w:ascii="Garamond" w:hAnsi="Garamond" w:cs="Times New Roman"/>
          <w:color w:val="000000" w:themeColor="text1"/>
          <w:sz w:val="24"/>
          <w:szCs w:val="24"/>
        </w:rPr>
        <w:t>-it dhe adresën e internetit të operatorit apo të operatorëve të suksesshëm ekonomikë;</w:t>
      </w:r>
    </w:p>
    <w:p w14:paraId="355E13B0"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ë) </w:t>
      </w:r>
      <w:r w:rsidR="00500284" w:rsidRPr="00E757B2">
        <w:rPr>
          <w:rFonts w:ascii="Garamond" w:hAnsi="Garamond" w:cs="Times New Roman"/>
          <w:color w:val="000000" w:themeColor="text1"/>
          <w:sz w:val="24"/>
          <w:szCs w:val="24"/>
        </w:rPr>
        <w:t>ç</w:t>
      </w:r>
      <w:r w:rsidR="000E01EE" w:rsidRPr="00E757B2">
        <w:rPr>
          <w:rFonts w:ascii="Garamond" w:hAnsi="Garamond" w:cs="Times New Roman"/>
          <w:color w:val="000000" w:themeColor="text1"/>
          <w:sz w:val="24"/>
          <w:szCs w:val="24"/>
        </w:rPr>
        <w:t>do informacion tjetër të rëndësishëm.</w:t>
      </w:r>
    </w:p>
    <w:p w14:paraId="75260BB8" w14:textId="77777777" w:rsidR="000E01EE" w:rsidRPr="00E757B2" w:rsidRDefault="00981F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5.</w:t>
      </w:r>
      <w:r w:rsidR="00500284"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Njoftimi i kontratës dhe njoftimi i fituesit për shërbimet sociale dhe shërbimet e tjera specifike, të përcaktuara në këtë nen, publikohen sipas një formulari standard, pjesë e dokumenteve të koncesionit.</w:t>
      </w:r>
    </w:p>
    <w:p w14:paraId="4F9C884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325F8EB"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28</w:t>
      </w:r>
    </w:p>
    <w:p w14:paraId="22CB2E62"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Koncesionet e rezervuara</w:t>
      </w:r>
    </w:p>
    <w:p w14:paraId="67BF255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B0950B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Autoritetet/entet kontraktuese mund të rezervojnë të drejtën për të marrë pjesë në procedurat e dhënies së koncesionit/partneritetit publik privat për punëtori sociale dhe të mbrojtura, si dhe operatorët ekonomikë, qëllimi kryesor i të cilëve është integrimi social e profesional i personave me aftësi të kufizuara ose të pafavorizuara ose mund të parashikojë që këto koncesione të realizohen në kuadër të programeve të punësimit të mbrojtur, me kusht që të paktën 30% e punonjësve të këtyre punëtorive, operatorëve ekonomikë ose programeve të jenë punonjës me aftësi të kufizuara ose persona në nevojë, sipas legjislacionit në fuqi.</w:t>
      </w:r>
    </w:p>
    <w:p w14:paraId="1F6AD7A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Në rastin e koncesioneve</w:t>
      </w:r>
      <w:r w:rsidR="00F467FB" w:rsidRPr="00E757B2">
        <w:rPr>
          <w:rFonts w:ascii="Garamond" w:hAnsi="Garamond" w:cs="Times New Roman"/>
          <w:color w:val="000000" w:themeColor="text1"/>
          <w:sz w:val="24"/>
          <w:szCs w:val="24"/>
        </w:rPr>
        <w:t xml:space="preserve"> të rezervuara aplikohet pika 3 e nenit 27 </w:t>
      </w:r>
      <w:r w:rsidRPr="00E757B2">
        <w:rPr>
          <w:rFonts w:ascii="Garamond" w:hAnsi="Garamond" w:cs="Times New Roman"/>
          <w:color w:val="000000" w:themeColor="text1"/>
          <w:sz w:val="24"/>
          <w:szCs w:val="24"/>
        </w:rPr>
        <w:t>të këtij ligji.</w:t>
      </w:r>
    </w:p>
    <w:p w14:paraId="60DFBA3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1F8CC8C"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29</w:t>
      </w:r>
    </w:p>
    <w:p w14:paraId="40CBB92D"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Shërbimet e kërkimit dhe të zhvillimit</w:t>
      </w:r>
    </w:p>
    <w:p w14:paraId="628BD488"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9654671"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Ky ligj zbatohet vetëm për koncesionet, shërbimet kërkimore dhe të zhvillimit dhe shërbimet e konsulencës të lidhura me to, për të cilat plotësohen të dyja kushtet e mëposhtme:</w:t>
      </w:r>
    </w:p>
    <w:p w14:paraId="2D4C1925"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p</w:t>
      </w:r>
      <w:r w:rsidR="000E01EE" w:rsidRPr="00E757B2">
        <w:rPr>
          <w:rFonts w:ascii="Garamond" w:hAnsi="Garamond" w:cs="Times New Roman"/>
          <w:color w:val="000000" w:themeColor="text1"/>
          <w:sz w:val="24"/>
          <w:szCs w:val="24"/>
        </w:rPr>
        <w:t>ërfitimet i përkasin ekskluzivisht autoritetit kontraktues ose entit kontraktues, që t’i përdorë për kryerjen e punëve të veta;</w:t>
      </w:r>
    </w:p>
    <w:p w14:paraId="5B6D6DD7"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s</w:t>
      </w:r>
      <w:r w:rsidR="000E01EE" w:rsidRPr="00E757B2">
        <w:rPr>
          <w:rFonts w:ascii="Garamond" w:hAnsi="Garamond" w:cs="Times New Roman"/>
          <w:color w:val="000000" w:themeColor="text1"/>
          <w:sz w:val="24"/>
          <w:szCs w:val="24"/>
        </w:rPr>
        <w:t>hërbimi i ofruar shpërblehet tërësisht nga autoriteti kontraktues ose enti kontraktues.</w:t>
      </w:r>
    </w:p>
    <w:p w14:paraId="101BC34D"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 xml:space="preserve">Lista e shërbimeve, sipas pikës 1 të këtij neni, përcaktohet konkretisht me vendim të Këshillit të Ministrave. </w:t>
      </w:r>
    </w:p>
    <w:p w14:paraId="14200D8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CB4DD59"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30</w:t>
      </w:r>
    </w:p>
    <w:p w14:paraId="319C743A"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Operatorët ekonomikë</w:t>
      </w:r>
    </w:p>
    <w:p w14:paraId="5A23A731"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4D1DFA4"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Operator ekonomik është çdo person, fizik ose juridik, ent publik ose grup personash dhe/ose entesh të tilla, që ofrojnë në treg, respektivisht, realizimin e punëve dhe/ose të punëve dhe shërbimeve.</w:t>
      </w:r>
    </w:p>
    <w:p w14:paraId="227D4C14"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Personave juridik</w:t>
      </w:r>
      <w:r w:rsidR="001025A8" w:rsidRPr="00E757B2">
        <w:rPr>
          <w:rFonts w:ascii="Garamond" w:hAnsi="Garamond" w:cs="Times New Roman"/>
          <w:color w:val="000000" w:themeColor="text1"/>
          <w:sz w:val="24"/>
          <w:szCs w:val="24"/>
        </w:rPr>
        <w:t>ë mund t’u kërkohet të tregojnë</w:t>
      </w:r>
      <w:r w:rsidR="000E01EE" w:rsidRPr="00E757B2">
        <w:rPr>
          <w:rFonts w:ascii="Garamond" w:hAnsi="Garamond" w:cs="Times New Roman"/>
          <w:color w:val="000000" w:themeColor="text1"/>
          <w:sz w:val="24"/>
          <w:szCs w:val="24"/>
        </w:rPr>
        <w:t xml:space="preserve"> në ofertë </w:t>
      </w:r>
      <w:r w:rsidR="001025A8" w:rsidRPr="00E757B2">
        <w:rPr>
          <w:rFonts w:ascii="Garamond" w:hAnsi="Garamond" w:cs="Times New Roman"/>
          <w:color w:val="000000" w:themeColor="text1"/>
          <w:sz w:val="24"/>
          <w:szCs w:val="24"/>
        </w:rPr>
        <w:t>ose në kërkesën për pjesëmarrje</w:t>
      </w:r>
      <w:r w:rsidR="000E01EE" w:rsidRPr="00E757B2">
        <w:rPr>
          <w:rFonts w:ascii="Garamond" w:hAnsi="Garamond" w:cs="Times New Roman"/>
          <w:color w:val="000000" w:themeColor="text1"/>
          <w:sz w:val="24"/>
          <w:szCs w:val="24"/>
        </w:rPr>
        <w:t xml:space="preserve"> emrat dhe kualifikimet përkatëse profesionale të personelit, që do të jetë përgjegjës për zbatimin e kontratës në fjalë.</w:t>
      </w:r>
    </w:p>
    <w:p w14:paraId="3BDC6944"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Grupet e operatorëve ekonomikë, duke përfshirë bashkimet e përkohshme, mund të marrin pjesë në procedurat e dhënies së koncesionit. Autoritetet kontraktuese ose entet kontraktuese nuk u kërkojnë atyre një formë të caktuar ligjore për të paraqitur një ofertë ose kërkesë për pjesëmarrje.</w:t>
      </w:r>
    </w:p>
    <w:p w14:paraId="11BF32EB"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Pavarësisht përcaktimeve të pikave 1 e 3 të këtij neni, autoritetet ose entet kontraktuese mund t’u kërkojnë grupeve/bashkimeve të operatorëve ekonomikë që të marrin një formë ligjore specifike pasi t’u jepet kontrata, siç parashikohet në nenin 63 të këtij ligji, në masën që ky ndryshim është i nevojshëm për realizimin e kënaqshëm të kontratës.</w:t>
      </w:r>
    </w:p>
    <w:p w14:paraId="6F111359"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Rregulla më të hollësishme në zbatim të këtij neni do të përcaktohen me vendim të Këshillit të Ministrave.</w:t>
      </w:r>
    </w:p>
    <w:p w14:paraId="7D201D1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408DA9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KREU III</w:t>
      </w:r>
    </w:p>
    <w:p w14:paraId="72B6A799"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RREGULLA TË APLIKUESHME PËR DHËNIEN E KONCESIONEVE</w:t>
      </w:r>
    </w:p>
    <w:p w14:paraId="64488321"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4CDB6E3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31</w:t>
      </w:r>
    </w:p>
    <w:p w14:paraId="19201D08"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Rregulla dhe parime të përgjithshme</w:t>
      </w:r>
    </w:p>
    <w:p w14:paraId="000688B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5B76890"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Procedura konkurruese për dhënien e koncesioneve fillon me miratimin e urdhrit përkatës nga autoriteti ose enti kontraktues, pasi të jetë miratuar studimi i fizibilitetit nga ministria përgjegjëse për financat ose të jetë maturuar në Listën Unike të Projekteve me Rëndësi Kombëtare dhe përfundon me publikimin e njoftimit të fituesit për dhënien e kontratës ose me publikimin e njoftimit të anulimit të procedurës.</w:t>
      </w:r>
    </w:p>
    <w:p w14:paraId="383329DE"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Autoriteti ose enti kontraktues organizon procedurën për përzgjedhjen e fituesit të koncesionit, në përputhje me këtë ligj.</w:t>
      </w:r>
    </w:p>
    <w:p w14:paraId="1DD9EAB5"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Organizimi i procedurës së dhënies së koncesionit duhet të respektojë p</w:t>
      </w:r>
      <w:r w:rsidR="001025A8" w:rsidRPr="00E757B2">
        <w:rPr>
          <w:rFonts w:ascii="Garamond" w:hAnsi="Garamond" w:cs="Times New Roman"/>
          <w:color w:val="000000" w:themeColor="text1"/>
          <w:sz w:val="24"/>
          <w:szCs w:val="24"/>
        </w:rPr>
        <w:t>arimet e përcaktuara në nenin 9</w:t>
      </w:r>
      <w:r w:rsidR="000E01EE" w:rsidRPr="00E757B2">
        <w:rPr>
          <w:rFonts w:ascii="Garamond" w:hAnsi="Garamond" w:cs="Times New Roman"/>
          <w:color w:val="000000" w:themeColor="text1"/>
          <w:sz w:val="24"/>
          <w:szCs w:val="24"/>
        </w:rPr>
        <w:t xml:space="preserve"> të këtij ligji. Në veçanti, gjatë procedurës së dhënies së koncesionit, autoriteti ose enti kontraktues nuk duhet të japë informacion në mënyrë diskriminuese, që mund t’u japë disa kandidatëve ose ofertuesve një avantazh ndaj të tjerëve.</w:t>
      </w:r>
    </w:p>
    <w:p w14:paraId="4C0DE6D6"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Autoriteti ose enti kontraktues merr ma</w:t>
      </w:r>
      <w:r w:rsidR="001025A8" w:rsidRPr="00E757B2">
        <w:rPr>
          <w:rFonts w:ascii="Garamond" w:hAnsi="Garamond" w:cs="Times New Roman"/>
          <w:color w:val="000000" w:themeColor="text1"/>
          <w:sz w:val="24"/>
          <w:szCs w:val="24"/>
        </w:rPr>
        <w:t>sat e duhura për të siguruar që</w:t>
      </w:r>
      <w:r w:rsidR="000E01EE" w:rsidRPr="00E757B2">
        <w:rPr>
          <w:rFonts w:ascii="Garamond" w:hAnsi="Garamond" w:cs="Times New Roman"/>
          <w:color w:val="000000" w:themeColor="text1"/>
          <w:sz w:val="24"/>
          <w:szCs w:val="24"/>
        </w:rPr>
        <w:t xml:space="preserve"> gjatë zbatimit të kontratave të koncesioneve, operatorët ekonomikë të kontraktuar të respektojnë detyrimet që zbatohen në fushat e së drejtës mjedisore, sociale dhe të punës, të përcaktuara nga e drejta e Bashkimit Evropian, e drejta kombëtare dhe e drejta ndërkombëtare e detyrueshme për t’u zbatuar nga Republika e Shqipërisë.</w:t>
      </w:r>
    </w:p>
    <w:p w14:paraId="4C5D8BB7"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Rregulla</w:t>
      </w:r>
      <w:r w:rsidR="001025A8" w:rsidRPr="00E757B2">
        <w:rPr>
          <w:rFonts w:ascii="Garamond" w:hAnsi="Garamond" w:cs="Times New Roman"/>
          <w:color w:val="000000" w:themeColor="text1"/>
          <w:sz w:val="24"/>
          <w:szCs w:val="24"/>
        </w:rPr>
        <w:t>t</w:t>
      </w:r>
      <w:r w:rsidR="000E01EE" w:rsidRPr="00E757B2">
        <w:rPr>
          <w:rFonts w:ascii="Garamond" w:hAnsi="Garamond" w:cs="Times New Roman"/>
          <w:color w:val="000000" w:themeColor="text1"/>
          <w:sz w:val="24"/>
          <w:szCs w:val="24"/>
        </w:rPr>
        <w:t xml:space="preserve"> më të hollësishme për zhvillimin e procedurave konkurruese për dhënien me koncesion përcaktohen me vendim të Këshillit të Ministrave.</w:t>
      </w:r>
    </w:p>
    <w:p w14:paraId="3BC5BB81"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AFF2323" w14:textId="77777777" w:rsidR="003B39AF" w:rsidRDefault="003B39AF" w:rsidP="002D3692">
      <w:pPr>
        <w:spacing w:after="0" w:line="240" w:lineRule="auto"/>
        <w:ind w:firstLine="284"/>
        <w:jc w:val="center"/>
        <w:rPr>
          <w:rFonts w:ascii="Garamond" w:hAnsi="Garamond" w:cs="Times New Roman"/>
          <w:color w:val="000000" w:themeColor="text1"/>
          <w:sz w:val="24"/>
          <w:szCs w:val="24"/>
        </w:rPr>
      </w:pPr>
    </w:p>
    <w:p w14:paraId="68F3C570" w14:textId="77777777" w:rsidR="003B39AF" w:rsidRDefault="003B39AF" w:rsidP="002D3692">
      <w:pPr>
        <w:spacing w:after="0" w:line="240" w:lineRule="auto"/>
        <w:ind w:firstLine="284"/>
        <w:jc w:val="center"/>
        <w:rPr>
          <w:rFonts w:ascii="Garamond" w:hAnsi="Garamond" w:cs="Times New Roman"/>
          <w:color w:val="000000" w:themeColor="text1"/>
          <w:sz w:val="24"/>
          <w:szCs w:val="24"/>
        </w:rPr>
      </w:pPr>
    </w:p>
    <w:p w14:paraId="6AEA3DB7" w14:textId="77777777" w:rsidR="003B39AF" w:rsidRDefault="003B39AF" w:rsidP="002D3692">
      <w:pPr>
        <w:spacing w:after="0" w:line="240" w:lineRule="auto"/>
        <w:ind w:firstLine="284"/>
        <w:jc w:val="center"/>
        <w:rPr>
          <w:rFonts w:ascii="Garamond" w:hAnsi="Garamond" w:cs="Times New Roman"/>
          <w:color w:val="000000" w:themeColor="text1"/>
          <w:sz w:val="24"/>
          <w:szCs w:val="24"/>
        </w:rPr>
      </w:pPr>
    </w:p>
    <w:p w14:paraId="2BB71D6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32</w:t>
      </w:r>
    </w:p>
    <w:p w14:paraId="2AEFD495"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Mjetet e komunikimit</w:t>
      </w:r>
    </w:p>
    <w:p w14:paraId="4DBB1BA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E202F4F"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Gjatë procedurës së dhënies së kontratës me koncesion, autoriteti ose enti kontraktues mund të shkëmbejë informacion me operatorin ekonomik, duke përdorur një ose disa nga mjetet e mëposhtme të komunikimit:</w:t>
      </w:r>
    </w:p>
    <w:p w14:paraId="53C39D2D"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mjete elektronike;</w:t>
      </w:r>
    </w:p>
    <w:p w14:paraId="12719906"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postë;</w:t>
      </w:r>
    </w:p>
    <w:p w14:paraId="2B082E35"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0E01EE" w:rsidRPr="00E757B2">
        <w:rPr>
          <w:rFonts w:ascii="Garamond" w:hAnsi="Garamond" w:cs="Times New Roman"/>
          <w:color w:val="000000" w:themeColor="text1"/>
          <w:sz w:val="24"/>
          <w:szCs w:val="24"/>
        </w:rPr>
        <w:t>komunikimin verbal, të cilin autoriteti kontraktues është i detyruar ta regjistrojë me shkrim;</w:t>
      </w:r>
    </w:p>
    <w:p w14:paraId="73E1757A"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0E01EE" w:rsidRPr="00E757B2">
        <w:rPr>
          <w:rFonts w:ascii="Garamond" w:hAnsi="Garamond" w:cs="Times New Roman"/>
          <w:color w:val="000000" w:themeColor="text1"/>
          <w:sz w:val="24"/>
          <w:szCs w:val="24"/>
        </w:rPr>
        <w:t>dërgim dorazi i vërtetuar me dokument.</w:t>
      </w:r>
    </w:p>
    <w:p w14:paraId="2B64BB70" w14:textId="77777777" w:rsidR="00AF314C" w:rsidRPr="00E757B2" w:rsidRDefault="00500284" w:rsidP="002D3692">
      <w:pPr>
        <w:spacing w:after="0" w:line="240" w:lineRule="auto"/>
        <w:ind w:firstLine="284"/>
        <w:jc w:val="both"/>
        <w:rPr>
          <w:rFonts w:ascii="Garamond" w:hAnsi="Garamond" w:cs="Times New Roman"/>
          <w:i/>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 xml:space="preserve">Mjetet e zgjedhura të komunikimit duhet të jenë përgjithësisht të disponueshme dhe jodiskriminuese dhe nuk duhet të kufizojnë aksesin e operatorëve ekonomikë në procesin e dhënies së koncesioneve. </w:t>
      </w:r>
      <w:r w:rsidR="00AF314C" w:rsidRPr="00E757B2">
        <w:rPr>
          <w:rFonts w:ascii="Garamond" w:hAnsi="Garamond" w:cs="Times New Roman"/>
          <w:color w:val="000000" w:themeColor="text1"/>
          <w:sz w:val="24"/>
          <w:szCs w:val="24"/>
        </w:rPr>
        <w:t>Mjetet dhe pajisjet e përdorura për komunikim me mjete elektronike, si dhe karakteristikat e tyre teknike, duhet të jenë të ndërveprueshme me produktet e teknologjisë së informacionit dhe komunikimit në përdorim të përgjithshëm.</w:t>
      </w:r>
    </w:p>
    <w:p w14:paraId="527783BD" w14:textId="3E431E80" w:rsidR="000E01EE" w:rsidRPr="00E757B2" w:rsidRDefault="00F64194" w:rsidP="002D3692">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Rregullat dhe procedurat për këtë formë komunikimi përcaktohen me vendim të Këshillit të Ministrave.</w:t>
      </w:r>
    </w:p>
    <w:p w14:paraId="4E05D183"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Në çdo komunikim, shkëmbim dhe ruajtje informacioni, autoriteti ose enti kontraktues siguron ruajtjen e integritetit të të dhënave dhe konfidencialitetin e kërkesave për pjesëmarrje dhe ofertave.</w:t>
      </w:r>
    </w:p>
    <w:p w14:paraId="50435EF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39FE5EE"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33</w:t>
      </w:r>
    </w:p>
    <w:p w14:paraId="6844A304"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Nomenklaturat</w:t>
      </w:r>
    </w:p>
    <w:p w14:paraId="2C2EBC3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7F6D203"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Çdo referencë për nomenklaturat në kontekstin e dhënies së kontratave të koncesioneve/partneriteteve publike private do të bëhet duke përdorur Fjalorin e Përbashkët të Prokurimit (CPV), i miratuar me vendim të Këshillit të Ministrave.</w:t>
      </w:r>
    </w:p>
    <w:p w14:paraId="72E37CA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C31078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34</w:t>
      </w:r>
    </w:p>
    <w:p w14:paraId="1FFA9432"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Njoftimi i kontratës së koncesionit</w:t>
      </w:r>
    </w:p>
    <w:p w14:paraId="6B1406F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A5B685F" w14:textId="7ECBEA2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w:t>
      </w:r>
      <w:r w:rsidR="00500284"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Autoriteti ose enti kontraktues bën të njohur qëllimin e tij për të dhënë një koncesion me anë të një njoftimi.</w:t>
      </w:r>
      <w:r w:rsidR="00F64194">
        <w:rPr>
          <w:rFonts w:ascii="Garamond" w:hAnsi="Garamond" w:cs="Times New Roman"/>
          <w:color w:val="000000" w:themeColor="text1"/>
          <w:sz w:val="24"/>
          <w:szCs w:val="24"/>
        </w:rPr>
        <w:t xml:space="preserve"> </w:t>
      </w:r>
    </w:p>
    <w:p w14:paraId="1FC00B76"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Njoftimi i kontratës duhet të përfshijë, minimalisht, informacionin e mëposhtëm:</w:t>
      </w:r>
    </w:p>
    <w:p w14:paraId="25846697" w14:textId="1C19D62E"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e</w:t>
      </w:r>
      <w:r w:rsidR="000E01EE" w:rsidRPr="00E757B2">
        <w:rPr>
          <w:rFonts w:ascii="Garamond" w:hAnsi="Garamond" w:cs="Times New Roman"/>
          <w:color w:val="000000" w:themeColor="text1"/>
          <w:sz w:val="24"/>
          <w:szCs w:val="24"/>
        </w:rPr>
        <w:t xml:space="preserve">mrin, numrin unik të identifikimit, adresën, duke </w:t>
      </w:r>
      <w:r w:rsidR="004D1F5C">
        <w:rPr>
          <w:rFonts w:ascii="Garamond" w:hAnsi="Garamond" w:cs="Times New Roman"/>
          <w:color w:val="000000" w:themeColor="text1"/>
          <w:sz w:val="24"/>
          <w:szCs w:val="24"/>
        </w:rPr>
        <w:t xml:space="preserve">përfshirë numrin e telefonit, </w:t>
      </w:r>
      <w:r w:rsidR="004D1F5C" w:rsidRPr="004D1F5C">
        <w:rPr>
          <w:rFonts w:ascii="Garamond" w:hAnsi="Garamond" w:cs="Times New Roman"/>
          <w:i/>
          <w:color w:val="000000" w:themeColor="text1"/>
          <w:sz w:val="24"/>
          <w:szCs w:val="24"/>
        </w:rPr>
        <w:t>e</w:t>
      </w:r>
      <w:r w:rsidR="000E01EE" w:rsidRPr="004D1F5C">
        <w:rPr>
          <w:rFonts w:ascii="Garamond" w:hAnsi="Garamond" w:cs="Times New Roman"/>
          <w:i/>
          <w:color w:val="000000" w:themeColor="text1"/>
          <w:sz w:val="24"/>
          <w:szCs w:val="24"/>
        </w:rPr>
        <w:t>mail</w:t>
      </w:r>
      <w:r w:rsidR="000E01EE" w:rsidRPr="00E757B2">
        <w:rPr>
          <w:rFonts w:ascii="Garamond" w:hAnsi="Garamond" w:cs="Times New Roman"/>
          <w:color w:val="000000" w:themeColor="text1"/>
          <w:sz w:val="24"/>
          <w:szCs w:val="24"/>
        </w:rPr>
        <w:t>-in dhe adresën e internetit të autoritetit kontraktues ose të entit kontraktues;</w:t>
      </w:r>
    </w:p>
    <w:p w14:paraId="63607596"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l</w:t>
      </w:r>
      <w:r w:rsidR="000E01EE" w:rsidRPr="00E757B2">
        <w:rPr>
          <w:rFonts w:ascii="Garamond" w:hAnsi="Garamond" w:cs="Times New Roman"/>
          <w:color w:val="000000" w:themeColor="text1"/>
          <w:sz w:val="24"/>
          <w:szCs w:val="24"/>
        </w:rPr>
        <w:t>lojin e autoritetit ose të entit kontraktues dhe veprimtarinë kryesore të ushtruar;</w:t>
      </w:r>
    </w:p>
    <w:p w14:paraId="068BE751"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v</w:t>
      </w:r>
      <w:r w:rsidR="000E01EE" w:rsidRPr="00E757B2">
        <w:rPr>
          <w:rFonts w:ascii="Garamond" w:hAnsi="Garamond" w:cs="Times New Roman"/>
          <w:color w:val="000000" w:themeColor="text1"/>
          <w:sz w:val="24"/>
          <w:szCs w:val="24"/>
        </w:rPr>
        <w:t xml:space="preserve">endndodhjen e aktivitetit të koncesionit që do të ndërmerret; </w:t>
      </w:r>
    </w:p>
    <w:p w14:paraId="4035D083"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k</w:t>
      </w:r>
      <w:r w:rsidR="000E01EE" w:rsidRPr="00E757B2">
        <w:rPr>
          <w:rFonts w:ascii="Garamond" w:hAnsi="Garamond" w:cs="Times New Roman"/>
          <w:color w:val="000000" w:themeColor="text1"/>
          <w:sz w:val="24"/>
          <w:szCs w:val="24"/>
        </w:rPr>
        <w:t>ohëzgjatjen e kontratës së koncesionit;</w:t>
      </w:r>
    </w:p>
    <w:p w14:paraId="6B8D135E"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 p</w:t>
      </w:r>
      <w:r w:rsidR="000E01EE" w:rsidRPr="00E757B2">
        <w:rPr>
          <w:rFonts w:ascii="Garamond" w:hAnsi="Garamond" w:cs="Times New Roman"/>
          <w:color w:val="000000" w:themeColor="text1"/>
          <w:sz w:val="24"/>
          <w:szCs w:val="24"/>
        </w:rPr>
        <w:t>ërshkrimin e koncesionit, si: natyra dhe shtrirja e punimeve, natyra dhe shtrirja e shërbimeve, shkalla e ndikimit ose vlera treguese dhe, kur është e mundur, kohëzgjatja e kontratës. Kur koncesioni ndahet në lote, ky informacion duhet të jepet për secilin lot. Kur është e përshtatshme, përshkrimi i çdo opsioni;</w:t>
      </w:r>
    </w:p>
    <w:p w14:paraId="1E2CFEE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dh)</w:t>
      </w:r>
      <w:r w:rsidR="002D3692" w:rsidRPr="00E757B2">
        <w:rPr>
          <w:rFonts w:ascii="Garamond" w:hAnsi="Garamond" w:cs="Times New Roman"/>
          <w:color w:val="000000" w:themeColor="text1"/>
          <w:sz w:val="24"/>
          <w:szCs w:val="24"/>
        </w:rPr>
        <w:t xml:space="preserve"> </w:t>
      </w:r>
      <w:r w:rsidR="00500284" w:rsidRPr="00E757B2">
        <w:rPr>
          <w:rFonts w:ascii="Garamond" w:hAnsi="Garamond" w:cs="Times New Roman"/>
          <w:color w:val="000000" w:themeColor="text1"/>
          <w:sz w:val="24"/>
          <w:szCs w:val="24"/>
        </w:rPr>
        <w:t>v</w:t>
      </w:r>
      <w:r w:rsidRPr="00E757B2">
        <w:rPr>
          <w:rFonts w:ascii="Garamond" w:hAnsi="Garamond" w:cs="Times New Roman"/>
          <w:color w:val="000000" w:themeColor="text1"/>
          <w:sz w:val="24"/>
          <w:szCs w:val="24"/>
        </w:rPr>
        <w:t>lerën e parashik</w:t>
      </w:r>
      <w:r w:rsidR="001025A8" w:rsidRPr="00E757B2">
        <w:rPr>
          <w:rFonts w:ascii="Garamond" w:hAnsi="Garamond" w:cs="Times New Roman"/>
          <w:color w:val="000000" w:themeColor="text1"/>
          <w:sz w:val="24"/>
          <w:szCs w:val="24"/>
        </w:rPr>
        <w:t>uar të kontratës së koncesionit</w:t>
      </w:r>
      <w:r w:rsidRPr="00E757B2">
        <w:rPr>
          <w:rFonts w:ascii="Garamond" w:hAnsi="Garamond" w:cs="Times New Roman"/>
          <w:color w:val="000000" w:themeColor="text1"/>
          <w:sz w:val="24"/>
          <w:szCs w:val="24"/>
        </w:rPr>
        <w:t xml:space="preserve"> sipas studimit të fizibilitetit të hartuar;</w:t>
      </w:r>
    </w:p>
    <w:p w14:paraId="3F3C94A7" w14:textId="29E36043" w:rsidR="000E01EE" w:rsidRPr="00E757B2" w:rsidRDefault="001025A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e) </w:t>
      </w:r>
      <w:r w:rsidR="00500284" w:rsidRPr="00E757B2">
        <w:rPr>
          <w:rFonts w:ascii="Garamond" w:hAnsi="Garamond" w:cs="Times New Roman"/>
          <w:color w:val="000000" w:themeColor="text1"/>
          <w:sz w:val="24"/>
          <w:szCs w:val="24"/>
        </w:rPr>
        <w:t>k</w:t>
      </w:r>
      <w:r w:rsidR="004D1F5C">
        <w:rPr>
          <w:rFonts w:ascii="Garamond" w:hAnsi="Garamond" w:cs="Times New Roman"/>
          <w:color w:val="000000" w:themeColor="text1"/>
          <w:sz w:val="24"/>
          <w:szCs w:val="24"/>
        </w:rPr>
        <w:t xml:space="preserve">ur është e përshtatshme, </w:t>
      </w:r>
      <w:r w:rsidR="004D1F5C" w:rsidRPr="004D1F5C">
        <w:rPr>
          <w:rFonts w:ascii="Garamond" w:hAnsi="Garamond" w:cs="Times New Roman"/>
          <w:i/>
          <w:color w:val="000000" w:themeColor="text1"/>
          <w:sz w:val="24"/>
          <w:szCs w:val="24"/>
        </w:rPr>
        <w:t>e</w:t>
      </w:r>
      <w:r w:rsidR="000E01EE" w:rsidRPr="004D1F5C">
        <w:rPr>
          <w:rFonts w:ascii="Garamond" w:hAnsi="Garamond" w:cs="Times New Roman"/>
          <w:i/>
          <w:color w:val="000000" w:themeColor="text1"/>
          <w:sz w:val="24"/>
          <w:szCs w:val="24"/>
        </w:rPr>
        <w:t>m</w:t>
      </w:r>
      <w:r w:rsidRPr="004D1F5C">
        <w:rPr>
          <w:rFonts w:ascii="Garamond" w:hAnsi="Garamond" w:cs="Times New Roman"/>
          <w:i/>
          <w:color w:val="000000" w:themeColor="text1"/>
          <w:sz w:val="24"/>
          <w:szCs w:val="24"/>
        </w:rPr>
        <w:t>ail</w:t>
      </w:r>
      <w:r w:rsidRPr="00E757B2">
        <w:rPr>
          <w:rFonts w:ascii="Garamond" w:hAnsi="Garamond" w:cs="Times New Roman"/>
          <w:color w:val="000000" w:themeColor="text1"/>
          <w:sz w:val="24"/>
          <w:szCs w:val="24"/>
        </w:rPr>
        <w:t>-in ose adresën e internetit</w:t>
      </w:r>
      <w:r w:rsidR="000E01EE" w:rsidRPr="00E757B2">
        <w:rPr>
          <w:rFonts w:ascii="Garamond" w:hAnsi="Garamond" w:cs="Times New Roman"/>
          <w:color w:val="000000" w:themeColor="text1"/>
          <w:sz w:val="24"/>
          <w:szCs w:val="24"/>
        </w:rPr>
        <w:t xml:space="preserve"> në të cilën do të jenë të disponueshme pa pagesë dokumentet e tenderit;</w:t>
      </w:r>
    </w:p>
    <w:p w14:paraId="121F9A3F"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ë) k</w:t>
      </w:r>
      <w:r w:rsidR="000E01EE" w:rsidRPr="00E757B2">
        <w:rPr>
          <w:rFonts w:ascii="Garamond" w:hAnsi="Garamond" w:cs="Times New Roman"/>
          <w:color w:val="000000" w:themeColor="text1"/>
          <w:sz w:val="24"/>
          <w:szCs w:val="24"/>
        </w:rPr>
        <w:t>odet CPV. Kur kontrata është e ndarë në lote, ky informacion duhet të jepet për çdo lot;</w:t>
      </w:r>
    </w:p>
    <w:p w14:paraId="616D129D"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f) k</w:t>
      </w:r>
      <w:r w:rsidR="000E01EE" w:rsidRPr="00E757B2">
        <w:rPr>
          <w:rFonts w:ascii="Garamond" w:hAnsi="Garamond" w:cs="Times New Roman"/>
          <w:color w:val="000000" w:themeColor="text1"/>
          <w:sz w:val="24"/>
          <w:szCs w:val="24"/>
        </w:rPr>
        <w:t>ushtet për pjesëmarrje, duke përfshirë:</w:t>
      </w:r>
    </w:p>
    <w:p w14:paraId="307005ED"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 </w:t>
      </w:r>
      <w:r w:rsidR="000E01EE" w:rsidRPr="00E757B2">
        <w:rPr>
          <w:rFonts w:ascii="Garamond" w:hAnsi="Garamond" w:cs="Times New Roman"/>
          <w:color w:val="000000" w:themeColor="text1"/>
          <w:sz w:val="24"/>
          <w:szCs w:val="24"/>
        </w:rPr>
        <w:t>kur është e përshtatshme, tregues nëse koncesioni është i kufizuar në punëtori të mbrojtura ose nëse ekzekutimi i tij është i kufizuar në kuadrin e programeve të mbrojtura të punës;</w:t>
      </w:r>
    </w:p>
    <w:p w14:paraId="54A0165C"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ku</w:t>
      </w:r>
      <w:r w:rsidR="001025A8" w:rsidRPr="00E757B2">
        <w:rPr>
          <w:rFonts w:ascii="Garamond" w:hAnsi="Garamond" w:cs="Times New Roman"/>
          <w:color w:val="000000" w:themeColor="text1"/>
          <w:sz w:val="24"/>
          <w:szCs w:val="24"/>
        </w:rPr>
        <w:t>r është e përshtatshme, tregues</w:t>
      </w:r>
      <w:r w:rsidR="000E01EE" w:rsidRPr="00E757B2">
        <w:rPr>
          <w:rFonts w:ascii="Garamond" w:hAnsi="Garamond" w:cs="Times New Roman"/>
          <w:color w:val="000000" w:themeColor="text1"/>
          <w:sz w:val="24"/>
          <w:szCs w:val="24"/>
        </w:rPr>
        <w:t xml:space="preserve"> nëse ofrimi i shërbimit është i rezervuar me ligj, rregullore ose dispozitë administrative për një profesion të caktuar; referencë në ligjin, rregulloren ose dispozitën administrative përkatëse;</w:t>
      </w:r>
    </w:p>
    <w:p w14:paraId="1C86A948" w14:textId="12F0B8CB"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iii.</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një listë dhe përshkrim të shkurtër të kritereve të përzgjedhjes, kur është e aplikueshme, nivelet minimale të standardeve, që mund të kërkohen, tregimi i informacionit të kërkuar (</w:t>
      </w:r>
      <w:r w:rsidR="004D1F5C">
        <w:rPr>
          <w:rFonts w:ascii="Garamond" w:hAnsi="Garamond" w:cs="Times New Roman"/>
          <w:color w:val="000000" w:themeColor="text1"/>
          <w:sz w:val="24"/>
          <w:szCs w:val="24"/>
        </w:rPr>
        <w:t>vetëdeklarimet, dokumentacioni);</w:t>
      </w:r>
    </w:p>
    <w:p w14:paraId="7518EB2C"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g) a</w:t>
      </w:r>
      <w:r w:rsidR="000E01EE" w:rsidRPr="00E757B2">
        <w:rPr>
          <w:rFonts w:ascii="Garamond" w:hAnsi="Garamond" w:cs="Times New Roman"/>
          <w:color w:val="000000" w:themeColor="text1"/>
          <w:sz w:val="24"/>
          <w:szCs w:val="24"/>
        </w:rPr>
        <w:t>fatin e fundit për dorëzimin e ofertave;</w:t>
      </w:r>
    </w:p>
    <w:p w14:paraId="5802E3C7" w14:textId="2F9A33FE"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gj)</w:t>
      </w:r>
      <w:r w:rsidR="00F64194">
        <w:rPr>
          <w:rFonts w:ascii="Garamond" w:hAnsi="Garamond" w:cs="Times New Roman"/>
          <w:color w:val="000000" w:themeColor="text1"/>
          <w:sz w:val="24"/>
          <w:szCs w:val="24"/>
        </w:rPr>
        <w:t xml:space="preserve"> </w:t>
      </w:r>
      <w:r w:rsidR="00500284" w:rsidRPr="00E757B2">
        <w:rPr>
          <w:rFonts w:ascii="Garamond" w:hAnsi="Garamond" w:cs="Times New Roman"/>
          <w:color w:val="000000" w:themeColor="text1"/>
          <w:sz w:val="24"/>
          <w:szCs w:val="24"/>
        </w:rPr>
        <w:t>a</w:t>
      </w:r>
      <w:r w:rsidR="001025A8" w:rsidRPr="00E757B2">
        <w:rPr>
          <w:rFonts w:ascii="Garamond" w:hAnsi="Garamond" w:cs="Times New Roman"/>
          <w:color w:val="000000" w:themeColor="text1"/>
          <w:sz w:val="24"/>
          <w:szCs w:val="24"/>
        </w:rPr>
        <w:t>dresën</w:t>
      </w:r>
      <w:r w:rsidRPr="00E757B2">
        <w:rPr>
          <w:rFonts w:ascii="Garamond" w:hAnsi="Garamond" w:cs="Times New Roman"/>
          <w:color w:val="000000" w:themeColor="text1"/>
          <w:sz w:val="24"/>
          <w:szCs w:val="24"/>
        </w:rPr>
        <w:t xml:space="preserve"> në të cilën do të dorëzohen ofertat;</w:t>
      </w:r>
    </w:p>
    <w:p w14:paraId="01E93F9C"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h) g</w:t>
      </w:r>
      <w:r w:rsidR="000E01EE" w:rsidRPr="00E757B2">
        <w:rPr>
          <w:rFonts w:ascii="Garamond" w:hAnsi="Garamond" w:cs="Times New Roman"/>
          <w:color w:val="000000" w:themeColor="text1"/>
          <w:sz w:val="24"/>
          <w:szCs w:val="24"/>
        </w:rPr>
        <w:t>juhën/gjuhët në të cilën</w:t>
      </w:r>
      <w:r w:rsidR="00D42589" w:rsidRPr="00E757B2">
        <w:rPr>
          <w:rFonts w:ascii="Garamond" w:hAnsi="Garamond" w:cs="Times New Roman"/>
          <w:color w:val="000000" w:themeColor="text1"/>
          <w:sz w:val="24"/>
          <w:szCs w:val="24"/>
        </w:rPr>
        <w:t>/të cilat</w:t>
      </w:r>
      <w:r w:rsidR="000E01EE" w:rsidRPr="00E757B2">
        <w:rPr>
          <w:rFonts w:ascii="Garamond" w:hAnsi="Garamond" w:cs="Times New Roman"/>
          <w:color w:val="000000" w:themeColor="text1"/>
          <w:sz w:val="24"/>
          <w:szCs w:val="24"/>
        </w:rPr>
        <w:t xml:space="preserve"> duhet të hartohet/n ofertat;</w:t>
      </w:r>
    </w:p>
    <w:p w14:paraId="6C39EFE1"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 k</w:t>
      </w:r>
      <w:r w:rsidR="000E01EE" w:rsidRPr="00E757B2">
        <w:rPr>
          <w:rFonts w:ascii="Garamond" w:hAnsi="Garamond" w:cs="Times New Roman"/>
          <w:color w:val="000000" w:themeColor="text1"/>
          <w:sz w:val="24"/>
          <w:szCs w:val="24"/>
        </w:rPr>
        <w:t>ohën dhe vendin e hapjes publike të ofertave;</w:t>
      </w:r>
    </w:p>
    <w:p w14:paraId="05B46B07"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j) k</w:t>
      </w:r>
      <w:r w:rsidR="000E01EE" w:rsidRPr="00E757B2">
        <w:rPr>
          <w:rFonts w:ascii="Garamond" w:hAnsi="Garamond" w:cs="Times New Roman"/>
          <w:color w:val="000000" w:themeColor="text1"/>
          <w:sz w:val="24"/>
          <w:szCs w:val="24"/>
        </w:rPr>
        <w:t>riteret që do të zb</w:t>
      </w:r>
      <w:r w:rsidR="001025A8" w:rsidRPr="00E757B2">
        <w:rPr>
          <w:rFonts w:ascii="Garamond" w:hAnsi="Garamond" w:cs="Times New Roman"/>
          <w:color w:val="000000" w:themeColor="text1"/>
          <w:sz w:val="24"/>
          <w:szCs w:val="24"/>
        </w:rPr>
        <w:t>atohen në dhënien e koncesionit</w:t>
      </w:r>
      <w:r w:rsidR="000E01EE" w:rsidRPr="00E757B2">
        <w:rPr>
          <w:rFonts w:ascii="Garamond" w:hAnsi="Garamond" w:cs="Times New Roman"/>
          <w:color w:val="000000" w:themeColor="text1"/>
          <w:sz w:val="24"/>
          <w:szCs w:val="24"/>
        </w:rPr>
        <w:t xml:space="preserve"> kur nuk figurojnë në dokumentet e tjera të koncesionit;</w:t>
      </w:r>
    </w:p>
    <w:p w14:paraId="757A9F51"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 d</w:t>
      </w:r>
      <w:r w:rsidR="000E01EE" w:rsidRPr="00E757B2">
        <w:rPr>
          <w:rFonts w:ascii="Garamond" w:hAnsi="Garamond" w:cs="Times New Roman"/>
          <w:color w:val="000000" w:themeColor="text1"/>
          <w:sz w:val="24"/>
          <w:szCs w:val="24"/>
        </w:rPr>
        <w:t>atën e shpërndarjes së njoftimit të koncesionit;</w:t>
      </w:r>
    </w:p>
    <w:p w14:paraId="7C3ED3F8"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l) e</w:t>
      </w:r>
      <w:r w:rsidR="000E01EE" w:rsidRPr="00E757B2">
        <w:rPr>
          <w:rFonts w:ascii="Garamond" w:hAnsi="Garamond" w:cs="Times New Roman"/>
          <w:color w:val="000000" w:themeColor="text1"/>
          <w:sz w:val="24"/>
          <w:szCs w:val="24"/>
        </w:rPr>
        <w:t>mrin dhe adresën e organit përgjegjës për shqyrtimin e ankesave. Informacion i saktë në lidhje me afatin për paraqitjen e ankesave ose, nëse është e nevojshme, emrin, adresën, numrin e telefonit dhe adresën e postës elektronike të shërbimit nga i cili mund të merret ky informacion;</w:t>
      </w:r>
    </w:p>
    <w:p w14:paraId="1156C084" w14:textId="77777777" w:rsidR="00A038E2" w:rsidRPr="00E757B2" w:rsidRDefault="00A038E2"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ll)</w:t>
      </w:r>
      <w:r w:rsidRPr="00E757B2">
        <w:rPr>
          <w:rFonts w:ascii="Garamond" w:hAnsi="Garamond"/>
          <w:sz w:val="24"/>
          <w:szCs w:val="24"/>
        </w:rPr>
        <w:t xml:space="preserve"> </w:t>
      </w:r>
      <w:r w:rsidRPr="00E757B2">
        <w:rPr>
          <w:rFonts w:ascii="Garamond" w:hAnsi="Garamond" w:cs="Times New Roman"/>
          <w:color w:val="000000" w:themeColor="text1"/>
          <w:sz w:val="24"/>
          <w:szCs w:val="24"/>
        </w:rPr>
        <w:t>kur është e përshtatshme, kushtet e veçanta, objekt i performancës së koncesionit;</w:t>
      </w:r>
    </w:p>
    <w:p w14:paraId="48243F53"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m) k</w:t>
      </w:r>
      <w:r w:rsidR="000E01EE" w:rsidRPr="00E757B2">
        <w:rPr>
          <w:rFonts w:ascii="Garamond" w:hAnsi="Garamond" w:cs="Times New Roman"/>
          <w:color w:val="000000" w:themeColor="text1"/>
          <w:sz w:val="24"/>
          <w:szCs w:val="24"/>
        </w:rPr>
        <w:t>ur është e përshtatshme, tregues të kërkesave dhe kushteve në lidhje me përdorimin e mjeteve të komunikimit elektronik;</w:t>
      </w:r>
    </w:p>
    <w:p w14:paraId="319E35E9"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 k</w:t>
      </w:r>
      <w:r w:rsidR="000E01EE" w:rsidRPr="00E757B2">
        <w:rPr>
          <w:rFonts w:ascii="Garamond" w:hAnsi="Garamond" w:cs="Times New Roman"/>
          <w:color w:val="000000" w:themeColor="text1"/>
          <w:sz w:val="24"/>
          <w:szCs w:val="24"/>
        </w:rPr>
        <w:t>riteret e përjashtimit të ofertuesve;</w:t>
      </w:r>
    </w:p>
    <w:p w14:paraId="1D86EE8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nj) </w:t>
      </w:r>
      <w:r w:rsidR="00500284" w:rsidRPr="00E757B2">
        <w:rPr>
          <w:rFonts w:ascii="Garamond" w:hAnsi="Garamond" w:cs="Times New Roman"/>
          <w:color w:val="000000" w:themeColor="text1"/>
          <w:sz w:val="24"/>
          <w:szCs w:val="24"/>
        </w:rPr>
        <w:t>l</w:t>
      </w:r>
      <w:r w:rsidRPr="00E757B2">
        <w:rPr>
          <w:rFonts w:ascii="Garamond" w:hAnsi="Garamond" w:cs="Times New Roman"/>
          <w:color w:val="000000" w:themeColor="text1"/>
          <w:sz w:val="24"/>
          <w:szCs w:val="24"/>
        </w:rPr>
        <w:t>lojin dhe vlerën e garancisë së ofertës që do të dorëzohet nga ofertuesit.</w:t>
      </w:r>
    </w:p>
    <w:p w14:paraId="5C7A9F4B" w14:textId="77777777" w:rsidR="000E01EE" w:rsidRPr="00E757B2" w:rsidRDefault="00500284"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Njoftimi i kontratës publikohet sipas një formulari standard, pjesë e dokumenteve të koncesionit.</w:t>
      </w:r>
    </w:p>
    <w:p w14:paraId="673DD4B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A1558FA"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35</w:t>
      </w:r>
    </w:p>
    <w:p w14:paraId="30033E05"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Ftesa për ofertë</w:t>
      </w:r>
    </w:p>
    <w:p w14:paraId="076F1F6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D15A217"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Në procedurat me faza, autor</w:t>
      </w:r>
      <w:r w:rsidR="001025A8" w:rsidRPr="00E757B2">
        <w:rPr>
          <w:rFonts w:ascii="Garamond" w:hAnsi="Garamond" w:cs="Times New Roman"/>
          <w:color w:val="000000" w:themeColor="text1"/>
          <w:sz w:val="24"/>
          <w:szCs w:val="24"/>
        </w:rPr>
        <w:t>iteti ose enti kontraktues fton</w:t>
      </w:r>
      <w:r w:rsidR="000E01EE" w:rsidRPr="00E757B2">
        <w:rPr>
          <w:rFonts w:ascii="Garamond" w:hAnsi="Garamond" w:cs="Times New Roman"/>
          <w:color w:val="000000" w:themeColor="text1"/>
          <w:sz w:val="24"/>
          <w:szCs w:val="24"/>
        </w:rPr>
        <w:t xml:space="preserve"> nëpërmjet komunikimit me mjete elektronike ose me shkrim, njëkohësisht, të gjithë kandidatët e përzgjedhur për të vazhduar në fazën e dytë, për të dorëzuar ofertat ose për të negociuar. Ftesa përmban të gjithë informacionin e nevojshëm, në mënyrë që t’u mundësojë kandidatëve të përzgjedhur dorëzimin e ofertave të tyre.</w:t>
      </w:r>
    </w:p>
    <w:p w14:paraId="51F8321B"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Përmbajtja e ftesës për ofertë përcaktohet me vendim të Këshillit të Ministrave.</w:t>
      </w:r>
    </w:p>
    <w:p w14:paraId="39A7294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CE738BF"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36</w:t>
      </w:r>
    </w:p>
    <w:p w14:paraId="2D78DAD1"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Kërkesat teknike dhe funksionale</w:t>
      </w:r>
    </w:p>
    <w:p w14:paraId="106F5F31"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BA3976C"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Kërkesat teknike dhe funksionale përcaktojnë karakteristikat e kërkuara të punëve ose shërbimeve, që janë objekt i koncesionit dhe përcaktohen në dokumentet e tenderit.</w:t>
      </w:r>
    </w:p>
    <w:p w14:paraId="6DF4BBAF"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Këto karakteristika mund t’i referohen edhe procesit specifik të krijimit ose ofrimit të punëve ose shërbimeve të kërkuara, me kusht që ato të jenë të lidhura me objektin e kontratës dhe në përpjesëtim me vlerën dhe objektivat e saj. Karakteristikat mund të përfshijnë, për shembull, nivelet e cilësisë, nivelet e performancës mjedisore dhe klimatike, projektin për të gjitha kërkesat (përfshirë aksesin për personat me aftësi të kufizuara) dhe vlerësimin e konformitetit, performancën, sigurinë ose dimensionet, terminologjinë, simbolet, metodat e testimit dhe testimin, shënimin dhe etiketimin, ose udhëzimet e përdoruesit.</w:t>
      </w:r>
    </w:p>
    <w:p w14:paraId="60D12447"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Me përjashtim të rasteve kur justifikohet nga objekti i kontratës, kërkesat teknike dhe funksionale nuk i referohen një marke ose burimi të veçantë ose një procesi të veçantë, që karakterizon produktet ose shërbimet e ofruara nga një operator ekonomik specifik, ose markave tregtare, patentave, llojeve ose një prodhim specifik, që ka si efekt favorizimin ose eliminimin e sipërmarrjeve të caktuara ose produkteve të caktuara. Një referencë e tillë lejohet, në raste të jashtëzakonshme, kur nuk është i mundur një përshkrim mjaft i saktë dhe i</w:t>
      </w:r>
      <w:r w:rsidR="00987FCF"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kuptueshëm i objektit të kontratës. Në çdo rast, një referencë e tillë shoqërohet me fjalët “ose ekuivalent”.</w:t>
      </w:r>
    </w:p>
    <w:p w14:paraId="5269B3CC"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Autoriteti ose enti kontraktues nuk refuzon një ofertë me arsyetimin se punët dhe shërbimet e ofertuara nuk janë në përputhje me kërkesat teknike dhe funksionale, të përcaktuara në dokumentet e tenderit, në rastet kur ofertuesi arrin të provojë me çdo mjet të përshtatshëm, që zgjidhjet që ka propozuar ai në ofertën e tij, plotësojnë në mënyrë ekuivalente kërkesat teknike dhe funksionale.</w:t>
      </w:r>
    </w:p>
    <w:p w14:paraId="3C238A8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A871D36"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37</w:t>
      </w:r>
    </w:p>
    <w:p w14:paraId="6C788039"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Garancitë procedurale</w:t>
      </w:r>
    </w:p>
    <w:p w14:paraId="65DC0237"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44DED65"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Kontratat e koncesionit jepen në bazë të kritereve të vlerësimit të përcaktuara nga autoriteti kontraktues ose enti kontraktues, në përputhje me nenin 41 të këtij ligji, me kusht që të plotësohen</w:t>
      </w:r>
      <w:r w:rsidRPr="00E757B2">
        <w:rPr>
          <w:rFonts w:ascii="Garamond" w:hAnsi="Garamond" w:cs="Times New Roman"/>
          <w:color w:val="000000" w:themeColor="text1"/>
          <w:sz w:val="24"/>
          <w:szCs w:val="24"/>
        </w:rPr>
        <w:t xml:space="preserve"> të gjitha kushtet e mëposhtme:</w:t>
      </w:r>
    </w:p>
    <w:p w14:paraId="7C99075E"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o</w:t>
      </w:r>
      <w:r w:rsidR="000E01EE" w:rsidRPr="00E757B2">
        <w:rPr>
          <w:rFonts w:ascii="Garamond" w:hAnsi="Garamond" w:cs="Times New Roman"/>
          <w:color w:val="000000" w:themeColor="text1"/>
          <w:sz w:val="24"/>
          <w:szCs w:val="24"/>
        </w:rPr>
        <w:t>ferta është në përputhje me kërkesat teknike minimale të përcaktuara, sipas rastit, nga autoriteti kontraktues ose enti kontraktues;</w:t>
      </w:r>
    </w:p>
    <w:p w14:paraId="15BC8C86"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o</w:t>
      </w:r>
      <w:r w:rsidR="000E01EE" w:rsidRPr="00E757B2">
        <w:rPr>
          <w:rFonts w:ascii="Garamond" w:hAnsi="Garamond" w:cs="Times New Roman"/>
          <w:color w:val="000000" w:themeColor="text1"/>
          <w:sz w:val="24"/>
          <w:szCs w:val="24"/>
        </w:rPr>
        <w:t>fertuesi plotëson kushtet për pjesë</w:t>
      </w:r>
      <w:r w:rsidR="00987FCF" w:rsidRPr="00E757B2">
        <w:rPr>
          <w:rFonts w:ascii="Garamond" w:hAnsi="Garamond" w:cs="Times New Roman"/>
          <w:color w:val="000000" w:themeColor="text1"/>
          <w:sz w:val="24"/>
          <w:szCs w:val="24"/>
        </w:rPr>
        <w:t>marrje të përmendura në pikën 1 të nenit 38</w:t>
      </w:r>
      <w:r w:rsidR="000E01EE" w:rsidRPr="00E757B2">
        <w:rPr>
          <w:rFonts w:ascii="Garamond" w:hAnsi="Garamond" w:cs="Times New Roman"/>
          <w:color w:val="000000" w:themeColor="text1"/>
          <w:sz w:val="24"/>
          <w:szCs w:val="24"/>
        </w:rPr>
        <w:t xml:space="preserve"> të këtij ligji;</w:t>
      </w:r>
    </w:p>
    <w:p w14:paraId="7D67AF64" w14:textId="5E0950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o</w:t>
      </w:r>
      <w:r w:rsidR="000E01EE" w:rsidRPr="00E757B2">
        <w:rPr>
          <w:rFonts w:ascii="Garamond" w:hAnsi="Garamond" w:cs="Times New Roman"/>
          <w:color w:val="000000" w:themeColor="text1"/>
          <w:sz w:val="24"/>
          <w:szCs w:val="24"/>
        </w:rPr>
        <w:t xml:space="preserve">fertuesi nuk ndodhet në kushtet e përjashtimit nga pjesëmarrja në procedurën e dhënies së koncesionit, sipas pikave 4, 5, </w:t>
      </w:r>
      <w:r w:rsidR="00987FCF" w:rsidRPr="00E757B2">
        <w:rPr>
          <w:rFonts w:ascii="Garamond" w:hAnsi="Garamond" w:cs="Times New Roman"/>
          <w:color w:val="000000" w:themeColor="text1"/>
          <w:sz w:val="24"/>
          <w:szCs w:val="24"/>
        </w:rPr>
        <w:t>6, 8, 9 dhe 10</w:t>
      </w:r>
      <w:r w:rsidR="004D1F5C">
        <w:rPr>
          <w:rFonts w:ascii="Garamond" w:hAnsi="Garamond" w:cs="Times New Roman"/>
          <w:color w:val="000000" w:themeColor="text1"/>
          <w:sz w:val="24"/>
          <w:szCs w:val="24"/>
        </w:rPr>
        <w:t>,</w:t>
      </w:r>
      <w:r w:rsidR="00987FCF" w:rsidRPr="00E757B2">
        <w:rPr>
          <w:rFonts w:ascii="Garamond" w:hAnsi="Garamond" w:cs="Times New Roman"/>
          <w:color w:val="000000" w:themeColor="text1"/>
          <w:sz w:val="24"/>
          <w:szCs w:val="24"/>
        </w:rPr>
        <w:t xml:space="preserve"> të nenit 38</w:t>
      </w:r>
      <w:r w:rsidR="000E01EE" w:rsidRPr="00E757B2">
        <w:rPr>
          <w:rFonts w:ascii="Garamond" w:hAnsi="Garamond" w:cs="Times New Roman"/>
          <w:color w:val="000000" w:themeColor="text1"/>
          <w:sz w:val="24"/>
          <w:szCs w:val="24"/>
        </w:rPr>
        <w:t xml:space="preserve"> të këtij ligji.</w:t>
      </w:r>
    </w:p>
    <w:p w14:paraId="0DC090CF"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Kërkesat minimale teknike</w:t>
      </w:r>
      <w:r w:rsidR="00987FCF" w:rsidRPr="00E757B2">
        <w:rPr>
          <w:rFonts w:ascii="Garamond" w:hAnsi="Garamond" w:cs="Times New Roman"/>
          <w:color w:val="000000" w:themeColor="text1"/>
          <w:sz w:val="24"/>
          <w:szCs w:val="24"/>
        </w:rPr>
        <w:t xml:space="preserve"> të përmendura në shkronjën “a” të pikës 1 të këtij neni</w:t>
      </w:r>
      <w:r w:rsidR="000E01EE" w:rsidRPr="00E757B2">
        <w:rPr>
          <w:rFonts w:ascii="Garamond" w:hAnsi="Garamond" w:cs="Times New Roman"/>
          <w:color w:val="000000" w:themeColor="text1"/>
          <w:sz w:val="24"/>
          <w:szCs w:val="24"/>
        </w:rPr>
        <w:t xml:space="preserve"> përmbajnë kushtet dhe karakteristikat (veçanërisht teknike, fizike, funksionale dhe ligjore), që çdo ofertë duhet të plotësojë ose të zotërojë.</w:t>
      </w:r>
    </w:p>
    <w:p w14:paraId="2F8003E2"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Autoriteti kontraktues ose enti kontraktues duhet të sigurojë:</w:t>
      </w:r>
    </w:p>
    <w:p w14:paraId="5D21AECB"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një përshkrim të objektit të koncesionit dhe të kushteve të pjesëmarrjes në njoftimin e kontratës së koncesionit;</w:t>
      </w:r>
    </w:p>
    <w:p w14:paraId="703B9CB3"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një përshkrim të kritereve të vlerësimit dhe, sipas rastit, të kërkesave minimale që duhen plotësuar në njoftimin e kontratës së koncesionit, në ftesën për ofertë ose në dokumentet e tenderit.</w:t>
      </w:r>
    </w:p>
    <w:p w14:paraId="39F78201"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Autoriteti ose enti kontraktues mund të kufizojë numrin e kandidatëve ose të ofertuesve në një nivel të përshtatshëm, me kusht që kjo të bëhet në mënyrë transparente dhe në bazë të kritereve objektive. Numri i kandidatëve ose i ofertuesve të ftuar duhet të jetë i mjaftueshëm për të siguruar konkurrencë të vërtetë.</w:t>
      </w:r>
    </w:p>
    <w:p w14:paraId="67432751"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Autoriteti ose enti kontraktues siguron që në dokumentet e tenderit pasqyrohet informacioni i nevojshëm për operatorët ekonomikë të interesuar lidhur me zhvillimin e procedurës konkurruese, si dhe një afat orientues i përfundimit të saj. Çdo modifikim i dokumenteve të tenderit u komunikohet të gjithë operatorëve ekonomikë në masën që ka të bëjë me elementet e shpallura në njoftimin e kontratës së koncesionit dhe në dokumentet e tenderit. Modifikimi i dokumenteve të tenderit kryhet nëpërmjet hartimit të një shtojce, e cila komunikohet në të njëjtën mënyrë që është bërë publikimi i njoftimit të kontratës.</w:t>
      </w:r>
    </w:p>
    <w:p w14:paraId="16484F28"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Autoriteti ose enti kontraktues siguron dokumentimin e duhur të fazave të procedurës, duke përdorur mjetet që ai i gjykon të përshtatshme.</w:t>
      </w:r>
    </w:p>
    <w:p w14:paraId="6F116741"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7. </w:t>
      </w:r>
      <w:r w:rsidR="000E01EE" w:rsidRPr="00E757B2">
        <w:rPr>
          <w:rFonts w:ascii="Garamond" w:hAnsi="Garamond" w:cs="Times New Roman"/>
          <w:color w:val="000000" w:themeColor="text1"/>
          <w:sz w:val="24"/>
          <w:szCs w:val="24"/>
        </w:rPr>
        <w:t>Autoriteti ose enti kontraktues mund të zhvillojë negociata me kandidatët dhe ofertuesit. Objekti i koncesionit, kriteret e vlerësimit dhe kërkesat minimale teknike nuk ndryshohen gjatë zhvillimit të negociatave.</w:t>
      </w:r>
    </w:p>
    <w:p w14:paraId="09B30B8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4CDBE2A"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38</w:t>
      </w:r>
    </w:p>
    <w:p w14:paraId="54052AB9"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Përzgjedhja dhe vlerësimi i kandidatëve</w:t>
      </w:r>
    </w:p>
    <w:p w14:paraId="6544D06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BFBC70D"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Autoritetet dhe entet kontraktuese verifikojnë kushtet e pjesëmarrjes në lidhje me aftësinë teknike dhe profesionale, si dhe gjendjen ekonomike e financiare të kandidatëve ose ofertuesve. Verifikimi kryhet mbi bazën e vetëdeklarimeve dhe/ose të dokumenteve, që paraqiten si provë, në përputhje me kriteret e kualifikimit, të përcaktuara në njoftimin e kontratës së koncesionit dhe në dokumentet e tenderit. Kushtet për pjesëmarrje duhet të jenë jodiskriminuese, si dhe në përpjesëtim e të lidhura ngushtë me aftësinë zbatuese, natyrën dhe vlerën e kontratës, me qëllim sigurimin e konkurrencës.</w:t>
      </w:r>
    </w:p>
    <w:p w14:paraId="25100A14"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Operatori ekonomik, me qëllim plotësimin e kushteve për pjesëmarrje, të përcaktuara në pikën 1 të këtij neni, mund të mbështetet në kapacitetet e subjekteve të tjera, kur është e përshtatshme dhe për një kontratë të caktuar, pavarësisht natyrës juridike të lidhjeve që ai ka me ta. Kur një operator ekonomik dëshiron të mbështetet në kapacitetet e subjekteve të tjera, ai duhet t’i provojë autoritetit ose entit kontraktues se do të ketë në dispozicion, gjatë periudhës së kohëzgjatjes së kontratës, burimet e nevojshme, duke dorëzuar një angazhim me shkrim të këtyre subjekteve për këtë qëllim. Për sa i përket gjendjes financiare, autoriteti ose enti kontraktues mund të kërkojë që operatori ekonomik dhe këto subjekte të jenë bashkërisht përgjegjës për zbatimin e kontratës.</w:t>
      </w:r>
    </w:p>
    <w:p w14:paraId="735F5843"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Në të njëjtat kushte, grupi i operatorëve ekonomikë, të përmendur në nenin 30 të këtij ligji, mund të mbështetet në kapacitetet e pjesëmarrësve në grup ose të subj</w:t>
      </w:r>
      <w:r w:rsidRPr="00E757B2">
        <w:rPr>
          <w:rFonts w:ascii="Garamond" w:hAnsi="Garamond" w:cs="Times New Roman"/>
          <w:color w:val="000000" w:themeColor="text1"/>
          <w:sz w:val="24"/>
          <w:szCs w:val="24"/>
        </w:rPr>
        <w:t>ekteve të tjera.</w:t>
      </w:r>
    </w:p>
    <w:p w14:paraId="2BC9E89E"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Çdo operator ekonomik, që është ose ka qenë i dënuar me vendim gjyqësor të formës së prerë për ndonjë nga veprat penale të përmendura në këtë pikë, shkualifikohet nga procedurat për dhënien e kon</w:t>
      </w:r>
      <w:r w:rsidR="00CE1657" w:rsidRPr="00E757B2">
        <w:rPr>
          <w:rFonts w:ascii="Garamond" w:hAnsi="Garamond" w:cs="Times New Roman"/>
          <w:color w:val="000000" w:themeColor="text1"/>
          <w:sz w:val="24"/>
          <w:szCs w:val="24"/>
        </w:rPr>
        <w:t>cesioneve për një periudhë</w:t>
      </w:r>
      <w:r w:rsidR="000E01EE" w:rsidRPr="00E757B2">
        <w:rPr>
          <w:rFonts w:ascii="Garamond" w:hAnsi="Garamond" w:cs="Times New Roman"/>
          <w:color w:val="000000" w:themeColor="text1"/>
          <w:sz w:val="24"/>
          <w:szCs w:val="24"/>
        </w:rPr>
        <w:t xml:space="preserve"> 5-vjeçare nga data e ekzekutimit të dënimit, nëse nuk është përcaktuar një periudhë tjetër nga gjykata. Ky shkualifikim bëhet për veprat penale të mëposhtme:</w:t>
      </w:r>
    </w:p>
    <w:p w14:paraId="7BEDCCFC"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p</w:t>
      </w:r>
      <w:r w:rsidR="000E01EE" w:rsidRPr="00E757B2">
        <w:rPr>
          <w:rFonts w:ascii="Garamond" w:hAnsi="Garamond" w:cs="Times New Roman"/>
          <w:color w:val="000000" w:themeColor="text1"/>
          <w:sz w:val="24"/>
          <w:szCs w:val="24"/>
        </w:rPr>
        <w:t>jesëmarrje në grup të strukturuar kriminal, organizatë kriminale, bandë të armatosur, organizatë terroriste, sipas përcaktimeve të legjislacionit në fuqi;</w:t>
      </w:r>
    </w:p>
    <w:p w14:paraId="6CDDECB6"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k</w:t>
      </w:r>
      <w:r w:rsidR="000E01EE" w:rsidRPr="00E757B2">
        <w:rPr>
          <w:rFonts w:ascii="Garamond" w:hAnsi="Garamond" w:cs="Times New Roman"/>
          <w:color w:val="000000" w:themeColor="text1"/>
          <w:sz w:val="24"/>
          <w:szCs w:val="24"/>
        </w:rPr>
        <w:t>orrupsion, sipas përcaktimeve të legjislacionit në fuqi;</w:t>
      </w:r>
    </w:p>
    <w:p w14:paraId="18CEE40D"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m</w:t>
      </w:r>
      <w:r w:rsidR="000E01EE" w:rsidRPr="00E757B2">
        <w:rPr>
          <w:rFonts w:ascii="Garamond" w:hAnsi="Garamond" w:cs="Times New Roman"/>
          <w:color w:val="000000" w:themeColor="text1"/>
          <w:sz w:val="24"/>
          <w:szCs w:val="24"/>
        </w:rPr>
        <w:t>ashtrim, sipas përcaktimeve të legjislacionit në fuqi;</w:t>
      </w:r>
    </w:p>
    <w:p w14:paraId="540F89C8"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p</w:t>
      </w:r>
      <w:r w:rsidR="000E01EE" w:rsidRPr="00E757B2">
        <w:rPr>
          <w:rFonts w:ascii="Garamond" w:hAnsi="Garamond" w:cs="Times New Roman"/>
          <w:color w:val="000000" w:themeColor="text1"/>
          <w:sz w:val="24"/>
          <w:szCs w:val="24"/>
        </w:rPr>
        <w:t>astrim parash ose</w:t>
      </w:r>
      <w:r w:rsidR="00CE1657" w:rsidRPr="00E757B2">
        <w:rPr>
          <w:rFonts w:ascii="Garamond" w:hAnsi="Garamond" w:cs="Times New Roman"/>
          <w:color w:val="000000" w:themeColor="text1"/>
          <w:sz w:val="24"/>
          <w:szCs w:val="24"/>
        </w:rPr>
        <w:t xml:space="preserve"> financim të terrorizmit, sipas </w:t>
      </w:r>
      <w:r w:rsidR="000E01EE" w:rsidRPr="00E757B2">
        <w:rPr>
          <w:rFonts w:ascii="Garamond" w:hAnsi="Garamond" w:cs="Times New Roman"/>
          <w:color w:val="000000" w:themeColor="text1"/>
          <w:sz w:val="24"/>
          <w:szCs w:val="24"/>
        </w:rPr>
        <w:t>përcaktimeve të legjislacionit në fuqi;</w:t>
      </w:r>
    </w:p>
    <w:p w14:paraId="7325AD4C"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 v</w:t>
      </w:r>
      <w:r w:rsidR="000E01EE" w:rsidRPr="00E757B2">
        <w:rPr>
          <w:rFonts w:ascii="Garamond" w:hAnsi="Garamond" w:cs="Times New Roman"/>
          <w:color w:val="000000" w:themeColor="text1"/>
          <w:sz w:val="24"/>
          <w:szCs w:val="24"/>
        </w:rPr>
        <w:t>epra me qëllime terroriste ose vepra penale të lidhura me veprimtari terroriste, sipas përcaktimeve të legjislacionit në fuqi;</w:t>
      </w:r>
    </w:p>
    <w:p w14:paraId="07762F2E"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dh) p</w:t>
      </w:r>
      <w:r w:rsidR="000E01EE" w:rsidRPr="00E757B2">
        <w:rPr>
          <w:rFonts w:ascii="Garamond" w:hAnsi="Garamond" w:cs="Times New Roman"/>
          <w:color w:val="000000" w:themeColor="text1"/>
          <w:sz w:val="24"/>
          <w:szCs w:val="24"/>
        </w:rPr>
        <w:t>una e fëmijëve dhe forma të tjera të trafikimit të qenieve njerëzore, sipas përcaktimeve të legjislacionit në fuqi.</w:t>
      </w:r>
    </w:p>
    <w:p w14:paraId="5BFCA0D8"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 xml:space="preserve">Detyrimi për të shkualifikuar një operator ekonomik zbatohet edhe kur personi i dënuar me vendim të formës së prerë është anëtar i organit administrativ, drejtues ose mbikëqyrës </w:t>
      </w:r>
      <w:r w:rsidR="00987FCF" w:rsidRPr="00E757B2">
        <w:rPr>
          <w:rFonts w:ascii="Garamond" w:hAnsi="Garamond" w:cs="Times New Roman"/>
          <w:color w:val="000000" w:themeColor="text1"/>
          <w:sz w:val="24"/>
          <w:szCs w:val="24"/>
        </w:rPr>
        <w:t>i</w:t>
      </w:r>
      <w:r w:rsidR="000E01EE" w:rsidRPr="00E757B2">
        <w:rPr>
          <w:rFonts w:ascii="Garamond" w:hAnsi="Garamond" w:cs="Times New Roman"/>
          <w:color w:val="000000" w:themeColor="text1"/>
          <w:sz w:val="24"/>
          <w:szCs w:val="24"/>
        </w:rPr>
        <w:t xml:space="preserve"> atij operatori ekonomik ose ka kompetenca përfaqësimi, vendimmarrjeje ose kontrolluese brenda tij.</w:t>
      </w:r>
    </w:p>
    <w:p w14:paraId="05B373F6"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Një operator ekonomik shkualifikohet nga pjesëmarrja në një procedurë konk</w:t>
      </w:r>
      <w:r w:rsidR="00987FCF" w:rsidRPr="00E757B2">
        <w:rPr>
          <w:rFonts w:ascii="Garamond" w:hAnsi="Garamond" w:cs="Times New Roman"/>
          <w:color w:val="000000" w:themeColor="text1"/>
          <w:sz w:val="24"/>
          <w:szCs w:val="24"/>
        </w:rPr>
        <w:t>urruese të dhënies me koncesion</w:t>
      </w:r>
      <w:r w:rsidR="000E01EE" w:rsidRPr="00E757B2">
        <w:rPr>
          <w:rFonts w:ascii="Garamond" w:hAnsi="Garamond" w:cs="Times New Roman"/>
          <w:color w:val="000000" w:themeColor="text1"/>
          <w:sz w:val="24"/>
          <w:szCs w:val="24"/>
        </w:rPr>
        <w:t xml:space="preserve"> kur ka shkelur detyrimet e tij në lidhje me pagesën e taksave ose të kontributeve të sigurimeve shoqërore, me përjashtim të rasteve, kur:</w:t>
      </w:r>
    </w:p>
    <w:p w14:paraId="507450A6"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operatori ekonomik është në proces gjyqësor dhe nuk ka një vendim gjyqësor ose administrativ të formës së prerë, sipas legjislacionit në fuqi;</w:t>
      </w:r>
    </w:p>
    <w:p w14:paraId="1946D78F"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 xml:space="preserve">operatori ekonomik </w:t>
      </w:r>
      <w:r w:rsidR="00987FCF" w:rsidRPr="00E757B2">
        <w:rPr>
          <w:rFonts w:ascii="Garamond" w:hAnsi="Garamond" w:cs="Times New Roman"/>
          <w:color w:val="000000" w:themeColor="text1"/>
          <w:sz w:val="24"/>
          <w:szCs w:val="24"/>
        </w:rPr>
        <w:t>i ka përmbushur detyrimet e tij</w:t>
      </w:r>
      <w:r w:rsidR="000E01EE" w:rsidRPr="00E757B2">
        <w:rPr>
          <w:rFonts w:ascii="Garamond" w:hAnsi="Garamond" w:cs="Times New Roman"/>
          <w:color w:val="000000" w:themeColor="text1"/>
          <w:sz w:val="24"/>
          <w:szCs w:val="24"/>
        </w:rPr>
        <w:t xml:space="preserve"> duke paguar ose duke lidhur një marrëveshje detyruese, me qëllim pagimin e detyrimeve tatimore që duhet të paguajë, duke përfshirë, aty ku është e zbatueshme, çdo kamatëvonesë ose gjobë. Në çdo rast, marrëveshja detyruese, me qëllim pagimin e detyrimeve tatimore, duhet të jetë e nënshkruar përpara datës së shpalljes së procedurës;</w:t>
      </w:r>
    </w:p>
    <w:p w14:paraId="4DC847F7"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0E01EE" w:rsidRPr="00E757B2">
        <w:rPr>
          <w:rFonts w:ascii="Garamond" w:hAnsi="Garamond" w:cs="Times New Roman"/>
          <w:color w:val="000000" w:themeColor="text1"/>
          <w:sz w:val="24"/>
          <w:szCs w:val="24"/>
        </w:rPr>
        <w:t>operatori ekonomik nuk ka paguar shuma të vogla tatimesh ose kontributesh të sigurimeve shoqërore deri në vlerën prej 100 000 (njëqind mijë) lekësh;</w:t>
      </w:r>
    </w:p>
    <w:p w14:paraId="177D9F5B"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0E01EE" w:rsidRPr="00E757B2">
        <w:rPr>
          <w:rFonts w:ascii="Garamond" w:hAnsi="Garamond" w:cs="Times New Roman"/>
          <w:color w:val="000000" w:themeColor="text1"/>
          <w:sz w:val="24"/>
          <w:szCs w:val="24"/>
        </w:rPr>
        <w:t>operatori ekonomik është informuar për shumën e saktë që duhet të paguajë pas shkeljes së detyrimit të tij për të paguar taksat ose kontributet e sigurimeve shoqërore, në një kohë të tillë kur nuk ka pasur mundësi të marrë masat e nevojshme për shlyerjen e tyre, përpara përfundimit të afatit për dorëzimin e kërkesës për pjesëmarrje/ofertës.</w:t>
      </w:r>
    </w:p>
    <w:p w14:paraId="49572A9E" w14:textId="5BFC6344"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7. </w:t>
      </w:r>
      <w:r w:rsidR="000E01EE" w:rsidRPr="00E757B2">
        <w:rPr>
          <w:rFonts w:ascii="Garamond" w:hAnsi="Garamond" w:cs="Times New Roman"/>
          <w:color w:val="000000" w:themeColor="text1"/>
          <w:sz w:val="24"/>
          <w:szCs w:val="24"/>
        </w:rPr>
        <w:t>Autoritetet dhe entet kontraktuese mund të vendosin të mos e shkualifikojnë operatorin ekonomik, pavarësisht parashikimeve të pikave 4, 5 e 6 të këtij neni, për arsye thelbësore që lidhen me interesin publik, si shëndeti publik ose mbrojtja e mjedisit.</w:t>
      </w:r>
      <w:r w:rsidR="00F64194">
        <w:rPr>
          <w:rFonts w:ascii="Garamond" w:hAnsi="Garamond" w:cs="Times New Roman"/>
          <w:color w:val="000000" w:themeColor="text1"/>
          <w:sz w:val="24"/>
          <w:szCs w:val="24"/>
        </w:rPr>
        <w:t xml:space="preserve"> </w:t>
      </w:r>
    </w:p>
    <w:p w14:paraId="300AD0F5"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8. </w:t>
      </w:r>
      <w:r w:rsidR="000E01EE" w:rsidRPr="00E757B2">
        <w:rPr>
          <w:rFonts w:ascii="Garamond" w:hAnsi="Garamond" w:cs="Times New Roman"/>
          <w:color w:val="000000" w:themeColor="text1"/>
          <w:sz w:val="24"/>
          <w:szCs w:val="24"/>
        </w:rPr>
        <w:t xml:space="preserve">Autoritetet dhe entet kontraktuese mund të shkualifikojnë nga pjesëmarrja në një procedurë të dhënies me </w:t>
      </w:r>
      <w:r w:rsidR="009A0A3A" w:rsidRPr="00E757B2">
        <w:rPr>
          <w:rFonts w:ascii="Garamond" w:hAnsi="Garamond" w:cs="Times New Roman"/>
          <w:color w:val="000000" w:themeColor="text1"/>
          <w:sz w:val="24"/>
          <w:szCs w:val="24"/>
        </w:rPr>
        <w:t>koncesion çdo operator ekonomik</w:t>
      </w:r>
      <w:r w:rsidR="000E01EE" w:rsidRPr="00E757B2">
        <w:rPr>
          <w:rFonts w:ascii="Garamond" w:hAnsi="Garamond" w:cs="Times New Roman"/>
          <w:color w:val="000000" w:themeColor="text1"/>
          <w:sz w:val="24"/>
          <w:szCs w:val="24"/>
        </w:rPr>
        <w:t xml:space="preserve"> nëse plotësohet një nga kushtet e mëposhtme:</w:t>
      </w:r>
    </w:p>
    <w:p w14:paraId="29FF0D83" w14:textId="4968213A"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k</w:t>
      </w:r>
      <w:r w:rsidR="000E01EE" w:rsidRPr="00E757B2">
        <w:rPr>
          <w:rFonts w:ascii="Garamond" w:hAnsi="Garamond" w:cs="Times New Roman"/>
          <w:color w:val="000000" w:themeColor="text1"/>
          <w:sz w:val="24"/>
          <w:szCs w:val="24"/>
        </w:rPr>
        <w:t>ur mund të demonstrojë me çdo mjet të përshtatshëm çdo shkelje të detyrimeve të zbat</w:t>
      </w:r>
      <w:r w:rsidR="009A0A3A" w:rsidRPr="00E757B2">
        <w:rPr>
          <w:rFonts w:ascii="Garamond" w:hAnsi="Garamond" w:cs="Times New Roman"/>
          <w:color w:val="000000" w:themeColor="text1"/>
          <w:sz w:val="24"/>
          <w:szCs w:val="24"/>
        </w:rPr>
        <w:t>ueshme të përmendura në pikën 4</w:t>
      </w:r>
      <w:r w:rsidR="004D1F5C">
        <w:rPr>
          <w:rFonts w:ascii="Garamond" w:hAnsi="Garamond" w:cs="Times New Roman"/>
          <w:color w:val="000000" w:themeColor="text1"/>
          <w:sz w:val="24"/>
          <w:szCs w:val="24"/>
        </w:rPr>
        <w:t>,</w:t>
      </w:r>
      <w:r w:rsidR="009A0A3A" w:rsidRPr="00E757B2">
        <w:rPr>
          <w:rFonts w:ascii="Garamond" w:hAnsi="Garamond" w:cs="Times New Roman"/>
          <w:color w:val="000000" w:themeColor="text1"/>
          <w:sz w:val="24"/>
          <w:szCs w:val="24"/>
        </w:rPr>
        <w:t xml:space="preserve"> të nenit 31</w:t>
      </w:r>
      <w:r w:rsidR="000E01EE" w:rsidRPr="00E757B2">
        <w:rPr>
          <w:rFonts w:ascii="Garamond" w:hAnsi="Garamond" w:cs="Times New Roman"/>
          <w:color w:val="000000" w:themeColor="text1"/>
          <w:sz w:val="24"/>
          <w:szCs w:val="24"/>
        </w:rPr>
        <w:t xml:space="preserve"> të këtij ligji;</w:t>
      </w:r>
    </w:p>
    <w:p w14:paraId="38B63182"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k</w:t>
      </w:r>
      <w:r w:rsidR="000E01EE" w:rsidRPr="00E757B2">
        <w:rPr>
          <w:rFonts w:ascii="Garamond" w:hAnsi="Garamond" w:cs="Times New Roman"/>
          <w:color w:val="000000" w:themeColor="text1"/>
          <w:sz w:val="24"/>
          <w:szCs w:val="24"/>
        </w:rPr>
        <w:t>ur operatori ekonomik ka falimentuar ose është subjekt i procedurave të falimentimit ose mbylljes, kur asetet e tij administrohen nga një administrator falimentimi ose nga gjykata, kur është në marrëveshje me kreditorët, kur aktivitetet e tij të biznesit janë pezulluar ose është në çdo situatë analoge, që rrjedh nga një procedurë e ngjashme, në zbatim të legjislacionit në fuqi.</w:t>
      </w:r>
    </w:p>
    <w:p w14:paraId="409616AD" w14:textId="37EDFE0B"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Autoriteti ose enti kontraktues mund të vendosë të mos shkualifikojë një operator ekonomik, i cili është në një nga situatat e mësipërme, kur krijon bindjen se operatori ekonomik në fjalë do të jetë në gjendje të realizojë kontratën, duke marrë parasysh legjislacionin në fuqi dhe masat për vazhdimin e aktivitet</w:t>
      </w:r>
      <w:r w:rsidR="004D1F5C">
        <w:rPr>
          <w:rFonts w:ascii="Garamond" w:hAnsi="Garamond" w:cs="Times New Roman"/>
          <w:color w:val="000000" w:themeColor="text1"/>
          <w:sz w:val="24"/>
          <w:szCs w:val="24"/>
        </w:rPr>
        <w:t>it në rastin e këtyre situatave;</w:t>
      </w:r>
    </w:p>
    <w:p w14:paraId="58F0CB81"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k</w:t>
      </w:r>
      <w:r w:rsidR="000E01EE" w:rsidRPr="00E757B2">
        <w:rPr>
          <w:rFonts w:ascii="Garamond" w:hAnsi="Garamond" w:cs="Times New Roman"/>
          <w:color w:val="000000" w:themeColor="text1"/>
          <w:sz w:val="24"/>
          <w:szCs w:val="24"/>
        </w:rPr>
        <w:t>ur autoriteti kontraktues mund të demonstrojë me çdo mjet të përshtatshëm se operatori ekonomik është shpallur fajtor për një shkelje të rëndë profesionale, çka e vë në dyshim integritetin e tij;</w:t>
      </w:r>
    </w:p>
    <w:p w14:paraId="28BBF9D8"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o</w:t>
      </w:r>
      <w:r w:rsidR="000E01EE" w:rsidRPr="00E757B2">
        <w:rPr>
          <w:rFonts w:ascii="Garamond" w:hAnsi="Garamond" w:cs="Times New Roman"/>
          <w:color w:val="000000" w:themeColor="text1"/>
          <w:sz w:val="24"/>
          <w:szCs w:val="24"/>
        </w:rPr>
        <w:t>peratori ekonomik ndodhet në kushtet e konfliktit të interesit, sipas parashikimeve të legjislacionit në fuqi, që nuk mund të korrigjohet në mënyrë të efektshme me ndonjë masë tjetër;</w:t>
      </w:r>
    </w:p>
    <w:p w14:paraId="4E6C8F1C"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 a</w:t>
      </w:r>
      <w:r w:rsidR="000E01EE" w:rsidRPr="00E757B2">
        <w:rPr>
          <w:rFonts w:ascii="Garamond" w:hAnsi="Garamond" w:cs="Times New Roman"/>
          <w:color w:val="000000" w:themeColor="text1"/>
          <w:sz w:val="24"/>
          <w:szCs w:val="24"/>
        </w:rPr>
        <w:t>utoriteti ose enti kontraktues provon se operatori ekonomik ka lidhur marrëveshje me operatorë ekonomikë të tjerë, që kanë si qëllim të shtrembërojnë konkurrencën;</w:t>
      </w:r>
    </w:p>
    <w:p w14:paraId="35BB157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dh)</w:t>
      </w:r>
      <w:r w:rsidR="002D3692" w:rsidRPr="00E757B2">
        <w:rPr>
          <w:rFonts w:ascii="Garamond" w:hAnsi="Garamond" w:cs="Times New Roman"/>
          <w:color w:val="000000" w:themeColor="text1"/>
          <w:sz w:val="24"/>
          <w:szCs w:val="24"/>
        </w:rPr>
        <w:t xml:space="preserve"> </w:t>
      </w:r>
      <w:r w:rsidR="009F2918" w:rsidRPr="00E757B2">
        <w:rPr>
          <w:rFonts w:ascii="Garamond" w:hAnsi="Garamond" w:cs="Times New Roman"/>
          <w:color w:val="000000" w:themeColor="text1"/>
          <w:sz w:val="24"/>
          <w:szCs w:val="24"/>
        </w:rPr>
        <w:t>k</w:t>
      </w:r>
      <w:r w:rsidRPr="00E757B2">
        <w:rPr>
          <w:rFonts w:ascii="Garamond" w:hAnsi="Garamond" w:cs="Times New Roman"/>
          <w:color w:val="000000" w:themeColor="text1"/>
          <w:sz w:val="24"/>
          <w:szCs w:val="24"/>
        </w:rPr>
        <w:t>ur operatori ekonomik ka shfaqur mangësi të konsiderueshme ose të vazhdueshme në përmbushjen e një kushti thelbësor në një kontratë të mëparshme publike me një autoritet ose ent kontraktues, siç përcaktohet në këtë ligj ose në ligjin e prokurimit publik, që ka çuar në përfundimin e parakohshëm të asaj kontrate të mëparshme, dëmshpërblime ose penalitete të tjera të ngjashme;</w:t>
      </w:r>
    </w:p>
    <w:p w14:paraId="653440F6"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e) o</w:t>
      </w:r>
      <w:r w:rsidR="000E01EE" w:rsidRPr="00E757B2">
        <w:rPr>
          <w:rFonts w:ascii="Garamond" w:hAnsi="Garamond" w:cs="Times New Roman"/>
          <w:color w:val="000000" w:themeColor="text1"/>
          <w:sz w:val="24"/>
          <w:szCs w:val="24"/>
        </w:rPr>
        <w:t>peratori ekonomik ka paraqitur deklarata të rreme në dhënien e informacionit të kërkuar për të vërtetuar mungesën e arsyeve për shkualifikim ose për plotësimin e kritereve të përzgjedhjes, ka fshehur një informacion të tillë ose nuk është në gjendje të dorëzojë dokumentet provuese, sipas kërkesave të përcaktuara në dokumentet e tenderit;</w:t>
      </w:r>
    </w:p>
    <w:p w14:paraId="20AD146E"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ë) k</w:t>
      </w:r>
      <w:r w:rsidR="000E01EE" w:rsidRPr="00E757B2">
        <w:rPr>
          <w:rFonts w:ascii="Garamond" w:hAnsi="Garamond" w:cs="Times New Roman"/>
          <w:color w:val="000000" w:themeColor="text1"/>
          <w:sz w:val="24"/>
          <w:szCs w:val="24"/>
        </w:rPr>
        <w:t>ur operatori ekonomik ka marrë përsipër të ndikojë në mënyrë të padrejtë në procesin e vendimmarrjes së autor</w:t>
      </w:r>
      <w:r w:rsidR="009A0A3A" w:rsidRPr="00E757B2">
        <w:rPr>
          <w:rFonts w:ascii="Garamond" w:hAnsi="Garamond" w:cs="Times New Roman"/>
          <w:color w:val="000000" w:themeColor="text1"/>
          <w:sz w:val="24"/>
          <w:szCs w:val="24"/>
        </w:rPr>
        <w:t>itetit ose të entit kontraktues</w:t>
      </w:r>
      <w:r w:rsidR="000E01EE" w:rsidRPr="00E757B2">
        <w:rPr>
          <w:rFonts w:ascii="Garamond" w:hAnsi="Garamond" w:cs="Times New Roman"/>
          <w:color w:val="000000" w:themeColor="text1"/>
          <w:sz w:val="24"/>
          <w:szCs w:val="24"/>
        </w:rPr>
        <w:t xml:space="preserve"> për të marrë informacion konfidencial, që mund t’i japë atij avantazhe të padrejta në procedurën e dhënies së koncesionit ose të japë nga pakujdesia informacione të gabuara, që mund të kenë një ndikim domethënës në vendimet në lidhje me përjashtimin, përzgjedhjen ose dhënien e kontratës së koncesionit;</w:t>
      </w:r>
    </w:p>
    <w:p w14:paraId="2AF58B7E"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f) o</w:t>
      </w:r>
      <w:r w:rsidR="000E01EE" w:rsidRPr="00E757B2">
        <w:rPr>
          <w:rFonts w:ascii="Garamond" w:hAnsi="Garamond" w:cs="Times New Roman"/>
          <w:color w:val="000000" w:themeColor="text1"/>
          <w:sz w:val="24"/>
          <w:szCs w:val="24"/>
        </w:rPr>
        <w:t xml:space="preserve">peratori ekonomik nuk ka regjistruar pronarët përfitues në regjistrin e pronarëve përfitues, sipas parashikimeve të legjislacionit në fuqi. </w:t>
      </w:r>
    </w:p>
    <w:p w14:paraId="28F517D9"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9. </w:t>
      </w:r>
      <w:r w:rsidR="000E01EE" w:rsidRPr="00E757B2">
        <w:rPr>
          <w:rFonts w:ascii="Garamond" w:hAnsi="Garamond" w:cs="Times New Roman"/>
          <w:color w:val="000000" w:themeColor="text1"/>
          <w:sz w:val="24"/>
          <w:szCs w:val="24"/>
        </w:rPr>
        <w:t>Autoritetet dhe entet kontraktuese shkualifikojnë një operator ekonomik në çdo kohë gjatë zhvillimit të procedurës kur rezulton se operatori ekonomik në fjalë, për shkak të veprimeve të kryera ose të mosveprimeve përpara ose gjatë zhvillimit të procedurës, ndodhet në një nga situatat e parashikuara në pikat 4 dhe 6 të këtij neni.</w:t>
      </w:r>
    </w:p>
    <w:p w14:paraId="5DA0A6B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10.</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Autoritetet dhe entet kontraktuese shkualifikojnë një operator ekonomik në çdo kohë</w:t>
      </w:r>
      <w:r w:rsidR="009A0A3A" w:rsidRPr="00E757B2">
        <w:rPr>
          <w:rFonts w:ascii="Garamond" w:hAnsi="Garamond" w:cs="Times New Roman"/>
          <w:color w:val="000000" w:themeColor="text1"/>
          <w:sz w:val="24"/>
          <w:szCs w:val="24"/>
        </w:rPr>
        <w:t xml:space="preserve"> gjatë zhvillimit të procedurës</w:t>
      </w:r>
      <w:r w:rsidRPr="00E757B2">
        <w:rPr>
          <w:rFonts w:ascii="Garamond" w:hAnsi="Garamond" w:cs="Times New Roman"/>
          <w:color w:val="000000" w:themeColor="text1"/>
          <w:sz w:val="24"/>
          <w:szCs w:val="24"/>
        </w:rPr>
        <w:t xml:space="preserve"> kur rezulton se operatori ekonomik në fjalë, për shkak të veprimeve të kryera ose të mosveprimeve përpara ose gjatë zhvillimit të procedurës, ndodhet në një nga situatat e parashikuara në pikën 8 të këtij neni.</w:t>
      </w:r>
    </w:p>
    <w:p w14:paraId="77288DD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11.</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Operatori ekonomik, që ndodhet në një nga kushtet e shkualifikimit t</w:t>
      </w:r>
      <w:r w:rsidR="009A0A3A" w:rsidRPr="00E757B2">
        <w:rPr>
          <w:rFonts w:ascii="Garamond" w:hAnsi="Garamond" w:cs="Times New Roman"/>
          <w:color w:val="000000" w:themeColor="text1"/>
          <w:sz w:val="24"/>
          <w:szCs w:val="24"/>
        </w:rPr>
        <w:t>ë parashikuara në pikat 4 dhe 8</w:t>
      </w:r>
      <w:r w:rsidRPr="00E757B2">
        <w:rPr>
          <w:rFonts w:ascii="Garamond" w:hAnsi="Garamond" w:cs="Times New Roman"/>
          <w:color w:val="000000" w:themeColor="text1"/>
          <w:sz w:val="24"/>
          <w:szCs w:val="24"/>
        </w:rPr>
        <w:t xml:space="preserve"> të këtij neni, mund të paraqesë prova për të vërtetuar se masat e marra prej tij janë të mjaftueshme për të treguar besueshmërinë e tij, pavarësisht ekzistencës së kushteve për shkualifikim. Për këtë qëllim, operatori ekonomik duhet të provojë që ka paguar apo ka marrë angazhim të paguajë kompensim për çdo dëm të shkaktuar si pasojë e kryerjes së një vepre penale apo shkeljeje ligjore, që ka sqaruar faktet dhe rrethanat në mënyrë gjithëpërfshirëse, duke bashkëpunuar me autoritetet hetimore dhe që ka marrë masa konkrete organizative </w:t>
      </w:r>
      <w:r w:rsidR="009A0A3A" w:rsidRPr="00E757B2">
        <w:rPr>
          <w:rFonts w:ascii="Garamond" w:hAnsi="Garamond" w:cs="Times New Roman"/>
          <w:color w:val="000000" w:themeColor="text1"/>
          <w:sz w:val="24"/>
          <w:szCs w:val="24"/>
        </w:rPr>
        <w:t>e</w:t>
      </w:r>
      <w:r w:rsidRPr="00E757B2">
        <w:rPr>
          <w:rFonts w:ascii="Garamond" w:hAnsi="Garamond" w:cs="Times New Roman"/>
          <w:color w:val="000000" w:themeColor="text1"/>
          <w:sz w:val="24"/>
          <w:szCs w:val="24"/>
        </w:rPr>
        <w:t>dhe për personelin, të përshtatshme për parandalimin e veprave penale apo shkeljeve të tjera. Masat e marra nga operatori ekonomik duhet të vlerësohen duke marrë parasysh rëndësinë dhe rrethanat e posaçme të veprës penale apo të shkeljes. Nëse masat e marra konsiderohen të pamjaftueshme, operatorit ekonomik i jepen arsyet për një vendim të tillë.</w:t>
      </w:r>
    </w:p>
    <w:p w14:paraId="69D7AA9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12.</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Operatori ekonomik i përjashtuar me vendim përfundimtar nga e drejta për të fituar kontratat e prokurimit publik, koncesionit dhe ankandit publik nuk ka të drejtë të përdorë mund</w:t>
      </w:r>
      <w:r w:rsidR="009A0A3A" w:rsidRPr="00E757B2">
        <w:rPr>
          <w:rFonts w:ascii="Garamond" w:hAnsi="Garamond" w:cs="Times New Roman"/>
          <w:color w:val="000000" w:themeColor="text1"/>
          <w:sz w:val="24"/>
          <w:szCs w:val="24"/>
        </w:rPr>
        <w:t>ësinë e parashikuar në pikën 11 të këtij neni</w:t>
      </w:r>
      <w:r w:rsidRPr="00E757B2">
        <w:rPr>
          <w:rFonts w:ascii="Garamond" w:hAnsi="Garamond" w:cs="Times New Roman"/>
          <w:color w:val="000000" w:themeColor="text1"/>
          <w:sz w:val="24"/>
          <w:szCs w:val="24"/>
        </w:rPr>
        <w:t xml:space="preserve"> gjatë periudhës së përcaktuar të përjashtimit.</w:t>
      </w:r>
    </w:p>
    <w:p w14:paraId="11B7F8AA"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9CB3FC3"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39</w:t>
      </w:r>
    </w:p>
    <w:p w14:paraId="655A09E8"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Afatet kohore për paraqitjen e ofertave dhe të kërkesave për pjesëmarrje</w:t>
      </w:r>
    </w:p>
    <w:p w14:paraId="4A3B02F7"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4ED96F8"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Gjatë përcaktimit të afateve kohore për pranimin e ofertave ose të kërkesave për pjesëmarrje, autoritetet ose entet kontraktuese marrin parasysh në veçanti kompleksitetin e kontratës dhe kohën e nevojshme për hartimin e tyre, pa cenuar afatet minimale kohore të përcaktuara në këtë nen.</w:t>
      </w:r>
    </w:p>
    <w:p w14:paraId="39C58EBF" w14:textId="1E3FEBC4"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Kur kërkesat për pjesëmarrje ose ofertat mund të bëhen vetëm pas një vizite në kantier ose pas shqyrtimit në vend të dokumenteve që mbështesin dokumentet e tenderit, afatet kohore vendosen në mënyrë të tillë që të gjithë operatorët ekonomikë të interesuar të mund të kenë marrë dijeni për të gjithë informacionin e nevojshëm për të përgatitur kërkesat për pjesëmarrje ose</w:t>
      </w:r>
      <w:r w:rsidR="00F64194">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 xml:space="preserve">ofertat dhe, në çdo rast, afatet janë më të gjata se afatet minimale kohore të përcaktuara </w:t>
      </w:r>
      <w:r w:rsidRPr="00E757B2">
        <w:rPr>
          <w:rFonts w:ascii="Garamond" w:hAnsi="Garamond" w:cs="Times New Roman"/>
          <w:color w:val="000000" w:themeColor="text1"/>
          <w:sz w:val="24"/>
          <w:szCs w:val="24"/>
        </w:rPr>
        <w:t>në pikat 3 dhe 4 të këtij neni.</w:t>
      </w:r>
    </w:p>
    <w:p w14:paraId="6B020961"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Afati minimal kohor për pranimin e kërkesave për pjesëmarrje, pavarësisht nëse përfshin ose jo dorëzimin e ofertës, është 30 (tridhje</w:t>
      </w:r>
      <w:r w:rsidR="009A0A3A" w:rsidRPr="00E757B2">
        <w:rPr>
          <w:rFonts w:ascii="Garamond" w:hAnsi="Garamond" w:cs="Times New Roman"/>
          <w:color w:val="000000" w:themeColor="text1"/>
          <w:sz w:val="24"/>
          <w:szCs w:val="24"/>
        </w:rPr>
        <w:t>të) ditë nga e nesërmja e datës</w:t>
      </w:r>
      <w:r w:rsidR="000E01EE" w:rsidRPr="00E757B2">
        <w:rPr>
          <w:rFonts w:ascii="Garamond" w:hAnsi="Garamond" w:cs="Times New Roman"/>
          <w:color w:val="000000" w:themeColor="text1"/>
          <w:sz w:val="24"/>
          <w:szCs w:val="24"/>
        </w:rPr>
        <w:t xml:space="preserve"> në të cilën është publikuar njoftimi i kontratës së koncesionit ose ftesa për shprehje interesi.</w:t>
      </w:r>
    </w:p>
    <w:p w14:paraId="482EBFD4"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 xml:space="preserve">Kur procedura zhvillohet në faza të njëpasnjëshme, afati minimal kohor për pranimin e ofertave fillestare është 22 (njëzet e </w:t>
      </w:r>
      <w:r w:rsidR="009A0A3A" w:rsidRPr="00E757B2">
        <w:rPr>
          <w:rFonts w:ascii="Garamond" w:hAnsi="Garamond" w:cs="Times New Roman"/>
          <w:color w:val="000000" w:themeColor="text1"/>
          <w:sz w:val="24"/>
          <w:szCs w:val="24"/>
        </w:rPr>
        <w:t>dy) ditë nga e nesërmja e datës</w:t>
      </w:r>
      <w:r w:rsidR="000E01EE" w:rsidRPr="00E757B2">
        <w:rPr>
          <w:rFonts w:ascii="Garamond" w:hAnsi="Garamond" w:cs="Times New Roman"/>
          <w:color w:val="000000" w:themeColor="text1"/>
          <w:sz w:val="24"/>
          <w:szCs w:val="24"/>
        </w:rPr>
        <w:t xml:space="preserve"> në të cilën është dërguar ftesa për ofertë.</w:t>
      </w:r>
    </w:p>
    <w:p w14:paraId="44820FF1"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Afati kohor për pranimin e ofertav</w:t>
      </w:r>
      <w:r w:rsidR="009A0A3A" w:rsidRPr="00E757B2">
        <w:rPr>
          <w:rFonts w:ascii="Garamond" w:hAnsi="Garamond" w:cs="Times New Roman"/>
          <w:color w:val="000000" w:themeColor="text1"/>
          <w:sz w:val="24"/>
          <w:szCs w:val="24"/>
        </w:rPr>
        <w:t>e mund të reduktohet me 5 ditë</w:t>
      </w:r>
      <w:r w:rsidR="000E01EE" w:rsidRPr="00E757B2">
        <w:rPr>
          <w:rFonts w:ascii="Garamond" w:hAnsi="Garamond" w:cs="Times New Roman"/>
          <w:color w:val="000000" w:themeColor="text1"/>
          <w:sz w:val="24"/>
          <w:szCs w:val="24"/>
        </w:rPr>
        <w:t xml:space="preserve"> kur autoriteti ose enti kontraktues pranon që ofertat mund të dorëzohen me mjete elektronike.</w:t>
      </w:r>
    </w:p>
    <w:p w14:paraId="4CAA67E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0617445"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40</w:t>
      </w:r>
    </w:p>
    <w:p w14:paraId="75B642FF"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Dhënia e informacionit për kandidatët dhe ofertuesit</w:t>
      </w:r>
    </w:p>
    <w:p w14:paraId="6C3518DC"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C07A33C" w14:textId="77777777" w:rsidR="000E01EE" w:rsidRPr="00E757B2" w:rsidRDefault="004A045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w:t>
      </w:r>
      <w:r w:rsidR="009A0A3A"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Autoriteti ose enti kontraktues informon, sa më shpejt që të jetë e mundur dhe në çdo rast brenda afateve të përcaktuara në këtë ligj, çdo kandidat e ofertues për vendimet e marra në lidhje me dhënien e një kontrate koncesioni, duke përfshirë emrin e ofertuesit të suksesshëm, arsyet për çdo vendim të refuzimit të kërkesës ose ofertës së tij dhe arsyet për çdo vendim</w:t>
      </w:r>
      <w:r w:rsidR="00042707" w:rsidRPr="00E757B2">
        <w:rPr>
          <w:rFonts w:ascii="Garamond" w:hAnsi="Garamond" w:cs="Times New Roman"/>
          <w:color w:val="000000" w:themeColor="text1"/>
          <w:sz w:val="24"/>
          <w:szCs w:val="24"/>
        </w:rPr>
        <w:t xml:space="preserve"> për të mos dhënë një kontratë </w:t>
      </w:r>
      <w:r w:rsidRPr="00E757B2">
        <w:rPr>
          <w:rFonts w:ascii="Garamond" w:hAnsi="Garamond" w:cs="Times New Roman"/>
          <w:color w:val="000000" w:themeColor="text1"/>
          <w:sz w:val="24"/>
          <w:szCs w:val="24"/>
        </w:rPr>
        <w:t xml:space="preserve">për të cilën ka pasur shpallje të njoftimit të kontratës së koncesionit. </w:t>
      </w:r>
    </w:p>
    <w:p w14:paraId="5C0E239D"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Autoriteti ose enti kontraktues informon, me kërkesë të palës së interesuar, sa më shpejt të jetë e mundur dhe në çdo rast brenda 15 (pesëmbëdhjetë) ditëve nga marrja e një kërkese me shkrim, çdo ofertues që ka paraqitur një ofertë të vlefshme në raport me karakteristikat dhe avantazhet e lidhura me ofertën fituese.</w:t>
      </w:r>
    </w:p>
    <w:p w14:paraId="257930A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Pa cenuar detyrimet që rrjedhin nga ky nen, autoritetet kontraktuese ose entet kontraktuese mund të mos bëjnë publike disa nga informacionet e parashikuara në pikat 1 e 2 të këtij neni, nëse një gjë e tillë do të pengonte zbatimin e ligjit, përndryshe do të ishte në kundërshtim me legjislacionin për mbrojtjen e të dhënave ose cenon interesin publik apo interesat ligjor</w:t>
      </w:r>
      <w:r w:rsidR="00D92B0C" w:rsidRPr="00E757B2">
        <w:rPr>
          <w:rFonts w:ascii="Garamond" w:hAnsi="Garamond" w:cs="Times New Roman"/>
          <w:color w:val="000000" w:themeColor="text1"/>
          <w:sz w:val="24"/>
          <w:szCs w:val="24"/>
        </w:rPr>
        <w:t>e</w:t>
      </w:r>
      <w:r w:rsidRPr="00E757B2">
        <w:rPr>
          <w:rFonts w:ascii="Garamond" w:hAnsi="Garamond" w:cs="Times New Roman"/>
          <w:color w:val="000000" w:themeColor="text1"/>
          <w:sz w:val="24"/>
          <w:szCs w:val="24"/>
        </w:rPr>
        <w:t xml:space="preserve"> dhe ekonomik</w:t>
      </w:r>
      <w:r w:rsidR="00D92B0C" w:rsidRPr="00E757B2">
        <w:rPr>
          <w:rFonts w:ascii="Garamond" w:hAnsi="Garamond" w:cs="Times New Roman"/>
          <w:color w:val="000000" w:themeColor="text1"/>
          <w:sz w:val="24"/>
          <w:szCs w:val="24"/>
        </w:rPr>
        <w:t>e</w:t>
      </w:r>
      <w:r w:rsidRPr="00E757B2">
        <w:rPr>
          <w:rFonts w:ascii="Garamond" w:hAnsi="Garamond" w:cs="Times New Roman"/>
          <w:color w:val="000000" w:themeColor="text1"/>
          <w:sz w:val="24"/>
          <w:szCs w:val="24"/>
        </w:rPr>
        <w:t xml:space="preserve"> të palëve, ose pengon konkurrencën e drejtë. Nëse disa pjesë të ofertës së operatorëve ekonomikë deklarohen si konfidenciale, atëherë këto dokumente nuk do të vihen në dispozicion të kërkuesve.</w:t>
      </w:r>
    </w:p>
    <w:p w14:paraId="354D333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DB3958E" w14:textId="77777777" w:rsidR="005F7DA9" w:rsidRPr="00E757B2" w:rsidRDefault="005F7DA9" w:rsidP="002D3692">
      <w:pPr>
        <w:spacing w:after="0" w:line="240" w:lineRule="auto"/>
        <w:ind w:firstLine="284"/>
        <w:jc w:val="center"/>
        <w:rPr>
          <w:rFonts w:ascii="Garamond" w:hAnsi="Garamond" w:cs="Times New Roman"/>
          <w:color w:val="000000" w:themeColor="text1"/>
          <w:sz w:val="24"/>
          <w:szCs w:val="24"/>
        </w:rPr>
      </w:pPr>
    </w:p>
    <w:p w14:paraId="1D7D6618" w14:textId="77777777" w:rsidR="005F7DA9" w:rsidRPr="00E757B2" w:rsidRDefault="005F7DA9" w:rsidP="002D3692">
      <w:pPr>
        <w:spacing w:after="0" w:line="240" w:lineRule="auto"/>
        <w:ind w:firstLine="284"/>
        <w:jc w:val="center"/>
        <w:rPr>
          <w:rFonts w:ascii="Garamond" w:hAnsi="Garamond" w:cs="Times New Roman"/>
          <w:color w:val="000000" w:themeColor="text1"/>
          <w:sz w:val="24"/>
          <w:szCs w:val="24"/>
        </w:rPr>
      </w:pPr>
    </w:p>
    <w:p w14:paraId="65473D45" w14:textId="77777777" w:rsidR="004D1F5C" w:rsidRDefault="004D1F5C" w:rsidP="002D3692">
      <w:pPr>
        <w:spacing w:after="0" w:line="240" w:lineRule="auto"/>
        <w:ind w:firstLine="284"/>
        <w:jc w:val="center"/>
        <w:rPr>
          <w:rFonts w:ascii="Garamond" w:hAnsi="Garamond" w:cs="Times New Roman"/>
          <w:color w:val="000000" w:themeColor="text1"/>
          <w:sz w:val="24"/>
          <w:szCs w:val="24"/>
        </w:rPr>
      </w:pPr>
    </w:p>
    <w:p w14:paraId="6EC263C8"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41</w:t>
      </w:r>
    </w:p>
    <w:p w14:paraId="327AF149"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Kriteret e vlerësimit për dhënien e kontratës së koncesionit</w:t>
      </w:r>
    </w:p>
    <w:p w14:paraId="31873A4A"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BD3E846"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Kriter vlerësimi për dhënien e kontratës së koncesionit është oferta ekonomikisht më e favorshme, bazuar në kritere të ndryshme, të lidhura me objektin e koncesionit në fjalë, që përfshijnë cilësinë, meritat teknike, karakteristikat estetike, funksionale dhe të mjedisit, kostot e drejtimit, kostot e efektivitetit, ofrimin e shërbimeve pas dorëzimit të produkteve dhe asistencën teknike, datën e dorëzimit dhe periudhën e dërgesës ose periudhën e përfundimit të punimeve, çmimin e shërbimit për përfituesit fundorë, shumën e tarifës së koncesionit.</w:t>
      </w:r>
    </w:p>
    <w:p w14:paraId="7B829287"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Komisioni i dhënies së koncesionit specifikon në dokumentet e tenderit dhe/ose në njoftimin e kontratës koeficientët relativë, që ai i jep secilit prej kritereve të zgjedhura për të përcaktuar ofertën ekonomikisht më të favorshme. Këta koeficientë mund të shprehen duke parashikuar një gamë me një shtrirje të përshtatshme maksimale. Kur kjo nuk është e mundur, për shkak të arsyeve të justifikuara, autoriteti kontraktues tregon në</w:t>
      </w:r>
      <w:r w:rsidR="000106F7" w:rsidRPr="00E757B2">
        <w:rPr>
          <w:rFonts w:ascii="Garamond" w:hAnsi="Garamond" w:cs="Times New Roman"/>
          <w:color w:val="000000" w:themeColor="text1"/>
          <w:sz w:val="24"/>
          <w:szCs w:val="24"/>
        </w:rPr>
        <w:t xml:space="preserve"> njoftimin e kontratës kriteret</w:t>
      </w:r>
      <w:r w:rsidR="000E01EE" w:rsidRPr="00E757B2">
        <w:rPr>
          <w:rFonts w:ascii="Garamond" w:hAnsi="Garamond" w:cs="Times New Roman"/>
          <w:color w:val="000000" w:themeColor="text1"/>
          <w:sz w:val="24"/>
          <w:szCs w:val="24"/>
        </w:rPr>
        <w:t xml:space="preserve"> sipas rendit zbritës të rëndësisë.</w:t>
      </w:r>
    </w:p>
    <w:p w14:paraId="5B3C41B9"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Kriteret për dhënien e kontratës nuk duhet të jenë në kundërshtim me pa</w:t>
      </w:r>
      <w:r w:rsidR="000106F7" w:rsidRPr="00E757B2">
        <w:rPr>
          <w:rFonts w:ascii="Garamond" w:hAnsi="Garamond" w:cs="Times New Roman"/>
          <w:color w:val="000000" w:themeColor="text1"/>
          <w:sz w:val="24"/>
          <w:szCs w:val="24"/>
        </w:rPr>
        <w:t>rimet e parashikuara në nenin 9</w:t>
      </w:r>
      <w:r w:rsidR="000E01EE" w:rsidRPr="00E757B2">
        <w:rPr>
          <w:rFonts w:ascii="Garamond" w:hAnsi="Garamond" w:cs="Times New Roman"/>
          <w:color w:val="000000" w:themeColor="text1"/>
          <w:sz w:val="24"/>
          <w:szCs w:val="24"/>
        </w:rPr>
        <w:t xml:space="preserve"> të këtij ligji, si dhe duhet të lidhen me objektin/lëndën e koncesioneve.</w:t>
      </w:r>
    </w:p>
    <w:p w14:paraId="31B239A3"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 xml:space="preserve">Në rast se autoriteti kontraktues ose enti kontraktues merr një ofertë që propozon një zgjidhje inovative të karakterizuar nga një nivel i jashtëzakonshëm i efikasitetit funksional, të cilën nuk mund ta parashikonte, përjashtimisht autoriteti kontraktues ose enti kontraktues mund të modifikojë renditjen e kritereve për zgjedhjen e ofertës më të favorshme, duke mbajtur në konsideratë parimin e mosdiskriminimit, në mënyrë që të merret parasysh </w:t>
      </w:r>
      <w:r w:rsidRPr="00E757B2">
        <w:rPr>
          <w:rFonts w:ascii="Garamond" w:hAnsi="Garamond" w:cs="Times New Roman"/>
          <w:color w:val="000000" w:themeColor="text1"/>
          <w:sz w:val="24"/>
          <w:szCs w:val="24"/>
        </w:rPr>
        <w:t>zgjidhja inovative e propozuar.</w:t>
      </w:r>
    </w:p>
    <w:p w14:paraId="1D59FD7B"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Në rastin e modifikimeve të përmendura në pikën 4 të këtij neni, autoriteti kontraktues ose enti kontraktues do të informojë të gjithë ofertuesit për modifikimin në fjalë, sipas rendit të rëndësisë së kritereve për zgjedhjen e ofertës më të favorshme dhe do të anulojë me vendim procedurën e dhënies së koncesionit dhe do të publikojë një njoftim të ri për koncesion</w:t>
      </w:r>
      <w:r w:rsidR="00D42589" w:rsidRPr="00E757B2">
        <w:rPr>
          <w:rFonts w:ascii="Garamond" w:hAnsi="Garamond" w:cs="Times New Roman"/>
          <w:color w:val="000000" w:themeColor="text1"/>
          <w:sz w:val="24"/>
          <w:szCs w:val="24"/>
        </w:rPr>
        <w:t>in</w:t>
      </w:r>
      <w:r w:rsidR="000E01EE" w:rsidRPr="00E757B2">
        <w:rPr>
          <w:rFonts w:ascii="Garamond" w:hAnsi="Garamond" w:cs="Times New Roman"/>
          <w:color w:val="000000" w:themeColor="text1"/>
          <w:sz w:val="24"/>
          <w:szCs w:val="24"/>
        </w:rPr>
        <w:t>, në përputhje me afatet minimale kohore të përmendura në nenin 39 të këtij ligji.</w:t>
      </w:r>
    </w:p>
    <w:p w14:paraId="205E144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43DA5CA"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42</w:t>
      </w:r>
    </w:p>
    <w:p w14:paraId="5C0E0BBA"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Dorëzimi i ofertave/kërkesave për pjesëmarrje</w:t>
      </w:r>
    </w:p>
    <w:p w14:paraId="21E4B42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DDF8D30"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Ofertat/kërkesat për pjesëmarrje duhet të dorëzohen në adresën e përcaktuar në dokumentet e tenderit brenda afatit kohor të përcaktuar në këto dokumente si afati i fundit për dorëzimin e tyre.</w:t>
      </w:r>
    </w:p>
    <w:p w14:paraId="6438488C"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Në rastin e procedurave që zhvillohen në formë shkresore, çdo ofertë/kërkesë për pjesëmarrje e dorëzuar pas afatit të përcaktuar në njoftimin e autoritetit kontraktues ose entit kontraktues nuk shqyrtohet nga komisioni i dhënies së koncesionit dhe i kthehet e pahapur ofertuesit.</w:t>
      </w:r>
    </w:p>
    <w:p w14:paraId="5E440217"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Operatorët ekonomikë mund të jenë të pranishëm, nëse e kërkojnë, në procesin e hapjes së ofertave/kërkesave për pjesëmarrje. </w:t>
      </w:r>
    </w:p>
    <w:p w14:paraId="72112763" w14:textId="77777777" w:rsidR="000E01EE" w:rsidRPr="00E757B2" w:rsidRDefault="00A038E2"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Në ofertën/kërkesën për pjesëmarrje të përgatitur, ofertuesit dorëzojnë të gjithë dokumentacionin e kërkuar. Kur procedura zhvillohet në formë shkresore, ky dokumentacion duhet të paraqitet në një zarf të mbyllur me vulën e shoqërisë.</w:t>
      </w:r>
    </w:p>
    <w:p w14:paraId="1720E48C" w14:textId="77777777" w:rsidR="000E01EE" w:rsidRPr="00E757B2" w:rsidRDefault="00A038E2"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Në rastin e zhvillimit të procedurës konkurruese me mjete elektronike, dorëzimi i ofertave/kërkesave për pjesëmarrje nga ofertuesit/kandidatët kryhet në mënyrën e përcaktuar me vendim të Këshillit të Ministrave.</w:t>
      </w:r>
    </w:p>
    <w:p w14:paraId="63EC91C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5A11447" w14:textId="77777777" w:rsidR="005F7DA9" w:rsidRPr="00E757B2" w:rsidRDefault="005F7DA9" w:rsidP="002D3692">
      <w:pPr>
        <w:spacing w:after="0" w:line="240" w:lineRule="auto"/>
        <w:ind w:firstLine="284"/>
        <w:jc w:val="center"/>
        <w:rPr>
          <w:rFonts w:ascii="Garamond" w:hAnsi="Garamond" w:cs="Times New Roman"/>
          <w:color w:val="000000" w:themeColor="text1"/>
          <w:sz w:val="24"/>
          <w:szCs w:val="24"/>
        </w:rPr>
      </w:pPr>
    </w:p>
    <w:p w14:paraId="0F9395E1" w14:textId="77777777" w:rsidR="005F7DA9" w:rsidRPr="00E757B2" w:rsidRDefault="005F7DA9" w:rsidP="002D3692">
      <w:pPr>
        <w:spacing w:after="0" w:line="240" w:lineRule="auto"/>
        <w:ind w:firstLine="284"/>
        <w:jc w:val="center"/>
        <w:rPr>
          <w:rFonts w:ascii="Garamond" w:hAnsi="Garamond" w:cs="Times New Roman"/>
          <w:color w:val="000000" w:themeColor="text1"/>
          <w:sz w:val="24"/>
          <w:szCs w:val="24"/>
        </w:rPr>
      </w:pPr>
    </w:p>
    <w:p w14:paraId="2BE9810D" w14:textId="77777777" w:rsidR="005F7DA9" w:rsidRPr="00E757B2" w:rsidRDefault="005F7DA9" w:rsidP="002D3692">
      <w:pPr>
        <w:spacing w:after="0" w:line="240" w:lineRule="auto"/>
        <w:ind w:firstLine="284"/>
        <w:jc w:val="center"/>
        <w:rPr>
          <w:rFonts w:ascii="Garamond" w:hAnsi="Garamond" w:cs="Times New Roman"/>
          <w:color w:val="000000" w:themeColor="text1"/>
          <w:sz w:val="24"/>
          <w:szCs w:val="24"/>
        </w:rPr>
      </w:pPr>
    </w:p>
    <w:p w14:paraId="38089EEC" w14:textId="77777777" w:rsidR="005F7DA9" w:rsidRPr="00E757B2" w:rsidRDefault="005F7DA9" w:rsidP="002D3692">
      <w:pPr>
        <w:spacing w:after="0" w:line="240" w:lineRule="auto"/>
        <w:ind w:firstLine="284"/>
        <w:jc w:val="center"/>
        <w:rPr>
          <w:rFonts w:ascii="Garamond" w:hAnsi="Garamond" w:cs="Times New Roman"/>
          <w:color w:val="000000" w:themeColor="text1"/>
          <w:sz w:val="24"/>
          <w:szCs w:val="24"/>
        </w:rPr>
      </w:pPr>
    </w:p>
    <w:p w14:paraId="3DC59D59"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43</w:t>
      </w:r>
    </w:p>
    <w:p w14:paraId="61324276"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Hapja e ofertave/kërkesave për pjesëmarrje</w:t>
      </w:r>
    </w:p>
    <w:p w14:paraId="602C8E9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86836DD"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Autoriteti kontraktues ose enti kontraktues i hap të gjitha ofertat/kërkesat për pjesëmarrje në datën, vendin dhe kohën e përcaktuar në dokumentet e tenderit, pas mbarimit të afatit përfundimtar për paraqitjen e ofertave ose pas mbarimit të afatit përfundimtar të përcaktuar pas zgjatjes së këtij afati, në përputhje me procedurat e specifikuara në dokumentet e tenderit.</w:t>
      </w:r>
    </w:p>
    <w:p w14:paraId="410D929A"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106F7" w:rsidRPr="00E757B2">
        <w:rPr>
          <w:rFonts w:ascii="Garamond" w:hAnsi="Garamond" w:cs="Times New Roman"/>
          <w:color w:val="000000" w:themeColor="text1"/>
          <w:sz w:val="24"/>
          <w:szCs w:val="24"/>
        </w:rPr>
        <w:t>Në rast se</w:t>
      </w:r>
      <w:r w:rsidR="000E01EE" w:rsidRPr="00E757B2">
        <w:rPr>
          <w:rFonts w:ascii="Garamond" w:hAnsi="Garamond" w:cs="Times New Roman"/>
          <w:color w:val="000000" w:themeColor="text1"/>
          <w:sz w:val="24"/>
          <w:szCs w:val="24"/>
        </w:rPr>
        <w:t xml:space="preserve"> për arsye objektive, të shkaktuara nga një situatë e paparashikuar nga autoriteti kontraktues ose enti kontraktues në kohën e fillimit të procedurës, është e pamundur të respektohet afati i hapjes së ofertave/kërkesave për pjesëmarrje nga ana e autoritetit kontraktues ose entit kontraktues, duhet të dokumentohet arsyeja dhe të përcaktohet një datë e re për hapjen e tyre.</w:t>
      </w:r>
    </w:p>
    <w:p w14:paraId="40BE0160"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Ofertuesit/kandidatët ose përfaqësuesit e tyre të autorizuar, që kanë paraqitur oferta/kërkesa për pjesëmarrje, ftohen të marrin pjesë në hapjen e tyre, në rast se janë të interesuar. Mosparaqitja e tyre nuk</w:t>
      </w:r>
      <w:r w:rsidR="000106F7" w:rsidRPr="00E757B2">
        <w:rPr>
          <w:rFonts w:ascii="Garamond" w:hAnsi="Garamond" w:cs="Times New Roman"/>
          <w:color w:val="000000" w:themeColor="text1"/>
          <w:sz w:val="24"/>
          <w:szCs w:val="24"/>
        </w:rPr>
        <w:t xml:space="preserve"> e </w:t>
      </w:r>
      <w:r w:rsidR="000E01EE" w:rsidRPr="00E757B2">
        <w:rPr>
          <w:rFonts w:ascii="Garamond" w:hAnsi="Garamond" w:cs="Times New Roman"/>
          <w:color w:val="000000" w:themeColor="text1"/>
          <w:sz w:val="24"/>
          <w:szCs w:val="24"/>
        </w:rPr>
        <w:t>pengon hapjen e ofertave/kërkesave për pjesëmarrje.</w:t>
      </w:r>
    </w:p>
    <w:p w14:paraId="54479B23"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Në momentin e hapjes së ofertave/kërkesave për pjesëmarrje, anëtarët e komisionit të dhënies së koncesi</w:t>
      </w:r>
      <w:r w:rsidR="000106F7" w:rsidRPr="00E757B2">
        <w:rPr>
          <w:rFonts w:ascii="Garamond" w:hAnsi="Garamond" w:cs="Times New Roman"/>
          <w:color w:val="000000" w:themeColor="text1"/>
          <w:sz w:val="24"/>
          <w:szCs w:val="24"/>
        </w:rPr>
        <w:t>onit nënshkruajnë një deklaratë</w:t>
      </w:r>
      <w:r w:rsidR="000E01EE" w:rsidRPr="00E757B2">
        <w:rPr>
          <w:rFonts w:ascii="Garamond" w:hAnsi="Garamond" w:cs="Times New Roman"/>
          <w:color w:val="000000" w:themeColor="text1"/>
          <w:sz w:val="24"/>
          <w:szCs w:val="24"/>
        </w:rPr>
        <w:t xml:space="preserve"> nëpërmjet së cilës deklarojnë se nuk ndodhen në kushtet e konfliktit të interesit me ofertuesit/kandidatët pjesëmarrës.</w:t>
      </w:r>
    </w:p>
    <w:p w14:paraId="5A1770B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Nëse evidentohet se një ose disa prej operatorëve ekonomikë ndodhen në kushtet e konfliktit të interesit me një ose disa prej anëtarëve të komisionit të dhënies së koncesionit, atëherë duhet të zëvendësohet anëtari/anëtarët në fjalë dhe më pas të vazhdojë procedura e dhënies së kontratës.</w:t>
      </w:r>
    </w:p>
    <w:p w14:paraId="504B347B"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Në rastin e zhvillimit të procedurës konkurruese me mjete elektronike, hapja e ofertave/</w:t>
      </w:r>
      <w:r w:rsidR="000106F7" w:rsidRPr="00E757B2">
        <w:rPr>
          <w:rFonts w:ascii="Garamond" w:hAnsi="Garamond" w:cs="Times New Roman"/>
          <w:color w:val="000000" w:themeColor="text1"/>
          <w:sz w:val="24"/>
          <w:szCs w:val="24"/>
        </w:rPr>
        <w:t>kërkesave për pjesëmarrje bëhet si më poshtë</w:t>
      </w:r>
      <w:r w:rsidR="000E01EE" w:rsidRPr="00E757B2">
        <w:rPr>
          <w:rFonts w:ascii="Garamond" w:hAnsi="Garamond" w:cs="Times New Roman"/>
          <w:color w:val="000000" w:themeColor="text1"/>
          <w:sz w:val="24"/>
          <w:szCs w:val="24"/>
        </w:rPr>
        <w:t>:</w:t>
      </w:r>
    </w:p>
    <w:p w14:paraId="70292806" w14:textId="4037AB9C"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a</w:t>
      </w:r>
      <w:r w:rsidR="000E01EE" w:rsidRPr="00E757B2">
        <w:rPr>
          <w:rFonts w:ascii="Garamond" w:hAnsi="Garamond" w:cs="Times New Roman"/>
          <w:color w:val="000000" w:themeColor="text1"/>
          <w:sz w:val="24"/>
          <w:szCs w:val="24"/>
        </w:rPr>
        <w:t>utoriteti kontraktues ose enti kontraktues i hap të gjitha ofertat/kërkesat për pjesëmarrje në datën, vendin e në kohën e përcaktuar në dokumentet e tenderit, pas mbarimit të afatit përfundimtar për paraqitjen e ofertave/kërkesave për pjesëmarrje ose pas mbarimit të afatit përfundimtar të përcaktuar pas zgjatjes së këtij afati, në përputhje me procedurat e specif</w:t>
      </w:r>
      <w:r w:rsidR="004D1F5C">
        <w:rPr>
          <w:rFonts w:ascii="Garamond" w:hAnsi="Garamond" w:cs="Times New Roman"/>
          <w:color w:val="000000" w:themeColor="text1"/>
          <w:sz w:val="24"/>
          <w:szCs w:val="24"/>
        </w:rPr>
        <w:t>ikuara në dokumentet e tenderit;</w:t>
      </w:r>
    </w:p>
    <w:p w14:paraId="75F16A1C"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d</w:t>
      </w:r>
      <w:r w:rsidR="000E01EE" w:rsidRPr="00E757B2">
        <w:rPr>
          <w:rFonts w:ascii="Garamond" w:hAnsi="Garamond" w:cs="Times New Roman"/>
          <w:color w:val="000000" w:themeColor="text1"/>
          <w:sz w:val="24"/>
          <w:szCs w:val="24"/>
        </w:rPr>
        <w:t>okumentacioni i paraqitur nga ofertuesit/kandidatët regjistrohet automatikisht në sistem dhe procesi i hapjes nuk ka nevojë të dokumentohet në rrugë shkresore.</w:t>
      </w:r>
    </w:p>
    <w:p w14:paraId="49809ECB"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Në rastet kur procedura zhvillohet në formë shkresore, autoriteti kontraktues ose enti kontraktues dokumenton procesin nëpërmjet mbajtjes së një procesverbali, i cili duhet të pasqyrojë emrin, adresën e ofertuesit/kandidatit, dokumentacionin ligjor dhe çdo dokument të kërkuar nga autoriteti kontraktues ose enti kontraktues, si dhe çmimin e çdo oferte, të cilat lexohen me zë të lartë për ata persona që janë të pranishëm dhe regjistrohet në këtë procesverbal. Procesverbali, që pasqyron të gjitha dokumentet që shoqërojnë ofertën/kërkesën për pjesëmarrje, duhet t’i vihet në dispozicion, në bazë të kërkesës, çdo ofertuesi/kandidati, ndërsa ofertuesve/kandidatëve që nuk janë të pranishëm ose të përfaqësuar në hapjen e ofe</w:t>
      </w:r>
      <w:r w:rsidR="000106F7" w:rsidRPr="00E757B2">
        <w:rPr>
          <w:rFonts w:ascii="Garamond" w:hAnsi="Garamond" w:cs="Times New Roman"/>
          <w:color w:val="000000" w:themeColor="text1"/>
          <w:sz w:val="24"/>
          <w:szCs w:val="24"/>
        </w:rPr>
        <w:t>rtave/kërkesave për pjesëmarrje</w:t>
      </w:r>
      <w:r w:rsidR="000E01EE" w:rsidRPr="00E757B2">
        <w:rPr>
          <w:rFonts w:ascii="Garamond" w:hAnsi="Garamond" w:cs="Times New Roman"/>
          <w:color w:val="000000" w:themeColor="text1"/>
          <w:sz w:val="24"/>
          <w:szCs w:val="24"/>
        </w:rPr>
        <w:t xml:space="preserve"> duhet t’u dërgohet njoftim për zhvillimin e procedurës.</w:t>
      </w:r>
    </w:p>
    <w:p w14:paraId="6658BDDE" w14:textId="77777777" w:rsidR="000E01EE" w:rsidRPr="00E757B2" w:rsidRDefault="009F291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7. </w:t>
      </w:r>
      <w:r w:rsidR="000E01EE" w:rsidRPr="00E757B2">
        <w:rPr>
          <w:rFonts w:ascii="Garamond" w:hAnsi="Garamond" w:cs="Times New Roman"/>
          <w:color w:val="000000" w:themeColor="text1"/>
          <w:sz w:val="24"/>
          <w:szCs w:val="24"/>
        </w:rPr>
        <w:t>Dokumentet që shoqërojnë ofertën nuk u kthehen ofertuesve, por mbeten pjesë e dosjes së procedurës.</w:t>
      </w:r>
    </w:p>
    <w:p w14:paraId="7578CB9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627F0F8"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44</w:t>
      </w:r>
    </w:p>
    <w:p w14:paraId="35543715"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Shqyrtimi dhe vlerësimi i ofertave/kërkesave për pjesëmarrje</w:t>
      </w:r>
    </w:p>
    <w:p w14:paraId="7AD1E41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12725EF" w14:textId="77777777" w:rsidR="000E01EE" w:rsidRPr="00E757B2" w:rsidRDefault="00D417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Kohëzgjatja e procedurës së shqyrtimit dhe vlerësimit nuk d</w:t>
      </w:r>
      <w:r w:rsidR="00CE1657" w:rsidRPr="00E757B2">
        <w:rPr>
          <w:rFonts w:ascii="Garamond" w:hAnsi="Garamond" w:cs="Times New Roman"/>
          <w:color w:val="000000" w:themeColor="text1"/>
          <w:sz w:val="24"/>
          <w:szCs w:val="24"/>
        </w:rPr>
        <w:t xml:space="preserve">uhet të kalojë </w:t>
      </w:r>
      <w:r w:rsidR="000E01EE" w:rsidRPr="00E757B2">
        <w:rPr>
          <w:rFonts w:ascii="Garamond" w:hAnsi="Garamond" w:cs="Times New Roman"/>
          <w:color w:val="000000" w:themeColor="text1"/>
          <w:sz w:val="24"/>
          <w:szCs w:val="24"/>
        </w:rPr>
        <w:t>30 (tridhjetë) ditë nga e nesërmja e datës së hapjes të ofertave/kërkesave për pjesëmarrje.</w:t>
      </w:r>
    </w:p>
    <w:p w14:paraId="35E71FDC" w14:textId="36F2DBA9"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Në rastin kur, për shkak të kompleksitetit të objektit të koncesionit, kohëzgjatja e procedurës së shqyrtimit dhe vlerësimit ë</w:t>
      </w:r>
      <w:r w:rsidR="00CE1657" w:rsidRPr="00E757B2">
        <w:rPr>
          <w:rFonts w:ascii="Garamond" w:hAnsi="Garamond" w:cs="Times New Roman"/>
          <w:color w:val="000000" w:themeColor="text1"/>
          <w:sz w:val="24"/>
          <w:szCs w:val="24"/>
        </w:rPr>
        <w:t>shtë më e madhe se</w:t>
      </w:r>
      <w:r w:rsidR="00F64194">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30 (tridhjetë) ditë, autoriteti ose enti kontraktues duhet ta argumentojë me procesverbal këtë fakt.</w:t>
      </w:r>
    </w:p>
    <w:p w14:paraId="7EBE132F" w14:textId="77777777" w:rsidR="000E01EE" w:rsidRPr="00E757B2" w:rsidRDefault="00D417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Autoriteti ose enti kontraktues, kur e shikon të arsyeshme, u kërkon ofertuesve/kandidatëve sqarime për ofertat e tyre, për shqyrtimin, vlerësimin dhe krahasimin sa më të drejtë të tyre. Pa cenuar dispozitat e parashikuara në këtë ligj, nuk duhet të kërkohet, të ofrohet ose të lejohet asnjë ndryshim në përmbajtjen e ofertës/kërkesës për pjesëmarrje, përfshirë ndryshimet në vlerë apo ndryshime që synojnë të kthejnë një ofertë/kërkesë për pjesëmarrje të pavlefshme në të vlefshme.</w:t>
      </w:r>
    </w:p>
    <w:p w14:paraId="5CF2F13A" w14:textId="77777777" w:rsidR="000E01EE" w:rsidRPr="00E757B2" w:rsidRDefault="00D417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Autoriteti ose enti kontraktues, pavarësisht nga përcaktimi i pikës 2 të këtij neni, duhet të korrigjojë vetëm gabimet aritmetike, që zbulohen gjatë shqyrtimit të ofertave. Autoriteti ose enti kontraktues njofton menjëherë për këto korrigjime ofertuesin që ka paraqitur ofertën. Kur ofertuesi nuk pranon korrigjimin e një gabimi aritmetik, oferta e tij do të shkualifikohet.</w:t>
      </w:r>
    </w:p>
    <w:p w14:paraId="6F1D2159" w14:textId="77777777" w:rsidR="000E01EE" w:rsidRPr="00E757B2" w:rsidRDefault="00D417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Autoriteti ose enti kontraktues vlerëson një ofertë/kërkesë për pjesëmarrje si të vlefshme vetëm nëse ajo është në përputhje me të gjitha kërkesat dhe specifikimet e përcaktuara në njoftimin e kontratës së koncesionit dhe në dokumentet e tenderit.</w:t>
      </w:r>
    </w:p>
    <w:p w14:paraId="4B954705" w14:textId="77777777" w:rsidR="000E01EE" w:rsidRPr="00E757B2" w:rsidRDefault="00D417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Oferta/kërkesa për pjesëmarrje konsiderohet e vlefshme edhe nëse ajo përmban devijime të vogla, të cilat nuk ndryshojnë thelbësisht karakteristikat, kushtet dhe kërkesat e tjera të përcaktuara në dokumentet e tenderit, gabime shtypi, të cilat mund të korrigjohen pa prekur përmbajtjen e saj, si edhe ato të lidhura me informacionet, që merren lehtësisht nga dokumente faktike, që tregojnë gjendjen e operatorit ekonomik në kohën e dorëzimit të ofertës/kërkesës për pjesëmarrje.</w:t>
      </w:r>
    </w:p>
    <w:p w14:paraId="38D2760A"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D0734B2"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45</w:t>
      </w:r>
    </w:p>
    <w:p w14:paraId="187D936B"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Njoftimi paraprak i fituesit</w:t>
      </w:r>
    </w:p>
    <w:p w14:paraId="248D220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55E2155" w14:textId="77777777" w:rsidR="000E01EE" w:rsidRPr="00E757B2" w:rsidRDefault="00D417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Pas përfundimit të procesit të vlerësimit të ofertave, autoriteti kontraktues ose enti kontraktues bën klasifikimin dhe harton njoftimin paraprak të fituesit.</w:t>
      </w:r>
    </w:p>
    <w:p w14:paraId="173190B9" w14:textId="77777777" w:rsidR="000E01EE" w:rsidRPr="00E757B2" w:rsidRDefault="00D417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Menjëherë, por jo më vonë se 7 (shtatë) ditë pas përfundimit të procedurës së vlerësimit të ofertave, autoriteti kontraktues ose enti kontraktues publikon njoftimin paraprak të fituesit. Me publikimin e njoftimit të fituesit, operatorëve ekon</w:t>
      </w:r>
      <w:r w:rsidR="000372E9" w:rsidRPr="00E757B2">
        <w:rPr>
          <w:rFonts w:ascii="Garamond" w:hAnsi="Garamond" w:cs="Times New Roman"/>
          <w:color w:val="000000" w:themeColor="text1"/>
          <w:sz w:val="24"/>
          <w:szCs w:val="24"/>
        </w:rPr>
        <w:t>omikë u lind e drejta e ankimit</w:t>
      </w:r>
      <w:r w:rsidR="000E01EE" w:rsidRPr="00E757B2">
        <w:rPr>
          <w:rFonts w:ascii="Garamond" w:hAnsi="Garamond" w:cs="Times New Roman"/>
          <w:color w:val="000000" w:themeColor="text1"/>
          <w:sz w:val="24"/>
          <w:szCs w:val="24"/>
        </w:rPr>
        <w:t xml:space="preserve"> sipas parashikim</w:t>
      </w:r>
      <w:r w:rsidRPr="00E757B2">
        <w:rPr>
          <w:rFonts w:ascii="Garamond" w:hAnsi="Garamond" w:cs="Times New Roman"/>
          <w:color w:val="000000" w:themeColor="text1"/>
          <w:sz w:val="24"/>
          <w:szCs w:val="24"/>
        </w:rPr>
        <w:t>eve të nenit 66 të këtij ligji.</w:t>
      </w:r>
    </w:p>
    <w:p w14:paraId="6389D0B0" w14:textId="77777777" w:rsidR="000E01EE" w:rsidRPr="00E757B2" w:rsidRDefault="00D4177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Në rastin e procedurave konkurruese, që zhvillohen në formë shkresore, autoriteti kontraktues ose enti kontraktues publikon njoftimin paraprak të fituesit. Me publikimin e njoftimit paraprak të fituesit, operatorëve ekon</w:t>
      </w:r>
      <w:r w:rsidR="000372E9" w:rsidRPr="00E757B2">
        <w:rPr>
          <w:rFonts w:ascii="Garamond" w:hAnsi="Garamond" w:cs="Times New Roman"/>
          <w:color w:val="000000" w:themeColor="text1"/>
          <w:sz w:val="24"/>
          <w:szCs w:val="24"/>
        </w:rPr>
        <w:t>omikë u lind e drejta e ankimit</w:t>
      </w:r>
      <w:r w:rsidR="000E01EE" w:rsidRPr="00E757B2">
        <w:rPr>
          <w:rFonts w:ascii="Garamond" w:hAnsi="Garamond" w:cs="Times New Roman"/>
          <w:color w:val="000000" w:themeColor="text1"/>
          <w:sz w:val="24"/>
          <w:szCs w:val="24"/>
        </w:rPr>
        <w:t xml:space="preserve"> sipas parashikimeve të nenit 66 të këtij ligji.</w:t>
      </w:r>
    </w:p>
    <w:p w14:paraId="3917D4B8"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2485615"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46</w:t>
      </w:r>
    </w:p>
    <w:p w14:paraId="0C1B4929"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Anulimi i procedurës</w:t>
      </w:r>
    </w:p>
    <w:p w14:paraId="0DD26218"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B09EF09"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Autoriteti kontraktues ose enti kontraktues anulon procedurën konkurruese të dhënies me koncesion në rastet kur:</w:t>
      </w:r>
    </w:p>
    <w:p w14:paraId="27240E94"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për shkak të rrethanave të paparashikueshme dhe objektive, nevojat ose aftësia paguese e autoritetit kontraktues ose entit kontraktues kanë ndryshuar;</w:t>
      </w:r>
    </w:p>
    <w:p w14:paraId="2D50033B"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konstaton se dokumentet e tenderit përmbajnë gabime ose mangësi të rëndësishme;</w:t>
      </w:r>
    </w:p>
    <w:p w14:paraId="7198C280"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0E01EE" w:rsidRPr="00E757B2">
        <w:rPr>
          <w:rFonts w:ascii="Garamond" w:hAnsi="Garamond" w:cs="Times New Roman"/>
          <w:color w:val="000000" w:themeColor="text1"/>
          <w:sz w:val="24"/>
          <w:szCs w:val="24"/>
        </w:rPr>
        <w:t>nuk është dorëzuar asnjë ofertë e përshtatshme;</w:t>
      </w:r>
    </w:p>
    <w:p w14:paraId="0C6AA110"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0E01EE" w:rsidRPr="00E757B2">
        <w:rPr>
          <w:rFonts w:ascii="Garamond" w:hAnsi="Garamond" w:cs="Times New Roman"/>
          <w:color w:val="000000" w:themeColor="text1"/>
          <w:sz w:val="24"/>
          <w:szCs w:val="24"/>
        </w:rPr>
        <w:t>Komisioni i Pr</w:t>
      </w:r>
      <w:r w:rsidR="000372E9" w:rsidRPr="00E757B2">
        <w:rPr>
          <w:rFonts w:ascii="Garamond" w:hAnsi="Garamond" w:cs="Times New Roman"/>
          <w:color w:val="000000" w:themeColor="text1"/>
          <w:sz w:val="24"/>
          <w:szCs w:val="24"/>
        </w:rPr>
        <w:t>okurimit Publik vendos anulimin</w:t>
      </w:r>
      <w:r w:rsidR="000E01EE" w:rsidRPr="00E757B2">
        <w:rPr>
          <w:rFonts w:ascii="Garamond" w:hAnsi="Garamond" w:cs="Times New Roman"/>
          <w:color w:val="000000" w:themeColor="text1"/>
          <w:sz w:val="24"/>
          <w:szCs w:val="24"/>
        </w:rPr>
        <w:t xml:space="preserve"> sipas parashikimeve në këtë ligj.</w:t>
      </w:r>
    </w:p>
    <w:p w14:paraId="71B1A053" w14:textId="32BF61AE"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Kur procedura konkurruese anulohet në përputhje me sh</w:t>
      </w:r>
      <w:r w:rsidR="004E47E6" w:rsidRPr="00E757B2">
        <w:rPr>
          <w:rFonts w:ascii="Garamond" w:hAnsi="Garamond" w:cs="Times New Roman"/>
          <w:color w:val="000000" w:themeColor="text1"/>
          <w:sz w:val="24"/>
          <w:szCs w:val="24"/>
        </w:rPr>
        <w:t>kronjën “a”</w:t>
      </w:r>
      <w:r w:rsidR="004D1F5C">
        <w:rPr>
          <w:rFonts w:ascii="Garamond" w:hAnsi="Garamond" w:cs="Times New Roman"/>
          <w:color w:val="000000" w:themeColor="text1"/>
          <w:sz w:val="24"/>
          <w:szCs w:val="24"/>
        </w:rPr>
        <w:t>,</w:t>
      </w:r>
      <w:r w:rsidR="004E47E6" w:rsidRPr="00E757B2">
        <w:rPr>
          <w:rFonts w:ascii="Garamond" w:hAnsi="Garamond" w:cs="Times New Roman"/>
          <w:color w:val="000000" w:themeColor="text1"/>
          <w:sz w:val="24"/>
          <w:szCs w:val="24"/>
        </w:rPr>
        <w:t xml:space="preserve"> të pikës 1</w:t>
      </w:r>
      <w:r w:rsidR="000E01EE" w:rsidRPr="00E757B2">
        <w:rPr>
          <w:rFonts w:ascii="Garamond" w:hAnsi="Garamond" w:cs="Times New Roman"/>
          <w:color w:val="000000" w:themeColor="text1"/>
          <w:sz w:val="24"/>
          <w:szCs w:val="24"/>
        </w:rPr>
        <w:t xml:space="preserve"> të këtij neni, autoriteti kontraktues ose enti kontraktues nuk duhet të shpallë një procedurë të re për të njëjtin objekt dhe me të njëjtat të dhëna. </w:t>
      </w:r>
    </w:p>
    <w:p w14:paraId="4660953A"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Autoriteti kontraktues ose enti kontraktues nuk mban asnjë përgjegjësi ndaj ofertuesve/kandidatëve, që kanë paraqitur oferta/kërkesa për pjesëmarrje për vendimin e marrë në bazë të pikës 1 të këtij neni.</w:t>
      </w:r>
    </w:p>
    <w:p w14:paraId="02499C54" w14:textId="52B1FBA9"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Autoriteti kontraktues ose enti kontraktues u komunikon të gjithë kandidatëve ose ofertuesve vendimin dhe arsyet për të mos e vazhduar procedurën konkurruese të dhënies me koncesi</w:t>
      </w:r>
      <w:r w:rsidR="004E47E6" w:rsidRPr="00E757B2">
        <w:rPr>
          <w:rFonts w:ascii="Garamond" w:hAnsi="Garamond" w:cs="Times New Roman"/>
          <w:color w:val="000000" w:themeColor="text1"/>
          <w:sz w:val="24"/>
          <w:szCs w:val="24"/>
        </w:rPr>
        <w:t xml:space="preserve">on menjëherë, por jo më vonë se </w:t>
      </w:r>
      <w:r w:rsidR="000E01EE" w:rsidRPr="00E757B2">
        <w:rPr>
          <w:rFonts w:ascii="Garamond" w:hAnsi="Garamond" w:cs="Times New Roman"/>
          <w:color w:val="000000" w:themeColor="text1"/>
          <w:sz w:val="24"/>
          <w:szCs w:val="24"/>
        </w:rPr>
        <w:t>7 (shtatë) ditë nga e nesërmja e datës së marrjes të vendimit. Me publikimin e këtij njoftimi, operatorëve ekon</w:t>
      </w:r>
      <w:r w:rsidR="000372E9" w:rsidRPr="00E757B2">
        <w:rPr>
          <w:rFonts w:ascii="Garamond" w:hAnsi="Garamond" w:cs="Times New Roman"/>
          <w:color w:val="000000" w:themeColor="text1"/>
          <w:sz w:val="24"/>
          <w:szCs w:val="24"/>
        </w:rPr>
        <w:t>omikë u lind e drejta e ankimit</w:t>
      </w:r>
      <w:r w:rsidR="000E01EE" w:rsidRPr="00E757B2">
        <w:rPr>
          <w:rFonts w:ascii="Garamond" w:hAnsi="Garamond" w:cs="Times New Roman"/>
          <w:color w:val="000000" w:themeColor="text1"/>
          <w:sz w:val="24"/>
          <w:szCs w:val="24"/>
        </w:rPr>
        <w:t xml:space="preserve"> sipas parashikimeve të nenit 66</w:t>
      </w:r>
      <w:r w:rsidR="004D1F5C">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të këtij ligji.</w:t>
      </w:r>
    </w:p>
    <w:p w14:paraId="5CFEF637" w14:textId="11106A8C"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 xml:space="preserve">Autoriteti kontraktues ose enti kontraktues vijon me publikimin e vendimit përfundimtar për anulimin e procedurës së prokurimit, jo më vonë </w:t>
      </w:r>
      <w:r w:rsidR="004E47E6" w:rsidRPr="00E757B2">
        <w:rPr>
          <w:rFonts w:ascii="Garamond" w:hAnsi="Garamond" w:cs="Times New Roman"/>
          <w:color w:val="000000" w:themeColor="text1"/>
          <w:sz w:val="24"/>
          <w:szCs w:val="24"/>
        </w:rPr>
        <w:t>se</w:t>
      </w:r>
      <w:r w:rsidR="00F64194">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7 (shtatë) ditë nga e nesërmja e datës së skadimit të afatit të fundit për paraqitjen e ankesave ose dhënien e vendimit përfundimtar për ankimin, duke e publikuar njoftimin në të njëjtën mënyrë siç publikon njoftimin e kontratës.</w:t>
      </w:r>
    </w:p>
    <w:p w14:paraId="3C38828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EF58BFA"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47</w:t>
      </w:r>
    </w:p>
    <w:p w14:paraId="0D07E278"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Raporti përmbledhës për zhvillimin e procedurës konkurruese</w:t>
      </w:r>
    </w:p>
    <w:p w14:paraId="0287D79C"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067301F"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Komisioni i dhënies së koncesionit pas përfundimit të afateve të ankimit përgatit një raport përmbledhës për procesin e shqyrtimit e të vlerësimit të ofertave/kërkesave për pjesëmarrje dhe ia dërgon për miratim titullarit të autoritetit/entit kontraktues.</w:t>
      </w:r>
    </w:p>
    <w:p w14:paraId="01ADF4CD"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Raporti përmbledhës duhet të përmbajë:</w:t>
      </w:r>
    </w:p>
    <w:p w14:paraId="0995174C"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emrin dhe adresën e autoritetit ose të entit kontraktues, objektin dhe vlerën e përllogaritur të koncesionit;</w:t>
      </w:r>
    </w:p>
    <w:p w14:paraId="37AB6247"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përshkrimin e punëve/shërbimeve;</w:t>
      </w:r>
    </w:p>
    <w:p w14:paraId="44E619F2"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0E01EE" w:rsidRPr="00E757B2">
        <w:rPr>
          <w:rFonts w:ascii="Garamond" w:hAnsi="Garamond" w:cs="Times New Roman"/>
          <w:color w:val="000000" w:themeColor="text1"/>
          <w:sz w:val="24"/>
          <w:szCs w:val="24"/>
        </w:rPr>
        <w:t>respektimin e kërkesave ligjore në procesin e hapjes së ofertave/kërkesave për pjesëmarrje;</w:t>
      </w:r>
    </w:p>
    <w:p w14:paraId="4A7E3381"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0E01EE" w:rsidRPr="00E757B2">
        <w:rPr>
          <w:rFonts w:ascii="Garamond" w:hAnsi="Garamond" w:cs="Times New Roman"/>
          <w:color w:val="000000" w:themeColor="text1"/>
          <w:sz w:val="24"/>
          <w:szCs w:val="24"/>
        </w:rPr>
        <w:t>çmimet/vlerën e ofertuesve pjesëmarrës;</w:t>
      </w:r>
    </w:p>
    <w:p w14:paraId="668AA67D"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 </w:t>
      </w:r>
      <w:r w:rsidR="000E01EE" w:rsidRPr="00E757B2">
        <w:rPr>
          <w:rFonts w:ascii="Garamond" w:hAnsi="Garamond" w:cs="Times New Roman"/>
          <w:color w:val="000000" w:themeColor="text1"/>
          <w:sz w:val="24"/>
          <w:szCs w:val="24"/>
        </w:rPr>
        <w:t>korrigjimin e gabimeve aritmetike dhe ofertat anomalisht të ulëta (nëse ka pasur të tilla);</w:t>
      </w:r>
    </w:p>
    <w:p w14:paraId="7022065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dh) rezultatet e përzgjedhjes së ofertuesve dhe/ose </w:t>
      </w:r>
      <w:r w:rsidR="00C124F9" w:rsidRPr="00E757B2">
        <w:rPr>
          <w:rFonts w:ascii="Garamond" w:hAnsi="Garamond" w:cs="Times New Roman"/>
          <w:color w:val="000000" w:themeColor="text1"/>
          <w:sz w:val="24"/>
          <w:szCs w:val="24"/>
        </w:rPr>
        <w:t xml:space="preserve">të </w:t>
      </w:r>
      <w:r w:rsidRPr="00E757B2">
        <w:rPr>
          <w:rFonts w:ascii="Garamond" w:hAnsi="Garamond" w:cs="Times New Roman"/>
          <w:color w:val="000000" w:themeColor="text1"/>
          <w:sz w:val="24"/>
          <w:szCs w:val="24"/>
        </w:rPr>
        <w:t>uljes së numrit të tyre, sipas parashikimeve në këtë ligj, përkatësisht:</w:t>
      </w:r>
    </w:p>
    <w:p w14:paraId="64592365"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 </w:t>
      </w:r>
      <w:r w:rsidR="000E01EE" w:rsidRPr="00E757B2">
        <w:rPr>
          <w:rFonts w:ascii="Garamond" w:hAnsi="Garamond" w:cs="Times New Roman"/>
          <w:color w:val="000000" w:themeColor="text1"/>
          <w:sz w:val="24"/>
          <w:szCs w:val="24"/>
        </w:rPr>
        <w:t>të dhënat e ofertuesit fitues;</w:t>
      </w:r>
    </w:p>
    <w:p w14:paraId="4AAFCF1B"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emrat e ofertuesve të refuzuar dhe arsyet për refuzimin e tyre;</w:t>
      </w:r>
    </w:p>
    <w:p w14:paraId="55A90A7C" w14:textId="73131A2A"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iii.</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të dhënat e ofertuesve të shkualifikuar, ofertën ekonom</w:t>
      </w:r>
      <w:r w:rsidR="004D1F5C">
        <w:rPr>
          <w:rFonts w:ascii="Garamond" w:hAnsi="Garamond" w:cs="Times New Roman"/>
          <w:color w:val="000000" w:themeColor="text1"/>
          <w:sz w:val="24"/>
          <w:szCs w:val="24"/>
        </w:rPr>
        <w:t>ike dhe arsyet e shkualifikimit;</w:t>
      </w:r>
    </w:p>
    <w:p w14:paraId="5104226B"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e) </w:t>
      </w:r>
      <w:r w:rsidR="000E01EE" w:rsidRPr="00E757B2">
        <w:rPr>
          <w:rFonts w:ascii="Garamond" w:hAnsi="Garamond" w:cs="Times New Roman"/>
          <w:color w:val="000000" w:themeColor="text1"/>
          <w:sz w:val="24"/>
          <w:szCs w:val="24"/>
        </w:rPr>
        <w:t>arsyet për refuzimin e ofertave anomalisht të ulëta;</w:t>
      </w:r>
    </w:p>
    <w:p w14:paraId="26A947E0"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ë) </w:t>
      </w:r>
      <w:r w:rsidR="000E01EE" w:rsidRPr="00E757B2">
        <w:rPr>
          <w:rFonts w:ascii="Garamond" w:hAnsi="Garamond" w:cs="Times New Roman"/>
          <w:color w:val="000000" w:themeColor="text1"/>
          <w:sz w:val="24"/>
          <w:szCs w:val="24"/>
        </w:rPr>
        <w:t>emrin e ofertuesit të suksesshëm dhe arsyet pse është zgjedhur oferta e tij dhe, kur dihet, përqindjen e kontratës që ofertuesi i suksesshëm planifikon</w:t>
      </w:r>
      <w:r w:rsidR="00ED455B"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të nënkontraktojë te palë të treta, emrat e nënkontraktorëve të kontraktorit kryesor, nëse ka;</w:t>
      </w:r>
    </w:p>
    <w:p w14:paraId="47373085"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f) </w:t>
      </w:r>
      <w:r w:rsidR="000E01EE" w:rsidRPr="00E757B2">
        <w:rPr>
          <w:rFonts w:ascii="Garamond" w:hAnsi="Garamond" w:cs="Times New Roman"/>
          <w:color w:val="000000" w:themeColor="text1"/>
          <w:sz w:val="24"/>
          <w:szCs w:val="24"/>
        </w:rPr>
        <w:t>sipas rastit, konfliktet e interesit që janë zbuluar dhe masat që janë marrë në vijim;</w:t>
      </w:r>
    </w:p>
    <w:p w14:paraId="2B4D377C"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g) </w:t>
      </w:r>
      <w:r w:rsidR="000E01EE" w:rsidRPr="00E757B2">
        <w:rPr>
          <w:rFonts w:ascii="Garamond" w:hAnsi="Garamond" w:cs="Times New Roman"/>
          <w:color w:val="000000" w:themeColor="text1"/>
          <w:sz w:val="24"/>
          <w:szCs w:val="24"/>
        </w:rPr>
        <w:t>sipas rastit, ofertat, të cilat janë vlerësuar me pikë të barabarta dhe hapat që janë ndjekur për procesin e hedhjes së shortit;</w:t>
      </w:r>
    </w:p>
    <w:p w14:paraId="4C56495E"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gj) </w:t>
      </w:r>
      <w:r w:rsidR="000E01EE" w:rsidRPr="00E757B2">
        <w:rPr>
          <w:rFonts w:ascii="Garamond" w:hAnsi="Garamond" w:cs="Times New Roman"/>
          <w:color w:val="000000" w:themeColor="text1"/>
          <w:sz w:val="24"/>
          <w:szCs w:val="24"/>
        </w:rPr>
        <w:t xml:space="preserve">informacion, nëse ka pasur ankesa dhe vendimmarrjen në lidhje me to, si dhe çdo informacion tjetër </w:t>
      </w:r>
      <w:r w:rsidR="00E7667D" w:rsidRPr="00E757B2">
        <w:rPr>
          <w:rFonts w:ascii="Garamond" w:hAnsi="Garamond" w:cs="Times New Roman"/>
          <w:color w:val="000000" w:themeColor="text1"/>
          <w:sz w:val="24"/>
          <w:szCs w:val="24"/>
        </w:rPr>
        <w:t>ose</w:t>
      </w:r>
      <w:r w:rsidR="000E01EE" w:rsidRPr="00E757B2">
        <w:rPr>
          <w:rFonts w:ascii="Garamond" w:hAnsi="Garamond" w:cs="Times New Roman"/>
          <w:color w:val="000000" w:themeColor="text1"/>
          <w:sz w:val="24"/>
          <w:szCs w:val="24"/>
        </w:rPr>
        <w:t xml:space="preserve"> korrespondencë që lidhet me vlerësimin e ofertave/kërkesave për pjesëmarrje.</w:t>
      </w:r>
    </w:p>
    <w:p w14:paraId="2549734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DD7C28F"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48</w:t>
      </w:r>
    </w:p>
    <w:p w14:paraId="294FAD09"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Njoftimi i fituesit</w:t>
      </w:r>
    </w:p>
    <w:p w14:paraId="70ADF7E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D0B42C3"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Menjëherë, por jo më vonë se 5 (pesë) ditë pas miratimit të raportit përmbledhës</w:t>
      </w:r>
      <w:r w:rsidR="00115002"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nga titullari i autoritetit ose </w:t>
      </w:r>
      <w:r w:rsidR="00115002" w:rsidRPr="00E757B2">
        <w:rPr>
          <w:rFonts w:ascii="Garamond" w:hAnsi="Garamond" w:cs="Times New Roman"/>
          <w:color w:val="000000" w:themeColor="text1"/>
          <w:sz w:val="24"/>
          <w:szCs w:val="24"/>
        </w:rPr>
        <w:t xml:space="preserve">i </w:t>
      </w:r>
      <w:r w:rsidR="000E01EE" w:rsidRPr="00E757B2">
        <w:rPr>
          <w:rFonts w:ascii="Garamond" w:hAnsi="Garamond" w:cs="Times New Roman"/>
          <w:color w:val="000000" w:themeColor="text1"/>
          <w:sz w:val="24"/>
          <w:szCs w:val="24"/>
        </w:rPr>
        <w:t>entit kontraktues</w:t>
      </w:r>
      <w:r w:rsidR="00115002"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hartohet njoftimi i fituesit.</w:t>
      </w:r>
    </w:p>
    <w:p w14:paraId="140D0C62"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Njoftimi i fituesit duhet të përmbajë, të paktën, informacionin e mëposhtëm:</w:t>
      </w:r>
    </w:p>
    <w:p w14:paraId="53A0C166" w14:textId="3EDFA1D0"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e</w:t>
      </w:r>
      <w:r w:rsidR="000E01EE" w:rsidRPr="00E757B2">
        <w:rPr>
          <w:rFonts w:ascii="Garamond" w:hAnsi="Garamond" w:cs="Times New Roman"/>
          <w:color w:val="000000" w:themeColor="text1"/>
          <w:sz w:val="24"/>
          <w:szCs w:val="24"/>
        </w:rPr>
        <w:t xml:space="preserve">mrin, numrin unik të identifikimit, adresën, duke përfshirë numrin e telefonit, </w:t>
      </w:r>
      <w:r w:rsidR="004D1F5C">
        <w:rPr>
          <w:rFonts w:ascii="Garamond" w:hAnsi="Garamond" w:cs="Times New Roman"/>
          <w:i/>
          <w:color w:val="000000" w:themeColor="text1"/>
          <w:sz w:val="24"/>
          <w:szCs w:val="24"/>
        </w:rPr>
        <w:t>e</w:t>
      </w:r>
      <w:r w:rsidR="000E01EE" w:rsidRPr="00E757B2">
        <w:rPr>
          <w:rFonts w:ascii="Garamond" w:hAnsi="Garamond" w:cs="Times New Roman"/>
          <w:i/>
          <w:color w:val="000000" w:themeColor="text1"/>
          <w:sz w:val="24"/>
          <w:szCs w:val="24"/>
        </w:rPr>
        <w:t>mail</w:t>
      </w:r>
      <w:r w:rsidR="000E01EE" w:rsidRPr="00E757B2">
        <w:rPr>
          <w:rFonts w:ascii="Garamond" w:hAnsi="Garamond" w:cs="Times New Roman"/>
          <w:color w:val="000000" w:themeColor="text1"/>
          <w:sz w:val="24"/>
          <w:szCs w:val="24"/>
        </w:rPr>
        <w:t>-in dhe adresën e internetit të autoritetit kontraktues ose të entit kontraktues;</w:t>
      </w:r>
    </w:p>
    <w:p w14:paraId="59284FED"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l</w:t>
      </w:r>
      <w:r w:rsidR="000E01EE" w:rsidRPr="00E757B2">
        <w:rPr>
          <w:rFonts w:ascii="Garamond" w:hAnsi="Garamond" w:cs="Times New Roman"/>
          <w:color w:val="000000" w:themeColor="text1"/>
          <w:sz w:val="24"/>
          <w:szCs w:val="24"/>
        </w:rPr>
        <w:t>lojin e autoritetit kontraktues ose të entit kontraktues;</w:t>
      </w:r>
    </w:p>
    <w:p w14:paraId="7A8F2A2F"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k</w:t>
      </w:r>
      <w:r w:rsidR="000E01EE" w:rsidRPr="00E757B2">
        <w:rPr>
          <w:rFonts w:ascii="Garamond" w:hAnsi="Garamond" w:cs="Times New Roman"/>
          <w:color w:val="000000" w:themeColor="text1"/>
          <w:sz w:val="24"/>
          <w:szCs w:val="24"/>
        </w:rPr>
        <w:t>odet CPV;</w:t>
      </w:r>
    </w:p>
    <w:p w14:paraId="61524D46" w14:textId="77777777" w:rsidR="000E01EE" w:rsidRPr="00E757B2" w:rsidRDefault="00115002"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0D07C5" w:rsidRPr="00E757B2">
        <w:rPr>
          <w:rFonts w:ascii="Garamond" w:hAnsi="Garamond" w:cs="Times New Roman"/>
          <w:color w:val="000000" w:themeColor="text1"/>
          <w:sz w:val="24"/>
          <w:szCs w:val="24"/>
        </w:rPr>
        <w:t>p</w:t>
      </w:r>
      <w:r w:rsidR="000E01EE" w:rsidRPr="00E757B2">
        <w:rPr>
          <w:rFonts w:ascii="Garamond" w:hAnsi="Garamond" w:cs="Times New Roman"/>
          <w:color w:val="000000" w:themeColor="text1"/>
          <w:sz w:val="24"/>
          <w:szCs w:val="24"/>
        </w:rPr>
        <w:t>ërshkrimin e koncesionit, natyrën dhe shtrirjen e punimeve, natyrën dhe shtrirjen e shërbimeve, kohëzgjatjen e kontratës. Kur koncesioni ndahet në lote, ky informacion jepet për çdo lot. Kur është e përshtatshme, përshkrimi i çdo opsioni;</w:t>
      </w:r>
    </w:p>
    <w:p w14:paraId="2D6B6E8B"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 p</w:t>
      </w:r>
      <w:r w:rsidR="000E01EE" w:rsidRPr="00E757B2">
        <w:rPr>
          <w:rFonts w:ascii="Garamond" w:hAnsi="Garamond" w:cs="Times New Roman"/>
          <w:color w:val="000000" w:themeColor="text1"/>
          <w:sz w:val="24"/>
          <w:szCs w:val="24"/>
        </w:rPr>
        <w:t>ërshkrimin e procedurës për përcaktimin e fituesit dhe, në rastin e dhënies së kontratës pa shpallje paraprake, justifikimin përkatës;</w:t>
      </w:r>
    </w:p>
    <w:p w14:paraId="0D7C847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dh)</w:t>
      </w:r>
      <w:r w:rsidR="002D3692" w:rsidRPr="00E757B2">
        <w:rPr>
          <w:rFonts w:ascii="Garamond" w:hAnsi="Garamond" w:cs="Times New Roman"/>
          <w:color w:val="000000" w:themeColor="text1"/>
          <w:sz w:val="24"/>
          <w:szCs w:val="24"/>
        </w:rPr>
        <w:t xml:space="preserve"> </w:t>
      </w:r>
      <w:r w:rsidR="000D07C5" w:rsidRPr="00E757B2">
        <w:rPr>
          <w:rFonts w:ascii="Garamond" w:hAnsi="Garamond" w:cs="Times New Roman"/>
          <w:color w:val="000000" w:themeColor="text1"/>
          <w:sz w:val="24"/>
          <w:szCs w:val="24"/>
        </w:rPr>
        <w:t>k</w:t>
      </w:r>
      <w:r w:rsidRPr="00E757B2">
        <w:rPr>
          <w:rFonts w:ascii="Garamond" w:hAnsi="Garamond" w:cs="Times New Roman"/>
          <w:color w:val="000000" w:themeColor="text1"/>
          <w:sz w:val="24"/>
          <w:szCs w:val="24"/>
        </w:rPr>
        <w:t>riteret e përcaktuara në nenin 41 të këtij ligji, të cilat janë përdorur për dhënien e kontratës së koncesionit;</w:t>
      </w:r>
    </w:p>
    <w:p w14:paraId="7CF39FE0"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e) d</w:t>
      </w:r>
      <w:r w:rsidR="000E01EE" w:rsidRPr="00E757B2">
        <w:rPr>
          <w:rFonts w:ascii="Garamond" w:hAnsi="Garamond" w:cs="Times New Roman"/>
          <w:color w:val="000000" w:themeColor="text1"/>
          <w:sz w:val="24"/>
          <w:szCs w:val="24"/>
        </w:rPr>
        <w:t>atën e vendimit për dhënien e kontratës së koncesionit;</w:t>
      </w:r>
    </w:p>
    <w:p w14:paraId="294946DE"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ë) n</w:t>
      </w:r>
      <w:r w:rsidR="000E01EE" w:rsidRPr="00E757B2">
        <w:rPr>
          <w:rFonts w:ascii="Garamond" w:hAnsi="Garamond" w:cs="Times New Roman"/>
          <w:color w:val="000000" w:themeColor="text1"/>
          <w:sz w:val="24"/>
          <w:szCs w:val="24"/>
        </w:rPr>
        <w:t>umrin e ofertave të paraqitura</w:t>
      </w:r>
      <w:r w:rsidR="00560B3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shoqëruar me vlerat përkatëse të ofertuara, duke përfshirë:</w:t>
      </w:r>
    </w:p>
    <w:p w14:paraId="7B307B1A"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 </w:t>
      </w:r>
      <w:r w:rsidR="000E01EE" w:rsidRPr="00E757B2">
        <w:rPr>
          <w:rFonts w:ascii="Garamond" w:hAnsi="Garamond" w:cs="Times New Roman"/>
          <w:color w:val="000000" w:themeColor="text1"/>
          <w:sz w:val="24"/>
          <w:szCs w:val="24"/>
        </w:rPr>
        <w:t xml:space="preserve">numrin e ofertave të marra nga operatorët ekonomikë, të cilët janë ndërmarrje të vogla dhe të mesme; </w:t>
      </w:r>
    </w:p>
    <w:p w14:paraId="0DEF8717"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numrin e ofertave të marra nga operatorë ekonomikë të huaj;</w:t>
      </w:r>
    </w:p>
    <w:p w14:paraId="391E2D89" w14:textId="244F796A"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iii. </w:t>
      </w:r>
      <w:r w:rsidR="000E01EE" w:rsidRPr="00E757B2">
        <w:rPr>
          <w:rFonts w:ascii="Garamond" w:hAnsi="Garamond" w:cs="Times New Roman"/>
          <w:color w:val="000000" w:themeColor="text1"/>
          <w:sz w:val="24"/>
          <w:szCs w:val="24"/>
        </w:rPr>
        <w:t>numrin e ofertave</w:t>
      </w:r>
      <w:r w:rsidR="004D1F5C">
        <w:rPr>
          <w:rFonts w:ascii="Garamond" w:hAnsi="Garamond" w:cs="Times New Roman"/>
          <w:color w:val="000000" w:themeColor="text1"/>
          <w:sz w:val="24"/>
          <w:szCs w:val="24"/>
        </w:rPr>
        <w:t xml:space="preserve"> të marra në mënyrë elektronike;</w:t>
      </w:r>
    </w:p>
    <w:p w14:paraId="55C5B2BD" w14:textId="17F18A9D"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f) e</w:t>
      </w:r>
      <w:r w:rsidR="000E01EE" w:rsidRPr="00E757B2">
        <w:rPr>
          <w:rFonts w:ascii="Garamond" w:hAnsi="Garamond" w:cs="Times New Roman"/>
          <w:color w:val="000000" w:themeColor="text1"/>
          <w:sz w:val="24"/>
          <w:szCs w:val="24"/>
        </w:rPr>
        <w:t xml:space="preserve">mrin, adresën, numrin unik të identifikimit, duke përfshirë numrin e telefonit, </w:t>
      </w:r>
      <w:r w:rsidR="004D1F5C">
        <w:rPr>
          <w:rFonts w:ascii="Garamond" w:hAnsi="Garamond" w:cs="Times New Roman"/>
          <w:i/>
          <w:color w:val="000000" w:themeColor="text1"/>
          <w:sz w:val="24"/>
          <w:szCs w:val="24"/>
        </w:rPr>
        <w:t>e</w:t>
      </w:r>
      <w:r w:rsidR="000E01EE" w:rsidRPr="00E757B2">
        <w:rPr>
          <w:rFonts w:ascii="Garamond" w:hAnsi="Garamond" w:cs="Times New Roman"/>
          <w:i/>
          <w:color w:val="000000" w:themeColor="text1"/>
          <w:sz w:val="24"/>
          <w:szCs w:val="24"/>
        </w:rPr>
        <w:t>mail</w:t>
      </w:r>
      <w:r w:rsidR="000E01EE" w:rsidRPr="00E757B2">
        <w:rPr>
          <w:rFonts w:ascii="Garamond" w:hAnsi="Garamond" w:cs="Times New Roman"/>
          <w:color w:val="000000" w:themeColor="text1"/>
          <w:sz w:val="24"/>
          <w:szCs w:val="24"/>
        </w:rPr>
        <w:t>-in dhe adresën e internetit të ofertuesit të suksesshëm, duke përfshirë informacionin:</w:t>
      </w:r>
    </w:p>
    <w:p w14:paraId="1C66F1ED"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 </w:t>
      </w:r>
      <w:r w:rsidR="000E01EE" w:rsidRPr="00E757B2">
        <w:rPr>
          <w:rFonts w:ascii="Garamond" w:hAnsi="Garamond" w:cs="Times New Roman"/>
          <w:color w:val="000000" w:themeColor="text1"/>
          <w:sz w:val="24"/>
          <w:szCs w:val="24"/>
        </w:rPr>
        <w:t>nëse ofertuesi i suksesshëm është ndërmarrje e vogël apo e mesme;</w:t>
      </w:r>
    </w:p>
    <w:p w14:paraId="345BCED7" w14:textId="285F57DE"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nëse ofertuesi i suksesshëm është bashkim i p</w:t>
      </w:r>
      <w:r w:rsidR="004D1F5C">
        <w:rPr>
          <w:rFonts w:ascii="Garamond" w:hAnsi="Garamond" w:cs="Times New Roman"/>
          <w:color w:val="000000" w:themeColor="text1"/>
          <w:sz w:val="24"/>
          <w:szCs w:val="24"/>
        </w:rPr>
        <w:t>ërkohshëm operatorësh ekonomikë;</w:t>
      </w:r>
    </w:p>
    <w:p w14:paraId="411ADB5B"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g) v</w:t>
      </w:r>
      <w:r w:rsidR="000E01EE" w:rsidRPr="00E757B2">
        <w:rPr>
          <w:rFonts w:ascii="Garamond" w:hAnsi="Garamond" w:cs="Times New Roman"/>
          <w:color w:val="000000" w:themeColor="text1"/>
          <w:sz w:val="24"/>
          <w:szCs w:val="24"/>
        </w:rPr>
        <w:t>lerën dhe kushtet kryesore financiare të koncesionit të dhënë, duke përfshirë:</w:t>
      </w:r>
    </w:p>
    <w:p w14:paraId="3E5E1650"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 </w:t>
      </w:r>
      <w:r w:rsidR="000E01EE" w:rsidRPr="00E757B2">
        <w:rPr>
          <w:rFonts w:ascii="Garamond" w:hAnsi="Garamond" w:cs="Times New Roman"/>
          <w:color w:val="000000" w:themeColor="text1"/>
          <w:sz w:val="24"/>
          <w:szCs w:val="24"/>
        </w:rPr>
        <w:t>çmimet e tarifave dhe gjobat, nëse ka;</w:t>
      </w:r>
    </w:p>
    <w:p w14:paraId="3A8AD640" w14:textId="6CBAA74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çmimet dhe pagesa</w:t>
      </w:r>
      <w:r w:rsidR="004D1F5C">
        <w:rPr>
          <w:rFonts w:ascii="Garamond" w:hAnsi="Garamond" w:cs="Times New Roman"/>
          <w:color w:val="000000" w:themeColor="text1"/>
          <w:sz w:val="24"/>
          <w:szCs w:val="24"/>
        </w:rPr>
        <w:t>t, nëse ka;</w:t>
      </w:r>
    </w:p>
    <w:p w14:paraId="7B4A3142"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gj) i</w:t>
      </w:r>
      <w:r w:rsidR="000E01EE" w:rsidRPr="00E757B2">
        <w:rPr>
          <w:rFonts w:ascii="Garamond" w:hAnsi="Garamond" w:cs="Times New Roman"/>
          <w:color w:val="000000" w:themeColor="text1"/>
          <w:sz w:val="24"/>
          <w:szCs w:val="24"/>
        </w:rPr>
        <w:t>nformacionin nëse koncesioni ka lidhje me një projekt dhe/ose program të financuar nga fondet e Bashkimit Evropian;</w:t>
      </w:r>
    </w:p>
    <w:p w14:paraId="6850B346" w14:textId="4FB04182" w:rsidR="000E01EE" w:rsidRPr="00E757B2" w:rsidRDefault="001B753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h) </w:t>
      </w:r>
      <w:r w:rsidR="000D07C5" w:rsidRPr="00E757B2">
        <w:rPr>
          <w:rFonts w:ascii="Garamond" w:hAnsi="Garamond" w:cs="Times New Roman"/>
          <w:color w:val="000000" w:themeColor="text1"/>
          <w:sz w:val="24"/>
          <w:szCs w:val="24"/>
        </w:rPr>
        <w:t>e</w:t>
      </w:r>
      <w:r w:rsidR="000E01EE" w:rsidRPr="00E757B2">
        <w:rPr>
          <w:rFonts w:ascii="Garamond" w:hAnsi="Garamond" w:cs="Times New Roman"/>
          <w:color w:val="000000" w:themeColor="text1"/>
          <w:sz w:val="24"/>
          <w:szCs w:val="24"/>
        </w:rPr>
        <w:t xml:space="preserve">mrin dhe adresën e organit përgjegjës për shqyrtimin e ankesave dhe, kur është e përshtatshme, procedurat e ndërmjetësimit. Informacion </w:t>
      </w:r>
      <w:r w:rsidR="0011383D" w:rsidRPr="00E757B2">
        <w:rPr>
          <w:rFonts w:ascii="Garamond" w:hAnsi="Garamond" w:cs="Times New Roman"/>
          <w:color w:val="000000" w:themeColor="text1"/>
          <w:sz w:val="24"/>
          <w:szCs w:val="24"/>
        </w:rPr>
        <w:t>të</w:t>
      </w:r>
      <w:r w:rsidR="000E01EE" w:rsidRPr="00E757B2">
        <w:rPr>
          <w:rFonts w:ascii="Garamond" w:hAnsi="Garamond" w:cs="Times New Roman"/>
          <w:color w:val="000000" w:themeColor="text1"/>
          <w:sz w:val="24"/>
          <w:szCs w:val="24"/>
        </w:rPr>
        <w:t xml:space="preserve"> saktë në lidhje me afatin e fundit për procedurat e shqyrtimit ose, nëse është e nevojshme, emrin, adresën, numrin e telefonit dhe </w:t>
      </w:r>
      <w:r w:rsidR="004D1F5C">
        <w:rPr>
          <w:rFonts w:ascii="Garamond" w:hAnsi="Garamond" w:cs="Times New Roman"/>
          <w:i/>
          <w:color w:val="000000" w:themeColor="text1"/>
          <w:sz w:val="24"/>
          <w:szCs w:val="24"/>
        </w:rPr>
        <w:t>e</w:t>
      </w:r>
      <w:r w:rsidR="000E01EE" w:rsidRPr="00E757B2">
        <w:rPr>
          <w:rFonts w:ascii="Garamond" w:hAnsi="Garamond" w:cs="Times New Roman"/>
          <w:i/>
          <w:color w:val="000000" w:themeColor="text1"/>
          <w:sz w:val="24"/>
          <w:szCs w:val="24"/>
        </w:rPr>
        <w:t>mail</w:t>
      </w:r>
      <w:r w:rsidR="000E01EE" w:rsidRPr="00E757B2">
        <w:rPr>
          <w:rFonts w:ascii="Garamond" w:hAnsi="Garamond" w:cs="Times New Roman"/>
          <w:color w:val="000000" w:themeColor="text1"/>
          <w:sz w:val="24"/>
          <w:szCs w:val="24"/>
        </w:rPr>
        <w:t>-it të shërbimit nga i cili mund të merret ky informacion;</w:t>
      </w:r>
    </w:p>
    <w:p w14:paraId="7AFA7FD5"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 d</w:t>
      </w:r>
      <w:r w:rsidR="000E01EE" w:rsidRPr="00E757B2">
        <w:rPr>
          <w:rFonts w:ascii="Garamond" w:hAnsi="Garamond" w:cs="Times New Roman"/>
          <w:color w:val="000000" w:themeColor="text1"/>
          <w:sz w:val="24"/>
          <w:szCs w:val="24"/>
        </w:rPr>
        <w:t>atën e shpërndarjes së këtij njoftimi;</w:t>
      </w:r>
    </w:p>
    <w:p w14:paraId="770714CC"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j) m</w:t>
      </w:r>
      <w:r w:rsidR="000E01EE" w:rsidRPr="00E757B2">
        <w:rPr>
          <w:rFonts w:ascii="Garamond" w:hAnsi="Garamond" w:cs="Times New Roman"/>
          <w:color w:val="000000" w:themeColor="text1"/>
          <w:sz w:val="24"/>
          <w:szCs w:val="24"/>
        </w:rPr>
        <w:t>etodën e përdorur për përllogaritjen e vlerës së koncesionit, nëse nuk është specifikuar në dokumentet e tenderit, sipas parashikimeve të nenit 25 të këtij ligji;</w:t>
      </w:r>
    </w:p>
    <w:p w14:paraId="65B5D137"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 ç</w:t>
      </w:r>
      <w:r w:rsidR="000E01EE" w:rsidRPr="00E757B2">
        <w:rPr>
          <w:rFonts w:ascii="Garamond" w:hAnsi="Garamond" w:cs="Times New Roman"/>
          <w:color w:val="000000" w:themeColor="text1"/>
          <w:sz w:val="24"/>
          <w:szCs w:val="24"/>
        </w:rPr>
        <w:t>do informacion tjetër të nevojshëm.</w:t>
      </w:r>
    </w:p>
    <w:p w14:paraId="0B28159B" w14:textId="77777777" w:rsidR="000E01EE" w:rsidRPr="00E757B2" w:rsidRDefault="000D07C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Njoftimi i fituesit publikohet sipas një formulari standard, pjesë e dokumenteve të koncesionit.</w:t>
      </w:r>
    </w:p>
    <w:p w14:paraId="1BD1A0F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41A0744"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KREU IV</w:t>
      </w:r>
    </w:p>
    <w:p w14:paraId="05959120"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PROCEDURAT STANDARDE DHE RREGULLA TË APLIKUESHME PËR DHËNIEN E PARTNERITETIT PUBLIK PRIVAT</w:t>
      </w:r>
    </w:p>
    <w:p w14:paraId="55ED2ECC"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07292E7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49</w:t>
      </w:r>
    </w:p>
    <w:p w14:paraId="51E8435A"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Procedurat standarde të dhënies së partneritetit publik privat</w:t>
      </w:r>
    </w:p>
    <w:p w14:paraId="566CAF68"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22920F3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Autoriteti ose enti kontraktues për dhënien e kontratave të partneritetit publik privat zbaton procedurat e mëposhtme:</w:t>
      </w:r>
    </w:p>
    <w:p w14:paraId="585E49B5"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p</w:t>
      </w:r>
      <w:r w:rsidR="000E01EE" w:rsidRPr="00E757B2">
        <w:rPr>
          <w:rFonts w:ascii="Garamond" w:hAnsi="Garamond" w:cs="Times New Roman"/>
          <w:color w:val="000000" w:themeColor="text1"/>
          <w:sz w:val="24"/>
          <w:szCs w:val="24"/>
        </w:rPr>
        <w:t>rocedurë</w:t>
      </w:r>
      <w:r w:rsidR="001B7535"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 xml:space="preserve"> e hapur;</w:t>
      </w:r>
    </w:p>
    <w:p w14:paraId="343E7C59"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p</w:t>
      </w:r>
      <w:r w:rsidR="000E01EE" w:rsidRPr="00E757B2">
        <w:rPr>
          <w:rFonts w:ascii="Garamond" w:hAnsi="Garamond" w:cs="Times New Roman"/>
          <w:color w:val="000000" w:themeColor="text1"/>
          <w:sz w:val="24"/>
          <w:szCs w:val="24"/>
        </w:rPr>
        <w:t>rocedurë</w:t>
      </w:r>
      <w:r w:rsidR="001B7535"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 xml:space="preserve"> e kufizuar;</w:t>
      </w:r>
    </w:p>
    <w:p w14:paraId="5C3522C5"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p</w:t>
      </w:r>
      <w:r w:rsidR="000E01EE" w:rsidRPr="00E757B2">
        <w:rPr>
          <w:rFonts w:ascii="Garamond" w:hAnsi="Garamond" w:cs="Times New Roman"/>
          <w:color w:val="000000" w:themeColor="text1"/>
          <w:sz w:val="24"/>
          <w:szCs w:val="24"/>
        </w:rPr>
        <w:t>rocedurë</w:t>
      </w:r>
      <w:r w:rsidR="001B7535"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 xml:space="preserve"> konkurruese me </w:t>
      </w:r>
      <w:r w:rsidR="0057078E" w:rsidRPr="00E757B2">
        <w:rPr>
          <w:rFonts w:ascii="Garamond" w:hAnsi="Garamond" w:cs="Times New Roman"/>
          <w:color w:val="000000" w:themeColor="text1"/>
          <w:sz w:val="24"/>
          <w:szCs w:val="24"/>
        </w:rPr>
        <w:t>negoci</w:t>
      </w:r>
      <w:r w:rsidR="000E01EE" w:rsidRPr="00E757B2">
        <w:rPr>
          <w:rFonts w:ascii="Garamond" w:hAnsi="Garamond" w:cs="Times New Roman"/>
          <w:color w:val="000000" w:themeColor="text1"/>
          <w:sz w:val="24"/>
          <w:szCs w:val="24"/>
        </w:rPr>
        <w:t>m, e cila përdoret vetëm në rastin e kontratave të sektorit klasik;</w:t>
      </w:r>
    </w:p>
    <w:p w14:paraId="7D83C17F"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p</w:t>
      </w:r>
      <w:r w:rsidR="000E01EE" w:rsidRPr="00E757B2">
        <w:rPr>
          <w:rFonts w:ascii="Garamond" w:hAnsi="Garamond" w:cs="Times New Roman"/>
          <w:color w:val="000000" w:themeColor="text1"/>
          <w:sz w:val="24"/>
          <w:szCs w:val="24"/>
        </w:rPr>
        <w:t>rocedurë</w:t>
      </w:r>
      <w:r w:rsidR="007806B7"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 xml:space="preserve"> me </w:t>
      </w:r>
      <w:r w:rsidR="0057078E" w:rsidRPr="00E757B2">
        <w:rPr>
          <w:rFonts w:ascii="Garamond" w:hAnsi="Garamond" w:cs="Times New Roman"/>
          <w:color w:val="000000" w:themeColor="text1"/>
          <w:sz w:val="24"/>
          <w:szCs w:val="24"/>
        </w:rPr>
        <w:t>negoci</w:t>
      </w:r>
      <w:r w:rsidR="000E01EE" w:rsidRPr="00E757B2">
        <w:rPr>
          <w:rFonts w:ascii="Garamond" w:hAnsi="Garamond" w:cs="Times New Roman"/>
          <w:color w:val="000000" w:themeColor="text1"/>
          <w:sz w:val="24"/>
          <w:szCs w:val="24"/>
        </w:rPr>
        <w:t>m me shpallje paraprake të njoftimit, e cila përdoret vetëm në rastin e kontratave sektoriale.</w:t>
      </w:r>
      <w:r w:rsidR="007806B7" w:rsidRPr="00E757B2">
        <w:rPr>
          <w:rFonts w:ascii="Garamond" w:hAnsi="Garamond" w:cs="Times New Roman"/>
          <w:color w:val="000000" w:themeColor="text1"/>
          <w:sz w:val="24"/>
          <w:szCs w:val="24"/>
        </w:rPr>
        <w:t xml:space="preserve"> </w:t>
      </w:r>
    </w:p>
    <w:p w14:paraId="046F93E0"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50</w:t>
      </w:r>
    </w:p>
    <w:p w14:paraId="4788B045"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Rregulla të zbatueshme për procedurat e partneritetit publik privat</w:t>
      </w:r>
    </w:p>
    <w:p w14:paraId="61DF343C"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4AE3D496" w14:textId="77777777" w:rsidR="0011383D"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Për dhënien e kontratës së partneritetit publik privat, sipas procedurave të përcaktuara në nenin 49 të këtij ligji, do të zbatohen rregullat e parashikuara në ligjin e prokurimit publik, për aq sa nuk bie në kundërshtim me këtë ligj.</w:t>
      </w:r>
    </w:p>
    <w:p w14:paraId="215F62D3" w14:textId="77777777" w:rsidR="0011383D" w:rsidRPr="00E757B2" w:rsidRDefault="0011383D" w:rsidP="002D3692">
      <w:pPr>
        <w:spacing w:after="0" w:line="240" w:lineRule="auto"/>
        <w:ind w:firstLine="284"/>
        <w:jc w:val="center"/>
        <w:rPr>
          <w:rFonts w:ascii="Garamond" w:hAnsi="Garamond" w:cs="Times New Roman"/>
          <w:color w:val="000000" w:themeColor="text1"/>
          <w:sz w:val="24"/>
          <w:szCs w:val="24"/>
        </w:rPr>
      </w:pPr>
    </w:p>
    <w:p w14:paraId="635EF471"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KREU V</w:t>
      </w:r>
    </w:p>
    <w:p w14:paraId="4CD4914E"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KONTRATA E KONCESIONIT/PARTNERITETIT PUBLIK PRIVAT</w:t>
      </w:r>
    </w:p>
    <w:p w14:paraId="11D739A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08CB66C1"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51</w:t>
      </w:r>
    </w:p>
    <w:p w14:paraId="7E31BE98"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Lidhja e kontratës</w:t>
      </w:r>
    </w:p>
    <w:p w14:paraId="5569CE2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71738B0"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Autoriteti ose enti kontraktues nuk mund të lidhë kontratën para përfundimit të periudhës së pritjes së ankesave, të përcaktuar në nenin 67 të këtij ligji.</w:t>
      </w:r>
    </w:p>
    <w:p w14:paraId="30E69573"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Autoriteti ose enti kontraktues fton ofertuesin më të suksesshëm për lidhjen e kontratës, pas botimit të njoftimit të fituesit.</w:t>
      </w:r>
    </w:p>
    <w:p w14:paraId="19002AA1"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 xml:space="preserve">Pas </w:t>
      </w:r>
      <w:r w:rsidR="00FD5C02" w:rsidRPr="00E757B2">
        <w:rPr>
          <w:rFonts w:ascii="Garamond" w:hAnsi="Garamond" w:cs="Times New Roman"/>
          <w:color w:val="000000" w:themeColor="text1"/>
          <w:sz w:val="24"/>
          <w:szCs w:val="24"/>
        </w:rPr>
        <w:t>negoci</w:t>
      </w:r>
      <w:r w:rsidR="000E01EE" w:rsidRPr="00E757B2">
        <w:rPr>
          <w:rFonts w:ascii="Garamond" w:hAnsi="Garamond" w:cs="Times New Roman"/>
          <w:color w:val="000000" w:themeColor="text1"/>
          <w:sz w:val="24"/>
          <w:szCs w:val="24"/>
        </w:rPr>
        <w:t>mit të kontratës me operatorin e shpallur fitues dhe përpara nënshkrimit të saj, autoriteti ose enti kontraktues e dërgon projektkontratën për vlerësim përfundimtar, në përputhje me kr</w:t>
      </w:r>
      <w:r w:rsidR="007806B7" w:rsidRPr="00E757B2">
        <w:rPr>
          <w:rFonts w:ascii="Garamond" w:hAnsi="Garamond" w:cs="Times New Roman"/>
          <w:color w:val="000000" w:themeColor="text1"/>
          <w:sz w:val="24"/>
          <w:szCs w:val="24"/>
        </w:rPr>
        <w:t>iteret e përcaktuara në pikën 2 të nenit 11</w:t>
      </w:r>
      <w:r w:rsidR="000E01EE" w:rsidRPr="00E757B2">
        <w:rPr>
          <w:rFonts w:ascii="Garamond" w:hAnsi="Garamond" w:cs="Times New Roman"/>
          <w:color w:val="000000" w:themeColor="text1"/>
          <w:sz w:val="24"/>
          <w:szCs w:val="24"/>
        </w:rPr>
        <w:t xml:space="preserve"> të këtij ligji, në ministrinë përgjegjëse për financat.</w:t>
      </w:r>
    </w:p>
    <w:p w14:paraId="367031C3"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Kontrata hartohet me shkrim dhe nënshkruhet nga personi i autorizuar i autoritetit ose entit kontraktues dhe ofertuesi i zgjedhur si më i suksesshmi.</w:t>
      </w:r>
    </w:p>
    <w:p w14:paraId="0931E66D"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 xml:space="preserve">Kur ofertuesi i përzgjedhur si më i suksesshmi, në përputhje me dokumentet e tenderit, me vendimin për dhënien e kontratës fituese dhe me ofertën e zgjedhur, është i detyruar të krijojë një subjekt për qëllime të veçanta (SPV), të rregulluar sipas legjislacionit në fuqi, si një shoqëri me seli në Republikën e Shqipërisë me shënimin para emrit “Shoqëri koncesionare” dhe me objekt “Objektin e kontratës së koncesionit/partneritetit publik privat”, </w:t>
      </w:r>
      <w:r w:rsidR="007806B7" w:rsidRPr="00E757B2">
        <w:rPr>
          <w:rFonts w:ascii="Garamond" w:hAnsi="Garamond" w:cs="Times New Roman"/>
          <w:color w:val="000000" w:themeColor="text1"/>
          <w:sz w:val="24"/>
          <w:szCs w:val="24"/>
        </w:rPr>
        <w:t xml:space="preserve">dhe </w:t>
      </w:r>
      <w:r w:rsidR="000E01EE" w:rsidRPr="00E757B2">
        <w:rPr>
          <w:rFonts w:ascii="Garamond" w:hAnsi="Garamond" w:cs="Times New Roman"/>
          <w:color w:val="000000" w:themeColor="text1"/>
          <w:sz w:val="24"/>
          <w:szCs w:val="24"/>
        </w:rPr>
        <w:t>autoriteti ose enti kontraktues nënshkruan kontratën me personin e autorizuar të shoqërisë në fjalë.</w:t>
      </w:r>
    </w:p>
    <w:p w14:paraId="5A619C3E"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 xml:space="preserve">Autoriteti ose enti kontraktues, me përfundimin e regjistrimit, sipas legjislacionit në fuqi, të shoqërisë koncesionare/partnerit privat, dërgon një kopje të kontratës e të ekstraktit të regjistrimit në </w:t>
      </w:r>
      <w:r w:rsidR="00915DCA" w:rsidRPr="00E757B2">
        <w:rPr>
          <w:rFonts w:ascii="Garamond" w:hAnsi="Garamond" w:cs="Times New Roman"/>
          <w:color w:val="000000" w:themeColor="text1"/>
          <w:sz w:val="24"/>
          <w:szCs w:val="24"/>
        </w:rPr>
        <w:t>m</w:t>
      </w:r>
      <w:r w:rsidR="000E01EE" w:rsidRPr="00E757B2">
        <w:rPr>
          <w:rFonts w:ascii="Garamond" w:hAnsi="Garamond" w:cs="Times New Roman"/>
          <w:color w:val="000000" w:themeColor="text1"/>
          <w:sz w:val="24"/>
          <w:szCs w:val="24"/>
        </w:rPr>
        <w:t xml:space="preserve">inistrinë </w:t>
      </w:r>
      <w:r w:rsidR="00915DCA" w:rsidRPr="00E757B2">
        <w:rPr>
          <w:rFonts w:ascii="Garamond" w:hAnsi="Garamond" w:cs="Times New Roman"/>
          <w:color w:val="000000" w:themeColor="text1"/>
          <w:sz w:val="24"/>
          <w:szCs w:val="24"/>
        </w:rPr>
        <w:t>përgjegjëse për financat</w:t>
      </w:r>
      <w:r w:rsidR="000E01EE" w:rsidRPr="00E757B2">
        <w:rPr>
          <w:rFonts w:ascii="Garamond" w:hAnsi="Garamond" w:cs="Times New Roman"/>
          <w:color w:val="000000" w:themeColor="text1"/>
          <w:sz w:val="24"/>
          <w:szCs w:val="24"/>
        </w:rPr>
        <w:t>.</w:t>
      </w:r>
    </w:p>
    <w:p w14:paraId="6DB3DCA6"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7. </w:t>
      </w:r>
      <w:r w:rsidR="000E01EE" w:rsidRPr="00E757B2">
        <w:rPr>
          <w:rFonts w:ascii="Garamond" w:hAnsi="Garamond" w:cs="Times New Roman"/>
          <w:color w:val="000000" w:themeColor="text1"/>
          <w:sz w:val="24"/>
          <w:szCs w:val="24"/>
        </w:rPr>
        <w:t>Nëse ofertuesi i zgjedhur si më i suksesshmi tërhiqet nga lidhja e kontratës ose nuk dorëzon në kohën e përcaktuar garancitë dhe instrumentet e përshkruara në nenin 53 të këtij ligji, atëherë autoriteti ose enti kontraktues mund të marrë një vendim të ri për dhënien e kontratës dhe t’i ofrojë nënshkrimin e kontratës ofertuesit të radhës, që është renditur si më i miri.</w:t>
      </w:r>
    </w:p>
    <w:p w14:paraId="2824BC40" w14:textId="77777777" w:rsidR="000E01EE" w:rsidRPr="00E757B2" w:rsidRDefault="004A045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8. </w:t>
      </w:r>
      <w:r w:rsidR="000E01EE" w:rsidRPr="00E757B2">
        <w:rPr>
          <w:rFonts w:ascii="Garamond" w:hAnsi="Garamond" w:cs="Times New Roman"/>
          <w:color w:val="000000" w:themeColor="text1"/>
          <w:sz w:val="24"/>
          <w:szCs w:val="24"/>
        </w:rPr>
        <w:t>Për ministritë dhe institucionet publike në varësi ose nën përgjegjësinë e tyre, që financohen nga buxheti i shtetit, që lidhin kontrata partneriteti publik privat, që kanë mbështetje financiare dhe mbartin risqe fiskale, pas marrjes së dakordësisë nga ministri përgjegjës për financat, Këshilli i Ministrave miraton dhënien e mbështetjes financiare ose të risqeve fiskale. Llojet dhe natyra e mbështetjes financiare dhe/ose risqet fiskale të mundshme përcaktohen me vendim të Këshillit të Ministrave.</w:t>
      </w:r>
    </w:p>
    <w:p w14:paraId="2456A51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B09166A"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52</w:t>
      </w:r>
    </w:p>
    <w:p w14:paraId="16ADA1EC"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Përmbajtja e kontratës</w:t>
      </w:r>
    </w:p>
    <w:p w14:paraId="1E29A42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E8BB966"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Kontrata përcakton të drejtat dhe detyrimet e autoritetit ose të entit kontraktues dhe koncesionarit/partnerit privat në përputhje me dispozitat e këtij ligji dhe legjislacionin në fuqi të Republikës së Shqipërisë.</w:t>
      </w:r>
    </w:p>
    <w:p w14:paraId="1154453D"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Çështjet e kontratës, që nuk rregullohen me këtë ligj, janë subjekt i dispozitave të Kodit Civil.</w:t>
      </w:r>
    </w:p>
    <w:p w14:paraId="68F0FE10"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 xml:space="preserve">Kontrata duhet të hartohet në përputhje me dokumentet e tenderit, </w:t>
      </w:r>
      <w:r w:rsidR="00863AF9" w:rsidRPr="00E757B2">
        <w:rPr>
          <w:rFonts w:ascii="Garamond" w:hAnsi="Garamond" w:cs="Times New Roman"/>
          <w:color w:val="000000" w:themeColor="text1"/>
          <w:sz w:val="24"/>
          <w:szCs w:val="24"/>
        </w:rPr>
        <w:t xml:space="preserve">me </w:t>
      </w:r>
      <w:r w:rsidR="000E01EE" w:rsidRPr="00E757B2">
        <w:rPr>
          <w:rFonts w:ascii="Garamond" w:hAnsi="Garamond" w:cs="Times New Roman"/>
          <w:color w:val="000000" w:themeColor="text1"/>
          <w:sz w:val="24"/>
          <w:szCs w:val="24"/>
        </w:rPr>
        <w:t>studimin e fizibilitetit, me informacionet që gjenden në njoftimin e kontratës, me ofertën e zgjedhur dhe me njoftimin e fituesit.</w:t>
      </w:r>
    </w:p>
    <w:p w14:paraId="004FA1E7"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Pa rënë ndesh me legjislacionin në fuqi për menaxhimin e sistemit buxhetor, përveç kontratës, autoriteti kontraktues ose enti kontraktues ka të drejtën, në përputhje me këtë ligj, me dokumentet e tenderit, me vendimin e dhënies së koncesionit/partneritetit publik privat dhe me ofertën e zgjedhur, të lidhë marrëveshje dhe/ose kontrata shtesë dhe/ose të kushtëzuara, rast, në të cilin autoriteti ose enti kontraktues kërkon miratimin paraprak nga ministria përgjegjëse për financat.</w:t>
      </w:r>
    </w:p>
    <w:p w14:paraId="0A02D896"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Marrëveshja dhe/ose kontrata</w:t>
      </w:r>
      <w:r w:rsidR="00863AF9" w:rsidRPr="00E757B2">
        <w:rPr>
          <w:rFonts w:ascii="Garamond" w:hAnsi="Garamond" w:cs="Times New Roman"/>
          <w:color w:val="000000" w:themeColor="text1"/>
          <w:sz w:val="24"/>
          <w:szCs w:val="24"/>
        </w:rPr>
        <w:t>t</w:t>
      </w:r>
      <w:r w:rsidR="000E01EE" w:rsidRPr="00E757B2">
        <w:rPr>
          <w:rFonts w:ascii="Garamond" w:hAnsi="Garamond" w:cs="Times New Roman"/>
          <w:color w:val="000000" w:themeColor="text1"/>
          <w:sz w:val="24"/>
          <w:szCs w:val="24"/>
        </w:rPr>
        <w:t xml:space="preserve"> shtesë dhe/ose të kushtëzuara, të përshkruara në pikën 4 të këtij neni, quhen në veçanti ato, të cilat janë të lidhura për të siguruar financimin e nevojshëm për zbatimin e kontratës.</w:t>
      </w:r>
    </w:p>
    <w:p w14:paraId="2A3BB8C7"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Kontrata e koncesionit/partneritetit publik privat rregullon, në përputhje me dokumentacionin e tenderit, me vendimin e dhënies së koncesionit dhe me ofertën e shpallur fituese, të gjitha çështjet që janë të lidhura me pronësinë e pasurive të paluajtshme dhe pasurive të tjera, që janë objekt i kontratës së koncesionit/partneritetit publik privat dhe pronësinë e pasurive të paluajtshme ose jo, që lindin në bazë të kontratës së koncesionit/partneritetit publik privat për kohëzgjatjen e saj apo pas përfundimit të saj.</w:t>
      </w:r>
    </w:p>
    <w:p w14:paraId="502C7AA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56B5258"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53</w:t>
      </w:r>
    </w:p>
    <w:p w14:paraId="1142D622"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Garancitë e realizimit të kontratës</w:t>
      </w:r>
    </w:p>
    <w:p w14:paraId="4C1D99DD" w14:textId="77777777" w:rsidR="000E01EE" w:rsidRPr="00E757B2" w:rsidRDefault="000E01EE" w:rsidP="002D3692">
      <w:pPr>
        <w:spacing w:after="0" w:line="240" w:lineRule="auto"/>
        <w:ind w:firstLine="284"/>
        <w:jc w:val="both"/>
        <w:rPr>
          <w:rFonts w:ascii="Garamond" w:hAnsi="Garamond" w:cs="Times New Roman"/>
          <w:b/>
          <w:color w:val="000000" w:themeColor="text1"/>
          <w:sz w:val="24"/>
          <w:szCs w:val="24"/>
        </w:rPr>
      </w:pPr>
    </w:p>
    <w:p w14:paraId="26A48003"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Para nënshkrimit të kontratës, autoriteti kontraktues ose enti kontraktues merr nga ofertuesi më i suksesshëm garancitë e kërkuara për realizimin e kontratës dhe instrumentet e sigurisë si kompensim për dëmin që mund të shkaktohet si pasojë e dështimit të koncesionarëve/partnerëve privatë për të përmbushur detyrimet e parashikuara në kontratë (premtim për pagesë, garanci bankare, garanci të korporatës, kambiale etj.).</w:t>
      </w:r>
    </w:p>
    <w:p w14:paraId="0FCFCCEF"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Sigurimi i kontratës së koncesionit/partneritetit publik privat të shërbimeve publike do të jetë deri në 5% të vlerës së kontratës. Kjo masë mund të reduktohet në mënyrë përpjesëtimore gjatë ekzekutimit të kontratës, por në asnjë rast gjatë kohëzgjatjes së saj nuk mund të jetë më e vogël se 25% e vlerës fillestare të sigurimit.</w:t>
      </w:r>
    </w:p>
    <w:p w14:paraId="31F59822"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Sigurimi i kontratës së koncesionit/partneritetit publik privat të punëve publike do të jetë deri në 5% të vlerës së ndërtimit, ndërsa pas periudhës së ndërtimit do të jetë deri në 5% të vlerës së mbetur të kontratës.</w:t>
      </w:r>
    </w:p>
    <w:p w14:paraId="35DA29BE"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Garancitë dhe instrumentet e sigurisë depozitohen pranë autoritetit ose entit kontraktues, i cili është i detyruar t’i ruajë ato gjatë gj</w:t>
      </w:r>
      <w:r w:rsidRPr="00E757B2">
        <w:rPr>
          <w:rFonts w:ascii="Garamond" w:hAnsi="Garamond" w:cs="Times New Roman"/>
          <w:color w:val="000000" w:themeColor="text1"/>
          <w:sz w:val="24"/>
          <w:szCs w:val="24"/>
        </w:rPr>
        <w:t>ithë kohëzgjatjes së kontratës.</w:t>
      </w:r>
    </w:p>
    <w:p w14:paraId="0D802C41"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Autoriteti ose enti kontraktues verifikon rregullisht vlefshmërinë e instrumenteve të sigurisë.</w:t>
      </w:r>
    </w:p>
    <w:p w14:paraId="092E5F02"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Në bazë të pikës 3 të këtij neni dhe në rast se instrumenti i mbyllur i sigurisë nuk është i vlefshëm, autoriteti ose enti kontraktues i kërkon pa vonesë koncesionarit/partnerit privat të paraqesë një instrument të ri të sigurisë.</w:t>
      </w:r>
    </w:p>
    <w:p w14:paraId="52FF7557"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D456B7D"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54</w:t>
      </w:r>
    </w:p>
    <w:p w14:paraId="5B396EEE"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Tarifa e koncesionit</w:t>
      </w:r>
    </w:p>
    <w:p w14:paraId="4561761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6FCB4E3"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Nëse është përcaktuar në studimin e fizibilitetit, autoriteti/enti kontraktor do të përcaktojë në dokumentet e tenderit që koncesionari/partneri privat duhet të paguajë një kompensim monetar për koncesionin/partneritetin publik privat.</w:t>
      </w:r>
    </w:p>
    <w:p w14:paraId="67B4427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Shuma dhe mënyra e kompensimit monetar duhet të specifikohet konkretisht në dokumentet e tenderit dhe në kontratën e koncesionit/partneritetit publik privat. </w:t>
      </w:r>
    </w:p>
    <w:p w14:paraId="09663BC1"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Tarifa e koncesionit nuk do të aplikohet për koncesionet/partneritetet publike private, që aplikohen në fushën e shëndetësisë dhe në fushën e sportit.</w:t>
      </w:r>
    </w:p>
    <w:p w14:paraId="320F05E6"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Tarifa koncesionare paguhet në përputhje me rregullat e caktuara nga ministri përgjegjës për financat</w:t>
      </w:r>
      <w:r w:rsidR="00904846"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për arkëtimin e të ardhurave për llogari të buxhetit të shtetit.</w:t>
      </w:r>
    </w:p>
    <w:p w14:paraId="05621788"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 xml:space="preserve">Shuma dhe afatet e pagesës së tarifës së koncesionit/partneritetit publik privat përcaktohen në përpjesëtim me objektin e koncesionit/partneritetit publik privat, me vlerën e parashikuar të kontratës, </w:t>
      </w:r>
      <w:r w:rsidR="00904846" w:rsidRPr="00E757B2">
        <w:rPr>
          <w:rFonts w:ascii="Garamond" w:hAnsi="Garamond" w:cs="Times New Roman"/>
          <w:color w:val="000000" w:themeColor="text1"/>
          <w:sz w:val="24"/>
          <w:szCs w:val="24"/>
        </w:rPr>
        <w:t xml:space="preserve">me </w:t>
      </w:r>
      <w:r w:rsidR="000E01EE" w:rsidRPr="00E757B2">
        <w:rPr>
          <w:rFonts w:ascii="Garamond" w:hAnsi="Garamond" w:cs="Times New Roman"/>
          <w:color w:val="000000" w:themeColor="text1"/>
          <w:sz w:val="24"/>
          <w:szCs w:val="24"/>
        </w:rPr>
        <w:t>kohëzgjatjen e kontratës,</w:t>
      </w:r>
      <w:r w:rsidR="00904846" w:rsidRPr="00E757B2">
        <w:rPr>
          <w:rFonts w:ascii="Garamond" w:hAnsi="Garamond" w:cs="Times New Roman"/>
          <w:color w:val="000000" w:themeColor="text1"/>
          <w:sz w:val="24"/>
          <w:szCs w:val="24"/>
        </w:rPr>
        <w:t xml:space="preserve"> me</w:t>
      </w:r>
      <w:r w:rsidR="000E01EE" w:rsidRPr="00E757B2">
        <w:rPr>
          <w:rFonts w:ascii="Garamond" w:hAnsi="Garamond" w:cs="Times New Roman"/>
          <w:color w:val="000000" w:themeColor="text1"/>
          <w:sz w:val="24"/>
          <w:szCs w:val="24"/>
        </w:rPr>
        <w:t xml:space="preserve"> risqet dhe </w:t>
      </w:r>
      <w:r w:rsidR="00904846" w:rsidRPr="00E757B2">
        <w:rPr>
          <w:rFonts w:ascii="Garamond" w:hAnsi="Garamond" w:cs="Times New Roman"/>
          <w:color w:val="000000" w:themeColor="text1"/>
          <w:sz w:val="24"/>
          <w:szCs w:val="24"/>
        </w:rPr>
        <w:t xml:space="preserve">me </w:t>
      </w:r>
      <w:r w:rsidR="000E01EE" w:rsidRPr="00E757B2">
        <w:rPr>
          <w:rFonts w:ascii="Garamond" w:hAnsi="Garamond" w:cs="Times New Roman"/>
          <w:color w:val="000000" w:themeColor="text1"/>
          <w:sz w:val="24"/>
          <w:szCs w:val="24"/>
        </w:rPr>
        <w:t xml:space="preserve">kostot që koncesionari/partneri privat merr përsipër dhe </w:t>
      </w:r>
      <w:r w:rsidR="008E4244" w:rsidRPr="00E757B2">
        <w:rPr>
          <w:rFonts w:ascii="Garamond" w:hAnsi="Garamond" w:cs="Times New Roman"/>
          <w:color w:val="000000" w:themeColor="text1"/>
          <w:sz w:val="24"/>
          <w:szCs w:val="24"/>
        </w:rPr>
        <w:t xml:space="preserve">me </w:t>
      </w:r>
      <w:r w:rsidR="000E01EE" w:rsidRPr="00E757B2">
        <w:rPr>
          <w:rFonts w:ascii="Garamond" w:hAnsi="Garamond" w:cs="Times New Roman"/>
          <w:color w:val="000000" w:themeColor="text1"/>
          <w:sz w:val="24"/>
          <w:szCs w:val="24"/>
        </w:rPr>
        <w:t xml:space="preserve">fitimin e pritshëm, si dhe me nivelin e pajisjeve dhe </w:t>
      </w:r>
      <w:r w:rsidR="008E4244" w:rsidRPr="00E757B2">
        <w:rPr>
          <w:rFonts w:ascii="Garamond" w:hAnsi="Garamond" w:cs="Times New Roman"/>
          <w:color w:val="000000" w:themeColor="text1"/>
          <w:sz w:val="24"/>
          <w:szCs w:val="24"/>
        </w:rPr>
        <w:t xml:space="preserve">me </w:t>
      </w:r>
      <w:r w:rsidR="000E01EE" w:rsidRPr="00E757B2">
        <w:rPr>
          <w:rFonts w:ascii="Garamond" w:hAnsi="Garamond" w:cs="Times New Roman"/>
          <w:color w:val="000000" w:themeColor="text1"/>
          <w:sz w:val="24"/>
          <w:szCs w:val="24"/>
        </w:rPr>
        <w:t>vlerën e pronës së dhënë sipas kontratës nga autoriteti ose enti kontraktues.</w:t>
      </w:r>
    </w:p>
    <w:p w14:paraId="1F2D811E"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Kontrata e koncesionit mund të përcaktojë ndryshueshmërinë e shumës dhe/ose mënyrën e llogaritjes dhe të pagesës së tarifës së koncesionit brenda një periudhe kohore të caktuar, gjatë gjithë periudhës së kohëzgjatjes së kontratës së koncesionit, në përputhje me dokumentacionin e tenderit dhe me vendimin për dhënien e kontratës.</w:t>
      </w:r>
    </w:p>
    <w:p w14:paraId="2FBF2508"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Tarifat e koncesionit janë pjesë e të ardhurave të buxhetit të shtetit të Republikës së Shqipërisë dhe/ose të buxheteve të organeve të qeverisjes vendore.</w:t>
      </w:r>
    </w:p>
    <w:p w14:paraId="52FC622C"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Kur tarifa koncesionare nuk paguhet në përputhje me përcaktimet e këtij neni, autoriteti ose enti kontraktues njofton ministrin përgjegjës për financat, urdhri i të cilit, për arkëtimin e tarifës, përbën titull ekzekutiv për bankat e nivelit të dytë, ku ndodhet llogaria bankare e shoqërisë koncesionare, që vihet në ekzekutim nga përmbaruesi gjyqësor.</w:t>
      </w:r>
    </w:p>
    <w:p w14:paraId="374F09A7"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E321312"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55</w:t>
      </w:r>
    </w:p>
    <w:p w14:paraId="12129DB7"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Afati i kontratës së koncesionit/partneritetit publik privat</w:t>
      </w:r>
    </w:p>
    <w:p w14:paraId="6F3938D7"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1467543"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Kontrata e koncesionit/partneritetit publik privat lidhet për një periudhë të caktuar. Autoriteti ose enti kontraktues duhet të vlerësojë kohëzgjatjen e kontratës në bazë të punëve ose shërbimeve të kërkuara.</w:t>
      </w:r>
    </w:p>
    <w:p w14:paraId="070D4736"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Për koncesionet/partneritetet publike private që zgjasin më shumë</w:t>
      </w:r>
      <w:r w:rsidR="004E47E6" w:rsidRPr="00E757B2">
        <w:rPr>
          <w:rFonts w:ascii="Garamond" w:hAnsi="Garamond" w:cs="Times New Roman"/>
          <w:color w:val="000000" w:themeColor="text1"/>
          <w:sz w:val="24"/>
          <w:szCs w:val="24"/>
        </w:rPr>
        <w:t xml:space="preserve"> se </w:t>
      </w:r>
      <w:r w:rsidR="000E01EE" w:rsidRPr="00E757B2">
        <w:rPr>
          <w:rFonts w:ascii="Garamond" w:hAnsi="Garamond" w:cs="Times New Roman"/>
          <w:color w:val="000000" w:themeColor="text1"/>
          <w:sz w:val="24"/>
          <w:szCs w:val="24"/>
        </w:rPr>
        <w:t>5 (pesë) vjet, kohëzgjatja maksimale e kontratës nuk duhet të kalojë kohën e arsyeshme që një koncesionar/partner privat mund të pritet të marrë për të rikuperuar investimet e bëra në funksionimin e punëve ose shërbimeve</w:t>
      </w:r>
      <w:r w:rsidR="008E4244"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së bashku me një kthim mbi kapitalin e investuar, duke marrë parasysh investimet e nevojshme për të arritur objektivat specifikë kontraktualë. Investimet e marra në konsideratë për qëllimet e llogaritjes përfshijnë si investimet fillestare, ashtu edhe investimet gjatë jetës së koncesionit/partneritetit publik privat.</w:t>
      </w:r>
    </w:p>
    <w:p w14:paraId="23719B1E"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Autoriteti/enti kontraktues përcakton në studimin e fizibilitetit të koncesionit/partneritetit publik privat afatin e kontratës, në mënyrë të tillë që kohëzgjatja e saj nuk e kufizon konkurrencën.</w:t>
      </w:r>
    </w:p>
    <w:p w14:paraId="58588B3A"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Afati kohor, për të cilin është dhënë koncesioni/partneriteti publik privat, fillon nga data</w:t>
      </w:r>
      <w:r w:rsidRPr="00E757B2">
        <w:rPr>
          <w:rFonts w:ascii="Garamond" w:hAnsi="Garamond" w:cs="Times New Roman"/>
          <w:color w:val="000000" w:themeColor="text1"/>
          <w:sz w:val="24"/>
          <w:szCs w:val="24"/>
        </w:rPr>
        <w:t xml:space="preserve"> e hyrjes në fuqi të kontratës.</w:t>
      </w:r>
    </w:p>
    <w:p w14:paraId="57E2108A"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 xml:space="preserve">Afati kohor i kontratës mund të zgjatet, nëse është e nevojshme, për shkak të ndryshimeve të kontratës, siç parashikohet në nenet 56 </w:t>
      </w:r>
      <w:r w:rsidR="008E4244" w:rsidRPr="00E757B2">
        <w:rPr>
          <w:rFonts w:ascii="Garamond" w:hAnsi="Garamond" w:cs="Times New Roman"/>
          <w:color w:val="000000" w:themeColor="text1"/>
          <w:sz w:val="24"/>
          <w:szCs w:val="24"/>
        </w:rPr>
        <w:t>dh</w:t>
      </w:r>
      <w:r w:rsidR="000E01EE" w:rsidRPr="00E757B2">
        <w:rPr>
          <w:rFonts w:ascii="Garamond" w:hAnsi="Garamond" w:cs="Times New Roman"/>
          <w:color w:val="000000" w:themeColor="text1"/>
          <w:sz w:val="24"/>
          <w:szCs w:val="24"/>
        </w:rPr>
        <w:t>e 57 të këtij ligji.</w:t>
      </w:r>
    </w:p>
    <w:p w14:paraId="16A165D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8CC8534"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56</w:t>
      </w:r>
    </w:p>
    <w:p w14:paraId="691EFA26"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Ndryshimi i kontratës së koncesionit/partneritetit publik privat</w:t>
      </w:r>
    </w:p>
    <w:p w14:paraId="646F70F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24DF340"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Kontratat e parashikuara me këtë ligj mund të ndryshoh</w:t>
      </w:r>
      <w:r w:rsidR="004E47E6" w:rsidRPr="00E757B2">
        <w:rPr>
          <w:rFonts w:ascii="Garamond" w:hAnsi="Garamond" w:cs="Times New Roman"/>
          <w:color w:val="000000" w:themeColor="text1"/>
          <w:sz w:val="24"/>
          <w:szCs w:val="24"/>
        </w:rPr>
        <w:t>en jo më herët se 2</w:t>
      </w:r>
      <w:r w:rsidR="000E01EE" w:rsidRPr="00E757B2">
        <w:rPr>
          <w:rFonts w:ascii="Garamond" w:hAnsi="Garamond" w:cs="Times New Roman"/>
          <w:color w:val="000000" w:themeColor="text1"/>
          <w:sz w:val="24"/>
          <w:szCs w:val="24"/>
        </w:rPr>
        <w:t xml:space="preserve"> (dy) vjet nga fillimi i zbatimit të kontratës, duke i shtuar kontratës një aneks, me kusht që kjo mundësi të parashikohet në njoftimin e kontratës dhe në kontratë. Ndryshimet në kontratë bëhen nga autoriteti ose enti kontraktues dhe koncesionari/partneri privat.</w:t>
      </w:r>
    </w:p>
    <w:p w14:paraId="23799C38"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Ndryshimet në kontratë mund të bëhen me iniciativën e të dyja palëve kontraktuese, veçanërisht në rastet e mëposhtme:</w:t>
      </w:r>
    </w:p>
    <w:p w14:paraId="0B6ACC24"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k</w:t>
      </w:r>
      <w:r w:rsidR="000E01EE" w:rsidRPr="00E757B2">
        <w:rPr>
          <w:rFonts w:ascii="Garamond" w:hAnsi="Garamond" w:cs="Times New Roman"/>
          <w:color w:val="000000" w:themeColor="text1"/>
          <w:sz w:val="24"/>
          <w:szCs w:val="24"/>
        </w:rPr>
        <w:t>ur rrezikohet siguria kombëtare dhe mbrojtja e vendit, rrezikohet mjedisi, natyra dhe shëndeti i njerëzve;</w:t>
      </w:r>
    </w:p>
    <w:p w14:paraId="1B26329C"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k</w:t>
      </w:r>
      <w:r w:rsidR="000E01EE" w:rsidRPr="00E757B2">
        <w:rPr>
          <w:rFonts w:ascii="Garamond" w:hAnsi="Garamond" w:cs="Times New Roman"/>
          <w:color w:val="000000" w:themeColor="text1"/>
          <w:sz w:val="24"/>
          <w:szCs w:val="24"/>
        </w:rPr>
        <w:t>ur humbet objekti i kontratës ose kur ekziston një pamundësi objektive për përdorimin e tij, në rastin e forcës madhore;</w:t>
      </w:r>
    </w:p>
    <w:p w14:paraId="2370409F"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g</w:t>
      </w:r>
      <w:r w:rsidR="000E01EE" w:rsidRPr="00E757B2">
        <w:rPr>
          <w:rFonts w:ascii="Garamond" w:hAnsi="Garamond" w:cs="Times New Roman"/>
          <w:color w:val="000000" w:themeColor="text1"/>
          <w:sz w:val="24"/>
          <w:szCs w:val="24"/>
        </w:rPr>
        <w:t>jatë ndryshimit të kuadrit ligjor;</w:t>
      </w:r>
    </w:p>
    <w:p w14:paraId="246BE536"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n</w:t>
      </w:r>
      <w:r w:rsidR="000E01EE" w:rsidRPr="00E757B2">
        <w:rPr>
          <w:rFonts w:ascii="Garamond" w:hAnsi="Garamond" w:cs="Times New Roman"/>
          <w:color w:val="000000" w:themeColor="text1"/>
          <w:sz w:val="24"/>
          <w:szCs w:val="24"/>
        </w:rPr>
        <w:t>ë raste të tjera që çojnë në ndryshimin e situatës reale ose ligjore për përdorimin e objektit apo ofrimin e shërbimeve ose në realizimin e kontratës.</w:t>
      </w:r>
    </w:p>
    <w:p w14:paraId="5A450D1A" w14:textId="08204C74"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3.</w:t>
      </w:r>
      <w:r w:rsidR="004D1F5C">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Kontrata e koncesionit mund të ndryshohet pa procedurë të re të përcaktuar me këtë ligj, në rastet e mëposhtme:</w:t>
      </w:r>
    </w:p>
    <w:p w14:paraId="26147909"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k</w:t>
      </w:r>
      <w:r w:rsidR="000E01EE" w:rsidRPr="00E757B2">
        <w:rPr>
          <w:rFonts w:ascii="Garamond" w:hAnsi="Garamond" w:cs="Times New Roman"/>
          <w:color w:val="000000" w:themeColor="text1"/>
          <w:sz w:val="24"/>
          <w:szCs w:val="24"/>
        </w:rPr>
        <w:t>ur ndryshimet, pavarësisht nga vlera e tyre monetare, parashikohen në dokumentet fillestare të projektit në dispozita të sakta dhe të qarta rishikimi, të cilat mund të përfshijnë dispozita ose opsione të rishikimit të vlerës. Dispozita të tilla tregojnë qëllimin dhe natyrën e ndryshimeve ose mundësive potenciale dhe kushtet në të cilat ato mund të përdoren. Ato nuk parashikojnë ndryshime ose mundësi, që do të ndryshonin natyrën e përgjithshme të projektit;</w:t>
      </w:r>
    </w:p>
    <w:p w14:paraId="7A7418E5"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p</w:t>
      </w:r>
      <w:r w:rsidR="000E01EE" w:rsidRPr="00E757B2">
        <w:rPr>
          <w:rFonts w:ascii="Garamond" w:hAnsi="Garamond" w:cs="Times New Roman"/>
          <w:color w:val="000000" w:themeColor="text1"/>
          <w:sz w:val="24"/>
          <w:szCs w:val="24"/>
        </w:rPr>
        <w:t>ër punë ose shërbime shtesë nga koncesionari/partneri privat, që janë bërë të nevojshme dhe nuk përfshihen në projektin fillestar, kur ndryshimi i koncesionarit/partnerit privat:</w:t>
      </w:r>
    </w:p>
    <w:p w14:paraId="52EC0619"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 </w:t>
      </w:r>
      <w:r w:rsidR="000E01EE" w:rsidRPr="00E757B2">
        <w:rPr>
          <w:rFonts w:ascii="Garamond" w:hAnsi="Garamond" w:cs="Times New Roman"/>
          <w:color w:val="000000" w:themeColor="text1"/>
          <w:sz w:val="24"/>
          <w:szCs w:val="24"/>
        </w:rPr>
        <w:t>nuk mund të bëhet për arsye ekonomike ose teknike, siç janë kërkesat që shkëmbehen ose ndërveprueshmëria me pajisjet, shërbimet ose instalimet ekzistuese të prokuruara sipas projektit origjinal;</w:t>
      </w:r>
    </w:p>
    <w:p w14:paraId="43B2BF21" w14:textId="37CDF5AA"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do të shkaktonte vështirësi të mëdha ose një rritje të konsiderueshme të kostove për autoritetin ko</w:t>
      </w:r>
      <w:r w:rsidR="004D1F5C">
        <w:rPr>
          <w:rFonts w:ascii="Garamond" w:hAnsi="Garamond" w:cs="Times New Roman"/>
          <w:color w:val="000000" w:themeColor="text1"/>
          <w:sz w:val="24"/>
          <w:szCs w:val="24"/>
        </w:rPr>
        <w:t>ntraktues ose entin kontraktues;</w:t>
      </w:r>
    </w:p>
    <w:p w14:paraId="3B5B2ADB"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k</w:t>
      </w:r>
      <w:r w:rsidR="000E01EE" w:rsidRPr="00E757B2">
        <w:rPr>
          <w:rFonts w:ascii="Garamond" w:hAnsi="Garamond" w:cs="Times New Roman"/>
          <w:color w:val="000000" w:themeColor="text1"/>
          <w:sz w:val="24"/>
          <w:szCs w:val="24"/>
        </w:rPr>
        <w:t>ur plotësohen të gjitha kushtet e mëposhtme:</w:t>
      </w:r>
    </w:p>
    <w:p w14:paraId="3387F38B"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 n</w:t>
      </w:r>
      <w:r w:rsidR="000E01EE" w:rsidRPr="00E757B2">
        <w:rPr>
          <w:rFonts w:ascii="Garamond" w:hAnsi="Garamond" w:cs="Times New Roman"/>
          <w:color w:val="000000" w:themeColor="text1"/>
          <w:sz w:val="24"/>
          <w:szCs w:val="24"/>
        </w:rPr>
        <w:t>evoja për ndryshim ka lindur si rezultat i rrethanave të jashtme, që autoriteti kontraktues ose enti kontraktues nuk mund t’i parashikonte;</w:t>
      </w:r>
    </w:p>
    <w:p w14:paraId="0196E920"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ii. n</w:t>
      </w:r>
      <w:r w:rsidR="000E01EE" w:rsidRPr="00E757B2">
        <w:rPr>
          <w:rFonts w:ascii="Garamond" w:hAnsi="Garamond" w:cs="Times New Roman"/>
          <w:color w:val="000000" w:themeColor="text1"/>
          <w:sz w:val="24"/>
          <w:szCs w:val="24"/>
        </w:rPr>
        <w:t xml:space="preserve">dryshimi nuk ndryshon natyrën e përgjithshme të kontratës së koncesionit/partneritetit publik privat; </w:t>
      </w:r>
    </w:p>
    <w:p w14:paraId="157A2AFF" w14:textId="735641A3"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iii. n</w:t>
      </w:r>
      <w:r w:rsidR="000E01EE" w:rsidRPr="00E757B2">
        <w:rPr>
          <w:rFonts w:ascii="Garamond" w:hAnsi="Garamond" w:cs="Times New Roman"/>
          <w:color w:val="000000" w:themeColor="text1"/>
          <w:sz w:val="24"/>
          <w:szCs w:val="24"/>
        </w:rPr>
        <w:t>uk kalon 50% të vlerës së kontrat</w:t>
      </w:r>
      <w:r w:rsidR="004D1F5C">
        <w:rPr>
          <w:rFonts w:ascii="Garamond" w:hAnsi="Garamond" w:cs="Times New Roman"/>
          <w:color w:val="000000" w:themeColor="text1"/>
          <w:sz w:val="24"/>
          <w:szCs w:val="24"/>
        </w:rPr>
        <w:t>ës fillestare për çdo modifikim;</w:t>
      </w:r>
    </w:p>
    <w:p w14:paraId="0AD03F39"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k</w:t>
      </w:r>
      <w:r w:rsidR="000E01EE" w:rsidRPr="00E757B2">
        <w:rPr>
          <w:rFonts w:ascii="Garamond" w:hAnsi="Garamond" w:cs="Times New Roman"/>
          <w:color w:val="000000" w:themeColor="text1"/>
          <w:sz w:val="24"/>
          <w:szCs w:val="24"/>
        </w:rPr>
        <w:t>ur një koncesionar/partner i ri privat zëvendëson atë me të cilin autoriteti kontraktues ka lidhur fillimisht kontratën, si rezultat i:</w:t>
      </w:r>
    </w:p>
    <w:p w14:paraId="721630BA" w14:textId="4F2103F9"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w:t>
      </w:r>
      <w:r w:rsidR="00F64194">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një dispozite ose varianti të rishikimit të paverifikuar</w:t>
      </w:r>
      <w:r w:rsidR="002B2F03" w:rsidRPr="00E757B2">
        <w:rPr>
          <w:rFonts w:ascii="Garamond" w:hAnsi="Garamond" w:cs="Times New Roman"/>
          <w:color w:val="000000" w:themeColor="text1"/>
          <w:sz w:val="24"/>
          <w:szCs w:val="24"/>
        </w:rPr>
        <w:t>, në përputhje me shkronjën “a”</w:t>
      </w:r>
      <w:r w:rsidR="004D1F5C">
        <w:rPr>
          <w:rFonts w:ascii="Garamond" w:hAnsi="Garamond" w:cs="Times New Roman"/>
          <w:color w:val="000000" w:themeColor="text1"/>
          <w:sz w:val="24"/>
          <w:szCs w:val="24"/>
        </w:rPr>
        <w:t>,</w:t>
      </w:r>
      <w:r w:rsidR="002B2F03" w:rsidRPr="00E757B2">
        <w:rPr>
          <w:rFonts w:ascii="Garamond" w:hAnsi="Garamond" w:cs="Times New Roman"/>
          <w:color w:val="000000" w:themeColor="text1"/>
          <w:sz w:val="24"/>
          <w:szCs w:val="24"/>
        </w:rPr>
        <w:t xml:space="preserve"> të pikës 3</w:t>
      </w:r>
      <w:r w:rsidR="000E01EE" w:rsidRPr="00E757B2">
        <w:rPr>
          <w:rFonts w:ascii="Garamond" w:hAnsi="Garamond" w:cs="Times New Roman"/>
          <w:color w:val="000000" w:themeColor="text1"/>
          <w:sz w:val="24"/>
          <w:szCs w:val="24"/>
        </w:rPr>
        <w:t xml:space="preserve"> të këtij neni;</w:t>
      </w:r>
    </w:p>
    <w:p w14:paraId="58584EE9"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ii. </w:t>
      </w:r>
      <w:r w:rsidR="000E01EE" w:rsidRPr="00E757B2">
        <w:rPr>
          <w:rFonts w:ascii="Garamond" w:hAnsi="Garamond" w:cs="Times New Roman"/>
          <w:color w:val="000000" w:themeColor="text1"/>
          <w:sz w:val="24"/>
          <w:szCs w:val="24"/>
        </w:rPr>
        <w:t>pasardhësi i përgjithshëm ose i pjesshëm privat zëvendëson ortakun e mëparshëm privat pas ristrukturimit të shoqërisë, duke përfshirë blerjen, bashkimin ose falimentimin e një operatori tjetër ekonomik, që plotëson kriteret cilësore të përzgjedhjes, të përcaktuara fillimisht me kushtin për të mos sjellë ndryshime të tjera thelbësore në kontratën e koncesionit/partneritetit publik privat dhe nuk synon të anashkalojë zbatimin e dispozitave të këtij ligji;</w:t>
      </w:r>
    </w:p>
    <w:p w14:paraId="4ED82220" w14:textId="40A247BD"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iii.</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 xml:space="preserve">në rast se autoriteti kontraktues ose enti kontraktues merr përsipër detyrimet kryesore të koncesionarit/partnerit privat ndaj nënkontraktuesve të tij, nëse kjo mundësi parashikohet sipas </w:t>
      </w:r>
      <w:r w:rsidR="004D1F5C">
        <w:rPr>
          <w:rFonts w:ascii="Garamond" w:hAnsi="Garamond" w:cs="Times New Roman"/>
          <w:color w:val="000000" w:themeColor="text1"/>
          <w:sz w:val="24"/>
          <w:szCs w:val="24"/>
        </w:rPr>
        <w:t>legjislacionit në fuqi;</w:t>
      </w:r>
    </w:p>
    <w:p w14:paraId="54A20B87"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 k</w:t>
      </w:r>
      <w:r w:rsidR="000E01EE" w:rsidRPr="00E757B2">
        <w:rPr>
          <w:rFonts w:ascii="Garamond" w:hAnsi="Garamond" w:cs="Times New Roman"/>
          <w:color w:val="000000" w:themeColor="text1"/>
          <w:sz w:val="24"/>
          <w:szCs w:val="24"/>
        </w:rPr>
        <w:t>ur ndryshimet, pavarësisht nga vlera e tyre, nuk janë thelbësore, në kuptim të pikës 8 të këtij neni.</w:t>
      </w:r>
    </w:p>
    <w:p w14:paraId="67A11514" w14:textId="2CA70729"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Autoritetet kontraktuese ose entet kontraktuese, që kanë ndryshuar kontratën e koncesionit/partneritetit publik privat, sipas shkronjave</w:t>
      </w:r>
      <w:r w:rsidR="00BC60AE" w:rsidRPr="00E757B2">
        <w:rPr>
          <w:rFonts w:ascii="Garamond" w:hAnsi="Garamond" w:cs="Times New Roman"/>
          <w:color w:val="000000" w:themeColor="text1"/>
          <w:sz w:val="24"/>
          <w:szCs w:val="24"/>
        </w:rPr>
        <w:t xml:space="preserve"> “b” dhe “c”</w:t>
      </w:r>
      <w:r w:rsidR="004D1F5C">
        <w:rPr>
          <w:rFonts w:ascii="Garamond" w:hAnsi="Garamond" w:cs="Times New Roman"/>
          <w:color w:val="000000" w:themeColor="text1"/>
          <w:sz w:val="24"/>
          <w:szCs w:val="24"/>
        </w:rPr>
        <w:t>,</w:t>
      </w:r>
      <w:r w:rsidR="009F3727" w:rsidRPr="00E757B2">
        <w:rPr>
          <w:rFonts w:ascii="Garamond" w:hAnsi="Garamond" w:cs="Times New Roman"/>
          <w:color w:val="000000" w:themeColor="text1"/>
          <w:sz w:val="24"/>
          <w:szCs w:val="24"/>
        </w:rPr>
        <w:t xml:space="preserve"> të pikës 3</w:t>
      </w:r>
      <w:r w:rsidR="000E01EE" w:rsidRPr="00E757B2">
        <w:rPr>
          <w:rFonts w:ascii="Garamond" w:hAnsi="Garamond" w:cs="Times New Roman"/>
          <w:color w:val="000000" w:themeColor="text1"/>
          <w:sz w:val="24"/>
          <w:szCs w:val="24"/>
        </w:rPr>
        <w:t xml:space="preserve"> të këtij neni, publikojnë një njoftim për këtë qëllim, njoftim, i cili përmban minimalisht informacionin e mëposhtëm:</w:t>
      </w:r>
    </w:p>
    <w:p w14:paraId="29B294B5" w14:textId="1ECA8025"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e</w:t>
      </w:r>
      <w:r w:rsidR="000E01EE" w:rsidRPr="00E757B2">
        <w:rPr>
          <w:rFonts w:ascii="Garamond" w:hAnsi="Garamond" w:cs="Times New Roman"/>
          <w:color w:val="000000" w:themeColor="text1"/>
          <w:sz w:val="24"/>
          <w:szCs w:val="24"/>
        </w:rPr>
        <w:t xml:space="preserve">mrin, numrin e identifikimit (aty ku parashikohet në legjislacionin kombëtar), adresën, duke përfshirë numrin e telefonit, </w:t>
      </w:r>
      <w:r w:rsidR="004D1F5C">
        <w:rPr>
          <w:rFonts w:ascii="Garamond" w:hAnsi="Garamond" w:cs="Times New Roman"/>
          <w:i/>
          <w:color w:val="000000" w:themeColor="text1"/>
          <w:sz w:val="24"/>
          <w:szCs w:val="24"/>
        </w:rPr>
        <w:t>e</w:t>
      </w:r>
      <w:r w:rsidR="000E01EE" w:rsidRPr="00E757B2">
        <w:rPr>
          <w:rFonts w:ascii="Garamond" w:hAnsi="Garamond" w:cs="Times New Roman"/>
          <w:i/>
          <w:color w:val="000000" w:themeColor="text1"/>
          <w:sz w:val="24"/>
          <w:szCs w:val="24"/>
        </w:rPr>
        <w:t>mail</w:t>
      </w:r>
      <w:r w:rsidR="000E01EE" w:rsidRPr="00E757B2">
        <w:rPr>
          <w:rFonts w:ascii="Garamond" w:hAnsi="Garamond" w:cs="Times New Roman"/>
          <w:color w:val="000000" w:themeColor="text1"/>
          <w:sz w:val="24"/>
          <w:szCs w:val="24"/>
        </w:rPr>
        <w:t>-in dhe adresën e internetit të autoritetit ose entit kontraktues dhe, nëse është ndryshe, atë të shërbimit nga i cili mund të merret informacion shtesë;</w:t>
      </w:r>
    </w:p>
    <w:p w14:paraId="42FFA192" w14:textId="77777777" w:rsidR="000E01EE" w:rsidRPr="00E757B2" w:rsidRDefault="00955108"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k</w:t>
      </w:r>
      <w:r w:rsidR="000E01EE" w:rsidRPr="00E757B2">
        <w:rPr>
          <w:rFonts w:ascii="Garamond" w:hAnsi="Garamond" w:cs="Times New Roman"/>
          <w:color w:val="000000" w:themeColor="text1"/>
          <w:sz w:val="24"/>
          <w:szCs w:val="24"/>
        </w:rPr>
        <w:t>odet CPV;</w:t>
      </w:r>
    </w:p>
    <w:p w14:paraId="63E63242"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p</w:t>
      </w:r>
      <w:r w:rsidR="000E01EE" w:rsidRPr="00E757B2">
        <w:rPr>
          <w:rFonts w:ascii="Garamond" w:hAnsi="Garamond" w:cs="Times New Roman"/>
          <w:color w:val="000000" w:themeColor="text1"/>
          <w:sz w:val="24"/>
          <w:szCs w:val="24"/>
        </w:rPr>
        <w:t>ërshkrimin e koncesionit/partneritetit publik privat, para dhe pas ndryshimit, natyrën dhe shtrirjen e punimeve, natyrën dhe shtrirjen e shërbimeve;</w:t>
      </w:r>
    </w:p>
    <w:p w14:paraId="1122EE1D"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k</w:t>
      </w:r>
      <w:r w:rsidR="000E01EE" w:rsidRPr="00E757B2">
        <w:rPr>
          <w:rFonts w:ascii="Garamond" w:hAnsi="Garamond" w:cs="Times New Roman"/>
          <w:color w:val="000000" w:themeColor="text1"/>
          <w:sz w:val="24"/>
          <w:szCs w:val="24"/>
        </w:rPr>
        <w:t>ur është e mundur, modifikimin e vlerës së koncesionit/partneritetit publik privat, duke përfshirë rritjen e çmimeve ose tarifat e shkaktuara nga ndryshimi;</w:t>
      </w:r>
    </w:p>
    <w:p w14:paraId="041583BD"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 p</w:t>
      </w:r>
      <w:r w:rsidR="000E01EE" w:rsidRPr="00E757B2">
        <w:rPr>
          <w:rFonts w:ascii="Garamond" w:hAnsi="Garamond" w:cs="Times New Roman"/>
          <w:color w:val="000000" w:themeColor="text1"/>
          <w:sz w:val="24"/>
          <w:szCs w:val="24"/>
        </w:rPr>
        <w:t xml:space="preserve">ërshkrimin e rrethanave që kanë bërë të nevojshëm modifikimin; </w:t>
      </w:r>
    </w:p>
    <w:p w14:paraId="486B9BC9"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dh)</w:t>
      </w:r>
      <w:r w:rsidR="002D3692"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d</w:t>
      </w:r>
      <w:r w:rsidR="000E01EE" w:rsidRPr="00E757B2">
        <w:rPr>
          <w:rFonts w:ascii="Garamond" w:hAnsi="Garamond" w:cs="Times New Roman"/>
          <w:color w:val="000000" w:themeColor="text1"/>
          <w:sz w:val="24"/>
          <w:szCs w:val="24"/>
        </w:rPr>
        <w:t>atën e vendimit për dhënien e koncesionit/partneritetit publik privat;</w:t>
      </w:r>
    </w:p>
    <w:p w14:paraId="63445BB6" w14:textId="59A2D385"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e) k</w:t>
      </w:r>
      <w:r w:rsidR="000E01EE" w:rsidRPr="00E757B2">
        <w:rPr>
          <w:rFonts w:ascii="Garamond" w:hAnsi="Garamond" w:cs="Times New Roman"/>
          <w:color w:val="000000" w:themeColor="text1"/>
          <w:sz w:val="24"/>
          <w:szCs w:val="24"/>
        </w:rPr>
        <w:t xml:space="preserve">ur është e mundur, emrin, adresën, duke përfshirë numrin e telefonit, adresën e </w:t>
      </w:r>
      <w:r w:rsidR="004D1F5C">
        <w:rPr>
          <w:rFonts w:ascii="Garamond" w:hAnsi="Garamond" w:cs="Times New Roman"/>
          <w:i/>
          <w:color w:val="000000" w:themeColor="text1"/>
          <w:sz w:val="24"/>
          <w:szCs w:val="24"/>
        </w:rPr>
        <w:t>e</w:t>
      </w:r>
      <w:r w:rsidR="000E01EE" w:rsidRPr="00E757B2">
        <w:rPr>
          <w:rFonts w:ascii="Garamond" w:hAnsi="Garamond" w:cs="Times New Roman"/>
          <w:i/>
          <w:color w:val="000000" w:themeColor="text1"/>
          <w:sz w:val="24"/>
          <w:szCs w:val="24"/>
        </w:rPr>
        <w:t>mail</w:t>
      </w:r>
      <w:r w:rsidR="000E01EE" w:rsidRPr="00E757B2">
        <w:rPr>
          <w:rFonts w:ascii="Garamond" w:hAnsi="Garamond" w:cs="Times New Roman"/>
          <w:color w:val="000000" w:themeColor="text1"/>
          <w:sz w:val="24"/>
          <w:szCs w:val="24"/>
        </w:rPr>
        <w:t>-it dhe adresën e internetit të operatorit ose të operatorëve të rinj ekonomikë;</w:t>
      </w:r>
    </w:p>
    <w:p w14:paraId="507F525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ë) </w:t>
      </w:r>
      <w:r w:rsidR="005A40A6" w:rsidRPr="00E757B2">
        <w:rPr>
          <w:rFonts w:ascii="Garamond" w:hAnsi="Garamond" w:cs="Times New Roman"/>
          <w:color w:val="000000" w:themeColor="text1"/>
          <w:sz w:val="24"/>
          <w:szCs w:val="24"/>
        </w:rPr>
        <w:t>i</w:t>
      </w:r>
      <w:r w:rsidRPr="00E757B2">
        <w:rPr>
          <w:rFonts w:ascii="Garamond" w:hAnsi="Garamond" w:cs="Times New Roman"/>
          <w:color w:val="000000" w:themeColor="text1"/>
          <w:sz w:val="24"/>
          <w:szCs w:val="24"/>
        </w:rPr>
        <w:t>nformacionin nëse koncesioni/partneriteti publik privat lidhet me një projekt dhe/ose program të financuar nga fondet e Bashkimit Evropian;</w:t>
      </w:r>
    </w:p>
    <w:p w14:paraId="3F8601A2" w14:textId="56998B7A"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f) e</w:t>
      </w:r>
      <w:r w:rsidR="000E01EE" w:rsidRPr="00E757B2">
        <w:rPr>
          <w:rFonts w:ascii="Garamond" w:hAnsi="Garamond" w:cs="Times New Roman"/>
          <w:color w:val="000000" w:themeColor="text1"/>
          <w:sz w:val="24"/>
          <w:szCs w:val="24"/>
        </w:rPr>
        <w:t>mrin dhe adresën e organit përgjegjës për procedurat e shqyrtimit dhe, sipas rastit, të ndërmjetësimit. Informacionin e saktë në lidhje me afatin për procedurat e rishikimit ose, nëse është e nevojshme, emrin, adresën, numrin e telefonit</w:t>
      </w:r>
      <w:r w:rsidR="006A7BBD"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 xml:space="preserve">dhe </w:t>
      </w:r>
      <w:r w:rsidR="004D1F5C">
        <w:rPr>
          <w:rFonts w:ascii="Garamond" w:hAnsi="Garamond" w:cs="Times New Roman"/>
          <w:i/>
          <w:color w:val="000000" w:themeColor="text1"/>
          <w:sz w:val="24"/>
          <w:szCs w:val="24"/>
        </w:rPr>
        <w:t>e</w:t>
      </w:r>
      <w:r w:rsidR="000E01EE" w:rsidRPr="00E757B2">
        <w:rPr>
          <w:rFonts w:ascii="Garamond" w:hAnsi="Garamond" w:cs="Times New Roman"/>
          <w:i/>
          <w:color w:val="000000" w:themeColor="text1"/>
          <w:sz w:val="24"/>
          <w:szCs w:val="24"/>
        </w:rPr>
        <w:t>mail</w:t>
      </w:r>
      <w:r w:rsidR="000E01EE" w:rsidRPr="00E757B2">
        <w:rPr>
          <w:rFonts w:ascii="Garamond" w:hAnsi="Garamond" w:cs="Times New Roman"/>
          <w:color w:val="000000" w:themeColor="text1"/>
          <w:sz w:val="24"/>
          <w:szCs w:val="24"/>
        </w:rPr>
        <w:t>-in e shërbimit, nga i cili mund të merret ky informacion;</w:t>
      </w:r>
    </w:p>
    <w:p w14:paraId="12F988A2"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g) d</w:t>
      </w:r>
      <w:r w:rsidR="000E01EE" w:rsidRPr="00E757B2">
        <w:rPr>
          <w:rFonts w:ascii="Garamond" w:hAnsi="Garamond" w:cs="Times New Roman"/>
          <w:color w:val="000000" w:themeColor="text1"/>
          <w:sz w:val="24"/>
          <w:szCs w:val="24"/>
        </w:rPr>
        <w:t>atën e dërgimit të njoftimit;</w:t>
      </w:r>
    </w:p>
    <w:p w14:paraId="09FB6E18"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gj) ç</w:t>
      </w:r>
      <w:r w:rsidR="000E01EE" w:rsidRPr="00E757B2">
        <w:rPr>
          <w:rFonts w:ascii="Garamond" w:hAnsi="Garamond" w:cs="Times New Roman"/>
          <w:color w:val="000000" w:themeColor="text1"/>
          <w:sz w:val="24"/>
          <w:szCs w:val="24"/>
        </w:rPr>
        <w:t>do informacion tjetër përkatës.</w:t>
      </w:r>
    </w:p>
    <w:p w14:paraId="0DBB4DE3"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Njoftimi, sipas pikës 4 të këtij neni, publikohet sipas një formulari standard</w:t>
      </w:r>
      <w:r w:rsidR="00BC60AE"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pjesë e dokumenteve të koncesionit.</w:t>
      </w:r>
    </w:p>
    <w:p w14:paraId="65A7B5A9"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Përveç rasteve të parashikuara në pikën 2 të këtij neni, kontrata e koncesionit/partneritetit publik privat mund të ndryshohet edhe nëse vlera e ndryshuar e kontratës së koncesionit/partneritetit publik privat është nën dy vlerat e mëposhtme, me kusht që natyra e përgjithshme e kontratës së koncesionit/partneritetit publik privat të mos ndryshojë:</w:t>
      </w:r>
    </w:p>
    <w:p w14:paraId="6DF0F713"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nën</w:t>
      </w:r>
      <w:r w:rsidR="00BC60AE" w:rsidRPr="00E757B2">
        <w:rPr>
          <w:rFonts w:ascii="Garamond" w:hAnsi="Garamond" w:cs="Times New Roman"/>
          <w:color w:val="000000" w:themeColor="text1"/>
          <w:sz w:val="24"/>
          <w:szCs w:val="24"/>
        </w:rPr>
        <w:t xml:space="preserve"> pragun e përcaktuar në pikën 2 të nenit 24</w:t>
      </w:r>
      <w:r w:rsidR="000E01EE" w:rsidRPr="00E757B2">
        <w:rPr>
          <w:rFonts w:ascii="Garamond" w:hAnsi="Garamond" w:cs="Times New Roman"/>
          <w:color w:val="000000" w:themeColor="text1"/>
          <w:sz w:val="24"/>
          <w:szCs w:val="24"/>
        </w:rPr>
        <w:t xml:space="preserve"> të këtij ligji; dhe</w:t>
      </w:r>
    </w:p>
    <w:p w14:paraId="50437635"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të mos e kalojë vlerën prej 10% të kontratës së koncesionit/partneritetit publik privat.</w:t>
      </w:r>
    </w:p>
    <w:p w14:paraId="471AB515"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7. </w:t>
      </w:r>
      <w:r w:rsidR="000E01EE" w:rsidRPr="00E757B2">
        <w:rPr>
          <w:rFonts w:ascii="Garamond" w:hAnsi="Garamond" w:cs="Times New Roman"/>
          <w:color w:val="000000" w:themeColor="text1"/>
          <w:sz w:val="24"/>
          <w:szCs w:val="24"/>
        </w:rPr>
        <w:t xml:space="preserve">Për qëllim të llogaritjes së vlerave të përcaktuara në pikat 3, shkronjat “b” </w:t>
      </w:r>
      <w:r w:rsidR="006A7BBD" w:rsidRPr="00E757B2">
        <w:rPr>
          <w:rFonts w:ascii="Garamond" w:hAnsi="Garamond" w:cs="Times New Roman"/>
          <w:color w:val="000000" w:themeColor="text1"/>
          <w:sz w:val="24"/>
          <w:szCs w:val="24"/>
        </w:rPr>
        <w:t>e</w:t>
      </w:r>
      <w:r w:rsidR="00BC60AE" w:rsidRPr="00E757B2">
        <w:rPr>
          <w:rFonts w:ascii="Garamond" w:hAnsi="Garamond" w:cs="Times New Roman"/>
          <w:color w:val="000000" w:themeColor="text1"/>
          <w:sz w:val="24"/>
          <w:szCs w:val="24"/>
        </w:rPr>
        <w:t xml:space="preserve"> “c”, dhe 8</w:t>
      </w:r>
      <w:r w:rsidR="000E01EE" w:rsidRPr="00E757B2">
        <w:rPr>
          <w:rFonts w:ascii="Garamond" w:hAnsi="Garamond" w:cs="Times New Roman"/>
          <w:color w:val="000000" w:themeColor="text1"/>
          <w:sz w:val="24"/>
          <w:szCs w:val="24"/>
        </w:rPr>
        <w:t xml:space="preserve"> të këtij neni, vlera e përditësuar përfaqëson vlerën e referencës kur kontrata e koncesionit përfshin një klauzolë indeksimi. Nëse kontrata e koncesionit nuk përfshin klauzolën e indeksimit, vlera e përditësuar llogaritet duke marrë parasysh inflacionin mesatar në Republikën e Shqipërisë.</w:t>
      </w:r>
    </w:p>
    <w:p w14:paraId="66A1BAB2"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8. </w:t>
      </w:r>
      <w:r w:rsidR="000E01EE" w:rsidRPr="00E757B2">
        <w:rPr>
          <w:rFonts w:ascii="Garamond" w:hAnsi="Garamond" w:cs="Times New Roman"/>
          <w:color w:val="000000" w:themeColor="text1"/>
          <w:sz w:val="24"/>
          <w:szCs w:val="24"/>
        </w:rPr>
        <w:t>Një ndryshim në kontratën e koncesionit/partneritetit publik privat do të konsiderohet thelbësor kur projekti ndryshon materialisht nga projekti fillestar. Ndryshimi do të konsiderohet thelbësor kur plotësohen një ose më shumë nga kushtet e mëposhtme:</w:t>
      </w:r>
    </w:p>
    <w:p w14:paraId="65843739"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n</w:t>
      </w:r>
      <w:r w:rsidR="000E01EE" w:rsidRPr="00E757B2">
        <w:rPr>
          <w:rFonts w:ascii="Garamond" w:hAnsi="Garamond" w:cs="Times New Roman"/>
          <w:color w:val="000000" w:themeColor="text1"/>
          <w:sz w:val="24"/>
          <w:szCs w:val="24"/>
        </w:rPr>
        <w:t>dryshimi i kontratës së koncesionit/partneritetit publik privat paraqet kushte të cilat, nëse do të kishin qenë pjesë e procedurës fillestare të dhënies së projektit të koncesionit/partneritetit publik privat, do të kishin lejuar pranimin e më shumë kërkuesve të ndryshëm nga ata të përzgjedhur fillimisht ose pranimin e një oferte të ndryshme nga ajo që ata kanë pranuar fillimisht;</w:t>
      </w:r>
    </w:p>
    <w:p w14:paraId="1C476984"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n</w:t>
      </w:r>
      <w:r w:rsidR="000E01EE" w:rsidRPr="00E757B2">
        <w:rPr>
          <w:rFonts w:ascii="Garamond" w:hAnsi="Garamond" w:cs="Times New Roman"/>
          <w:color w:val="000000" w:themeColor="text1"/>
          <w:sz w:val="24"/>
          <w:szCs w:val="24"/>
        </w:rPr>
        <w:t>dryshimi i kontratës së koncesionit/partneritetit publik privat ndryshon balancën ekonomike të projektit në favor të partnerit privat në një mënyrë që nuk ishte parashikuar në projektin fillestar të koncesionit/partneritetit publik privat;</w:t>
      </w:r>
    </w:p>
    <w:p w14:paraId="7AA79E54"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n</w:t>
      </w:r>
      <w:r w:rsidR="000E01EE" w:rsidRPr="00E757B2">
        <w:rPr>
          <w:rFonts w:ascii="Garamond" w:hAnsi="Garamond" w:cs="Times New Roman"/>
          <w:color w:val="000000" w:themeColor="text1"/>
          <w:sz w:val="24"/>
          <w:szCs w:val="24"/>
        </w:rPr>
        <w:t>dryshimi i kontratës së koncesionit/partneritetit publik privat zgjeron ndjeshëm objektin e projektit;</w:t>
      </w:r>
    </w:p>
    <w:p w14:paraId="0B71F142" w14:textId="262DB5F4"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k</w:t>
      </w:r>
      <w:r w:rsidR="000E01EE" w:rsidRPr="00E757B2">
        <w:rPr>
          <w:rFonts w:ascii="Garamond" w:hAnsi="Garamond" w:cs="Times New Roman"/>
          <w:color w:val="000000" w:themeColor="text1"/>
          <w:sz w:val="24"/>
          <w:szCs w:val="24"/>
        </w:rPr>
        <w:t>ur një partner i ri privat/koncesionar zëvendëson atë me të cilin autoriteti kontraktues ka lidhur fillimisht kontratën e koncesionit/partneritetit publik privat në raste të tjera nga ato të parashikuara në në</w:t>
      </w:r>
      <w:r w:rsidR="00B52A35" w:rsidRPr="00E757B2">
        <w:rPr>
          <w:rFonts w:ascii="Garamond" w:hAnsi="Garamond" w:cs="Times New Roman"/>
          <w:color w:val="000000" w:themeColor="text1"/>
          <w:sz w:val="24"/>
          <w:szCs w:val="24"/>
        </w:rPr>
        <w:t>nndarjen “ii”</w:t>
      </w:r>
      <w:r w:rsidR="004D1F5C">
        <w:rPr>
          <w:rFonts w:ascii="Garamond" w:hAnsi="Garamond" w:cs="Times New Roman"/>
          <w:color w:val="000000" w:themeColor="text1"/>
          <w:sz w:val="24"/>
          <w:szCs w:val="24"/>
        </w:rPr>
        <w:t>,</w:t>
      </w:r>
      <w:r w:rsidR="00B52A35" w:rsidRPr="00E757B2">
        <w:rPr>
          <w:rFonts w:ascii="Garamond" w:hAnsi="Garamond" w:cs="Times New Roman"/>
          <w:color w:val="000000" w:themeColor="text1"/>
          <w:sz w:val="24"/>
          <w:szCs w:val="24"/>
        </w:rPr>
        <w:t xml:space="preserve"> të shkronjës “ç”</w:t>
      </w:r>
      <w:r w:rsidR="004D1F5C">
        <w:rPr>
          <w:rFonts w:ascii="Garamond" w:hAnsi="Garamond" w:cs="Times New Roman"/>
          <w:color w:val="000000" w:themeColor="text1"/>
          <w:sz w:val="24"/>
          <w:szCs w:val="24"/>
        </w:rPr>
        <w:t>,</w:t>
      </w:r>
      <w:r w:rsidR="00B52A35" w:rsidRPr="00E757B2">
        <w:rPr>
          <w:rFonts w:ascii="Garamond" w:hAnsi="Garamond" w:cs="Times New Roman"/>
          <w:color w:val="000000" w:themeColor="text1"/>
          <w:sz w:val="24"/>
          <w:szCs w:val="24"/>
        </w:rPr>
        <w:t xml:space="preserve"> të pikës 3</w:t>
      </w:r>
      <w:r w:rsidR="000E01EE" w:rsidRPr="00E757B2">
        <w:rPr>
          <w:rFonts w:ascii="Garamond" w:hAnsi="Garamond" w:cs="Times New Roman"/>
          <w:color w:val="000000" w:themeColor="text1"/>
          <w:sz w:val="24"/>
          <w:szCs w:val="24"/>
        </w:rPr>
        <w:t xml:space="preserve"> të </w:t>
      </w:r>
      <w:r w:rsidRPr="00E757B2">
        <w:rPr>
          <w:rFonts w:ascii="Garamond" w:hAnsi="Garamond" w:cs="Times New Roman"/>
          <w:color w:val="000000" w:themeColor="text1"/>
          <w:sz w:val="24"/>
          <w:szCs w:val="24"/>
        </w:rPr>
        <w:t>këtij neni.</w:t>
      </w:r>
    </w:p>
    <w:p w14:paraId="2D412474" w14:textId="77777777" w:rsidR="000E01EE" w:rsidRPr="00E757B2" w:rsidRDefault="005A40A6"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9. </w:t>
      </w:r>
      <w:r w:rsidR="000E01EE" w:rsidRPr="00E757B2">
        <w:rPr>
          <w:rFonts w:ascii="Garamond" w:hAnsi="Garamond" w:cs="Times New Roman"/>
          <w:color w:val="000000" w:themeColor="text1"/>
          <w:sz w:val="24"/>
          <w:szCs w:val="24"/>
        </w:rPr>
        <w:t>Ndryshimet e kushteve thelbësore të kontratës, që nuk parashikohen në dokumentacionin e tenderit dhe/ose në vetë kontratën kërkojnë zbatimin e një procedure të re të dhënies së kontratës së koncesionit/partneritetit publik privat.</w:t>
      </w:r>
    </w:p>
    <w:p w14:paraId="372047D0" w14:textId="738F8D78" w:rsidR="000E01EE" w:rsidRPr="00E757B2" w:rsidRDefault="00F64194" w:rsidP="002D3692">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10.</w:t>
      </w:r>
      <w:r w:rsidR="002D3692"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Për të gjitha ndryshimet e kontratës autoriteti ose enti kontraktues kërkon një miratim paraprak nga ministria përgjegjëse për financat, e cila i vlerëson në përputhje me kr</w:t>
      </w:r>
      <w:r w:rsidR="005231DF" w:rsidRPr="00E757B2">
        <w:rPr>
          <w:rFonts w:ascii="Garamond" w:hAnsi="Garamond" w:cs="Times New Roman"/>
          <w:color w:val="000000" w:themeColor="text1"/>
          <w:sz w:val="24"/>
          <w:szCs w:val="24"/>
        </w:rPr>
        <w:t>iteret e përcaktuara në pikën 2</w:t>
      </w:r>
      <w:r w:rsidR="004D1F5C">
        <w:rPr>
          <w:rFonts w:ascii="Garamond" w:hAnsi="Garamond" w:cs="Times New Roman"/>
          <w:color w:val="000000" w:themeColor="text1"/>
          <w:sz w:val="24"/>
          <w:szCs w:val="24"/>
        </w:rPr>
        <w:t>,</w:t>
      </w:r>
      <w:r w:rsidR="005231DF" w:rsidRPr="00E757B2">
        <w:rPr>
          <w:rFonts w:ascii="Garamond" w:hAnsi="Garamond" w:cs="Times New Roman"/>
          <w:color w:val="000000" w:themeColor="text1"/>
          <w:sz w:val="24"/>
          <w:szCs w:val="24"/>
        </w:rPr>
        <w:t xml:space="preserve"> të nenit 11</w:t>
      </w:r>
      <w:r w:rsidR="000E01EE" w:rsidRPr="00E757B2">
        <w:rPr>
          <w:rFonts w:ascii="Garamond" w:hAnsi="Garamond" w:cs="Times New Roman"/>
          <w:color w:val="000000" w:themeColor="text1"/>
          <w:sz w:val="24"/>
          <w:szCs w:val="24"/>
        </w:rPr>
        <w:t xml:space="preserve"> të këtij ligji.</w:t>
      </w:r>
    </w:p>
    <w:p w14:paraId="6C6FCFF3"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FB2F8BE" w14:textId="77777777" w:rsidR="00D662A2" w:rsidRDefault="00D662A2" w:rsidP="002D3692">
      <w:pPr>
        <w:spacing w:after="0" w:line="240" w:lineRule="auto"/>
        <w:ind w:firstLine="284"/>
        <w:jc w:val="center"/>
        <w:rPr>
          <w:rFonts w:ascii="Garamond" w:hAnsi="Garamond" w:cs="Times New Roman"/>
          <w:color w:val="000000" w:themeColor="text1"/>
          <w:sz w:val="24"/>
          <w:szCs w:val="24"/>
        </w:rPr>
      </w:pPr>
    </w:p>
    <w:p w14:paraId="2FFD640C" w14:textId="77777777" w:rsidR="00D662A2" w:rsidRDefault="00D662A2" w:rsidP="002D3692">
      <w:pPr>
        <w:spacing w:after="0" w:line="240" w:lineRule="auto"/>
        <w:ind w:firstLine="284"/>
        <w:jc w:val="center"/>
        <w:rPr>
          <w:rFonts w:ascii="Garamond" w:hAnsi="Garamond" w:cs="Times New Roman"/>
          <w:color w:val="000000" w:themeColor="text1"/>
          <w:sz w:val="24"/>
          <w:szCs w:val="24"/>
        </w:rPr>
      </w:pPr>
    </w:p>
    <w:p w14:paraId="188991DE"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57</w:t>
      </w:r>
    </w:p>
    <w:p w14:paraId="70ADBD66"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Transferimi i kontratës së koncesionit/partneritetit publik privat</w:t>
      </w:r>
    </w:p>
    <w:p w14:paraId="5447E465"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6511D7B9" w14:textId="533807AB"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Në përputhje me dispozitat e këtij neni, me pëlqimin paraprak me shkrim nga autoriteti ose enti kontraktues, kontrata e koncesionit/partneritetit publik privat mund të transferohet te</w:t>
      </w:r>
      <w:r w:rsidR="00F64194">
        <w:rPr>
          <w:rFonts w:ascii="Garamond" w:hAnsi="Garamond" w:cs="Times New Roman"/>
          <w:color w:val="000000" w:themeColor="text1"/>
          <w:sz w:val="24"/>
          <w:szCs w:val="24"/>
        </w:rPr>
        <w:t>k</w:t>
      </w:r>
      <w:r w:rsidR="000E01EE" w:rsidRPr="00E757B2">
        <w:rPr>
          <w:rFonts w:ascii="Garamond" w:hAnsi="Garamond" w:cs="Times New Roman"/>
          <w:color w:val="000000" w:themeColor="text1"/>
          <w:sz w:val="24"/>
          <w:szCs w:val="24"/>
        </w:rPr>
        <w:t xml:space="preserve"> një subjekt i tretë, </w:t>
      </w:r>
      <w:r w:rsidR="005231DF" w:rsidRPr="00E757B2">
        <w:rPr>
          <w:rFonts w:ascii="Garamond" w:hAnsi="Garamond" w:cs="Times New Roman"/>
          <w:color w:val="000000" w:themeColor="text1"/>
          <w:sz w:val="24"/>
          <w:szCs w:val="24"/>
        </w:rPr>
        <w:t>në përputhje me nënndarjen “ii”</w:t>
      </w:r>
      <w:r w:rsidR="004D1F5C">
        <w:rPr>
          <w:rFonts w:ascii="Garamond" w:hAnsi="Garamond" w:cs="Times New Roman"/>
          <w:color w:val="000000" w:themeColor="text1"/>
          <w:sz w:val="24"/>
          <w:szCs w:val="24"/>
        </w:rPr>
        <w:t>,</w:t>
      </w:r>
      <w:r w:rsidR="005231DF" w:rsidRPr="00E757B2">
        <w:rPr>
          <w:rFonts w:ascii="Garamond" w:hAnsi="Garamond" w:cs="Times New Roman"/>
          <w:color w:val="000000" w:themeColor="text1"/>
          <w:sz w:val="24"/>
          <w:szCs w:val="24"/>
        </w:rPr>
        <w:t xml:space="preserve"> të shkronjës “ç”</w:t>
      </w:r>
      <w:r w:rsidR="004D1F5C">
        <w:rPr>
          <w:rFonts w:ascii="Garamond" w:hAnsi="Garamond" w:cs="Times New Roman"/>
          <w:color w:val="000000" w:themeColor="text1"/>
          <w:sz w:val="24"/>
          <w:szCs w:val="24"/>
        </w:rPr>
        <w:t>,</w:t>
      </w:r>
      <w:r w:rsidR="005231DF" w:rsidRPr="00E757B2">
        <w:rPr>
          <w:rFonts w:ascii="Garamond" w:hAnsi="Garamond" w:cs="Times New Roman"/>
          <w:color w:val="000000" w:themeColor="text1"/>
          <w:sz w:val="24"/>
          <w:szCs w:val="24"/>
        </w:rPr>
        <w:t xml:space="preserve"> të pikës 3</w:t>
      </w:r>
      <w:r w:rsidR="004D1F5C">
        <w:rPr>
          <w:rFonts w:ascii="Garamond" w:hAnsi="Garamond" w:cs="Times New Roman"/>
          <w:color w:val="000000" w:themeColor="text1"/>
          <w:sz w:val="24"/>
          <w:szCs w:val="24"/>
        </w:rPr>
        <w:t>,</w:t>
      </w:r>
      <w:r w:rsidR="005231DF" w:rsidRPr="00E757B2">
        <w:rPr>
          <w:rFonts w:ascii="Garamond" w:hAnsi="Garamond" w:cs="Times New Roman"/>
          <w:color w:val="000000" w:themeColor="text1"/>
          <w:sz w:val="24"/>
          <w:szCs w:val="24"/>
        </w:rPr>
        <w:t xml:space="preserve"> të nenit 56 të këtij ligji,</w:t>
      </w:r>
      <w:r w:rsidR="000E01EE" w:rsidRPr="00E757B2">
        <w:rPr>
          <w:rFonts w:ascii="Garamond" w:hAnsi="Garamond" w:cs="Times New Roman"/>
          <w:color w:val="000000" w:themeColor="text1"/>
          <w:sz w:val="24"/>
          <w:szCs w:val="24"/>
        </w:rPr>
        <w:t xml:space="preserve"> nëse subjekti i tretë përmbush kriteret e kualifikimit, të përcaktuara në dokumentet e tenderit, me përjashtim të rasteve kur këto kritere u referohen kushteve që nuk janë më të nevojshme për përmbushjen e kontratës, për shkak të faktit se këto detyrime kontraktuale janë tashmë duke u përmbushur ose duke u realizuar nga koncesionari/partneri privat i mëparshëm.</w:t>
      </w:r>
    </w:p>
    <w:p w14:paraId="788DB6A9"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Transferimi i kontratës së koncesionit/partneritetit publik privat nuk prish cilësinë dhe nuk përkeqëson vazhdimësinë e realizimit dhe të përmbushjes së kontratës. Kur koncesionari/partneri privat është një subjekt për qëllime të veçanta, atëherë ndryshimi i të drejtave të pronësisë apo i menaxhimit të subjektit për qëllime të veçanta (SPV), si rezultat i transferimit të kapitaleve ose të aksioneve të biznesit, nuk mund të zbatohet pa miratimin e autoritetit kontraktues dhe të ministrisë përgjegjëse për financat, përveçse nëse ky është rezultat i tregtimit të rregullt të aksioneve në një treg të rregulluar të kapitalit.</w:t>
      </w:r>
    </w:p>
    <w:p w14:paraId="6FA56528" w14:textId="2E4AEE6F"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Për të gjitha transferimet e kontratës autoriteti ose enti kontraktues kërkon një miratim paraprak nga ministria përgjegjëse për financat, e cila i vlerëson në përputhje me kr</w:t>
      </w:r>
      <w:r w:rsidR="00704F74" w:rsidRPr="00E757B2">
        <w:rPr>
          <w:rFonts w:ascii="Garamond" w:hAnsi="Garamond" w:cs="Times New Roman"/>
          <w:color w:val="000000" w:themeColor="text1"/>
          <w:sz w:val="24"/>
          <w:szCs w:val="24"/>
        </w:rPr>
        <w:t>iteret e përcaktuara në pikën 2</w:t>
      </w:r>
      <w:r w:rsidR="004D1F5C">
        <w:rPr>
          <w:rFonts w:ascii="Garamond" w:hAnsi="Garamond" w:cs="Times New Roman"/>
          <w:color w:val="000000" w:themeColor="text1"/>
          <w:sz w:val="24"/>
          <w:szCs w:val="24"/>
        </w:rPr>
        <w:t>,</w:t>
      </w:r>
      <w:r w:rsidR="00704F74" w:rsidRPr="00E757B2">
        <w:rPr>
          <w:rFonts w:ascii="Garamond" w:hAnsi="Garamond" w:cs="Times New Roman"/>
          <w:color w:val="000000" w:themeColor="text1"/>
          <w:sz w:val="24"/>
          <w:szCs w:val="24"/>
        </w:rPr>
        <w:t xml:space="preserve"> të nenit 11</w:t>
      </w:r>
      <w:r w:rsidR="000E01EE" w:rsidRPr="00E757B2">
        <w:rPr>
          <w:rFonts w:ascii="Garamond" w:hAnsi="Garamond" w:cs="Times New Roman"/>
          <w:color w:val="000000" w:themeColor="text1"/>
          <w:sz w:val="24"/>
          <w:szCs w:val="24"/>
        </w:rPr>
        <w:t xml:space="preserve"> të ligjit.</w:t>
      </w:r>
    </w:p>
    <w:p w14:paraId="3726A1CC"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Çdo transferim i kontratës së partneritetit publik privat,</w:t>
      </w:r>
      <w:r w:rsidR="003E778F" w:rsidRPr="00E757B2">
        <w:rPr>
          <w:rFonts w:ascii="Garamond" w:hAnsi="Garamond" w:cs="Times New Roman"/>
          <w:color w:val="000000" w:themeColor="text1"/>
          <w:sz w:val="24"/>
          <w:szCs w:val="24"/>
        </w:rPr>
        <w:t xml:space="preserve"> </w:t>
      </w:r>
      <w:r w:rsidR="004130A4" w:rsidRPr="00E757B2">
        <w:rPr>
          <w:rFonts w:ascii="Garamond" w:hAnsi="Garamond" w:cs="Times New Roman"/>
          <w:color w:val="000000" w:themeColor="text1"/>
          <w:sz w:val="24"/>
          <w:szCs w:val="24"/>
        </w:rPr>
        <w:t>i</w:t>
      </w:r>
      <w:r w:rsidR="003E778F" w:rsidRPr="00E757B2">
        <w:rPr>
          <w:rFonts w:ascii="Garamond" w:hAnsi="Garamond" w:cs="Times New Roman"/>
          <w:color w:val="000000" w:themeColor="text1"/>
          <w:sz w:val="24"/>
          <w:szCs w:val="24"/>
        </w:rPr>
        <w:t xml:space="preserve"> miratuar s</w:t>
      </w:r>
      <w:r w:rsidR="00704F74" w:rsidRPr="00E757B2">
        <w:rPr>
          <w:rFonts w:ascii="Garamond" w:hAnsi="Garamond" w:cs="Times New Roman"/>
          <w:color w:val="000000" w:themeColor="text1"/>
          <w:sz w:val="24"/>
          <w:szCs w:val="24"/>
        </w:rPr>
        <w:t xml:space="preserve">ipas </w:t>
      </w:r>
      <w:r w:rsidR="003E778F" w:rsidRPr="00E757B2">
        <w:rPr>
          <w:rFonts w:ascii="Garamond" w:hAnsi="Garamond" w:cs="Times New Roman"/>
          <w:color w:val="000000" w:themeColor="text1"/>
          <w:sz w:val="24"/>
          <w:szCs w:val="24"/>
        </w:rPr>
        <w:t>pikës 8</w:t>
      </w:r>
      <w:r w:rsidR="00704F74" w:rsidRPr="00E757B2">
        <w:rPr>
          <w:rFonts w:ascii="Garamond" w:hAnsi="Garamond" w:cs="Times New Roman"/>
          <w:color w:val="000000" w:themeColor="text1"/>
          <w:sz w:val="24"/>
          <w:szCs w:val="24"/>
        </w:rPr>
        <w:t xml:space="preserve"> të nenit 51</w:t>
      </w:r>
      <w:r w:rsidR="000E01EE" w:rsidRPr="00E757B2">
        <w:rPr>
          <w:rFonts w:ascii="Garamond" w:hAnsi="Garamond" w:cs="Times New Roman"/>
          <w:color w:val="000000" w:themeColor="text1"/>
          <w:sz w:val="24"/>
          <w:szCs w:val="24"/>
        </w:rPr>
        <w:t xml:space="preserve"> të këtij ligji, vetëm pas marrjes së miratimit paraprak nga ministria përgjegjëse për fi</w:t>
      </w:r>
      <w:r w:rsidR="00704F74" w:rsidRPr="00E757B2">
        <w:rPr>
          <w:rFonts w:ascii="Garamond" w:hAnsi="Garamond" w:cs="Times New Roman"/>
          <w:color w:val="000000" w:themeColor="text1"/>
          <w:sz w:val="24"/>
          <w:szCs w:val="24"/>
        </w:rPr>
        <w:t>nancat, në përputhje me pikën 3</w:t>
      </w:r>
      <w:r w:rsidR="000E01EE" w:rsidRPr="00E757B2">
        <w:rPr>
          <w:rFonts w:ascii="Garamond" w:hAnsi="Garamond" w:cs="Times New Roman"/>
          <w:color w:val="000000" w:themeColor="text1"/>
          <w:sz w:val="24"/>
          <w:szCs w:val="24"/>
        </w:rPr>
        <w:t xml:space="preserve"> të këtij neni, dërgohet për miratim në Këshillin e Ministrave, me propozim të ministrit përgjegjës, sipas sektorit të kontratës së partneritetit publik privat. Në rastet e kontratave të partneritetit publik privat, objekti i të cilave nuk është në fushë përgjegjësie të ministrive të linjës, propozimi bëhet nga ministri përgjegjës për ekonominë.</w:t>
      </w:r>
    </w:p>
    <w:p w14:paraId="6019E91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D1043B0"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58</w:t>
      </w:r>
    </w:p>
    <w:p w14:paraId="5401AE72"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Nënkontraktimi</w:t>
      </w:r>
    </w:p>
    <w:p w14:paraId="5F8E40C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F56F0D2"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 xml:space="preserve">Autoriteti ose enti kontraktues në dokumentet e tenderit mund t’u kërkojë ofertuesve të tregojnë në ofertat e tyre përqindjen e kontratës, që ata mendojnë të nënkontraktojnë te palët e treta, si dhe nënkontraktorin e propozuar. </w:t>
      </w:r>
    </w:p>
    <w:p w14:paraId="756197C8"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Kjo përqindje e caktuar për nënkontraktim duhet të jetë në përpjesëtim me vlerën e kontratës dhe nuk duhet të tejkalojë 50 për qind të vlerës së përgjithshme të kontratës.</w:t>
      </w:r>
    </w:p>
    <w:p w14:paraId="3C08B849"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Autoriteti ose enti kontraktues miraton nënkontraktorët e mundshëm përpara lidhjes së nënkontratës me operatorin ekonomik fitues të kontratës publike, në përputhje me dispozitat e këtij ligji, pa cenuar parim</w:t>
      </w:r>
      <w:r w:rsidR="003E778F" w:rsidRPr="00E757B2">
        <w:rPr>
          <w:rFonts w:ascii="Garamond" w:hAnsi="Garamond" w:cs="Times New Roman"/>
          <w:color w:val="000000" w:themeColor="text1"/>
          <w:sz w:val="24"/>
          <w:szCs w:val="24"/>
        </w:rPr>
        <w:t xml:space="preserve">et e përcaktuara në </w:t>
      </w:r>
      <w:r w:rsidR="000E01EE" w:rsidRPr="00E757B2">
        <w:rPr>
          <w:rFonts w:ascii="Garamond" w:hAnsi="Garamond" w:cs="Times New Roman"/>
          <w:color w:val="000000" w:themeColor="text1"/>
          <w:sz w:val="24"/>
          <w:szCs w:val="24"/>
        </w:rPr>
        <w:t>pikën 4 të këtij neni.</w:t>
      </w:r>
    </w:p>
    <w:p w14:paraId="3592A043"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Dispozitat e këtij neni nuk prekin përgjegjësitë kryesore të operatorit ekonomik ndaj autoritetit ose entit kontraktues, për të cilin nënkontraktorët mbeten palë e tretë, kundrejt marrëdhënies kontraktuale ndërmjet operatorit ekonomik dhe nënkontraktorëve të tij dhe duke e lënë operatorin ekonomik kryesor përgjegjës për zbatimin e të gjithë kontratës, pavarësisht se një pjesë e sa</w:t>
      </w:r>
      <w:r w:rsidRPr="00E757B2">
        <w:rPr>
          <w:rFonts w:ascii="Garamond" w:hAnsi="Garamond" w:cs="Times New Roman"/>
          <w:color w:val="000000" w:themeColor="text1"/>
          <w:sz w:val="24"/>
          <w:szCs w:val="24"/>
        </w:rPr>
        <w:t>j zbatohet nga nënkontraktorët.</w:t>
      </w:r>
    </w:p>
    <w:p w14:paraId="551AF8B7"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 xml:space="preserve">Autoriteti ose enti kontraktues lejohet të bëjë pagesa drejtpërsëdrejti te nënkontraktori për furnizimet, shërbimet ose punët që i ka ofruar kontraktorit kryesor. Në çdo rast, kontraktori kryesor duhet të vihet </w:t>
      </w:r>
      <w:r w:rsidR="00FD43BE" w:rsidRPr="00E757B2">
        <w:rPr>
          <w:rFonts w:ascii="Garamond" w:hAnsi="Garamond" w:cs="Times New Roman"/>
          <w:color w:val="000000" w:themeColor="text1"/>
          <w:sz w:val="24"/>
          <w:szCs w:val="24"/>
        </w:rPr>
        <w:t>në dijeni dhe të japë miratimin me shkrim</w:t>
      </w:r>
      <w:r w:rsidR="000E01EE" w:rsidRPr="00E757B2">
        <w:rPr>
          <w:rFonts w:ascii="Garamond" w:hAnsi="Garamond" w:cs="Times New Roman"/>
          <w:color w:val="000000" w:themeColor="text1"/>
          <w:sz w:val="24"/>
          <w:szCs w:val="24"/>
        </w:rPr>
        <w:t xml:space="preserve"> për këto pagesa. Rregullat që lidhen me këtë mënyrë pagese përcaktohen në dokumentet e tenderit.</w:t>
      </w:r>
    </w:p>
    <w:p w14:paraId="06C45E2C" w14:textId="77777777" w:rsidR="000F4933"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 xml:space="preserve">Në rastin e koncesioneve për punë, sa </w:t>
      </w:r>
      <w:r w:rsidR="004130A4" w:rsidRPr="00E757B2">
        <w:rPr>
          <w:rFonts w:ascii="Garamond" w:hAnsi="Garamond" w:cs="Times New Roman"/>
          <w:color w:val="000000" w:themeColor="text1"/>
          <w:sz w:val="24"/>
          <w:szCs w:val="24"/>
        </w:rPr>
        <w:t>u</w:t>
      </w:r>
      <w:r w:rsidR="000E01EE" w:rsidRPr="00E757B2">
        <w:rPr>
          <w:rFonts w:ascii="Garamond" w:hAnsi="Garamond" w:cs="Times New Roman"/>
          <w:color w:val="000000" w:themeColor="text1"/>
          <w:sz w:val="24"/>
          <w:szCs w:val="24"/>
        </w:rPr>
        <w:t xml:space="preserve"> përket shërbimeve që do të ofrohen në objekt nën mbikëqyrjen e autoritetit ose entit kontraktues, pas dhënies së koncesionit dhe jo më vonë se momenti i fillimit të zbatimit të tij autoriteti ose enti kontraktues do t’i kërkojë koncesionarit që të bëjë të ditur emrin, të dhënat e kontaktit dhe të përfaqësuesit ligjor të nënkontraktorëve të tij, të përfshirë në këto punë dhe shërbime, për aq sa ky informacion është i disponueshëm në atë moment. Gjithashtu, koncesionari është i detyruar të njoftojë autoritetin ose entin kontraktues për çdo ndryshim në këtë informacion gjatë gjithë periudhës së koncesionit, si dhe për çdo nënkontraktor të ri që mund të përfshijë më vonë në këto punë ose shërbime. </w:t>
      </w:r>
    </w:p>
    <w:p w14:paraId="365D81B8"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Pavarësisht nga paragrafi i mësipërm, autoritetet ose entet kontraktuese mund të vendosin si detyrim që informacioni i kërkuar t’u dërgohet drejtpërdrejt nga koncesionari. Këto rregulla nuk zbatohen për furnizuesit.</w:t>
      </w:r>
    </w:p>
    <w:p w14:paraId="3C46517A"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Autoritetet ose entet kontraktuese mund të zgjerojnë detyrimet e mëposhtme:</w:t>
      </w:r>
    </w:p>
    <w:p w14:paraId="70B082CB"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p</w:t>
      </w:r>
      <w:r w:rsidR="000E01EE" w:rsidRPr="00E757B2">
        <w:rPr>
          <w:rFonts w:ascii="Garamond" w:hAnsi="Garamond" w:cs="Times New Roman"/>
          <w:color w:val="000000" w:themeColor="text1"/>
          <w:sz w:val="24"/>
          <w:szCs w:val="24"/>
        </w:rPr>
        <w:t>ër koncesionet e shërbimeve që nuk lidhen me shërbimet e ofruara në objektet nën mbikëqyrjen e autoritetit ose të entit kontraktues apo me furnizuesit e përfshirë në koncesionet e punëve dhe shërbimeve;</w:t>
      </w:r>
    </w:p>
    <w:p w14:paraId="3E969EE8"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p</w:t>
      </w:r>
      <w:r w:rsidR="000E01EE" w:rsidRPr="00E757B2">
        <w:rPr>
          <w:rFonts w:ascii="Garamond" w:hAnsi="Garamond" w:cs="Times New Roman"/>
          <w:color w:val="000000" w:themeColor="text1"/>
          <w:sz w:val="24"/>
          <w:szCs w:val="24"/>
        </w:rPr>
        <w:t>ër nënkontraktorët e nënkontraktorëve të koncesionarit ose për hallkat e mëtejshme në zinxhirin e nënkontraktimit.</w:t>
      </w:r>
    </w:p>
    <w:p w14:paraId="335AF92F" w14:textId="0EE4C8A1"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7. </w:t>
      </w:r>
      <w:r w:rsidR="000E01EE" w:rsidRPr="00E757B2">
        <w:rPr>
          <w:rFonts w:ascii="Garamond" w:hAnsi="Garamond" w:cs="Times New Roman"/>
          <w:color w:val="000000" w:themeColor="text1"/>
          <w:sz w:val="24"/>
          <w:szCs w:val="24"/>
        </w:rPr>
        <w:t>Me qëllim shmangien e shkeljeve të detyr</w:t>
      </w:r>
      <w:r w:rsidR="001A586F" w:rsidRPr="00E757B2">
        <w:rPr>
          <w:rFonts w:ascii="Garamond" w:hAnsi="Garamond" w:cs="Times New Roman"/>
          <w:color w:val="000000" w:themeColor="text1"/>
          <w:sz w:val="24"/>
          <w:szCs w:val="24"/>
        </w:rPr>
        <w:t>imeve të përcaktuara në pikën 4 të nenit 31</w:t>
      </w:r>
      <w:r w:rsidR="000E01EE" w:rsidRPr="00E757B2">
        <w:rPr>
          <w:rFonts w:ascii="Garamond" w:hAnsi="Garamond" w:cs="Times New Roman"/>
          <w:color w:val="000000" w:themeColor="text1"/>
          <w:sz w:val="24"/>
          <w:szCs w:val="24"/>
        </w:rPr>
        <w:t xml:space="preserve"> të këtij ligji, autoritetet ose entet kontraktuese mund të verifikojnë nëse ekzistojnë arsye për përjashtimin e nënkontraktorëve, në përputhje me pikat 4, 5, 6, 7, 8, 9, 10, 1</w:t>
      </w:r>
      <w:r w:rsidR="001A586F" w:rsidRPr="00E757B2">
        <w:rPr>
          <w:rFonts w:ascii="Garamond" w:hAnsi="Garamond" w:cs="Times New Roman"/>
          <w:color w:val="000000" w:themeColor="text1"/>
          <w:sz w:val="24"/>
          <w:szCs w:val="24"/>
        </w:rPr>
        <w:t>1 dhe 12</w:t>
      </w:r>
      <w:r w:rsidR="004D1F5C">
        <w:rPr>
          <w:rFonts w:ascii="Garamond" w:hAnsi="Garamond" w:cs="Times New Roman"/>
          <w:color w:val="000000" w:themeColor="text1"/>
          <w:sz w:val="24"/>
          <w:szCs w:val="24"/>
        </w:rPr>
        <w:t>,</w:t>
      </w:r>
      <w:r w:rsidR="001A586F" w:rsidRPr="00E757B2">
        <w:rPr>
          <w:rFonts w:ascii="Garamond" w:hAnsi="Garamond" w:cs="Times New Roman"/>
          <w:color w:val="000000" w:themeColor="text1"/>
          <w:sz w:val="24"/>
          <w:szCs w:val="24"/>
        </w:rPr>
        <w:t xml:space="preserve"> të nenit 38</w:t>
      </w:r>
      <w:r w:rsidR="000E01EE" w:rsidRPr="00E757B2">
        <w:rPr>
          <w:rFonts w:ascii="Garamond" w:hAnsi="Garamond" w:cs="Times New Roman"/>
          <w:color w:val="000000" w:themeColor="text1"/>
          <w:sz w:val="24"/>
          <w:szCs w:val="24"/>
        </w:rPr>
        <w:t xml:space="preserve"> të këtij ligji. Nëse verifikimi tregon se ka arsye të detyrueshme për përjashtim, autoriteti ose enti kontraktues i kërkon operatorit ekonomik fitues të zëvendësojë nënkontraktorin përkatës. Nëse verifikimi tregon arsye jo të detyrueshme për përjashtim, autoriteti ose enti kontraktues mund të kërkojë që operatori ekonomik ta zëvendësojë atë.</w:t>
      </w:r>
    </w:p>
    <w:p w14:paraId="44163DD1"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8. </w:t>
      </w:r>
      <w:r w:rsidR="000E01EE" w:rsidRPr="00E757B2">
        <w:rPr>
          <w:rFonts w:ascii="Garamond" w:hAnsi="Garamond" w:cs="Times New Roman"/>
          <w:color w:val="000000" w:themeColor="text1"/>
          <w:sz w:val="24"/>
          <w:szCs w:val="24"/>
        </w:rPr>
        <w:t>Dispozitat e këtij neni nuk prekin përgjegjësitë kryesore të operatorit ekonomik ndaj autoritetit ose entit kontraktor,</w:t>
      </w:r>
      <w:r w:rsidR="001A586F"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për të cilin nënkontraktorët mbeten palë e tretë, kundrejt marrëdhënies kontraktuale ndërmjet operatorit ekonomik dhe nënkontraktorëve të tij dhe duke e lënë operatorin ekonomik kryesor përgjegjës për zbatimin e të gjithë kontratës, pavarësisht se një pjesë e saj zbatohet nga nënkontraktorët.</w:t>
      </w:r>
    </w:p>
    <w:p w14:paraId="244E482E"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9. </w:t>
      </w:r>
      <w:r w:rsidR="000E01EE" w:rsidRPr="00E757B2">
        <w:rPr>
          <w:rFonts w:ascii="Garamond" w:hAnsi="Garamond" w:cs="Times New Roman"/>
          <w:color w:val="000000" w:themeColor="text1"/>
          <w:sz w:val="24"/>
          <w:szCs w:val="24"/>
        </w:rPr>
        <w:t>Rregulla më të hollësishme për nënkontraktimin përcaktohen me vendim të Këshillit të Ministrave.</w:t>
      </w:r>
    </w:p>
    <w:p w14:paraId="6A33CA9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FF05122"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59</w:t>
      </w:r>
    </w:p>
    <w:p w14:paraId="2165615E"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Zgjidhja e kontratës së koncesionit/partneritetit publik privat</w:t>
      </w:r>
    </w:p>
    <w:p w14:paraId="495508B9"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E3C762D" w14:textId="49F9492C"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w:t>
      </w:r>
      <w:r w:rsidR="00F64194">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Autoriteti ose enti kontraktues mund të ndërpresë kontratën kur plotësohet një ose më shumë nga kushtet e mëposhtme:</w:t>
      </w:r>
    </w:p>
    <w:p w14:paraId="508E7570"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m</w:t>
      </w:r>
      <w:r w:rsidR="000E01EE" w:rsidRPr="00E757B2">
        <w:rPr>
          <w:rFonts w:ascii="Garamond" w:hAnsi="Garamond" w:cs="Times New Roman"/>
          <w:color w:val="000000" w:themeColor="text1"/>
          <w:sz w:val="24"/>
          <w:szCs w:val="24"/>
        </w:rPr>
        <w:t>und të provojë se koncesionari/partneri privat nuk mund të kryejë detyrimet e veta, për shkak të paaftësisë paguese, shkeljeve serioze apo çështjeve të tjera, që pengojnë apo nuk lejojnë vazhdimin e kontratës, në përputhje me standardet teknike dhe me standardet e tjera të pranuara;</w:t>
      </w:r>
    </w:p>
    <w:p w14:paraId="043C2268"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k</w:t>
      </w:r>
      <w:r w:rsidR="000E01EE" w:rsidRPr="00E757B2">
        <w:rPr>
          <w:rFonts w:ascii="Garamond" w:hAnsi="Garamond" w:cs="Times New Roman"/>
          <w:color w:val="000000" w:themeColor="text1"/>
          <w:sz w:val="24"/>
          <w:szCs w:val="24"/>
        </w:rPr>
        <w:t xml:space="preserve">ërkohet një ndryshim i kontratës së koncesionit/partneritetit publik privat, e cila do të kërkonte një procedurë të re të dhënies së kontratës, në përputhje me pikën </w:t>
      </w:r>
      <w:r w:rsidR="00BD304C" w:rsidRPr="00E757B2">
        <w:rPr>
          <w:rFonts w:ascii="Garamond" w:hAnsi="Garamond" w:cs="Times New Roman"/>
          <w:color w:val="000000" w:themeColor="text1"/>
          <w:sz w:val="24"/>
          <w:szCs w:val="24"/>
        </w:rPr>
        <w:t>10</w:t>
      </w:r>
      <w:r w:rsidR="00750269" w:rsidRPr="00E757B2">
        <w:rPr>
          <w:rFonts w:ascii="Garamond" w:hAnsi="Garamond" w:cs="Times New Roman"/>
          <w:color w:val="000000" w:themeColor="text1"/>
          <w:sz w:val="24"/>
          <w:szCs w:val="24"/>
        </w:rPr>
        <w:t xml:space="preserve"> të nenit 56</w:t>
      </w:r>
      <w:r w:rsidR="000E01EE" w:rsidRPr="00E757B2">
        <w:rPr>
          <w:rFonts w:ascii="Garamond" w:hAnsi="Garamond" w:cs="Times New Roman"/>
          <w:color w:val="000000" w:themeColor="text1"/>
          <w:sz w:val="24"/>
          <w:szCs w:val="24"/>
        </w:rPr>
        <w:t xml:space="preserve"> të këtij ligji;</w:t>
      </w:r>
    </w:p>
    <w:p w14:paraId="1200A5A8"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k</w:t>
      </w:r>
      <w:r w:rsidR="000E01EE" w:rsidRPr="00E757B2">
        <w:rPr>
          <w:rFonts w:ascii="Garamond" w:hAnsi="Garamond" w:cs="Times New Roman"/>
          <w:color w:val="000000" w:themeColor="text1"/>
          <w:sz w:val="24"/>
          <w:szCs w:val="24"/>
        </w:rPr>
        <w:t xml:space="preserve">oncesionari/partneri privat </w:t>
      </w:r>
      <w:r w:rsidR="004130A4" w:rsidRPr="00E757B2">
        <w:rPr>
          <w:rFonts w:ascii="Garamond" w:hAnsi="Garamond" w:cs="Times New Roman"/>
          <w:color w:val="000000" w:themeColor="text1"/>
          <w:sz w:val="24"/>
          <w:szCs w:val="24"/>
        </w:rPr>
        <w:t>ka qenë</w:t>
      </w:r>
      <w:r w:rsidR="000E01EE" w:rsidRPr="00E757B2">
        <w:rPr>
          <w:rFonts w:ascii="Garamond" w:hAnsi="Garamond" w:cs="Times New Roman"/>
          <w:color w:val="000000" w:themeColor="text1"/>
          <w:sz w:val="24"/>
          <w:szCs w:val="24"/>
        </w:rPr>
        <w:t xml:space="preserve"> në momentin e zhvillimit të procedurës konkurruese të dhënies së kontratës në një nga si</w:t>
      </w:r>
      <w:r w:rsidR="00750269" w:rsidRPr="00E757B2">
        <w:rPr>
          <w:rFonts w:ascii="Garamond" w:hAnsi="Garamond" w:cs="Times New Roman"/>
          <w:color w:val="000000" w:themeColor="text1"/>
          <w:sz w:val="24"/>
          <w:szCs w:val="24"/>
        </w:rPr>
        <w:t>tuatat e përcaktuara në pikën 4 të nenit 38 të këtij ligji dhe për rrjedhojë</w:t>
      </w:r>
      <w:r w:rsidR="000E01EE" w:rsidRPr="00E757B2">
        <w:rPr>
          <w:rFonts w:ascii="Garamond" w:hAnsi="Garamond" w:cs="Times New Roman"/>
          <w:color w:val="000000" w:themeColor="text1"/>
          <w:sz w:val="24"/>
          <w:szCs w:val="24"/>
        </w:rPr>
        <w:t xml:space="preserve"> duhet të ishte shkualifikuar nga kjo procedurë;</w:t>
      </w:r>
    </w:p>
    <w:p w14:paraId="3DDFE883"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k</w:t>
      </w:r>
      <w:r w:rsidR="000E01EE" w:rsidRPr="00E757B2">
        <w:rPr>
          <w:rFonts w:ascii="Garamond" w:hAnsi="Garamond" w:cs="Times New Roman"/>
          <w:color w:val="000000" w:themeColor="text1"/>
          <w:sz w:val="24"/>
          <w:szCs w:val="24"/>
        </w:rPr>
        <w:t>oncesionari/partneri privat dështon në sigurimin e financimit të projektit brenda 12 (dymbëdhjetë) muajve, përveç rasteve kur është p</w:t>
      </w:r>
      <w:r w:rsidRPr="00E757B2">
        <w:rPr>
          <w:rFonts w:ascii="Garamond" w:hAnsi="Garamond" w:cs="Times New Roman"/>
          <w:color w:val="000000" w:themeColor="text1"/>
          <w:sz w:val="24"/>
          <w:szCs w:val="24"/>
        </w:rPr>
        <w:t>arashikuar ndryshe në kontratë.</w:t>
      </w:r>
    </w:p>
    <w:p w14:paraId="51E7B232"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Secila palë, përveç rasteve kur parashikohet ndryshe në kontratë, ka të drejtë të zgjidhë kontratën kur:</w:t>
      </w:r>
    </w:p>
    <w:p w14:paraId="40AC0261"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përmbushja e detyrimeve bëhet e pamundur për shkak të rrethanave të secilës palë;</w:t>
      </w:r>
    </w:p>
    <w:p w14:paraId="21E41164"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ka shkelje serioze nga pala tjetër dhe se kjo palë nuk mund ta korrigjojë këtë shkelje brenda afatit kohor dhe në mënyrën e përcaktuar në kontratë.</w:t>
      </w:r>
    </w:p>
    <w:p w14:paraId="457BEE1D" w14:textId="77777777" w:rsidR="000E01EE" w:rsidRPr="00E757B2" w:rsidRDefault="00246A53"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 xml:space="preserve">Palët kanë të drejtë, gjithashtu, të zgjidhin kontratën me pëlqim reciprok. </w:t>
      </w:r>
    </w:p>
    <w:p w14:paraId="3E6A9EA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4.</w:t>
      </w:r>
      <w:r w:rsidR="00246A53" w:rsidRPr="00E757B2">
        <w:rPr>
          <w:rFonts w:ascii="Garamond" w:hAnsi="Garamond" w:cs="Times New Roman"/>
          <w:color w:val="000000" w:themeColor="text1"/>
          <w:sz w:val="24"/>
          <w:szCs w:val="24"/>
        </w:rPr>
        <w:t xml:space="preserve"> </w:t>
      </w:r>
      <w:r w:rsidRPr="00E757B2">
        <w:rPr>
          <w:rFonts w:ascii="Garamond" w:hAnsi="Garamond" w:cs="Times New Roman"/>
          <w:color w:val="000000" w:themeColor="text1"/>
          <w:sz w:val="24"/>
          <w:szCs w:val="24"/>
        </w:rPr>
        <w:t>Para zgjidhjes së kontratës, në përputhje me këtë nen, autoriteti ose enti kontraktues informon ministrinë përgjegjëse për financat për të gjitha rrethanat e njohura, të cilat çojnë e krijojnë kushtet për zgjidhjen e kontratës, dhe kërkon mendimin e saj.</w:t>
      </w:r>
    </w:p>
    <w:p w14:paraId="1B548D5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5BFDA7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60</w:t>
      </w:r>
    </w:p>
    <w:p w14:paraId="7C2CCB1D"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Njësia e zbatimit të kontratës</w:t>
      </w:r>
    </w:p>
    <w:p w14:paraId="5D79071A"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7125C1F"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Njësia e zbatimit të kontratës (në vijim, NJZK) është njësia e përhershme e ngritur brenda autoritetit kontraktues, përgjegjëse për menaxhimin e kontratës së koncesionit/partneritetit publik privat. Menaxhimi i kontratës është procesi i administrimit dhe i mbikëqyrjes së ekzekutimit të kontratës nga hyrja në fuqi deri në përfundimin e saj. Ky proces siguron që të gjitha palët kontraktuese të përmbushin detyrimet e tyre në përputhje me kushtet, afatet dhe termat e përcaktuar në kontratë, duke adresuar çdo problematikë që mund të lindë gjatë zbatimit të saj. NJZK-ja monitoron zbatimin e parashikimeve të kontratës, kushteve dhe afateve të saj, duke adresuar te</w:t>
      </w:r>
      <w:r w:rsidR="00750269" w:rsidRPr="00E757B2">
        <w:rPr>
          <w:rFonts w:ascii="Garamond" w:hAnsi="Garamond" w:cs="Times New Roman"/>
          <w:color w:val="000000" w:themeColor="text1"/>
          <w:sz w:val="24"/>
          <w:szCs w:val="24"/>
        </w:rPr>
        <w:t>k</w:t>
      </w:r>
      <w:r w:rsidR="000E01EE" w:rsidRPr="00E757B2">
        <w:rPr>
          <w:rFonts w:ascii="Garamond" w:hAnsi="Garamond" w:cs="Times New Roman"/>
          <w:color w:val="000000" w:themeColor="text1"/>
          <w:sz w:val="24"/>
          <w:szCs w:val="24"/>
        </w:rPr>
        <w:t xml:space="preserve"> titullari i autoritetit kontraktues çdo problematikë që mund të lindë gjatë zbatimit të saj.</w:t>
      </w:r>
    </w:p>
    <w:p w14:paraId="6664C569"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Detyrat e NJZK-së përfshijnë hartimin e planit të detajuar të zbatimit të kontratës, monitorimin e performancës jofinanciare, monitorimin e performancës financiare, menaxhimin e rreziqeve/risqeve, raportimin dhe dokumentimin e zbatimit të kontratës, vlerësimin përfundimtar ose zgjatjen e afatit të kontratës, trajtimin e kërkesave apo të pretendimeve, që koncesionari/partneri privat ka ndaj autoritetit kontraktues, në kuadër të kontratës së koncesionit/partneritetit publik privat, si edhe problematika të tjera që mund të lindin gjatë periudhës së zbatimit të saj. Për përmbushjen e detyrave të renditura më sipër, kur është e nevojshme, NJZK-ja kërkon nga autoriteti kontraktues mbështetje me ekspertizë të specializuar. Kur autoritetit kontraktues i mungon ekspertiza e specializuar që kërkohet nga NJZK-ja, e siguron atë nëpërmjet ekspertëve/konsulentëve të jashtëm të pajtuar, në përputhje me procedurat e prokurimit publik.</w:t>
      </w:r>
    </w:p>
    <w:p w14:paraId="42F6372B"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NJZK-ja harton dhe i paraqet autoritetit kontraktues, të paktën, katër raporte periodike në vit për performancën financiare dhe jofinanciare të kontratave të koncesionit/partneritetit publik privat, si dhe një raport vjetor për ecurinë e zbatimit të kushteve dhe të afateve të kontratës së koncesionit/partneritetit publik privat, i cili përfshin të dhëna mbi sasinë dhe cilësinë e punëve e të shërbimeve të realizuara, njoftimet që palët kontraktuese</w:t>
      </w:r>
      <w:r w:rsidR="007E2AC4" w:rsidRPr="00E757B2">
        <w:rPr>
          <w:rFonts w:ascii="Garamond" w:hAnsi="Garamond" w:cs="Times New Roman"/>
          <w:color w:val="000000" w:themeColor="text1"/>
          <w:sz w:val="24"/>
          <w:szCs w:val="24"/>
        </w:rPr>
        <w:t xml:space="preserve"> i kanë bërë </w:t>
      </w:r>
      <w:r w:rsidR="000E01EE" w:rsidRPr="00E757B2">
        <w:rPr>
          <w:rFonts w:ascii="Garamond" w:hAnsi="Garamond" w:cs="Times New Roman"/>
          <w:color w:val="000000" w:themeColor="text1"/>
          <w:sz w:val="24"/>
          <w:szCs w:val="24"/>
        </w:rPr>
        <w:t>njëra-tjetrës, si dhe identifikimin e çdo problematike të hasur gjatë periudhës së raportimit.</w:t>
      </w:r>
    </w:p>
    <w:p w14:paraId="7AAF4748"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 xml:space="preserve">Përpara përfundimit të kontratës, NJZK-ja harton raportin përfundimtar </w:t>
      </w:r>
      <w:r w:rsidR="004130A4" w:rsidRPr="00E757B2">
        <w:rPr>
          <w:rFonts w:ascii="Garamond" w:hAnsi="Garamond" w:cs="Times New Roman"/>
          <w:color w:val="000000" w:themeColor="text1"/>
          <w:sz w:val="24"/>
          <w:szCs w:val="24"/>
        </w:rPr>
        <w:t>për</w:t>
      </w:r>
      <w:r w:rsidR="000E01EE" w:rsidRPr="00E757B2">
        <w:rPr>
          <w:rFonts w:ascii="Garamond" w:hAnsi="Garamond" w:cs="Times New Roman"/>
          <w:color w:val="000000" w:themeColor="text1"/>
          <w:sz w:val="24"/>
          <w:szCs w:val="24"/>
        </w:rPr>
        <w:t xml:space="preserve"> realizimin e kontratës, i cili përmban një vlerësim të plotë të zbatimit dhe realizimit të kontratës, mangësive apo problematikave të hasura në vite, si dhe mënyrën e zgjidhjes apo të tejkalimit të tyre. </w:t>
      </w:r>
    </w:p>
    <w:p w14:paraId="314E8D1E"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 xml:space="preserve">Raporti vjetor dhe raporti përfundimtar, të përmendur përkatësisht në pikat 3 dhe 4 të këtij neni, paraqiten edhe në institucionin përgjegjës për koncesionet dhe partneritetin publik privat, i cili i publikon me kontratën përkatëse në regjistrin e koncesioneve/partneritetit publik privat. Mosparaqitja në kohë e këtyre raporteve përbën kundërvajtje administrative dhe dënohet me gjobë nga 10 000 (dhjetë mijë) lekë deri </w:t>
      </w:r>
      <w:r w:rsidR="00670AD8" w:rsidRPr="00E757B2">
        <w:rPr>
          <w:rFonts w:ascii="Garamond" w:hAnsi="Garamond" w:cs="Times New Roman"/>
          <w:color w:val="000000" w:themeColor="text1"/>
          <w:sz w:val="24"/>
          <w:szCs w:val="24"/>
        </w:rPr>
        <w:t xml:space="preserve">në </w:t>
      </w:r>
      <w:r w:rsidR="000E01EE" w:rsidRPr="00E757B2">
        <w:rPr>
          <w:rFonts w:ascii="Garamond" w:hAnsi="Garamond" w:cs="Times New Roman"/>
          <w:color w:val="000000" w:themeColor="text1"/>
          <w:sz w:val="24"/>
          <w:szCs w:val="24"/>
        </w:rPr>
        <w:t>100 000 (njëqind mijë) lekë. Gjoba vendoset nga institucioni përgjegjës për koncesionet dhe partneritetin publik privat.</w:t>
      </w:r>
    </w:p>
    <w:p w14:paraId="2D888A65"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6. </w:t>
      </w:r>
      <w:r w:rsidR="000E01EE" w:rsidRPr="00E757B2">
        <w:rPr>
          <w:rFonts w:ascii="Garamond" w:hAnsi="Garamond" w:cs="Times New Roman"/>
          <w:color w:val="000000" w:themeColor="text1"/>
          <w:sz w:val="24"/>
          <w:szCs w:val="24"/>
        </w:rPr>
        <w:t>NJZK-ja raporton në institucionin përgjegjës për koncesionet dhe partneritetin publik privat, sa herë kërkohet dhe brenda afatit të përcaktuar nga ky i fundit, për çdo çështje të lidhur me kontratën e koncesionit/partneritetit publik privat. Mosraportimi i përsëritur brenda afatit përbën kundërvajtje administrative dhe dënohet me gjobë nga 10 000 (dhjetë mijë) lekë deri në 100 000 (njëqind mijë) lekë. Gjoba vendoset nga institucioni përgjegjës për koncesionet d</w:t>
      </w:r>
      <w:r w:rsidRPr="00E757B2">
        <w:rPr>
          <w:rFonts w:ascii="Garamond" w:hAnsi="Garamond" w:cs="Times New Roman"/>
          <w:color w:val="000000" w:themeColor="text1"/>
          <w:sz w:val="24"/>
          <w:szCs w:val="24"/>
        </w:rPr>
        <w:t>he partneritetin publik privat.</w:t>
      </w:r>
    </w:p>
    <w:p w14:paraId="6A321E01"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7. </w:t>
      </w:r>
      <w:r w:rsidR="000E01EE" w:rsidRPr="00E757B2">
        <w:rPr>
          <w:rFonts w:ascii="Garamond" w:hAnsi="Garamond" w:cs="Times New Roman"/>
          <w:color w:val="000000" w:themeColor="text1"/>
          <w:sz w:val="24"/>
          <w:szCs w:val="24"/>
        </w:rPr>
        <w:t>Rregullat e hollësishme për mënyrën e ngritjes, funksionet, detyrat, marrëdhënien me institucionin përgjegjës për koncesionet dhe partneritetin publik privat, si dhe trajtimin financiar të punonjësve të NJZK-së përcaktohen me vendim të Këshillit të Ministrave.</w:t>
      </w:r>
    </w:p>
    <w:p w14:paraId="1FB5F9FC"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344086C"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KREU VI</w:t>
      </w:r>
    </w:p>
    <w:p w14:paraId="0403E2D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ÇËSHTJET FINANCIARE DHE ÇËSHTJET E LIDHURA</w:t>
      </w:r>
    </w:p>
    <w:p w14:paraId="24221026"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49D24491"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61</w:t>
      </w:r>
    </w:p>
    <w:p w14:paraId="229D4273"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Marrëdhëniet e pronësisë</w:t>
      </w:r>
    </w:p>
    <w:p w14:paraId="060AEC1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C106F5E"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Në rast se një kontratë koncesioni/partneriteti publik privat përfshin përdorimin e pasurisë në pronësi të një personi, që nuk është i përfshirë në procedurën për dhënie të kontratës, marrëdhëniet e pronësisë, që shoqërojnë një pasuri të tillë, duhet të zgjidhen sipas legjislacionit në fuqi, në mënyrë që të mos pengohet realizimi i projektit gjatë periudhës së kontraktuar.</w:t>
      </w:r>
    </w:p>
    <w:p w14:paraId="4D8D65C1"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Nëse Republika e Shqipërisë është pronare e pasurisë së paluajtshme, të përfshirë në realizimin e një kontrate koncesioni/partneriteti publik privat, ose nëse koncesioni/partneriteti publik privat përfshin përdorimin e të mirave publike, atëherë autoriteti kontraktues zgjidh të gjitha marrëdhëniet e pronësisë, në përputhje me legjislacionin në fuqi, në një mënyrë që të mos pengohet realizimi i projektit gjatë periudhës së kontraktuar.</w:t>
      </w:r>
    </w:p>
    <w:p w14:paraId="448579A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F98BBA8"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62</w:t>
      </w:r>
    </w:p>
    <w:p w14:paraId="3163FA84"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E drejta e pronësisë</w:t>
      </w:r>
    </w:p>
    <w:p w14:paraId="638E75AA"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B44E12F"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Objektet e ndërtuara në bazë të një kontrate koncesioni/partneriteti publik privat, duke përfshirë shtesat dhe përmirësimet, janë në pronësi të autoritetit kontraktues, përveçse kur parashikohet ndryshe në kontratë.</w:t>
      </w:r>
    </w:p>
    <w:p w14:paraId="4C7FAD87"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Në dokumentacionin e tenderit autoriteti kontraktues duhet të parashikojë kushtet në bazë të të cilave rregullohen të drejtat e pronësisë, të përshkruara në pikën 1 të këtij neni.</w:t>
      </w:r>
    </w:p>
    <w:p w14:paraId="5930EBC8"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Pas zgjidhjes së kontratës koncesionari/partneri privat është i detyruar të dorëzojë objektet e ndërtuara në bazë të kontratës, pavarësisht nëse ato janë ndërtuar, rindërtuar, ruajtur, pajisur ose përmirësuar, tërësisht ose pjesërisht, sipas kushteve dhe mënyrës së përcaktuar në kontratë, përveçse kur parashikohet ndryshe nga ky ligj.</w:t>
      </w:r>
    </w:p>
    <w:p w14:paraId="44D24C65"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 xml:space="preserve">Të gjitha çështjet, duke përfshirë edhe kushtet që kanë të bëjnë me të drejtat e pronësisë, si dhe </w:t>
      </w:r>
      <w:r w:rsidR="00C11E7B" w:rsidRPr="00E757B2">
        <w:rPr>
          <w:rFonts w:ascii="Garamond" w:hAnsi="Garamond" w:cs="Times New Roman"/>
          <w:color w:val="000000" w:themeColor="text1"/>
          <w:sz w:val="24"/>
          <w:szCs w:val="24"/>
        </w:rPr>
        <w:t xml:space="preserve">me </w:t>
      </w:r>
      <w:r w:rsidR="000E01EE" w:rsidRPr="00E757B2">
        <w:rPr>
          <w:rFonts w:ascii="Garamond" w:hAnsi="Garamond" w:cs="Times New Roman"/>
          <w:color w:val="000000" w:themeColor="text1"/>
          <w:sz w:val="24"/>
          <w:szCs w:val="24"/>
        </w:rPr>
        <w:t>standardet e kërkuara të cilësisë, janë objekt i analizës së studimit të fizibilitetit të koncesionit/partneritetit publik privat për atë kontratë dhe të përcaktuara në dokumentacionin e tenderit, si dhe në vetë kontratën.</w:t>
      </w:r>
    </w:p>
    <w:p w14:paraId="52C99861"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AE7AB5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63</w:t>
      </w:r>
    </w:p>
    <w:p w14:paraId="44A4E3E0"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Subjekti për qëllime të veçanta (SPV)</w:t>
      </w:r>
    </w:p>
    <w:p w14:paraId="04C6D5DB"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5B06DEFD"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Autoriteti kontraktor, nëse e konsideron të nevojshme për zbatimin me sukses të kontratës, mund të kërkojë në dokumentacionin e tenderit që operatori ekonomik/bashkimi i operatorëve ekonomikë</w:t>
      </w:r>
      <w:r w:rsidR="00235A46"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i shpallur fitues</w:t>
      </w:r>
      <w:r w:rsidR="00235A46"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të krijojë një person juridik, një subjekt për qëllime të veçanta (SPV), që do të jetë përgjegjës për zbatimin e projektit të koncesionit/partneritetit publik privat.</w:t>
      </w:r>
    </w:p>
    <w:p w14:paraId="31A58519"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SPV-ja mund të marrë pjesë vetëm në zbatimin e një kontrate koncesioni/partneriteti publik privat</w:t>
      </w:r>
      <w:r w:rsidRPr="00E757B2">
        <w:rPr>
          <w:rFonts w:ascii="Garamond" w:hAnsi="Garamond" w:cs="Times New Roman"/>
          <w:color w:val="000000" w:themeColor="text1"/>
          <w:sz w:val="24"/>
          <w:szCs w:val="24"/>
        </w:rPr>
        <w:t>, për të cilën është themeluar.</w:t>
      </w:r>
    </w:p>
    <w:p w14:paraId="35EFED38"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SPV-ja krijohet në përputhje me dispozitat e ligjit shqiptar, që rregullojnë themelimin dhe funksionimin e shoqërive tregtare.</w:t>
      </w:r>
    </w:p>
    <w:p w14:paraId="506C4EB7"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Në rastin e përcaktuar në pikën 1 të këtij neni, dokumentet e tenderit duhet të specifikojnë format e personit juridik, shumën minimale të kapitalit, si dhe marrëdhëniet e tjera ndërmjet ofertuesit më të suksesshëm, subjektit për qëllime të veçanta dhe autoritetit kontraktues.</w:t>
      </w:r>
    </w:p>
    <w:p w14:paraId="6614A65C"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13EF622"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64</w:t>
      </w:r>
    </w:p>
    <w:p w14:paraId="2775409B"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Interesat e sigurisë</w:t>
      </w:r>
    </w:p>
    <w:p w14:paraId="583C545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D7DA717"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Koncesionari/partneri privat mund sigurojë të drejtat e tij ndaj çdo pagese të çdo lloji të marrë ose që pritet të merret nga ai</w:t>
      </w:r>
      <w:r w:rsidR="00BD31F3"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në zbatim të një kontrate koncesioni/partneriteti publik privat ose në lidhje me të, pa cenuar të drejtën e tij ndaj çdo pjese tjetër të pasurisë së tij. Ky sigurim nuk mund të krijohet pa pëlqimin e autoritetit kontraktues dhe mund të bëhet vetëm në favor të institucioneve financiare për të siguruar pretendimet e këtyre institucioneve mbi bazën e kontratës së kredisë.</w:t>
      </w:r>
    </w:p>
    <w:p w14:paraId="787FEA61"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Pretendimet e institu</w:t>
      </w:r>
      <w:r w:rsidR="00BD31F3" w:rsidRPr="00E757B2">
        <w:rPr>
          <w:rFonts w:ascii="Garamond" w:hAnsi="Garamond" w:cs="Times New Roman"/>
          <w:color w:val="000000" w:themeColor="text1"/>
          <w:sz w:val="24"/>
          <w:szCs w:val="24"/>
        </w:rPr>
        <w:t>cionit financiar, sipas pikës 1</w:t>
      </w:r>
      <w:r w:rsidR="000E01EE" w:rsidRPr="00E757B2">
        <w:rPr>
          <w:rFonts w:ascii="Garamond" w:hAnsi="Garamond" w:cs="Times New Roman"/>
          <w:color w:val="000000" w:themeColor="text1"/>
          <w:sz w:val="24"/>
          <w:szCs w:val="24"/>
        </w:rPr>
        <w:t xml:space="preserve"> të këtij neni, lidhen vetëm me instrumentet financiare të fituara për qëllime të ekzekutimit të kontratës së koncesionit/partneritetit publik privat dhe nuk përfshijnë asnjë nga pretendimet e tjera, që kanë institucionet financiare ndaj koncesionarit/partnerit privat për arsye të tjera.</w:t>
      </w:r>
    </w:p>
    <w:p w14:paraId="5E4F80F3"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B12D1E8" w14:textId="77777777" w:rsidR="0011383D" w:rsidRPr="00E757B2" w:rsidRDefault="0011383D" w:rsidP="002D3692">
      <w:pPr>
        <w:spacing w:after="0" w:line="240" w:lineRule="auto"/>
        <w:ind w:firstLine="284"/>
        <w:jc w:val="center"/>
        <w:rPr>
          <w:rFonts w:ascii="Garamond" w:hAnsi="Garamond" w:cs="Times New Roman"/>
          <w:color w:val="000000" w:themeColor="text1"/>
          <w:sz w:val="24"/>
          <w:szCs w:val="24"/>
        </w:rPr>
      </w:pPr>
    </w:p>
    <w:p w14:paraId="0C0B6CC7"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65</w:t>
      </w:r>
    </w:p>
    <w:p w14:paraId="2D58CA50"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Dispozita e stabilizimit</w:t>
      </w:r>
    </w:p>
    <w:p w14:paraId="4256257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DE94915"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Në përputhje me pikën 2 të këtij neni, ministritë dhe institucionet publike në varësi ose nën përgjegjësinë e tyre, që financohen nga buxheti i shtetit, mund të hyjnë në një angazhim detyrues, në emër të shtetit, i cili mund të sjellë implikime të drejtpërdrejta ose të tërthorta financiare në buxhetin e shtetit dhe/ose që do të ketë efektin e sigurimit të garancive financiare të përshtatshme në favor të koncesionarit/partnerit privat, me të cilin do të mbrohet kundër pasojave financiare të legjislacionit, i cili hyn në fuqi pas fillimit të kontratës së koncesionit/partneritetit publik privat, që u nënshtrohet kufizimeve të mëposhtme:</w:t>
      </w:r>
    </w:p>
    <w:p w14:paraId="79A5A38F"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p</w:t>
      </w:r>
      <w:r w:rsidR="000E01EE" w:rsidRPr="00E757B2">
        <w:rPr>
          <w:rFonts w:ascii="Garamond" w:hAnsi="Garamond" w:cs="Times New Roman"/>
          <w:color w:val="000000" w:themeColor="text1"/>
          <w:sz w:val="24"/>
          <w:szCs w:val="24"/>
        </w:rPr>
        <w:t>asojat financiare duhet të përshkruhen në mënyrë të qartë dhe të saktë;</w:t>
      </w:r>
    </w:p>
    <w:p w14:paraId="6280ABBE"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a</w:t>
      </w:r>
      <w:r w:rsidR="000E01EE" w:rsidRPr="00E757B2">
        <w:rPr>
          <w:rFonts w:ascii="Garamond" w:hAnsi="Garamond" w:cs="Times New Roman"/>
          <w:color w:val="000000" w:themeColor="text1"/>
          <w:sz w:val="24"/>
          <w:szCs w:val="24"/>
        </w:rPr>
        <w:t>ngazhimi përfundon me përfundimin e marrëveshjes së koncesionit/partneritetit publik privat;</w:t>
      </w:r>
    </w:p>
    <w:p w14:paraId="7D498F88"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d</w:t>
      </w:r>
      <w:r w:rsidR="000E01EE" w:rsidRPr="00E757B2">
        <w:rPr>
          <w:rFonts w:ascii="Garamond" w:hAnsi="Garamond" w:cs="Times New Roman"/>
          <w:color w:val="000000" w:themeColor="text1"/>
          <w:sz w:val="24"/>
          <w:szCs w:val="24"/>
        </w:rPr>
        <w:t>uhet të përshkruhet natyra e legjislacionit.</w:t>
      </w:r>
    </w:p>
    <w:p w14:paraId="0A1449BF" w14:textId="77777777" w:rsidR="000E01EE" w:rsidRPr="00E757B2" w:rsidRDefault="000D0BC1"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Një angazhim i tillë detyrues mund të ndërmerret vetëm pas miratimit me vendim të Këshillit të Ministrave. Llojet dhe natyra e angazhimit detyrues përcaktohen me vendim të Këshillit të Ministrave.</w:t>
      </w:r>
    </w:p>
    <w:p w14:paraId="475DE93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8C9ECF3"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KREU VII</w:t>
      </w:r>
    </w:p>
    <w:p w14:paraId="75942906"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ANKIMI ADMINISTRATIV</w:t>
      </w:r>
    </w:p>
    <w:p w14:paraId="4FF6CA08"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49B182AD"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66</w:t>
      </w:r>
    </w:p>
    <w:p w14:paraId="39EF04A9"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E drejta e ankimimit</w:t>
      </w:r>
    </w:p>
    <w:p w14:paraId="21928AC2" w14:textId="77777777" w:rsidR="000E01EE" w:rsidRPr="00E757B2" w:rsidRDefault="000E01EE" w:rsidP="002D3692">
      <w:pPr>
        <w:spacing w:after="0" w:line="240" w:lineRule="auto"/>
        <w:ind w:firstLine="284"/>
        <w:jc w:val="both"/>
        <w:rPr>
          <w:rFonts w:ascii="Garamond" w:hAnsi="Garamond" w:cs="Times New Roman"/>
          <w:b/>
          <w:color w:val="000000" w:themeColor="text1"/>
          <w:sz w:val="24"/>
          <w:szCs w:val="24"/>
        </w:rPr>
      </w:pPr>
    </w:p>
    <w:p w14:paraId="0DE1F345"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Çdo operator ekonomik, i cili ka ose ka pasur interes në një procedurë konkurruese dhe kur është dëmtuar ose rrezikohet të dëmtohet nga vendimmarrja e autoritetit/entit kontraktues, për të cilin pretendon se është marrë në kundërshtim me ligjin, ka të drejtë të ankohet pranë K</w:t>
      </w:r>
      <w:r w:rsidRPr="00E757B2">
        <w:rPr>
          <w:rFonts w:ascii="Garamond" w:hAnsi="Garamond" w:cs="Times New Roman"/>
          <w:color w:val="000000" w:themeColor="text1"/>
          <w:sz w:val="24"/>
          <w:szCs w:val="24"/>
        </w:rPr>
        <w:t>omisionit të Prokurimit Publik.</w:t>
      </w:r>
    </w:p>
    <w:p w14:paraId="303E59C9"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Ndaj vendimit të Komisionit të Prokurimit Publik ankimuesi ka të drejtë të ankimojë në gjykatën përkatëse, që shqyrton mosmarrëveshjet administrative. Ankimi në gjykatë nuk pezullon procedurat konkurruese, lidhjen e kontratës apo ekzekutimin e detyrimeve ndërmjet palëve.</w:t>
      </w:r>
    </w:p>
    <w:p w14:paraId="28ECB1FC"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bookmarkStart w:id="0" w:name="_GoBack"/>
      <w:bookmarkEnd w:id="0"/>
      <w:r w:rsidRPr="00E757B2">
        <w:rPr>
          <w:rFonts w:ascii="Garamond" w:hAnsi="Garamond" w:cs="Times New Roman"/>
          <w:color w:val="000000" w:themeColor="text1"/>
          <w:sz w:val="24"/>
          <w:szCs w:val="24"/>
        </w:rPr>
        <w:t>Neni 67</w:t>
      </w:r>
    </w:p>
    <w:p w14:paraId="1B74E19F"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Afatet e ankimit</w:t>
      </w:r>
    </w:p>
    <w:p w14:paraId="6E0058C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E5A4666"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Në rastin e ankesave për dokumentet e procedurës konkurruese operatorët ekonomikë kanë të drejtë të ankimojnë brend</w:t>
      </w:r>
      <w:r w:rsidR="00BD31F3" w:rsidRPr="00E757B2">
        <w:rPr>
          <w:rFonts w:ascii="Garamond" w:hAnsi="Garamond" w:cs="Times New Roman"/>
          <w:color w:val="000000" w:themeColor="text1"/>
          <w:sz w:val="24"/>
          <w:szCs w:val="24"/>
        </w:rPr>
        <w:t xml:space="preserve">a 10 (dhjetë) ditëve nga dita e </w:t>
      </w:r>
      <w:r w:rsidR="000E01EE" w:rsidRPr="00E757B2">
        <w:rPr>
          <w:rFonts w:ascii="Garamond" w:hAnsi="Garamond" w:cs="Times New Roman"/>
          <w:color w:val="000000" w:themeColor="text1"/>
          <w:sz w:val="24"/>
          <w:szCs w:val="24"/>
        </w:rPr>
        <w:t>nesërme e publikimit të njoftimit të kontratës ose publikimit të ndryshimit të kërkesave në dokumentet e tenderit.</w:t>
      </w:r>
    </w:p>
    <w:p w14:paraId="084B7FD0"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Në rastin e ankesave për vendimin e vlerësimit/klasifikimit përfundimtar operatorët ekonomikë kanë të drejtë të ankimojnë brenda 10 (dhjetë) ditëve nga dita e nesërme e publikimit të njoftimit të fituesit ose publikimit të njoftimit të anulimit.</w:t>
      </w:r>
    </w:p>
    <w:p w14:paraId="53731059"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Në procedurat me faza, në rastin e ankesave për vendimin e përzgjedhjes së kandidatëve pas fazës së parakualifikimit, operatorët ekonomikë kanë të drejtë të ankohen brenda 10 (dhjetë) ditëve nga marrja e njoftimit për këtë vendim. Në rastin e ankesave për vendimin e vlerësimit/klasifikimit të ofertave, operatorët ekonomikë kanë të drejtë të</w:t>
      </w:r>
      <w:r w:rsidR="00BD31F3" w:rsidRPr="00E757B2">
        <w:rPr>
          <w:rFonts w:ascii="Garamond" w:hAnsi="Garamond" w:cs="Times New Roman"/>
          <w:color w:val="000000" w:themeColor="text1"/>
          <w:sz w:val="24"/>
          <w:szCs w:val="24"/>
        </w:rPr>
        <w:t xml:space="preserve"> ankohen, sipas përcaktimeve në</w:t>
      </w:r>
      <w:r w:rsidR="000E01EE" w:rsidRPr="00E757B2">
        <w:rPr>
          <w:rFonts w:ascii="Garamond" w:hAnsi="Garamond" w:cs="Times New Roman"/>
          <w:color w:val="000000" w:themeColor="text1"/>
          <w:sz w:val="24"/>
          <w:szCs w:val="24"/>
        </w:rPr>
        <w:t xml:space="preserve"> pikën 2 të këtij neni.</w:t>
      </w:r>
    </w:p>
    <w:p w14:paraId="0047129C"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1A189D8"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68</w:t>
      </w:r>
    </w:p>
    <w:p w14:paraId="6D31EC86"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Paraqitja e ankesës</w:t>
      </w:r>
    </w:p>
    <w:p w14:paraId="2F4BBCBA"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79402B7"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Operatori ekonomik ankimues dërgon ankesën në Komisionin e Prokurimit Publik. Rregulla</w:t>
      </w:r>
      <w:r w:rsidR="006A04E9" w:rsidRPr="00E757B2">
        <w:rPr>
          <w:rFonts w:ascii="Garamond" w:hAnsi="Garamond" w:cs="Times New Roman"/>
          <w:color w:val="000000" w:themeColor="text1"/>
          <w:sz w:val="24"/>
          <w:szCs w:val="24"/>
        </w:rPr>
        <w:t>t</w:t>
      </w:r>
      <w:r w:rsidR="000E01EE" w:rsidRPr="00E757B2">
        <w:rPr>
          <w:rFonts w:ascii="Garamond" w:hAnsi="Garamond" w:cs="Times New Roman"/>
          <w:color w:val="000000" w:themeColor="text1"/>
          <w:sz w:val="24"/>
          <w:szCs w:val="24"/>
        </w:rPr>
        <w:t xml:space="preserve"> </w:t>
      </w:r>
      <w:r w:rsidR="004130A4" w:rsidRPr="00E757B2">
        <w:rPr>
          <w:rFonts w:ascii="Garamond" w:hAnsi="Garamond" w:cs="Times New Roman"/>
          <w:color w:val="000000" w:themeColor="text1"/>
          <w:sz w:val="24"/>
          <w:szCs w:val="24"/>
        </w:rPr>
        <w:t>e</w:t>
      </w:r>
      <w:r w:rsidR="000E01EE" w:rsidRPr="00E757B2">
        <w:rPr>
          <w:rFonts w:ascii="Garamond" w:hAnsi="Garamond" w:cs="Times New Roman"/>
          <w:color w:val="000000" w:themeColor="text1"/>
          <w:sz w:val="24"/>
          <w:szCs w:val="24"/>
        </w:rPr>
        <w:t xml:space="preserve"> posaçme për mënyrën e paraqitjes së ankesës përcaktohen me vendim të Këshillit të Ministrave.</w:t>
      </w:r>
    </w:p>
    <w:p w14:paraId="5438E379"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Ankesa bëhet sipas formularit përkatës, ku shënohen emri dhe adresa e ankuesit, referimi për procedurën konkrete dhe bazën ligjore ku ankuesi pretendon për shkeljet, duke e shoqëruar atë me dokumentacionin dhe provat përkatëse për të cilat mendon se mbështesin ankimin e tij. Elementet e sipërpërmendura janë të domosdoshme për shqyrtimin e ankesës. Ankimuesi është i detyruar t’i bashkëlidhë ankimit dokumentin bankar, që vërteton pagesën e tarifës për shqyrtimin e ankesës nga Komisioni i Prokurimit Publik.</w:t>
      </w:r>
    </w:p>
    <w:p w14:paraId="257B6D41"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Nëse mungon ndonjë nga elementet e përcaktuara në pikën 2 të këtij neni ose formulari i ankesës nuk është plotësuar në mënyrën e duhur, atëherë Komisioni i Prokurimit Publik duhet të vërë në dijeni ankimuesin për të plotësuar mangësitë. Njoftimi mund të bëhet me çdo mjet të mundshëm, përfshirë edhe postën elektronike dhe në çdo rast dokumentohet. Nëse ankesa nuk korrigjohet brenda 2 (dy) ditëve nga njoftimi, ajo vlerësohet si e paparaqitur.</w:t>
      </w:r>
    </w:p>
    <w:p w14:paraId="0B1B175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95BAF23"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69</w:t>
      </w:r>
    </w:p>
    <w:p w14:paraId="3D5AAA95"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Veprimet paraprake</w:t>
      </w:r>
    </w:p>
    <w:p w14:paraId="5A4ED9F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E0BB4CA"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1.</w:t>
      </w:r>
      <w:r w:rsidR="000D011D"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Me regjistrimin e ankesës nga Komisioni i Prokurimit Publik, autoriteti/enti kontraktor pezullon vazhdimin e procedurës konkurruese deri në shqyrtimin plotësisht të ankesës, përfshirë edhe nxjerrjen e një vendimi nga Komisioni i Prokurimit Publik.</w:t>
      </w:r>
    </w:p>
    <w:p w14:paraId="422372BD"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2.</w:t>
      </w:r>
      <w:r w:rsidR="000D011D" w:rsidRPr="00E757B2">
        <w:rPr>
          <w:rFonts w:ascii="Garamond" w:hAnsi="Garamond" w:cs="Times New Roman"/>
          <w:color w:val="000000" w:themeColor="text1"/>
          <w:sz w:val="24"/>
          <w:szCs w:val="24"/>
        </w:rPr>
        <w:t xml:space="preserve"> </w:t>
      </w:r>
      <w:r w:rsidR="000E01EE" w:rsidRPr="00E757B2">
        <w:rPr>
          <w:rFonts w:ascii="Garamond" w:hAnsi="Garamond" w:cs="Times New Roman"/>
          <w:color w:val="000000" w:themeColor="text1"/>
          <w:sz w:val="24"/>
          <w:szCs w:val="24"/>
        </w:rPr>
        <w:t>Komisioni i Prokurimit Publik, me marrjen e ankesës në përputhje me këtë ligj, publikon në bazën e të dhënave të dhënat e mëposhtme:</w:t>
      </w:r>
    </w:p>
    <w:p w14:paraId="64F58FD4"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p</w:t>
      </w:r>
      <w:r w:rsidR="000E01EE" w:rsidRPr="00E757B2">
        <w:rPr>
          <w:rFonts w:ascii="Garamond" w:hAnsi="Garamond" w:cs="Times New Roman"/>
          <w:color w:val="000000" w:themeColor="text1"/>
          <w:sz w:val="24"/>
          <w:szCs w:val="24"/>
        </w:rPr>
        <w:t>ër ankimuesin, adresën dhe NUIS-in;</w:t>
      </w:r>
    </w:p>
    <w:p w14:paraId="3B9BA9AF"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t</w:t>
      </w:r>
      <w:r w:rsidR="000E01EE" w:rsidRPr="00E757B2">
        <w:rPr>
          <w:rFonts w:ascii="Garamond" w:hAnsi="Garamond" w:cs="Times New Roman"/>
          <w:color w:val="000000" w:themeColor="text1"/>
          <w:sz w:val="24"/>
          <w:szCs w:val="24"/>
        </w:rPr>
        <w:t>ë dhëna të plota për procedurën konkurruese (objekti</w:t>
      </w:r>
      <w:r w:rsidR="000D011D"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 numri</w:t>
      </w:r>
      <w:r w:rsidR="000D011D"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 xml:space="preserve"> i referencës, fondi</w:t>
      </w:r>
      <w:r w:rsidR="000D011D"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 xml:space="preserve"> limit, da</w:t>
      </w:r>
      <w:r w:rsidRPr="00E757B2">
        <w:rPr>
          <w:rFonts w:ascii="Garamond" w:hAnsi="Garamond" w:cs="Times New Roman"/>
          <w:color w:val="000000" w:themeColor="text1"/>
          <w:sz w:val="24"/>
          <w:szCs w:val="24"/>
        </w:rPr>
        <w:t>t</w:t>
      </w:r>
      <w:r w:rsidRPr="00E757B2">
        <w:rPr>
          <w:rFonts w:ascii="Garamond" w:hAnsi="Garamond" w:cs="Times New Roman"/>
          <w:strike/>
          <w:color w:val="000000" w:themeColor="text1"/>
          <w:sz w:val="24"/>
          <w:szCs w:val="24"/>
        </w:rPr>
        <w:t>a</w:t>
      </w:r>
      <w:r w:rsidRPr="00E757B2">
        <w:rPr>
          <w:rFonts w:ascii="Garamond" w:hAnsi="Garamond" w:cs="Times New Roman"/>
          <w:color w:val="000000" w:themeColor="text1"/>
          <w:sz w:val="24"/>
          <w:szCs w:val="24"/>
        </w:rPr>
        <w:t xml:space="preserve"> e zhvillimit të procedurës).</w:t>
      </w:r>
    </w:p>
    <w:p w14:paraId="5DC9671A"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Në mënyrë që ankesa të bëhet e aksesueshme jo vetëm nga autoriteti ose enti kontraktues, por njëkohësisht edhe nga operatorët ekonomikë të interesuar, Komisioni i Prokurimit Publik publikon:</w:t>
      </w:r>
    </w:p>
    <w:p w14:paraId="12854A0F"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ankesën e plotë, në rastin e ankesave për dokumentet e tenderit;</w:t>
      </w:r>
    </w:p>
    <w:p w14:paraId="1E76CD5C" w14:textId="77777777" w:rsidR="000E01EE" w:rsidRPr="00E757B2" w:rsidRDefault="000D011D"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arsyet e shkualifikimit, në rastin e ankesave për vendimin e vlerësimit/klasifikimit përfundimtar;</w:t>
      </w:r>
    </w:p>
    <w:p w14:paraId="4EB106D5"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0E01EE" w:rsidRPr="00E757B2">
        <w:rPr>
          <w:rFonts w:ascii="Garamond" w:hAnsi="Garamond" w:cs="Times New Roman"/>
          <w:color w:val="000000" w:themeColor="text1"/>
          <w:sz w:val="24"/>
          <w:szCs w:val="24"/>
        </w:rPr>
        <w:t xml:space="preserve">pretendimet </w:t>
      </w:r>
      <w:r w:rsidR="00B45BCF" w:rsidRPr="00E757B2">
        <w:rPr>
          <w:rFonts w:ascii="Garamond" w:hAnsi="Garamond" w:cs="Times New Roman"/>
          <w:color w:val="000000" w:themeColor="text1"/>
          <w:sz w:val="24"/>
          <w:szCs w:val="24"/>
        </w:rPr>
        <w:t>për</w:t>
      </w:r>
      <w:r w:rsidR="000E01EE" w:rsidRPr="00E757B2">
        <w:rPr>
          <w:rFonts w:ascii="Garamond" w:hAnsi="Garamond" w:cs="Times New Roman"/>
          <w:color w:val="000000" w:themeColor="text1"/>
          <w:sz w:val="24"/>
          <w:szCs w:val="24"/>
        </w:rPr>
        <w:t xml:space="preserve"> kualifikimin/shkualifikimin e ofertuesve të tjerë, duke referuar vetëm kriteret për të cilat ngrihen pretendime.</w:t>
      </w:r>
    </w:p>
    <w:p w14:paraId="785FECFF"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313E7C1"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70</w:t>
      </w:r>
    </w:p>
    <w:p w14:paraId="7DAE86FD"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Të drejtat e operatorëve ekonomikë të interesuar</w:t>
      </w:r>
    </w:p>
    <w:p w14:paraId="2B7D9ABD"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0CA5FDD5" w14:textId="47B6C3DA" w:rsidR="000E01EE" w:rsidRPr="00E757B2" w:rsidRDefault="000B5F65" w:rsidP="00F64194">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Në rastet e ankesave për vendimet e autoritetit ose të entit kontraktues për përzgjedhjen e kandidatëve pas fazës së parakualifikimit ose për procesin e vlerësimit të ofertave, operatorët ekonomikë, të cilët kanë marrë pjesë në procedurën e prokurimit dhe mund të cenohen nga ankesa e paraqitur, kanë të drejtë të paraqesin argumentet e tyre në lidhje me këtë të fundit pranë Komisionit të Prokurimit Publik.</w:t>
      </w:r>
    </w:p>
    <w:p w14:paraId="5A5AA70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Afati kohor për paraqitjen e këtyre argumenteve është 7 (shtatë) ditë nga e nesërmja e datës së publikimit të ankesës nga Komisioni i Prokurimit Publik.</w:t>
      </w:r>
    </w:p>
    <w:p w14:paraId="62C73BB1"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Nëse operatorët ekonomikë të interesuar nuk kanë paraqitur argumente, që kundërshtojnë ankesën, sipas parashikimeve të pikës 1 të këtij neni, nuk mund të ushtrojnë më pas të drejtën e ankimit për vendimin e dhënë në lidhje me ankesën për këtë procedurë.</w:t>
      </w:r>
    </w:p>
    <w:p w14:paraId="1049E85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E623E4B"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71</w:t>
      </w:r>
    </w:p>
    <w:p w14:paraId="19FCBF68"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Vendimet e Komisionit të Prokurimit Publik</w:t>
      </w:r>
    </w:p>
    <w:p w14:paraId="1047AB83"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88B72F2"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Komisioni i Prokurimit Publik merr vendim brenda 30 (tridhjetë) ditëve nga e nesërmja e datës së depozitimit të ankesës.</w:t>
      </w:r>
    </w:p>
    <w:p w14:paraId="08C563CB"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 xml:space="preserve">Komisioni i Prokurimit Publik në çdo kohë pas marrjes së ankesës dhe para lidhjes së kontratës, kur nuk vendos pezullimin, mund ta lejojë autoritetin ose entin kontraktues, me anë të një vendimi të ndërmjetëm deri në marrjen e një vendimi përfundimtar, të vazhdojë procedurën konkurruese, nëse pezullimi dëmton tërthorazi interesin publik, autoritetin ose entin kontraktues ose ofertuesit. </w:t>
      </w:r>
    </w:p>
    <w:p w14:paraId="179206DD"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Përpara lidhjes së kontratës Komisioni i Prokurimit Publik ka të drejtë:</w:t>
      </w:r>
    </w:p>
    <w:p w14:paraId="581E14E4"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të refuzojë ankesën</w:t>
      </w:r>
      <w:r w:rsidR="000D011D"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për shkak të mosrespektimit të afateve të ankimit, sipas parashikimeve të nenit 67 të këtij ligji;</w:t>
      </w:r>
    </w:p>
    <w:p w14:paraId="1514490B"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të pranojë ankesën dhe të urdhërojë autoritetin ose entin kontraktues të anulojë plotësisht ose pjesërisht një veprim ose vendim të nxjerrë në kundërshtim me ligjin;</w:t>
      </w:r>
    </w:p>
    <w:p w14:paraId="4642F925"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0E01EE" w:rsidRPr="00E757B2">
        <w:rPr>
          <w:rFonts w:ascii="Garamond" w:hAnsi="Garamond" w:cs="Times New Roman"/>
          <w:color w:val="000000" w:themeColor="text1"/>
          <w:sz w:val="24"/>
          <w:szCs w:val="24"/>
        </w:rPr>
        <w:t>të refuzojë ankesën dhe të lejojë autoritetin ose entin kontraktues të vazhdojë procedurën konkurruese, kur gjykon se nuk ka shkelje të dispozitave ligjore;</w:t>
      </w:r>
    </w:p>
    <w:p w14:paraId="125CEB98"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ç) </w:t>
      </w:r>
      <w:r w:rsidR="000E01EE" w:rsidRPr="00E757B2">
        <w:rPr>
          <w:rFonts w:ascii="Garamond" w:hAnsi="Garamond" w:cs="Times New Roman"/>
          <w:color w:val="000000" w:themeColor="text1"/>
          <w:sz w:val="24"/>
          <w:szCs w:val="24"/>
        </w:rPr>
        <w:t>të refuzojë ankesën, e cila ka si objekt kundërshtimin e një vendimi të dhënë nga Komisioni i Prokurimit Publik, në rast të një ankese tjetër, që i përket të njëjtës procedurë, të paraqitur nga i njëjti operator ekonomik.</w:t>
      </w:r>
    </w:p>
    <w:p w14:paraId="11C6CFF5"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Pas lidhjes së kontratës Komisioni i Prokurimit Publik, kur gjykon se një vendim apo veprim i autoritetit ose entit kontraktues është në kundërshtim me ndonjë nga dispozitat e këtij ligji, ka të drejtë:</w:t>
      </w:r>
    </w:p>
    <w:p w14:paraId="1324A427"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të deklarojë absolutisht të pavlefshme kontratën e nënshkruar, në përputhje me parashikimet e këtij ligji;</w:t>
      </w:r>
    </w:p>
    <w:p w14:paraId="7FBA1DD8"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të urdhërojë autoritetin kontraktues për shkurtimin e kohëzgjatjes së kontratës dhe të kërkojë ndërprerjen e parakohshme të saj;</w:t>
      </w:r>
    </w:p>
    <w:p w14:paraId="2217D1B8"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c) </w:t>
      </w:r>
      <w:r w:rsidR="000E01EE" w:rsidRPr="00E757B2">
        <w:rPr>
          <w:rFonts w:ascii="Garamond" w:hAnsi="Garamond" w:cs="Times New Roman"/>
          <w:color w:val="000000" w:themeColor="text1"/>
          <w:sz w:val="24"/>
          <w:szCs w:val="24"/>
        </w:rPr>
        <w:t>të marrë një vendim deklarativ, në bazë të të cilit pushteti gjyqësor mund të dëmshpërblejë ankuesin, që ka pësuar humbje ose dëme</w:t>
      </w:r>
      <w:r w:rsidR="006A04E9"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si rezultat i shkeljes së këtij ligji.</w:t>
      </w:r>
    </w:p>
    <w:p w14:paraId="06D54934"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260F3F8" w14:textId="77777777" w:rsidR="00F64194" w:rsidRDefault="00F64194" w:rsidP="002D3692">
      <w:pPr>
        <w:spacing w:after="0" w:line="240" w:lineRule="auto"/>
        <w:ind w:firstLine="284"/>
        <w:jc w:val="center"/>
        <w:rPr>
          <w:rFonts w:ascii="Garamond" w:hAnsi="Garamond" w:cs="Times New Roman"/>
          <w:color w:val="000000" w:themeColor="text1"/>
          <w:sz w:val="24"/>
          <w:szCs w:val="24"/>
        </w:rPr>
      </w:pPr>
    </w:p>
    <w:p w14:paraId="2C7C3116" w14:textId="77777777" w:rsidR="00F64194" w:rsidRDefault="00F64194" w:rsidP="002D3692">
      <w:pPr>
        <w:spacing w:after="0" w:line="240" w:lineRule="auto"/>
        <w:ind w:firstLine="284"/>
        <w:jc w:val="center"/>
        <w:rPr>
          <w:rFonts w:ascii="Garamond" w:hAnsi="Garamond" w:cs="Times New Roman"/>
          <w:color w:val="000000" w:themeColor="text1"/>
          <w:sz w:val="24"/>
          <w:szCs w:val="24"/>
        </w:rPr>
      </w:pPr>
    </w:p>
    <w:p w14:paraId="3373D11D" w14:textId="77777777" w:rsidR="00F64194" w:rsidRDefault="00F64194" w:rsidP="002D3692">
      <w:pPr>
        <w:spacing w:after="0" w:line="240" w:lineRule="auto"/>
        <w:ind w:firstLine="284"/>
        <w:jc w:val="center"/>
        <w:rPr>
          <w:rFonts w:ascii="Garamond" w:hAnsi="Garamond" w:cs="Times New Roman"/>
          <w:color w:val="000000" w:themeColor="text1"/>
          <w:sz w:val="24"/>
          <w:szCs w:val="24"/>
        </w:rPr>
      </w:pPr>
    </w:p>
    <w:p w14:paraId="3F65FCB3"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72</w:t>
      </w:r>
    </w:p>
    <w:p w14:paraId="469C2A55"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Pavlefshmëria e kontratave</w:t>
      </w:r>
    </w:p>
    <w:p w14:paraId="7010C768"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EBEDA64"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Një kontratë konsiderohet absolutisht e pavlefshme në rastet e mëposhtme:</w:t>
      </w:r>
    </w:p>
    <w:p w14:paraId="0ACD00AE"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a) n</w:t>
      </w:r>
      <w:r w:rsidR="000E01EE" w:rsidRPr="00E757B2">
        <w:rPr>
          <w:rFonts w:ascii="Garamond" w:hAnsi="Garamond" w:cs="Times New Roman"/>
          <w:color w:val="000000" w:themeColor="text1"/>
          <w:sz w:val="24"/>
          <w:szCs w:val="24"/>
        </w:rPr>
        <w:t>ëse një autoritet ose ent kontraktues ka nënshkruar një kontratë pa publikuar paraprakisht shpalljen e njoftimit të kontratës, në kundërshtim me parashikimet e këtij ligji;</w:t>
      </w:r>
    </w:p>
    <w:p w14:paraId="759FB839"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b) k</w:t>
      </w:r>
      <w:r w:rsidR="000E01EE" w:rsidRPr="00E757B2">
        <w:rPr>
          <w:rFonts w:ascii="Garamond" w:hAnsi="Garamond" w:cs="Times New Roman"/>
          <w:color w:val="000000" w:themeColor="text1"/>
          <w:sz w:val="24"/>
          <w:szCs w:val="24"/>
        </w:rPr>
        <w:t>ur nuk janë zbatuar parashikimet e këtij ligji në lidhje me zbatimin e procedurave të ankimit, duke privuar personat e interesuar për të ushtruar të drejtën e tyre për ankim;</w:t>
      </w:r>
    </w:p>
    <w:p w14:paraId="0B6B5893"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c) k</w:t>
      </w:r>
      <w:r w:rsidR="000E01EE" w:rsidRPr="00E757B2">
        <w:rPr>
          <w:rFonts w:ascii="Garamond" w:hAnsi="Garamond" w:cs="Times New Roman"/>
          <w:color w:val="000000" w:themeColor="text1"/>
          <w:sz w:val="24"/>
          <w:szCs w:val="24"/>
        </w:rPr>
        <w:t>ur kontrata është nënshkruar në kushtet e konfliktit të interesit;</w:t>
      </w:r>
    </w:p>
    <w:p w14:paraId="3031A83D"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ç) n</w:t>
      </w:r>
      <w:r w:rsidR="000E01EE" w:rsidRPr="00E757B2">
        <w:rPr>
          <w:rFonts w:ascii="Garamond" w:hAnsi="Garamond" w:cs="Times New Roman"/>
          <w:color w:val="000000" w:themeColor="text1"/>
          <w:sz w:val="24"/>
          <w:szCs w:val="24"/>
        </w:rPr>
        <w:t>ëse një autoritet ose ent kontraktues ka nënshkruar një kontratë, duke mos respektuar vendimin e dhënë nga Komisioni i Prokurimit Publik.</w:t>
      </w:r>
    </w:p>
    <w:p w14:paraId="7C1005C5" w14:textId="77777777" w:rsidR="000E01EE" w:rsidRPr="00E757B2" w:rsidRDefault="000B5F65"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Kontrata mund të mos shpallet absolutisht e pavlefshme edhe nëse ajo ës</w:t>
      </w:r>
      <w:r w:rsidRPr="00E757B2">
        <w:rPr>
          <w:rFonts w:ascii="Garamond" w:hAnsi="Garamond" w:cs="Times New Roman"/>
          <w:color w:val="000000" w:themeColor="text1"/>
          <w:sz w:val="24"/>
          <w:szCs w:val="24"/>
        </w:rPr>
        <w:t>htë lidhur në kushtet e pikës 1</w:t>
      </w:r>
      <w:r w:rsidR="000E01EE" w:rsidRPr="00E757B2">
        <w:rPr>
          <w:rFonts w:ascii="Garamond" w:hAnsi="Garamond" w:cs="Times New Roman"/>
          <w:color w:val="000000" w:themeColor="text1"/>
          <w:sz w:val="24"/>
          <w:szCs w:val="24"/>
        </w:rPr>
        <w:t xml:space="preserve"> të këtij neni, nëse Komisioni i Prokurimit Publik pas shqyrtimit të të gjitha aspekteve përkatëse çmon se shpallja e pavlefshme e kësaj kontrate mund të cenojë çështjet thelbësore të interesit të përgjithshëm. Interesat ekonomikë të lidhur drejtpërdrejt me kontratën në fjalë, si kostot për shkak të vonesave në zbatimin e kontratës, kostot për shkak të shpalljes së një procedure të re prokurimi, kostot për shkak të ndryshimit të operatorit ekonomik, që do të zbatojë kontratën, si dhe kostot për shkak të detyrimeve ligjore si pasojë e pavlefshmërisë, nuk konsiderohen çështje thelbësore të interesit të përgjithshëm.</w:t>
      </w:r>
    </w:p>
    <w:p w14:paraId="0DBA6010" w14:textId="77777777" w:rsidR="000E01EE" w:rsidRPr="00E757B2" w:rsidRDefault="00A415E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Në rastin e konstatimit të si</w:t>
      </w:r>
      <w:r w:rsidR="006A04E9" w:rsidRPr="00E757B2">
        <w:rPr>
          <w:rFonts w:ascii="Garamond" w:hAnsi="Garamond" w:cs="Times New Roman"/>
          <w:color w:val="000000" w:themeColor="text1"/>
          <w:sz w:val="24"/>
          <w:szCs w:val="24"/>
        </w:rPr>
        <w:t>tuatave, sipas pikës 2</w:t>
      </w:r>
      <w:r w:rsidR="000E01EE" w:rsidRPr="00E757B2">
        <w:rPr>
          <w:rFonts w:ascii="Garamond" w:hAnsi="Garamond" w:cs="Times New Roman"/>
          <w:color w:val="000000" w:themeColor="text1"/>
          <w:sz w:val="24"/>
          <w:szCs w:val="24"/>
        </w:rPr>
        <w:t xml:space="preserve"> të këtij neni, Komisioni i Prokurimit Publik ka të drejtë të aplikojë zbatimin e masave të tjera administrative, si:</w:t>
      </w:r>
    </w:p>
    <w:p w14:paraId="42040547" w14:textId="77777777" w:rsidR="000E01EE" w:rsidRPr="00E757B2" w:rsidRDefault="00A415E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dënimi</w:t>
      </w:r>
      <w:r w:rsidR="006A04E9"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 xml:space="preserve"> me gjobë </w:t>
      </w:r>
      <w:r w:rsidR="004D0510" w:rsidRPr="00E757B2">
        <w:rPr>
          <w:rFonts w:ascii="Garamond" w:hAnsi="Garamond" w:cs="Times New Roman"/>
          <w:color w:val="000000" w:themeColor="text1"/>
          <w:sz w:val="24"/>
          <w:szCs w:val="24"/>
        </w:rPr>
        <w:t>të</w:t>
      </w:r>
      <w:r w:rsidR="000E01EE" w:rsidRPr="00E757B2">
        <w:rPr>
          <w:rFonts w:ascii="Garamond" w:hAnsi="Garamond" w:cs="Times New Roman"/>
          <w:color w:val="000000" w:themeColor="text1"/>
          <w:sz w:val="24"/>
          <w:szCs w:val="24"/>
        </w:rPr>
        <w:t xml:space="preserve"> autoritetit ose entit kontraktues për shkeljet e konstatuara;</w:t>
      </w:r>
    </w:p>
    <w:p w14:paraId="2F4B48DD" w14:textId="77777777" w:rsidR="000E01EE" w:rsidRPr="00E757B2" w:rsidRDefault="00A415E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urdhërimi</w:t>
      </w:r>
      <w:r w:rsidR="006A04E9" w:rsidRPr="00E757B2">
        <w:rPr>
          <w:rFonts w:ascii="Garamond" w:hAnsi="Garamond" w:cs="Times New Roman"/>
          <w:color w:val="000000" w:themeColor="text1"/>
          <w:sz w:val="24"/>
          <w:szCs w:val="24"/>
        </w:rPr>
        <w:t>n</w:t>
      </w:r>
      <w:r w:rsidR="000E01EE" w:rsidRPr="00E757B2">
        <w:rPr>
          <w:rFonts w:ascii="Garamond" w:hAnsi="Garamond" w:cs="Times New Roman"/>
          <w:color w:val="000000" w:themeColor="text1"/>
          <w:sz w:val="24"/>
          <w:szCs w:val="24"/>
        </w:rPr>
        <w:t xml:space="preserve"> </w:t>
      </w:r>
      <w:r w:rsidR="004D0510" w:rsidRPr="00E757B2">
        <w:rPr>
          <w:rFonts w:ascii="Garamond" w:hAnsi="Garamond" w:cs="Times New Roman"/>
          <w:color w:val="000000" w:themeColor="text1"/>
          <w:sz w:val="24"/>
          <w:szCs w:val="24"/>
        </w:rPr>
        <w:t>e</w:t>
      </w:r>
      <w:r w:rsidR="000E01EE" w:rsidRPr="00E757B2">
        <w:rPr>
          <w:rFonts w:ascii="Garamond" w:hAnsi="Garamond" w:cs="Times New Roman"/>
          <w:color w:val="000000" w:themeColor="text1"/>
          <w:sz w:val="24"/>
          <w:szCs w:val="24"/>
        </w:rPr>
        <w:t xml:space="preserve"> autoritetit kontraktues për shkurtimin e afatit të zbatimit të kontratës për të minimizuar dëmin e shkaktuar.</w:t>
      </w:r>
    </w:p>
    <w:p w14:paraId="7637187A" w14:textId="77777777" w:rsidR="000E01EE" w:rsidRPr="00E757B2" w:rsidRDefault="00A415E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Gjoba duhet të vendoset në raport me vlerën e kontratës së nënshkruar, por në çdo rast jo më shumë se 10% e kësaj vlere.</w:t>
      </w:r>
    </w:p>
    <w:p w14:paraId="3AB30A7D" w14:textId="77777777" w:rsidR="000E01EE" w:rsidRPr="00E757B2" w:rsidRDefault="00A415E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5. </w:t>
      </w:r>
      <w:r w:rsidR="000E01EE" w:rsidRPr="00E757B2">
        <w:rPr>
          <w:rFonts w:ascii="Garamond" w:hAnsi="Garamond" w:cs="Times New Roman"/>
          <w:color w:val="000000" w:themeColor="text1"/>
          <w:sz w:val="24"/>
          <w:szCs w:val="24"/>
        </w:rPr>
        <w:t>Rregullat e posaçme për këtë proces përcaktohen me vendim të Këshillit të Ministrave.</w:t>
      </w:r>
    </w:p>
    <w:p w14:paraId="01A63528"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051E78B"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73</w:t>
      </w:r>
    </w:p>
    <w:p w14:paraId="412C9930"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Detyrimi për bashkëpunim</w:t>
      </w:r>
    </w:p>
    <w:p w14:paraId="66FD95A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296267D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Refuzimi i nëpunësit civil, i funksionarit ose autoritetit/entit kontraktues për të dhënë informacion apo për të paraqitur dokumentacionin, që ka lidhje me procedurën nën hetim administrativ, përbën shkak që Komisioni i Prokurimit Publik ose ministria përgjegjëse për financat të kërkojnë marrjen e masave disiplinore ndaj personave përgjegjës.</w:t>
      </w:r>
    </w:p>
    <w:p w14:paraId="3F36132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8895832"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74</w:t>
      </w:r>
    </w:p>
    <w:p w14:paraId="68094343"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Kundërvajtjet administrative</w:t>
      </w:r>
    </w:p>
    <w:p w14:paraId="46665E0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6031C93F" w14:textId="77777777" w:rsidR="000E01EE" w:rsidRPr="00E757B2" w:rsidRDefault="00A415E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Ministri përgjegjës për financat, kur është rasti, mund t’i propozojë drejtuesit të autoritetit kontraktues marrjen e masave disiplinore ndaj personave përgjegjës.</w:t>
      </w:r>
    </w:p>
    <w:p w14:paraId="71025126" w14:textId="77777777" w:rsidR="000E01EE" w:rsidRPr="00E757B2" w:rsidRDefault="00A415E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3E778F" w:rsidRPr="00E757B2">
        <w:rPr>
          <w:rFonts w:ascii="Garamond" w:hAnsi="Garamond" w:cs="Times New Roman"/>
          <w:color w:val="000000" w:themeColor="text1"/>
          <w:sz w:val="24"/>
          <w:szCs w:val="24"/>
        </w:rPr>
        <w:t>Përbën</w:t>
      </w:r>
      <w:r w:rsidR="000E01EE" w:rsidRPr="00E757B2">
        <w:rPr>
          <w:rFonts w:ascii="Garamond" w:hAnsi="Garamond" w:cs="Times New Roman"/>
          <w:color w:val="000000" w:themeColor="text1"/>
          <w:sz w:val="24"/>
          <w:szCs w:val="24"/>
        </w:rPr>
        <w:t xml:space="preserve"> kundërvajtje administrative dhe </w:t>
      </w:r>
      <w:r w:rsidR="003E778F" w:rsidRPr="00E757B2">
        <w:rPr>
          <w:rFonts w:ascii="Garamond" w:hAnsi="Garamond" w:cs="Times New Roman"/>
          <w:color w:val="000000" w:themeColor="text1"/>
          <w:sz w:val="24"/>
          <w:szCs w:val="24"/>
        </w:rPr>
        <w:t>dënohet</w:t>
      </w:r>
      <w:r w:rsidR="000E01EE" w:rsidRPr="00E757B2">
        <w:rPr>
          <w:rFonts w:ascii="Garamond" w:hAnsi="Garamond" w:cs="Times New Roman"/>
          <w:color w:val="000000" w:themeColor="text1"/>
          <w:sz w:val="24"/>
          <w:szCs w:val="24"/>
        </w:rPr>
        <w:t xml:space="preserve"> me </w:t>
      </w:r>
      <w:r w:rsidR="003E778F" w:rsidRPr="00E757B2">
        <w:rPr>
          <w:rFonts w:ascii="Garamond" w:hAnsi="Garamond" w:cs="Times New Roman"/>
          <w:color w:val="000000" w:themeColor="text1"/>
          <w:sz w:val="24"/>
          <w:szCs w:val="24"/>
        </w:rPr>
        <w:t>gjobë</w:t>
      </w:r>
      <w:r w:rsidR="000E01EE" w:rsidRPr="00E757B2">
        <w:rPr>
          <w:rFonts w:ascii="Garamond" w:hAnsi="Garamond" w:cs="Times New Roman"/>
          <w:color w:val="000000" w:themeColor="text1"/>
          <w:sz w:val="24"/>
          <w:szCs w:val="24"/>
        </w:rPr>
        <w:t xml:space="preserve"> nga 100 000 (njëqind mijë) </w:t>
      </w:r>
      <w:r w:rsidR="003E778F" w:rsidRPr="00E757B2">
        <w:rPr>
          <w:rFonts w:ascii="Garamond" w:hAnsi="Garamond" w:cs="Times New Roman"/>
          <w:color w:val="000000" w:themeColor="text1"/>
          <w:sz w:val="24"/>
          <w:szCs w:val="24"/>
        </w:rPr>
        <w:t>lekë</w:t>
      </w:r>
      <w:r w:rsidR="000E01EE" w:rsidRPr="00E757B2">
        <w:rPr>
          <w:rFonts w:ascii="Garamond" w:hAnsi="Garamond" w:cs="Times New Roman"/>
          <w:color w:val="000000" w:themeColor="text1"/>
          <w:sz w:val="24"/>
          <w:szCs w:val="24"/>
        </w:rPr>
        <w:t xml:space="preserve"> deri </w:t>
      </w:r>
      <w:r w:rsidR="003E778F" w:rsidRPr="00E757B2">
        <w:rPr>
          <w:rFonts w:ascii="Garamond" w:hAnsi="Garamond" w:cs="Times New Roman"/>
          <w:color w:val="000000" w:themeColor="text1"/>
          <w:sz w:val="24"/>
          <w:szCs w:val="24"/>
        </w:rPr>
        <w:t>në</w:t>
      </w:r>
      <w:r w:rsidR="000E01EE" w:rsidRPr="00E757B2">
        <w:rPr>
          <w:rFonts w:ascii="Garamond" w:hAnsi="Garamond" w:cs="Times New Roman"/>
          <w:color w:val="000000" w:themeColor="text1"/>
          <w:sz w:val="24"/>
          <w:szCs w:val="24"/>
        </w:rPr>
        <w:t xml:space="preserve"> 1 000 000 (një milion) </w:t>
      </w:r>
      <w:r w:rsidR="003E778F" w:rsidRPr="00E757B2">
        <w:rPr>
          <w:rFonts w:ascii="Garamond" w:hAnsi="Garamond" w:cs="Times New Roman"/>
          <w:color w:val="000000" w:themeColor="text1"/>
          <w:sz w:val="24"/>
          <w:szCs w:val="24"/>
        </w:rPr>
        <w:t>lekë</w:t>
      </w:r>
      <w:r w:rsidR="000E01EE" w:rsidRPr="00E757B2">
        <w:rPr>
          <w:rFonts w:ascii="Garamond" w:hAnsi="Garamond" w:cs="Times New Roman"/>
          <w:color w:val="000000" w:themeColor="text1"/>
          <w:sz w:val="24"/>
          <w:szCs w:val="24"/>
        </w:rPr>
        <w:t xml:space="preserve"> titullari i autoritetit kontraktues ose entit kontraktues </w:t>
      </w:r>
      <w:r w:rsidR="003E778F" w:rsidRPr="00E757B2">
        <w:rPr>
          <w:rFonts w:ascii="Garamond" w:hAnsi="Garamond" w:cs="Times New Roman"/>
          <w:color w:val="000000" w:themeColor="text1"/>
          <w:sz w:val="24"/>
          <w:szCs w:val="24"/>
        </w:rPr>
        <w:t>për</w:t>
      </w:r>
      <w:r w:rsidR="000E01EE" w:rsidRPr="00E757B2">
        <w:rPr>
          <w:rFonts w:ascii="Garamond" w:hAnsi="Garamond" w:cs="Times New Roman"/>
          <w:color w:val="000000" w:themeColor="text1"/>
          <w:sz w:val="24"/>
          <w:szCs w:val="24"/>
        </w:rPr>
        <w:t xml:space="preserve"> mospar</w:t>
      </w:r>
      <w:r w:rsidR="003E778F" w:rsidRPr="00E757B2">
        <w:rPr>
          <w:rFonts w:ascii="Garamond" w:hAnsi="Garamond" w:cs="Times New Roman"/>
          <w:color w:val="000000" w:themeColor="text1"/>
          <w:sz w:val="24"/>
          <w:szCs w:val="24"/>
        </w:rPr>
        <w:t>aqitjen e raporteve periodike të përmbledhura të</w:t>
      </w:r>
      <w:r w:rsidR="000E01EE" w:rsidRPr="00E757B2">
        <w:rPr>
          <w:rFonts w:ascii="Garamond" w:hAnsi="Garamond" w:cs="Times New Roman"/>
          <w:color w:val="000000" w:themeColor="text1"/>
          <w:sz w:val="24"/>
          <w:szCs w:val="24"/>
        </w:rPr>
        <w:t xml:space="preserve"> monitorimit </w:t>
      </w:r>
      <w:r w:rsidR="003E778F" w:rsidRPr="00E757B2">
        <w:rPr>
          <w:rFonts w:ascii="Garamond" w:hAnsi="Garamond" w:cs="Times New Roman"/>
          <w:color w:val="000000" w:themeColor="text1"/>
          <w:sz w:val="24"/>
          <w:szCs w:val="24"/>
        </w:rPr>
        <w:t>të</w:t>
      </w:r>
      <w:r w:rsidR="000E01EE" w:rsidRPr="00E757B2">
        <w:rPr>
          <w:rFonts w:ascii="Garamond" w:hAnsi="Garamond" w:cs="Times New Roman"/>
          <w:color w:val="000000" w:themeColor="text1"/>
          <w:sz w:val="24"/>
          <w:szCs w:val="24"/>
        </w:rPr>
        <w:t xml:space="preserve"> kontratave të koncesionit/partneritetit publik privat te ministria përgjegjëse </w:t>
      </w:r>
      <w:r w:rsidR="003E778F" w:rsidRPr="00E757B2">
        <w:rPr>
          <w:rFonts w:ascii="Garamond" w:hAnsi="Garamond" w:cs="Times New Roman"/>
          <w:color w:val="000000" w:themeColor="text1"/>
          <w:sz w:val="24"/>
          <w:szCs w:val="24"/>
        </w:rPr>
        <w:t>për</w:t>
      </w:r>
      <w:r w:rsidR="000E01EE" w:rsidRPr="00E757B2">
        <w:rPr>
          <w:rFonts w:ascii="Garamond" w:hAnsi="Garamond" w:cs="Times New Roman"/>
          <w:color w:val="000000" w:themeColor="text1"/>
          <w:sz w:val="24"/>
          <w:szCs w:val="24"/>
        </w:rPr>
        <w:t xml:space="preserve"> financat, </w:t>
      </w:r>
      <w:r w:rsidR="003E778F" w:rsidRPr="00E757B2">
        <w:rPr>
          <w:rFonts w:ascii="Garamond" w:hAnsi="Garamond" w:cs="Times New Roman"/>
          <w:color w:val="000000" w:themeColor="text1"/>
          <w:sz w:val="24"/>
          <w:szCs w:val="24"/>
        </w:rPr>
        <w:t>në zbatim të</w:t>
      </w:r>
      <w:r w:rsidR="000E01EE" w:rsidRPr="00E757B2">
        <w:rPr>
          <w:rFonts w:ascii="Garamond" w:hAnsi="Garamond" w:cs="Times New Roman"/>
          <w:color w:val="000000" w:themeColor="text1"/>
          <w:sz w:val="24"/>
          <w:szCs w:val="24"/>
        </w:rPr>
        <w:t xml:space="preserve"> nenit 11 t</w:t>
      </w:r>
      <w:r w:rsidR="003E778F" w:rsidRPr="00E757B2">
        <w:rPr>
          <w:rFonts w:ascii="Garamond" w:hAnsi="Garamond" w:cs="Times New Roman"/>
          <w:color w:val="000000" w:themeColor="text1"/>
          <w:sz w:val="24"/>
          <w:szCs w:val="24"/>
        </w:rPr>
        <w:t>ë</w:t>
      </w:r>
      <w:r w:rsidR="000E01EE" w:rsidRPr="00E757B2">
        <w:rPr>
          <w:rFonts w:ascii="Garamond" w:hAnsi="Garamond" w:cs="Times New Roman"/>
          <w:color w:val="000000" w:themeColor="text1"/>
          <w:sz w:val="24"/>
          <w:szCs w:val="24"/>
        </w:rPr>
        <w:t xml:space="preserve"> </w:t>
      </w:r>
      <w:r w:rsidR="003E778F" w:rsidRPr="00E757B2">
        <w:rPr>
          <w:rFonts w:ascii="Garamond" w:hAnsi="Garamond" w:cs="Times New Roman"/>
          <w:color w:val="000000" w:themeColor="text1"/>
          <w:sz w:val="24"/>
          <w:szCs w:val="24"/>
        </w:rPr>
        <w:t>këtij</w:t>
      </w:r>
      <w:r w:rsidR="000E01EE" w:rsidRPr="00E757B2">
        <w:rPr>
          <w:rFonts w:ascii="Garamond" w:hAnsi="Garamond" w:cs="Times New Roman"/>
          <w:color w:val="000000" w:themeColor="text1"/>
          <w:sz w:val="24"/>
          <w:szCs w:val="24"/>
        </w:rPr>
        <w:t xml:space="preserve"> ligji.</w:t>
      </w:r>
    </w:p>
    <w:p w14:paraId="00F001CA"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4855230" w14:textId="77777777" w:rsidR="00F64194" w:rsidRDefault="00F64194" w:rsidP="002D3692">
      <w:pPr>
        <w:spacing w:after="0" w:line="240" w:lineRule="auto"/>
        <w:ind w:firstLine="284"/>
        <w:jc w:val="center"/>
        <w:rPr>
          <w:rFonts w:ascii="Garamond" w:hAnsi="Garamond" w:cs="Times New Roman"/>
          <w:color w:val="000000" w:themeColor="text1"/>
          <w:sz w:val="24"/>
          <w:szCs w:val="24"/>
        </w:rPr>
      </w:pPr>
    </w:p>
    <w:p w14:paraId="79AECF0E" w14:textId="77777777" w:rsidR="00F64194" w:rsidRDefault="00F64194" w:rsidP="002D3692">
      <w:pPr>
        <w:spacing w:after="0" w:line="240" w:lineRule="auto"/>
        <w:ind w:firstLine="284"/>
        <w:jc w:val="center"/>
        <w:rPr>
          <w:rFonts w:ascii="Garamond" w:hAnsi="Garamond" w:cs="Times New Roman"/>
          <w:color w:val="000000" w:themeColor="text1"/>
          <w:sz w:val="24"/>
          <w:szCs w:val="24"/>
        </w:rPr>
      </w:pPr>
    </w:p>
    <w:p w14:paraId="424A4133" w14:textId="77777777" w:rsidR="00F64194" w:rsidRDefault="00F64194" w:rsidP="002D3692">
      <w:pPr>
        <w:spacing w:after="0" w:line="240" w:lineRule="auto"/>
        <w:ind w:firstLine="284"/>
        <w:jc w:val="center"/>
        <w:rPr>
          <w:rFonts w:ascii="Garamond" w:hAnsi="Garamond" w:cs="Times New Roman"/>
          <w:color w:val="000000" w:themeColor="text1"/>
          <w:sz w:val="24"/>
          <w:szCs w:val="24"/>
        </w:rPr>
      </w:pPr>
    </w:p>
    <w:p w14:paraId="128153EA"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75</w:t>
      </w:r>
    </w:p>
    <w:p w14:paraId="067CEDF6"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Zgjidhja e mosmarrëveshjeve</w:t>
      </w:r>
    </w:p>
    <w:p w14:paraId="01C1ACF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7E14DFC5" w14:textId="77777777" w:rsidR="000E01EE" w:rsidRPr="00E757B2" w:rsidRDefault="00A415E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Kontrata e koncesionit/partneritetit publik privat rregullohet nga ligjet e Republikës së Shqipërisë.</w:t>
      </w:r>
    </w:p>
    <w:p w14:paraId="01D989F0" w14:textId="1BF916BB" w:rsidR="000E01EE" w:rsidRPr="00E757B2" w:rsidRDefault="003E778F"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 </w:t>
      </w:r>
      <w:r w:rsidR="00A415EB"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Koncesionari/partneri privat, aksionarët e tij dhe ortakët e tjerë të biznesit janë të lirë të zgjedhin ligjin, që rregullon marrëdhëniet e ndërsjella të tyre të biznesit.</w:t>
      </w:r>
    </w:p>
    <w:p w14:paraId="118D6447" w14:textId="77777777" w:rsidR="000E01EE" w:rsidRPr="00E757B2" w:rsidRDefault="00A415EB"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Çdo mosmarrëveshje ndërmjet autoritetit kontraktues dhe koncesionarit/partnerit privat zgjidhet nëpërmjet mekanizmave për zgjidhjen e mosmarrëveshjeve, të pranuar nga palët në kontratën e koncesionit/partneritetit publik privat, duke përfshirë edhe procedurat e arbitrazhit ndërkombëtar. Koncesionari/partneri privat, aksionarët e tij dhe ortakët e tjerë të biznesit janë të lirë të zgjedhin mekanizmat e duhur për zgjidhjen e mosmarrëveshjeve ndërmjet tyre.</w:t>
      </w:r>
    </w:p>
    <w:p w14:paraId="784CB216"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158F2F9"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KREU VIII</w:t>
      </w:r>
    </w:p>
    <w:p w14:paraId="3C6E1366"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DISPOZITA KALIMTARE DHE TË FUNDIT</w:t>
      </w:r>
    </w:p>
    <w:p w14:paraId="65EAFAD5"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p>
    <w:p w14:paraId="02A5A1DD"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76</w:t>
      </w:r>
    </w:p>
    <w:p w14:paraId="273F3EA7"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Dispozita kalimtare</w:t>
      </w:r>
    </w:p>
    <w:p w14:paraId="40535C52"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909837D" w14:textId="77777777" w:rsidR="000E01EE" w:rsidRPr="00E757B2" w:rsidRDefault="00032E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Dispozitat e këtij ligji nuk zbatohen për veprimet dhe procedurat për dhënien e koncesioneve/partneriteteve publike private të filluara para hyrjes në fuqi të këtij ligji.</w:t>
      </w:r>
    </w:p>
    <w:p w14:paraId="5D063A1C" w14:textId="77777777" w:rsidR="000E01EE" w:rsidRPr="00E757B2" w:rsidRDefault="00032E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Ky ligj nuk zbatohet për kontratat e koncesionit të nënshkruara para hyrjes në fuqi të këtij ligji, përveç:</w:t>
      </w:r>
    </w:p>
    <w:p w14:paraId="52F02CFF" w14:textId="77777777" w:rsidR="000E01EE" w:rsidRPr="00E757B2" w:rsidRDefault="00032E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a) </w:t>
      </w:r>
      <w:r w:rsidR="000E01EE" w:rsidRPr="00E757B2">
        <w:rPr>
          <w:rFonts w:ascii="Garamond" w:hAnsi="Garamond" w:cs="Times New Roman"/>
          <w:color w:val="000000" w:themeColor="text1"/>
          <w:sz w:val="24"/>
          <w:szCs w:val="24"/>
        </w:rPr>
        <w:t>dispozitave që rregullojnë regjistrin e koncesioneve/partneriteteve publike private;</w:t>
      </w:r>
    </w:p>
    <w:p w14:paraId="62FB10E5" w14:textId="77777777" w:rsidR="000E01EE" w:rsidRPr="00E757B2" w:rsidRDefault="00032E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b) </w:t>
      </w:r>
      <w:r w:rsidR="000E01EE" w:rsidRPr="00E757B2">
        <w:rPr>
          <w:rFonts w:ascii="Garamond" w:hAnsi="Garamond" w:cs="Times New Roman"/>
          <w:color w:val="000000" w:themeColor="text1"/>
          <w:sz w:val="24"/>
          <w:szCs w:val="24"/>
        </w:rPr>
        <w:t>nenit 60 të këtij ligji, pa përfshirë kontratat, për të cilat ndjekja e zbatimit të tyre është rregulluar me akte ligjore e nënligjore të posaçme, përpara hyrjes në fuqi të këtij ligji.</w:t>
      </w:r>
    </w:p>
    <w:p w14:paraId="54C40E5C" w14:textId="77777777" w:rsidR="000E01EE" w:rsidRPr="00E757B2" w:rsidRDefault="00032E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3. </w:t>
      </w:r>
      <w:r w:rsidR="000E01EE" w:rsidRPr="00E757B2">
        <w:rPr>
          <w:rFonts w:ascii="Garamond" w:hAnsi="Garamond" w:cs="Times New Roman"/>
          <w:color w:val="000000" w:themeColor="text1"/>
          <w:sz w:val="24"/>
          <w:szCs w:val="24"/>
        </w:rPr>
        <w:t>Ndryshimet në kontratat e nënshkruara para hyrjes në fuqi të këtij ligji do t’i nënshtrohen këtij ligji.</w:t>
      </w:r>
    </w:p>
    <w:p w14:paraId="0067D237" w14:textId="77777777" w:rsidR="000E01EE" w:rsidRPr="00E757B2" w:rsidRDefault="00032E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4. </w:t>
      </w:r>
      <w:r w:rsidR="000E01EE" w:rsidRPr="00E757B2">
        <w:rPr>
          <w:rFonts w:ascii="Garamond" w:hAnsi="Garamond" w:cs="Times New Roman"/>
          <w:color w:val="000000" w:themeColor="text1"/>
          <w:sz w:val="24"/>
          <w:szCs w:val="24"/>
        </w:rPr>
        <w:t xml:space="preserve">Aktet nënligjore të miratuara </w:t>
      </w:r>
      <w:r w:rsidR="003A3FC1" w:rsidRPr="00E757B2">
        <w:rPr>
          <w:rFonts w:ascii="Garamond" w:hAnsi="Garamond" w:cs="Times New Roman"/>
          <w:color w:val="000000" w:themeColor="text1"/>
          <w:sz w:val="24"/>
          <w:szCs w:val="24"/>
        </w:rPr>
        <w:t>në zbatim të ligjit nr. 125/2013</w:t>
      </w:r>
      <w:r w:rsidR="000E01EE" w:rsidRPr="00E757B2">
        <w:rPr>
          <w:rFonts w:ascii="Garamond" w:hAnsi="Garamond" w:cs="Times New Roman"/>
          <w:color w:val="000000" w:themeColor="text1"/>
          <w:sz w:val="24"/>
          <w:szCs w:val="24"/>
        </w:rPr>
        <w:t xml:space="preserve"> “Për koncesionet dhe partneritetin publik privat”, të ndryshuar, mbeten në fuqi dhe do të zbatohen deri në miratimin e akteve të reja nënligjore në zbatim të këtij ligji.</w:t>
      </w:r>
    </w:p>
    <w:p w14:paraId="29F845F3"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4A03713"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77</w:t>
      </w:r>
    </w:p>
    <w:p w14:paraId="016D93D2"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Nxjerrja e akteve nënligjore</w:t>
      </w:r>
    </w:p>
    <w:p w14:paraId="63CC9071"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39CE1EE3" w14:textId="77777777" w:rsidR="000E01EE" w:rsidRPr="00E757B2" w:rsidRDefault="00032E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1. </w:t>
      </w:r>
      <w:r w:rsidR="000E01EE" w:rsidRPr="00E757B2">
        <w:rPr>
          <w:rFonts w:ascii="Garamond" w:hAnsi="Garamond" w:cs="Times New Roman"/>
          <w:color w:val="000000" w:themeColor="text1"/>
          <w:sz w:val="24"/>
          <w:szCs w:val="24"/>
        </w:rPr>
        <w:t xml:space="preserve">Këshilli i Ministrave </w:t>
      </w:r>
      <w:r w:rsidR="004D0510" w:rsidRPr="00E757B2">
        <w:rPr>
          <w:rFonts w:ascii="Garamond" w:hAnsi="Garamond" w:cs="Times New Roman"/>
          <w:color w:val="000000" w:themeColor="text1"/>
          <w:sz w:val="24"/>
          <w:szCs w:val="24"/>
        </w:rPr>
        <w:t xml:space="preserve">brenda një afati prej 9 </w:t>
      </w:r>
      <w:r w:rsidR="000E01EE" w:rsidRPr="00E757B2">
        <w:rPr>
          <w:rFonts w:ascii="Garamond" w:hAnsi="Garamond" w:cs="Times New Roman"/>
          <w:color w:val="000000" w:themeColor="text1"/>
          <w:sz w:val="24"/>
          <w:szCs w:val="24"/>
        </w:rPr>
        <w:t>muajsh nga botimi i këtij ligji miraton aktet nënligjore në zbatim të neneve 11, pika 8</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13, pika 4</w:t>
      </w:r>
      <w:r w:rsidR="0011383D"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17, pika 3</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20, pika 4</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24, pika 2</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26, pika 2</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27, pika 2</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29, pika 2</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30, pika 5</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31, pika 5</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32, pika 2</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35, pika 2</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42, pika 4</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51, pika 8</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58, pika 9</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60, pika 7</w:t>
      </w:r>
      <w:r w:rsidR="004D0510" w:rsidRPr="00E757B2">
        <w:rPr>
          <w:rFonts w:ascii="Garamond" w:hAnsi="Garamond" w:cs="Times New Roman"/>
          <w:color w:val="000000" w:themeColor="text1"/>
          <w:sz w:val="24"/>
          <w:szCs w:val="24"/>
        </w:rPr>
        <w:t>;</w:t>
      </w:r>
      <w:r w:rsidR="000E01EE" w:rsidRPr="00E757B2">
        <w:rPr>
          <w:rFonts w:ascii="Garamond" w:hAnsi="Garamond" w:cs="Times New Roman"/>
          <w:color w:val="000000" w:themeColor="text1"/>
          <w:sz w:val="24"/>
          <w:szCs w:val="24"/>
        </w:rPr>
        <w:t xml:space="preserve"> 68, pika 1, dhe 72, pika 5, të këtij ligji. </w:t>
      </w:r>
    </w:p>
    <w:p w14:paraId="3383B59E" w14:textId="23021600" w:rsidR="000E01EE" w:rsidRPr="00E757B2" w:rsidRDefault="00032E9A"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 xml:space="preserve">2. </w:t>
      </w:r>
      <w:r w:rsidR="000E01EE" w:rsidRPr="00E757B2">
        <w:rPr>
          <w:rFonts w:ascii="Garamond" w:hAnsi="Garamond" w:cs="Times New Roman"/>
          <w:color w:val="000000" w:themeColor="text1"/>
          <w:sz w:val="24"/>
          <w:szCs w:val="24"/>
        </w:rPr>
        <w:t>Ministri përgjegjës për financat br</w:t>
      </w:r>
      <w:r w:rsidR="004D0510" w:rsidRPr="00E757B2">
        <w:rPr>
          <w:rFonts w:ascii="Garamond" w:hAnsi="Garamond" w:cs="Times New Roman"/>
          <w:color w:val="000000" w:themeColor="text1"/>
          <w:sz w:val="24"/>
          <w:szCs w:val="24"/>
        </w:rPr>
        <w:t>enda një afati prej 3</w:t>
      </w:r>
      <w:r w:rsidR="000E01EE" w:rsidRPr="00E757B2">
        <w:rPr>
          <w:rFonts w:ascii="Garamond" w:hAnsi="Garamond" w:cs="Times New Roman"/>
          <w:color w:val="000000" w:themeColor="text1"/>
          <w:sz w:val="24"/>
          <w:szCs w:val="24"/>
        </w:rPr>
        <w:t xml:space="preserve"> muajsh nga hyrja në fuqi e këtij ligji miraton udhëzimin</w:t>
      </w:r>
      <w:r w:rsidR="003A3FC1" w:rsidRPr="00E757B2">
        <w:rPr>
          <w:rFonts w:ascii="Garamond" w:hAnsi="Garamond" w:cs="Times New Roman"/>
          <w:color w:val="000000" w:themeColor="text1"/>
          <w:sz w:val="24"/>
          <w:szCs w:val="24"/>
        </w:rPr>
        <w:t xml:space="preserve"> në zbatim të pikës 4</w:t>
      </w:r>
      <w:r w:rsidR="00F64194">
        <w:rPr>
          <w:rFonts w:ascii="Garamond" w:hAnsi="Garamond" w:cs="Times New Roman"/>
          <w:color w:val="000000" w:themeColor="text1"/>
          <w:sz w:val="24"/>
          <w:szCs w:val="24"/>
        </w:rPr>
        <w:t>,</w:t>
      </w:r>
      <w:r w:rsidR="003A3FC1" w:rsidRPr="00E757B2">
        <w:rPr>
          <w:rFonts w:ascii="Garamond" w:hAnsi="Garamond" w:cs="Times New Roman"/>
          <w:color w:val="000000" w:themeColor="text1"/>
          <w:sz w:val="24"/>
          <w:szCs w:val="24"/>
        </w:rPr>
        <w:t xml:space="preserve"> të nenit 11</w:t>
      </w:r>
      <w:r w:rsidR="000E01EE" w:rsidRPr="00E757B2">
        <w:rPr>
          <w:rFonts w:ascii="Garamond" w:hAnsi="Garamond" w:cs="Times New Roman"/>
          <w:color w:val="000000" w:themeColor="text1"/>
          <w:sz w:val="24"/>
          <w:szCs w:val="24"/>
        </w:rPr>
        <w:t xml:space="preserve"> të këtij ligji.</w:t>
      </w:r>
    </w:p>
    <w:p w14:paraId="5EDB4F5B"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E80318C"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78</w:t>
      </w:r>
    </w:p>
    <w:p w14:paraId="36F99962"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Shfuqizime</w:t>
      </w:r>
    </w:p>
    <w:p w14:paraId="207E100E"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1F3ABF8E" w14:textId="04BABCB3"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Ligji nr.</w:t>
      </w:r>
      <w:r w:rsidR="003A3FC1" w:rsidRPr="00E757B2">
        <w:rPr>
          <w:rFonts w:ascii="Garamond" w:hAnsi="Garamond" w:cs="Times New Roman"/>
          <w:color w:val="000000" w:themeColor="text1"/>
          <w:sz w:val="24"/>
          <w:szCs w:val="24"/>
        </w:rPr>
        <w:t xml:space="preserve"> 125/2013</w:t>
      </w:r>
      <w:r w:rsidR="00F64194">
        <w:rPr>
          <w:rFonts w:ascii="Garamond" w:hAnsi="Garamond" w:cs="Times New Roman"/>
          <w:color w:val="000000" w:themeColor="text1"/>
          <w:sz w:val="24"/>
          <w:szCs w:val="24"/>
        </w:rPr>
        <w:t>,</w:t>
      </w:r>
      <w:r w:rsidRPr="00E757B2">
        <w:rPr>
          <w:rFonts w:ascii="Garamond" w:hAnsi="Garamond" w:cs="Times New Roman"/>
          <w:color w:val="000000" w:themeColor="text1"/>
          <w:sz w:val="24"/>
          <w:szCs w:val="24"/>
        </w:rPr>
        <w:t xml:space="preserve"> “Për koncesionet dhe partneritetin publik privat”, i ndryshuar, shfuqizohet me hyrjen në fuqi të këtij ligji.</w:t>
      </w:r>
    </w:p>
    <w:p w14:paraId="0AE5CB50" w14:textId="77777777" w:rsidR="004B4D5F" w:rsidRPr="00E757B2" w:rsidRDefault="004B4D5F" w:rsidP="002D3692">
      <w:pPr>
        <w:spacing w:after="0" w:line="240" w:lineRule="auto"/>
        <w:ind w:firstLine="284"/>
        <w:rPr>
          <w:rFonts w:ascii="Garamond" w:hAnsi="Garamond" w:cs="Times New Roman"/>
          <w:color w:val="000000" w:themeColor="text1"/>
          <w:sz w:val="24"/>
          <w:szCs w:val="24"/>
        </w:rPr>
      </w:pPr>
    </w:p>
    <w:p w14:paraId="2CB57CF4" w14:textId="77777777" w:rsidR="00F64194" w:rsidRDefault="00F64194" w:rsidP="002D3692">
      <w:pPr>
        <w:spacing w:after="0" w:line="240" w:lineRule="auto"/>
        <w:ind w:firstLine="284"/>
        <w:jc w:val="center"/>
        <w:rPr>
          <w:rFonts w:ascii="Garamond" w:hAnsi="Garamond" w:cs="Times New Roman"/>
          <w:color w:val="000000" w:themeColor="text1"/>
          <w:sz w:val="24"/>
          <w:szCs w:val="24"/>
        </w:rPr>
      </w:pPr>
    </w:p>
    <w:p w14:paraId="2BD37597" w14:textId="77777777" w:rsidR="00F64194" w:rsidRDefault="00F64194" w:rsidP="002D3692">
      <w:pPr>
        <w:spacing w:after="0" w:line="240" w:lineRule="auto"/>
        <w:ind w:firstLine="284"/>
        <w:jc w:val="center"/>
        <w:rPr>
          <w:rFonts w:ascii="Garamond" w:hAnsi="Garamond" w:cs="Times New Roman"/>
          <w:color w:val="000000" w:themeColor="text1"/>
          <w:sz w:val="24"/>
          <w:szCs w:val="24"/>
        </w:rPr>
      </w:pPr>
    </w:p>
    <w:p w14:paraId="6A52F4E0" w14:textId="77777777" w:rsidR="000E01EE" w:rsidRPr="00E757B2" w:rsidRDefault="000E01EE" w:rsidP="002D3692">
      <w:pPr>
        <w:spacing w:after="0" w:line="240" w:lineRule="auto"/>
        <w:ind w:firstLine="284"/>
        <w:jc w:val="center"/>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Neni 79</w:t>
      </w:r>
    </w:p>
    <w:p w14:paraId="0B89191C" w14:textId="77777777" w:rsidR="000E01EE" w:rsidRPr="00E757B2" w:rsidRDefault="000E01EE" w:rsidP="002D3692">
      <w:pPr>
        <w:spacing w:after="0" w:line="240" w:lineRule="auto"/>
        <w:ind w:firstLine="284"/>
        <w:jc w:val="center"/>
        <w:rPr>
          <w:rFonts w:ascii="Garamond" w:hAnsi="Garamond" w:cs="Times New Roman"/>
          <w:b/>
          <w:color w:val="000000" w:themeColor="text1"/>
          <w:sz w:val="24"/>
          <w:szCs w:val="24"/>
        </w:rPr>
      </w:pPr>
      <w:r w:rsidRPr="00E757B2">
        <w:rPr>
          <w:rFonts w:ascii="Garamond" w:hAnsi="Garamond" w:cs="Times New Roman"/>
          <w:b/>
          <w:color w:val="000000" w:themeColor="text1"/>
          <w:sz w:val="24"/>
          <w:szCs w:val="24"/>
        </w:rPr>
        <w:t>Hyrja në fuqi</w:t>
      </w:r>
    </w:p>
    <w:p w14:paraId="2594F195"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5E04B3A0" w14:textId="788A5803" w:rsidR="000E01EE" w:rsidRPr="00E757B2" w:rsidRDefault="000E01EE" w:rsidP="002D3692">
      <w:pPr>
        <w:spacing w:after="0" w:line="240" w:lineRule="auto"/>
        <w:ind w:firstLine="284"/>
        <w:jc w:val="both"/>
        <w:rPr>
          <w:rFonts w:ascii="Garamond" w:hAnsi="Garamond" w:cs="Times New Roman"/>
          <w:color w:val="000000" w:themeColor="text1"/>
          <w:sz w:val="24"/>
          <w:szCs w:val="24"/>
        </w:rPr>
      </w:pPr>
      <w:r w:rsidRPr="00E757B2">
        <w:rPr>
          <w:rFonts w:ascii="Garamond" w:hAnsi="Garamond" w:cs="Times New Roman"/>
          <w:color w:val="000000" w:themeColor="text1"/>
          <w:sz w:val="24"/>
          <w:szCs w:val="24"/>
        </w:rPr>
        <w:t>Ky ligj hyn në fuqi</w:t>
      </w:r>
      <w:r w:rsidR="004D0510" w:rsidRPr="00E757B2">
        <w:rPr>
          <w:rFonts w:ascii="Garamond" w:hAnsi="Garamond" w:cs="Times New Roman"/>
          <w:color w:val="000000" w:themeColor="text1"/>
          <w:sz w:val="24"/>
          <w:szCs w:val="24"/>
        </w:rPr>
        <w:t xml:space="preserve"> 9</w:t>
      </w:r>
      <w:r w:rsidR="00276773" w:rsidRPr="00E757B2">
        <w:rPr>
          <w:rFonts w:ascii="Garamond" w:hAnsi="Garamond" w:cs="Times New Roman"/>
          <w:color w:val="000000" w:themeColor="text1"/>
          <w:sz w:val="24"/>
          <w:szCs w:val="24"/>
        </w:rPr>
        <w:t xml:space="preserve"> muaj pas botimit në </w:t>
      </w:r>
      <w:r w:rsidRPr="00E757B2">
        <w:rPr>
          <w:rFonts w:ascii="Garamond" w:hAnsi="Garamond" w:cs="Times New Roman"/>
          <w:color w:val="000000" w:themeColor="text1"/>
          <w:sz w:val="24"/>
          <w:szCs w:val="24"/>
        </w:rPr>
        <w:t xml:space="preserve">Fletoren </w:t>
      </w:r>
      <w:r w:rsidR="00276773" w:rsidRPr="00E757B2">
        <w:rPr>
          <w:rFonts w:ascii="Garamond" w:hAnsi="Garamond" w:cs="Times New Roman"/>
          <w:color w:val="000000" w:themeColor="text1"/>
          <w:sz w:val="24"/>
          <w:szCs w:val="24"/>
        </w:rPr>
        <w:t>Z</w:t>
      </w:r>
      <w:r w:rsidRPr="00E757B2">
        <w:rPr>
          <w:rFonts w:ascii="Garamond" w:hAnsi="Garamond" w:cs="Times New Roman"/>
          <w:color w:val="000000" w:themeColor="text1"/>
          <w:sz w:val="24"/>
          <w:szCs w:val="24"/>
        </w:rPr>
        <w:t>yrtare</w:t>
      </w:r>
      <w:r w:rsidR="00276773" w:rsidRPr="00E757B2">
        <w:rPr>
          <w:rFonts w:ascii="Garamond" w:hAnsi="Garamond" w:cs="Times New Roman"/>
          <w:color w:val="000000" w:themeColor="text1"/>
          <w:sz w:val="24"/>
          <w:szCs w:val="24"/>
        </w:rPr>
        <w:t>, me përjashtim të pikës 1</w:t>
      </w:r>
      <w:r w:rsidR="00F64194">
        <w:rPr>
          <w:rFonts w:ascii="Garamond" w:hAnsi="Garamond" w:cs="Times New Roman"/>
          <w:color w:val="000000" w:themeColor="text1"/>
          <w:sz w:val="24"/>
          <w:szCs w:val="24"/>
        </w:rPr>
        <w:t>,</w:t>
      </w:r>
      <w:r w:rsidRPr="00E757B2">
        <w:rPr>
          <w:rFonts w:ascii="Garamond" w:hAnsi="Garamond" w:cs="Times New Roman"/>
          <w:color w:val="000000" w:themeColor="text1"/>
          <w:sz w:val="24"/>
          <w:szCs w:val="24"/>
        </w:rPr>
        <w:t xml:space="preserve"> të nenit 7</w:t>
      </w:r>
      <w:r w:rsidR="00276773" w:rsidRPr="00E757B2">
        <w:rPr>
          <w:rFonts w:ascii="Garamond" w:hAnsi="Garamond" w:cs="Times New Roman"/>
          <w:color w:val="000000" w:themeColor="text1"/>
          <w:sz w:val="24"/>
          <w:szCs w:val="24"/>
        </w:rPr>
        <w:t>7</w:t>
      </w:r>
      <w:r w:rsidRPr="00E757B2">
        <w:rPr>
          <w:rFonts w:ascii="Garamond" w:hAnsi="Garamond" w:cs="Times New Roman"/>
          <w:color w:val="000000" w:themeColor="text1"/>
          <w:sz w:val="24"/>
          <w:szCs w:val="24"/>
        </w:rPr>
        <w:t xml:space="preserve"> të këtij ligji, që hyn në fuqi 15 ditë pas</w:t>
      </w:r>
      <w:r w:rsidR="00276773" w:rsidRPr="00E757B2">
        <w:rPr>
          <w:rFonts w:ascii="Garamond" w:hAnsi="Garamond" w:cs="Times New Roman"/>
          <w:color w:val="000000" w:themeColor="text1"/>
          <w:sz w:val="24"/>
          <w:szCs w:val="24"/>
        </w:rPr>
        <w:t xml:space="preserve"> botimit në </w:t>
      </w:r>
      <w:r w:rsidRPr="00E757B2">
        <w:rPr>
          <w:rFonts w:ascii="Garamond" w:hAnsi="Garamond" w:cs="Times New Roman"/>
          <w:color w:val="000000" w:themeColor="text1"/>
          <w:sz w:val="24"/>
          <w:szCs w:val="24"/>
        </w:rPr>
        <w:t xml:space="preserve">Fletoren </w:t>
      </w:r>
      <w:r w:rsidR="00276773" w:rsidRPr="00E757B2">
        <w:rPr>
          <w:rFonts w:ascii="Garamond" w:hAnsi="Garamond" w:cs="Times New Roman"/>
          <w:color w:val="000000" w:themeColor="text1"/>
          <w:sz w:val="24"/>
          <w:szCs w:val="24"/>
        </w:rPr>
        <w:t>Z</w:t>
      </w:r>
      <w:r w:rsidRPr="00E757B2">
        <w:rPr>
          <w:rFonts w:ascii="Garamond" w:hAnsi="Garamond" w:cs="Times New Roman"/>
          <w:color w:val="000000" w:themeColor="text1"/>
          <w:sz w:val="24"/>
          <w:szCs w:val="24"/>
        </w:rPr>
        <w:t>yrtare.</w:t>
      </w:r>
    </w:p>
    <w:p w14:paraId="756BDA70" w14:textId="77777777" w:rsidR="000E01EE" w:rsidRPr="00E757B2" w:rsidRDefault="000E01EE" w:rsidP="002D3692">
      <w:pPr>
        <w:spacing w:after="0" w:line="240" w:lineRule="auto"/>
        <w:ind w:firstLine="284"/>
        <w:jc w:val="both"/>
        <w:rPr>
          <w:rFonts w:ascii="Garamond" w:hAnsi="Garamond" w:cs="Times New Roman"/>
          <w:color w:val="000000" w:themeColor="text1"/>
          <w:sz w:val="24"/>
          <w:szCs w:val="24"/>
        </w:rPr>
      </w:pPr>
    </w:p>
    <w:p w14:paraId="45A7E84F" w14:textId="5D33D2F6" w:rsidR="00976A3C" w:rsidRPr="00E757B2" w:rsidRDefault="000E01EE" w:rsidP="002D3692">
      <w:pPr>
        <w:spacing w:after="0" w:line="240" w:lineRule="auto"/>
        <w:ind w:firstLine="284"/>
        <w:jc w:val="both"/>
        <w:rPr>
          <w:rFonts w:ascii="Garamond" w:hAnsi="Garamond" w:cs="Times New Roman"/>
          <w:bCs/>
          <w:color w:val="000000" w:themeColor="text1"/>
          <w:sz w:val="24"/>
          <w:szCs w:val="24"/>
        </w:rPr>
      </w:pPr>
      <w:r w:rsidRPr="00E757B2">
        <w:rPr>
          <w:rFonts w:ascii="Garamond" w:hAnsi="Garamond" w:cs="Times New Roman"/>
          <w:color w:val="000000" w:themeColor="text1"/>
          <w:sz w:val="24"/>
          <w:szCs w:val="24"/>
        </w:rPr>
        <w:t xml:space="preserve"> </w:t>
      </w:r>
      <w:r w:rsidR="00976A3C" w:rsidRPr="00E757B2">
        <w:rPr>
          <w:rFonts w:ascii="Garamond" w:hAnsi="Garamond" w:cs="Times New Roman"/>
          <w:bCs/>
          <w:color w:val="000000" w:themeColor="text1"/>
          <w:sz w:val="24"/>
          <w:szCs w:val="24"/>
        </w:rPr>
        <w:t>Miratuar në datën</w:t>
      </w:r>
      <w:r w:rsidR="00FC6BDD" w:rsidRPr="00E757B2">
        <w:rPr>
          <w:rFonts w:ascii="Garamond" w:hAnsi="Garamond" w:cs="Times New Roman"/>
          <w:bCs/>
          <w:color w:val="000000" w:themeColor="text1"/>
          <w:sz w:val="24"/>
          <w:szCs w:val="24"/>
        </w:rPr>
        <w:t xml:space="preserve"> </w:t>
      </w:r>
      <w:r w:rsidR="004D0510" w:rsidRPr="00E757B2">
        <w:rPr>
          <w:rFonts w:ascii="Garamond" w:hAnsi="Garamond" w:cs="Times New Roman"/>
          <w:bCs/>
          <w:color w:val="000000" w:themeColor="text1"/>
          <w:sz w:val="24"/>
          <w:szCs w:val="24"/>
        </w:rPr>
        <w:t>12.12</w:t>
      </w:r>
      <w:r w:rsidR="00E611BD" w:rsidRPr="00E757B2">
        <w:rPr>
          <w:rFonts w:ascii="Garamond" w:hAnsi="Garamond" w:cs="Times New Roman"/>
          <w:bCs/>
          <w:color w:val="000000" w:themeColor="text1"/>
          <w:sz w:val="24"/>
          <w:szCs w:val="24"/>
        </w:rPr>
        <w:t>.</w:t>
      </w:r>
      <w:r w:rsidR="007748A2" w:rsidRPr="00E757B2">
        <w:rPr>
          <w:rFonts w:ascii="Garamond" w:hAnsi="Garamond" w:cs="Times New Roman"/>
          <w:bCs/>
          <w:color w:val="000000" w:themeColor="text1"/>
          <w:sz w:val="24"/>
          <w:szCs w:val="24"/>
        </w:rPr>
        <w:t>202</w:t>
      </w:r>
      <w:r w:rsidR="00DE793A" w:rsidRPr="00E757B2">
        <w:rPr>
          <w:rFonts w:ascii="Garamond" w:hAnsi="Garamond" w:cs="Times New Roman"/>
          <w:bCs/>
          <w:color w:val="000000" w:themeColor="text1"/>
          <w:sz w:val="24"/>
          <w:szCs w:val="24"/>
        </w:rPr>
        <w:t>5</w:t>
      </w:r>
      <w:r w:rsidR="00F64194">
        <w:rPr>
          <w:rFonts w:ascii="Garamond" w:hAnsi="Garamond" w:cs="Times New Roman"/>
          <w:bCs/>
          <w:color w:val="000000" w:themeColor="text1"/>
          <w:sz w:val="24"/>
          <w:szCs w:val="24"/>
        </w:rPr>
        <w:t>.</w:t>
      </w:r>
    </w:p>
    <w:p w14:paraId="5587EEA6" w14:textId="77777777" w:rsidR="00CE5517" w:rsidRPr="00E757B2" w:rsidRDefault="00CE5517" w:rsidP="002D3692">
      <w:pPr>
        <w:spacing w:after="0" w:line="240" w:lineRule="auto"/>
        <w:ind w:firstLine="284"/>
        <w:jc w:val="both"/>
        <w:rPr>
          <w:rFonts w:ascii="Garamond" w:eastAsia="Times New Roman" w:hAnsi="Garamond" w:cs="Times New Roman"/>
          <w:color w:val="000000" w:themeColor="text1"/>
          <w:sz w:val="24"/>
          <w:szCs w:val="24"/>
        </w:rPr>
      </w:pPr>
    </w:p>
    <w:p w14:paraId="5ADB28E0" w14:textId="278B1D8A" w:rsidR="000B670F" w:rsidRPr="00E757B2" w:rsidRDefault="000B670F" w:rsidP="000B670F">
      <w:pPr>
        <w:spacing w:after="0" w:line="240" w:lineRule="auto"/>
        <w:ind w:firstLine="284"/>
        <w:jc w:val="both"/>
        <w:rPr>
          <w:rFonts w:ascii="Garamond" w:hAnsi="Garamond"/>
          <w:b/>
          <w:color w:val="000000" w:themeColor="text1"/>
          <w:sz w:val="24"/>
        </w:rPr>
      </w:pPr>
      <w:r w:rsidRPr="00E757B2">
        <w:rPr>
          <w:rFonts w:ascii="Garamond" w:hAnsi="Garamond"/>
          <w:b/>
          <w:color w:val="000000" w:themeColor="text1"/>
          <w:sz w:val="24"/>
        </w:rPr>
        <w:t>Shpallur me dekretin nr.</w:t>
      </w:r>
      <w:r w:rsidR="00F64194">
        <w:rPr>
          <w:rFonts w:ascii="Garamond" w:hAnsi="Garamond"/>
          <w:b/>
          <w:color w:val="000000" w:themeColor="text1"/>
          <w:sz w:val="24"/>
        </w:rPr>
        <w:t xml:space="preserve"> 7</w:t>
      </w:r>
      <w:r w:rsidRPr="00E757B2">
        <w:rPr>
          <w:rFonts w:ascii="Garamond" w:hAnsi="Garamond"/>
          <w:b/>
          <w:color w:val="000000" w:themeColor="text1"/>
          <w:sz w:val="24"/>
        </w:rPr>
        <w:t xml:space="preserve">, datë </w:t>
      </w:r>
      <w:r w:rsidR="00F64194">
        <w:rPr>
          <w:rFonts w:ascii="Garamond" w:hAnsi="Garamond"/>
          <w:b/>
          <w:color w:val="000000" w:themeColor="text1"/>
          <w:sz w:val="24"/>
        </w:rPr>
        <w:t>8</w:t>
      </w:r>
      <w:r w:rsidRPr="00E757B2">
        <w:rPr>
          <w:rFonts w:ascii="Garamond" w:hAnsi="Garamond"/>
          <w:b/>
          <w:color w:val="000000" w:themeColor="text1"/>
          <w:sz w:val="24"/>
        </w:rPr>
        <w:t>.1.2026</w:t>
      </w:r>
      <w:r w:rsidRPr="00E757B2">
        <w:rPr>
          <w:rFonts w:ascii="Garamond" w:hAnsi="Garamond" w:cstheme="majorBidi"/>
          <w:b/>
          <w:sz w:val="24"/>
          <w:szCs w:val="24"/>
        </w:rPr>
        <w:t>,</w:t>
      </w:r>
      <w:r w:rsidRPr="00E757B2">
        <w:rPr>
          <w:rFonts w:ascii="Garamond" w:hAnsi="Garamond"/>
          <w:b/>
          <w:color w:val="000000" w:themeColor="text1"/>
          <w:sz w:val="24"/>
        </w:rPr>
        <w:t xml:space="preserve"> të Presidentit të Republikës së Shqipërisë, Bajram Begaj</w:t>
      </w:r>
      <w:r w:rsidRPr="00E757B2">
        <w:rPr>
          <w:rFonts w:ascii="Garamond" w:hAnsi="Garamond" w:cstheme="majorBidi"/>
          <w:b/>
          <w:sz w:val="24"/>
          <w:szCs w:val="24"/>
        </w:rPr>
        <w:t>.</w:t>
      </w:r>
    </w:p>
    <w:p w14:paraId="24BBF9A9" w14:textId="77777777" w:rsidR="009A2331" w:rsidRPr="00E757B2" w:rsidRDefault="009A2331" w:rsidP="002D3692">
      <w:pPr>
        <w:spacing w:after="0" w:line="240" w:lineRule="auto"/>
        <w:ind w:firstLine="284"/>
        <w:jc w:val="both"/>
        <w:rPr>
          <w:rFonts w:ascii="Garamond" w:eastAsia="Times New Roman" w:hAnsi="Garamond" w:cs="Times New Roman"/>
          <w:color w:val="000000" w:themeColor="text1"/>
          <w:sz w:val="24"/>
          <w:szCs w:val="24"/>
        </w:rPr>
      </w:pPr>
    </w:p>
    <w:p w14:paraId="5A658B87" w14:textId="77777777" w:rsidR="008A48E5" w:rsidRPr="00E757B2" w:rsidRDefault="008A48E5" w:rsidP="002D3692">
      <w:pPr>
        <w:spacing w:after="0" w:line="240" w:lineRule="auto"/>
        <w:ind w:firstLine="284"/>
        <w:jc w:val="both"/>
        <w:rPr>
          <w:rFonts w:ascii="Garamond" w:eastAsia="Times New Roman" w:hAnsi="Garamond" w:cs="Times New Roman"/>
          <w:color w:val="000000" w:themeColor="text1"/>
          <w:sz w:val="24"/>
          <w:szCs w:val="24"/>
        </w:rPr>
      </w:pPr>
    </w:p>
    <w:p w14:paraId="04A6B0A9" w14:textId="77777777" w:rsidR="00213234" w:rsidRPr="00E757B2" w:rsidRDefault="00213234" w:rsidP="002D3692">
      <w:pPr>
        <w:spacing w:after="0" w:line="240" w:lineRule="auto"/>
        <w:ind w:firstLine="284"/>
        <w:jc w:val="both"/>
        <w:rPr>
          <w:rFonts w:ascii="Garamond" w:hAnsi="Garamond" w:cs="Times New Roman"/>
          <w:bCs/>
          <w:color w:val="000000" w:themeColor="text1"/>
          <w:sz w:val="24"/>
          <w:szCs w:val="24"/>
        </w:rPr>
      </w:pPr>
    </w:p>
    <w:sectPr w:rsidR="00213234" w:rsidRPr="00E757B2" w:rsidSect="002D3692">
      <w:footerReference w:type="default" r:id="rId13"/>
      <w:pgSz w:w="11906" w:h="16838" w:code="9"/>
      <w:pgMar w:top="1418" w:right="1418" w:bottom="1418" w:left="1418" w:header="1304" w:footer="113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0ABDECF" w14:textId="77777777" w:rsidR="00B8190E" w:rsidRDefault="00B8190E" w:rsidP="00420682">
      <w:pPr>
        <w:spacing w:after="0" w:line="240" w:lineRule="auto"/>
      </w:pPr>
      <w:r>
        <w:separator/>
      </w:r>
    </w:p>
  </w:endnote>
  <w:endnote w:type="continuationSeparator" w:id="0">
    <w:p w14:paraId="575494CC" w14:textId="77777777" w:rsidR="00B8190E" w:rsidRDefault="00B8190E" w:rsidP="00420682">
      <w:pPr>
        <w:spacing w:after="0" w:line="240" w:lineRule="auto"/>
      </w:pPr>
      <w:r>
        <w:continuationSeparator/>
      </w:r>
    </w:p>
  </w:endnote>
  <w:endnote w:type="continuationNotice" w:id="1">
    <w:p w14:paraId="5C8AB7AB" w14:textId="77777777" w:rsidR="00B8190E" w:rsidRDefault="00B819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7962233"/>
      <w:docPartObj>
        <w:docPartGallery w:val="Page Numbers (Bottom of Page)"/>
        <w:docPartUnique/>
      </w:docPartObj>
    </w:sdtPr>
    <w:sdtEndPr>
      <w:rPr>
        <w:noProof/>
      </w:rPr>
    </w:sdtEndPr>
    <w:sdtContent>
      <w:p w14:paraId="50A66D46" w14:textId="39E616C0" w:rsidR="00B8190E" w:rsidRDefault="00B8190E">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sidR="00ED3605">
          <w:rPr>
            <w:rFonts w:ascii="Times New Roman" w:hAnsi="Times New Roman" w:cs="Times New Roman"/>
            <w:noProof/>
            <w:sz w:val="24"/>
            <w:szCs w:val="24"/>
          </w:rPr>
          <w:t>43</w:t>
        </w:r>
        <w:r w:rsidRPr="0096575A">
          <w:rPr>
            <w:rFonts w:ascii="Times New Roman" w:hAnsi="Times New Roman" w:cs="Times New Roman"/>
            <w:noProof/>
            <w:sz w:val="24"/>
            <w:szCs w:val="24"/>
          </w:rPr>
          <w:fldChar w:fldCharType="end"/>
        </w:r>
      </w:p>
    </w:sdtContent>
  </w:sdt>
  <w:p w14:paraId="1BBB0939" w14:textId="77777777" w:rsidR="00B8190E" w:rsidRDefault="00B819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6B5A12" w14:textId="77777777" w:rsidR="00B8190E" w:rsidRDefault="00B8190E" w:rsidP="00420682">
      <w:pPr>
        <w:spacing w:after="0" w:line="240" w:lineRule="auto"/>
      </w:pPr>
      <w:r>
        <w:separator/>
      </w:r>
    </w:p>
  </w:footnote>
  <w:footnote w:type="continuationSeparator" w:id="0">
    <w:p w14:paraId="6B9AC615" w14:textId="77777777" w:rsidR="00B8190E" w:rsidRDefault="00B8190E" w:rsidP="00420682">
      <w:pPr>
        <w:spacing w:after="0" w:line="240" w:lineRule="auto"/>
      </w:pPr>
      <w:r>
        <w:continuationSeparator/>
      </w:r>
    </w:p>
  </w:footnote>
  <w:footnote w:type="continuationNotice" w:id="1">
    <w:p w14:paraId="4F3EAF81" w14:textId="77777777" w:rsidR="00B8190E" w:rsidRDefault="00B8190E">
      <w:pPr>
        <w:spacing w:after="0" w:line="240" w:lineRule="auto"/>
      </w:pPr>
    </w:p>
  </w:footnote>
  <w:footnote w:id="2">
    <w:p w14:paraId="7BAD289E" w14:textId="3CF6B505" w:rsidR="00B8190E" w:rsidRPr="002D3692" w:rsidRDefault="00B8190E" w:rsidP="002D3692">
      <w:pPr>
        <w:spacing w:after="0" w:line="240" w:lineRule="auto"/>
        <w:contextualSpacing/>
        <w:jc w:val="both"/>
        <w:rPr>
          <w:rFonts w:ascii="Garamond" w:hAnsi="Garamond" w:cs="Times New Roman"/>
          <w:sz w:val="20"/>
          <w:szCs w:val="20"/>
        </w:rPr>
      </w:pPr>
      <w:r w:rsidRPr="002D3692">
        <w:rPr>
          <w:rStyle w:val="FootnoteReference"/>
          <w:rFonts w:ascii="Garamond" w:hAnsi="Garamond"/>
          <w:sz w:val="20"/>
          <w:szCs w:val="20"/>
        </w:rPr>
        <w:footnoteRef/>
      </w:r>
      <w:r w:rsidRPr="002D3692">
        <w:rPr>
          <w:rFonts w:ascii="Garamond" w:hAnsi="Garamond"/>
          <w:sz w:val="20"/>
          <w:szCs w:val="20"/>
        </w:rPr>
        <w:t xml:space="preserve"> </w:t>
      </w:r>
      <w:r w:rsidRPr="002D3692">
        <w:rPr>
          <w:rFonts w:ascii="Garamond" w:hAnsi="Garamond" w:cs="Times New Roman"/>
          <w:sz w:val="20"/>
          <w:szCs w:val="20"/>
        </w:rPr>
        <w:t>Ky</w:t>
      </w:r>
      <w:r w:rsidRPr="002D3692">
        <w:rPr>
          <w:rFonts w:ascii="Garamond" w:hAnsi="Garamond" w:cs="Times New Roman"/>
          <w:spacing w:val="-8"/>
          <w:sz w:val="20"/>
          <w:szCs w:val="20"/>
        </w:rPr>
        <w:t xml:space="preserve"> </w:t>
      </w:r>
      <w:r w:rsidRPr="002D3692">
        <w:rPr>
          <w:rFonts w:ascii="Garamond" w:hAnsi="Garamond" w:cs="Times New Roman"/>
          <w:sz w:val="20"/>
          <w:szCs w:val="20"/>
        </w:rPr>
        <w:t>ligj</w:t>
      </w:r>
      <w:r w:rsidRPr="002D3692">
        <w:rPr>
          <w:rFonts w:ascii="Garamond" w:hAnsi="Garamond" w:cs="Times New Roman"/>
          <w:spacing w:val="-9"/>
          <w:sz w:val="20"/>
          <w:szCs w:val="20"/>
        </w:rPr>
        <w:t xml:space="preserve"> </w:t>
      </w:r>
      <w:r w:rsidRPr="002D3692">
        <w:rPr>
          <w:rFonts w:ascii="Garamond" w:hAnsi="Garamond" w:cs="Times New Roman"/>
          <w:sz w:val="20"/>
          <w:szCs w:val="20"/>
        </w:rPr>
        <w:t>është</w:t>
      </w:r>
      <w:r w:rsidRPr="002D3692">
        <w:rPr>
          <w:rFonts w:ascii="Garamond" w:hAnsi="Garamond" w:cs="Times New Roman"/>
          <w:spacing w:val="-9"/>
          <w:sz w:val="20"/>
          <w:szCs w:val="20"/>
        </w:rPr>
        <w:t xml:space="preserve"> </w:t>
      </w:r>
      <w:r w:rsidRPr="002D3692">
        <w:rPr>
          <w:rFonts w:ascii="Garamond" w:hAnsi="Garamond" w:cs="Times New Roman"/>
          <w:sz w:val="20"/>
          <w:szCs w:val="20"/>
        </w:rPr>
        <w:t>përafruar</w:t>
      </w:r>
      <w:r w:rsidRPr="002D3692">
        <w:rPr>
          <w:rFonts w:ascii="Garamond" w:hAnsi="Garamond" w:cs="Times New Roman"/>
          <w:spacing w:val="-8"/>
          <w:sz w:val="20"/>
          <w:szCs w:val="20"/>
        </w:rPr>
        <w:t xml:space="preserve"> </w:t>
      </w:r>
      <w:r w:rsidRPr="002D3692">
        <w:rPr>
          <w:rFonts w:ascii="Garamond" w:hAnsi="Garamond" w:cs="Times New Roman"/>
          <w:sz w:val="20"/>
          <w:szCs w:val="20"/>
        </w:rPr>
        <w:t>pjesërisht</w:t>
      </w:r>
      <w:r w:rsidRPr="002D3692">
        <w:rPr>
          <w:rFonts w:ascii="Garamond" w:hAnsi="Garamond" w:cs="Times New Roman"/>
          <w:spacing w:val="-9"/>
          <w:sz w:val="20"/>
          <w:szCs w:val="20"/>
        </w:rPr>
        <w:t xml:space="preserve"> </w:t>
      </w:r>
      <w:r w:rsidRPr="002D3692">
        <w:rPr>
          <w:rFonts w:ascii="Garamond" w:hAnsi="Garamond" w:cs="Times New Roman"/>
          <w:sz w:val="20"/>
          <w:szCs w:val="20"/>
        </w:rPr>
        <w:t>me</w:t>
      </w:r>
      <w:r w:rsidRPr="002D3692">
        <w:rPr>
          <w:rFonts w:ascii="Garamond" w:hAnsi="Garamond" w:cs="Times New Roman"/>
          <w:spacing w:val="-9"/>
          <w:sz w:val="20"/>
          <w:szCs w:val="20"/>
        </w:rPr>
        <w:t xml:space="preserve"> </w:t>
      </w:r>
      <w:r w:rsidRPr="002D3692">
        <w:rPr>
          <w:rFonts w:ascii="Garamond" w:hAnsi="Garamond" w:cs="Times New Roman"/>
          <w:sz w:val="20"/>
          <w:szCs w:val="20"/>
        </w:rPr>
        <w:t>direktivën</w:t>
      </w:r>
      <w:r w:rsidRPr="002D3692">
        <w:rPr>
          <w:rFonts w:ascii="Garamond" w:hAnsi="Garamond" w:cs="Times New Roman"/>
          <w:spacing w:val="-8"/>
          <w:sz w:val="20"/>
          <w:szCs w:val="20"/>
        </w:rPr>
        <w:t xml:space="preserve"> </w:t>
      </w:r>
      <w:r w:rsidRPr="002D3692">
        <w:rPr>
          <w:rFonts w:ascii="Garamond" w:hAnsi="Garamond" w:cs="Times New Roman"/>
          <w:sz w:val="20"/>
          <w:szCs w:val="20"/>
        </w:rPr>
        <w:t>2014/23/EU</w:t>
      </w:r>
      <w:r w:rsidRPr="002D3692">
        <w:rPr>
          <w:rFonts w:ascii="Garamond" w:hAnsi="Garamond" w:cs="Times New Roman"/>
          <w:spacing w:val="-11"/>
          <w:sz w:val="20"/>
          <w:szCs w:val="20"/>
        </w:rPr>
        <w:t xml:space="preserve"> </w:t>
      </w:r>
      <w:r w:rsidRPr="002D3692">
        <w:rPr>
          <w:rFonts w:ascii="Garamond" w:hAnsi="Garamond" w:cs="Times New Roman"/>
          <w:sz w:val="20"/>
          <w:szCs w:val="20"/>
        </w:rPr>
        <w:t>të</w:t>
      </w:r>
      <w:r w:rsidRPr="002D3692">
        <w:rPr>
          <w:rFonts w:ascii="Garamond" w:hAnsi="Garamond" w:cs="Times New Roman"/>
          <w:spacing w:val="-9"/>
          <w:sz w:val="20"/>
          <w:szCs w:val="20"/>
        </w:rPr>
        <w:t xml:space="preserve"> </w:t>
      </w:r>
      <w:r w:rsidRPr="002D3692">
        <w:rPr>
          <w:rFonts w:ascii="Garamond" w:hAnsi="Garamond" w:cs="Times New Roman"/>
          <w:sz w:val="20"/>
          <w:szCs w:val="20"/>
        </w:rPr>
        <w:t>Parlamentit</w:t>
      </w:r>
      <w:r w:rsidRPr="002D3692">
        <w:rPr>
          <w:rFonts w:ascii="Garamond" w:hAnsi="Garamond" w:cs="Times New Roman"/>
          <w:spacing w:val="-10"/>
          <w:sz w:val="20"/>
          <w:szCs w:val="20"/>
        </w:rPr>
        <w:t xml:space="preserve"> </w:t>
      </w:r>
      <w:r w:rsidRPr="002D3692">
        <w:rPr>
          <w:rFonts w:ascii="Garamond" w:hAnsi="Garamond" w:cs="Times New Roman"/>
          <w:sz w:val="20"/>
          <w:szCs w:val="20"/>
        </w:rPr>
        <w:t>Evropian</w:t>
      </w:r>
      <w:r w:rsidRPr="002D3692">
        <w:rPr>
          <w:rFonts w:ascii="Garamond" w:hAnsi="Garamond" w:cs="Times New Roman"/>
          <w:spacing w:val="-8"/>
          <w:sz w:val="20"/>
          <w:szCs w:val="20"/>
        </w:rPr>
        <w:t xml:space="preserve"> </w:t>
      </w:r>
      <w:r w:rsidRPr="002D3692">
        <w:rPr>
          <w:rFonts w:ascii="Garamond" w:hAnsi="Garamond" w:cs="Times New Roman"/>
          <w:sz w:val="20"/>
          <w:szCs w:val="20"/>
        </w:rPr>
        <w:t>dhe</w:t>
      </w:r>
      <w:r w:rsidRPr="002D3692">
        <w:rPr>
          <w:rFonts w:ascii="Garamond" w:hAnsi="Garamond" w:cs="Times New Roman"/>
          <w:spacing w:val="-9"/>
          <w:sz w:val="20"/>
          <w:szCs w:val="20"/>
        </w:rPr>
        <w:t xml:space="preserve"> </w:t>
      </w:r>
      <w:r w:rsidRPr="002D3692">
        <w:rPr>
          <w:rFonts w:ascii="Garamond" w:hAnsi="Garamond" w:cs="Times New Roman"/>
          <w:sz w:val="20"/>
          <w:szCs w:val="20"/>
        </w:rPr>
        <w:t>të</w:t>
      </w:r>
      <w:r w:rsidRPr="002D3692">
        <w:rPr>
          <w:rFonts w:ascii="Garamond" w:hAnsi="Garamond" w:cs="Times New Roman"/>
          <w:spacing w:val="-11"/>
          <w:sz w:val="20"/>
          <w:szCs w:val="20"/>
        </w:rPr>
        <w:t xml:space="preserve"> </w:t>
      </w:r>
      <w:r w:rsidRPr="002D3692">
        <w:rPr>
          <w:rFonts w:ascii="Garamond" w:hAnsi="Garamond" w:cs="Times New Roman"/>
          <w:sz w:val="20"/>
          <w:szCs w:val="20"/>
        </w:rPr>
        <w:t>Këshillit</w:t>
      </w:r>
      <w:r>
        <w:rPr>
          <w:rFonts w:ascii="Garamond" w:hAnsi="Garamond" w:cs="Times New Roman"/>
          <w:sz w:val="20"/>
          <w:szCs w:val="20"/>
        </w:rPr>
        <w:t>,</w:t>
      </w:r>
      <w:r w:rsidRPr="002D3692">
        <w:rPr>
          <w:rFonts w:ascii="Garamond" w:hAnsi="Garamond" w:cs="Times New Roman"/>
          <w:spacing w:val="-9"/>
          <w:sz w:val="20"/>
          <w:szCs w:val="20"/>
        </w:rPr>
        <w:t xml:space="preserve"> </w:t>
      </w:r>
      <w:r w:rsidRPr="002D3692">
        <w:rPr>
          <w:rFonts w:ascii="Garamond" w:hAnsi="Garamond" w:cs="Times New Roman"/>
          <w:sz w:val="20"/>
          <w:szCs w:val="20"/>
        </w:rPr>
        <w:t>të</w:t>
      </w:r>
      <w:r w:rsidRPr="002D3692">
        <w:rPr>
          <w:rFonts w:ascii="Garamond" w:hAnsi="Garamond" w:cs="Times New Roman"/>
          <w:spacing w:val="-7"/>
          <w:sz w:val="20"/>
          <w:szCs w:val="20"/>
        </w:rPr>
        <w:t xml:space="preserve"> datës </w:t>
      </w:r>
      <w:r w:rsidRPr="002D3692">
        <w:rPr>
          <w:rFonts w:ascii="Garamond" w:hAnsi="Garamond" w:cs="Times New Roman"/>
          <w:sz w:val="20"/>
          <w:szCs w:val="20"/>
        </w:rPr>
        <w:t>26 shkurt 2014</w:t>
      </w:r>
      <w:r>
        <w:rPr>
          <w:rFonts w:ascii="Garamond" w:hAnsi="Garamond" w:cs="Times New Roman"/>
          <w:sz w:val="20"/>
          <w:szCs w:val="20"/>
        </w:rPr>
        <w:t>,</w:t>
      </w:r>
      <w:r w:rsidRPr="002D3692">
        <w:rPr>
          <w:rFonts w:ascii="Garamond" w:hAnsi="Garamond" w:cs="Times New Roman"/>
          <w:sz w:val="20"/>
          <w:szCs w:val="20"/>
        </w:rPr>
        <w:t xml:space="preserve"> “Për dhënien e kontratave koncesion</w:t>
      </w:r>
      <w:r>
        <w:rPr>
          <w:rFonts w:ascii="Garamond" w:hAnsi="Garamond" w:cs="Times New Roman"/>
          <w:sz w:val="20"/>
          <w:szCs w:val="20"/>
        </w:rPr>
        <w:t xml:space="preserve">are”, numri CELEX: 32014L0023, </w:t>
      </w:r>
      <w:r w:rsidRPr="002D3692">
        <w:rPr>
          <w:rFonts w:ascii="Garamond" w:hAnsi="Garamond" w:cs="Times New Roman"/>
          <w:sz w:val="20"/>
          <w:szCs w:val="20"/>
        </w:rPr>
        <w:t>Fletorja Zyrtare e Bashkimit Evropian, ser</w:t>
      </w:r>
      <w:r>
        <w:rPr>
          <w:rFonts w:ascii="Garamond" w:hAnsi="Garamond" w:cs="Times New Roman"/>
          <w:sz w:val="20"/>
          <w:szCs w:val="20"/>
        </w:rPr>
        <w:t>ia L, nr. 94, datë 28.3.2014, f</w:t>
      </w:r>
      <w:r w:rsidRPr="002D3692">
        <w:rPr>
          <w:rFonts w:ascii="Garamond" w:hAnsi="Garamond" w:cs="Times New Roman"/>
          <w:sz w:val="20"/>
          <w:szCs w:val="20"/>
        </w:rPr>
        <w:t>.</w:t>
      </w:r>
      <w:r>
        <w:rPr>
          <w:rFonts w:ascii="Garamond" w:hAnsi="Garamond" w:cs="Times New Roman"/>
          <w:sz w:val="20"/>
          <w:szCs w:val="20"/>
        </w:rPr>
        <w:t xml:space="preserve"> </w:t>
      </w:r>
      <w:r w:rsidRPr="002D3692">
        <w:rPr>
          <w:rFonts w:ascii="Garamond" w:hAnsi="Garamond" w:cs="Times New Roman"/>
          <w:sz w:val="20"/>
          <w:szCs w:val="20"/>
        </w:rPr>
        <w:t>1</w:t>
      </w:r>
      <w:r>
        <w:rPr>
          <w:rFonts w:ascii="Garamond" w:hAnsi="Garamond" w:cs="Times New Roman"/>
          <w:sz w:val="20"/>
          <w:szCs w:val="20"/>
        </w:rPr>
        <w:t>–</w:t>
      </w:r>
      <w:r w:rsidRPr="002D3692">
        <w:rPr>
          <w:rFonts w:ascii="Garamond" w:hAnsi="Garamond" w:cs="Times New Roman"/>
          <w:sz w:val="20"/>
          <w:szCs w:val="20"/>
        </w:rPr>
        <w:t>64.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05CCE"/>
    <w:rsid w:val="000106F7"/>
    <w:rsid w:val="00011558"/>
    <w:rsid w:val="000115A2"/>
    <w:rsid w:val="000141A5"/>
    <w:rsid w:val="000235ED"/>
    <w:rsid w:val="00024790"/>
    <w:rsid w:val="00032E9A"/>
    <w:rsid w:val="000372E9"/>
    <w:rsid w:val="00040D8C"/>
    <w:rsid w:val="000424EE"/>
    <w:rsid w:val="00042707"/>
    <w:rsid w:val="00043C57"/>
    <w:rsid w:val="000514F1"/>
    <w:rsid w:val="000518D6"/>
    <w:rsid w:val="00054966"/>
    <w:rsid w:val="00055AB5"/>
    <w:rsid w:val="00060376"/>
    <w:rsid w:val="00061FA9"/>
    <w:rsid w:val="00072080"/>
    <w:rsid w:val="000765C2"/>
    <w:rsid w:val="00082266"/>
    <w:rsid w:val="00091A46"/>
    <w:rsid w:val="0009415D"/>
    <w:rsid w:val="00096985"/>
    <w:rsid w:val="00096F02"/>
    <w:rsid w:val="00097617"/>
    <w:rsid w:val="000A1E47"/>
    <w:rsid w:val="000A3B4D"/>
    <w:rsid w:val="000A6B3D"/>
    <w:rsid w:val="000B3F8E"/>
    <w:rsid w:val="000B5AFE"/>
    <w:rsid w:val="000B5F65"/>
    <w:rsid w:val="000B670F"/>
    <w:rsid w:val="000B6963"/>
    <w:rsid w:val="000C6E53"/>
    <w:rsid w:val="000D011D"/>
    <w:rsid w:val="000D07C5"/>
    <w:rsid w:val="000D0BC1"/>
    <w:rsid w:val="000D199E"/>
    <w:rsid w:val="000D23A0"/>
    <w:rsid w:val="000D3C56"/>
    <w:rsid w:val="000E01EE"/>
    <w:rsid w:val="000E268C"/>
    <w:rsid w:val="000E32F6"/>
    <w:rsid w:val="000E4CA8"/>
    <w:rsid w:val="000E5BA6"/>
    <w:rsid w:val="000F482E"/>
    <w:rsid w:val="000F4933"/>
    <w:rsid w:val="001025A8"/>
    <w:rsid w:val="00106F6D"/>
    <w:rsid w:val="001111AC"/>
    <w:rsid w:val="0011383D"/>
    <w:rsid w:val="0011415C"/>
    <w:rsid w:val="00115002"/>
    <w:rsid w:val="00117D28"/>
    <w:rsid w:val="00121A53"/>
    <w:rsid w:val="00121E29"/>
    <w:rsid w:val="00122D1F"/>
    <w:rsid w:val="0012550D"/>
    <w:rsid w:val="00126249"/>
    <w:rsid w:val="001268E9"/>
    <w:rsid w:val="001269BE"/>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77254"/>
    <w:rsid w:val="001816AF"/>
    <w:rsid w:val="00181F65"/>
    <w:rsid w:val="00191A00"/>
    <w:rsid w:val="001942D4"/>
    <w:rsid w:val="001960B2"/>
    <w:rsid w:val="00196C67"/>
    <w:rsid w:val="001A1919"/>
    <w:rsid w:val="001A2945"/>
    <w:rsid w:val="001A586F"/>
    <w:rsid w:val="001B2638"/>
    <w:rsid w:val="001B7535"/>
    <w:rsid w:val="001B796E"/>
    <w:rsid w:val="001C0806"/>
    <w:rsid w:val="001C1A1A"/>
    <w:rsid w:val="001C2335"/>
    <w:rsid w:val="001C445C"/>
    <w:rsid w:val="001C5CDE"/>
    <w:rsid w:val="001C6A0A"/>
    <w:rsid w:val="001C7EC0"/>
    <w:rsid w:val="001D2895"/>
    <w:rsid w:val="001D31EB"/>
    <w:rsid w:val="001D77D6"/>
    <w:rsid w:val="001D7939"/>
    <w:rsid w:val="001E4782"/>
    <w:rsid w:val="001F194A"/>
    <w:rsid w:val="001F5B71"/>
    <w:rsid w:val="001F7774"/>
    <w:rsid w:val="001F78C3"/>
    <w:rsid w:val="001F797D"/>
    <w:rsid w:val="0020004E"/>
    <w:rsid w:val="002009A1"/>
    <w:rsid w:val="00200D3D"/>
    <w:rsid w:val="0020160E"/>
    <w:rsid w:val="0020170B"/>
    <w:rsid w:val="00204052"/>
    <w:rsid w:val="002044B0"/>
    <w:rsid w:val="0020507F"/>
    <w:rsid w:val="002101FE"/>
    <w:rsid w:val="00212E52"/>
    <w:rsid w:val="00213234"/>
    <w:rsid w:val="00214854"/>
    <w:rsid w:val="0021715D"/>
    <w:rsid w:val="00217DA0"/>
    <w:rsid w:val="00221AAC"/>
    <w:rsid w:val="00223BC9"/>
    <w:rsid w:val="00223F53"/>
    <w:rsid w:val="00224329"/>
    <w:rsid w:val="00225DD1"/>
    <w:rsid w:val="00226AF3"/>
    <w:rsid w:val="00233280"/>
    <w:rsid w:val="00233F4B"/>
    <w:rsid w:val="00234BD8"/>
    <w:rsid w:val="00235A46"/>
    <w:rsid w:val="0024206A"/>
    <w:rsid w:val="00243B60"/>
    <w:rsid w:val="00246A53"/>
    <w:rsid w:val="00247DF1"/>
    <w:rsid w:val="00250F7F"/>
    <w:rsid w:val="00256139"/>
    <w:rsid w:val="00260E70"/>
    <w:rsid w:val="00264FD5"/>
    <w:rsid w:val="00266C06"/>
    <w:rsid w:val="00267E57"/>
    <w:rsid w:val="0027350F"/>
    <w:rsid w:val="00274D4C"/>
    <w:rsid w:val="002753F6"/>
    <w:rsid w:val="00276773"/>
    <w:rsid w:val="00277C89"/>
    <w:rsid w:val="00280456"/>
    <w:rsid w:val="0028093D"/>
    <w:rsid w:val="00282145"/>
    <w:rsid w:val="00284AC7"/>
    <w:rsid w:val="00286801"/>
    <w:rsid w:val="00294FCA"/>
    <w:rsid w:val="00296ECC"/>
    <w:rsid w:val="002A0703"/>
    <w:rsid w:val="002A47D7"/>
    <w:rsid w:val="002B2F03"/>
    <w:rsid w:val="002B5575"/>
    <w:rsid w:val="002B7604"/>
    <w:rsid w:val="002C339D"/>
    <w:rsid w:val="002C5F12"/>
    <w:rsid w:val="002C7626"/>
    <w:rsid w:val="002C7D02"/>
    <w:rsid w:val="002D3692"/>
    <w:rsid w:val="002D3DB1"/>
    <w:rsid w:val="002D4309"/>
    <w:rsid w:val="002D5F14"/>
    <w:rsid w:val="002E0FFB"/>
    <w:rsid w:val="002E2079"/>
    <w:rsid w:val="002E5221"/>
    <w:rsid w:val="002F000B"/>
    <w:rsid w:val="002F5953"/>
    <w:rsid w:val="002F5F81"/>
    <w:rsid w:val="00300CDA"/>
    <w:rsid w:val="00301305"/>
    <w:rsid w:val="0030276C"/>
    <w:rsid w:val="0030305D"/>
    <w:rsid w:val="0031187E"/>
    <w:rsid w:val="003168B3"/>
    <w:rsid w:val="00316C08"/>
    <w:rsid w:val="00323264"/>
    <w:rsid w:val="003248D9"/>
    <w:rsid w:val="00325554"/>
    <w:rsid w:val="003305E1"/>
    <w:rsid w:val="003333CC"/>
    <w:rsid w:val="00336EED"/>
    <w:rsid w:val="003403C8"/>
    <w:rsid w:val="003547D6"/>
    <w:rsid w:val="00363075"/>
    <w:rsid w:val="00364715"/>
    <w:rsid w:val="00365BF7"/>
    <w:rsid w:val="003706C5"/>
    <w:rsid w:val="003745EF"/>
    <w:rsid w:val="00375597"/>
    <w:rsid w:val="0038331D"/>
    <w:rsid w:val="00395396"/>
    <w:rsid w:val="003953EE"/>
    <w:rsid w:val="00397541"/>
    <w:rsid w:val="003A135F"/>
    <w:rsid w:val="003A38DC"/>
    <w:rsid w:val="003A3FC1"/>
    <w:rsid w:val="003A63A5"/>
    <w:rsid w:val="003B39AF"/>
    <w:rsid w:val="003C118D"/>
    <w:rsid w:val="003C400C"/>
    <w:rsid w:val="003C48FF"/>
    <w:rsid w:val="003D0E7F"/>
    <w:rsid w:val="003D5049"/>
    <w:rsid w:val="003D59B2"/>
    <w:rsid w:val="003D5ED0"/>
    <w:rsid w:val="003E1198"/>
    <w:rsid w:val="003E72F7"/>
    <w:rsid w:val="003E778F"/>
    <w:rsid w:val="003F29A8"/>
    <w:rsid w:val="003F398D"/>
    <w:rsid w:val="0040042E"/>
    <w:rsid w:val="00403430"/>
    <w:rsid w:val="00403A89"/>
    <w:rsid w:val="0041300C"/>
    <w:rsid w:val="004130A4"/>
    <w:rsid w:val="00420682"/>
    <w:rsid w:val="00424061"/>
    <w:rsid w:val="004337C4"/>
    <w:rsid w:val="00433BCD"/>
    <w:rsid w:val="00436717"/>
    <w:rsid w:val="00437B33"/>
    <w:rsid w:val="00440F30"/>
    <w:rsid w:val="00445610"/>
    <w:rsid w:val="00445754"/>
    <w:rsid w:val="00446CCC"/>
    <w:rsid w:val="00447F2A"/>
    <w:rsid w:val="004515ED"/>
    <w:rsid w:val="004531AA"/>
    <w:rsid w:val="0045538C"/>
    <w:rsid w:val="004555DB"/>
    <w:rsid w:val="00455BBA"/>
    <w:rsid w:val="00457639"/>
    <w:rsid w:val="00460BC4"/>
    <w:rsid w:val="004647DB"/>
    <w:rsid w:val="00471609"/>
    <w:rsid w:val="004771A5"/>
    <w:rsid w:val="00477804"/>
    <w:rsid w:val="00481A08"/>
    <w:rsid w:val="0048341A"/>
    <w:rsid w:val="00484922"/>
    <w:rsid w:val="004866A8"/>
    <w:rsid w:val="00486954"/>
    <w:rsid w:val="00490B08"/>
    <w:rsid w:val="00492BFD"/>
    <w:rsid w:val="00494B65"/>
    <w:rsid w:val="00496497"/>
    <w:rsid w:val="004A045B"/>
    <w:rsid w:val="004A5884"/>
    <w:rsid w:val="004A5DE6"/>
    <w:rsid w:val="004A7FED"/>
    <w:rsid w:val="004B12D2"/>
    <w:rsid w:val="004B4D5F"/>
    <w:rsid w:val="004B6ED9"/>
    <w:rsid w:val="004C20B0"/>
    <w:rsid w:val="004C2DFD"/>
    <w:rsid w:val="004C6271"/>
    <w:rsid w:val="004C67EE"/>
    <w:rsid w:val="004D0510"/>
    <w:rsid w:val="004D1F5C"/>
    <w:rsid w:val="004D3CFC"/>
    <w:rsid w:val="004D6DAE"/>
    <w:rsid w:val="004D74A9"/>
    <w:rsid w:val="004E03F1"/>
    <w:rsid w:val="004E0701"/>
    <w:rsid w:val="004E0CFF"/>
    <w:rsid w:val="004E1C0F"/>
    <w:rsid w:val="004E47E6"/>
    <w:rsid w:val="004E48D1"/>
    <w:rsid w:val="004E62D6"/>
    <w:rsid w:val="004E7290"/>
    <w:rsid w:val="004E7E53"/>
    <w:rsid w:val="004F42E6"/>
    <w:rsid w:val="004F446C"/>
    <w:rsid w:val="004F447A"/>
    <w:rsid w:val="004F7030"/>
    <w:rsid w:val="00500284"/>
    <w:rsid w:val="00505E31"/>
    <w:rsid w:val="0051128B"/>
    <w:rsid w:val="00513E1E"/>
    <w:rsid w:val="00513F13"/>
    <w:rsid w:val="005201B5"/>
    <w:rsid w:val="0052203F"/>
    <w:rsid w:val="00522FFB"/>
    <w:rsid w:val="005231DF"/>
    <w:rsid w:val="00531970"/>
    <w:rsid w:val="00531A97"/>
    <w:rsid w:val="00533AC7"/>
    <w:rsid w:val="00534509"/>
    <w:rsid w:val="00536F06"/>
    <w:rsid w:val="00542102"/>
    <w:rsid w:val="00550FA3"/>
    <w:rsid w:val="00551F53"/>
    <w:rsid w:val="00552AF2"/>
    <w:rsid w:val="0055575B"/>
    <w:rsid w:val="00556AD2"/>
    <w:rsid w:val="0055707F"/>
    <w:rsid w:val="00560B30"/>
    <w:rsid w:val="005661F9"/>
    <w:rsid w:val="0057078E"/>
    <w:rsid w:val="00570DA2"/>
    <w:rsid w:val="005726F2"/>
    <w:rsid w:val="00573EE3"/>
    <w:rsid w:val="00575ADC"/>
    <w:rsid w:val="005767F6"/>
    <w:rsid w:val="00584083"/>
    <w:rsid w:val="005841D1"/>
    <w:rsid w:val="00586896"/>
    <w:rsid w:val="005908D6"/>
    <w:rsid w:val="00591503"/>
    <w:rsid w:val="00591A3B"/>
    <w:rsid w:val="0059248B"/>
    <w:rsid w:val="0059341A"/>
    <w:rsid w:val="0059342C"/>
    <w:rsid w:val="00596BF3"/>
    <w:rsid w:val="00597521"/>
    <w:rsid w:val="005A0D53"/>
    <w:rsid w:val="005A40A6"/>
    <w:rsid w:val="005A7379"/>
    <w:rsid w:val="005B1D69"/>
    <w:rsid w:val="005B5423"/>
    <w:rsid w:val="005B6E3F"/>
    <w:rsid w:val="005C1F7E"/>
    <w:rsid w:val="005D05F3"/>
    <w:rsid w:val="005D15D9"/>
    <w:rsid w:val="005E564E"/>
    <w:rsid w:val="005E5D67"/>
    <w:rsid w:val="005F00A8"/>
    <w:rsid w:val="005F010E"/>
    <w:rsid w:val="005F7DA9"/>
    <w:rsid w:val="00602362"/>
    <w:rsid w:val="0060535D"/>
    <w:rsid w:val="006066FA"/>
    <w:rsid w:val="0061141E"/>
    <w:rsid w:val="00614273"/>
    <w:rsid w:val="0062077A"/>
    <w:rsid w:val="00621A17"/>
    <w:rsid w:val="00623F4C"/>
    <w:rsid w:val="0063457B"/>
    <w:rsid w:val="006358E2"/>
    <w:rsid w:val="00645D26"/>
    <w:rsid w:val="006465EF"/>
    <w:rsid w:val="00646924"/>
    <w:rsid w:val="00647466"/>
    <w:rsid w:val="00651D0E"/>
    <w:rsid w:val="00652467"/>
    <w:rsid w:val="00654305"/>
    <w:rsid w:val="00657566"/>
    <w:rsid w:val="00662514"/>
    <w:rsid w:val="00662A53"/>
    <w:rsid w:val="00663243"/>
    <w:rsid w:val="00663DA1"/>
    <w:rsid w:val="00670AA2"/>
    <w:rsid w:val="00670AD8"/>
    <w:rsid w:val="00672DB4"/>
    <w:rsid w:val="0067406E"/>
    <w:rsid w:val="00677E6C"/>
    <w:rsid w:val="00683C22"/>
    <w:rsid w:val="0068478A"/>
    <w:rsid w:val="006925EA"/>
    <w:rsid w:val="00694869"/>
    <w:rsid w:val="00696D19"/>
    <w:rsid w:val="006A04E9"/>
    <w:rsid w:val="006A2688"/>
    <w:rsid w:val="006A7BBD"/>
    <w:rsid w:val="006B02FE"/>
    <w:rsid w:val="006B299A"/>
    <w:rsid w:val="006B3074"/>
    <w:rsid w:val="006B3952"/>
    <w:rsid w:val="006C1F5D"/>
    <w:rsid w:val="006C2C78"/>
    <w:rsid w:val="006C3818"/>
    <w:rsid w:val="006C54E5"/>
    <w:rsid w:val="006C6D22"/>
    <w:rsid w:val="006C7476"/>
    <w:rsid w:val="006D368B"/>
    <w:rsid w:val="006E6E2B"/>
    <w:rsid w:val="006F4D55"/>
    <w:rsid w:val="006F5C30"/>
    <w:rsid w:val="007031E5"/>
    <w:rsid w:val="00703E15"/>
    <w:rsid w:val="00704F74"/>
    <w:rsid w:val="00707B70"/>
    <w:rsid w:val="0071247D"/>
    <w:rsid w:val="007140D9"/>
    <w:rsid w:val="007217C2"/>
    <w:rsid w:val="007243F1"/>
    <w:rsid w:val="00726525"/>
    <w:rsid w:val="0073064D"/>
    <w:rsid w:val="00736DC8"/>
    <w:rsid w:val="007403CF"/>
    <w:rsid w:val="00740D48"/>
    <w:rsid w:val="00742442"/>
    <w:rsid w:val="007438AD"/>
    <w:rsid w:val="00750246"/>
    <w:rsid w:val="00750269"/>
    <w:rsid w:val="00750AED"/>
    <w:rsid w:val="007550B7"/>
    <w:rsid w:val="00760420"/>
    <w:rsid w:val="007654B3"/>
    <w:rsid w:val="00770CEF"/>
    <w:rsid w:val="00770FAD"/>
    <w:rsid w:val="00772C10"/>
    <w:rsid w:val="00774741"/>
    <w:rsid w:val="007748A2"/>
    <w:rsid w:val="007749AC"/>
    <w:rsid w:val="00775308"/>
    <w:rsid w:val="007806B7"/>
    <w:rsid w:val="00781CCC"/>
    <w:rsid w:val="0078321A"/>
    <w:rsid w:val="00783B0B"/>
    <w:rsid w:val="0078533B"/>
    <w:rsid w:val="0078794C"/>
    <w:rsid w:val="007879F0"/>
    <w:rsid w:val="007962D7"/>
    <w:rsid w:val="007A1055"/>
    <w:rsid w:val="007A1622"/>
    <w:rsid w:val="007A2A36"/>
    <w:rsid w:val="007A2E0E"/>
    <w:rsid w:val="007A460E"/>
    <w:rsid w:val="007A7E29"/>
    <w:rsid w:val="007B4156"/>
    <w:rsid w:val="007C083E"/>
    <w:rsid w:val="007D6440"/>
    <w:rsid w:val="007D742E"/>
    <w:rsid w:val="007D76F7"/>
    <w:rsid w:val="007E0959"/>
    <w:rsid w:val="007E2515"/>
    <w:rsid w:val="007E2AC4"/>
    <w:rsid w:val="007E6D9E"/>
    <w:rsid w:val="007F2AAA"/>
    <w:rsid w:val="007F3B8B"/>
    <w:rsid w:val="007F46B2"/>
    <w:rsid w:val="007F5841"/>
    <w:rsid w:val="00801790"/>
    <w:rsid w:val="008030D2"/>
    <w:rsid w:val="00811138"/>
    <w:rsid w:val="0081405B"/>
    <w:rsid w:val="00817643"/>
    <w:rsid w:val="00820E26"/>
    <w:rsid w:val="008372DF"/>
    <w:rsid w:val="00840462"/>
    <w:rsid w:val="008420C3"/>
    <w:rsid w:val="008535CB"/>
    <w:rsid w:val="0085472C"/>
    <w:rsid w:val="00857D03"/>
    <w:rsid w:val="008620E4"/>
    <w:rsid w:val="0086360A"/>
    <w:rsid w:val="00863AF9"/>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0308"/>
    <w:rsid w:val="008A1646"/>
    <w:rsid w:val="008A38AE"/>
    <w:rsid w:val="008A3C31"/>
    <w:rsid w:val="008A48E5"/>
    <w:rsid w:val="008B2E33"/>
    <w:rsid w:val="008B3FAE"/>
    <w:rsid w:val="008C15C7"/>
    <w:rsid w:val="008C1C92"/>
    <w:rsid w:val="008C3427"/>
    <w:rsid w:val="008D12D7"/>
    <w:rsid w:val="008D3FB7"/>
    <w:rsid w:val="008D4F14"/>
    <w:rsid w:val="008E125A"/>
    <w:rsid w:val="008E4244"/>
    <w:rsid w:val="008F031E"/>
    <w:rsid w:val="00900D7B"/>
    <w:rsid w:val="00903DE7"/>
    <w:rsid w:val="00904604"/>
    <w:rsid w:val="00904846"/>
    <w:rsid w:val="00905306"/>
    <w:rsid w:val="0090583C"/>
    <w:rsid w:val="0091014E"/>
    <w:rsid w:val="009104DF"/>
    <w:rsid w:val="00915DCA"/>
    <w:rsid w:val="00925F09"/>
    <w:rsid w:val="0093023D"/>
    <w:rsid w:val="009438AE"/>
    <w:rsid w:val="00944D6B"/>
    <w:rsid w:val="00954FD3"/>
    <w:rsid w:val="00955108"/>
    <w:rsid w:val="00957A39"/>
    <w:rsid w:val="00957B5F"/>
    <w:rsid w:val="0096096B"/>
    <w:rsid w:val="00964128"/>
    <w:rsid w:val="0096575A"/>
    <w:rsid w:val="00970D95"/>
    <w:rsid w:val="00974717"/>
    <w:rsid w:val="009749B0"/>
    <w:rsid w:val="00976A3C"/>
    <w:rsid w:val="00976B1C"/>
    <w:rsid w:val="00980339"/>
    <w:rsid w:val="00981F73"/>
    <w:rsid w:val="00983F4A"/>
    <w:rsid w:val="009874B3"/>
    <w:rsid w:val="00987FCF"/>
    <w:rsid w:val="00991D86"/>
    <w:rsid w:val="00993777"/>
    <w:rsid w:val="00997126"/>
    <w:rsid w:val="0099741A"/>
    <w:rsid w:val="009A0A3A"/>
    <w:rsid w:val="009A2331"/>
    <w:rsid w:val="009A4870"/>
    <w:rsid w:val="009A6F98"/>
    <w:rsid w:val="009A789B"/>
    <w:rsid w:val="009B1183"/>
    <w:rsid w:val="009B61B1"/>
    <w:rsid w:val="009C0ABA"/>
    <w:rsid w:val="009C12D6"/>
    <w:rsid w:val="009C52A4"/>
    <w:rsid w:val="009D2DC6"/>
    <w:rsid w:val="009D36E7"/>
    <w:rsid w:val="009D3C6F"/>
    <w:rsid w:val="009E259E"/>
    <w:rsid w:val="009F2918"/>
    <w:rsid w:val="009F3727"/>
    <w:rsid w:val="00A01F1A"/>
    <w:rsid w:val="00A038E2"/>
    <w:rsid w:val="00A0515F"/>
    <w:rsid w:val="00A06D12"/>
    <w:rsid w:val="00A10B5D"/>
    <w:rsid w:val="00A159CC"/>
    <w:rsid w:val="00A15DE9"/>
    <w:rsid w:val="00A15F0A"/>
    <w:rsid w:val="00A24ACC"/>
    <w:rsid w:val="00A27C1F"/>
    <w:rsid w:val="00A34D9D"/>
    <w:rsid w:val="00A35A3F"/>
    <w:rsid w:val="00A36786"/>
    <w:rsid w:val="00A36B2A"/>
    <w:rsid w:val="00A40685"/>
    <w:rsid w:val="00A415EB"/>
    <w:rsid w:val="00A431DD"/>
    <w:rsid w:val="00A456FB"/>
    <w:rsid w:val="00A50F82"/>
    <w:rsid w:val="00A510CF"/>
    <w:rsid w:val="00A5415E"/>
    <w:rsid w:val="00A607D8"/>
    <w:rsid w:val="00A6278B"/>
    <w:rsid w:val="00A645A6"/>
    <w:rsid w:val="00A70E03"/>
    <w:rsid w:val="00A70F4D"/>
    <w:rsid w:val="00A7382D"/>
    <w:rsid w:val="00A75385"/>
    <w:rsid w:val="00A7761C"/>
    <w:rsid w:val="00A97B73"/>
    <w:rsid w:val="00AA32E0"/>
    <w:rsid w:val="00AA5367"/>
    <w:rsid w:val="00AA545E"/>
    <w:rsid w:val="00AA5FB7"/>
    <w:rsid w:val="00AA6CE4"/>
    <w:rsid w:val="00AA7433"/>
    <w:rsid w:val="00AB18EF"/>
    <w:rsid w:val="00AB284D"/>
    <w:rsid w:val="00AC2686"/>
    <w:rsid w:val="00AC7CD7"/>
    <w:rsid w:val="00AD0B06"/>
    <w:rsid w:val="00AD1072"/>
    <w:rsid w:val="00AD2AD0"/>
    <w:rsid w:val="00AD4C52"/>
    <w:rsid w:val="00AD68E1"/>
    <w:rsid w:val="00AE5AED"/>
    <w:rsid w:val="00AE5B81"/>
    <w:rsid w:val="00AE5CA3"/>
    <w:rsid w:val="00AF0CE9"/>
    <w:rsid w:val="00AF1C1D"/>
    <w:rsid w:val="00AF314C"/>
    <w:rsid w:val="00AF4010"/>
    <w:rsid w:val="00AF4B0D"/>
    <w:rsid w:val="00AF5D8E"/>
    <w:rsid w:val="00AF79BB"/>
    <w:rsid w:val="00B03A16"/>
    <w:rsid w:val="00B05FAF"/>
    <w:rsid w:val="00B07692"/>
    <w:rsid w:val="00B07961"/>
    <w:rsid w:val="00B07A20"/>
    <w:rsid w:val="00B07A79"/>
    <w:rsid w:val="00B12642"/>
    <w:rsid w:val="00B14BBE"/>
    <w:rsid w:val="00B17529"/>
    <w:rsid w:val="00B238ED"/>
    <w:rsid w:val="00B26672"/>
    <w:rsid w:val="00B2797E"/>
    <w:rsid w:val="00B3200A"/>
    <w:rsid w:val="00B45BCF"/>
    <w:rsid w:val="00B46B49"/>
    <w:rsid w:val="00B51F9D"/>
    <w:rsid w:val="00B52A35"/>
    <w:rsid w:val="00B54D96"/>
    <w:rsid w:val="00B6099E"/>
    <w:rsid w:val="00B61804"/>
    <w:rsid w:val="00B6427E"/>
    <w:rsid w:val="00B67778"/>
    <w:rsid w:val="00B67E49"/>
    <w:rsid w:val="00B8190E"/>
    <w:rsid w:val="00B8668D"/>
    <w:rsid w:val="00B9783F"/>
    <w:rsid w:val="00BA02DA"/>
    <w:rsid w:val="00BA1706"/>
    <w:rsid w:val="00BA1CAD"/>
    <w:rsid w:val="00BA5571"/>
    <w:rsid w:val="00BA7E1D"/>
    <w:rsid w:val="00BB15C8"/>
    <w:rsid w:val="00BB1755"/>
    <w:rsid w:val="00BB6F57"/>
    <w:rsid w:val="00BC0B3B"/>
    <w:rsid w:val="00BC60AE"/>
    <w:rsid w:val="00BD0274"/>
    <w:rsid w:val="00BD304C"/>
    <w:rsid w:val="00BD31F3"/>
    <w:rsid w:val="00BD4611"/>
    <w:rsid w:val="00BD625D"/>
    <w:rsid w:val="00BE2D48"/>
    <w:rsid w:val="00BE4BA2"/>
    <w:rsid w:val="00BE5023"/>
    <w:rsid w:val="00BF2791"/>
    <w:rsid w:val="00BF3CD2"/>
    <w:rsid w:val="00C06537"/>
    <w:rsid w:val="00C1023D"/>
    <w:rsid w:val="00C10624"/>
    <w:rsid w:val="00C11E7B"/>
    <w:rsid w:val="00C124F9"/>
    <w:rsid w:val="00C17A6D"/>
    <w:rsid w:val="00C238A5"/>
    <w:rsid w:val="00C23E2C"/>
    <w:rsid w:val="00C31328"/>
    <w:rsid w:val="00C33585"/>
    <w:rsid w:val="00C34E02"/>
    <w:rsid w:val="00C40B28"/>
    <w:rsid w:val="00C4191B"/>
    <w:rsid w:val="00C4340F"/>
    <w:rsid w:val="00C44404"/>
    <w:rsid w:val="00C446ED"/>
    <w:rsid w:val="00C51ACE"/>
    <w:rsid w:val="00C5239D"/>
    <w:rsid w:val="00C53EBB"/>
    <w:rsid w:val="00C60CAD"/>
    <w:rsid w:val="00C64341"/>
    <w:rsid w:val="00C6446D"/>
    <w:rsid w:val="00C6573D"/>
    <w:rsid w:val="00C70D94"/>
    <w:rsid w:val="00C71734"/>
    <w:rsid w:val="00C74B4C"/>
    <w:rsid w:val="00C751AA"/>
    <w:rsid w:val="00C85BBF"/>
    <w:rsid w:val="00C85F6C"/>
    <w:rsid w:val="00C86CD9"/>
    <w:rsid w:val="00C90FD7"/>
    <w:rsid w:val="00C925DC"/>
    <w:rsid w:val="00C92C5B"/>
    <w:rsid w:val="00CA0828"/>
    <w:rsid w:val="00CB0B77"/>
    <w:rsid w:val="00CB138D"/>
    <w:rsid w:val="00CB13A2"/>
    <w:rsid w:val="00CB1B8E"/>
    <w:rsid w:val="00CC15A1"/>
    <w:rsid w:val="00CC7027"/>
    <w:rsid w:val="00CC7CA2"/>
    <w:rsid w:val="00CD1148"/>
    <w:rsid w:val="00CD5705"/>
    <w:rsid w:val="00CD5FA7"/>
    <w:rsid w:val="00CE1657"/>
    <w:rsid w:val="00CE2478"/>
    <w:rsid w:val="00CE42A7"/>
    <w:rsid w:val="00CE4E9C"/>
    <w:rsid w:val="00CE50A5"/>
    <w:rsid w:val="00CE5517"/>
    <w:rsid w:val="00CF5B26"/>
    <w:rsid w:val="00CF6D0A"/>
    <w:rsid w:val="00D127E2"/>
    <w:rsid w:val="00D23C4B"/>
    <w:rsid w:val="00D24B56"/>
    <w:rsid w:val="00D342EA"/>
    <w:rsid w:val="00D3649D"/>
    <w:rsid w:val="00D41773"/>
    <w:rsid w:val="00D41916"/>
    <w:rsid w:val="00D42589"/>
    <w:rsid w:val="00D45AC2"/>
    <w:rsid w:val="00D45F60"/>
    <w:rsid w:val="00D50CA0"/>
    <w:rsid w:val="00D51772"/>
    <w:rsid w:val="00D52992"/>
    <w:rsid w:val="00D5660B"/>
    <w:rsid w:val="00D56C48"/>
    <w:rsid w:val="00D60C6B"/>
    <w:rsid w:val="00D662A2"/>
    <w:rsid w:val="00D77F1A"/>
    <w:rsid w:val="00D87B52"/>
    <w:rsid w:val="00D92B0C"/>
    <w:rsid w:val="00D96C4B"/>
    <w:rsid w:val="00DA2B84"/>
    <w:rsid w:val="00DA3AAF"/>
    <w:rsid w:val="00DA56D4"/>
    <w:rsid w:val="00DB5847"/>
    <w:rsid w:val="00DC03DB"/>
    <w:rsid w:val="00DC0BDC"/>
    <w:rsid w:val="00DC1137"/>
    <w:rsid w:val="00DC34E0"/>
    <w:rsid w:val="00DD492E"/>
    <w:rsid w:val="00DD596F"/>
    <w:rsid w:val="00DD7DEF"/>
    <w:rsid w:val="00DE163B"/>
    <w:rsid w:val="00DE38BA"/>
    <w:rsid w:val="00DE793A"/>
    <w:rsid w:val="00DF2019"/>
    <w:rsid w:val="00DF295D"/>
    <w:rsid w:val="00DF729A"/>
    <w:rsid w:val="00DF7D66"/>
    <w:rsid w:val="00E02F28"/>
    <w:rsid w:val="00E04303"/>
    <w:rsid w:val="00E07E8C"/>
    <w:rsid w:val="00E20095"/>
    <w:rsid w:val="00E208F9"/>
    <w:rsid w:val="00E31171"/>
    <w:rsid w:val="00E32B8C"/>
    <w:rsid w:val="00E33812"/>
    <w:rsid w:val="00E370B3"/>
    <w:rsid w:val="00E452DA"/>
    <w:rsid w:val="00E46AA2"/>
    <w:rsid w:val="00E47C1A"/>
    <w:rsid w:val="00E5279C"/>
    <w:rsid w:val="00E57EB0"/>
    <w:rsid w:val="00E60B3E"/>
    <w:rsid w:val="00E611BD"/>
    <w:rsid w:val="00E6234F"/>
    <w:rsid w:val="00E64795"/>
    <w:rsid w:val="00E72BC5"/>
    <w:rsid w:val="00E757B2"/>
    <w:rsid w:val="00E7667D"/>
    <w:rsid w:val="00E76B9D"/>
    <w:rsid w:val="00E7782A"/>
    <w:rsid w:val="00E811ED"/>
    <w:rsid w:val="00E82905"/>
    <w:rsid w:val="00E9471E"/>
    <w:rsid w:val="00EA17E8"/>
    <w:rsid w:val="00EA1EA6"/>
    <w:rsid w:val="00EB1DD3"/>
    <w:rsid w:val="00EB262A"/>
    <w:rsid w:val="00EC47A4"/>
    <w:rsid w:val="00EC55E7"/>
    <w:rsid w:val="00EC57E8"/>
    <w:rsid w:val="00EC5AA5"/>
    <w:rsid w:val="00EC5B31"/>
    <w:rsid w:val="00EC698D"/>
    <w:rsid w:val="00ED2418"/>
    <w:rsid w:val="00ED3463"/>
    <w:rsid w:val="00ED3605"/>
    <w:rsid w:val="00ED455B"/>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37663"/>
    <w:rsid w:val="00F434D5"/>
    <w:rsid w:val="00F467FB"/>
    <w:rsid w:val="00F50416"/>
    <w:rsid w:val="00F51A91"/>
    <w:rsid w:val="00F52125"/>
    <w:rsid w:val="00F537D2"/>
    <w:rsid w:val="00F57895"/>
    <w:rsid w:val="00F60A58"/>
    <w:rsid w:val="00F62A46"/>
    <w:rsid w:val="00F630AC"/>
    <w:rsid w:val="00F64194"/>
    <w:rsid w:val="00F814BA"/>
    <w:rsid w:val="00F8279D"/>
    <w:rsid w:val="00F84F9C"/>
    <w:rsid w:val="00F86F45"/>
    <w:rsid w:val="00F90923"/>
    <w:rsid w:val="00F92EFE"/>
    <w:rsid w:val="00FA02A3"/>
    <w:rsid w:val="00FA0571"/>
    <w:rsid w:val="00FA065B"/>
    <w:rsid w:val="00FA3199"/>
    <w:rsid w:val="00FA3C0E"/>
    <w:rsid w:val="00FB0BB9"/>
    <w:rsid w:val="00FB4F69"/>
    <w:rsid w:val="00FB5CED"/>
    <w:rsid w:val="00FB742A"/>
    <w:rsid w:val="00FC1BB4"/>
    <w:rsid w:val="00FC3DE2"/>
    <w:rsid w:val="00FC484A"/>
    <w:rsid w:val="00FC631E"/>
    <w:rsid w:val="00FC6BDD"/>
    <w:rsid w:val="00FD21DC"/>
    <w:rsid w:val="00FD3EA6"/>
    <w:rsid w:val="00FD4130"/>
    <w:rsid w:val="00FD43BE"/>
    <w:rsid w:val="00FD5C02"/>
    <w:rsid w:val="00FE32E6"/>
    <w:rsid w:val="00FE6623"/>
    <w:rsid w:val="00FF0877"/>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2E693"/>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582840449">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80B5E65869784340A02B026813CFFD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88</Nr_x002e__x0020_akti>
    <Data_x0020_e_x0020_Krijimit xmlns="0e656187-b300-4fb0-8bf4-3a50f872073c">2026-01-13T10:49:57Z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2026-01-12T00:00:00Z</Date_x0020_protokolli>
    <Titulli xmlns="0e656187-b300-4fb0-8bf4-3a50f872073c">Për koncesionet dhe partneritetin publik privat</Titulli>
    <Modifikuesi xmlns="0e656187-b300-4fb0-8bf4-3a50f872073c">Fjora.Cahani</Modifikuesi>
    <Nr_x002e__x0020_prot_x0020_QBZ xmlns="0e656187-b300-4fb0-8bf4-3a50f872073c">47/1</Nr_x002e__x0020_prot_x0020_QBZ>
    <Data_x0020_e_x0020_Modifikimit xmlns="0e656187-b300-4fb0-8bf4-3a50f872073c">2026-01-13T12:05:44Z</Data_x0020_e_x0020_Modifikimit>
    <Dekretuar xmlns="0e656187-b300-4fb0-8bf4-3a50f872073c">false</Dekretuar>
    <Data xmlns="0e656187-b300-4fb0-8bf4-3a50f872073c">2025-12-12T00:00:00Z</Data>
    <Nr_x002e__x0020_protokolli_x0020_i_x0020_aktit xmlns="0e656187-b300-4fb0-8bf4-3a50f872073c">4257/6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0B5E65869784340A02B026813CFFD5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7C7ED-06AF-4729-884E-CE12703B3170}">
  <ds:schemaRefs>
    <ds:schemaRef ds:uri="http://schemas.microsoft.com/sharepoint/v3/contenttype/forms"/>
  </ds:schemaRefs>
</ds:datastoreItem>
</file>

<file path=customXml/itemProps2.xml><?xml version="1.0" encoding="utf-8"?>
<ds:datastoreItem xmlns:ds="http://schemas.openxmlformats.org/officeDocument/2006/customXml" ds:itemID="{9F2E9415-5419-4723-B7D1-9672EBB47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D05B369-86A3-4255-85A0-333EC2952DE5}">
  <ds:schemaRefs>
    <ds:schemaRef ds:uri="http://purl.org/dc/elements/1.1/"/>
    <ds:schemaRef ds:uri="http://www.w3.org/XML/1998/namespace"/>
    <ds:schemaRef ds:uri="http://schemas.microsoft.com/office/2006/metadata/properties"/>
    <ds:schemaRef ds:uri="http://purl.org/dc/dcmitype/"/>
    <ds:schemaRef ds:uri="http://purl.org/dc/terms/"/>
    <ds:schemaRef ds:uri="http://schemas.microsoft.com/office/2006/documentManagement/types"/>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0680B427-C447-4E47-BB0D-925532B79646}">
  <ds:schemaRefs>
    <ds:schemaRef ds:uri="http://schemas.microsoft.com/sharepoint/v3/contenttype/forms"/>
  </ds:schemaRefs>
</ds:datastoreItem>
</file>

<file path=customXml/itemProps5.xml><?xml version="1.0" encoding="utf-8"?>
<ds:datastoreItem xmlns:ds="http://schemas.openxmlformats.org/officeDocument/2006/customXml" ds:itemID="{4949F58A-A974-45A9-A548-2DB4F5DEF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8ADF046-9CC2-4C77-B09D-557D8295E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43</Pages>
  <Words>21059</Words>
  <Characters>120041</Characters>
  <Application>Microsoft Office Word</Application>
  <DocSecurity>0</DocSecurity>
  <Lines>1000</Lines>
  <Paragraphs>281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gazmend.hanku</dc:creator>
  <cp:lastModifiedBy>Entela Suli</cp:lastModifiedBy>
  <cp:revision>8</cp:revision>
  <cp:lastPrinted>2025-12-18T09:48:00Z</cp:lastPrinted>
  <dcterms:created xsi:type="dcterms:W3CDTF">2026-01-13T11:15:00Z</dcterms:created>
  <dcterms:modified xsi:type="dcterms:W3CDTF">2026-01-13T11:26:00Z</dcterms:modified>
</cp:coreProperties>
</file>