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A4D2E"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LIGJ</w:t>
      </w:r>
    </w:p>
    <w:p w14:paraId="7FDFD332"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Nr. 37/2026</w:t>
      </w:r>
    </w:p>
    <w:p w14:paraId="48B61E2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 </w:t>
      </w:r>
    </w:p>
    <w:p w14:paraId="0DB06550"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 xml:space="preserve">PËR DISA SHTESA DHE NDRYSHIME NË LIGJIN NR. 9917, DATË 19.5.2008, </w:t>
      </w:r>
    </w:p>
    <w:p w14:paraId="432B740C"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 xml:space="preserve">“PËR PARANDALIMIN E PASTRIMIT TË PARAVE DHE FINANCIMIT </w:t>
      </w:r>
    </w:p>
    <w:p w14:paraId="750FBCDC"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TË TERRORIZMIT”, I NDRYSHUAR</w:t>
      </w:r>
    </w:p>
    <w:p w14:paraId="77CD2F3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599556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Në mbështetje të neneve 78 dhe 83, pika 1, të Kushtetutës, me propozimin e Këshillit të Ministrave, </w:t>
      </w:r>
    </w:p>
    <w:p w14:paraId="366D4294"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8A00787"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KUVENDI</w:t>
      </w:r>
    </w:p>
    <w:p w14:paraId="4E4D7EC3"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I REPUBLIKËS SË SHQIPËRISË</w:t>
      </w:r>
    </w:p>
    <w:p w14:paraId="0E04EBF0"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p>
    <w:p w14:paraId="6DDC1BA5"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VENDOSI:</w:t>
      </w:r>
    </w:p>
    <w:p w14:paraId="301D7165"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7493EB4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 ligjin nr. 9917, datë 19.5.2008, “Për parandalimin e pastrimit të parave dhe financimit të terrorizmit”, të ndryshuar, bëhen këto shtesa dhe ndryshime:</w:t>
      </w:r>
    </w:p>
    <w:p w14:paraId="69B52C53"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667254FA"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1</w:t>
      </w:r>
    </w:p>
    <w:p w14:paraId="4B32D914"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78BEC16F" w14:textId="061D2679"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Pas pikës 4</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të nenit 2</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shtohet pika 4/1 me këtë përmbajtje:</w:t>
      </w:r>
    </w:p>
    <w:p w14:paraId="490FB21D"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“4/1. “Financimi i armëve të dëmtimit në masë” është ofrimi i fondeve apo shërbimeve financiare që përdoren për prodhimin, përvetësimin, posedimin, zhvillimin, eksportin, transportin, transportin ndërmjetësues, ndërmjetësimin, transferimin, grumbullimin apo përdorimin e armëve kimike, biologjike, radiologjike ose bërthamore, mjeteve të dorëzimit të tyre dhe materialeve të lidhura me to.”.</w:t>
      </w:r>
    </w:p>
    <w:p w14:paraId="7A30E6D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41158E71"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2</w:t>
      </w:r>
    </w:p>
    <w:p w14:paraId="73065D1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562E259A" w14:textId="40BEA1A6"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Nënndarja “v”</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e shkronjës “</w:t>
      </w:r>
      <w:r w:rsidR="00AC5480">
        <w:rPr>
          <w:rFonts w:ascii="Garamond" w:hAnsi="Garamond" w:cs="Times New Roman"/>
          <w:color w:val="000000" w:themeColor="text1"/>
          <w:sz w:val="24"/>
          <w:szCs w:val="24"/>
        </w:rPr>
        <w:t>ll</w:t>
      </w:r>
      <w:r w:rsidRPr="00AC5480">
        <w:rPr>
          <w:rFonts w:ascii="Garamond" w:hAnsi="Garamond" w:cs="Times New Roman"/>
          <w:color w:val="000000" w:themeColor="text1"/>
          <w:sz w:val="24"/>
          <w:szCs w:val="24"/>
        </w:rPr>
        <w:t>”</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të nenit 3 ndryshohet si më poshtë:</w:t>
      </w:r>
    </w:p>
    <w:p w14:paraId="436574AA"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“v) vepron ose cakton dikë tjetër të veprojë si një aksionar përfaqësues për një person tjetër.”.</w:t>
      </w:r>
    </w:p>
    <w:p w14:paraId="263970E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04AE25C5"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3</w:t>
      </w:r>
    </w:p>
    <w:p w14:paraId="27EB98B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44F378C" w14:textId="1D7D6FE4"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Shkronja “ç”</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e nenit 4 ndryshohet si më poshtë:</w:t>
      </w:r>
    </w:p>
    <w:p w14:paraId="3E12A1C5"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“ç) në të gjitha rastet, pavarësisht nga limitet e raportimit, të parashikuara në këtë nen, kur ka dyshime për pastrim parash, financim të terrorizmit apo financim të armëve të dëmtimit në masë.”.</w:t>
      </w:r>
    </w:p>
    <w:p w14:paraId="6BD4C6F9"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5CE23870"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4</w:t>
      </w:r>
    </w:p>
    <w:p w14:paraId="6D9C15C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7FD2FA5" w14:textId="04FADE12"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Fjalia hyrëse</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e pikës 1</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të nenit 6 ndryshohet si më poshtë: </w:t>
      </w:r>
    </w:p>
    <w:p w14:paraId="57BF61C9"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“Subjektet duhet të zbatojnë politika dhe të marrin masat e duhura, sipas rastit, për identifikimin dhe vlerësimin e rrezikut të pastrimit të parave, financimit të terrorizmit apo financimit të armëve të dëmtimit në masë që lidhen me:”.</w:t>
      </w:r>
    </w:p>
    <w:p w14:paraId="6417360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697FCA55"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5</w:t>
      </w:r>
    </w:p>
    <w:p w14:paraId="66821663"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27A1C94E" w14:textId="792F0C8E"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 pikën 3</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të nenit 8</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pas togfjalëshit “organizata jofitimprurëse” shtohen fjalët “të konsideruara me rrezik të lartë”.</w:t>
      </w:r>
    </w:p>
    <w:p w14:paraId="04B47A0D"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ABAE77E"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6</w:t>
      </w:r>
    </w:p>
    <w:p w14:paraId="0F4F8B0B"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7995D64C" w14:textId="1D01909C"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 pikën 1</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të nenit 11 bëhen këto ndryshime dhe shtesa:</w:t>
      </w:r>
    </w:p>
    <w:p w14:paraId="044B0F6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1. Fjalia hyrëse e shkronjës “a” ndryshohet si më poshtë:</w:t>
      </w:r>
    </w:p>
    <w:p w14:paraId="4E99DA1F"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“Të hartojnë, të përditësojnë dhe të zbatojnë në mënyrë efektive rregulloret dhe/ose udhëzimet e brendshme, të cilat, në përpjesëtim me natyrën dhe përmasat e subjektit, parashikojnë marrjen e masave </w:t>
      </w:r>
      <w:r w:rsidRPr="00AC5480">
        <w:rPr>
          <w:rFonts w:ascii="Garamond" w:hAnsi="Garamond" w:cs="Times New Roman"/>
          <w:color w:val="000000" w:themeColor="text1"/>
          <w:sz w:val="24"/>
          <w:szCs w:val="24"/>
        </w:rPr>
        <w:lastRenderedPageBreak/>
        <w:t>të përshtatshme për të kuptuar rrezikun e pastrimit të parave, financimit të terrorizmit apo financimit të armëve të dëmtimit në masë, që mund të lindë nga klientë ose transaksione, duke përfshirë, por jo duke u kufizuar në:”.</w:t>
      </w:r>
    </w:p>
    <w:p w14:paraId="7F51C7F3" w14:textId="31594456"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2. Në shkronjën “a/1” bëhen nd</w:t>
      </w:r>
      <w:r w:rsidR="00AC5480">
        <w:rPr>
          <w:rFonts w:ascii="Garamond" w:hAnsi="Garamond" w:cs="Times New Roman"/>
          <w:color w:val="000000" w:themeColor="text1"/>
          <w:sz w:val="24"/>
          <w:szCs w:val="24"/>
        </w:rPr>
        <w:t>ryshimi dhe shtesa e mëposhtme:</w:t>
      </w:r>
    </w:p>
    <w:p w14:paraId="7F70BCAB" w14:textId="28463E5B"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a) Fjalia </w:t>
      </w:r>
      <w:r w:rsidR="00AC5480">
        <w:rPr>
          <w:rFonts w:ascii="Garamond" w:hAnsi="Garamond" w:cs="Times New Roman"/>
          <w:color w:val="000000" w:themeColor="text1"/>
          <w:sz w:val="24"/>
          <w:szCs w:val="24"/>
        </w:rPr>
        <w:t>hyrëse ndryshohet si më poshtë:</w:t>
      </w:r>
    </w:p>
    <w:p w14:paraId="2302F504" w14:textId="68E9AA66"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“Të identifikojnë, të vlerësojnë dhe të kuptojnë rreziqet e tyre të pastrimit të parave, financimit të terrorizmit apo financimit të armëve të dëmtimit në masë, për klientët, vendet apo zonat gjeografike, produktet, shërbimet, transaksionet apo kanalet e shpërndarjes. Për realizimin e këtij paras</w:t>
      </w:r>
      <w:r w:rsidR="00AC5480">
        <w:rPr>
          <w:rFonts w:ascii="Garamond" w:hAnsi="Garamond" w:cs="Times New Roman"/>
          <w:color w:val="000000" w:themeColor="text1"/>
          <w:sz w:val="24"/>
          <w:szCs w:val="24"/>
        </w:rPr>
        <w:t>hikimi kërkohet që subjektet:”;</w:t>
      </w:r>
    </w:p>
    <w:p w14:paraId="437E6EE6" w14:textId="673B019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b) Pas nënndarjes “v”</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shtohet nënndarja “vi” me këtë përmbajtje:</w:t>
      </w:r>
    </w:p>
    <w:p w14:paraId="64713C3A"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 </w:t>
      </w:r>
      <w:r w:rsidRPr="00AC5480">
        <w:rPr>
          <w:rFonts w:ascii="Garamond" w:hAnsi="Garamond" w:cs="Times New Roman"/>
          <w:color w:val="000000" w:themeColor="text1"/>
          <w:sz w:val="24"/>
          <w:szCs w:val="24"/>
        </w:rPr>
        <w:tab/>
        <w:t>“vi) të monitorojnë zbatimin e masave dhe kontrolleve të mësipërme, si dhe të zbatojnë masa shtesë, nëse është e nevojshme.”.</w:t>
      </w:r>
    </w:p>
    <w:p w14:paraId="672072A1"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3.</w:t>
      </w:r>
      <w:r w:rsidRPr="00AC5480">
        <w:rPr>
          <w:rFonts w:ascii="Garamond" w:hAnsi="Garamond" w:cs="Times New Roman"/>
          <w:color w:val="000000" w:themeColor="text1"/>
          <w:sz w:val="24"/>
          <w:szCs w:val="24"/>
        </w:rPr>
        <w:tab/>
        <w:t>Shkronja “c” ndryshohet si më poshtë:</w:t>
      </w:r>
    </w:p>
    <w:p w14:paraId="62DA8A77" w14:textId="5DB8E554"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“c) të krijojnë një sistem të centralizuar përgjegjës për grumbullimin dhe analizimin e të dhënave, duke u siguruar për përditësimin e tij të vazhdueshëm</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në përputhje më kërkesat e këtij ligji dhe akteve nënligjore përkatëse.”.</w:t>
      </w:r>
    </w:p>
    <w:p w14:paraId="74FEDA5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700BE12C"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7</w:t>
      </w:r>
    </w:p>
    <w:p w14:paraId="12CA489A"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754FF9E8"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 nenin 22 bëhen ndryshimet dhe shtesat e mëposhtme:</w:t>
      </w:r>
    </w:p>
    <w:p w14:paraId="183341C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1. Në shkronjën “g” bëhen këto ndryshime:</w:t>
      </w:r>
    </w:p>
    <w:p w14:paraId="01702D84" w14:textId="0B4386FC"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a) Fjalia e parë</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e shkronj</w:t>
      </w:r>
      <w:r w:rsidR="00AC5480">
        <w:rPr>
          <w:rFonts w:ascii="Garamond" w:hAnsi="Garamond" w:cs="Times New Roman"/>
          <w:color w:val="000000" w:themeColor="text1"/>
          <w:sz w:val="24"/>
          <w:szCs w:val="24"/>
        </w:rPr>
        <w:t>ës “g” ndryshohet si më poshtë:</w:t>
      </w:r>
    </w:p>
    <w:p w14:paraId="478EE4D7" w14:textId="6A5B54BD" w:rsidR="00F0233E" w:rsidRPr="00AC5480" w:rsidRDefault="00F0233E" w:rsidP="007565B9">
      <w:pPr>
        <w:spacing w:after="0" w:line="240" w:lineRule="auto"/>
        <w:ind w:firstLine="284"/>
        <w:jc w:val="both"/>
        <w:rPr>
          <w:rFonts w:ascii="Garamond" w:eastAsia="Times New Roman" w:hAnsi="Garamond" w:cs="Times New Roman"/>
          <w:color w:val="000000" w:themeColor="text1"/>
          <w:sz w:val="24"/>
          <w:szCs w:val="24"/>
        </w:rPr>
      </w:pPr>
      <w:r w:rsidRPr="00AC5480">
        <w:rPr>
          <w:rFonts w:ascii="Garamond" w:hAnsi="Garamond" w:cs="Times New Roman"/>
          <w:color w:val="000000" w:themeColor="text1"/>
          <w:sz w:val="24"/>
          <w:szCs w:val="24"/>
        </w:rPr>
        <w:t>“Urdhëron, kur ka arsye të bazuara në fakte dhe rrethana konkrete për pastrim parash, financim të terrorizmit apo financim të armëve të dëmtimit në masë, bllokimin ose ngrirjen e përkohshme të transaksionit ose të veprimit financiar për një p</w:t>
      </w:r>
      <w:r w:rsidR="00AC5480">
        <w:rPr>
          <w:rFonts w:ascii="Garamond" w:hAnsi="Garamond" w:cs="Times New Roman"/>
          <w:color w:val="000000" w:themeColor="text1"/>
          <w:sz w:val="24"/>
          <w:szCs w:val="24"/>
        </w:rPr>
        <w:t>eriudhë jo më shumë se 72 orë;”;</w:t>
      </w:r>
    </w:p>
    <w:p w14:paraId="4FEDD550"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b) Në fund të shkronjës “g” shtohet fjalia me këtë përmbajtje: </w:t>
      </w:r>
    </w:p>
    <w:p w14:paraId="721D2EC2" w14:textId="77777777" w:rsidR="00F0233E" w:rsidRPr="00AC5480" w:rsidRDefault="00F0233E" w:rsidP="007565B9">
      <w:pPr>
        <w:spacing w:after="0" w:line="240" w:lineRule="auto"/>
        <w:ind w:firstLine="284"/>
        <w:jc w:val="both"/>
        <w:rPr>
          <w:rFonts w:ascii="Garamond" w:eastAsia="Times New Roman" w:hAnsi="Garamond" w:cs="Times New Roman"/>
          <w:color w:val="000000" w:themeColor="text1"/>
          <w:sz w:val="24"/>
          <w:szCs w:val="24"/>
        </w:rPr>
      </w:pPr>
      <w:r w:rsidRPr="00AC5480">
        <w:rPr>
          <w:rFonts w:ascii="Garamond" w:eastAsia="Times New Roman" w:hAnsi="Garamond" w:cs="Times New Roman"/>
          <w:color w:val="000000" w:themeColor="text1"/>
          <w:sz w:val="24"/>
          <w:szCs w:val="24"/>
        </w:rPr>
        <w:t>“Pas kalimit të afatit 72-orësh nga nxjerrja e urdhrit, në mungesë të një vendimi për sekuestrim ose të një mase tjetër kufizuese të vendosur nga prokuroria ose gjykata kompetente, urdhri pushon së prodhuari efekte juridike.”.</w:t>
      </w:r>
    </w:p>
    <w:p w14:paraId="6497BA5E" w14:textId="4CCEBD03"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2. Pas shkronjës “g”</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shtohet shkronja “g/1” me këtë përmbajtje:</w:t>
      </w:r>
    </w:p>
    <w:p w14:paraId="2BD58596"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“g/1) mekanizmi i përcaktuar në shkronjën “g” të këtij neni, me të njëjtat kushte, mund të aplikohet edhe në kuadër të bashkëpunimit ndërkombëtar;”. </w:t>
      </w:r>
    </w:p>
    <w:p w14:paraId="39729260"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3. Shkronja “ll” shfuqizohet.</w:t>
      </w:r>
    </w:p>
    <w:p w14:paraId="7B664044"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4. Pas shkronjës “ll” shtohet shkronja “ll/1” me këtë përmbajtje:</w:t>
      </w:r>
    </w:p>
    <w:p w14:paraId="1CBC774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“ll/1) kryen edhe analiza strategjike brenda fushës së veprimtarisë së vet. Për këtë qëllim përdor të dhëna të disponueshme dhe kërkon statistika dhe të dhëna nga subjektet, autoritetet mbikëqyrëse dhe autoritetet e tjera kompetente, sipas nevojës.”.</w:t>
      </w:r>
    </w:p>
    <w:p w14:paraId="05389AF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679DA3BC"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8</w:t>
      </w:r>
    </w:p>
    <w:p w14:paraId="259F515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6C01567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Në nenin 23 bëhen këto ndryshime:</w:t>
      </w:r>
    </w:p>
    <w:p w14:paraId="0A5F12D6"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1. Pika 1 ndryshohet si më poshtë: </w:t>
      </w:r>
    </w:p>
    <w:p w14:paraId="7C625C1A"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“1. Komiteti i Bashkërendimit të Luftës Kundër Pastrimit të Parave është përgjegjës për përcaktimin e drejtimeve të politikës së përgjithshme shtetërore në fushën e parandalimit dhe luftës kundër pastrimit të parave, financimit të terrorizmit dhe financimit të armëve të dëmtimit në masë.”.</w:t>
      </w:r>
    </w:p>
    <w:p w14:paraId="647452C5" w14:textId="3235FA93"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2. Fjalia e parë</w:t>
      </w:r>
      <w:r w:rsidR="00AC5480">
        <w:rPr>
          <w:rFonts w:ascii="Garamond" w:hAnsi="Garamond" w:cs="Times New Roman"/>
          <w:color w:val="000000" w:themeColor="text1"/>
          <w:sz w:val="24"/>
          <w:szCs w:val="24"/>
        </w:rPr>
        <w:t>,</w:t>
      </w:r>
      <w:r w:rsidRPr="00AC5480">
        <w:rPr>
          <w:rFonts w:ascii="Garamond" w:hAnsi="Garamond" w:cs="Times New Roman"/>
          <w:color w:val="000000" w:themeColor="text1"/>
          <w:sz w:val="24"/>
          <w:szCs w:val="24"/>
        </w:rPr>
        <w:t xml:space="preserve"> e pikës 3 ndryshohet si më poshtë: </w:t>
      </w:r>
    </w:p>
    <w:p w14:paraId="5D983D2F"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“Komiteti mblidhet të paktën 1 herë në vit për të shqyrtuar dhe analizuar raportet për veprimtaritë e kryera nga autoriteti përgjegjës, si dhe raportet për dokumentet e përgatitura nga institucionet dhe organizmat ndërkombëtarë, që ushtrojnë veprimtaritë e tyre në fushën e luftës kundër pastrimit të parave, financimit të terrorizmit dhe financimit të armëve të dëmtimit në masë.”.</w:t>
      </w:r>
    </w:p>
    <w:p w14:paraId="34702A50"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 xml:space="preserve">3. Pika 4 ndryshohet si më poshtë: </w:t>
      </w:r>
    </w:p>
    <w:p w14:paraId="4E140AAA"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“4. Në mbledhjet e komitetit mund të ftohen për të marrë pjesë ministra, deputetë, drejtues ose përfaqësues të institucioneve dhe ekspertë në fushën e parandalimit dhe luftës kundër pastrimit të parave, financimit të terrorizmit dhe financimit të armëve të dëmtimit në masë.”.</w:t>
      </w:r>
    </w:p>
    <w:p w14:paraId="71EA0029"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lastRenderedPageBreak/>
        <w:t xml:space="preserve">4. Pika 5 ndryshohet si më poshtë: </w:t>
      </w:r>
    </w:p>
    <w:p w14:paraId="39150E05"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“5. Komiteti mund të krijojë grupe pune teknike dhe/ose operacionale për të ndihmuar në kryerjen e funksioneve që ka, si dhe për studimin e tipologjive e të teknikave të pastrimit të parave, financimit të terrorizmit dhe financimit të armëve të dëmtimit në masë.”.</w:t>
      </w:r>
    </w:p>
    <w:p w14:paraId="77C7A9A8"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41C49C0D"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9</w:t>
      </w:r>
    </w:p>
    <w:p w14:paraId="2EA368A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4DF3996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Pas nenit 23 shtohet neni 23/1 me këtë përmbajtje:</w:t>
      </w:r>
    </w:p>
    <w:p w14:paraId="1550D51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590CAB6D"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23/1</w:t>
      </w:r>
    </w:p>
    <w:p w14:paraId="56195208" w14:textId="77777777" w:rsidR="00F0233E" w:rsidRPr="00AC5480" w:rsidRDefault="00F0233E" w:rsidP="007565B9">
      <w:pPr>
        <w:spacing w:after="0" w:line="240" w:lineRule="auto"/>
        <w:ind w:firstLine="284"/>
        <w:jc w:val="center"/>
        <w:rPr>
          <w:rFonts w:ascii="Garamond" w:hAnsi="Garamond" w:cs="Times New Roman"/>
          <w:b/>
          <w:color w:val="000000" w:themeColor="text1"/>
          <w:sz w:val="24"/>
          <w:szCs w:val="24"/>
        </w:rPr>
      </w:pPr>
      <w:r w:rsidRPr="00AC5480">
        <w:rPr>
          <w:rFonts w:ascii="Garamond" w:hAnsi="Garamond" w:cs="Times New Roman"/>
          <w:b/>
          <w:color w:val="000000" w:themeColor="text1"/>
          <w:sz w:val="24"/>
          <w:szCs w:val="24"/>
        </w:rPr>
        <w:t>Vlerësimi Kombëtar i Rrezikut</w:t>
      </w:r>
    </w:p>
    <w:p w14:paraId="246CEA27"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015FAD91"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1. Institucionet anëtare të Komitetit të Bashkërendimit të Luftës Kundër Pastrimit të Parave, në përputhje me kompetencat e tyre ligjore, kontribuojnë në mënyrë periodike në vlerësimin e efektivitetit dhe frytshmërisë së sistemit kombëtar për parandalimin dhe luftën kundër pastrimit të parave, financimit të terrorizmit dhe financimit të përhapjes së armëve të dëmtimit në masë nëpërmjet hartimit të Vlerësimit Kombëtar të Rrezikut, si dhe planit përkatës të veprimit për zbutjen e rreziqeve të identifikuara.</w:t>
      </w:r>
    </w:p>
    <w:p w14:paraId="4E924D85"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2. Agjencia e Inteligjencës Financiare, në cilësinë e autoritetit përgjegjës, koordinon dhe bashkërendon procesin e hartimit të Vlerësimit Kombëtar të Rrezikut dhe të planit të veprimit.</w:t>
      </w:r>
    </w:p>
    <w:p w14:paraId="5DB4C9D9"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Për këtë qëllim, Agjencia e Inteligjencës Financiare ka të drejtë të kërkojë dhe të marrë statistika, të dhëna dhe informacione nga:</w:t>
      </w:r>
    </w:p>
    <w:p w14:paraId="7BB069A9"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a) subjektet e këtij ligji;</w:t>
      </w:r>
    </w:p>
    <w:p w14:paraId="39D284D0"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b) autoritetet mbikëqyrëse;</w:t>
      </w:r>
    </w:p>
    <w:p w14:paraId="5C3DE25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c) organet e administratës shtetërore dhe bazat përkatëse të të dhënave shtetërore;</w:t>
      </w:r>
    </w:p>
    <w:p w14:paraId="4D205DEC"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ç) autoritetet e tjera kompetente të përfshira në parandalimin dhe luftën kundër pastrimit të parave, financimit të terrorizmit dhe financimit të armëve të dëmtimit në masë.</w:t>
      </w:r>
    </w:p>
    <w:p w14:paraId="6DC0036B"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3. Vlerësimi Kombëtar i Rrezikut dhe plani përkatës i veprimit, i hartuar sipas pikës 2 të këtij neni, i paraqiten për miratim Komitetit të Bashkërendimit të Luftës Kundër Pastrimit të Parave nga Agjencia e Inteligjencës Financiare.</w:t>
      </w:r>
    </w:p>
    <w:p w14:paraId="7A501428"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4. Vlerësimi Kombëtar i Rrezikut rishikohet jo më pak se çdo 4 vjet.</w:t>
      </w:r>
    </w:p>
    <w:p w14:paraId="6D223F22"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5. Rezultatet e Vlerësimit Kombëtar të Rrezikut u vihen në dispozicion organeve kompetente, në përputhje me funksionet e tyre, autoriteteve mbikëqyrëse dhe subjekteve të ligjit.”.</w:t>
      </w:r>
    </w:p>
    <w:p w14:paraId="55DCFE40"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1A12C3AE" w14:textId="77777777" w:rsidR="00F0233E" w:rsidRPr="00AC5480" w:rsidRDefault="00F0233E" w:rsidP="007565B9">
      <w:pPr>
        <w:spacing w:after="0" w:line="240" w:lineRule="auto"/>
        <w:ind w:firstLine="284"/>
        <w:jc w:val="center"/>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Neni 10</w:t>
      </w:r>
    </w:p>
    <w:p w14:paraId="5CE9A94D"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0B10C691"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r w:rsidRPr="00AC5480">
        <w:rPr>
          <w:rFonts w:ascii="Garamond" w:hAnsi="Garamond" w:cs="Times New Roman"/>
          <w:color w:val="000000" w:themeColor="text1"/>
          <w:sz w:val="24"/>
          <w:szCs w:val="24"/>
        </w:rPr>
        <w:t>Ky ligj hyn në fuqi 15 ditë pas botimit në Fletoren Zyrtare.</w:t>
      </w:r>
    </w:p>
    <w:p w14:paraId="1D9E691E" w14:textId="77777777" w:rsidR="00F0233E" w:rsidRPr="00AC5480" w:rsidRDefault="00F0233E" w:rsidP="007565B9">
      <w:pPr>
        <w:spacing w:after="0" w:line="240" w:lineRule="auto"/>
        <w:ind w:firstLine="284"/>
        <w:jc w:val="both"/>
        <w:rPr>
          <w:rFonts w:ascii="Garamond" w:hAnsi="Garamond" w:cs="Times New Roman"/>
          <w:color w:val="000000" w:themeColor="text1"/>
          <w:sz w:val="24"/>
          <w:szCs w:val="24"/>
        </w:rPr>
      </w:pPr>
    </w:p>
    <w:p w14:paraId="253A908A" w14:textId="716749DF" w:rsidR="00AC5480" w:rsidRDefault="00F0233E" w:rsidP="00AC5480">
      <w:pPr>
        <w:spacing w:after="0" w:line="240" w:lineRule="auto"/>
        <w:ind w:firstLine="284"/>
        <w:jc w:val="both"/>
        <w:rPr>
          <w:rFonts w:ascii="Garamond" w:hAnsi="Garamond" w:cs="Times New Roman"/>
          <w:bCs/>
          <w:color w:val="000000" w:themeColor="text1"/>
          <w:sz w:val="24"/>
          <w:szCs w:val="24"/>
        </w:rPr>
      </w:pPr>
      <w:r w:rsidRPr="00AC5480">
        <w:rPr>
          <w:rFonts w:ascii="Garamond" w:hAnsi="Garamond" w:cs="Times New Roman"/>
          <w:bCs/>
          <w:color w:val="000000" w:themeColor="text1"/>
          <w:sz w:val="24"/>
          <w:szCs w:val="24"/>
        </w:rPr>
        <w:t>Miratuar në datën 9.4.2026</w:t>
      </w:r>
      <w:r w:rsidR="00AC5480">
        <w:rPr>
          <w:rFonts w:ascii="Garamond" w:hAnsi="Garamond" w:cs="Times New Roman"/>
          <w:bCs/>
          <w:color w:val="000000" w:themeColor="text1"/>
          <w:sz w:val="24"/>
          <w:szCs w:val="24"/>
        </w:rPr>
        <w:t>.</w:t>
      </w:r>
    </w:p>
    <w:p w14:paraId="2289EA99" w14:textId="77777777" w:rsidR="00AC5480" w:rsidRDefault="00AC5480" w:rsidP="00AC5480">
      <w:pPr>
        <w:spacing w:after="0" w:line="240" w:lineRule="auto"/>
        <w:ind w:firstLine="284"/>
        <w:jc w:val="both"/>
        <w:rPr>
          <w:rFonts w:ascii="Garamond" w:hAnsi="Garamond" w:cs="Times New Roman"/>
          <w:bCs/>
          <w:color w:val="000000" w:themeColor="text1"/>
          <w:sz w:val="24"/>
          <w:szCs w:val="24"/>
        </w:rPr>
      </w:pPr>
    </w:p>
    <w:p w14:paraId="67D990D1" w14:textId="2FAA91C5" w:rsidR="00AC5480" w:rsidRPr="00AC5480" w:rsidRDefault="00AC5480" w:rsidP="00AC5480">
      <w:pPr>
        <w:spacing w:after="0" w:line="240" w:lineRule="auto"/>
        <w:ind w:firstLine="284"/>
        <w:jc w:val="both"/>
        <w:rPr>
          <w:rFonts w:ascii="Garamond" w:hAnsi="Garamond" w:cs="Times New Roman"/>
          <w:bCs/>
          <w:color w:val="000000" w:themeColor="text1"/>
          <w:sz w:val="24"/>
          <w:szCs w:val="24"/>
        </w:rPr>
      </w:pPr>
      <w:r w:rsidRPr="00AC5480">
        <w:rPr>
          <w:rFonts w:ascii="Garamond" w:eastAsia="Times New Roman" w:hAnsi="Garamond" w:cs="Arial"/>
          <w:b/>
          <w:spacing w:val="-2"/>
          <w:sz w:val="24"/>
          <w:szCs w:val="24"/>
          <w:lang w:eastAsia="sq-AL"/>
        </w:rPr>
        <w:t>Shpallur me dekretin nr. 2</w:t>
      </w:r>
      <w:r>
        <w:rPr>
          <w:rFonts w:ascii="Garamond" w:eastAsia="Times New Roman" w:hAnsi="Garamond" w:cs="Arial"/>
          <w:b/>
          <w:spacing w:val="-2"/>
          <w:sz w:val="24"/>
          <w:szCs w:val="24"/>
          <w:lang w:eastAsia="sq-AL"/>
        </w:rPr>
        <w:t>30</w:t>
      </w:r>
      <w:r w:rsidRPr="00AC5480">
        <w:rPr>
          <w:rFonts w:ascii="Garamond" w:eastAsia="Times New Roman" w:hAnsi="Garamond" w:cs="Arial"/>
          <w:b/>
          <w:spacing w:val="-2"/>
          <w:sz w:val="24"/>
          <w:szCs w:val="24"/>
          <w:lang w:eastAsia="sq-AL"/>
        </w:rPr>
        <w:t xml:space="preserve">, datë </w:t>
      </w:r>
      <w:r>
        <w:rPr>
          <w:rFonts w:ascii="Garamond" w:eastAsia="Times New Roman" w:hAnsi="Garamond" w:cs="Arial"/>
          <w:b/>
          <w:spacing w:val="-2"/>
          <w:sz w:val="24"/>
          <w:szCs w:val="24"/>
          <w:lang w:eastAsia="sq-AL"/>
        </w:rPr>
        <w:t>1</w:t>
      </w:r>
      <w:r w:rsidR="00C717C5">
        <w:rPr>
          <w:rFonts w:ascii="Garamond" w:eastAsia="Times New Roman" w:hAnsi="Garamond" w:cs="Arial"/>
          <w:b/>
          <w:spacing w:val="-2"/>
          <w:sz w:val="24"/>
          <w:szCs w:val="24"/>
          <w:lang w:eastAsia="sq-AL"/>
        </w:rPr>
        <w:t>5</w:t>
      </w:r>
      <w:bookmarkStart w:id="0" w:name="_GoBack"/>
      <w:bookmarkEnd w:id="0"/>
      <w:r w:rsidRPr="00AC5480">
        <w:rPr>
          <w:rFonts w:ascii="Garamond" w:eastAsia="Times New Roman" w:hAnsi="Garamond" w:cs="Arial"/>
          <w:b/>
          <w:spacing w:val="-2"/>
          <w:sz w:val="24"/>
          <w:szCs w:val="24"/>
          <w:lang w:eastAsia="sq-AL"/>
        </w:rPr>
        <w:t>.4.2026, të Presidentit të Republikës së Shqipërisë, Bajram</w:t>
      </w:r>
    </w:p>
    <w:p w14:paraId="20959624" w14:textId="52C7C5B0" w:rsidR="00AC5480" w:rsidRPr="00AC5480" w:rsidRDefault="00AC5480" w:rsidP="00AC5480">
      <w:pPr>
        <w:shd w:val="clear" w:color="auto" w:fill="FFFFFF"/>
        <w:spacing w:after="0" w:line="240" w:lineRule="auto"/>
        <w:jc w:val="both"/>
        <w:rPr>
          <w:rFonts w:ascii="Garamond" w:eastAsia="Times New Roman" w:hAnsi="Garamond" w:cs="Arial"/>
          <w:b/>
          <w:spacing w:val="-2"/>
          <w:sz w:val="24"/>
          <w:szCs w:val="24"/>
          <w:lang w:eastAsia="sq-AL"/>
        </w:rPr>
      </w:pPr>
      <w:r w:rsidRPr="00AC5480">
        <w:rPr>
          <w:rFonts w:ascii="Garamond" w:eastAsia="Times New Roman" w:hAnsi="Garamond" w:cs="Arial"/>
          <w:b/>
          <w:spacing w:val="-2"/>
          <w:sz w:val="24"/>
          <w:szCs w:val="24"/>
          <w:lang w:eastAsia="sq-AL"/>
        </w:rPr>
        <w:t>Begaj</w:t>
      </w:r>
      <w:r>
        <w:rPr>
          <w:rFonts w:ascii="Garamond" w:eastAsia="Times New Roman" w:hAnsi="Garamond" w:cs="Arial"/>
          <w:b/>
          <w:spacing w:val="-2"/>
          <w:sz w:val="24"/>
          <w:szCs w:val="24"/>
          <w:lang w:eastAsia="sq-AL"/>
        </w:rPr>
        <w:t>.</w:t>
      </w:r>
    </w:p>
    <w:p w14:paraId="210265D3" w14:textId="77777777" w:rsidR="00AC5480" w:rsidRPr="00AC5480" w:rsidRDefault="00AC5480" w:rsidP="007565B9">
      <w:pPr>
        <w:spacing w:after="0" w:line="240" w:lineRule="auto"/>
        <w:ind w:firstLine="284"/>
        <w:jc w:val="both"/>
        <w:rPr>
          <w:rFonts w:ascii="Garamond" w:hAnsi="Garamond" w:cs="Times New Roman"/>
          <w:bCs/>
          <w:color w:val="000000" w:themeColor="text1"/>
          <w:sz w:val="24"/>
          <w:szCs w:val="24"/>
        </w:rPr>
      </w:pPr>
    </w:p>
    <w:p w14:paraId="1FCAC45A" w14:textId="77777777" w:rsidR="00213234" w:rsidRPr="00AC5480" w:rsidRDefault="00213234" w:rsidP="007565B9">
      <w:pPr>
        <w:spacing w:after="0" w:line="240" w:lineRule="auto"/>
        <w:ind w:firstLine="284"/>
        <w:rPr>
          <w:rFonts w:ascii="Garamond" w:hAnsi="Garamond"/>
          <w:sz w:val="24"/>
          <w:szCs w:val="24"/>
        </w:rPr>
      </w:pPr>
    </w:p>
    <w:sectPr w:rsidR="00213234" w:rsidRPr="00AC5480"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30A9D" w14:textId="77777777" w:rsidR="00C717C5" w:rsidRDefault="00C717C5" w:rsidP="00420682">
      <w:pPr>
        <w:spacing w:after="0" w:line="240" w:lineRule="auto"/>
      </w:pPr>
      <w:r>
        <w:separator/>
      </w:r>
    </w:p>
  </w:endnote>
  <w:endnote w:type="continuationSeparator" w:id="0">
    <w:p w14:paraId="7477CA1B" w14:textId="77777777" w:rsidR="00C717C5" w:rsidRDefault="00C717C5" w:rsidP="00420682">
      <w:pPr>
        <w:spacing w:after="0" w:line="240" w:lineRule="auto"/>
      </w:pPr>
      <w:r>
        <w:continuationSeparator/>
      </w:r>
    </w:p>
  </w:endnote>
  <w:endnote w:type="continuationNotice" w:id="1">
    <w:p w14:paraId="19069252" w14:textId="77777777" w:rsidR="006847DC" w:rsidRDefault="006847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F4C48" w14:textId="77777777" w:rsidR="00C717C5" w:rsidRDefault="00C717C5" w:rsidP="00420682">
      <w:pPr>
        <w:spacing w:after="0" w:line="240" w:lineRule="auto"/>
      </w:pPr>
      <w:r>
        <w:separator/>
      </w:r>
    </w:p>
  </w:footnote>
  <w:footnote w:type="continuationSeparator" w:id="0">
    <w:p w14:paraId="1F13BA8B" w14:textId="77777777" w:rsidR="00C717C5" w:rsidRDefault="00C717C5" w:rsidP="00420682">
      <w:pPr>
        <w:spacing w:after="0" w:line="240" w:lineRule="auto"/>
      </w:pPr>
      <w:r>
        <w:continuationSeparator/>
      </w:r>
    </w:p>
  </w:footnote>
  <w:footnote w:type="continuationNotice" w:id="1">
    <w:p w14:paraId="283004BF" w14:textId="77777777" w:rsidR="006847DC" w:rsidRDefault="006847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50C54DCB"/>
    <w:multiLevelType w:val="hybridMultilevel"/>
    <w:tmpl w:val="5CB036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37D6"/>
    <w:rsid w:val="000141A5"/>
    <w:rsid w:val="0001561C"/>
    <w:rsid w:val="00024790"/>
    <w:rsid w:val="00037962"/>
    <w:rsid w:val="00040D8C"/>
    <w:rsid w:val="00042C20"/>
    <w:rsid w:val="00043C57"/>
    <w:rsid w:val="000514F1"/>
    <w:rsid w:val="000518D6"/>
    <w:rsid w:val="000528BB"/>
    <w:rsid w:val="00054966"/>
    <w:rsid w:val="00055AB5"/>
    <w:rsid w:val="00060376"/>
    <w:rsid w:val="00072080"/>
    <w:rsid w:val="000765C2"/>
    <w:rsid w:val="00082266"/>
    <w:rsid w:val="00085424"/>
    <w:rsid w:val="00090F3B"/>
    <w:rsid w:val="00091A46"/>
    <w:rsid w:val="0009415D"/>
    <w:rsid w:val="00096985"/>
    <w:rsid w:val="00096F02"/>
    <w:rsid w:val="00097617"/>
    <w:rsid w:val="000A08A2"/>
    <w:rsid w:val="000A1E47"/>
    <w:rsid w:val="000A3B4D"/>
    <w:rsid w:val="000A6B3D"/>
    <w:rsid w:val="000B3F8E"/>
    <w:rsid w:val="000B5AFE"/>
    <w:rsid w:val="000D199E"/>
    <w:rsid w:val="000D1AC4"/>
    <w:rsid w:val="000E268C"/>
    <w:rsid w:val="000E32F6"/>
    <w:rsid w:val="000E35B3"/>
    <w:rsid w:val="000E4CA8"/>
    <w:rsid w:val="000E5BA6"/>
    <w:rsid w:val="000F482E"/>
    <w:rsid w:val="00103828"/>
    <w:rsid w:val="001066CD"/>
    <w:rsid w:val="00106F6D"/>
    <w:rsid w:val="0011415C"/>
    <w:rsid w:val="001155E0"/>
    <w:rsid w:val="0011684B"/>
    <w:rsid w:val="00117D28"/>
    <w:rsid w:val="00121E29"/>
    <w:rsid w:val="00122D1F"/>
    <w:rsid w:val="0012550D"/>
    <w:rsid w:val="001268E9"/>
    <w:rsid w:val="00130958"/>
    <w:rsid w:val="00132CEC"/>
    <w:rsid w:val="0013569A"/>
    <w:rsid w:val="00135A36"/>
    <w:rsid w:val="00136EC9"/>
    <w:rsid w:val="00140E6B"/>
    <w:rsid w:val="00143DC2"/>
    <w:rsid w:val="00146A7A"/>
    <w:rsid w:val="00146D52"/>
    <w:rsid w:val="00153559"/>
    <w:rsid w:val="00153CC5"/>
    <w:rsid w:val="00154CFD"/>
    <w:rsid w:val="0015512C"/>
    <w:rsid w:val="001551CE"/>
    <w:rsid w:val="00155BCF"/>
    <w:rsid w:val="00155EBC"/>
    <w:rsid w:val="00163579"/>
    <w:rsid w:val="00166272"/>
    <w:rsid w:val="00166898"/>
    <w:rsid w:val="00167D1D"/>
    <w:rsid w:val="00172D4F"/>
    <w:rsid w:val="00176471"/>
    <w:rsid w:val="0017664D"/>
    <w:rsid w:val="001816AF"/>
    <w:rsid w:val="00187492"/>
    <w:rsid w:val="00187A2D"/>
    <w:rsid w:val="00191A00"/>
    <w:rsid w:val="001942D4"/>
    <w:rsid w:val="001960B2"/>
    <w:rsid w:val="001A1919"/>
    <w:rsid w:val="001A2945"/>
    <w:rsid w:val="001A2C14"/>
    <w:rsid w:val="001B2638"/>
    <w:rsid w:val="001B796E"/>
    <w:rsid w:val="001C0806"/>
    <w:rsid w:val="001C1A1A"/>
    <w:rsid w:val="001C1E51"/>
    <w:rsid w:val="001C2335"/>
    <w:rsid w:val="001C445C"/>
    <w:rsid w:val="001C5CDE"/>
    <w:rsid w:val="001C6A0A"/>
    <w:rsid w:val="001C7EC0"/>
    <w:rsid w:val="001D2895"/>
    <w:rsid w:val="001D31EB"/>
    <w:rsid w:val="001D3B4F"/>
    <w:rsid w:val="001D4E55"/>
    <w:rsid w:val="001D77D6"/>
    <w:rsid w:val="001D7939"/>
    <w:rsid w:val="001F194A"/>
    <w:rsid w:val="001F676C"/>
    <w:rsid w:val="001F78C3"/>
    <w:rsid w:val="001F797D"/>
    <w:rsid w:val="0020004E"/>
    <w:rsid w:val="002009A1"/>
    <w:rsid w:val="00200D3D"/>
    <w:rsid w:val="0020160E"/>
    <w:rsid w:val="0020170B"/>
    <w:rsid w:val="00204052"/>
    <w:rsid w:val="002044B0"/>
    <w:rsid w:val="0020507F"/>
    <w:rsid w:val="0020603B"/>
    <w:rsid w:val="002101FE"/>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6B1A"/>
    <w:rsid w:val="00247DF1"/>
    <w:rsid w:val="00250F7F"/>
    <w:rsid w:val="00251245"/>
    <w:rsid w:val="00252CF0"/>
    <w:rsid w:val="0025735E"/>
    <w:rsid w:val="00260E70"/>
    <w:rsid w:val="002645B6"/>
    <w:rsid w:val="00264FD5"/>
    <w:rsid w:val="00266C06"/>
    <w:rsid w:val="00267E57"/>
    <w:rsid w:val="0027350F"/>
    <w:rsid w:val="00274D4C"/>
    <w:rsid w:val="002753F6"/>
    <w:rsid w:val="002773E8"/>
    <w:rsid w:val="00277C89"/>
    <w:rsid w:val="00280456"/>
    <w:rsid w:val="002813BF"/>
    <w:rsid w:val="00282145"/>
    <w:rsid w:val="00284AC7"/>
    <w:rsid w:val="00293316"/>
    <w:rsid w:val="00294FCA"/>
    <w:rsid w:val="00296ECC"/>
    <w:rsid w:val="002A0C1D"/>
    <w:rsid w:val="002A173A"/>
    <w:rsid w:val="002A47D7"/>
    <w:rsid w:val="002B5575"/>
    <w:rsid w:val="002B6DDE"/>
    <w:rsid w:val="002C4562"/>
    <w:rsid w:val="002C7626"/>
    <w:rsid w:val="002C7D02"/>
    <w:rsid w:val="002D201C"/>
    <w:rsid w:val="002D3DB1"/>
    <w:rsid w:val="002D4309"/>
    <w:rsid w:val="002D5F14"/>
    <w:rsid w:val="002E0FFB"/>
    <w:rsid w:val="002E2079"/>
    <w:rsid w:val="002E4404"/>
    <w:rsid w:val="002E5221"/>
    <w:rsid w:val="002F000B"/>
    <w:rsid w:val="002F1C5B"/>
    <w:rsid w:val="002F5953"/>
    <w:rsid w:val="002F5F81"/>
    <w:rsid w:val="00300CDA"/>
    <w:rsid w:val="00301305"/>
    <w:rsid w:val="0030276C"/>
    <w:rsid w:val="0031187E"/>
    <w:rsid w:val="003168B3"/>
    <w:rsid w:val="00321185"/>
    <w:rsid w:val="00323264"/>
    <w:rsid w:val="003248D9"/>
    <w:rsid w:val="00325554"/>
    <w:rsid w:val="003305E1"/>
    <w:rsid w:val="003333CC"/>
    <w:rsid w:val="0033513E"/>
    <w:rsid w:val="00336EED"/>
    <w:rsid w:val="00337401"/>
    <w:rsid w:val="003403C8"/>
    <w:rsid w:val="00345A72"/>
    <w:rsid w:val="003547D6"/>
    <w:rsid w:val="00360A25"/>
    <w:rsid w:val="00363075"/>
    <w:rsid w:val="00365BF7"/>
    <w:rsid w:val="003706C5"/>
    <w:rsid w:val="003745EF"/>
    <w:rsid w:val="00375597"/>
    <w:rsid w:val="0038331D"/>
    <w:rsid w:val="00391BCE"/>
    <w:rsid w:val="003938EC"/>
    <w:rsid w:val="00394777"/>
    <w:rsid w:val="00395396"/>
    <w:rsid w:val="003953EE"/>
    <w:rsid w:val="00397541"/>
    <w:rsid w:val="00397F37"/>
    <w:rsid w:val="003A135F"/>
    <w:rsid w:val="003A38DC"/>
    <w:rsid w:val="003A63A5"/>
    <w:rsid w:val="003B683D"/>
    <w:rsid w:val="003C118D"/>
    <w:rsid w:val="003C400C"/>
    <w:rsid w:val="003C48FF"/>
    <w:rsid w:val="003D0E7F"/>
    <w:rsid w:val="003D17E1"/>
    <w:rsid w:val="003D5049"/>
    <w:rsid w:val="003D59B2"/>
    <w:rsid w:val="003D5ED0"/>
    <w:rsid w:val="003E72F7"/>
    <w:rsid w:val="003F139E"/>
    <w:rsid w:val="003F282B"/>
    <w:rsid w:val="003F29A8"/>
    <w:rsid w:val="003F398D"/>
    <w:rsid w:val="00400340"/>
    <w:rsid w:val="0040042E"/>
    <w:rsid w:val="00403430"/>
    <w:rsid w:val="00403A89"/>
    <w:rsid w:val="0041300C"/>
    <w:rsid w:val="00420682"/>
    <w:rsid w:val="004269AF"/>
    <w:rsid w:val="00433BCD"/>
    <w:rsid w:val="004357FF"/>
    <w:rsid w:val="00436717"/>
    <w:rsid w:val="00437B33"/>
    <w:rsid w:val="00445610"/>
    <w:rsid w:val="00446CCC"/>
    <w:rsid w:val="00452A10"/>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2182"/>
    <w:rsid w:val="004A3756"/>
    <w:rsid w:val="004A4A17"/>
    <w:rsid w:val="004A5884"/>
    <w:rsid w:val="004A5DE6"/>
    <w:rsid w:val="004B12D2"/>
    <w:rsid w:val="004B5EEC"/>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446C"/>
    <w:rsid w:val="004F447A"/>
    <w:rsid w:val="004F536D"/>
    <w:rsid w:val="004F7030"/>
    <w:rsid w:val="0050203D"/>
    <w:rsid w:val="005061B5"/>
    <w:rsid w:val="005110B5"/>
    <w:rsid w:val="00513E1E"/>
    <w:rsid w:val="00513F13"/>
    <w:rsid w:val="0051568A"/>
    <w:rsid w:val="005201B5"/>
    <w:rsid w:val="0052203F"/>
    <w:rsid w:val="00522FFB"/>
    <w:rsid w:val="00525EC9"/>
    <w:rsid w:val="0052693D"/>
    <w:rsid w:val="00531970"/>
    <w:rsid w:val="00531A97"/>
    <w:rsid w:val="00533AC7"/>
    <w:rsid w:val="00536F06"/>
    <w:rsid w:val="00542102"/>
    <w:rsid w:val="0054435D"/>
    <w:rsid w:val="00550FA3"/>
    <w:rsid w:val="00552AF2"/>
    <w:rsid w:val="00554CC5"/>
    <w:rsid w:val="0055575B"/>
    <w:rsid w:val="00556AD2"/>
    <w:rsid w:val="0055707F"/>
    <w:rsid w:val="00560AB1"/>
    <w:rsid w:val="005619E8"/>
    <w:rsid w:val="005661F9"/>
    <w:rsid w:val="0057022D"/>
    <w:rsid w:val="00570DA2"/>
    <w:rsid w:val="005726F2"/>
    <w:rsid w:val="00573EE3"/>
    <w:rsid w:val="0057485A"/>
    <w:rsid w:val="00575ADC"/>
    <w:rsid w:val="005767F6"/>
    <w:rsid w:val="00584083"/>
    <w:rsid w:val="005841D1"/>
    <w:rsid w:val="005908D6"/>
    <w:rsid w:val="00591503"/>
    <w:rsid w:val="00591A3B"/>
    <w:rsid w:val="0059248B"/>
    <w:rsid w:val="0059341A"/>
    <w:rsid w:val="0059342C"/>
    <w:rsid w:val="00594C1D"/>
    <w:rsid w:val="00596BF3"/>
    <w:rsid w:val="005A0D53"/>
    <w:rsid w:val="005A380F"/>
    <w:rsid w:val="005A3842"/>
    <w:rsid w:val="005A7379"/>
    <w:rsid w:val="005B1D69"/>
    <w:rsid w:val="005B5423"/>
    <w:rsid w:val="005B6E3F"/>
    <w:rsid w:val="005C1F7E"/>
    <w:rsid w:val="005D05F3"/>
    <w:rsid w:val="005D15D9"/>
    <w:rsid w:val="005F00A8"/>
    <w:rsid w:val="005F010E"/>
    <w:rsid w:val="005F183C"/>
    <w:rsid w:val="00600E61"/>
    <w:rsid w:val="00602136"/>
    <w:rsid w:val="00602362"/>
    <w:rsid w:val="0060535D"/>
    <w:rsid w:val="006066FA"/>
    <w:rsid w:val="00611181"/>
    <w:rsid w:val="0061141E"/>
    <w:rsid w:val="00614273"/>
    <w:rsid w:val="0062077A"/>
    <w:rsid w:val="00621A17"/>
    <w:rsid w:val="00623F4C"/>
    <w:rsid w:val="00624857"/>
    <w:rsid w:val="0062490A"/>
    <w:rsid w:val="006312E7"/>
    <w:rsid w:val="0063535A"/>
    <w:rsid w:val="006409CD"/>
    <w:rsid w:val="006465EF"/>
    <w:rsid w:val="00646924"/>
    <w:rsid w:val="00647466"/>
    <w:rsid w:val="0065057A"/>
    <w:rsid w:val="00650FDD"/>
    <w:rsid w:val="00651D0E"/>
    <w:rsid w:val="00654305"/>
    <w:rsid w:val="0066141E"/>
    <w:rsid w:val="00663243"/>
    <w:rsid w:val="006661CE"/>
    <w:rsid w:val="00670AA2"/>
    <w:rsid w:val="0067406E"/>
    <w:rsid w:val="00677E6C"/>
    <w:rsid w:val="00677F25"/>
    <w:rsid w:val="00683998"/>
    <w:rsid w:val="00683C22"/>
    <w:rsid w:val="0068478A"/>
    <w:rsid w:val="006847DC"/>
    <w:rsid w:val="00693B26"/>
    <w:rsid w:val="00694869"/>
    <w:rsid w:val="00696D19"/>
    <w:rsid w:val="006A2688"/>
    <w:rsid w:val="006B02FE"/>
    <w:rsid w:val="006B3074"/>
    <w:rsid w:val="006B3952"/>
    <w:rsid w:val="006B54A6"/>
    <w:rsid w:val="006C0490"/>
    <w:rsid w:val="006C2C78"/>
    <w:rsid w:val="006C3818"/>
    <w:rsid w:val="006C54E5"/>
    <w:rsid w:val="006C6D22"/>
    <w:rsid w:val="006C7476"/>
    <w:rsid w:val="006D41C9"/>
    <w:rsid w:val="006D7505"/>
    <w:rsid w:val="006F4D55"/>
    <w:rsid w:val="006F5C30"/>
    <w:rsid w:val="006F5FC1"/>
    <w:rsid w:val="007031E5"/>
    <w:rsid w:val="00703E15"/>
    <w:rsid w:val="007042FA"/>
    <w:rsid w:val="00705BA3"/>
    <w:rsid w:val="00707B70"/>
    <w:rsid w:val="0071247D"/>
    <w:rsid w:val="00712886"/>
    <w:rsid w:val="007140D9"/>
    <w:rsid w:val="007165B5"/>
    <w:rsid w:val="007217C2"/>
    <w:rsid w:val="00722DC5"/>
    <w:rsid w:val="007243F1"/>
    <w:rsid w:val="00726525"/>
    <w:rsid w:val="0073064D"/>
    <w:rsid w:val="00730DF9"/>
    <w:rsid w:val="0073160B"/>
    <w:rsid w:val="00733169"/>
    <w:rsid w:val="00736DC8"/>
    <w:rsid w:val="0074016F"/>
    <w:rsid w:val="007403CF"/>
    <w:rsid w:val="00740D48"/>
    <w:rsid w:val="00740EEA"/>
    <w:rsid w:val="00742442"/>
    <w:rsid w:val="0074390C"/>
    <w:rsid w:val="0074460B"/>
    <w:rsid w:val="00750246"/>
    <w:rsid w:val="00750AED"/>
    <w:rsid w:val="00750BE2"/>
    <w:rsid w:val="00755BCF"/>
    <w:rsid w:val="00755E27"/>
    <w:rsid w:val="007565B9"/>
    <w:rsid w:val="00756AFD"/>
    <w:rsid w:val="00760420"/>
    <w:rsid w:val="0076056B"/>
    <w:rsid w:val="007654B3"/>
    <w:rsid w:val="00770CEF"/>
    <w:rsid w:val="00770FAD"/>
    <w:rsid w:val="00772C10"/>
    <w:rsid w:val="00774741"/>
    <w:rsid w:val="007748A2"/>
    <w:rsid w:val="007749AC"/>
    <w:rsid w:val="00775308"/>
    <w:rsid w:val="00781B37"/>
    <w:rsid w:val="00781CCC"/>
    <w:rsid w:val="0078321A"/>
    <w:rsid w:val="00783B0B"/>
    <w:rsid w:val="00785EEE"/>
    <w:rsid w:val="0078794C"/>
    <w:rsid w:val="007912DB"/>
    <w:rsid w:val="0079144F"/>
    <w:rsid w:val="007934D0"/>
    <w:rsid w:val="007A1622"/>
    <w:rsid w:val="007A2A36"/>
    <w:rsid w:val="007A2E0E"/>
    <w:rsid w:val="007A460E"/>
    <w:rsid w:val="007B4156"/>
    <w:rsid w:val="007C083E"/>
    <w:rsid w:val="007C61F3"/>
    <w:rsid w:val="007D0D92"/>
    <w:rsid w:val="007D4C47"/>
    <w:rsid w:val="007D6440"/>
    <w:rsid w:val="007D742E"/>
    <w:rsid w:val="007D76F7"/>
    <w:rsid w:val="007E0959"/>
    <w:rsid w:val="007E199D"/>
    <w:rsid w:val="007E2515"/>
    <w:rsid w:val="007E47F1"/>
    <w:rsid w:val="007E4902"/>
    <w:rsid w:val="007E62A2"/>
    <w:rsid w:val="007E6D9E"/>
    <w:rsid w:val="007F2AAA"/>
    <w:rsid w:val="007F3B8B"/>
    <w:rsid w:val="007F46B2"/>
    <w:rsid w:val="007F5841"/>
    <w:rsid w:val="00801790"/>
    <w:rsid w:val="008030D2"/>
    <w:rsid w:val="00811138"/>
    <w:rsid w:val="00811AEA"/>
    <w:rsid w:val="0081405B"/>
    <w:rsid w:val="0081489E"/>
    <w:rsid w:val="00817643"/>
    <w:rsid w:val="008204F8"/>
    <w:rsid w:val="00820E26"/>
    <w:rsid w:val="00824399"/>
    <w:rsid w:val="008263CD"/>
    <w:rsid w:val="00827374"/>
    <w:rsid w:val="0083165F"/>
    <w:rsid w:val="00836200"/>
    <w:rsid w:val="008372DF"/>
    <w:rsid w:val="00837EAD"/>
    <w:rsid w:val="00840462"/>
    <w:rsid w:val="008420C3"/>
    <w:rsid w:val="008535CB"/>
    <w:rsid w:val="0085472C"/>
    <w:rsid w:val="00857D03"/>
    <w:rsid w:val="008620E4"/>
    <w:rsid w:val="008635A9"/>
    <w:rsid w:val="0086360A"/>
    <w:rsid w:val="00863E39"/>
    <w:rsid w:val="0087208B"/>
    <w:rsid w:val="008720AB"/>
    <w:rsid w:val="0087264B"/>
    <w:rsid w:val="0087468B"/>
    <w:rsid w:val="008814EA"/>
    <w:rsid w:val="0088367C"/>
    <w:rsid w:val="00883D53"/>
    <w:rsid w:val="008849E7"/>
    <w:rsid w:val="0088796B"/>
    <w:rsid w:val="00887E61"/>
    <w:rsid w:val="008914C1"/>
    <w:rsid w:val="00892C77"/>
    <w:rsid w:val="00896644"/>
    <w:rsid w:val="00896F3E"/>
    <w:rsid w:val="0089762F"/>
    <w:rsid w:val="008A0308"/>
    <w:rsid w:val="008A1646"/>
    <w:rsid w:val="008A38AE"/>
    <w:rsid w:val="008A3C31"/>
    <w:rsid w:val="008A48E5"/>
    <w:rsid w:val="008B2E33"/>
    <w:rsid w:val="008B3FAE"/>
    <w:rsid w:val="008B5DAE"/>
    <w:rsid w:val="008C15C7"/>
    <w:rsid w:val="008C1C92"/>
    <w:rsid w:val="008C3427"/>
    <w:rsid w:val="008D12D7"/>
    <w:rsid w:val="008D3FB7"/>
    <w:rsid w:val="008D4F14"/>
    <w:rsid w:val="008E125A"/>
    <w:rsid w:val="008E7793"/>
    <w:rsid w:val="008E7C0A"/>
    <w:rsid w:val="008F2010"/>
    <w:rsid w:val="00900D7B"/>
    <w:rsid w:val="00903DE7"/>
    <w:rsid w:val="00904604"/>
    <w:rsid w:val="0090583C"/>
    <w:rsid w:val="009059DE"/>
    <w:rsid w:val="0091014E"/>
    <w:rsid w:val="009104DF"/>
    <w:rsid w:val="00913B11"/>
    <w:rsid w:val="00925F09"/>
    <w:rsid w:val="00934914"/>
    <w:rsid w:val="009363AF"/>
    <w:rsid w:val="00942515"/>
    <w:rsid w:val="009438AE"/>
    <w:rsid w:val="00944D6B"/>
    <w:rsid w:val="00951BFC"/>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4C13"/>
    <w:rsid w:val="00996306"/>
    <w:rsid w:val="0099741A"/>
    <w:rsid w:val="009A2331"/>
    <w:rsid w:val="009A4870"/>
    <w:rsid w:val="009A6F98"/>
    <w:rsid w:val="009A789B"/>
    <w:rsid w:val="009B1183"/>
    <w:rsid w:val="009B4B31"/>
    <w:rsid w:val="009B61B1"/>
    <w:rsid w:val="009C0ABA"/>
    <w:rsid w:val="009C12D6"/>
    <w:rsid w:val="009C456D"/>
    <w:rsid w:val="009C52A4"/>
    <w:rsid w:val="009D36E7"/>
    <w:rsid w:val="009E259E"/>
    <w:rsid w:val="00A01F1A"/>
    <w:rsid w:val="00A022FB"/>
    <w:rsid w:val="00A06D12"/>
    <w:rsid w:val="00A10B5D"/>
    <w:rsid w:val="00A159CC"/>
    <w:rsid w:val="00A15DE9"/>
    <w:rsid w:val="00A164C8"/>
    <w:rsid w:val="00A23827"/>
    <w:rsid w:val="00A27C1F"/>
    <w:rsid w:val="00A32598"/>
    <w:rsid w:val="00A3335C"/>
    <w:rsid w:val="00A34D9D"/>
    <w:rsid w:val="00A35A3F"/>
    <w:rsid w:val="00A36786"/>
    <w:rsid w:val="00A40685"/>
    <w:rsid w:val="00A41CE5"/>
    <w:rsid w:val="00A431DD"/>
    <w:rsid w:val="00A510CF"/>
    <w:rsid w:val="00A528C3"/>
    <w:rsid w:val="00A5415E"/>
    <w:rsid w:val="00A561B4"/>
    <w:rsid w:val="00A645A6"/>
    <w:rsid w:val="00A7382D"/>
    <w:rsid w:val="00A75385"/>
    <w:rsid w:val="00A7761C"/>
    <w:rsid w:val="00A97B73"/>
    <w:rsid w:val="00AA0D1D"/>
    <w:rsid w:val="00AA1E07"/>
    <w:rsid w:val="00AA32E0"/>
    <w:rsid w:val="00AA5367"/>
    <w:rsid w:val="00AA545E"/>
    <w:rsid w:val="00AA7433"/>
    <w:rsid w:val="00AB0AA8"/>
    <w:rsid w:val="00AB0F6D"/>
    <w:rsid w:val="00AB149D"/>
    <w:rsid w:val="00AB18EF"/>
    <w:rsid w:val="00AB555A"/>
    <w:rsid w:val="00AC1C45"/>
    <w:rsid w:val="00AC2686"/>
    <w:rsid w:val="00AC5480"/>
    <w:rsid w:val="00AD1072"/>
    <w:rsid w:val="00AD2AD0"/>
    <w:rsid w:val="00AD3D4C"/>
    <w:rsid w:val="00AD4C52"/>
    <w:rsid w:val="00AE5B81"/>
    <w:rsid w:val="00AE5CA3"/>
    <w:rsid w:val="00AF0CE9"/>
    <w:rsid w:val="00AF1C1D"/>
    <w:rsid w:val="00AF4010"/>
    <w:rsid w:val="00AF5D8E"/>
    <w:rsid w:val="00AF79BB"/>
    <w:rsid w:val="00AF7B78"/>
    <w:rsid w:val="00B03A16"/>
    <w:rsid w:val="00B05FAF"/>
    <w:rsid w:val="00B07961"/>
    <w:rsid w:val="00B07A20"/>
    <w:rsid w:val="00B12642"/>
    <w:rsid w:val="00B14BBE"/>
    <w:rsid w:val="00B17529"/>
    <w:rsid w:val="00B22027"/>
    <w:rsid w:val="00B238ED"/>
    <w:rsid w:val="00B26672"/>
    <w:rsid w:val="00B2797E"/>
    <w:rsid w:val="00B3200A"/>
    <w:rsid w:val="00B46B49"/>
    <w:rsid w:val="00B51B87"/>
    <w:rsid w:val="00B51F9D"/>
    <w:rsid w:val="00B54D96"/>
    <w:rsid w:val="00B6099E"/>
    <w:rsid w:val="00B61804"/>
    <w:rsid w:val="00B6427E"/>
    <w:rsid w:val="00B67778"/>
    <w:rsid w:val="00B67E49"/>
    <w:rsid w:val="00B71AC8"/>
    <w:rsid w:val="00B74D0C"/>
    <w:rsid w:val="00B8315C"/>
    <w:rsid w:val="00B85BF4"/>
    <w:rsid w:val="00B8668D"/>
    <w:rsid w:val="00B93E76"/>
    <w:rsid w:val="00B958E5"/>
    <w:rsid w:val="00B9783F"/>
    <w:rsid w:val="00BA1706"/>
    <w:rsid w:val="00BA1CAD"/>
    <w:rsid w:val="00BA1E62"/>
    <w:rsid w:val="00BA5571"/>
    <w:rsid w:val="00BA57F5"/>
    <w:rsid w:val="00BA7E1D"/>
    <w:rsid w:val="00BB15C8"/>
    <w:rsid w:val="00BB1755"/>
    <w:rsid w:val="00BB6F57"/>
    <w:rsid w:val="00BC0B3B"/>
    <w:rsid w:val="00BD4611"/>
    <w:rsid w:val="00BD625D"/>
    <w:rsid w:val="00BE2D48"/>
    <w:rsid w:val="00BE4BA2"/>
    <w:rsid w:val="00BE5023"/>
    <w:rsid w:val="00BF2791"/>
    <w:rsid w:val="00C004F6"/>
    <w:rsid w:val="00C1023D"/>
    <w:rsid w:val="00C10624"/>
    <w:rsid w:val="00C1082F"/>
    <w:rsid w:val="00C17A6D"/>
    <w:rsid w:val="00C238A5"/>
    <w:rsid w:val="00C23E2C"/>
    <w:rsid w:val="00C2402D"/>
    <w:rsid w:val="00C31328"/>
    <w:rsid w:val="00C3153B"/>
    <w:rsid w:val="00C33585"/>
    <w:rsid w:val="00C40B28"/>
    <w:rsid w:val="00C4191B"/>
    <w:rsid w:val="00C446ED"/>
    <w:rsid w:val="00C449B5"/>
    <w:rsid w:val="00C5239D"/>
    <w:rsid w:val="00C53EBB"/>
    <w:rsid w:val="00C60CAD"/>
    <w:rsid w:val="00C64341"/>
    <w:rsid w:val="00C6446D"/>
    <w:rsid w:val="00C6573D"/>
    <w:rsid w:val="00C70AA0"/>
    <w:rsid w:val="00C70D94"/>
    <w:rsid w:val="00C71734"/>
    <w:rsid w:val="00C717C5"/>
    <w:rsid w:val="00C74B4C"/>
    <w:rsid w:val="00C74DD9"/>
    <w:rsid w:val="00C751AA"/>
    <w:rsid w:val="00C8373E"/>
    <w:rsid w:val="00C85BBF"/>
    <w:rsid w:val="00C86CD9"/>
    <w:rsid w:val="00C90FD7"/>
    <w:rsid w:val="00C925DC"/>
    <w:rsid w:val="00C92C5B"/>
    <w:rsid w:val="00C9312F"/>
    <w:rsid w:val="00CA0828"/>
    <w:rsid w:val="00CB0B77"/>
    <w:rsid w:val="00CB13A2"/>
    <w:rsid w:val="00CB1B8E"/>
    <w:rsid w:val="00CB7990"/>
    <w:rsid w:val="00CC15A1"/>
    <w:rsid w:val="00CC2D43"/>
    <w:rsid w:val="00CC63B6"/>
    <w:rsid w:val="00CC7027"/>
    <w:rsid w:val="00CC7CA2"/>
    <w:rsid w:val="00CD2BD6"/>
    <w:rsid w:val="00CD5705"/>
    <w:rsid w:val="00CE2478"/>
    <w:rsid w:val="00CE42A7"/>
    <w:rsid w:val="00CE4E9C"/>
    <w:rsid w:val="00CE5517"/>
    <w:rsid w:val="00CF13E1"/>
    <w:rsid w:val="00CF5B26"/>
    <w:rsid w:val="00CF6D0A"/>
    <w:rsid w:val="00CF79C8"/>
    <w:rsid w:val="00D127E2"/>
    <w:rsid w:val="00D23C4B"/>
    <w:rsid w:val="00D24B56"/>
    <w:rsid w:val="00D3110D"/>
    <w:rsid w:val="00D3649D"/>
    <w:rsid w:val="00D4036B"/>
    <w:rsid w:val="00D4072E"/>
    <w:rsid w:val="00D41916"/>
    <w:rsid w:val="00D45AC2"/>
    <w:rsid w:val="00D45F60"/>
    <w:rsid w:val="00D50CA0"/>
    <w:rsid w:val="00D51772"/>
    <w:rsid w:val="00D521BF"/>
    <w:rsid w:val="00D52992"/>
    <w:rsid w:val="00D560BF"/>
    <w:rsid w:val="00D5660B"/>
    <w:rsid w:val="00D56C48"/>
    <w:rsid w:val="00D60C6B"/>
    <w:rsid w:val="00D749E5"/>
    <w:rsid w:val="00D77F1A"/>
    <w:rsid w:val="00D87B52"/>
    <w:rsid w:val="00D96C4B"/>
    <w:rsid w:val="00DA2B84"/>
    <w:rsid w:val="00DA33D4"/>
    <w:rsid w:val="00DA56D4"/>
    <w:rsid w:val="00DA72AD"/>
    <w:rsid w:val="00DB5847"/>
    <w:rsid w:val="00DC03DB"/>
    <w:rsid w:val="00DC0BDC"/>
    <w:rsid w:val="00DC1137"/>
    <w:rsid w:val="00DC34E0"/>
    <w:rsid w:val="00DD1F03"/>
    <w:rsid w:val="00DD3860"/>
    <w:rsid w:val="00DD492E"/>
    <w:rsid w:val="00DD596F"/>
    <w:rsid w:val="00DD7DEF"/>
    <w:rsid w:val="00DE163B"/>
    <w:rsid w:val="00DE573A"/>
    <w:rsid w:val="00DE7915"/>
    <w:rsid w:val="00DE793A"/>
    <w:rsid w:val="00DF07E6"/>
    <w:rsid w:val="00DF2019"/>
    <w:rsid w:val="00DF295D"/>
    <w:rsid w:val="00DF729A"/>
    <w:rsid w:val="00DF7D66"/>
    <w:rsid w:val="00E02F28"/>
    <w:rsid w:val="00E03BB9"/>
    <w:rsid w:val="00E04303"/>
    <w:rsid w:val="00E07E8C"/>
    <w:rsid w:val="00E137B8"/>
    <w:rsid w:val="00E20095"/>
    <w:rsid w:val="00E208F9"/>
    <w:rsid w:val="00E22DA9"/>
    <w:rsid w:val="00E301D0"/>
    <w:rsid w:val="00E31171"/>
    <w:rsid w:val="00E32B8C"/>
    <w:rsid w:val="00E33812"/>
    <w:rsid w:val="00E33A62"/>
    <w:rsid w:val="00E370B3"/>
    <w:rsid w:val="00E452DA"/>
    <w:rsid w:val="00E47C1A"/>
    <w:rsid w:val="00E5279C"/>
    <w:rsid w:val="00E54172"/>
    <w:rsid w:val="00E56857"/>
    <w:rsid w:val="00E60B3E"/>
    <w:rsid w:val="00E611BD"/>
    <w:rsid w:val="00E6234F"/>
    <w:rsid w:val="00E64795"/>
    <w:rsid w:val="00E72BC5"/>
    <w:rsid w:val="00E76B9D"/>
    <w:rsid w:val="00E7782A"/>
    <w:rsid w:val="00E82905"/>
    <w:rsid w:val="00E9471E"/>
    <w:rsid w:val="00EB262A"/>
    <w:rsid w:val="00EB39C6"/>
    <w:rsid w:val="00EC47A4"/>
    <w:rsid w:val="00EC55E7"/>
    <w:rsid w:val="00EC57E8"/>
    <w:rsid w:val="00EC5AA5"/>
    <w:rsid w:val="00EC5B31"/>
    <w:rsid w:val="00ED2418"/>
    <w:rsid w:val="00ED3463"/>
    <w:rsid w:val="00ED7107"/>
    <w:rsid w:val="00EE4D4D"/>
    <w:rsid w:val="00EE58BB"/>
    <w:rsid w:val="00EE5C98"/>
    <w:rsid w:val="00EE61F5"/>
    <w:rsid w:val="00EE7E5D"/>
    <w:rsid w:val="00EF4CCD"/>
    <w:rsid w:val="00EF7E55"/>
    <w:rsid w:val="00F0233E"/>
    <w:rsid w:val="00F03310"/>
    <w:rsid w:val="00F03AA2"/>
    <w:rsid w:val="00F03F03"/>
    <w:rsid w:val="00F05632"/>
    <w:rsid w:val="00F07F7F"/>
    <w:rsid w:val="00F234B6"/>
    <w:rsid w:val="00F25E61"/>
    <w:rsid w:val="00F30C68"/>
    <w:rsid w:val="00F312F4"/>
    <w:rsid w:val="00F320F6"/>
    <w:rsid w:val="00F321FF"/>
    <w:rsid w:val="00F32C43"/>
    <w:rsid w:val="00F43A6A"/>
    <w:rsid w:val="00F44A01"/>
    <w:rsid w:val="00F50416"/>
    <w:rsid w:val="00F50472"/>
    <w:rsid w:val="00F52125"/>
    <w:rsid w:val="00F537D2"/>
    <w:rsid w:val="00F60A58"/>
    <w:rsid w:val="00F62A46"/>
    <w:rsid w:val="00F630AC"/>
    <w:rsid w:val="00F7479E"/>
    <w:rsid w:val="00F75C28"/>
    <w:rsid w:val="00F814BA"/>
    <w:rsid w:val="00F81749"/>
    <w:rsid w:val="00F8279D"/>
    <w:rsid w:val="00F84F9C"/>
    <w:rsid w:val="00F86F45"/>
    <w:rsid w:val="00F90923"/>
    <w:rsid w:val="00F92C2B"/>
    <w:rsid w:val="00F92EFE"/>
    <w:rsid w:val="00FA02A3"/>
    <w:rsid w:val="00FA0571"/>
    <w:rsid w:val="00FA065B"/>
    <w:rsid w:val="00FA3199"/>
    <w:rsid w:val="00FA3C0E"/>
    <w:rsid w:val="00FA52FE"/>
    <w:rsid w:val="00FA6AD5"/>
    <w:rsid w:val="00FB1464"/>
    <w:rsid w:val="00FB1AE5"/>
    <w:rsid w:val="00FB2FEC"/>
    <w:rsid w:val="00FB4F69"/>
    <w:rsid w:val="00FB5CED"/>
    <w:rsid w:val="00FB742A"/>
    <w:rsid w:val="00FC1BB4"/>
    <w:rsid w:val="00FC2ABE"/>
    <w:rsid w:val="00FC3617"/>
    <w:rsid w:val="00FC484A"/>
    <w:rsid w:val="00FC58BA"/>
    <w:rsid w:val="00FC631E"/>
    <w:rsid w:val="00FC6BDD"/>
    <w:rsid w:val="00FD3EA6"/>
    <w:rsid w:val="00FD4130"/>
    <w:rsid w:val="00FE32E6"/>
    <w:rsid w:val="00FE5D83"/>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F8B0"/>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233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qFormat/>
    <w:rsid w:val="00513F13"/>
    <w:pPr>
      <w:spacing w:line="259" w:lineRule="auto"/>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CommentReference">
    <w:name w:val="annotation reference"/>
    <w:basedOn w:val="DefaultParagraphFont"/>
    <w:uiPriority w:val="99"/>
    <w:semiHidden/>
    <w:unhideWhenUsed/>
    <w:rsid w:val="00705BA3"/>
    <w:rPr>
      <w:sz w:val="16"/>
      <w:szCs w:val="16"/>
    </w:rPr>
  </w:style>
  <w:style w:type="paragraph" w:styleId="CommentText">
    <w:name w:val="annotation text"/>
    <w:basedOn w:val="Normal"/>
    <w:link w:val="CommentTextChar"/>
    <w:uiPriority w:val="99"/>
    <w:semiHidden/>
    <w:unhideWhenUsed/>
    <w:rsid w:val="00705BA3"/>
    <w:pPr>
      <w:spacing w:line="240" w:lineRule="auto"/>
    </w:pPr>
    <w:rPr>
      <w:sz w:val="20"/>
      <w:szCs w:val="20"/>
    </w:rPr>
  </w:style>
  <w:style w:type="character" w:customStyle="1" w:styleId="CommentTextChar">
    <w:name w:val="Comment Text Char"/>
    <w:basedOn w:val="DefaultParagraphFont"/>
    <w:link w:val="CommentText"/>
    <w:uiPriority w:val="99"/>
    <w:semiHidden/>
    <w:rsid w:val="00705BA3"/>
    <w:rPr>
      <w:sz w:val="20"/>
      <w:szCs w:val="20"/>
    </w:rPr>
  </w:style>
  <w:style w:type="paragraph" w:styleId="CommentSubject">
    <w:name w:val="annotation subject"/>
    <w:basedOn w:val="CommentText"/>
    <w:next w:val="CommentText"/>
    <w:link w:val="CommentSubjectChar"/>
    <w:uiPriority w:val="99"/>
    <w:semiHidden/>
    <w:unhideWhenUsed/>
    <w:rsid w:val="00705BA3"/>
    <w:rPr>
      <w:b/>
      <w:bCs/>
    </w:rPr>
  </w:style>
  <w:style w:type="character" w:customStyle="1" w:styleId="CommentSubjectChar">
    <w:name w:val="Comment Subject Char"/>
    <w:basedOn w:val="CommentTextChar"/>
    <w:link w:val="CommentSubject"/>
    <w:uiPriority w:val="99"/>
    <w:semiHidden/>
    <w:rsid w:val="00705B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7776141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46444301">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4150477">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86252099">
      <w:bodyDiv w:val="1"/>
      <w:marLeft w:val="0"/>
      <w:marRight w:val="0"/>
      <w:marTop w:val="0"/>
      <w:marBottom w:val="0"/>
      <w:divBdr>
        <w:top w:val="none" w:sz="0" w:space="0" w:color="auto"/>
        <w:left w:val="none" w:sz="0" w:space="0" w:color="auto"/>
        <w:bottom w:val="none" w:sz="0" w:space="0" w:color="auto"/>
        <w:right w:val="none" w:sz="0" w:space="0" w:color="auto"/>
      </w:divBdr>
    </w:div>
    <w:div w:id="757751556">
      <w:bodyDiv w:val="1"/>
      <w:marLeft w:val="0"/>
      <w:marRight w:val="0"/>
      <w:marTop w:val="0"/>
      <w:marBottom w:val="0"/>
      <w:divBdr>
        <w:top w:val="none" w:sz="0" w:space="0" w:color="auto"/>
        <w:left w:val="none" w:sz="0" w:space="0" w:color="auto"/>
        <w:bottom w:val="none" w:sz="0" w:space="0" w:color="auto"/>
        <w:right w:val="none" w:sz="0" w:space="0" w:color="auto"/>
      </w:divBdr>
    </w:div>
    <w:div w:id="799104384">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19426151">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82039683">
      <w:bodyDiv w:val="1"/>
      <w:marLeft w:val="0"/>
      <w:marRight w:val="0"/>
      <w:marTop w:val="0"/>
      <w:marBottom w:val="0"/>
      <w:divBdr>
        <w:top w:val="none" w:sz="0" w:space="0" w:color="auto"/>
        <w:left w:val="none" w:sz="0" w:space="0" w:color="auto"/>
        <w:bottom w:val="none" w:sz="0" w:space="0" w:color="auto"/>
        <w:right w:val="none" w:sz="0" w:space="0" w:color="auto"/>
      </w:divBdr>
      <w:divsChild>
        <w:div w:id="730268888">
          <w:marLeft w:val="0"/>
          <w:marRight w:val="0"/>
          <w:marTop w:val="0"/>
          <w:marBottom w:val="0"/>
          <w:divBdr>
            <w:top w:val="none" w:sz="0" w:space="0" w:color="auto"/>
            <w:left w:val="none" w:sz="0" w:space="0" w:color="auto"/>
            <w:bottom w:val="none" w:sz="0" w:space="0" w:color="auto"/>
            <w:right w:val="none" w:sz="0" w:space="0" w:color="auto"/>
          </w:divBdr>
        </w:div>
        <w:div w:id="1506941356">
          <w:marLeft w:val="0"/>
          <w:marRight w:val="0"/>
          <w:marTop w:val="0"/>
          <w:marBottom w:val="0"/>
          <w:divBdr>
            <w:top w:val="none" w:sz="0" w:space="0" w:color="auto"/>
            <w:left w:val="none" w:sz="0" w:space="0" w:color="auto"/>
            <w:bottom w:val="none" w:sz="0" w:space="0" w:color="auto"/>
            <w:right w:val="none" w:sz="0" w:space="0" w:color="auto"/>
          </w:divBdr>
        </w:div>
      </w:divsChild>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37</Nr_x002e__x0020_akti>
    <Data_x0020_e_x0020_Krijimit xmlns="0e656187-b300-4fb0-8bf4-3a50f872073c">2026-04-17T09:03:09Z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2026-04-16T00:00:00Z</Date_x0020_protokolli>
    <Titulli xmlns="0e656187-b300-4fb0-8bf4-3a50f872073c">Për disa shtesa dhe ndryshime në ligjin nr. 9917, datë 19.5.2008, “Për parandalimin e pastrimit të parave dhe financimit të terrorizmit”, i ndryshuar</Titulli>
    <Modifikuesi xmlns="0e656187-b300-4fb0-8bf4-3a50f872073c">Fjora.Cahani</Modifikuesi>
    <Nr_x002e__x0020_prot_x0020_QBZ xmlns="0e656187-b300-4fb0-8bf4-3a50f872073c">837/2</Nr_x002e__x0020_prot_x0020_QBZ>
    <Data_x0020_e_x0020_Modifikimit xmlns="0e656187-b300-4fb0-8bf4-3a50f872073c">2026-04-17T09:28:03Z</Data_x0020_e_x0020_Modifikimit>
    <Dekretuar xmlns="0e656187-b300-4fb0-8bf4-3a50f872073c">false</Dekretuar>
    <Data xmlns="0e656187-b300-4fb0-8bf4-3a50f872073c">2026-04-09T00:00:00Z</Data>
    <Nr_x002e__x0020_protokolli_x0020_i_x0020_aktit xmlns="0e656187-b300-4fb0-8bf4-3a50f872073c">1637/1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2E32DD8F6E14BC191F38709B43F91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92E32DD8F6E14BC191F38709B43F912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91CE5-4D6D-4C7B-96D7-69F95A33FEB2}">
  <ds:schemaRef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0e656187-b300-4fb0-8bf4-3a50f872073c"/>
    <ds:schemaRef ds:uri="http://purl.org/dc/dcmitype/"/>
    <ds:schemaRef ds:uri="http://www.w3.org/XML/1998/namespace"/>
  </ds:schemaRefs>
</ds:datastoreItem>
</file>

<file path=customXml/itemProps2.xml><?xml version="1.0" encoding="utf-8"?>
<ds:datastoreItem xmlns:ds="http://schemas.openxmlformats.org/officeDocument/2006/customXml" ds:itemID="{E6B84302-CC1D-4B8E-87CB-08A8AA262890}">
  <ds:schemaRefs>
    <ds:schemaRef ds:uri="http://schemas.microsoft.com/sharepoint/v3/contenttype/forms"/>
  </ds:schemaRefs>
</ds:datastoreItem>
</file>

<file path=customXml/itemProps3.xml><?xml version="1.0" encoding="utf-8"?>
<ds:datastoreItem xmlns:ds="http://schemas.openxmlformats.org/officeDocument/2006/customXml" ds:itemID="{C6A2762C-DA60-4CA5-A113-593DA7F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B4D7C8-8DB8-4222-9F57-171B1A813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43DFFA0-C435-42A0-9699-A3F6677EBD8E}">
  <ds:schemaRefs>
    <ds:schemaRef ds:uri="http://schemas.microsoft.com/sharepoint/v3/contenttype/forms"/>
  </ds:schemaRefs>
</ds:datastoreItem>
</file>

<file path=customXml/itemProps6.xml><?xml version="1.0" encoding="utf-8"?>
<ds:datastoreItem xmlns:ds="http://schemas.openxmlformats.org/officeDocument/2006/customXml" ds:itemID="{20C2D791-3852-4870-86DC-ED3682F7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Për disa shtesa dhe ndryshime në ligjin nr. 9917, datë 19.5.2008, “Për parandalimin e pastrimit të parave dhe financimit të terrorizmit”, i ndryshuar</vt:lpstr>
    </vt:vector>
  </TitlesOfParts>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9917, datë 19.5.2008, “Për parandalimin e pastrimit të parave dhe financimit të terrorizmit”, i ndryshuar</dc:title>
  <dc:creator>gazmend.hanku</dc:creator>
  <cp:lastModifiedBy>Amarilda Muja</cp:lastModifiedBy>
  <cp:revision>7</cp:revision>
  <cp:lastPrinted>2026-04-09T13:01:00Z</cp:lastPrinted>
  <dcterms:created xsi:type="dcterms:W3CDTF">2026-04-17T08:10:00Z</dcterms:created>
  <dcterms:modified xsi:type="dcterms:W3CDTF">2026-04-17T08:39:00Z</dcterms:modified>
</cp:coreProperties>
</file>