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58DA3" w14:textId="77777777" w:rsidR="00D521BF" w:rsidRPr="00A9732E" w:rsidRDefault="00D521BF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582EACA3" w14:textId="014B2FCD" w:rsidR="00420682" w:rsidRPr="00A9732E" w:rsidRDefault="00420682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51024259" w:rsidR="00ED3463" w:rsidRPr="00A9732E" w:rsidRDefault="002009A1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C47D66"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44</w:t>
      </w:r>
      <w:r w:rsidR="007748A2"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4257518B" w14:textId="3A81B34A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AE00921" w14:textId="3791BB66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 DISA NDRYSHIME </w:t>
      </w:r>
      <w:r w:rsidR="000D03B4"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DH</w:t>
      </w: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E SHTESA NË LIGJIN NR. 52/2024</w:t>
      </w:r>
      <w:r w:rsidR="002277B0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</w:p>
    <w:p w14:paraId="6FCB0356" w14:textId="07D8A79E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“PËR ETIKETIMIN E PRODUKTEVE ME NDIKIM NË ENERGJI”</w:t>
      </w:r>
      <w:r w:rsidRPr="00A9732E">
        <w:rPr>
          <w:rStyle w:val="FootnoteReference"/>
          <w:rFonts w:ascii="Garamond" w:hAnsi="Garamond"/>
          <w:b/>
          <w:color w:val="000000" w:themeColor="text1"/>
          <w:sz w:val="24"/>
          <w:szCs w:val="24"/>
        </w:rPr>
        <w:footnoteReference w:id="2"/>
      </w:r>
    </w:p>
    <w:p w14:paraId="5A4BFDF7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05AD329" w14:textId="6AD97B40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Në mbështetje të neneve 78 dhe 81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, pika 1,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të Kushtetutës së Republikës së Shqipërisë, me propozim të një  deputeti, </w:t>
      </w:r>
    </w:p>
    <w:p w14:paraId="27638AFC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0D7BD24" w14:textId="4DCF81AF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45227FE2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5790EA73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7F2673" w14:textId="0D102FF9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41F30077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265A448" w14:textId="6CCF0E85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Në ligjin nr. 52/2024</w:t>
      </w:r>
      <w:r w:rsidR="002277B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“Për etiketimin e produkteve me ndikim në energji”</w:t>
      </w:r>
      <w:r w:rsidR="002277B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bëhen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ndryshimet dhe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shtesat e  mëposhtme: </w:t>
      </w:r>
    </w:p>
    <w:p w14:paraId="305C29D6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ABDBBC0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3BD899C1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F8F5541" w14:textId="6AD4F1EE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Në nenin 1 pas shkronjës “ç” shtohet shkronja “d” me këtë përmbajtje:</w:t>
      </w:r>
    </w:p>
    <w:p w14:paraId="38C69E24" w14:textId="7218205C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“d) përcaktimin e kërkesave të përgjithshme dhe të veçanta të projektimit ekologjik për produktet me ndikim në energji, në përputhje me parimet e përcaktuar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në këtë ligj, me qëllim uljen e ndikimit mjedisor gjatë ciklit të jetës së produktit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rritjen e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efi</w:t>
      </w:r>
      <w:r w:rsidR="000B614E">
        <w:rPr>
          <w:rFonts w:ascii="Garamond" w:hAnsi="Garamond" w:cs="Times New Roman"/>
          <w:color w:val="000000" w:themeColor="text1"/>
          <w:sz w:val="24"/>
          <w:szCs w:val="24"/>
        </w:rPr>
        <w:t>ci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encës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së energjisë dhe garantimin e sigurisë së furnizimit me energji.”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6ADAAEA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F8292B2" w14:textId="422B7C83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19548509" w14:textId="77777777" w:rsidR="00643389" w:rsidRPr="00A9732E" w:rsidRDefault="00643389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F429FA4" w14:textId="22B4923B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Në nenin 2 bëhet shtesa dhe ndryshimi si më poshtë:</w:t>
      </w:r>
    </w:p>
    <w:p w14:paraId="09F31C6A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ab/>
        <w:t>Pas pikës 1 shtohet pika 1/1 me këtë përmbajtje:</w:t>
      </w:r>
    </w:p>
    <w:p w14:paraId="4E95CD13" w14:textId="238B43D2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“1/1. Ky ligj zbatohet gjithashtu për përcaktimin e kërkesave të projektimit ekologjik të produkteve me ndikim në energji, përfshirë qëndrueshmërinë,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efi</w:t>
      </w:r>
      <w:r w:rsidR="002277B0">
        <w:rPr>
          <w:rFonts w:ascii="Garamond" w:hAnsi="Garamond" w:cs="Times New Roman"/>
          <w:color w:val="000000" w:themeColor="text1"/>
          <w:sz w:val="24"/>
          <w:szCs w:val="24"/>
        </w:rPr>
        <w:t>ci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encën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e burimeve, zvogëlimin e materialeve të rrezikshme,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riparueshmërinë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riciklueshmërinë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dhe zgjatjen e jetëgjatësisë së produktit.”</w:t>
      </w:r>
    </w:p>
    <w:p w14:paraId="63E91F14" w14:textId="12DC4149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2. Në pikën 3</w:t>
      </w:r>
      <w:r w:rsidR="0089639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shkronja “a”</w:t>
      </w:r>
      <w:r w:rsidR="0089639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ndryshohet</w:t>
      </w:r>
      <w:r w:rsidR="00896396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si më poshtë:</w:t>
      </w:r>
    </w:p>
    <w:p w14:paraId="015A1F8E" w14:textId="5AF9C3C1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“a) produktet e përdorura, përveçse kur importohen, si dhe përjashtimet kur kërkesat e projektimit ekologjik përcaktojnë detyrime të posaçme për komponentët dhe pjesët e zëvendësueshme.”</w:t>
      </w:r>
      <w:r w:rsidR="00643389" w:rsidRPr="00A9732E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9794387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C20940C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48DC5512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7B85CAB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1. Në nenin 3 pas pikës 33 shtohen pikat 34 deri 40 me këtë përmbajtje:</w:t>
      </w:r>
    </w:p>
    <w:p w14:paraId="06C7F0C1" w14:textId="0C83CDA0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“34. “Projektim ekologjik” nënkupton integrimin e aspekteve mjedisore në projektimin e produktit me qëllim përmirësimin e performancës mjedisore të produktit gjatë gjithë ciklit të tij jetësor.</w:t>
      </w:r>
    </w:p>
    <w:p w14:paraId="3F6BCD6B" w14:textId="0E9C6E6A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35. “Cikli i jetës së produktit” është periudha që përfshin prodhimin, shpërndarjen, përdorimin, mirëmbajtjen dhe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fundjetën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e produktit.</w:t>
      </w:r>
    </w:p>
    <w:p w14:paraId="25B44948" w14:textId="281AC52D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36. “Aspekt mjedisor” nënkupton një element ose funksion të një produkti që mund të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ndërveprojë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me mjedisin gjatë ciklit të tij të jetës.</w:t>
      </w:r>
    </w:p>
    <w:p w14:paraId="106C069B" w14:textId="1ACBB3A2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37. “Kërkes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projektimit ekologjik” është një kërkesë e performancës ose një kërkesë informacioni që synon ta bëjë një produkt më të qëndrueshëm për mjedisin, duke përfshirë proceset që ndodhin përgjatë zinxhirit të vlerës së produktit.</w:t>
      </w:r>
    </w:p>
    <w:p w14:paraId="1B462BAC" w14:textId="4D430366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38. “Klasë e performancës” është një sërë nivelesh të performancës në lidhje me një ose më shumë parametra produkti, e cila përcaktohet bazuar në një metodologji të përbashkët për produktin ose grupin e produktit, të renditur në mënyrë të tillë që të lejojë diferencimin e produktit.</w:t>
      </w:r>
    </w:p>
    <w:p w14:paraId="6E062446" w14:textId="1FD2B860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39. “Marka CE” është një markë me të cilën prodhuesi tregon se produkti përkatës është në përputhje me kërkesat e zbatueshme të përcaktuara në legjislacionin e harmonizimit të Bashkimit Evropian që parashikon vendosjen e saj.</w:t>
      </w:r>
    </w:p>
    <w:p w14:paraId="7CAA7382" w14:textId="619145A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40. “Zinxhiri i vlerës” nënkupton tërësinë e aktiviteteve dhe proceseve që përbëjnë ciklin jetësor të një produkti, duke përfshirë gjithashtu fazat e ripërdorimit, riparimit, riciklimit ose </w:t>
      </w:r>
      <w:r w:rsidR="00220016" w:rsidRPr="00A9732E">
        <w:rPr>
          <w:rFonts w:ascii="Garamond" w:hAnsi="Garamond" w:cs="Times New Roman"/>
          <w:color w:val="000000" w:themeColor="text1"/>
          <w:sz w:val="24"/>
          <w:szCs w:val="24"/>
        </w:rPr>
        <w:t>riprodhimit të mundshëm të tij.”.</w:t>
      </w:r>
    </w:p>
    <w:p w14:paraId="0DB209EE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21E3997" w14:textId="3D1490AA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58FE92BD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C9416F8" w14:textId="0ABB70E3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6 pas pikës 5 shtohen 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pika 6 dhe 7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me këtë përmbajtje:</w:t>
      </w:r>
    </w:p>
    <w:p w14:paraId="6841FC03" w14:textId="402694BC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“6.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ab/>
        <w:t xml:space="preserve">Këshilli i Ministrave me propozim të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inistrit përgjegjës për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nergjinë dhe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inistrit përgjegjës për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ekonominë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do të krijojë dhe mirëmbajë një bazë të dhënash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e cila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aksesohet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9732E">
        <w:rPr>
          <w:rFonts w:ascii="Garamond" w:hAnsi="Garamond" w:cs="Times New Roman"/>
          <w:i/>
          <w:color w:val="000000" w:themeColor="text1"/>
          <w:sz w:val="24"/>
          <w:szCs w:val="24"/>
        </w:rPr>
        <w:t>online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nga pjesëmarrësit e tregut dhe autoritetet publike. Baza e të dhënave të produkteve nuk do të zëvendësojë ose modifikojë përgjegjësitë e autoriteteve të mbikëqyrjes së tregut.</w:t>
      </w:r>
    </w:p>
    <w:p w14:paraId="466DE9B6" w14:textId="061CFFE1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7. Baza e të dhënave të produkteve do të shërbejë për qëllimet e mëposhtme:</w:t>
      </w:r>
    </w:p>
    <w:p w14:paraId="01ABD72B" w14:textId="3C85FDCC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a) të mbështesë autoritetet e mbikëqyrjes së tregut në kryerjen e detyrave të tyre sipas kësaj 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regulloreje dhe akteve përkatëse të deleguara, duke përfshirë zbatimin e saj;</w:t>
      </w:r>
    </w:p>
    <w:p w14:paraId="386A3D40" w14:textId="4CDB2ACA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b) t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i ofrojë publikut informacion në lidhje me produktet e vendosura në treg dhe etiketat e tyre të energjisë, si dhe fletët e informacionit të produkteve;</w:t>
      </w:r>
    </w:p>
    <w:p w14:paraId="5EBC95AB" w14:textId="719D007E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c) t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’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i ofrojë Komisionit informacion të azhurnuar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efikasitetin e energjisë për produktet për shqyrtimin e etiketave të energjisë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03C6B4AA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0D94AD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2B77D2F7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90DB686" w14:textId="5BDDBF84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1. Titulli i kreut II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të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ligjit ndryshohet 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si më poshtë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: “Kërkesat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për informacion dhe projektim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ekologjik”.</w:t>
      </w:r>
    </w:p>
    <w:p w14:paraId="3E1FE7F4" w14:textId="24B8D398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2. Pas nenit 7 shtohe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>n nenet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7/1 </w:t>
      </w:r>
      <w:r w:rsidR="000D03B4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dhe 7/2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me këtë përmbajtje:</w:t>
      </w:r>
    </w:p>
    <w:p w14:paraId="69125B19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03DB7A9" w14:textId="02126C47" w:rsidR="00C47D66" w:rsidRPr="00A9732E" w:rsidRDefault="00A9732E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>“Neni 7/1</w:t>
      </w:r>
    </w:p>
    <w:p w14:paraId="5ABB7F3F" w14:textId="7E956A93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Kërkesat e projektimit ekologjik</w:t>
      </w:r>
    </w:p>
    <w:p w14:paraId="452684F6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0D7E36" w14:textId="216E428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1. Produktet me ndikim në energji të vendosura në treg duhet të përmbushin kërkesat e projektimit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ekologjik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të përcaktuara në këtë ligj dhe aktet nënligjore në zbatim të tij.</w:t>
      </w:r>
    </w:p>
    <w:p w14:paraId="2EAFBC2E" w14:textId="4AE2C553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2. Këshilli i Ministrave me propozim të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inistrit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përgjegjës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energjinë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ekonominë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miraton rregullat e detajuara për projektimin ekologjik t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produkteve me ndikim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energjetik,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si dhe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kërkesat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për etiketimin e këtyre produkteve.</w:t>
      </w:r>
    </w:p>
    <w:p w14:paraId="26D2ED08" w14:textId="3040046D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3. Kërkesat mu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nd të përfshijnë kërkesa për: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kufizimin e konsumit të energjisë, përdorimin e burimeve, zvogëlimin e materialeve të rrezikshme,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riparueshmërinë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riciklueshmërinë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04DC07DA" w14:textId="7889C9E6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4. Procedurat e verifikimit të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konformitetit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rregullohe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sipas parashikimeve të këtij ligji, akteve nënligjore në zbatim të tij dhe ligjit që rregullon sigurinë e përgjithshme të produkteve </w:t>
      </w:r>
      <w:proofErr w:type="spellStart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joushqimore</w:t>
      </w:r>
      <w:proofErr w:type="spellEnd"/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0825F5AA" w14:textId="26C159B9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5.</w:t>
      </w:r>
      <w:r w:rsidR="0089639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Prodhuesi, furnizuesit, importuesi apo tregtari duhet të përgatisin dosjen teknike të produktit sipas përcaktimeve që bëhen në vendimin e Këshillit të Ministrave, sipas pikës 2 të këtij neni, 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cil</w:t>
      </w:r>
      <w:r w:rsidR="00D03A00" w:rsidRPr="00A9732E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do të përmbajë të paktën analizën e ciklit të jetës dhe dokumentacion provues.</w:t>
      </w:r>
    </w:p>
    <w:p w14:paraId="5852E328" w14:textId="17D0A388" w:rsidR="00C47D66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A1E53AD" w14:textId="387CF854" w:rsidR="00A9732E" w:rsidRDefault="00A9732E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D4F783F" w14:textId="5CC4D889" w:rsidR="00A9732E" w:rsidRDefault="00A9732E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6B3DCD6" w14:textId="3D2BA1C8" w:rsidR="00A9732E" w:rsidRDefault="00A9732E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EA5DA8" w14:textId="77777777" w:rsidR="00A9732E" w:rsidRPr="00A9732E" w:rsidRDefault="00A9732E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EE16A44" w14:textId="27955345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Neni 7/2</w:t>
      </w:r>
    </w:p>
    <w:p w14:paraId="28B6B2C2" w14:textId="3675F255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Strukturat përgjegjëse</w:t>
      </w:r>
    </w:p>
    <w:p w14:paraId="65DE6C56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3F4804A" w14:textId="65455B69" w:rsidR="00C47D66" w:rsidRPr="00A9732E" w:rsidRDefault="00A23057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>Struktura përgjegjëse për doganën verifikon përputhshmërinë e kërkesave të këtij ligji për proj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ektimin ekologjik të produkteve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në momentin e importit të tyre në vend.</w:t>
      </w:r>
    </w:p>
    <w:p w14:paraId="55EA591E" w14:textId="73143548" w:rsidR="00C47D66" w:rsidRPr="00A9732E" w:rsidRDefault="00A23057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Strukturat përgjegjëse të mbikëqyrjes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s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>ë tregut t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ë produkteve </w:t>
      </w:r>
      <w:proofErr w:type="spellStart"/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jo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>ushqimore</w:t>
      </w:r>
      <w:proofErr w:type="spellEnd"/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verifikojnë përputhshmërinë për produktet e vendosura në qarkullim.</w:t>
      </w:r>
    </w:p>
    <w:p w14:paraId="1A69C39E" w14:textId="1E93ADA9" w:rsidR="00C47D66" w:rsidRPr="00A9732E" w:rsidRDefault="00A23057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Strukturat përgjegjëse monitoruese bashkëpunojnë mes </w:t>
      </w:r>
      <w:r w:rsidR="0010128C" w:rsidRPr="00A9732E">
        <w:rPr>
          <w:rFonts w:ascii="Garamond" w:hAnsi="Garamond" w:cs="Times New Roman"/>
          <w:color w:val="000000" w:themeColor="text1"/>
          <w:sz w:val="24"/>
          <w:szCs w:val="24"/>
        </w:rPr>
        <w:t>tyre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për zbatimin e parashikimeve të këtij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ligji për projektimin ekologjik</w:t>
      </w:r>
      <w:r w:rsidR="00C47D66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përgjatë gjithë ciklit të jetës së produktit.</w:t>
      </w:r>
      <w:r w:rsidR="00DB2ED7" w:rsidRPr="00A9732E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2E615AD6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825791" w14:textId="257AF692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6</w:t>
      </w:r>
    </w:p>
    <w:p w14:paraId="79520159" w14:textId="77777777" w:rsidR="0010128C" w:rsidRPr="00A9732E" w:rsidRDefault="0010128C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1664758" w14:textId="15BFEEF1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Në nenin 14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>, pika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1,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pas shkronjës “ë” shtohet shkronja “f” me këtë përmbajtje: </w:t>
      </w:r>
    </w:p>
    <w:p w14:paraId="3BCBC380" w14:textId="03B75D0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“f) për shkelje të parashikimeve të këtij ligji për projektimin ekologjik dhe akt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>eve nënligjore në zbatim të tij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me gjobë në masën 350 000 lekë”.</w:t>
      </w:r>
    </w:p>
    <w:p w14:paraId="1317D8C0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4E2E9A9" w14:textId="4C192464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7B95F315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757342D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17 të ligjit, “Aktet nënligjore”, pas paragrafit të parë shtohen dy paragrafë me këtë përmbajtje: </w:t>
      </w:r>
    </w:p>
    <w:p w14:paraId="48C39D41" w14:textId="55DDC26C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“Ngarkohet Këshilli i Ministrave që brenda 12 muajve të miratojë aktin nënligjor në zbatim të 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nenit 7/1,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pik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2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>, të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 këtij ligji.</w:t>
      </w:r>
    </w:p>
    <w:p w14:paraId="13749CC9" w14:textId="7EBA4F1E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Ngarkohet Këshilli i Ministrave që bazën e të dhënave sipas parashikimeve të 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nenit 6,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pika</w:t>
      </w:r>
      <w:r w:rsidR="00A23057"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ve 6 dhe 7, </w:t>
      </w: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 xml:space="preserve">të ligjit me anëtarësimin e Republikës së Shqipërisë në Bashkimin Evropian ta përputhë plotësisht me kërkesat e akteve ligjore të Bashkimit Evropian në fuqi.”. </w:t>
      </w:r>
    </w:p>
    <w:p w14:paraId="6975013B" w14:textId="77777777" w:rsidR="00DB2ED7" w:rsidRPr="00A9732E" w:rsidRDefault="00DB2ED7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AF7A25" w14:textId="3EC011BB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15EDE750" w14:textId="77777777" w:rsidR="00C47D66" w:rsidRPr="00A9732E" w:rsidRDefault="00C47D66" w:rsidP="00A9732E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62CFA3EE" w14:textId="77777777" w:rsidR="00C47D66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DAA961" w14:textId="2D3F2FC5" w:rsidR="00EE58BB" w:rsidRPr="00A9732E" w:rsidRDefault="00C47D66" w:rsidP="00A973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color w:val="000000" w:themeColor="text1"/>
          <w:sz w:val="24"/>
          <w:szCs w:val="24"/>
        </w:rPr>
        <w:t>Ky ligj hyn në fuqi 15 ditë pas botimit në Fletoren Zyrtare.</w:t>
      </w:r>
    </w:p>
    <w:p w14:paraId="5A924774" w14:textId="77777777" w:rsidR="00DD7DEF" w:rsidRPr="00A9732E" w:rsidRDefault="00DD7DEF" w:rsidP="00A9732E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8CC0089" w14:textId="7BEC97DA" w:rsidR="00976A3C" w:rsidRPr="00A9732E" w:rsidRDefault="00976A3C" w:rsidP="00A9732E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9732E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A9732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C47D66" w:rsidRPr="00A9732E">
        <w:rPr>
          <w:rFonts w:ascii="Garamond" w:hAnsi="Garamond" w:cs="Times New Roman"/>
          <w:bCs/>
          <w:color w:val="000000" w:themeColor="text1"/>
          <w:sz w:val="24"/>
          <w:szCs w:val="24"/>
        </w:rPr>
        <w:t>23.4.</w:t>
      </w:r>
      <w:r w:rsidR="007748A2" w:rsidRPr="00A9732E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A9732E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245FEB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053D67FB" w14:textId="77777777" w:rsidR="008A48E5" w:rsidRPr="00A9732E" w:rsidRDefault="008A48E5" w:rsidP="00A9732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4F303597" w14:textId="3F7EBF1F" w:rsidR="00B40230" w:rsidRDefault="00B40230" w:rsidP="00B40230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314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14.5.</w:t>
      </w:r>
      <w:bookmarkStart w:id="0" w:name="_GoBack"/>
      <w:bookmarkEnd w:id="0"/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6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1FCAC45A" w14:textId="30B29CA5" w:rsidR="00213234" w:rsidRPr="008E4B6B" w:rsidRDefault="00213234" w:rsidP="00B4023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sectPr w:rsidR="00213234" w:rsidRPr="008E4B6B" w:rsidSect="002D201C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23046" w14:textId="77777777" w:rsidR="003662BB" w:rsidRDefault="003662BB" w:rsidP="00420682">
      <w:pPr>
        <w:spacing w:after="0" w:line="240" w:lineRule="auto"/>
      </w:pPr>
      <w:r>
        <w:separator/>
      </w:r>
    </w:p>
  </w:endnote>
  <w:endnote w:type="continuationSeparator" w:id="0">
    <w:p w14:paraId="2A6ED21D" w14:textId="77777777" w:rsidR="003662BB" w:rsidRDefault="003662BB" w:rsidP="00420682">
      <w:pPr>
        <w:spacing w:after="0" w:line="240" w:lineRule="auto"/>
      </w:pPr>
      <w:r>
        <w:continuationSeparator/>
      </w:r>
    </w:p>
  </w:endnote>
  <w:endnote w:type="continuationNotice" w:id="1">
    <w:p w14:paraId="4E297CAB" w14:textId="77777777" w:rsidR="003662BB" w:rsidRDefault="003662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21E380F0" w:rsidR="003662BB" w:rsidRDefault="003662B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3662BB" w:rsidRDefault="00366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5B438" w14:textId="77777777" w:rsidR="003662BB" w:rsidRDefault="003662BB" w:rsidP="00420682">
      <w:pPr>
        <w:spacing w:after="0" w:line="240" w:lineRule="auto"/>
      </w:pPr>
      <w:r>
        <w:separator/>
      </w:r>
    </w:p>
  </w:footnote>
  <w:footnote w:type="continuationSeparator" w:id="0">
    <w:p w14:paraId="49A21234" w14:textId="77777777" w:rsidR="003662BB" w:rsidRDefault="003662BB" w:rsidP="00420682">
      <w:pPr>
        <w:spacing w:after="0" w:line="240" w:lineRule="auto"/>
      </w:pPr>
      <w:r>
        <w:continuationSeparator/>
      </w:r>
    </w:p>
  </w:footnote>
  <w:footnote w:type="continuationNotice" w:id="1">
    <w:p w14:paraId="66D295E1" w14:textId="77777777" w:rsidR="003662BB" w:rsidRDefault="003662BB">
      <w:pPr>
        <w:spacing w:after="0" w:line="240" w:lineRule="auto"/>
      </w:pPr>
    </w:p>
  </w:footnote>
  <w:footnote w:id="2">
    <w:p w14:paraId="1DA319AA" w14:textId="677F783F" w:rsidR="003662BB" w:rsidRPr="00A9732E" w:rsidRDefault="003662BB" w:rsidP="00A9732E">
      <w:pPr>
        <w:pStyle w:val="FootnoteText"/>
        <w:jc w:val="both"/>
        <w:rPr>
          <w:rFonts w:ascii="Garamond" w:hAnsi="Garamond"/>
          <w:color w:val="000000" w:themeColor="text1"/>
          <w:lang w:val="sq-AL"/>
        </w:rPr>
      </w:pPr>
      <w:r w:rsidRPr="00A9732E">
        <w:rPr>
          <w:rStyle w:val="FootnoteReference"/>
          <w:rFonts w:ascii="Garamond" w:hAnsi="Garamond"/>
        </w:rPr>
        <w:footnoteRef/>
      </w:r>
      <w:r w:rsidRPr="00A9732E">
        <w:rPr>
          <w:rFonts w:ascii="Garamond" w:hAnsi="Garamond"/>
        </w:rPr>
        <w:t xml:space="preserve"> </w:t>
      </w:r>
      <w:r w:rsidRPr="00A9732E">
        <w:rPr>
          <w:rFonts w:ascii="Garamond" w:eastAsia="Calibri" w:hAnsi="Garamond"/>
          <w:bCs/>
          <w:iCs/>
          <w:color w:val="000000" w:themeColor="text1"/>
          <w:lang w:val="sq-AL"/>
        </w:rPr>
        <w:t xml:space="preserve">Ky ligj është përafruar </w:t>
      </w:r>
      <w:r w:rsidRPr="00A9732E">
        <w:rPr>
          <w:rFonts w:ascii="Garamond" w:eastAsia="Calibri" w:hAnsi="Garamond"/>
          <w:iCs/>
          <w:color w:val="000000" w:themeColor="text1"/>
          <w:lang w:val="sq-AL"/>
        </w:rPr>
        <w:t>pjesërisht</w:t>
      </w:r>
      <w:r w:rsidRPr="00A9732E">
        <w:rPr>
          <w:rFonts w:ascii="Garamond" w:eastAsia="Calibri" w:hAnsi="Garamond"/>
          <w:bCs/>
          <w:iCs/>
          <w:color w:val="000000" w:themeColor="text1"/>
          <w:lang w:val="sq-AL"/>
        </w:rPr>
        <w:t xml:space="preserve"> me Direktivën (BE) 2009/125 të Parlamentit Evropian dhe të Këshillit, datë 21 tetor 2009, “Për përcaktimin e kërkesave për projektimin ekologjik të produkteve me ndikim në energji”. Numri CELEX 32009L0125, Fletorja Zyrtare e Bashkimit Evropian, seria L, nr. 285, datë 31.10.2009, f. 10–35, si dhe pjesërisht me Rregulloren (BE) 2024/1781 të Parlamentit Evropian dhe të Këshillit, datë 13 qershor 2024, “Për përcaktimin e kërkesave për projektimin ekologjik të produkteve të qëndrueshme”. Numri CELEX 32024R1781, Fletorja Zyrtare e Bashkimit Evropian, seria L, nr. 1781, datë 28.6.2024, f. 1</w:t>
      </w:r>
      <w:r>
        <w:rPr>
          <w:rFonts w:ascii="Garamond" w:eastAsia="Calibri" w:hAnsi="Garamond"/>
          <w:bCs/>
          <w:iCs/>
          <w:color w:val="000000" w:themeColor="text1"/>
          <w:lang w:val="sq-AL"/>
        </w:rPr>
        <w:t>–</w:t>
      </w:r>
      <w:r w:rsidRPr="00A9732E">
        <w:rPr>
          <w:rFonts w:ascii="Garamond" w:eastAsia="Calibri" w:hAnsi="Garamond"/>
          <w:bCs/>
          <w:iCs/>
          <w:color w:val="000000" w:themeColor="text1"/>
          <w:lang w:val="sq-AL"/>
        </w:rPr>
        <w:t>89.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37D6"/>
    <w:rsid w:val="000141A5"/>
    <w:rsid w:val="0001561C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60376"/>
    <w:rsid w:val="00072080"/>
    <w:rsid w:val="000765C2"/>
    <w:rsid w:val="00082266"/>
    <w:rsid w:val="000827EC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B614E"/>
    <w:rsid w:val="000D03B4"/>
    <w:rsid w:val="000D199E"/>
    <w:rsid w:val="000D1AC4"/>
    <w:rsid w:val="000E268C"/>
    <w:rsid w:val="000E32F6"/>
    <w:rsid w:val="000E4CA8"/>
    <w:rsid w:val="000E5BA6"/>
    <w:rsid w:val="000F482E"/>
    <w:rsid w:val="0010128C"/>
    <w:rsid w:val="00103828"/>
    <w:rsid w:val="001066CD"/>
    <w:rsid w:val="00106F6D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2638"/>
    <w:rsid w:val="001B796E"/>
    <w:rsid w:val="001C0806"/>
    <w:rsid w:val="001C1A1A"/>
    <w:rsid w:val="001C1E51"/>
    <w:rsid w:val="001C214E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4854"/>
    <w:rsid w:val="0021715D"/>
    <w:rsid w:val="00217DA0"/>
    <w:rsid w:val="00220016"/>
    <w:rsid w:val="00221AAC"/>
    <w:rsid w:val="00223BC9"/>
    <w:rsid w:val="00223F53"/>
    <w:rsid w:val="00224329"/>
    <w:rsid w:val="00225DD1"/>
    <w:rsid w:val="002277B0"/>
    <w:rsid w:val="00231ABC"/>
    <w:rsid w:val="00233280"/>
    <w:rsid w:val="00234BD8"/>
    <w:rsid w:val="0024206A"/>
    <w:rsid w:val="00243B60"/>
    <w:rsid w:val="00245FEB"/>
    <w:rsid w:val="00246B1A"/>
    <w:rsid w:val="00247DF1"/>
    <w:rsid w:val="00250F7F"/>
    <w:rsid w:val="00251245"/>
    <w:rsid w:val="00252CF0"/>
    <w:rsid w:val="0025735E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DDE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513E"/>
    <w:rsid w:val="00336EED"/>
    <w:rsid w:val="00337401"/>
    <w:rsid w:val="003403C8"/>
    <w:rsid w:val="00345A72"/>
    <w:rsid w:val="003547D6"/>
    <w:rsid w:val="00360A25"/>
    <w:rsid w:val="00363075"/>
    <w:rsid w:val="00365BF7"/>
    <w:rsid w:val="003662BB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63CB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17F6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3389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10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41C9"/>
    <w:rsid w:val="006D7505"/>
    <w:rsid w:val="006F0E09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40D9"/>
    <w:rsid w:val="007165B5"/>
    <w:rsid w:val="007217C2"/>
    <w:rsid w:val="007226F5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60420"/>
    <w:rsid w:val="0076056B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18E5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396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1D0B"/>
    <w:rsid w:val="008D3FB7"/>
    <w:rsid w:val="008D4F14"/>
    <w:rsid w:val="008E125A"/>
    <w:rsid w:val="008E4B6B"/>
    <w:rsid w:val="008E7793"/>
    <w:rsid w:val="008E7C0A"/>
    <w:rsid w:val="008F2010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630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D3F70"/>
    <w:rsid w:val="009E259E"/>
    <w:rsid w:val="00A01F1A"/>
    <w:rsid w:val="00A022FB"/>
    <w:rsid w:val="00A06D12"/>
    <w:rsid w:val="00A10B5D"/>
    <w:rsid w:val="00A159CC"/>
    <w:rsid w:val="00A15DE9"/>
    <w:rsid w:val="00A23057"/>
    <w:rsid w:val="00A23827"/>
    <w:rsid w:val="00A27C1F"/>
    <w:rsid w:val="00A32598"/>
    <w:rsid w:val="00A3335C"/>
    <w:rsid w:val="00A34D9D"/>
    <w:rsid w:val="00A35A3F"/>
    <w:rsid w:val="00A36786"/>
    <w:rsid w:val="00A40685"/>
    <w:rsid w:val="00A41CE5"/>
    <w:rsid w:val="00A431DD"/>
    <w:rsid w:val="00A510CF"/>
    <w:rsid w:val="00A528C3"/>
    <w:rsid w:val="00A5415E"/>
    <w:rsid w:val="00A561B4"/>
    <w:rsid w:val="00A645A6"/>
    <w:rsid w:val="00A7382D"/>
    <w:rsid w:val="00A75385"/>
    <w:rsid w:val="00A7761C"/>
    <w:rsid w:val="00A9732E"/>
    <w:rsid w:val="00A97B73"/>
    <w:rsid w:val="00AA0D1D"/>
    <w:rsid w:val="00AA1E07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78"/>
    <w:rsid w:val="00B03A16"/>
    <w:rsid w:val="00B05FAF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0230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47D66"/>
    <w:rsid w:val="00C5239D"/>
    <w:rsid w:val="00C53EBB"/>
    <w:rsid w:val="00C60CAD"/>
    <w:rsid w:val="00C64341"/>
    <w:rsid w:val="00C6446D"/>
    <w:rsid w:val="00C6573D"/>
    <w:rsid w:val="00C70AA0"/>
    <w:rsid w:val="00C70D94"/>
    <w:rsid w:val="00C71734"/>
    <w:rsid w:val="00C74B4C"/>
    <w:rsid w:val="00C74DD9"/>
    <w:rsid w:val="00C751AA"/>
    <w:rsid w:val="00C772E6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03A00"/>
    <w:rsid w:val="00D127E2"/>
    <w:rsid w:val="00D23C4B"/>
    <w:rsid w:val="00D24B56"/>
    <w:rsid w:val="00D3110D"/>
    <w:rsid w:val="00D33144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72AD"/>
    <w:rsid w:val="00DB2ED7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6680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9C6"/>
    <w:rsid w:val="00EC25C5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3059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9591F"/>
    <w:rsid w:val="00FA02A3"/>
    <w:rsid w:val="00FA0571"/>
    <w:rsid w:val="00FA065B"/>
    <w:rsid w:val="00FA3199"/>
    <w:rsid w:val="00FA3C0E"/>
    <w:rsid w:val="00FA52FE"/>
    <w:rsid w:val="00FA6AD5"/>
    <w:rsid w:val="00FB1AE5"/>
    <w:rsid w:val="00FB2FEC"/>
    <w:rsid w:val="00FB4F69"/>
    <w:rsid w:val="00FB5CED"/>
    <w:rsid w:val="00FB742A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949DCEF124439868956703597E0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2026-05-19T08:30:06Z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disa ndryshime dhe shtesa në ligjin nr. 52/2024, “Për etiketimin e produkteve me ndikim në energji”</Titulli>
    <Modifikuesi xmlns="0e656187-b300-4fb0-8bf4-3a50f872073c">alma.lisaku</Modifikuesi>
    <Nr_x002e__x0020_prot_x0020_QBZ xmlns="0e656187-b300-4fb0-8bf4-3a50f872073c">1123/1</Nr_x002e__x0020_prot_x0020_QBZ>
    <Data_x0020_e_x0020_Modifikimit xmlns="0e656187-b300-4fb0-8bf4-3a50f872073c">2026-05-19T09:21:54Z</Data_x0020_e_x0020_Modifikimit>
    <Dekretuar xmlns="0e656187-b300-4fb0-8bf4-3a50f872073c">false</Dekretuar>
    <Data xmlns="0e656187-b300-4fb0-8bf4-3a50f872073c">2026-04-23T00:00:00Z</Data>
    <Nr_x002e__x0020_protokolli_x0020_i_x0020_aktit xmlns="0e656187-b300-4fb0-8bf4-3a50f872073c">2022/5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949DCEF124439868956703597E0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6BCB9-38B0-4A82-BCB7-E0798E4F9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1EFD32-AE1F-46AA-9CF6-B1FF58C4D6C5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F6DAA87-4B4A-4D59-9D10-E59224484D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8C152E-B535-4355-A0FC-F2CD7502FA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CE6B75-8027-4769-945B-2620DA02D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81C26E-9F5D-427E-A791-488F21C9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52/2024, “Për etiketimin e produkteve me ndikim në energji”</vt:lpstr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52/2024, “Për etiketimin e produkteve me ndikim në energji”</dc:title>
  <dc:creator>gazmend.hanku</dc:creator>
  <cp:lastModifiedBy>Amarilda Muja</cp:lastModifiedBy>
  <cp:revision>14</cp:revision>
  <cp:lastPrinted>2026-05-04T08:58:00Z</cp:lastPrinted>
  <dcterms:created xsi:type="dcterms:W3CDTF">2026-05-18T11:53:00Z</dcterms:created>
  <dcterms:modified xsi:type="dcterms:W3CDTF">2026-05-19T08:52:00Z</dcterms:modified>
</cp:coreProperties>
</file>