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FE55" w14:textId="722DCCF3" w:rsidR="00747EBE" w:rsidRPr="00455947" w:rsidRDefault="00747EBE" w:rsidP="002167CB">
      <w:pPr>
        <w:widowControl/>
        <w:autoSpaceDE/>
        <w:autoSpaceDN/>
        <w:ind w:firstLine="284"/>
        <w:jc w:val="center"/>
        <w:rPr>
          <w:rFonts w:ascii="Garamond" w:eastAsia="Calibri" w:hAnsi="Garamond"/>
          <w:b/>
          <w:color w:val="000000"/>
          <w:sz w:val="24"/>
          <w:szCs w:val="24"/>
        </w:rPr>
      </w:pPr>
      <w:r w:rsidRPr="00455947">
        <w:rPr>
          <w:rFonts w:ascii="Garamond" w:eastAsia="Calibri" w:hAnsi="Garamond"/>
          <w:b/>
          <w:color w:val="000000"/>
          <w:sz w:val="24"/>
          <w:szCs w:val="24"/>
        </w:rPr>
        <w:t>LIGJ</w:t>
      </w:r>
    </w:p>
    <w:p w14:paraId="51C58113" w14:textId="1EC64327" w:rsidR="00B853AE" w:rsidRPr="00455947" w:rsidRDefault="00B853AE" w:rsidP="002167CB">
      <w:pPr>
        <w:widowControl/>
        <w:autoSpaceDE/>
        <w:autoSpaceDN/>
        <w:ind w:firstLine="284"/>
        <w:jc w:val="center"/>
        <w:rPr>
          <w:rFonts w:ascii="Garamond" w:eastAsia="Calibri" w:hAnsi="Garamond"/>
          <w:b/>
          <w:color w:val="000000"/>
          <w:sz w:val="24"/>
          <w:szCs w:val="24"/>
        </w:rPr>
      </w:pPr>
      <w:r w:rsidRPr="00455947">
        <w:rPr>
          <w:rFonts w:ascii="Garamond" w:eastAsia="Calibri" w:hAnsi="Garamond"/>
          <w:b/>
          <w:color w:val="000000"/>
          <w:sz w:val="24"/>
          <w:szCs w:val="24"/>
        </w:rPr>
        <w:t>N</w:t>
      </w:r>
      <w:r w:rsidR="00CB26EB" w:rsidRPr="00455947">
        <w:rPr>
          <w:rFonts w:ascii="Garamond" w:eastAsia="Calibri" w:hAnsi="Garamond"/>
          <w:b/>
          <w:color w:val="000000"/>
          <w:sz w:val="24"/>
          <w:szCs w:val="24"/>
        </w:rPr>
        <w:t>r</w:t>
      </w:r>
      <w:r w:rsidRPr="00455947">
        <w:rPr>
          <w:rFonts w:ascii="Garamond" w:eastAsia="Calibri" w:hAnsi="Garamond"/>
          <w:b/>
          <w:color w:val="000000"/>
          <w:sz w:val="24"/>
          <w:szCs w:val="24"/>
        </w:rPr>
        <w:t xml:space="preserve">. </w:t>
      </w:r>
      <w:r w:rsidR="002F3536" w:rsidRPr="00455947">
        <w:rPr>
          <w:rFonts w:ascii="Garamond" w:eastAsia="Calibri" w:hAnsi="Garamond"/>
          <w:b/>
          <w:color w:val="000000"/>
          <w:sz w:val="24"/>
          <w:szCs w:val="24"/>
        </w:rPr>
        <w:t>57</w:t>
      </w:r>
      <w:r w:rsidR="00CB26EB" w:rsidRPr="00455947">
        <w:rPr>
          <w:rFonts w:ascii="Garamond" w:eastAsia="Calibri" w:hAnsi="Garamond"/>
          <w:b/>
          <w:color w:val="000000"/>
          <w:sz w:val="24"/>
          <w:szCs w:val="24"/>
        </w:rPr>
        <w:t>/2026</w:t>
      </w:r>
    </w:p>
    <w:p w14:paraId="28AA50B6"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28E730B5"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PËR DHËNIE AMNISTIE</w:t>
      </w:r>
    </w:p>
    <w:p w14:paraId="48445A62" w14:textId="77777777" w:rsidR="00747EBE" w:rsidRPr="00455947" w:rsidRDefault="00747EBE" w:rsidP="002167CB">
      <w:pPr>
        <w:widowControl/>
        <w:autoSpaceDE/>
        <w:autoSpaceDN/>
        <w:ind w:firstLine="284"/>
        <w:jc w:val="both"/>
        <w:rPr>
          <w:rFonts w:ascii="Garamond" w:eastAsia="Calibri" w:hAnsi="Garamond"/>
          <w:b/>
          <w:bCs/>
          <w:color w:val="000000"/>
          <w:sz w:val="24"/>
          <w:szCs w:val="24"/>
        </w:rPr>
      </w:pPr>
    </w:p>
    <w:p w14:paraId="014C3826" w14:textId="7777777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Në mbështetje të neneve 81, pikat 1 e 2, shkronja “ë”, dhe 83, pika 1, të Kushtetutës, me propozimin e Këshillit të Ministrave, </w:t>
      </w:r>
    </w:p>
    <w:p w14:paraId="6412B569"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241FEF5A" w14:textId="38D28250" w:rsidR="00747EBE" w:rsidRPr="00455947" w:rsidRDefault="00747EBE" w:rsidP="00455947">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KUVENDI</w:t>
      </w:r>
    </w:p>
    <w:p w14:paraId="782E14ED"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I REPUBLIKËS SË SHQIPËRISË</w:t>
      </w:r>
    </w:p>
    <w:p w14:paraId="1AE5C202"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p>
    <w:p w14:paraId="7B508E94" w14:textId="720C80D3"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VENDOSI:</w:t>
      </w:r>
    </w:p>
    <w:p w14:paraId="5C7ACB62"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p>
    <w:p w14:paraId="6DD9661C"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1</w:t>
      </w:r>
    </w:p>
    <w:p w14:paraId="5624A773"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Qëllimi dhe parimet e ligjit</w:t>
      </w:r>
    </w:p>
    <w:p w14:paraId="5738BDD8"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36D7E3DB" w14:textId="27C2850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1. Qëllimi i këtij ligji është </w:t>
      </w:r>
      <w:r w:rsidR="0099241E" w:rsidRPr="00455947">
        <w:rPr>
          <w:rFonts w:ascii="Garamond" w:eastAsia="Calibri" w:hAnsi="Garamond"/>
          <w:color w:val="000000" w:themeColor="text1"/>
          <w:sz w:val="24"/>
          <w:szCs w:val="24"/>
        </w:rPr>
        <w:t xml:space="preserve">përjashtimi </w:t>
      </w:r>
      <w:r w:rsidRPr="00455947">
        <w:rPr>
          <w:rFonts w:ascii="Garamond" w:eastAsia="Calibri" w:hAnsi="Garamond"/>
          <w:color w:val="000000"/>
          <w:sz w:val="24"/>
          <w:szCs w:val="24"/>
        </w:rPr>
        <w:t xml:space="preserve">nga vuajtja e dënimit dhe ndjekja penale, tërësisht ose pjesërisht, </w:t>
      </w:r>
      <w:r w:rsidR="0099241E" w:rsidRPr="00455947">
        <w:rPr>
          <w:rFonts w:ascii="Garamond" w:eastAsia="Calibri" w:hAnsi="Garamond"/>
          <w:color w:val="000000"/>
          <w:sz w:val="24"/>
          <w:szCs w:val="24"/>
        </w:rPr>
        <w:t xml:space="preserve">i </w:t>
      </w:r>
      <w:r w:rsidRPr="00455947">
        <w:rPr>
          <w:rFonts w:ascii="Garamond" w:eastAsia="Calibri" w:hAnsi="Garamond"/>
          <w:color w:val="000000"/>
          <w:sz w:val="24"/>
          <w:szCs w:val="24"/>
        </w:rPr>
        <w:t>të gjithë persona</w:t>
      </w:r>
      <w:r w:rsidR="0099241E" w:rsidRPr="00455947">
        <w:rPr>
          <w:rFonts w:ascii="Garamond" w:eastAsia="Calibri" w:hAnsi="Garamond"/>
          <w:color w:val="000000"/>
          <w:sz w:val="24"/>
          <w:szCs w:val="24"/>
        </w:rPr>
        <w:t>ve</w:t>
      </w:r>
      <w:r w:rsidRPr="00455947">
        <w:rPr>
          <w:rFonts w:ascii="Garamond" w:eastAsia="Calibri" w:hAnsi="Garamond"/>
          <w:color w:val="000000"/>
          <w:sz w:val="24"/>
          <w:szCs w:val="24"/>
        </w:rPr>
        <w:t xml:space="preserve"> që plotësojnë kriteret sipas dispozitave të këtij ligji.</w:t>
      </w:r>
    </w:p>
    <w:p w14:paraId="134D20FA" w14:textId="6C75FDD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2. Dhënia e amnistisë sipas këtij ligji udhëhiqet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nga:</w:t>
      </w:r>
    </w:p>
    <w:p w14:paraId="10F6D730" w14:textId="490D8D61"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a) parimi i humanizmit;</w:t>
      </w:r>
    </w:p>
    <w:p w14:paraId="68AA0109" w14:textId="27F5A3A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b) arritja e qëllimit të dënimit;</w:t>
      </w:r>
    </w:p>
    <w:p w14:paraId="5CF6A3BD" w14:textId="1593CFE1"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c) rrezikshmëria e ulët e personave që amnistohen; </w:t>
      </w:r>
    </w:p>
    <w:p w14:paraId="7CF471F5" w14:textId="6462B354"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ç) edukimi dhe rehabilitimi;</w:t>
      </w:r>
      <w:r w:rsidR="00455947" w:rsidRPr="00455947">
        <w:rPr>
          <w:rFonts w:ascii="Garamond" w:eastAsia="Calibri" w:hAnsi="Garamond"/>
          <w:color w:val="000000"/>
          <w:sz w:val="24"/>
          <w:szCs w:val="24"/>
        </w:rPr>
        <w:t xml:space="preserve"> </w:t>
      </w:r>
    </w:p>
    <w:p w14:paraId="48C4BE36" w14:textId="61808C78"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d) mbrojtja e interesit publik; </w:t>
      </w:r>
    </w:p>
    <w:p w14:paraId="3EC20159" w14:textId="7BEA72AF"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dh)</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dhënia e mundësisë së integrimit më të lehtë dhe më të shpejtë të </w:t>
      </w:r>
      <w:proofErr w:type="spellStart"/>
      <w:r w:rsidRPr="00455947">
        <w:rPr>
          <w:rFonts w:ascii="Garamond" w:eastAsia="Calibri" w:hAnsi="Garamond"/>
          <w:color w:val="000000"/>
          <w:sz w:val="24"/>
          <w:szCs w:val="24"/>
        </w:rPr>
        <w:t>të</w:t>
      </w:r>
      <w:proofErr w:type="spellEnd"/>
      <w:r w:rsidRPr="00455947">
        <w:rPr>
          <w:rFonts w:ascii="Garamond" w:eastAsia="Calibri" w:hAnsi="Garamond"/>
          <w:color w:val="000000"/>
          <w:sz w:val="24"/>
          <w:szCs w:val="24"/>
        </w:rPr>
        <w:t xml:space="preserve"> dënuarve të</w:t>
      </w:r>
      <w:r w:rsidR="00455947"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mitur dhe gra;</w:t>
      </w:r>
    </w:p>
    <w:p w14:paraId="33BA841B" w14:textId="1B99BF4C"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e) rritja e </w:t>
      </w:r>
      <w:proofErr w:type="spellStart"/>
      <w:r w:rsidRPr="00455947">
        <w:rPr>
          <w:rFonts w:ascii="Garamond" w:eastAsia="Calibri" w:hAnsi="Garamond"/>
          <w:color w:val="000000"/>
          <w:sz w:val="24"/>
          <w:szCs w:val="24"/>
        </w:rPr>
        <w:t>eficiencës</w:t>
      </w:r>
      <w:proofErr w:type="spellEnd"/>
      <w:r w:rsidRPr="00455947">
        <w:rPr>
          <w:rFonts w:ascii="Garamond" w:eastAsia="Calibri" w:hAnsi="Garamond"/>
          <w:color w:val="000000"/>
          <w:sz w:val="24"/>
          <w:szCs w:val="24"/>
        </w:rPr>
        <w:t xml:space="preserve"> në sistemin e drejtësisë;</w:t>
      </w:r>
    </w:p>
    <w:p w14:paraId="156AD24F" w14:textId="744C8911"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ë) mbrojtja e interesit më të lartë të fëmijës.</w:t>
      </w:r>
    </w:p>
    <w:p w14:paraId="3E12D3A7"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734E74EC"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2</w:t>
      </w:r>
    </w:p>
    <w:p w14:paraId="284F5736"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Përkufizime</w:t>
      </w:r>
    </w:p>
    <w:p w14:paraId="06D17E99"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2DF26E1A" w14:textId="2E69B6F1"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Në këtë ligj termat</w:t>
      </w:r>
      <w:r w:rsidR="00455947">
        <w:rPr>
          <w:rFonts w:ascii="Garamond" w:eastAsia="Calibri" w:hAnsi="Garamond"/>
          <w:color w:val="000000"/>
          <w:sz w:val="24"/>
          <w:szCs w:val="24"/>
        </w:rPr>
        <w:t xml:space="preserve"> e mëposhtëm kanë këto kuptime:</w:t>
      </w:r>
    </w:p>
    <w:p w14:paraId="4876AFF7" w14:textId="60A56D9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1.</w:t>
      </w:r>
      <w:r w:rsidR="001E626D"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“I dënuar” konsiderohet:</w:t>
      </w:r>
    </w:p>
    <w:p w14:paraId="0C496C61" w14:textId="4569F99F"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a)</w:t>
      </w:r>
      <w:r w:rsidR="001E626D"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personi i dënuar nga gjykatat e shkallës së parë të juridiksionit të përgjithshëm dhe gjykatat e shkallës së parë kundër korrupsionit dhe krimit të organizuar dhe që brenda afatit ligjor nuk është bërë ankim ose ankimi nuk është pranuar në gjykatat përkatëse të apelit, duke marrë formë të prerë brenda datës 31</w:t>
      </w:r>
      <w:r w:rsidR="00560529" w:rsidRPr="00455947">
        <w:rPr>
          <w:rFonts w:ascii="Garamond" w:eastAsia="Calibri" w:hAnsi="Garamond"/>
          <w:color w:val="000000"/>
          <w:sz w:val="24"/>
          <w:szCs w:val="24"/>
        </w:rPr>
        <w:t>.5</w:t>
      </w:r>
      <w:r w:rsidRPr="00455947">
        <w:rPr>
          <w:rFonts w:ascii="Garamond" w:eastAsia="Calibri" w:hAnsi="Garamond"/>
          <w:color w:val="000000"/>
          <w:sz w:val="24"/>
          <w:szCs w:val="24"/>
        </w:rPr>
        <w:t>.202</w:t>
      </w:r>
      <w:r w:rsidR="00560529" w:rsidRPr="00455947">
        <w:rPr>
          <w:rFonts w:ascii="Garamond" w:eastAsia="Calibri" w:hAnsi="Garamond"/>
          <w:color w:val="000000"/>
          <w:sz w:val="24"/>
          <w:szCs w:val="24"/>
        </w:rPr>
        <w:t>6</w:t>
      </w:r>
      <w:r w:rsidR="00793624" w:rsidRPr="00455947">
        <w:rPr>
          <w:rFonts w:ascii="Garamond" w:eastAsia="Calibri" w:hAnsi="Garamond"/>
          <w:color w:val="000000"/>
          <w:sz w:val="24"/>
          <w:szCs w:val="24"/>
        </w:rPr>
        <w:t xml:space="preserve">, </w:t>
      </w:r>
      <w:r w:rsidR="00301774" w:rsidRPr="00455947">
        <w:rPr>
          <w:rFonts w:ascii="Garamond" w:hAnsi="Garamond"/>
          <w:sz w:val="24"/>
          <w:szCs w:val="24"/>
        </w:rPr>
        <w:t>pavarësisht nga data e zbardhjes së vendimit gjyqësor të formës së prerë të gjykatës</w:t>
      </w:r>
      <w:r w:rsidR="00793624" w:rsidRPr="00455947">
        <w:rPr>
          <w:rFonts w:ascii="Garamond" w:hAnsi="Garamond"/>
          <w:sz w:val="24"/>
          <w:szCs w:val="24"/>
        </w:rPr>
        <w:t>;</w:t>
      </w:r>
    </w:p>
    <w:p w14:paraId="77CF69F3" w14:textId="2238F24A"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b)</w:t>
      </w:r>
      <w:r w:rsidR="001E626D"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personi i dënuar deri në datën 31.</w:t>
      </w:r>
      <w:r w:rsidR="00793624" w:rsidRPr="00455947">
        <w:rPr>
          <w:rFonts w:ascii="Garamond" w:eastAsia="Calibri" w:hAnsi="Garamond"/>
          <w:color w:val="000000"/>
          <w:sz w:val="24"/>
          <w:szCs w:val="24"/>
        </w:rPr>
        <w:t>5</w:t>
      </w:r>
      <w:r w:rsidRPr="00455947">
        <w:rPr>
          <w:rFonts w:ascii="Garamond" w:eastAsia="Calibri" w:hAnsi="Garamond"/>
          <w:color w:val="000000"/>
          <w:sz w:val="24"/>
          <w:szCs w:val="24"/>
        </w:rPr>
        <w:t>.202</w:t>
      </w:r>
      <w:r w:rsidR="00793624" w:rsidRPr="00455947">
        <w:rPr>
          <w:rFonts w:ascii="Garamond" w:eastAsia="Calibri" w:hAnsi="Garamond"/>
          <w:color w:val="000000"/>
          <w:sz w:val="24"/>
          <w:szCs w:val="24"/>
        </w:rPr>
        <w:t xml:space="preserve">6, </w:t>
      </w:r>
      <w:r w:rsidR="00301774" w:rsidRPr="00455947">
        <w:rPr>
          <w:rFonts w:ascii="Garamond" w:hAnsi="Garamond"/>
          <w:sz w:val="24"/>
          <w:szCs w:val="24"/>
        </w:rPr>
        <w:t>pavarësisht nga data e zbardhjes së vendimit gjyqësor të formës së prerë të gjykatës</w:t>
      </w:r>
      <w:r w:rsidR="00301774"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nga gjykatat e apelit të juridiksionit të përgjithshëm dhe Gjykata e Apelit kundër Korrupsionit dhe Krimit të Organizuar;</w:t>
      </w:r>
    </w:p>
    <w:p w14:paraId="6B208FA1" w14:textId="289C0488"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c)</w:t>
      </w:r>
      <w:r w:rsidR="001E626D"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personi i dënuar deri në datën 31.</w:t>
      </w:r>
      <w:r w:rsidR="00793624" w:rsidRPr="00455947">
        <w:rPr>
          <w:rFonts w:ascii="Garamond" w:eastAsia="Calibri" w:hAnsi="Garamond"/>
          <w:color w:val="000000"/>
          <w:sz w:val="24"/>
          <w:szCs w:val="24"/>
        </w:rPr>
        <w:t>5</w:t>
      </w:r>
      <w:r w:rsidRPr="00455947">
        <w:rPr>
          <w:rFonts w:ascii="Garamond" w:eastAsia="Calibri" w:hAnsi="Garamond"/>
          <w:color w:val="000000"/>
          <w:sz w:val="24"/>
          <w:szCs w:val="24"/>
        </w:rPr>
        <w:t>.202</w:t>
      </w:r>
      <w:r w:rsidR="00793624" w:rsidRPr="00455947">
        <w:rPr>
          <w:rFonts w:ascii="Garamond" w:eastAsia="Calibri" w:hAnsi="Garamond"/>
          <w:color w:val="000000"/>
          <w:sz w:val="24"/>
          <w:szCs w:val="24"/>
        </w:rPr>
        <w:t>6</w:t>
      </w:r>
      <w:r w:rsidR="00455947">
        <w:rPr>
          <w:rFonts w:ascii="Garamond" w:eastAsia="Calibri" w:hAnsi="Garamond"/>
          <w:color w:val="000000"/>
          <w:sz w:val="24"/>
          <w:szCs w:val="24"/>
        </w:rPr>
        <w:t>,</w:t>
      </w:r>
      <w:r w:rsidR="00301774"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kur Gjykata e Lartë ka vendosur prishjen e vendimit të gjykatës së apelit dhe lënien në fuqi të vendimit të gjykatës së shkallës së parë, si dhe personi i dënuar nga Gjykata e Lartë kur kjo gjykatë ka vendosur ndryshimin e vendimeve të gjykatës së apelit dhe të gjykatës së shkallës së parë deri në datën 31.</w:t>
      </w:r>
      <w:r w:rsidR="00793624" w:rsidRPr="00455947">
        <w:rPr>
          <w:rFonts w:ascii="Garamond" w:eastAsia="Calibri" w:hAnsi="Garamond"/>
          <w:color w:val="000000"/>
          <w:sz w:val="24"/>
          <w:szCs w:val="24"/>
        </w:rPr>
        <w:t>5</w:t>
      </w:r>
      <w:r w:rsidRPr="00455947">
        <w:rPr>
          <w:rFonts w:ascii="Garamond" w:eastAsia="Calibri" w:hAnsi="Garamond"/>
          <w:color w:val="000000"/>
          <w:sz w:val="24"/>
          <w:szCs w:val="24"/>
        </w:rPr>
        <w:t>.202</w:t>
      </w:r>
      <w:r w:rsidR="00793624" w:rsidRPr="00455947">
        <w:rPr>
          <w:rFonts w:ascii="Garamond" w:eastAsia="Calibri" w:hAnsi="Garamond"/>
          <w:color w:val="000000"/>
          <w:sz w:val="24"/>
          <w:szCs w:val="24"/>
        </w:rPr>
        <w:t>6</w:t>
      </w:r>
      <w:r w:rsidR="0001564D" w:rsidRPr="00455947">
        <w:rPr>
          <w:rFonts w:ascii="Garamond" w:eastAsia="Calibri" w:hAnsi="Garamond"/>
          <w:color w:val="000000"/>
          <w:sz w:val="24"/>
          <w:szCs w:val="24"/>
        </w:rPr>
        <w:t>,</w:t>
      </w:r>
      <w:r w:rsidR="0001564D" w:rsidRPr="00455947">
        <w:rPr>
          <w:rFonts w:ascii="Garamond" w:hAnsi="Garamond"/>
          <w:sz w:val="24"/>
          <w:szCs w:val="24"/>
        </w:rPr>
        <w:t xml:space="preserve"> pavarësisht nga data e zbardhjes së vendimit gjyqësor të formës së prerë të gjykatës</w:t>
      </w:r>
    </w:p>
    <w:p w14:paraId="5B32F32C" w14:textId="7777777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2. “Person që i është shmangur drejtësisë” është personi i fshehur, i arratisur ose i ikur, i cili, megjithëse ka dijeni, i shmanget me vullnet procedimit penal, zbatimit të masave të sigurimit ose ekzekutimit të vendimit gjyqësor të formës së prerë të dënimit.</w:t>
      </w:r>
    </w:p>
    <w:p w14:paraId="4CA7B72D"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592B0B2B"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3</w:t>
      </w:r>
    </w:p>
    <w:p w14:paraId="4F32CB43"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Kriteret për përfitimin e amnistisë nga vuajtja e dënimit</w:t>
      </w:r>
    </w:p>
    <w:p w14:paraId="6AAC95D7"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79FD4466" w14:textId="50EB36C8"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lastRenderedPageBreak/>
        <w:t>1.</w:t>
      </w:r>
      <w:r w:rsidR="00DA3245"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Përjashtohen nga vuajtja e dënimit: </w:t>
      </w:r>
    </w:p>
    <w:p w14:paraId="04360175" w14:textId="3BC18829"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a)</w:t>
      </w:r>
      <w:r w:rsidR="00DA3245"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burra, dënuar me vendim gjyqësor të formës së prerë, me burgim deri në 3 vjet ose çdo lloj dënimi tjetër më të butë, duke përfshirë gjobën ose një nga llojet e alternativave të dënimit me burgim, për dënime të dhëna deri në datën 31.</w:t>
      </w:r>
      <w:r w:rsidR="00793624" w:rsidRPr="00455947">
        <w:rPr>
          <w:rFonts w:ascii="Garamond" w:eastAsia="Calibri" w:hAnsi="Garamond"/>
          <w:color w:val="000000"/>
          <w:sz w:val="24"/>
          <w:szCs w:val="24"/>
        </w:rPr>
        <w:t>5</w:t>
      </w:r>
      <w:r w:rsidRPr="00455947">
        <w:rPr>
          <w:rFonts w:ascii="Garamond" w:eastAsia="Calibri" w:hAnsi="Garamond"/>
          <w:color w:val="000000"/>
          <w:sz w:val="24"/>
          <w:szCs w:val="24"/>
        </w:rPr>
        <w:t>.202</w:t>
      </w:r>
      <w:r w:rsidR="00793624" w:rsidRPr="00455947">
        <w:rPr>
          <w:rFonts w:ascii="Garamond" w:eastAsia="Calibri" w:hAnsi="Garamond"/>
          <w:color w:val="000000"/>
          <w:sz w:val="24"/>
          <w:szCs w:val="24"/>
        </w:rPr>
        <w:t>6</w:t>
      </w:r>
      <w:r w:rsidRPr="00455947">
        <w:rPr>
          <w:rFonts w:ascii="Garamond" w:eastAsia="Calibri" w:hAnsi="Garamond"/>
          <w:color w:val="000000"/>
          <w:sz w:val="24"/>
          <w:szCs w:val="24"/>
        </w:rPr>
        <w:t>, pavarësisht nga koha e mbetur nga dënimi;</w:t>
      </w:r>
      <w:r w:rsidR="00455947" w:rsidRPr="00455947">
        <w:rPr>
          <w:rFonts w:ascii="Garamond" w:eastAsia="Calibri" w:hAnsi="Garamond"/>
          <w:color w:val="000000"/>
          <w:sz w:val="24"/>
          <w:szCs w:val="24"/>
        </w:rPr>
        <w:t xml:space="preserve"> </w:t>
      </w:r>
    </w:p>
    <w:p w14:paraId="26E2977C" w14:textId="51148AE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b)</w:t>
      </w:r>
      <w:r w:rsidR="00DA3245"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gra, dënuar me vendim gjyqësor të formës së prerë, me burgim deri në 4 vjet ose çdo lloj dënimi tjetër më të butë, duke përfshirë gjobën ose një nga llojet e alternativave të dënimit me burgim, për dënime të dhëna deri në datën 31.</w:t>
      </w:r>
      <w:r w:rsidR="00793624" w:rsidRPr="00455947">
        <w:rPr>
          <w:rFonts w:ascii="Garamond" w:eastAsia="Calibri" w:hAnsi="Garamond"/>
          <w:color w:val="000000"/>
          <w:sz w:val="24"/>
          <w:szCs w:val="24"/>
        </w:rPr>
        <w:t>5</w:t>
      </w:r>
      <w:r w:rsidRPr="00455947">
        <w:rPr>
          <w:rFonts w:ascii="Garamond" w:eastAsia="Calibri" w:hAnsi="Garamond"/>
          <w:color w:val="000000"/>
          <w:sz w:val="24"/>
          <w:szCs w:val="24"/>
        </w:rPr>
        <w:t>.202</w:t>
      </w:r>
      <w:r w:rsidR="00793624" w:rsidRPr="00455947">
        <w:rPr>
          <w:rFonts w:ascii="Garamond" w:eastAsia="Calibri" w:hAnsi="Garamond"/>
          <w:color w:val="000000"/>
          <w:sz w:val="24"/>
          <w:szCs w:val="24"/>
        </w:rPr>
        <w:t>6</w:t>
      </w:r>
      <w:r w:rsidRPr="00455947">
        <w:rPr>
          <w:rFonts w:ascii="Garamond" w:eastAsia="Calibri" w:hAnsi="Garamond"/>
          <w:color w:val="000000"/>
          <w:sz w:val="24"/>
          <w:szCs w:val="24"/>
        </w:rPr>
        <w:t xml:space="preserve">, pavarësisht nga koha e mbetur nga dënimi; </w:t>
      </w:r>
    </w:p>
    <w:p w14:paraId="5DDA2971" w14:textId="042DEDDB"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c)</w:t>
      </w:r>
      <w:r w:rsidR="00DA3245"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burra, dënuar me burgim, të cilëve deri në datën e hyrjes në fuqi të këtij ligji u ka mbetur pa vuajtur nga ky dënim deri në 3 vjet;</w:t>
      </w:r>
      <w:r w:rsidR="00455947" w:rsidRPr="00455947">
        <w:rPr>
          <w:rFonts w:ascii="Garamond" w:eastAsia="Calibri" w:hAnsi="Garamond"/>
          <w:color w:val="000000"/>
          <w:sz w:val="24"/>
          <w:szCs w:val="24"/>
        </w:rPr>
        <w:t xml:space="preserve"> </w:t>
      </w:r>
    </w:p>
    <w:p w14:paraId="1574B323" w14:textId="4021082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ç)</w:t>
      </w:r>
      <w:r w:rsidR="00DA3245"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gra, dënuar me burgim, të cilave deri në datën e hyrjes në fuqi të këtij ligji u ka mbetur pa vuajtur nga ky dënim deri në 4 vjet;</w:t>
      </w:r>
      <w:r w:rsidR="00455947" w:rsidRPr="00455947">
        <w:rPr>
          <w:rFonts w:ascii="Garamond" w:eastAsia="Calibri" w:hAnsi="Garamond"/>
          <w:color w:val="000000"/>
          <w:sz w:val="24"/>
          <w:szCs w:val="24"/>
        </w:rPr>
        <w:t xml:space="preserve"> </w:t>
      </w:r>
    </w:p>
    <w:p w14:paraId="39090C73" w14:textId="648F674E"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d)</w:t>
      </w:r>
      <w:r w:rsidR="00DA3245"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e dënuar burra, të cilët</w:t>
      </w:r>
      <w:r w:rsidR="00C10FB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në datën e hyrjes në fuqi të këtij ligji janë baras ose mbi moshën 60 vjeç;</w:t>
      </w:r>
      <w:r w:rsidR="00455947" w:rsidRPr="00455947">
        <w:rPr>
          <w:rFonts w:ascii="Garamond" w:eastAsia="Calibri" w:hAnsi="Garamond"/>
          <w:color w:val="000000"/>
          <w:sz w:val="24"/>
          <w:szCs w:val="24"/>
        </w:rPr>
        <w:t xml:space="preserve"> </w:t>
      </w:r>
    </w:p>
    <w:p w14:paraId="2B2F5D3D" w14:textId="001757F3"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dh)</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personat e dënuar gra, të cilat në datën e hyrjes në fuqi të këtij ligji janë baras ose mbi moshën 50 vjeç; </w:t>
      </w:r>
    </w:p>
    <w:p w14:paraId="5318AF3F" w14:textId="3CB6D473"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e)</w:t>
      </w:r>
      <w:r w:rsidR="00BB7E1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personat e dënuar me burgim, të cilët në kohën e kryerjes së veprës penale kanë qenë baras ose nën moshën 18 vjeç. </w:t>
      </w:r>
    </w:p>
    <w:p w14:paraId="7507E5AA" w14:textId="71E51AFD"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2. Nuk përjashtohen nga vuajtja e dënimit personat të cilët i janë shmangur drejtësisë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sipas përcaktimit të pikës 2</w:t>
      </w:r>
      <w:r w:rsidR="00455947">
        <w:rPr>
          <w:rFonts w:ascii="Garamond" w:eastAsia="Calibri" w:hAnsi="Garamond"/>
          <w:color w:val="000000"/>
          <w:sz w:val="24"/>
          <w:szCs w:val="24"/>
        </w:rPr>
        <w:t>,</w:t>
      </w:r>
      <w:r w:rsidR="00A9761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të nenit 2 të këtij ligji.</w:t>
      </w:r>
    </w:p>
    <w:p w14:paraId="4B02AC89"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40A1CE53"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4</w:t>
      </w:r>
    </w:p>
    <w:p w14:paraId="18CF56AA"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Kriteri ndalues për përfitimin e amnistisë</w:t>
      </w:r>
    </w:p>
    <w:p w14:paraId="653C8648"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5DF85FC8" w14:textId="7F7FB763"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1.</w:t>
      </w:r>
      <w:r w:rsidR="00A9761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Pavarësisht nga parashikimet e shkronjave “a”, “c” dhe “d”</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pikës 1</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3 të këtij ligji, nuk përjashtohen nga vuajtja e dënimit personat e dënuar për:</w:t>
      </w:r>
    </w:p>
    <w:p w14:paraId="1C7F5D84" w14:textId="44923145"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a)</w:t>
      </w:r>
      <w:r w:rsidR="00A9761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kundër njerëzimit, të parashikuara në nenet 73, 74, 74/a dhe 75 të Kodit Penal;</w:t>
      </w:r>
    </w:p>
    <w:p w14:paraId="5D334CF8" w14:textId="5725FD74"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b)</w:t>
      </w:r>
      <w:r w:rsidR="00A9761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krime kundër jetës të kryera me dashje, të parashikuara në nenet 76, 77, 78, 78/a, 79, 79/a, 79/b, 79/c, 80, 81, 82, 83, 83/a, 83/b dhe 84/a të Kodit Penal, si dhe në nenin 77 të Kodit Penal Ushtarak; </w:t>
      </w:r>
    </w:p>
    <w:p w14:paraId="141CB2E5" w14:textId="5D0A5FBA"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c)</w:t>
      </w:r>
      <w:r w:rsidR="00A9761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të kryera me dashje kundër shëndetit, të parashikuara në nenet 86, 87, 88, 89/a, 93, 96 dhe 99 të Kodit Penal;</w:t>
      </w:r>
      <w:r w:rsidR="00455947" w:rsidRPr="00455947">
        <w:rPr>
          <w:rFonts w:ascii="Garamond" w:eastAsia="Calibri" w:hAnsi="Garamond"/>
          <w:color w:val="000000"/>
          <w:sz w:val="24"/>
          <w:szCs w:val="24"/>
        </w:rPr>
        <w:t xml:space="preserve"> </w:t>
      </w:r>
    </w:p>
    <w:p w14:paraId="2C07A4C7" w14:textId="1CC7813F"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ç)</w:t>
      </w:r>
      <w:r w:rsidR="0084744C"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seksuale, të parashikuara në nenet 100, 101, 102, 102/a, 103, 104, 105, 106, 107/a, 108 dhe 108/a të Kodit Penal;</w:t>
      </w:r>
      <w:r w:rsidR="00455947" w:rsidRPr="00455947">
        <w:rPr>
          <w:rFonts w:ascii="Garamond" w:eastAsia="Calibri" w:hAnsi="Garamond"/>
          <w:color w:val="000000"/>
          <w:sz w:val="24"/>
          <w:szCs w:val="24"/>
        </w:rPr>
        <w:t xml:space="preserve"> </w:t>
      </w:r>
    </w:p>
    <w:p w14:paraId="3C4938DD" w14:textId="0A4729A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d)</w:t>
      </w:r>
      <w:r w:rsidR="0084744C"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lirisë së personit, të parashikuara në nenet 109, 109/a, 109/b, 109/c,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110, në nenet 110/a, 110/b, 110/c dhe 111 të Kodit Penal;</w:t>
      </w:r>
    </w:p>
    <w:p w14:paraId="60175691" w14:textId="67159C85"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dh)</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moralit dhe dinjitetit, të parashikuara në nenin 114, në paragrafët e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117, në nenet 119, 120, 121 dhe 121/a të Kodit Penal;</w:t>
      </w:r>
      <w:r w:rsidR="00455947" w:rsidRPr="00455947">
        <w:rPr>
          <w:rFonts w:ascii="Garamond" w:eastAsia="Calibri" w:hAnsi="Garamond"/>
          <w:color w:val="000000"/>
          <w:sz w:val="24"/>
          <w:szCs w:val="24"/>
        </w:rPr>
        <w:t xml:space="preserve"> </w:t>
      </w:r>
    </w:p>
    <w:p w14:paraId="7A60E22C" w14:textId="1E4757C1"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e)</w:t>
      </w:r>
      <w:r w:rsidR="0084744C"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fëmijëve, martesës dhe familjes, të parashikuara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124, </w:t>
      </w:r>
      <w:r w:rsidR="00AB116F" w:rsidRPr="00455947">
        <w:rPr>
          <w:rFonts w:ascii="Garamond" w:eastAsia="Calibri" w:hAnsi="Garamond"/>
          <w:color w:val="000000"/>
          <w:sz w:val="24"/>
          <w:szCs w:val="24"/>
        </w:rPr>
        <w:t xml:space="preserve">në </w:t>
      </w:r>
      <w:r w:rsidRPr="00455947">
        <w:rPr>
          <w:rFonts w:ascii="Garamond" w:eastAsia="Calibri" w:hAnsi="Garamond"/>
          <w:color w:val="000000"/>
          <w:sz w:val="24"/>
          <w:szCs w:val="24"/>
        </w:rPr>
        <w:t>nenin 124/a, në paragrafët e dytë 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124/b, në nenet 128/a, 128/b, 129 dhe 130/a të Kodit Penal;</w:t>
      </w:r>
      <w:r w:rsidR="00455947" w:rsidRPr="00455947">
        <w:rPr>
          <w:rFonts w:ascii="Garamond" w:eastAsia="Calibri" w:hAnsi="Garamond"/>
          <w:color w:val="000000"/>
          <w:sz w:val="24"/>
          <w:szCs w:val="24"/>
        </w:rPr>
        <w:t xml:space="preserve"> </w:t>
      </w:r>
    </w:p>
    <w:p w14:paraId="71D1A898" w14:textId="4CCF6A9E"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ë)</w:t>
      </w:r>
      <w:r w:rsidR="00AB116F"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pasurisë dhe në sferën ekonomike, të parashikuara në paragrafin e tretë të nenit 134, në nenet 135 e 136, në paragrafin e dytë të nenit 137/a, në paragrafin e dytë të nenit 138, në nenet 138/a, 139, 140, 141, 141/a, në nenet 143/a, 143/b, 144/a, 151, 152, 153, 154, 154/a, në paragrafin e dytë dhe të tretë të nenit 155, në paragrafin e dytë të nenit 159, në paragrafin e dytë të nenit 160, në nenet 164/a, 164/b, 175, në paragrafët e dytë dhe të tretë të nenit 180 dhe në nenin 181/a të Kodit Penal, si dhe në paragrafët e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59 të Kodit Penal Ushtarak;</w:t>
      </w:r>
      <w:r w:rsidR="00455947" w:rsidRPr="00455947">
        <w:rPr>
          <w:rFonts w:ascii="Garamond" w:eastAsia="Calibri" w:hAnsi="Garamond"/>
          <w:color w:val="000000"/>
          <w:sz w:val="24"/>
          <w:szCs w:val="24"/>
        </w:rPr>
        <w:t xml:space="preserve"> </w:t>
      </w:r>
    </w:p>
    <w:p w14:paraId="133DBDBE" w14:textId="692AFEB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f)</w:t>
      </w:r>
      <w:r w:rsidR="00EB3642"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falsifikimit të dokumenteve, të parashikuara në paragrafin e dytë të nenit 186/a, në paragrafin e dytë të nenit 187, në paragrafin e dytë të nenit 188, në nenet 190, 191, 192 dhe në paragrafin e dytë të nenit 192/b të Kodit Penal;</w:t>
      </w:r>
    </w:p>
    <w:p w14:paraId="42A4D281" w14:textId="317A6E0D"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g)</w:t>
      </w:r>
      <w:r w:rsidR="00E62C3F"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veprat penale që cenojnë regjimin juridik të tokës dhe të ndërtimeve, të parashikuara në paragrafët </w:t>
      </w:r>
      <w:r w:rsidR="00E62C3F" w:rsidRPr="00455947">
        <w:rPr>
          <w:rFonts w:ascii="Garamond" w:eastAsia="Calibri" w:hAnsi="Garamond"/>
          <w:color w:val="000000"/>
          <w:sz w:val="24"/>
          <w:szCs w:val="24"/>
        </w:rPr>
        <w:t>e</w:t>
      </w:r>
      <w:r w:rsidRPr="00455947">
        <w:rPr>
          <w:rFonts w:ascii="Garamond" w:eastAsia="Calibri" w:hAnsi="Garamond"/>
          <w:color w:val="000000"/>
          <w:sz w:val="24"/>
          <w:szCs w:val="24"/>
        </w:rPr>
        <w:t xml:space="preserve"> tretë dhe të katërt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199/a dhe në nenin 199/b të Kodit Penal;</w:t>
      </w:r>
    </w:p>
    <w:p w14:paraId="482C6658" w14:textId="40DCABB5"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lastRenderedPageBreak/>
        <w:t xml:space="preserve"> gj)</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mjedisit, të parashikuara në paragrafin e dytë, të tretë, të katërt dhe të pestë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201, në nenet 201/a, 201/b, 201/c, 201/ç, 202, 202/b, 203, 206/a dhe 206/b të Kodit Penal;</w:t>
      </w:r>
      <w:r w:rsidR="00455947" w:rsidRPr="00455947">
        <w:rPr>
          <w:rFonts w:ascii="Garamond" w:eastAsia="Calibri" w:hAnsi="Garamond"/>
          <w:color w:val="000000"/>
          <w:sz w:val="24"/>
          <w:szCs w:val="24"/>
        </w:rPr>
        <w:t xml:space="preserve"> </w:t>
      </w:r>
    </w:p>
    <w:p w14:paraId="6A5F22BF" w14:textId="02310DA1"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h)</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krime kundër pavarësisë dhe rendit kushtetues, të parashikuara në nenet 208, 209, 210, 211, 212, 213, 214, 215, 216, 217, 218, 219, 220, 221, 222, 223, 224 dhe 225 të Kodit Penal; </w:t>
      </w:r>
    </w:p>
    <w:p w14:paraId="5EC4DEFD" w14:textId="5FC87B74"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i)</w:t>
      </w:r>
      <w:r w:rsidR="00AB491F"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që cenojnë marrëdhëniet me shtetet e tjera, të parashikuara në nenet 226 dhe 228 të Kodit Penal;</w:t>
      </w:r>
      <w:r w:rsidR="00455947" w:rsidRPr="00455947">
        <w:rPr>
          <w:rFonts w:ascii="Garamond" w:eastAsia="Calibri" w:hAnsi="Garamond"/>
          <w:color w:val="000000"/>
          <w:sz w:val="24"/>
          <w:szCs w:val="24"/>
        </w:rPr>
        <w:t xml:space="preserve"> </w:t>
      </w:r>
    </w:p>
    <w:p w14:paraId="41AB7570" w14:textId="3DCF08D1"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j)</w:t>
      </w:r>
      <w:r w:rsidR="00AB491F"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vepra me qëllime terroriste, të parashikuara në nenet 230, 230/a, 230/b, 230/c, 230/ç, 231, 232, 232/a, 232/b, 233, 234, 234/a dhe 234/b të Kodit Penal; </w:t>
      </w:r>
    </w:p>
    <w:p w14:paraId="69C5283F" w14:textId="79D08065"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k)</w:t>
      </w:r>
      <w:r w:rsidR="00F65A1D"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kundër autoritetit të shtetit, të parashikuara në nenet 237, 238, 243, 244, 244/a, 245, në paragrafin e dytë dhe të katërt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245/1, në paragrafin e dytë të nenit 247, në nenet 248, 248/a, 250, 252, 253, 257, 257/a, 258, 259, 259/a, 260, 265, 265/a, 265/b, 265/c, 266, 267, 268, 270, 271,</w:t>
      </w:r>
      <w:r w:rsidR="00455947"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në paragrafët e parë, të dytë, të gjashtë, të shtatë dhe të tetë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278, në nenet 278/a e 278/b, në paragrafin e dytë të nenit 281, në paragrafin e dytë të nenit 282, në nenet 282/a, 282/b, 282/c, 283, 283/a, 284, 284/a, 284/c, 284/ç, 284/d, 285, 286, 287, 287/a, 287/b, 288, 288/a, 288/b, 288/c, 288/ç, në paragrafin e dytë të nenit 289, në paragrafët e dytë, të tretë dhe të katërt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290, në paragrafin e dytë të nenit 292, në nenet 293/a, 293/b, 293/c, 293/ç, 294, 295, në paragrafët e parë, të tretë, të katërt, të pestë dhe të gjashtë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295/a, në paragrafin e katërt dhe të pestë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298, në nenin 299 të Kodit Penal, si dhe në nenin 70 të Kodit Penal Ushtarak; </w:t>
      </w:r>
    </w:p>
    <w:p w14:paraId="4BA5DB91" w14:textId="4EDA8E23"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l)</w:t>
      </w:r>
      <w:r w:rsidR="002429D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drejtësisë, të parashikuara në nenet 302, 303, 311, 312, 312/a, 313, 313/a, 313/b, 314, 316, 317, 318, 319, 319/a, 319/b, 319/c, 319/ç, 319/d, 319/dh, 319/e, në paragrafin e dytë të nenit 323, në nenin 324 dhe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324/a të Kodit Penal; </w:t>
      </w:r>
    </w:p>
    <w:p w14:paraId="34E52BFC" w14:textId="5971AFB3"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 ll)</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që prekin zgjedhjet e lira dhe sistemin demokratik të zgjedhjeve, të parashikuara në nenet 325, 326, 326/a, 327, 327/a, 328, 328/a, 328/b, 329, 330, 330/a, 331, 331/a, 332 dhe 332/a të Kodit Penal;</w:t>
      </w:r>
    </w:p>
    <w:p w14:paraId="56D52203" w14:textId="27D799CE"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m)</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të kryera nga banda të armatosura dhe organizata kriminale, të parashikuara në nenet 33</w:t>
      </w:r>
      <w:r w:rsidR="00455947">
        <w:rPr>
          <w:rFonts w:ascii="Garamond" w:eastAsia="Calibri" w:hAnsi="Garamond"/>
          <w:color w:val="000000"/>
          <w:sz w:val="24"/>
          <w:szCs w:val="24"/>
        </w:rPr>
        <w:t>3, 333/a dhe 334 të Kodit Penal;</w:t>
      </w:r>
    </w:p>
    <w:p w14:paraId="4986A129" w14:textId="0DCD708C"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n)</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të parashikuara në nenet 8 dhe 9</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ligjit nr.</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95/2016</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“Për organizimin dhe funksionimin e institucioneve për të luftuar korrupsionin dhe krimin e organizuar”, </w:t>
      </w:r>
      <w:r w:rsidR="00E9524E" w:rsidRPr="00455947">
        <w:rPr>
          <w:rFonts w:ascii="Garamond" w:eastAsia="Calibri" w:hAnsi="Garamond"/>
          <w:color w:val="000000"/>
          <w:sz w:val="24"/>
          <w:szCs w:val="24"/>
        </w:rPr>
        <w:t>i</w:t>
      </w:r>
      <w:r w:rsidRPr="00455947">
        <w:rPr>
          <w:rFonts w:ascii="Garamond" w:eastAsia="Calibri" w:hAnsi="Garamond"/>
          <w:color w:val="000000"/>
          <w:sz w:val="24"/>
          <w:szCs w:val="24"/>
        </w:rPr>
        <w:t xml:space="preserve"> ndryshuar. </w:t>
      </w:r>
    </w:p>
    <w:p w14:paraId="4CE17417" w14:textId="063FA0D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2.</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Pavarësisht nga parashikimet e shkronjave “b”, “ç”, “dh” dhe “e”</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pikës 1</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3 të këtij ligji, nuk përjashtohen nga vuajtja e dënimit personat e dënuar për:</w:t>
      </w:r>
      <w:r w:rsidR="00455947" w:rsidRPr="00455947">
        <w:rPr>
          <w:rFonts w:ascii="Garamond" w:eastAsia="Calibri" w:hAnsi="Garamond"/>
          <w:color w:val="000000"/>
          <w:sz w:val="24"/>
          <w:szCs w:val="24"/>
        </w:rPr>
        <w:t xml:space="preserve"> </w:t>
      </w:r>
    </w:p>
    <w:p w14:paraId="002F7A2A" w14:textId="523AEB88"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a)</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kundër njerëzimit, të parashikuara në nenet 73, 74, 74/a dhe 75 të Kodit Penal;</w:t>
      </w:r>
      <w:r w:rsidR="00455947" w:rsidRPr="00455947">
        <w:rPr>
          <w:rFonts w:ascii="Garamond" w:eastAsia="Calibri" w:hAnsi="Garamond"/>
          <w:color w:val="000000"/>
          <w:sz w:val="24"/>
          <w:szCs w:val="24"/>
        </w:rPr>
        <w:t xml:space="preserve"> </w:t>
      </w:r>
    </w:p>
    <w:p w14:paraId="386E4EA3" w14:textId="7401A1D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b)</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krime kundër jetës të kryera me dashje, të parashikuara në nenet 76, 77, 78, 78/a, 79, 79/a, 79/b, 79/c,81 dhe 83/b të Kodit Penal; </w:t>
      </w:r>
    </w:p>
    <w:p w14:paraId="7ACB9197" w14:textId="6DF42EA8"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c)</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vepra penale të kryera me dashje kundër shëndetit, të parashikuara në nenet 86, 87, 88 dhe 89/a dhe 93 të Kodit Penal; </w:t>
      </w:r>
    </w:p>
    <w:p w14:paraId="6E9D35EE" w14:textId="4ABD484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ç)</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seksuale, të parashikuara në nenet 100, 101, 103, 104, 105, 106, 107/a</w:t>
      </w:r>
      <w:r w:rsidR="00455947"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108 dhe në paragrafin e dytë të nenit 108/a të Kodit Penal;</w:t>
      </w:r>
    </w:p>
    <w:p w14:paraId="202AD0D7" w14:textId="5209FFEE"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d)</w:t>
      </w:r>
      <w:r w:rsidR="00E9524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lirisë së personit, të parashikuara në nenet 109, 109/b, 109/c,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110, në nenet 110/a, 110/b, 110/c dhe 111 të Kodit Penal;</w:t>
      </w:r>
    </w:p>
    <w:p w14:paraId="259A98CE" w14:textId="3BAA53E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dh)</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moralit dhe dinjitetit, të parashikuara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114, në paragrafët e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117 dhe në nenin 121 të Kodit Penal;</w:t>
      </w:r>
      <w:r w:rsidR="00455947" w:rsidRPr="00455947">
        <w:rPr>
          <w:rFonts w:ascii="Garamond" w:eastAsia="Calibri" w:hAnsi="Garamond"/>
          <w:color w:val="000000"/>
          <w:sz w:val="24"/>
          <w:szCs w:val="24"/>
        </w:rPr>
        <w:t xml:space="preserve"> </w:t>
      </w:r>
    </w:p>
    <w:p w14:paraId="36E4E25D" w14:textId="0AC1196A"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e)</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fëmijëve, martesës dhe familjes, të parashikuara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124, në nenin 124/a, në paragrafin e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124/b, në nenet 128/a, 128/b dhe 129 të Kodit Penal; </w:t>
      </w:r>
    </w:p>
    <w:p w14:paraId="05CCE73A" w14:textId="030B8FA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ë)</w:t>
      </w:r>
      <w:r w:rsidR="00FC5299"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pasurisë dhe në sferën ekonomike, të parashikuara në nenet 135, 136,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137/a,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138, në nenet 139, 140, 141, 143/a, 143/b, 144/a, 151, 152, 153, 154, 154/a, në paragrafin e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155, në paragrafin e dytë të nenit 159, në nenet 164/a, 164/b, 175, në paragrafin e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180 dhe në nenin 181/a të Kodit Penal; </w:t>
      </w:r>
    </w:p>
    <w:p w14:paraId="20CF3C97" w14:textId="0E03775F"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f)</w:t>
      </w:r>
      <w:r w:rsidR="005D2A01"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falsifikimit të dokumenteve, të parashikuara në paragrafin e dytë të nenit 186/a,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187,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188,</w:t>
      </w:r>
      <w:r w:rsidR="00455947"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në nenet 190, 191 dhe 192 dhe në paragrafin e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192/b të Kodit Penal;</w:t>
      </w:r>
      <w:r w:rsidR="00455947" w:rsidRPr="00455947">
        <w:rPr>
          <w:rFonts w:ascii="Garamond" w:eastAsia="Calibri" w:hAnsi="Garamond"/>
          <w:color w:val="000000"/>
          <w:sz w:val="24"/>
          <w:szCs w:val="24"/>
        </w:rPr>
        <w:t xml:space="preserve"> </w:t>
      </w:r>
    </w:p>
    <w:p w14:paraId="49544040" w14:textId="19217A2E"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lastRenderedPageBreak/>
        <w:t>g)</w:t>
      </w:r>
      <w:r w:rsidR="00F47D9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kundër mjedisit, të parashikuara në paragrafin e dytë, të tretë, të katërt dhe të pestë</w:t>
      </w:r>
      <w:r w:rsidR="00455947">
        <w:rPr>
          <w:rFonts w:ascii="Garamond" w:eastAsia="Calibri" w:hAnsi="Garamond"/>
          <w:color w:val="000000"/>
          <w:sz w:val="24"/>
          <w:szCs w:val="24"/>
        </w:rPr>
        <w:t>,</w:t>
      </w:r>
      <w:bookmarkStart w:id="0" w:name="_GoBack"/>
      <w:bookmarkEnd w:id="0"/>
      <w:r w:rsidRPr="00455947">
        <w:rPr>
          <w:rFonts w:ascii="Garamond" w:eastAsia="Calibri" w:hAnsi="Garamond"/>
          <w:color w:val="000000"/>
          <w:sz w:val="24"/>
          <w:szCs w:val="24"/>
        </w:rPr>
        <w:t xml:space="preserve"> të nenit 201, në nenet 201/a, 201/b, 201/c, 201/ç, 202, 202/b, 203, 206/a, 206/b të Kodit Penal;</w:t>
      </w:r>
      <w:r w:rsidR="00455947" w:rsidRPr="00455947">
        <w:rPr>
          <w:rFonts w:ascii="Garamond" w:eastAsia="Calibri" w:hAnsi="Garamond"/>
          <w:color w:val="000000"/>
          <w:sz w:val="24"/>
          <w:szCs w:val="24"/>
        </w:rPr>
        <w:t xml:space="preserve"> </w:t>
      </w:r>
    </w:p>
    <w:p w14:paraId="4031B775" w14:textId="7777777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gj) krime kundër pavarësisë dhe rendit kushtetues, të parashikuara në nenet 208, 209, 210, 211, 212, 213, 214, 215, 216, 217, 218, 219, 220, 221, 222, 223, 224 dhe 225 të Kodit Penal; </w:t>
      </w:r>
    </w:p>
    <w:p w14:paraId="4E57E609" w14:textId="49CF99FF"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h)</w:t>
      </w:r>
      <w:r w:rsidR="0037388C"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që cenojnë marrëdhëniet me shtetet e tjera, të parashikuara në nenet 226 dhe 228 të Kodit Penal;</w:t>
      </w:r>
    </w:p>
    <w:p w14:paraId="1D20BBA4" w14:textId="503CF6D8"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i)</w:t>
      </w:r>
      <w:r w:rsidR="0037388C"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me qëllime terroriste, të parashikuara në nenet 230, 230/a, 230/b, 230/c, 230/ç,</w:t>
      </w:r>
      <w:r w:rsidR="00455947"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231, 232, 232/a, 232/b, 233, 234, 234/a dhe 234/b të Kodit Penal;</w:t>
      </w:r>
    </w:p>
    <w:p w14:paraId="0BCB4A4A" w14:textId="4AFAF8A4"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j)</w:t>
      </w:r>
      <w:r w:rsidR="0037388C"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krime kundër autoritetit të shtetit, të parashikuara në nenet 243, 244, 244/a, 245, 248, 248/a, 250,</w:t>
      </w:r>
      <w:r w:rsidR="00077373"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253, 257, </w:t>
      </w:r>
      <w:r w:rsidR="00C10C17" w:rsidRPr="00455947">
        <w:rPr>
          <w:rFonts w:ascii="Garamond" w:eastAsia="Calibri" w:hAnsi="Garamond"/>
          <w:color w:val="000000"/>
          <w:sz w:val="24"/>
          <w:szCs w:val="24"/>
        </w:rPr>
        <w:t xml:space="preserve">257/a, </w:t>
      </w:r>
      <w:r w:rsidRPr="00455947">
        <w:rPr>
          <w:rFonts w:ascii="Garamond" w:eastAsia="Calibri" w:hAnsi="Garamond"/>
          <w:color w:val="000000"/>
          <w:sz w:val="24"/>
          <w:szCs w:val="24"/>
        </w:rPr>
        <w:t>258, 259, 259/a, 260, 265, 265/a, 265/b, 265/c, 266, 267,</w:t>
      </w:r>
      <w:r w:rsidR="00077373"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268, në paragrafin e pestë, të gjashtë, të shtatë dhe të tetë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278, në nenet 278/a, 278/b, në paragrafin e dytë të nenit 281, në paragrafin e dytë të nenit 282, në nenet 282/a, 282/b, 282/c, 283, 283/a, 284, 284/a, 284/c, 284/ç, 284/d, 285, 286, 287, 287/a, 287/b, 288, 288/a, 288/b, 288/c, 288/ç, në paragrafin e dytë të nenit 289, në paragrafin e dytë, të tretë dhe të katërt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290, në paragrafin e dytë të nenit 292, në nenet 293/a, 293/b, 293/c, 293/ç, 294, 295, në paragrafin e parë, të tretë, të katërt, të pestë dhe të gjashtë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295/a, në paragrafin e katërt dhe të pestë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298 dhe në nenin 299 të Kodit Penal, si dhe në nenin 70 të Kodit Penal Ushtarak;</w:t>
      </w:r>
    </w:p>
    <w:p w14:paraId="10EDA5D8" w14:textId="1018C3D0"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k)</w:t>
      </w:r>
      <w:r w:rsidR="005A6ADE"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vepra penale kundër drejtësisë, të parashikuara në nenet 302, 303, 311, 312, 312/a, 313, 313/a, 313/b, 314, 316, 317, 318, 319, 319/a, 319/b, 319/c, 319/ç, 319/d, 319/dh, 319/e, në paragrafin e dytë të nenit 323, në nenin 324 dhe në paragrafin e dytë të nenit 324/a të Kodit Penal; </w:t>
      </w:r>
    </w:p>
    <w:p w14:paraId="08000259" w14:textId="3D549B1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l)</w:t>
      </w:r>
      <w:r w:rsidR="007039C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që prekin zgjedhjet e lira dhe sistemin demokratik të zgjedhjeve, të parashikuara në nenet 325, 326, 326/a, 327, 327/a, 328, 328/a, 328/b, 329, 330, 330/a, 331, 331/a, 332 dhe 332/a të Kodit Penal;</w:t>
      </w:r>
    </w:p>
    <w:p w14:paraId="0366D0A0" w14:textId="5A94B7C2"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ll)</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të kryera nga banda e armatosur dhe organizata kriminale, të parashikuara në nenet 333, 333/a dhe 334 të Kodit Penal;</w:t>
      </w:r>
    </w:p>
    <w:p w14:paraId="1A5E37C2" w14:textId="4C6A2C9B"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m)</w:t>
      </w:r>
      <w:r w:rsidR="002167CB"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vepra penale të parashikuara në nenet 8 dhe 9</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ligjit nr.</w:t>
      </w:r>
      <w:r w:rsidR="006C7D3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95/2016</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“Për organizimin dhe funksionimin e institucioneve për të luftuar korrupsionin dhe krimin e organizuar”, </w:t>
      </w:r>
      <w:r w:rsidR="006C7D3A" w:rsidRPr="00455947">
        <w:rPr>
          <w:rFonts w:ascii="Garamond" w:eastAsia="Calibri" w:hAnsi="Garamond"/>
          <w:color w:val="000000"/>
          <w:sz w:val="24"/>
          <w:szCs w:val="24"/>
        </w:rPr>
        <w:t>i</w:t>
      </w:r>
      <w:r w:rsidRPr="00455947">
        <w:rPr>
          <w:rFonts w:ascii="Garamond" w:eastAsia="Calibri" w:hAnsi="Garamond"/>
          <w:color w:val="000000"/>
          <w:sz w:val="24"/>
          <w:szCs w:val="24"/>
        </w:rPr>
        <w:t xml:space="preserve"> ndryshuar. </w:t>
      </w:r>
    </w:p>
    <w:p w14:paraId="2B8DD8B5"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7BBF5950" w14:textId="4DA3D19B"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5</w:t>
      </w:r>
    </w:p>
    <w:p w14:paraId="7D4BF0CA"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Kriteret për përfitimin e amnistisë nga zbritja e dënimit</w:t>
      </w:r>
    </w:p>
    <w:p w14:paraId="656171B0" w14:textId="7777777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 </w:t>
      </w:r>
    </w:p>
    <w:p w14:paraId="25C8FB35" w14:textId="203E0F2D"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1.</w:t>
      </w:r>
      <w:r w:rsidR="006C7D3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Të gjithë personave të dënuar, të cilët nuk plotësojnë kriteret për t’u përjashtuar nga vuajtja e dënimit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sipas nenit 3 të këtij ligji ose, edhe pse plotësojnë kriteret për përfitimin e amnistisë sipas këtij neni, nuk përjashtohen nga vuajtja e dënimit për shkak të kritereve ndaluese të përcaktuara në pikat 1 dhe 2</w:t>
      </w:r>
      <w:r w:rsidR="006C291F"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të nenit 4 të këtij ligji, u zbritet:</w:t>
      </w:r>
    </w:p>
    <w:p w14:paraId="2A59D6E1" w14:textId="3373F3EB"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a)</w:t>
      </w:r>
      <w:r w:rsidR="006C7D3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1 vit e gjysmë për personat e dënuar gra dhe të mitur;</w:t>
      </w:r>
    </w:p>
    <w:p w14:paraId="5395392C" w14:textId="026146AE"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b)</w:t>
      </w:r>
      <w:r w:rsidR="006C7D3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1 vit për personat e dënuar burra.</w:t>
      </w:r>
    </w:p>
    <w:p w14:paraId="1EBF391C" w14:textId="3F875863"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2.</w:t>
      </w:r>
      <w:r w:rsidR="00455947"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Pavarësisht nga parashikimet e pikës 1 të këtij neni, nuk përfitojnë zbritje të dënimit:</w:t>
      </w:r>
    </w:p>
    <w:p w14:paraId="28FE9EC5" w14:textId="1FE64443"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a)</w:t>
      </w:r>
      <w:r w:rsidR="006C7D3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e dënuar me burgim për veprat penale të parashikuara në nenet 79, 79/a, 79/b dhe 79/c të Kodit Penal;</w:t>
      </w:r>
    </w:p>
    <w:p w14:paraId="4B1DBCDD" w14:textId="5FD57BEE"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b)</w:t>
      </w:r>
      <w:r w:rsidR="006C7D3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e dënuar me burgim të përjetshëm;</w:t>
      </w:r>
    </w:p>
    <w:p w14:paraId="4EE34732" w14:textId="07D8F529"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c)</w:t>
      </w:r>
      <w:r w:rsidR="006C7D3A"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personat e dënuar, akuzat penale ndaj të cilëve janë gjykuar nga Gjykata kundër Korrupsionit dhe Krimit të Organizuar</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sipas përcaktimeve të nenit 75/a të Kodit të Procedurës Penale apo personat e dënuar për çdo vepër penale tjetër që është e lidhur ngushtë me hetimin apo çështjen penale brenda kompetencave të parashikuara në nenin 75/a</w:t>
      </w:r>
      <w:r w:rsidR="00B50CDA" w:rsidRPr="00455947">
        <w:rPr>
          <w:rFonts w:ascii="Garamond" w:eastAsia="Calibri" w:hAnsi="Garamond"/>
          <w:color w:val="000000"/>
          <w:sz w:val="24"/>
          <w:szCs w:val="24"/>
        </w:rPr>
        <w:t xml:space="preserve"> të Kodit të Procedurës Penale</w:t>
      </w:r>
      <w:r w:rsidRPr="00455947">
        <w:rPr>
          <w:rFonts w:ascii="Garamond" w:eastAsia="Calibri" w:hAnsi="Garamond"/>
          <w:color w:val="000000"/>
          <w:sz w:val="24"/>
          <w:szCs w:val="24"/>
        </w:rPr>
        <w:t>.</w:t>
      </w:r>
    </w:p>
    <w:p w14:paraId="002F2C00" w14:textId="2941E822"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3. Nuk përfitojnë zbritje të dënimit personat</w:t>
      </w:r>
      <w:r w:rsidR="00DD3571"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të cilët i janë shmangur drejtësisë sipas përcaktimit të pikës 2</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 të këtij ligji.</w:t>
      </w:r>
    </w:p>
    <w:p w14:paraId="2CB79F84"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1B6F688B"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6</w:t>
      </w:r>
    </w:p>
    <w:p w14:paraId="541224F6" w14:textId="059B7992"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Kriteret</w:t>
      </w:r>
      <w:r w:rsidR="00455947" w:rsidRPr="00455947">
        <w:rPr>
          <w:rFonts w:ascii="Garamond" w:eastAsia="Calibri" w:hAnsi="Garamond"/>
          <w:b/>
          <w:bCs/>
          <w:color w:val="000000"/>
          <w:sz w:val="24"/>
          <w:szCs w:val="24"/>
        </w:rPr>
        <w:t xml:space="preserve"> </w:t>
      </w:r>
      <w:r w:rsidRPr="00455947">
        <w:rPr>
          <w:rFonts w:ascii="Garamond" w:eastAsia="Calibri" w:hAnsi="Garamond"/>
          <w:b/>
          <w:bCs/>
          <w:color w:val="000000"/>
          <w:sz w:val="24"/>
          <w:szCs w:val="24"/>
        </w:rPr>
        <w:t>për përfitimin e amnistisë nga ndjekja penale</w:t>
      </w:r>
    </w:p>
    <w:p w14:paraId="5720E0B6"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23597CD0" w14:textId="665C0D7F"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1.</w:t>
      </w:r>
      <w:r w:rsidR="00A4769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 xml:space="preserve">Përjashtohen nga ndjekja penale të gjitha çështjet penale në hetim, çështjet e pashqyrtuara ose në proces shqyrtimi nga gjykatat, si dhe kallëzimet që ndodhen në këto organe, pavarësisht nga data </w:t>
      </w:r>
      <w:r w:rsidRPr="00455947">
        <w:rPr>
          <w:rFonts w:ascii="Garamond" w:eastAsia="Calibri" w:hAnsi="Garamond"/>
          <w:color w:val="000000"/>
          <w:sz w:val="24"/>
          <w:szCs w:val="24"/>
        </w:rPr>
        <w:lastRenderedPageBreak/>
        <w:t>e regjistrimit të tyre, për veprat penale të kryera deri në datën 31.</w:t>
      </w:r>
      <w:r w:rsidR="00301774" w:rsidRPr="00455947">
        <w:rPr>
          <w:rFonts w:ascii="Garamond" w:eastAsia="Calibri" w:hAnsi="Garamond"/>
          <w:color w:val="000000"/>
          <w:sz w:val="24"/>
          <w:szCs w:val="24"/>
        </w:rPr>
        <w:t>5</w:t>
      </w:r>
      <w:r w:rsidRPr="00455947">
        <w:rPr>
          <w:rFonts w:ascii="Garamond" w:eastAsia="Calibri" w:hAnsi="Garamond"/>
          <w:color w:val="000000"/>
          <w:sz w:val="24"/>
          <w:szCs w:val="24"/>
        </w:rPr>
        <w:t>.202</w:t>
      </w:r>
      <w:r w:rsidR="00301774" w:rsidRPr="00455947">
        <w:rPr>
          <w:rFonts w:ascii="Garamond" w:eastAsia="Calibri" w:hAnsi="Garamond"/>
          <w:color w:val="000000"/>
          <w:sz w:val="24"/>
          <w:szCs w:val="24"/>
        </w:rPr>
        <w:t>6</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për të cilat Kodi Penal dhe Kodit Penal Ushtarak parashiko</w:t>
      </w:r>
      <w:r w:rsidR="00F32834" w:rsidRPr="00455947">
        <w:rPr>
          <w:rFonts w:ascii="Garamond" w:eastAsia="Calibri" w:hAnsi="Garamond"/>
          <w:color w:val="000000"/>
          <w:sz w:val="24"/>
          <w:szCs w:val="24"/>
        </w:rPr>
        <w:t>j</w:t>
      </w:r>
      <w:r w:rsidRPr="00455947">
        <w:rPr>
          <w:rFonts w:ascii="Garamond" w:eastAsia="Calibri" w:hAnsi="Garamond"/>
          <w:color w:val="000000"/>
          <w:sz w:val="24"/>
          <w:szCs w:val="24"/>
        </w:rPr>
        <w:t>n</w:t>
      </w:r>
      <w:r w:rsidR="00F32834" w:rsidRPr="00455947">
        <w:rPr>
          <w:rFonts w:ascii="Garamond" w:eastAsia="Calibri" w:hAnsi="Garamond"/>
          <w:color w:val="000000"/>
          <w:sz w:val="24"/>
          <w:szCs w:val="24"/>
        </w:rPr>
        <w:t>ë</w:t>
      </w:r>
      <w:r w:rsidRPr="00455947">
        <w:rPr>
          <w:rFonts w:ascii="Garamond" w:eastAsia="Calibri" w:hAnsi="Garamond"/>
          <w:color w:val="000000"/>
          <w:sz w:val="24"/>
          <w:szCs w:val="24"/>
        </w:rPr>
        <w:t xml:space="preserve"> një dënim me burgim në maksimum deri në 3 vjet ose çdo lloj dënimi tjetër më të butë, me përjashtim të veprave të parashikuara në nenet 83/a, 83/b, 84/a, 88/b, 90, 91, 92, 96, 105, </w:t>
      </w:r>
      <w:r w:rsidR="00793624" w:rsidRPr="00455947">
        <w:rPr>
          <w:rFonts w:ascii="Garamond" w:eastAsia="Calibri" w:hAnsi="Garamond"/>
          <w:color w:val="000000"/>
          <w:sz w:val="24"/>
          <w:szCs w:val="24"/>
        </w:rPr>
        <w:t xml:space="preserve">në paragrafin e dytë </w:t>
      </w:r>
      <w:r w:rsidR="00B50CDA" w:rsidRPr="00455947">
        <w:rPr>
          <w:rFonts w:ascii="Garamond" w:eastAsia="Calibri" w:hAnsi="Garamond"/>
          <w:color w:val="000000"/>
          <w:sz w:val="24"/>
          <w:szCs w:val="24"/>
        </w:rPr>
        <w:t xml:space="preserve">të nenit </w:t>
      </w:r>
      <w:r w:rsidRPr="00455947">
        <w:rPr>
          <w:rFonts w:ascii="Garamond" w:eastAsia="Calibri" w:hAnsi="Garamond"/>
          <w:color w:val="000000"/>
          <w:sz w:val="24"/>
          <w:szCs w:val="24"/>
        </w:rPr>
        <w:t>112, 113, në paragrafin e parë të nenit 117, në nenet 119, 119/a, 119/b, 120, 121,122, 124, në paragrafin e parë të nenit 124/b, në nenet 125, 127, 130/a, 131, 132, në paragrafin e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134, në nenet 137, 137/a, 142, 143/a/2, 143/a/3, 143/a/4, 143/a/5, 149, 150, 156, 160, 161, 164/a, 170/c, 170/ç, 178, 179, 179/b, 180, 180/a, 181, 185, 186,</w:t>
      </w:r>
      <w:r w:rsidR="00793624" w:rsidRPr="00455947">
        <w:rPr>
          <w:rFonts w:ascii="Garamond" w:eastAsia="Calibri" w:hAnsi="Garamond"/>
          <w:color w:val="000000"/>
          <w:sz w:val="24"/>
          <w:szCs w:val="24"/>
        </w:rPr>
        <w:t xml:space="preserve"> 186/a,</w:t>
      </w:r>
      <w:r w:rsidRPr="00455947">
        <w:rPr>
          <w:rFonts w:ascii="Garamond" w:eastAsia="Calibri" w:hAnsi="Garamond"/>
          <w:color w:val="000000"/>
          <w:sz w:val="24"/>
          <w:szCs w:val="24"/>
        </w:rPr>
        <w:t xml:space="preserve"> 187, 188, në paragrafin e parë të nenit 191, në nenin 192, në paragrafin e parë të nenit 192/a, në paragrafin e parë të nenit 192/b, në paragrafin e parë të nenit 193, në paragrafin e parë të nenit 197, në paragrafin e parë të nenit 201, në paragrafin e parë të nenit 202/a, në nenet 204, 205, 206, 207, 223, në paragrafin e parë të nenit 224, në nenin 225, në paragrafin e parë të nenit 236, në paragrafin e parë të nenit 237, në paragrafin e parë, të dytë, të katërt dhe të pestë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238, në paragrafin e tretë të nenit 242/a, në paragrafin e parë dhe të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244, në nenin 244/a, në paragrafin e parë, të dytë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245/1, në paragrafin e parë të nenit 251, në nenet 254, 255, 256, në paragrafin e parë dhe të dytë të nenit 257/a, në nenin 259, në paragrafin e dytë të nenit 261, në paragrafin e parë të nenit 263, në nenet 265/c, 269, 271, në paragrafin e parë të nenit 274/a, në paragrafin e tretë të nenit 274/b, në paragrafin e katërt të nenit 278, në paragrafin e parë të nenit 279, në nenin 287/a, në paragrafin e parë të nenit 287/b, në paragrafin e parë të nenit 288, në paragrafin e parë të nenit 288/a, në paragrafin e parë të nenit 288/c, në nenet 288/ç e 293, në paragrafin e parë të nenit 293/b, në paragrafin e parë të nenit 295, në paragrafin e dytë dhe të katërt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295/a, 296, në paragrafin e parë të nenit 300, në nenin 301, në paragrafin e dytë të nenit 306, në paragrafin e dytë të nenit 308, në paragrafin e parë të nenit 309, në paragrafin e dytë të nenit 313/b, në nenet 317 e 318, në paragrafin e dytë të nenit 320/a, në paragrafin e parë të nenit 324/a, në paragrafin e parë dhe të dytë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327, në paragrafin e parë dhe të tretë</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327/a, në paragrafin e parë, të dytë, të tretë, të katërt</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të nenit 328/a, në paragrafin e parë të nenit 329, në paragrafin e parë të nenit 330/a, në paragrafin e parë të nenit 331/a, në nenin 332 të Kodit Penal, si dhe në paragrafin e parë të nenit 21, në nenin 23, në paragrafin e dytë të nenit 38, në paragrafin e dytë të nenit 39, në paragrafin e parë të nenit 42, në paragrafin e parë të nenit 47, në paragrafin e parë të nenit 51, në paragrafin e parë të nenit 67, në paragrafin e parë të nenit 74, në paragrafin e dytë të nenit 81, në nenet 85 e 92 të Kodit Penal Ushtarak.</w:t>
      </w:r>
    </w:p>
    <w:p w14:paraId="3B15F11C" w14:textId="1DAA6EC2"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2.</w:t>
      </w:r>
      <w:r w:rsidR="0026119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Nuk përfitojnë nga ky nen personat të cilët i janë shmangur drejtësisë.</w:t>
      </w:r>
    </w:p>
    <w:p w14:paraId="53CF85D4" w14:textId="08467386"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3.</w:t>
      </w:r>
      <w:r w:rsidR="0026119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Nuk përfitojnë nga pika 1 e këtij neni subjektet që kanë detyrimin për të deklaruar sipas ligjit nr.</w:t>
      </w:r>
      <w:r w:rsidR="0026119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9049, datë</w:t>
      </w:r>
      <w:r w:rsidR="00261190"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10.</w:t>
      </w:r>
      <w:r w:rsidRPr="00455947">
        <w:rPr>
          <w:rFonts w:ascii="Garamond" w:eastAsia="Calibri" w:hAnsi="Garamond"/>
          <w:color w:val="000000" w:themeColor="text1"/>
          <w:sz w:val="24"/>
          <w:szCs w:val="24"/>
        </w:rPr>
        <w:t xml:space="preserve">4.2003, “Për deklarimin dhe kontrollin e pasurive, të detyrimeve financiare të </w:t>
      </w:r>
      <w:proofErr w:type="spellStart"/>
      <w:r w:rsidRPr="00455947">
        <w:rPr>
          <w:rFonts w:ascii="Garamond" w:eastAsia="Calibri" w:hAnsi="Garamond"/>
          <w:color w:val="000000" w:themeColor="text1"/>
          <w:sz w:val="24"/>
          <w:szCs w:val="24"/>
        </w:rPr>
        <w:t>të</w:t>
      </w:r>
      <w:proofErr w:type="spellEnd"/>
      <w:r w:rsidRPr="00455947">
        <w:rPr>
          <w:rFonts w:ascii="Garamond" w:eastAsia="Calibri" w:hAnsi="Garamond"/>
          <w:color w:val="000000" w:themeColor="text1"/>
          <w:sz w:val="24"/>
          <w:szCs w:val="24"/>
        </w:rPr>
        <w:t xml:space="preserve"> zgjedhurve dhe të disa nëpunësve publikë”, </w:t>
      </w:r>
      <w:r w:rsidR="004635E5" w:rsidRPr="00455947">
        <w:rPr>
          <w:rFonts w:ascii="Garamond" w:eastAsia="Calibri" w:hAnsi="Garamond"/>
          <w:color w:val="000000" w:themeColor="text1"/>
          <w:sz w:val="24"/>
          <w:szCs w:val="24"/>
        </w:rPr>
        <w:t>i ndryshuar</w:t>
      </w:r>
      <w:r w:rsidR="004635E5" w:rsidRPr="00455947">
        <w:rPr>
          <w:rFonts w:ascii="Garamond" w:eastAsia="Calibri" w:hAnsi="Garamond"/>
          <w:color w:val="000000"/>
          <w:sz w:val="24"/>
          <w:szCs w:val="24"/>
        </w:rPr>
        <w:t xml:space="preserve">, </w:t>
      </w:r>
      <w:r w:rsidRPr="00455947">
        <w:rPr>
          <w:rFonts w:ascii="Garamond" w:eastAsia="Calibri" w:hAnsi="Garamond"/>
          <w:color w:val="000000"/>
          <w:sz w:val="24"/>
          <w:szCs w:val="24"/>
        </w:rPr>
        <w:t>si dhe subjektet e posaçme, akuzat penale ndaj të cilëve gjykohen nga Gjykata kundër Korrupsionit dhe Krimit të Organizuar</w:t>
      </w:r>
      <w:r w:rsidR="00455947">
        <w:rPr>
          <w:rFonts w:ascii="Garamond" w:eastAsia="Calibri" w:hAnsi="Garamond"/>
          <w:color w:val="000000"/>
          <w:sz w:val="24"/>
          <w:szCs w:val="24"/>
        </w:rPr>
        <w:t>,</w:t>
      </w:r>
      <w:r w:rsidRPr="00455947">
        <w:rPr>
          <w:rFonts w:ascii="Garamond" w:eastAsia="Calibri" w:hAnsi="Garamond"/>
          <w:color w:val="000000"/>
          <w:sz w:val="24"/>
          <w:szCs w:val="24"/>
        </w:rPr>
        <w:t xml:space="preserve"> sipas përcaktimeve të nenit 75/a të Kodit të Procedurës Penale dhe për çdo vepër penale tjetër që është e lidhur ngushtë me hetimin apo çështjen penale brenda kompetencave të parashikuara në nenin 75/a</w:t>
      </w:r>
      <w:r w:rsidR="00455947">
        <w:rPr>
          <w:rFonts w:ascii="Garamond" w:eastAsia="Calibri" w:hAnsi="Garamond"/>
          <w:color w:val="000000"/>
          <w:sz w:val="24"/>
          <w:szCs w:val="24"/>
        </w:rPr>
        <w:t xml:space="preserve"> të Kodit të Procedurës Penale.</w:t>
      </w:r>
    </w:p>
    <w:p w14:paraId="5B4DFADE"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599E0338"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7</w:t>
      </w:r>
    </w:p>
    <w:p w14:paraId="5C6910AF"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Të drejtat civile në procesin penal</w:t>
      </w:r>
    </w:p>
    <w:p w14:paraId="45B1E8BC" w14:textId="7777777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 xml:space="preserve"> </w:t>
      </w:r>
    </w:p>
    <w:p w14:paraId="553A41FF" w14:textId="7777777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Nga zbatimi i këtij ligji nuk cenohen të drejtat civile në procesin penal dhe as shpenzimet gjyqësore të kryera gjatë gjykimit deri në momentin e hyrjes në fuqi të këtij ligji.</w:t>
      </w:r>
    </w:p>
    <w:p w14:paraId="3702BB57"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7ED9BB10"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r w:rsidRPr="00455947">
        <w:rPr>
          <w:rFonts w:ascii="Garamond" w:eastAsia="Calibri" w:hAnsi="Garamond"/>
          <w:color w:val="000000"/>
          <w:sz w:val="24"/>
          <w:szCs w:val="24"/>
        </w:rPr>
        <w:t>Neni 8</w:t>
      </w:r>
    </w:p>
    <w:p w14:paraId="1675E4A6" w14:textId="77777777" w:rsidR="00747EBE" w:rsidRPr="00455947" w:rsidRDefault="00747EBE" w:rsidP="002167CB">
      <w:pPr>
        <w:widowControl/>
        <w:autoSpaceDE/>
        <w:autoSpaceDN/>
        <w:ind w:firstLine="284"/>
        <w:jc w:val="center"/>
        <w:rPr>
          <w:rFonts w:ascii="Garamond" w:eastAsia="Calibri" w:hAnsi="Garamond"/>
          <w:b/>
          <w:bCs/>
          <w:color w:val="000000"/>
          <w:sz w:val="24"/>
          <w:szCs w:val="24"/>
        </w:rPr>
      </w:pPr>
      <w:r w:rsidRPr="00455947">
        <w:rPr>
          <w:rFonts w:ascii="Garamond" w:eastAsia="Calibri" w:hAnsi="Garamond"/>
          <w:b/>
          <w:bCs/>
          <w:color w:val="000000"/>
          <w:sz w:val="24"/>
          <w:szCs w:val="24"/>
        </w:rPr>
        <w:t>Hyrja në fuqi</w:t>
      </w:r>
    </w:p>
    <w:p w14:paraId="43D1684F" w14:textId="77777777" w:rsidR="00747EBE" w:rsidRPr="00455947" w:rsidRDefault="00747EBE" w:rsidP="002167CB">
      <w:pPr>
        <w:widowControl/>
        <w:autoSpaceDE/>
        <w:autoSpaceDN/>
        <w:ind w:firstLine="284"/>
        <w:jc w:val="center"/>
        <w:rPr>
          <w:rFonts w:ascii="Garamond" w:eastAsia="Calibri" w:hAnsi="Garamond"/>
          <w:color w:val="000000"/>
          <w:sz w:val="24"/>
          <w:szCs w:val="24"/>
        </w:rPr>
      </w:pPr>
    </w:p>
    <w:p w14:paraId="539B6B6D" w14:textId="77777777" w:rsidR="00747EBE" w:rsidRPr="00455947" w:rsidRDefault="00747EBE" w:rsidP="002167CB">
      <w:pPr>
        <w:widowControl/>
        <w:autoSpaceDE/>
        <w:autoSpaceDN/>
        <w:ind w:firstLine="284"/>
        <w:jc w:val="both"/>
        <w:rPr>
          <w:rFonts w:ascii="Garamond" w:eastAsia="Calibri" w:hAnsi="Garamond"/>
          <w:color w:val="000000"/>
          <w:sz w:val="24"/>
          <w:szCs w:val="24"/>
        </w:rPr>
      </w:pPr>
      <w:r w:rsidRPr="00455947">
        <w:rPr>
          <w:rFonts w:ascii="Garamond" w:eastAsia="Calibri" w:hAnsi="Garamond"/>
          <w:color w:val="000000"/>
          <w:sz w:val="24"/>
          <w:szCs w:val="24"/>
        </w:rPr>
        <w:t>Ky ligj hyn në fuqi 15 ditë pas botimit në Fletoren Zyrtare.</w:t>
      </w:r>
    </w:p>
    <w:p w14:paraId="0C750E71" w14:textId="77777777" w:rsidR="00747EBE" w:rsidRPr="00455947" w:rsidRDefault="00747EBE" w:rsidP="002167CB">
      <w:pPr>
        <w:widowControl/>
        <w:autoSpaceDE/>
        <w:autoSpaceDN/>
        <w:ind w:firstLine="284"/>
        <w:jc w:val="both"/>
        <w:rPr>
          <w:rFonts w:ascii="Garamond" w:eastAsia="Calibri" w:hAnsi="Garamond"/>
          <w:color w:val="000000"/>
          <w:sz w:val="24"/>
          <w:szCs w:val="24"/>
        </w:rPr>
      </w:pPr>
    </w:p>
    <w:p w14:paraId="25BF0178" w14:textId="52840D81" w:rsidR="007A2156" w:rsidRPr="00455947" w:rsidRDefault="00463FDD" w:rsidP="002167CB">
      <w:pPr>
        <w:ind w:firstLine="284"/>
        <w:rPr>
          <w:rFonts w:ascii="Garamond" w:hAnsi="Garamond"/>
          <w:sz w:val="24"/>
          <w:szCs w:val="24"/>
        </w:rPr>
      </w:pPr>
      <w:r w:rsidRPr="00455947">
        <w:rPr>
          <w:rFonts w:ascii="Garamond" w:hAnsi="Garamond"/>
          <w:sz w:val="24"/>
          <w:szCs w:val="24"/>
        </w:rPr>
        <w:t>Miratuar në datën 18.6.2026</w:t>
      </w:r>
      <w:r w:rsidR="00792B67" w:rsidRPr="00455947">
        <w:rPr>
          <w:rFonts w:ascii="Garamond" w:hAnsi="Garamond"/>
          <w:sz w:val="24"/>
          <w:szCs w:val="24"/>
        </w:rPr>
        <w:t>.</w:t>
      </w:r>
    </w:p>
    <w:p w14:paraId="2C79B627" w14:textId="5174779D" w:rsidR="009B0DE8" w:rsidRPr="00455947" w:rsidRDefault="00792B67" w:rsidP="00792B67">
      <w:pPr>
        <w:ind w:firstLine="284"/>
        <w:jc w:val="both"/>
        <w:rPr>
          <w:rFonts w:ascii="Garamond" w:eastAsiaTheme="minorHAnsi" w:hAnsi="Garamond"/>
          <w:bCs/>
          <w:color w:val="000000" w:themeColor="text1"/>
          <w:sz w:val="24"/>
          <w:szCs w:val="24"/>
        </w:rPr>
      </w:pPr>
      <w:r w:rsidRPr="00154036">
        <w:rPr>
          <w:rFonts w:ascii="Garamond" w:hAnsi="Garamond" w:cs="Arial"/>
          <w:b/>
          <w:spacing w:val="-2"/>
          <w:sz w:val="24"/>
          <w:szCs w:val="24"/>
          <w:lang w:eastAsia="sq-AL"/>
        </w:rPr>
        <w:t xml:space="preserve">Shpallur me dekretin nr. </w:t>
      </w:r>
      <w:r w:rsidRPr="00455947">
        <w:rPr>
          <w:rFonts w:ascii="Garamond" w:hAnsi="Garamond" w:cs="Arial"/>
          <w:b/>
          <w:spacing w:val="-2"/>
          <w:sz w:val="24"/>
          <w:szCs w:val="24"/>
          <w:lang w:eastAsia="sq-AL"/>
        </w:rPr>
        <w:t>37</w:t>
      </w:r>
      <w:r w:rsidRPr="00455947">
        <w:rPr>
          <w:rFonts w:ascii="Garamond" w:hAnsi="Garamond" w:cs="Arial"/>
          <w:b/>
          <w:spacing w:val="-2"/>
          <w:sz w:val="24"/>
          <w:szCs w:val="24"/>
          <w:lang w:eastAsia="sq-AL"/>
        </w:rPr>
        <w:t>5</w:t>
      </w:r>
      <w:r w:rsidRPr="00154036">
        <w:rPr>
          <w:rFonts w:ascii="Garamond" w:hAnsi="Garamond" w:cs="Arial"/>
          <w:b/>
          <w:spacing w:val="-2"/>
          <w:sz w:val="24"/>
          <w:szCs w:val="24"/>
          <w:lang w:eastAsia="sq-AL"/>
        </w:rPr>
        <w:t>,</w:t>
      </w:r>
      <w:r w:rsidRPr="00455947">
        <w:rPr>
          <w:rFonts w:ascii="Garamond" w:hAnsi="Garamond" w:cs="Arial"/>
          <w:b/>
          <w:spacing w:val="-2"/>
          <w:sz w:val="24"/>
          <w:szCs w:val="24"/>
          <w:lang w:eastAsia="sq-AL"/>
        </w:rPr>
        <w:t xml:space="preserve"> </w:t>
      </w:r>
      <w:r w:rsidRPr="00154036">
        <w:rPr>
          <w:rFonts w:ascii="Garamond" w:hAnsi="Garamond" w:cs="Arial"/>
          <w:b/>
          <w:spacing w:val="-2"/>
          <w:sz w:val="24"/>
          <w:szCs w:val="24"/>
          <w:lang w:eastAsia="sq-AL"/>
        </w:rPr>
        <w:t xml:space="preserve">datë </w:t>
      </w:r>
      <w:r w:rsidRPr="00455947">
        <w:rPr>
          <w:rFonts w:ascii="Garamond" w:hAnsi="Garamond" w:cs="Arial"/>
          <w:b/>
          <w:spacing w:val="-2"/>
          <w:sz w:val="24"/>
          <w:szCs w:val="24"/>
          <w:lang w:eastAsia="sq-AL"/>
        </w:rPr>
        <w:t>30</w:t>
      </w:r>
      <w:r w:rsidRPr="00154036">
        <w:rPr>
          <w:rFonts w:ascii="Garamond" w:hAnsi="Garamond" w:cs="Arial"/>
          <w:b/>
          <w:spacing w:val="-2"/>
          <w:sz w:val="24"/>
          <w:szCs w:val="24"/>
          <w:lang w:eastAsia="sq-AL"/>
        </w:rPr>
        <w:t>.6.2026,</w:t>
      </w:r>
      <w:r w:rsidRPr="00455947">
        <w:rPr>
          <w:rFonts w:ascii="Garamond" w:hAnsi="Garamond" w:cs="Arial"/>
          <w:b/>
          <w:spacing w:val="-2"/>
          <w:sz w:val="24"/>
          <w:szCs w:val="24"/>
          <w:lang w:eastAsia="sq-AL"/>
        </w:rPr>
        <w:t xml:space="preserve"> të Presidentit të Republikës së</w:t>
      </w:r>
      <w:r w:rsidRPr="00154036">
        <w:rPr>
          <w:rFonts w:ascii="Garamond" w:hAnsi="Garamond" w:cs="Arial"/>
          <w:b/>
          <w:spacing w:val="-2"/>
          <w:sz w:val="24"/>
          <w:szCs w:val="24"/>
          <w:lang w:eastAsia="sq-AL"/>
        </w:rPr>
        <w:t xml:space="preserve"> Shqipërisë, Bajram </w:t>
      </w:r>
      <w:proofErr w:type="spellStart"/>
      <w:r w:rsidRPr="00154036">
        <w:rPr>
          <w:rFonts w:ascii="Garamond" w:hAnsi="Garamond" w:cs="Arial"/>
          <w:b/>
          <w:spacing w:val="-2"/>
          <w:sz w:val="24"/>
          <w:szCs w:val="24"/>
          <w:lang w:eastAsia="sq-AL"/>
        </w:rPr>
        <w:t>Begaj</w:t>
      </w:r>
      <w:proofErr w:type="spellEnd"/>
    </w:p>
    <w:sectPr w:rsidR="009B0DE8" w:rsidRPr="00455947" w:rsidSect="00422FB1">
      <w:footerReference w:type="default" r:id="rId11"/>
      <w:pgSz w:w="11910" w:h="16840"/>
      <w:pgMar w:top="810" w:right="1417" w:bottom="1200" w:left="1417" w:header="0" w:footer="1003"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71599" w14:textId="77777777" w:rsidR="002569D6" w:rsidRDefault="002569D6">
      <w:r>
        <w:separator/>
      </w:r>
    </w:p>
  </w:endnote>
  <w:endnote w:type="continuationSeparator" w:id="0">
    <w:p w14:paraId="0B3B7930" w14:textId="77777777" w:rsidR="002569D6" w:rsidRDefault="00256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2D251" w14:textId="15957CE7" w:rsidR="00422FB1" w:rsidRPr="00422FB1" w:rsidRDefault="00422FB1">
    <w:pPr>
      <w:pStyle w:val="Footer"/>
      <w:jc w:val="center"/>
      <w:rPr>
        <w:sz w:val="24"/>
        <w:szCs w:val="24"/>
      </w:rPr>
    </w:pPr>
  </w:p>
  <w:p w14:paraId="3C24E332" w14:textId="0F684D86" w:rsidR="00CC6DB8" w:rsidRDefault="00CC6DB8">
    <w:pPr>
      <w:pStyle w:val="BodyText"/>
      <w:spacing w:before="0" w:line="14" w:lineRule="auto"/>
      <w:ind w:left="0"/>
      <w:jc w:val="lef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16EE1" w14:textId="77777777" w:rsidR="002569D6" w:rsidRDefault="002569D6">
      <w:r>
        <w:separator/>
      </w:r>
    </w:p>
  </w:footnote>
  <w:footnote w:type="continuationSeparator" w:id="0">
    <w:p w14:paraId="5CDCB974" w14:textId="77777777" w:rsidR="002569D6" w:rsidRDefault="002569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55265"/>
    <w:multiLevelType w:val="hybridMultilevel"/>
    <w:tmpl w:val="0A92FA68"/>
    <w:lvl w:ilvl="0" w:tplc="4CCA5F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81ED6"/>
    <w:multiLevelType w:val="hybridMultilevel"/>
    <w:tmpl w:val="27404900"/>
    <w:lvl w:ilvl="0" w:tplc="4CCA5F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2491E"/>
    <w:multiLevelType w:val="hybridMultilevel"/>
    <w:tmpl w:val="ACD85252"/>
    <w:lvl w:ilvl="0" w:tplc="4F9A1C06">
      <w:start w:val="1"/>
      <w:numFmt w:val="upperRoman"/>
      <w:lvlText w:val="%1."/>
      <w:lvlJc w:val="left"/>
      <w:pPr>
        <w:ind w:left="1500" w:hanging="360"/>
      </w:pPr>
      <w:rPr>
        <w:rFonts w:ascii="Times New Roman" w:eastAsia="Times New Roman" w:hAnsi="Times New Roman" w:cs="Times New Roman" w:hint="default"/>
        <w:b/>
        <w:bCs/>
        <w:i w:val="0"/>
        <w:iCs w:val="0"/>
        <w:spacing w:val="0"/>
        <w:w w:val="100"/>
        <w:sz w:val="24"/>
        <w:szCs w:val="24"/>
        <w:lang w:val="sq-AL" w:eastAsia="en-US" w:bidi="ar-SA"/>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1C9A7B6B"/>
    <w:multiLevelType w:val="hybridMultilevel"/>
    <w:tmpl w:val="248A0B8A"/>
    <w:lvl w:ilvl="0" w:tplc="A7FE57EA">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225A7"/>
    <w:multiLevelType w:val="hybridMultilevel"/>
    <w:tmpl w:val="0E669BA2"/>
    <w:lvl w:ilvl="0" w:tplc="2E78FE70">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66F84"/>
    <w:multiLevelType w:val="hybridMultilevel"/>
    <w:tmpl w:val="F2123010"/>
    <w:lvl w:ilvl="0" w:tplc="19B454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7394F"/>
    <w:multiLevelType w:val="hybridMultilevel"/>
    <w:tmpl w:val="8B92E6E8"/>
    <w:lvl w:ilvl="0" w:tplc="E94802BC">
      <w:start w:val="1"/>
      <w:numFmt w:val="decimal"/>
      <w:lvlText w:val="%1."/>
      <w:lvlJc w:val="left"/>
      <w:pPr>
        <w:ind w:left="165" w:hanging="276"/>
      </w:pPr>
      <w:rPr>
        <w:rFonts w:ascii="Times New Roman" w:eastAsia="Times New Roman" w:hAnsi="Times New Roman" w:cs="Times New Roman" w:hint="default"/>
        <w:b w:val="0"/>
        <w:bCs w:val="0"/>
        <w:i w:val="0"/>
        <w:iCs w:val="0"/>
        <w:spacing w:val="0"/>
        <w:w w:val="100"/>
        <w:sz w:val="28"/>
        <w:szCs w:val="28"/>
        <w:lang w:val="sq-AL" w:eastAsia="en-US" w:bidi="ar-SA"/>
      </w:rPr>
    </w:lvl>
    <w:lvl w:ilvl="1" w:tplc="2ED86A58">
      <w:numFmt w:val="bullet"/>
      <w:lvlText w:val="•"/>
      <w:lvlJc w:val="left"/>
      <w:pPr>
        <w:ind w:left="1065" w:hanging="276"/>
      </w:pPr>
      <w:rPr>
        <w:rFonts w:hint="default"/>
        <w:lang w:val="sq-AL" w:eastAsia="en-US" w:bidi="ar-SA"/>
      </w:rPr>
    </w:lvl>
    <w:lvl w:ilvl="2" w:tplc="3A649596">
      <w:numFmt w:val="bullet"/>
      <w:lvlText w:val="•"/>
      <w:lvlJc w:val="left"/>
      <w:pPr>
        <w:ind w:left="1970" w:hanging="276"/>
      </w:pPr>
      <w:rPr>
        <w:rFonts w:hint="default"/>
        <w:lang w:val="sq-AL" w:eastAsia="en-US" w:bidi="ar-SA"/>
      </w:rPr>
    </w:lvl>
    <w:lvl w:ilvl="3" w:tplc="3454D25C">
      <w:numFmt w:val="bullet"/>
      <w:lvlText w:val="•"/>
      <w:lvlJc w:val="left"/>
      <w:pPr>
        <w:ind w:left="2876" w:hanging="276"/>
      </w:pPr>
      <w:rPr>
        <w:rFonts w:hint="default"/>
        <w:lang w:val="sq-AL" w:eastAsia="en-US" w:bidi="ar-SA"/>
      </w:rPr>
    </w:lvl>
    <w:lvl w:ilvl="4" w:tplc="AC4C7128">
      <w:numFmt w:val="bullet"/>
      <w:lvlText w:val="•"/>
      <w:lvlJc w:val="left"/>
      <w:pPr>
        <w:ind w:left="3781" w:hanging="276"/>
      </w:pPr>
      <w:rPr>
        <w:rFonts w:hint="default"/>
        <w:lang w:val="sq-AL" w:eastAsia="en-US" w:bidi="ar-SA"/>
      </w:rPr>
    </w:lvl>
    <w:lvl w:ilvl="5" w:tplc="A5202A4E">
      <w:numFmt w:val="bullet"/>
      <w:lvlText w:val="•"/>
      <w:lvlJc w:val="left"/>
      <w:pPr>
        <w:ind w:left="4687" w:hanging="276"/>
      </w:pPr>
      <w:rPr>
        <w:rFonts w:hint="default"/>
        <w:lang w:val="sq-AL" w:eastAsia="en-US" w:bidi="ar-SA"/>
      </w:rPr>
    </w:lvl>
    <w:lvl w:ilvl="6" w:tplc="79ECCFBA">
      <w:numFmt w:val="bullet"/>
      <w:lvlText w:val="•"/>
      <w:lvlJc w:val="left"/>
      <w:pPr>
        <w:ind w:left="5592" w:hanging="276"/>
      </w:pPr>
      <w:rPr>
        <w:rFonts w:hint="default"/>
        <w:lang w:val="sq-AL" w:eastAsia="en-US" w:bidi="ar-SA"/>
      </w:rPr>
    </w:lvl>
    <w:lvl w:ilvl="7" w:tplc="8CB6A6E8">
      <w:numFmt w:val="bullet"/>
      <w:lvlText w:val="•"/>
      <w:lvlJc w:val="left"/>
      <w:pPr>
        <w:ind w:left="6498" w:hanging="276"/>
      </w:pPr>
      <w:rPr>
        <w:rFonts w:hint="default"/>
        <w:lang w:val="sq-AL" w:eastAsia="en-US" w:bidi="ar-SA"/>
      </w:rPr>
    </w:lvl>
    <w:lvl w:ilvl="8" w:tplc="8D627B96">
      <w:numFmt w:val="bullet"/>
      <w:lvlText w:val="•"/>
      <w:lvlJc w:val="left"/>
      <w:pPr>
        <w:ind w:left="7403" w:hanging="276"/>
      </w:pPr>
      <w:rPr>
        <w:rFonts w:hint="default"/>
        <w:lang w:val="sq-AL" w:eastAsia="en-US" w:bidi="ar-SA"/>
      </w:rPr>
    </w:lvl>
  </w:abstractNum>
  <w:abstractNum w:abstractNumId="7" w15:restartNumberingAfterBreak="0">
    <w:nsid w:val="57580C9E"/>
    <w:multiLevelType w:val="hybridMultilevel"/>
    <w:tmpl w:val="2A7403A2"/>
    <w:lvl w:ilvl="0" w:tplc="4F9A1C06">
      <w:start w:val="1"/>
      <w:numFmt w:val="upperRoman"/>
      <w:lvlText w:val="%1."/>
      <w:lvlJc w:val="left"/>
      <w:pPr>
        <w:ind w:left="297" w:hanging="274"/>
        <w:jc w:val="right"/>
      </w:pPr>
      <w:rPr>
        <w:rFonts w:ascii="Times New Roman" w:eastAsia="Times New Roman" w:hAnsi="Times New Roman" w:cs="Times New Roman" w:hint="default"/>
        <w:b/>
        <w:bCs/>
        <w:i w:val="0"/>
        <w:iCs w:val="0"/>
        <w:spacing w:val="0"/>
        <w:w w:val="100"/>
        <w:sz w:val="24"/>
        <w:szCs w:val="24"/>
        <w:lang w:val="sq-AL" w:eastAsia="en-US" w:bidi="ar-SA"/>
      </w:rPr>
    </w:lvl>
    <w:lvl w:ilvl="1" w:tplc="637AB324">
      <w:numFmt w:val="bullet"/>
      <w:lvlText w:val="•"/>
      <w:lvlJc w:val="left"/>
      <w:pPr>
        <w:ind w:left="1177" w:hanging="274"/>
      </w:pPr>
      <w:rPr>
        <w:rFonts w:hint="default"/>
        <w:lang w:val="sq-AL" w:eastAsia="en-US" w:bidi="ar-SA"/>
      </w:rPr>
    </w:lvl>
    <w:lvl w:ilvl="2" w:tplc="17EAD9D4">
      <w:numFmt w:val="bullet"/>
      <w:lvlText w:val="•"/>
      <w:lvlJc w:val="left"/>
      <w:pPr>
        <w:ind w:left="2054" w:hanging="274"/>
      </w:pPr>
      <w:rPr>
        <w:rFonts w:hint="default"/>
        <w:lang w:val="sq-AL" w:eastAsia="en-US" w:bidi="ar-SA"/>
      </w:rPr>
    </w:lvl>
    <w:lvl w:ilvl="3" w:tplc="1218688C">
      <w:numFmt w:val="bullet"/>
      <w:lvlText w:val="•"/>
      <w:lvlJc w:val="left"/>
      <w:pPr>
        <w:ind w:left="2931" w:hanging="274"/>
      </w:pPr>
      <w:rPr>
        <w:rFonts w:hint="default"/>
        <w:lang w:val="sq-AL" w:eastAsia="en-US" w:bidi="ar-SA"/>
      </w:rPr>
    </w:lvl>
    <w:lvl w:ilvl="4" w:tplc="573CFA20">
      <w:numFmt w:val="bullet"/>
      <w:lvlText w:val="•"/>
      <w:lvlJc w:val="left"/>
      <w:pPr>
        <w:ind w:left="3808" w:hanging="274"/>
      </w:pPr>
      <w:rPr>
        <w:rFonts w:hint="default"/>
        <w:lang w:val="sq-AL" w:eastAsia="en-US" w:bidi="ar-SA"/>
      </w:rPr>
    </w:lvl>
    <w:lvl w:ilvl="5" w:tplc="2E3E7B40">
      <w:numFmt w:val="bullet"/>
      <w:lvlText w:val="•"/>
      <w:lvlJc w:val="left"/>
      <w:pPr>
        <w:ind w:left="4686" w:hanging="274"/>
      </w:pPr>
      <w:rPr>
        <w:rFonts w:hint="default"/>
        <w:lang w:val="sq-AL" w:eastAsia="en-US" w:bidi="ar-SA"/>
      </w:rPr>
    </w:lvl>
    <w:lvl w:ilvl="6" w:tplc="A77CE930">
      <w:numFmt w:val="bullet"/>
      <w:lvlText w:val="•"/>
      <w:lvlJc w:val="left"/>
      <w:pPr>
        <w:ind w:left="5563" w:hanging="274"/>
      </w:pPr>
      <w:rPr>
        <w:rFonts w:hint="default"/>
        <w:lang w:val="sq-AL" w:eastAsia="en-US" w:bidi="ar-SA"/>
      </w:rPr>
    </w:lvl>
    <w:lvl w:ilvl="7" w:tplc="7A3A684C">
      <w:numFmt w:val="bullet"/>
      <w:lvlText w:val="•"/>
      <w:lvlJc w:val="left"/>
      <w:pPr>
        <w:ind w:left="6440" w:hanging="274"/>
      </w:pPr>
      <w:rPr>
        <w:rFonts w:hint="default"/>
        <w:lang w:val="sq-AL" w:eastAsia="en-US" w:bidi="ar-SA"/>
      </w:rPr>
    </w:lvl>
    <w:lvl w:ilvl="8" w:tplc="AADA043E">
      <w:numFmt w:val="bullet"/>
      <w:lvlText w:val="•"/>
      <w:lvlJc w:val="left"/>
      <w:pPr>
        <w:ind w:left="7317" w:hanging="274"/>
      </w:pPr>
      <w:rPr>
        <w:rFonts w:hint="default"/>
        <w:lang w:val="sq-AL" w:eastAsia="en-US" w:bidi="ar-SA"/>
      </w:rPr>
    </w:lvl>
  </w:abstractNum>
  <w:num w:numId="1">
    <w:abstractNumId w:val="7"/>
  </w:num>
  <w:num w:numId="2">
    <w:abstractNumId w:val="5"/>
  </w:num>
  <w:num w:numId="3">
    <w:abstractNumId w:val="1"/>
  </w:num>
  <w:num w:numId="4">
    <w:abstractNumId w:val="0"/>
  </w:num>
  <w:num w:numId="5">
    <w:abstractNumId w:val="3"/>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34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207"/>
    <w:rsid w:val="0001564D"/>
    <w:rsid w:val="0005763A"/>
    <w:rsid w:val="00077373"/>
    <w:rsid w:val="000C2771"/>
    <w:rsid w:val="000E0A41"/>
    <w:rsid w:val="000E7218"/>
    <w:rsid w:val="001002C8"/>
    <w:rsid w:val="001027AE"/>
    <w:rsid w:val="00116F62"/>
    <w:rsid w:val="00137499"/>
    <w:rsid w:val="00156A0C"/>
    <w:rsid w:val="00166C18"/>
    <w:rsid w:val="001C134A"/>
    <w:rsid w:val="001C7F89"/>
    <w:rsid w:val="001D3FD7"/>
    <w:rsid w:val="001E626D"/>
    <w:rsid w:val="002167CB"/>
    <w:rsid w:val="0021738A"/>
    <w:rsid w:val="002429DA"/>
    <w:rsid w:val="002569D6"/>
    <w:rsid w:val="00261190"/>
    <w:rsid w:val="002B4C14"/>
    <w:rsid w:val="002C151A"/>
    <w:rsid w:val="002C1576"/>
    <w:rsid w:val="002F3536"/>
    <w:rsid w:val="00301774"/>
    <w:rsid w:val="00324D7F"/>
    <w:rsid w:val="003606DF"/>
    <w:rsid w:val="0037388C"/>
    <w:rsid w:val="003E3638"/>
    <w:rsid w:val="004052D2"/>
    <w:rsid w:val="0041395A"/>
    <w:rsid w:val="00422FB1"/>
    <w:rsid w:val="0044002F"/>
    <w:rsid w:val="00443EEE"/>
    <w:rsid w:val="004513CF"/>
    <w:rsid w:val="00455947"/>
    <w:rsid w:val="004635E5"/>
    <w:rsid w:val="00463FDD"/>
    <w:rsid w:val="00476892"/>
    <w:rsid w:val="00497245"/>
    <w:rsid w:val="004A38DE"/>
    <w:rsid w:val="004C6019"/>
    <w:rsid w:val="004C7B55"/>
    <w:rsid w:val="00550B39"/>
    <w:rsid w:val="00560529"/>
    <w:rsid w:val="00564153"/>
    <w:rsid w:val="00565042"/>
    <w:rsid w:val="00572092"/>
    <w:rsid w:val="0057751D"/>
    <w:rsid w:val="005A6ADE"/>
    <w:rsid w:val="005D2A01"/>
    <w:rsid w:val="005F20A8"/>
    <w:rsid w:val="005F267B"/>
    <w:rsid w:val="00623560"/>
    <w:rsid w:val="00624BFE"/>
    <w:rsid w:val="00650C53"/>
    <w:rsid w:val="00661565"/>
    <w:rsid w:val="00676389"/>
    <w:rsid w:val="00691A7F"/>
    <w:rsid w:val="006C291F"/>
    <w:rsid w:val="006C7D3A"/>
    <w:rsid w:val="006D2267"/>
    <w:rsid w:val="006D3E18"/>
    <w:rsid w:val="006D50DF"/>
    <w:rsid w:val="006F6EC2"/>
    <w:rsid w:val="006F7207"/>
    <w:rsid w:val="007039C0"/>
    <w:rsid w:val="0072076A"/>
    <w:rsid w:val="007246AB"/>
    <w:rsid w:val="00745D31"/>
    <w:rsid w:val="00747EBE"/>
    <w:rsid w:val="00757823"/>
    <w:rsid w:val="00792B5D"/>
    <w:rsid w:val="00792B67"/>
    <w:rsid w:val="00793105"/>
    <w:rsid w:val="00793624"/>
    <w:rsid w:val="007A2156"/>
    <w:rsid w:val="007D755E"/>
    <w:rsid w:val="007E0567"/>
    <w:rsid w:val="007F277D"/>
    <w:rsid w:val="007F5163"/>
    <w:rsid w:val="008157D1"/>
    <w:rsid w:val="0084744C"/>
    <w:rsid w:val="00861DCE"/>
    <w:rsid w:val="00877AD8"/>
    <w:rsid w:val="008A2A01"/>
    <w:rsid w:val="008E295F"/>
    <w:rsid w:val="008F1561"/>
    <w:rsid w:val="00904EC2"/>
    <w:rsid w:val="00937DDD"/>
    <w:rsid w:val="00943023"/>
    <w:rsid w:val="00951DC8"/>
    <w:rsid w:val="009573D2"/>
    <w:rsid w:val="00970F67"/>
    <w:rsid w:val="0099241E"/>
    <w:rsid w:val="009B0DE8"/>
    <w:rsid w:val="009B3383"/>
    <w:rsid w:val="00A14BCE"/>
    <w:rsid w:val="00A47690"/>
    <w:rsid w:val="00A701E8"/>
    <w:rsid w:val="00A955EB"/>
    <w:rsid w:val="00A9761B"/>
    <w:rsid w:val="00AB116F"/>
    <w:rsid w:val="00AB491F"/>
    <w:rsid w:val="00AE14B7"/>
    <w:rsid w:val="00AE6E3E"/>
    <w:rsid w:val="00B018A0"/>
    <w:rsid w:val="00B02A39"/>
    <w:rsid w:val="00B46A53"/>
    <w:rsid w:val="00B50090"/>
    <w:rsid w:val="00B50CDA"/>
    <w:rsid w:val="00B57808"/>
    <w:rsid w:val="00B853AE"/>
    <w:rsid w:val="00B85F3A"/>
    <w:rsid w:val="00BB2A1E"/>
    <w:rsid w:val="00BB2A97"/>
    <w:rsid w:val="00BB7E10"/>
    <w:rsid w:val="00C04550"/>
    <w:rsid w:val="00C10C17"/>
    <w:rsid w:val="00C10FB0"/>
    <w:rsid w:val="00C242FE"/>
    <w:rsid w:val="00C44B0F"/>
    <w:rsid w:val="00CA6070"/>
    <w:rsid w:val="00CB26EB"/>
    <w:rsid w:val="00CB5B9E"/>
    <w:rsid w:val="00CC6DB8"/>
    <w:rsid w:val="00CE664D"/>
    <w:rsid w:val="00CF09FA"/>
    <w:rsid w:val="00D43702"/>
    <w:rsid w:val="00D854A6"/>
    <w:rsid w:val="00DA3245"/>
    <w:rsid w:val="00DA33A0"/>
    <w:rsid w:val="00DA373E"/>
    <w:rsid w:val="00DB3DAB"/>
    <w:rsid w:val="00DB6AC2"/>
    <w:rsid w:val="00DC519A"/>
    <w:rsid w:val="00DD3571"/>
    <w:rsid w:val="00DE6548"/>
    <w:rsid w:val="00E029BF"/>
    <w:rsid w:val="00E10D83"/>
    <w:rsid w:val="00E42D97"/>
    <w:rsid w:val="00E62C3F"/>
    <w:rsid w:val="00E86F06"/>
    <w:rsid w:val="00E9524E"/>
    <w:rsid w:val="00E9725F"/>
    <w:rsid w:val="00EB3642"/>
    <w:rsid w:val="00EC1455"/>
    <w:rsid w:val="00EC45FB"/>
    <w:rsid w:val="00ED3468"/>
    <w:rsid w:val="00ED737C"/>
    <w:rsid w:val="00EE758F"/>
    <w:rsid w:val="00F20757"/>
    <w:rsid w:val="00F32834"/>
    <w:rsid w:val="00F47D9E"/>
    <w:rsid w:val="00F500FC"/>
    <w:rsid w:val="00F65A1D"/>
    <w:rsid w:val="00F76936"/>
    <w:rsid w:val="00F938B5"/>
    <w:rsid w:val="00FC15CC"/>
    <w:rsid w:val="00FC5299"/>
    <w:rsid w:val="00FC6017"/>
    <w:rsid w:val="00FD7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DE5274"/>
  <w15:chartTrackingRefBased/>
  <w15:docId w15:val="{A5D35733-1588-4D51-944A-86456266A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F7207"/>
    <w:pPr>
      <w:widowControl w:val="0"/>
      <w:autoSpaceDE w:val="0"/>
      <w:autoSpaceDN w:val="0"/>
      <w:spacing w:after="0" w:line="240" w:lineRule="auto"/>
    </w:pPr>
    <w:rPr>
      <w:rFonts w:ascii="Times New Roman" w:eastAsia="Times New Roman" w:hAnsi="Times New Roman" w:cs="Times New Roman"/>
      <w:lang w:val="sq-AL"/>
    </w:rPr>
  </w:style>
  <w:style w:type="paragraph" w:styleId="Heading1">
    <w:name w:val="heading 1"/>
    <w:basedOn w:val="Normal"/>
    <w:link w:val="Heading1Char"/>
    <w:uiPriority w:val="1"/>
    <w:qFormat/>
    <w:rsid w:val="006F7207"/>
    <w:pPr>
      <w:ind w:left="1103" w:hanging="720"/>
      <w:outlineLvl w:val="0"/>
    </w:pPr>
    <w:rPr>
      <w:b/>
      <w:bCs/>
      <w:sz w:val="24"/>
      <w:szCs w:val="24"/>
    </w:rPr>
  </w:style>
  <w:style w:type="paragraph" w:styleId="Heading3">
    <w:name w:val="heading 3"/>
    <w:basedOn w:val="Normal"/>
    <w:next w:val="Normal"/>
    <w:link w:val="Heading3Char"/>
    <w:uiPriority w:val="9"/>
    <w:unhideWhenUsed/>
    <w:qFormat/>
    <w:rsid w:val="006F72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F7207"/>
    <w:rPr>
      <w:rFonts w:ascii="Times New Roman" w:eastAsia="Times New Roman" w:hAnsi="Times New Roman" w:cs="Times New Roman"/>
      <w:b/>
      <w:bCs/>
      <w:sz w:val="24"/>
      <w:szCs w:val="24"/>
      <w:lang w:val="sq-AL"/>
    </w:rPr>
  </w:style>
  <w:style w:type="character" w:customStyle="1" w:styleId="Heading3Char">
    <w:name w:val="Heading 3 Char"/>
    <w:basedOn w:val="DefaultParagraphFont"/>
    <w:link w:val="Heading3"/>
    <w:uiPriority w:val="9"/>
    <w:rsid w:val="006F7207"/>
    <w:rPr>
      <w:rFonts w:asciiTheme="majorHAnsi" w:eastAsiaTheme="majorEastAsia" w:hAnsiTheme="majorHAnsi" w:cstheme="majorBidi"/>
      <w:color w:val="1F4D78" w:themeColor="accent1" w:themeShade="7F"/>
      <w:sz w:val="24"/>
      <w:szCs w:val="24"/>
      <w:lang w:val="sq-AL"/>
    </w:rPr>
  </w:style>
  <w:style w:type="paragraph" w:styleId="BodyText">
    <w:name w:val="Body Text"/>
    <w:basedOn w:val="Normal"/>
    <w:link w:val="BodyTextChar"/>
    <w:uiPriority w:val="1"/>
    <w:qFormat/>
    <w:rsid w:val="006F7207"/>
    <w:pPr>
      <w:spacing w:before="120"/>
      <w:ind w:left="23"/>
      <w:jc w:val="both"/>
    </w:pPr>
    <w:rPr>
      <w:sz w:val="24"/>
      <w:szCs w:val="24"/>
    </w:rPr>
  </w:style>
  <w:style w:type="character" w:customStyle="1" w:styleId="BodyTextChar">
    <w:name w:val="Body Text Char"/>
    <w:basedOn w:val="DefaultParagraphFont"/>
    <w:link w:val="BodyText"/>
    <w:uiPriority w:val="1"/>
    <w:rsid w:val="006F7207"/>
    <w:rPr>
      <w:rFonts w:ascii="Times New Roman" w:eastAsia="Times New Roman" w:hAnsi="Times New Roman" w:cs="Times New Roman"/>
      <w:sz w:val="24"/>
      <w:szCs w:val="24"/>
      <w:lang w:val="sq-AL"/>
    </w:rPr>
  </w:style>
  <w:style w:type="paragraph" w:styleId="Title">
    <w:name w:val="Title"/>
    <w:basedOn w:val="Normal"/>
    <w:link w:val="TitleChar"/>
    <w:uiPriority w:val="1"/>
    <w:qFormat/>
    <w:rsid w:val="006F7207"/>
    <w:pPr>
      <w:spacing w:before="4"/>
      <w:ind w:left="2071" w:right="2064"/>
      <w:jc w:val="center"/>
    </w:pPr>
    <w:rPr>
      <w:b/>
      <w:bCs/>
      <w:sz w:val="28"/>
      <w:szCs w:val="28"/>
    </w:rPr>
  </w:style>
  <w:style w:type="character" w:customStyle="1" w:styleId="TitleChar">
    <w:name w:val="Title Char"/>
    <w:basedOn w:val="DefaultParagraphFont"/>
    <w:link w:val="Title"/>
    <w:uiPriority w:val="1"/>
    <w:rsid w:val="006F7207"/>
    <w:rPr>
      <w:rFonts w:ascii="Times New Roman" w:eastAsia="Times New Roman" w:hAnsi="Times New Roman" w:cs="Times New Roman"/>
      <w:b/>
      <w:bCs/>
      <w:sz w:val="28"/>
      <w:szCs w:val="28"/>
      <w:lang w:val="sq-AL"/>
    </w:rPr>
  </w:style>
  <w:style w:type="paragraph" w:styleId="ListParagraph">
    <w:name w:val="List Paragraph"/>
    <w:basedOn w:val="Normal"/>
    <w:uiPriority w:val="1"/>
    <w:qFormat/>
    <w:rsid w:val="006F7207"/>
    <w:pPr>
      <w:spacing w:before="125"/>
      <w:ind w:left="1103" w:hanging="720"/>
    </w:pPr>
  </w:style>
  <w:style w:type="paragraph" w:styleId="NormalWeb">
    <w:name w:val="Normal (Web)"/>
    <w:basedOn w:val="Normal"/>
    <w:uiPriority w:val="99"/>
    <w:unhideWhenUsed/>
    <w:rsid w:val="006F7207"/>
    <w:pPr>
      <w:widowControl/>
      <w:autoSpaceDE/>
      <w:autoSpaceDN/>
      <w:spacing w:before="100" w:beforeAutospacing="1" w:after="100" w:afterAutospacing="1"/>
    </w:pPr>
    <w:rPr>
      <w:sz w:val="24"/>
      <w:szCs w:val="24"/>
      <w:lang w:val="en-US"/>
    </w:rPr>
  </w:style>
  <w:style w:type="character" w:styleId="Emphasis">
    <w:name w:val="Emphasis"/>
    <w:uiPriority w:val="20"/>
    <w:qFormat/>
    <w:rsid w:val="006F7207"/>
    <w:rPr>
      <w:i/>
      <w:iCs/>
    </w:rPr>
  </w:style>
  <w:style w:type="paragraph" w:styleId="Header">
    <w:name w:val="header"/>
    <w:basedOn w:val="Normal"/>
    <w:link w:val="HeaderChar"/>
    <w:uiPriority w:val="99"/>
    <w:unhideWhenUsed/>
    <w:rsid w:val="0005763A"/>
    <w:pPr>
      <w:tabs>
        <w:tab w:val="center" w:pos="4680"/>
        <w:tab w:val="right" w:pos="9360"/>
      </w:tabs>
    </w:pPr>
  </w:style>
  <w:style w:type="character" w:customStyle="1" w:styleId="HeaderChar">
    <w:name w:val="Header Char"/>
    <w:basedOn w:val="DefaultParagraphFont"/>
    <w:link w:val="Header"/>
    <w:uiPriority w:val="99"/>
    <w:rsid w:val="0005763A"/>
    <w:rPr>
      <w:rFonts w:ascii="Times New Roman" w:eastAsia="Times New Roman" w:hAnsi="Times New Roman" w:cs="Times New Roman"/>
      <w:lang w:val="sq-AL"/>
    </w:rPr>
  </w:style>
  <w:style w:type="paragraph" w:styleId="Footer">
    <w:name w:val="footer"/>
    <w:basedOn w:val="Normal"/>
    <w:link w:val="FooterChar"/>
    <w:uiPriority w:val="99"/>
    <w:unhideWhenUsed/>
    <w:rsid w:val="0005763A"/>
    <w:pPr>
      <w:tabs>
        <w:tab w:val="center" w:pos="4680"/>
        <w:tab w:val="right" w:pos="9360"/>
      </w:tabs>
    </w:pPr>
  </w:style>
  <w:style w:type="character" w:customStyle="1" w:styleId="FooterChar">
    <w:name w:val="Footer Char"/>
    <w:basedOn w:val="DefaultParagraphFont"/>
    <w:link w:val="Footer"/>
    <w:uiPriority w:val="99"/>
    <w:rsid w:val="0005763A"/>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338102">
      <w:bodyDiv w:val="1"/>
      <w:marLeft w:val="0"/>
      <w:marRight w:val="0"/>
      <w:marTop w:val="0"/>
      <w:marBottom w:val="0"/>
      <w:divBdr>
        <w:top w:val="none" w:sz="0" w:space="0" w:color="auto"/>
        <w:left w:val="none" w:sz="0" w:space="0" w:color="auto"/>
        <w:bottom w:val="none" w:sz="0" w:space="0" w:color="auto"/>
        <w:right w:val="none" w:sz="0" w:space="0" w:color="auto"/>
      </w:divBdr>
    </w:div>
    <w:div w:id="193470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6B95343D9874121B9314E7DB92EDB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2026-06-30T11:46:12Z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2026-06-30T00:00:00Z</Date_x0020_protokolli>
    <Titulli xmlns="0e656187-b300-4fb0-8bf4-3a50f872073c">Për dhënie amnistie</Titulli>
    <Modifikuesi xmlns="0e656187-b300-4fb0-8bf4-3a50f872073c">keisina.zace</Modifikuesi>
    <Nr_x002e__x0020_prot_x0020_QBZ xmlns="0e656187-b300-4fb0-8bf4-3a50f872073c">1455/1</Nr_x002e__x0020_prot_x0020_QBZ>
    <Data_x0020_e_x0020_Modifikimit xmlns="0e656187-b300-4fb0-8bf4-3a50f872073c">2026-06-30T11:51:02Z</Data_x0020_e_x0020_Modifikimit>
    <Dekretuar xmlns="0e656187-b300-4fb0-8bf4-3a50f872073c">false</Dekretuar>
    <Data xmlns="0e656187-b300-4fb0-8bf4-3a50f872073c">2026-06-18T00:00:00Z</Data>
    <Nr_x002e__x0020_protokolli_x0020_i_x0020_aktit xmlns="0e656187-b300-4fb0-8bf4-3a50f872073c">2821/1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85825-4DFE-4F94-9041-920C6E279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CBF3FD-3E55-417B-B7D7-FCC250031F63}">
  <ds:schemaRefs>
    <ds:schemaRef ds:uri="http://purl.org/dc/dcmitype/"/>
    <ds:schemaRef ds:uri="http://schemas.microsoft.com/office/2006/metadata/properties"/>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C5A9B4B7-1FE8-451E-AA52-6F6D5A5EF2D3}">
  <ds:schemaRefs>
    <ds:schemaRef ds:uri="http://schemas.microsoft.com/sharepoint/v3/contenttype/forms"/>
  </ds:schemaRefs>
</ds:datastoreItem>
</file>

<file path=customXml/itemProps4.xml><?xml version="1.0" encoding="utf-8"?>
<ds:datastoreItem xmlns:ds="http://schemas.openxmlformats.org/officeDocument/2006/customXml" ds:itemID="{AA541854-64D1-410D-9890-BFE50DF6F61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81</TotalTime>
  <Pages>5</Pages>
  <Words>2786</Words>
  <Characters>15883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Binjaku</dc:creator>
  <cp:lastModifiedBy>fjora.cahani</cp:lastModifiedBy>
  <cp:revision>66</cp:revision>
  <cp:lastPrinted>2026-06-22T08:35:00Z</cp:lastPrinted>
  <dcterms:created xsi:type="dcterms:W3CDTF">2026-06-16T09:21:00Z</dcterms:created>
  <dcterms:modified xsi:type="dcterms:W3CDTF">2026-06-30T12:36:00Z</dcterms:modified>
</cp:coreProperties>
</file>