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ACA3" w14:textId="014B2FCD" w:rsidR="00420682" w:rsidRPr="00706252" w:rsidRDefault="00420682" w:rsidP="00706252">
      <w:pPr>
        <w:spacing w:after="0" w:line="240" w:lineRule="auto"/>
        <w:ind w:firstLine="284"/>
        <w:jc w:val="center"/>
        <w:rPr>
          <w:rFonts w:ascii="Garamond" w:hAnsi="Garamond" w:cs="Times New Roman"/>
          <w:b/>
          <w:color w:val="000000" w:themeColor="text1"/>
          <w:sz w:val="24"/>
          <w:szCs w:val="24"/>
        </w:rPr>
      </w:pPr>
      <w:r w:rsidRPr="00706252">
        <w:rPr>
          <w:rFonts w:ascii="Garamond" w:hAnsi="Garamond" w:cs="Times New Roman"/>
          <w:b/>
          <w:color w:val="000000" w:themeColor="text1"/>
          <w:sz w:val="24"/>
          <w:szCs w:val="24"/>
        </w:rPr>
        <w:t>LIGJ</w:t>
      </w:r>
    </w:p>
    <w:p w14:paraId="0A11B03B" w14:textId="4200F601" w:rsidR="00ED3463" w:rsidRPr="00706252" w:rsidRDefault="002009A1" w:rsidP="00706252">
      <w:pPr>
        <w:spacing w:after="0" w:line="240" w:lineRule="auto"/>
        <w:ind w:firstLine="284"/>
        <w:jc w:val="center"/>
        <w:rPr>
          <w:rFonts w:ascii="Garamond" w:hAnsi="Garamond" w:cs="Times New Roman"/>
          <w:b/>
          <w:color w:val="000000" w:themeColor="text1"/>
          <w:sz w:val="24"/>
          <w:szCs w:val="24"/>
        </w:rPr>
      </w:pPr>
      <w:r w:rsidRPr="00706252">
        <w:rPr>
          <w:rFonts w:ascii="Garamond" w:hAnsi="Garamond" w:cs="Times New Roman"/>
          <w:b/>
          <w:color w:val="000000" w:themeColor="text1"/>
          <w:sz w:val="24"/>
          <w:szCs w:val="24"/>
        </w:rPr>
        <w:t>Nr.</w:t>
      </w:r>
      <w:r w:rsidR="00F62A46" w:rsidRPr="00706252">
        <w:rPr>
          <w:rFonts w:ascii="Garamond" w:hAnsi="Garamond" w:cs="Times New Roman"/>
          <w:b/>
          <w:color w:val="000000" w:themeColor="text1"/>
          <w:sz w:val="24"/>
          <w:szCs w:val="24"/>
        </w:rPr>
        <w:t xml:space="preserve"> </w:t>
      </w:r>
      <w:r w:rsidR="009244D4" w:rsidRPr="00706252">
        <w:rPr>
          <w:rFonts w:ascii="Garamond" w:hAnsi="Garamond" w:cs="Times New Roman"/>
          <w:b/>
          <w:color w:val="000000" w:themeColor="text1"/>
          <w:sz w:val="24"/>
          <w:szCs w:val="24"/>
        </w:rPr>
        <w:t>78</w:t>
      </w:r>
      <w:r w:rsidR="007748A2" w:rsidRPr="00706252">
        <w:rPr>
          <w:rFonts w:ascii="Garamond" w:hAnsi="Garamond" w:cs="Times New Roman"/>
          <w:b/>
          <w:color w:val="000000" w:themeColor="text1"/>
          <w:sz w:val="24"/>
          <w:szCs w:val="24"/>
        </w:rPr>
        <w:t>/202</w:t>
      </w:r>
      <w:r w:rsidR="00B958E5" w:rsidRPr="00706252">
        <w:rPr>
          <w:rFonts w:ascii="Garamond" w:hAnsi="Garamond" w:cs="Times New Roman"/>
          <w:b/>
          <w:color w:val="000000" w:themeColor="text1"/>
          <w:sz w:val="24"/>
          <w:szCs w:val="24"/>
        </w:rPr>
        <w:t>6</w:t>
      </w:r>
    </w:p>
    <w:p w14:paraId="5AAB51ED" w14:textId="3B24CAC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DD42977" w14:textId="7B9C656B"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PËR STATUTIN E SHOQËRI</w:t>
      </w:r>
      <w:r w:rsidR="00031671" w:rsidRPr="00706252">
        <w:rPr>
          <w:rFonts w:ascii="Garamond" w:hAnsi="Garamond" w:cs="Times New Roman"/>
          <w:b/>
          <w:bCs/>
          <w:color w:val="000000" w:themeColor="text1"/>
          <w:sz w:val="24"/>
          <w:szCs w:val="24"/>
        </w:rPr>
        <w:t>S</w:t>
      </w:r>
      <w:r w:rsidR="006F5BF4" w:rsidRPr="00706252">
        <w:rPr>
          <w:rFonts w:ascii="Garamond" w:hAnsi="Garamond" w:cs="Times New Roman"/>
          <w:b/>
          <w:bCs/>
          <w:color w:val="000000" w:themeColor="text1"/>
          <w:sz w:val="24"/>
          <w:szCs w:val="24"/>
        </w:rPr>
        <w:t>Ë</w:t>
      </w:r>
      <w:r w:rsidRPr="00706252">
        <w:rPr>
          <w:rFonts w:ascii="Garamond" w:hAnsi="Garamond" w:cs="Times New Roman"/>
          <w:b/>
          <w:bCs/>
          <w:color w:val="000000" w:themeColor="text1"/>
          <w:sz w:val="24"/>
          <w:szCs w:val="24"/>
        </w:rPr>
        <w:t xml:space="preserve"> EVROPIANE (SE)</w:t>
      </w:r>
      <w:r w:rsidRPr="00706252">
        <w:rPr>
          <w:rStyle w:val="FootnoteReference"/>
          <w:rFonts w:ascii="Garamond" w:hAnsi="Garamond"/>
          <w:b/>
          <w:bCs/>
          <w:color w:val="000000" w:themeColor="text1"/>
          <w:sz w:val="24"/>
          <w:szCs w:val="24"/>
        </w:rPr>
        <w:footnoteReference w:id="2"/>
      </w:r>
    </w:p>
    <w:p w14:paraId="4F47B842"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183A30C1" w14:textId="77777777" w:rsidR="00581092"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Në mbështetje të neneve 78 dhe 83, pika 1, të Kushtetutës, me propozimin e Këshillit të Ministrave, </w:t>
      </w:r>
    </w:p>
    <w:p w14:paraId="7229E375" w14:textId="77777777" w:rsidR="00581092" w:rsidRPr="00706252" w:rsidRDefault="00581092" w:rsidP="00706252">
      <w:pPr>
        <w:spacing w:after="0" w:line="240" w:lineRule="auto"/>
        <w:ind w:firstLine="284"/>
        <w:jc w:val="both"/>
        <w:rPr>
          <w:rFonts w:ascii="Garamond" w:hAnsi="Garamond" w:cs="Times New Roman"/>
          <w:color w:val="000000" w:themeColor="text1"/>
          <w:sz w:val="24"/>
          <w:szCs w:val="24"/>
        </w:rPr>
      </w:pPr>
    </w:p>
    <w:p w14:paraId="65B684DE" w14:textId="6C1126EB" w:rsidR="00581092" w:rsidRPr="00706252" w:rsidRDefault="00581092"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KUVENDI</w:t>
      </w:r>
    </w:p>
    <w:p w14:paraId="0D74A9E6" w14:textId="5925A0B4" w:rsidR="002128F5" w:rsidRPr="00706252" w:rsidRDefault="00581092"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I REPUBLIKËS SË SHQIPËRISË</w:t>
      </w:r>
    </w:p>
    <w:p w14:paraId="4FA6A1F0"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469F55AB" w14:textId="39F10C30"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VENDOSI:</w:t>
      </w:r>
    </w:p>
    <w:p w14:paraId="69A66705"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2FCB2C38"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KREU I</w:t>
      </w:r>
    </w:p>
    <w:p w14:paraId="206C2E6C"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FUSHA E ZBATIMIT, SELIA, REGJISTRIMI DHE PUBLIKIMET</w:t>
      </w:r>
    </w:p>
    <w:p w14:paraId="713DA30C"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64A4FDF1"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w:t>
      </w:r>
    </w:p>
    <w:p w14:paraId="28AEE6AF"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Fusha e zbatimit</w:t>
      </w:r>
    </w:p>
    <w:p w14:paraId="58D4A323"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0834E34" w14:textId="7D27AD4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D26FEB"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Ky ligj përcakton rregullat për sa </w:t>
      </w:r>
      <w:r w:rsidR="00581092" w:rsidRPr="00706252">
        <w:rPr>
          <w:rFonts w:ascii="Garamond" w:hAnsi="Garamond" w:cs="Times New Roman"/>
          <w:color w:val="000000" w:themeColor="text1"/>
          <w:sz w:val="24"/>
          <w:szCs w:val="24"/>
        </w:rPr>
        <w:t>u</w:t>
      </w:r>
      <w:r w:rsidRPr="00706252">
        <w:rPr>
          <w:rFonts w:ascii="Garamond" w:hAnsi="Garamond" w:cs="Times New Roman"/>
          <w:color w:val="000000" w:themeColor="text1"/>
          <w:sz w:val="24"/>
          <w:szCs w:val="24"/>
        </w:rPr>
        <w:t xml:space="preserve"> përket:</w:t>
      </w:r>
    </w:p>
    <w:p w14:paraId="7EA86755" w14:textId="0970CE7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5D2603"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kushteve të themelimit të një shoqërie evropiane (SE) me seli të regjistruar në Republikën e Shqipërisë;</w:t>
      </w:r>
    </w:p>
    <w:p w14:paraId="1D9115CD" w14:textId="47AC545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5D2603"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funksionimit, strukturës dhe organizimit të saj të brendshëm;</w:t>
      </w:r>
    </w:p>
    <w:p w14:paraId="61FE1EEE" w14:textId="392C432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5D2603"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marrëdhënieve me aksionarët, punëmarrësit dhe palët e treta;</w:t>
      </w:r>
    </w:p>
    <w:p w14:paraId="6CF578E9" w14:textId="522865E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 procedurave për transferimin e selisë së regjistruar të një SE-je;</w:t>
      </w:r>
    </w:p>
    <w:p w14:paraId="202C646E" w14:textId="72DACA3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 procedurave për likuidimin, falimentimin ose shndërrimin e një SE-je;</w:t>
      </w:r>
    </w:p>
    <w:p w14:paraId="62158515" w14:textId="57039988" w:rsidR="002128F5" w:rsidRPr="00706252" w:rsidRDefault="0089718C" w:rsidP="00706252">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dh)</w:t>
      </w:r>
      <w:r w:rsidR="002128F5" w:rsidRPr="00706252">
        <w:rPr>
          <w:rFonts w:ascii="Garamond" w:hAnsi="Garamond" w:cs="Times New Roman"/>
          <w:color w:val="000000" w:themeColor="text1"/>
          <w:sz w:val="24"/>
          <w:szCs w:val="24"/>
        </w:rPr>
        <w:tab/>
        <w:t>regjistrimit dhe mbikëqyrjes nga autoritetet shqiptare të SE-ve që veprojnë në ose nga Shqipëria;</w:t>
      </w:r>
    </w:p>
    <w:p w14:paraId="6E9F6E83" w14:textId="1B27912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e) aspekteve të tjera që i nënshtrohen rregullimit kombëtar.</w:t>
      </w:r>
    </w:p>
    <w:p w14:paraId="6D273152" w14:textId="0566A95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5D2603"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Ky ligj zbatohet për të gjitha subjektet që marrin pjesë në krijimin ose funksionimin e një shoqërie evropiane me seli në territorin e Republikës së Shqipërisë, si dhe për autoritetet që merren me regjistrimin dhe mbikëqyrjen e saj.</w:t>
      </w:r>
    </w:p>
    <w:p w14:paraId="139C0F34" w14:textId="473D966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5D2603"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Përveç rasteve kur parashikohet ndryshe</w:t>
      </w:r>
      <w:r w:rsidR="00031671"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dispozitat e këtij ligji zbatohen për një shoqëri evropiane (</w:t>
      </w:r>
      <w:proofErr w:type="spellStart"/>
      <w:r w:rsidRPr="0089718C">
        <w:rPr>
          <w:rFonts w:ascii="Garamond" w:hAnsi="Garamond" w:cs="Times New Roman"/>
          <w:i/>
          <w:color w:val="000000" w:themeColor="text1"/>
          <w:sz w:val="24"/>
          <w:szCs w:val="24"/>
        </w:rPr>
        <w:t>Societas</w:t>
      </w:r>
      <w:proofErr w:type="spellEnd"/>
      <w:r w:rsidRPr="0089718C">
        <w:rPr>
          <w:rFonts w:ascii="Garamond" w:hAnsi="Garamond" w:cs="Times New Roman"/>
          <w:i/>
          <w:color w:val="000000" w:themeColor="text1"/>
          <w:sz w:val="24"/>
          <w:szCs w:val="24"/>
        </w:rPr>
        <w:t xml:space="preserve"> </w:t>
      </w:r>
      <w:proofErr w:type="spellStart"/>
      <w:r w:rsidRPr="0089718C">
        <w:rPr>
          <w:rFonts w:ascii="Garamond" w:hAnsi="Garamond" w:cs="Times New Roman"/>
          <w:i/>
          <w:color w:val="000000" w:themeColor="text1"/>
          <w:sz w:val="24"/>
          <w:szCs w:val="24"/>
        </w:rPr>
        <w:t>Europea</w:t>
      </w:r>
      <w:proofErr w:type="spellEnd"/>
      <w:r w:rsidRPr="00706252">
        <w:rPr>
          <w:rFonts w:ascii="Garamond" w:hAnsi="Garamond" w:cs="Times New Roman"/>
          <w:color w:val="000000" w:themeColor="text1"/>
          <w:sz w:val="24"/>
          <w:szCs w:val="24"/>
        </w:rPr>
        <w:t>, SE), me seli të regjistruar në Republikën e Shqipërisë dhe për shoqëritë me seli të regjistruar në Republikën e Shqipërisë që marrin pjesë në themelimin e një SE-je.</w:t>
      </w:r>
    </w:p>
    <w:p w14:paraId="58F1AC3E" w14:textId="77777777" w:rsidR="003459D4" w:rsidRPr="00706252" w:rsidRDefault="003459D4" w:rsidP="00706252">
      <w:pPr>
        <w:spacing w:after="0" w:line="240" w:lineRule="auto"/>
        <w:ind w:firstLine="284"/>
        <w:jc w:val="center"/>
        <w:rPr>
          <w:rFonts w:ascii="Garamond" w:hAnsi="Garamond" w:cs="Times New Roman"/>
          <w:color w:val="000000" w:themeColor="text1"/>
          <w:sz w:val="24"/>
          <w:szCs w:val="24"/>
        </w:rPr>
      </w:pPr>
    </w:p>
    <w:p w14:paraId="4945FB8C" w14:textId="722D8FC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2</w:t>
      </w:r>
    </w:p>
    <w:p w14:paraId="1CCFF35E" w14:textId="5B0D38FD"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Selia</w:t>
      </w:r>
    </w:p>
    <w:p w14:paraId="70B817E4"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1796F40" w14:textId="60DF38D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5D2603"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SE-ja regjistrohet në regjistrin tregtar të mbajtur nga Qendra Kombëtare e Biznesit (QKB)</w:t>
      </w:r>
      <w:r w:rsidR="00E2352F">
        <w:rPr>
          <w:rFonts w:ascii="Garamond" w:hAnsi="Garamond" w:cs="Times New Roman"/>
          <w:color w:val="000000" w:themeColor="text1"/>
          <w:sz w:val="24"/>
          <w:szCs w:val="24"/>
        </w:rPr>
        <w:t>,</w:t>
      </w:r>
      <w:r w:rsidR="00412FF4"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në përputhje me kërkesat e legjislacionit në fuqi për regjistrimin e shoqërive aksionare dhe me dispozitat e këtij ligji.</w:t>
      </w:r>
    </w:p>
    <w:p w14:paraId="4A8FD244" w14:textId="4D6A4E5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5D2603"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SE-ja fiton personalitetin juridik ditën e regjistrimit të saj në regjistrin tregtar të mbajtur nga QKB-ja. Emri i shoqërisë evropiane në regjistrin tregtar të QKB-së duhet të ndiqet nga shkurtimi “SE”.</w:t>
      </w:r>
    </w:p>
    <w:p w14:paraId="42C48342" w14:textId="3AC91F6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5D2603"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Statuti i SE-së duhet të përcaktojë selinë e shoqërisë</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në përputhje me kërkesat e ligjit shqiptar për tregtarët dhe shoqëritë tregtare.</w:t>
      </w:r>
    </w:p>
    <w:p w14:paraId="0F81B2FB" w14:textId="0517D30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5D2603"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Selia e regjistruar e SE-së duhet të përkojë me vendin ku ushtrohen funksionet kryesore të administrimit të saj (drejtimi qendror), duke përfshirë vendndodhjen e organeve ekzekutive dhe mbajtjen e dokumentacionit të shoqërisë. Nëse Qendra Kombëtare e Biznesit (QKB) konstaton se drejtimi qendror i një SE-je me seli të regjistruar në Republikën e Shqipërisë është transferuar në një shtet tjetër, ajo i kërkon SE-së që brenda një afati të arsyeshëm, të përcaktuar prej saj, të rikthejë drejtimin qendror në territorin e Republikës së Shqipërisë ose të nisë procedurën për transferimin e selisë së regjistruar në një shtet tjetër, në përputhje me nenin 5 të këtij ligji.</w:t>
      </w:r>
    </w:p>
    <w:p w14:paraId="321599D7" w14:textId="290D475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5.</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Nëse SE-ja nuk rregullon situatën e selisë së saj sipas pikave të sipërpërmendura, zbatohen procedurat e parashikuara në ligjin për tregtarët dhe shoqëritë tregtare për likuidimin e shoqërisë me vendim gjykate. QKB-ja njofton SE-në për konstatimin e parregullsisë dhe e publikon këtë njoftim në regjistrin tregtar.</w:t>
      </w:r>
      <w:r w:rsidR="003A39BE">
        <w:rPr>
          <w:rFonts w:ascii="Garamond" w:hAnsi="Garamond" w:cs="Times New Roman"/>
          <w:color w:val="000000" w:themeColor="text1"/>
          <w:sz w:val="24"/>
          <w:szCs w:val="24"/>
        </w:rPr>
        <w:t xml:space="preserve"> </w:t>
      </w:r>
    </w:p>
    <w:p w14:paraId="1556F6BB"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4441311"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3</w:t>
      </w:r>
    </w:p>
    <w:p w14:paraId="029C4753" w14:textId="7DB7F00B"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Forma juridike dhe kapitali</w:t>
      </w:r>
    </w:p>
    <w:p w14:paraId="4068EDF4"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147D8954" w14:textId="63889D5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Shoqëria evropiane (SE) është një shoqëri aksionare, kapitali i së cilës ndahet në aksione.</w:t>
      </w:r>
    </w:p>
    <w:p w14:paraId="331E5338" w14:textId="20BF707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Kapitali i SE-së shprehet në euro. Kapitali minimal i nënshkruar nuk mund të jetë më i ulët se 120 000 (njëqind e njëzet mijë) euro.</w:t>
      </w:r>
    </w:p>
    <w:p w14:paraId="0918F027" w14:textId="5280780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Përgjegjësia e çdo aksionari për detyrimet e SE-së është e kufizuar deri në vlerën e kontributit të tij në kapitalin e shoqërisë.</w:t>
      </w:r>
    </w:p>
    <w:p w14:paraId="1CC1AADD"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CC49795"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w:t>
      </w:r>
    </w:p>
    <w:p w14:paraId="2CF80AEB" w14:textId="3550CC7B"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 xml:space="preserve">Publikimi i të dhënave në Gazetën Zyrtare të </w:t>
      </w:r>
      <w:r w:rsidR="00031671" w:rsidRPr="00706252">
        <w:rPr>
          <w:rFonts w:ascii="Garamond" w:hAnsi="Garamond" w:cs="Times New Roman"/>
          <w:b/>
          <w:bCs/>
          <w:color w:val="000000" w:themeColor="text1"/>
          <w:sz w:val="24"/>
          <w:szCs w:val="24"/>
        </w:rPr>
        <w:t>Bashkimit Evropian</w:t>
      </w:r>
    </w:p>
    <w:p w14:paraId="42C7A067"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F6170BF" w14:textId="55CFCD3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Qendra Kombëtare e Biznesit (QKB) është e detyruar të përgatisë dhe të përcjellë informacionin përkatës</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në lidhje me shoqëritë evropiane (SE) të regjistruara në Republikën e Shqipërisë, për qëllime publikimi në Zyrën për Botimet Zyrtare të Bashkimit Evropian. Informacioni përfshin të dhënat standarde që zakonisht bëhen publike për SE-të në vendet anëtare të BE-së. Përcjellja e informacionit bëhet në mënyrë elektronike përmes mjeteve zyrtare të komunikimit ndërinstitucional të </w:t>
      </w:r>
      <w:proofErr w:type="spellStart"/>
      <w:r w:rsidRPr="00706252">
        <w:rPr>
          <w:rFonts w:ascii="Garamond" w:hAnsi="Garamond" w:cs="Times New Roman"/>
          <w:color w:val="000000" w:themeColor="text1"/>
          <w:sz w:val="24"/>
          <w:szCs w:val="24"/>
        </w:rPr>
        <w:t>dakordësuara</w:t>
      </w:r>
      <w:proofErr w:type="spellEnd"/>
      <w:r w:rsidRPr="00706252">
        <w:rPr>
          <w:rFonts w:ascii="Garamond" w:hAnsi="Garamond" w:cs="Times New Roman"/>
          <w:color w:val="000000" w:themeColor="text1"/>
          <w:sz w:val="24"/>
          <w:szCs w:val="24"/>
        </w:rPr>
        <w:t xml:space="preserve"> ndërmjet autoriteteve shqiptare dhe institucioneve të BE-së.</w:t>
      </w:r>
    </w:p>
    <w:p w14:paraId="582F4DB7"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9C548E9" w14:textId="2FE9DD5F"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KREU II</w:t>
      </w:r>
    </w:p>
    <w:p w14:paraId="108AEDE9"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TRANSFERIMI I SELISË SË REGJISTRUAR</w:t>
      </w:r>
    </w:p>
    <w:p w14:paraId="3CD5C043"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6F3DA227"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5</w:t>
      </w:r>
    </w:p>
    <w:p w14:paraId="2A82ADE0"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Transferimi i selisë së regjistruar në një shtet anëtar të Bashkimit Evropian</w:t>
      </w:r>
    </w:p>
    <w:p w14:paraId="72554004"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B85CAE5" w14:textId="0015039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Selia e regjistruar e një SE-je mund të transferohet në një shtet anëtar të Bashkimit Evropian në përputhje me pikat 2 deri në 13 të këtij neni. Ky transferim nuk sjell likuidimin e SE-së dhe as krijimin e një personi juridik të ri në shtetin në të cilin selia e regjistruar transferohet.</w:t>
      </w:r>
    </w:p>
    <w:p w14:paraId="43CBBD10" w14:textId="4138579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Organi administrativ përgatit një propozim për transferim dhe e publikon atë sipas nenit 15 të këtij ligji.</w:t>
      </w:r>
    </w:p>
    <w:p w14:paraId="59007D91" w14:textId="1CE7228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Ky propozim duhet të përmbajë:</w:t>
      </w:r>
    </w:p>
    <w:p w14:paraId="1ADA710A" w14:textId="554C20B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a) emrin aktual, selinë e regjistruar dhe numrin identifikues të SE-së; </w:t>
      </w:r>
    </w:p>
    <w:p w14:paraId="492F4EA6" w14:textId="649000F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 selinë e propozuar të regjistruar të SE-së;</w:t>
      </w:r>
    </w:p>
    <w:p w14:paraId="36E901C2" w14:textId="6A24181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statutin e propozuar të SE-së, përfshirë emrin e ri, nëse është e aplikueshme; </w:t>
      </w:r>
    </w:p>
    <w:p w14:paraId="23F545F2" w14:textId="52F42E5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 çdo ndikim të mundshëm të transferimit mbi përfshirjen e punonjësve;</w:t>
      </w:r>
    </w:p>
    <w:p w14:paraId="13891FEC" w14:textId="7CA2536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 kalendarin e propozuar të transferimit;</w:t>
      </w:r>
    </w:p>
    <w:p w14:paraId="0E9A4D65" w14:textId="26D3B59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dh)</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çdo të drejtë të parashikuar për mbrojtjen e aksionarëve dhe/ose kreditorëve.</w:t>
      </w:r>
    </w:p>
    <w:p w14:paraId="6C6EE538" w14:textId="70972B3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Organi administrativ harton një raport që shpjegon aspektet juridike dhe ekonomike të transferimit dhe pasojat që sjell për aksionarët, kreditorët dhe punëmarrësit.</w:t>
      </w:r>
    </w:p>
    <w:p w14:paraId="7AC83A47" w14:textId="633ED28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B73DB2"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Aksionarët dhe kreditorët e SE-së kanë të drejtë që të paktën </w:t>
      </w:r>
      <w:r w:rsidR="00554AFD" w:rsidRPr="00706252">
        <w:rPr>
          <w:rFonts w:ascii="Garamond" w:hAnsi="Garamond" w:cs="Times New Roman"/>
          <w:color w:val="000000" w:themeColor="text1"/>
          <w:sz w:val="24"/>
          <w:szCs w:val="24"/>
        </w:rPr>
        <w:t>1</w:t>
      </w:r>
      <w:r w:rsidRPr="00706252">
        <w:rPr>
          <w:rFonts w:ascii="Garamond" w:hAnsi="Garamond" w:cs="Times New Roman"/>
          <w:color w:val="000000" w:themeColor="text1"/>
          <w:sz w:val="24"/>
          <w:szCs w:val="24"/>
        </w:rPr>
        <w:t xml:space="preserve"> muaj para mbledhjes së përgjithshme që do të vendosë për transferimin të shqyrtojnë propozimin e raportit përkatës dhe të marrin kopje falas me kërkesë.</w:t>
      </w:r>
    </w:p>
    <w:p w14:paraId="73481D4C" w14:textId="40EDFCA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6.</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Nuk mund të merret vendim për transferim brenda </w:t>
      </w:r>
      <w:r w:rsidR="00554AFD" w:rsidRPr="00706252">
        <w:rPr>
          <w:rFonts w:ascii="Garamond" w:hAnsi="Garamond" w:cs="Times New Roman"/>
          <w:color w:val="000000" w:themeColor="text1"/>
          <w:sz w:val="24"/>
          <w:szCs w:val="24"/>
        </w:rPr>
        <w:t>2</w:t>
      </w:r>
      <w:r w:rsidRPr="00706252">
        <w:rPr>
          <w:rFonts w:ascii="Garamond" w:hAnsi="Garamond" w:cs="Times New Roman"/>
          <w:color w:val="000000" w:themeColor="text1"/>
          <w:sz w:val="24"/>
          <w:szCs w:val="24"/>
        </w:rPr>
        <w:t xml:space="preserve"> muajve nga data e publikimit të propozimit.</w:t>
      </w:r>
    </w:p>
    <w:p w14:paraId="741E0C30" w14:textId="7FD9034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7.</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Përpara lëshimit të certifikatës nga QKB-ja, SE-ja duhet të provojë se për çdo detyrim të lindur para publikimit të propozimit të transferimit, interesat e kreditorëve, aksionarëve dhe mbajtësve të </w:t>
      </w:r>
      <w:proofErr w:type="spellStart"/>
      <w:r w:rsidRPr="00706252">
        <w:rPr>
          <w:rFonts w:ascii="Garamond" w:hAnsi="Garamond" w:cs="Times New Roman"/>
          <w:color w:val="000000" w:themeColor="text1"/>
          <w:sz w:val="24"/>
          <w:szCs w:val="24"/>
        </w:rPr>
        <w:t>të</w:t>
      </w:r>
      <w:proofErr w:type="spellEnd"/>
      <w:r w:rsidRPr="00706252">
        <w:rPr>
          <w:rFonts w:ascii="Garamond" w:hAnsi="Garamond" w:cs="Times New Roman"/>
          <w:color w:val="000000" w:themeColor="text1"/>
          <w:sz w:val="24"/>
          <w:szCs w:val="24"/>
        </w:rPr>
        <w:t xml:space="preserve"> drejtave të tjera (përfshirë autoritetet publike), të parashikuara në këtë ligj, janë mbrojtur në mënyrë të përshtatshme.</w:t>
      </w:r>
    </w:p>
    <w:p w14:paraId="3E5D07F3" w14:textId="310CE71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8.</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QKB-ja lëshon certifikatën që dëshmon për përfundimin e veprimeve dhe formaliteteve para transferimit sipas këtij neni.</w:t>
      </w:r>
    </w:p>
    <w:p w14:paraId="2A86A099" w14:textId="1E2E614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9.</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Transferimi i selisë nuk mund të realizohet pa paraqitur certifikatën e lëshuar sipas pikës </w:t>
      </w:r>
      <w:r w:rsidR="00031671" w:rsidRPr="00706252">
        <w:rPr>
          <w:rFonts w:ascii="Garamond" w:hAnsi="Garamond" w:cs="Times New Roman"/>
          <w:color w:val="000000" w:themeColor="text1"/>
          <w:sz w:val="24"/>
          <w:szCs w:val="24"/>
        </w:rPr>
        <w:t>8</w:t>
      </w:r>
      <w:r w:rsidRPr="00706252">
        <w:rPr>
          <w:rFonts w:ascii="Garamond" w:hAnsi="Garamond" w:cs="Times New Roman"/>
          <w:color w:val="000000" w:themeColor="text1"/>
          <w:sz w:val="24"/>
          <w:szCs w:val="24"/>
        </w:rPr>
        <w:t>, të këtij neni, dhe pa provuar përmbushjen e formaliteteve për regjistrim në shtetin pritës.</w:t>
      </w:r>
    </w:p>
    <w:p w14:paraId="6BB3EBD9"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10.</w:t>
      </w:r>
      <w:r w:rsidRPr="00706252">
        <w:rPr>
          <w:rFonts w:ascii="Garamond" w:hAnsi="Garamond" w:cs="Times New Roman"/>
          <w:color w:val="000000" w:themeColor="text1"/>
          <w:sz w:val="24"/>
          <w:szCs w:val="24"/>
        </w:rPr>
        <w:tab/>
        <w:t>Transferimi i selisë së regjistruar dhe ndryshimi pasues i statutit marrin efekt në datën e regjistrimit të SE-së në regjistrin përkatës në shtetin e ri.</w:t>
      </w:r>
    </w:p>
    <w:p w14:paraId="7357BEC6" w14:textId="0FA5BC4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11.</w:t>
      </w:r>
      <w:r w:rsidRPr="00706252">
        <w:rPr>
          <w:rFonts w:ascii="Garamond" w:hAnsi="Garamond" w:cs="Times New Roman"/>
          <w:color w:val="000000" w:themeColor="text1"/>
          <w:sz w:val="24"/>
          <w:szCs w:val="24"/>
        </w:rPr>
        <w:tab/>
        <w:t>Pas regjistrimit të transferimit të selisë, regjistri i shtetit pritës njofton QKB-në. Fshirja nga regjistri i QKB-së bëhet pas marrjes së këtij njoftimi, por jo më herët.</w:t>
      </w:r>
    </w:p>
    <w:p w14:paraId="6661A9D3"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12.</w:t>
      </w:r>
      <w:r w:rsidRPr="00706252">
        <w:rPr>
          <w:rFonts w:ascii="Garamond" w:hAnsi="Garamond" w:cs="Times New Roman"/>
          <w:color w:val="000000" w:themeColor="text1"/>
          <w:sz w:val="24"/>
          <w:szCs w:val="24"/>
        </w:rPr>
        <w:tab/>
        <w:t>Regjistrimi i ri dhe fshirja nga regjistri i vjetër publikohen në regjistrin tregtar të QKB-së.</w:t>
      </w:r>
    </w:p>
    <w:p w14:paraId="28C90E18"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13.</w:t>
      </w:r>
      <w:r w:rsidRPr="00706252">
        <w:rPr>
          <w:rFonts w:ascii="Garamond" w:hAnsi="Garamond" w:cs="Times New Roman"/>
          <w:color w:val="000000" w:themeColor="text1"/>
          <w:sz w:val="24"/>
          <w:szCs w:val="24"/>
        </w:rPr>
        <w:tab/>
        <w:t>Pas publikimit të regjistrimit të ri, selia e re mund të kundërshtohet nga palët e treta me interes të drejtpërdrejtë në transferim. Megjithatë, nëse fshirja nga regjistri i mëparshëm nuk është publikuar ende, palët e treta mund të mbështeten ende te selia e vjetër, përveç kur SE-ja provon se ato ishin në dijeni të selisë së re.</w:t>
      </w:r>
    </w:p>
    <w:p w14:paraId="42D8C591"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14.</w:t>
      </w:r>
      <w:r w:rsidRPr="00706252">
        <w:rPr>
          <w:rFonts w:ascii="Garamond" w:hAnsi="Garamond" w:cs="Times New Roman"/>
          <w:color w:val="000000" w:themeColor="text1"/>
          <w:sz w:val="24"/>
          <w:szCs w:val="24"/>
        </w:rPr>
        <w:tab/>
        <w:t>Në rast se SE-ja ushtron veprimtari në sektorë me rëndësi strategjike apo është subjekt i mbikëqyrjes së një autoriteti kombëtar rregullator ose financiar, ky autoritet ka të drejtë të kundërshtojë transferimin për arsye të interesit publik. Kundërshtimi i nënshtrohet shqyrtimit gjyqësor.</w:t>
      </w:r>
    </w:p>
    <w:p w14:paraId="1BD88D45"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15.</w:t>
      </w:r>
      <w:r w:rsidRPr="00706252">
        <w:rPr>
          <w:rFonts w:ascii="Garamond" w:hAnsi="Garamond" w:cs="Times New Roman"/>
          <w:color w:val="000000" w:themeColor="text1"/>
          <w:sz w:val="24"/>
          <w:szCs w:val="24"/>
        </w:rPr>
        <w:tab/>
        <w:t>Një SE nuk mund të transferojë selinë e saj të regjistruar nëse ndaj saj janë hapur procedura të likuidimit dhe të falimentimit.</w:t>
      </w:r>
    </w:p>
    <w:p w14:paraId="51943535" w14:textId="0ADE9D3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16.</w:t>
      </w:r>
      <w:r w:rsidRPr="00706252">
        <w:rPr>
          <w:rFonts w:ascii="Garamond" w:hAnsi="Garamond" w:cs="Times New Roman"/>
          <w:color w:val="000000" w:themeColor="text1"/>
          <w:sz w:val="24"/>
          <w:szCs w:val="24"/>
        </w:rPr>
        <w:tab/>
        <w:t>Një SE që ka transferuar selinë në një shtet anëtar do të konsiderohet për çdo shkak ligjor që ka lindur para transferimit si e regjistruar ende në Republikën e Shqipërisë, edhe nëse paditet pas transferimit.</w:t>
      </w:r>
    </w:p>
    <w:p w14:paraId="3DCA043A"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A10F3F9"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6</w:t>
      </w:r>
    </w:p>
    <w:p w14:paraId="476C5533"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Oferta e kompensimit në para në planin e transferimit të selisë</w:t>
      </w:r>
    </w:p>
    <w:p w14:paraId="220D52C8"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42D808B" w14:textId="665F595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Përveç informacioneve të përcaktuara në pikën</w:t>
      </w:r>
      <w:r w:rsidR="00031671" w:rsidRPr="00706252">
        <w:rPr>
          <w:rFonts w:ascii="Garamond" w:hAnsi="Garamond" w:cs="Times New Roman"/>
          <w:color w:val="000000" w:themeColor="text1"/>
          <w:sz w:val="24"/>
          <w:szCs w:val="24"/>
        </w:rPr>
        <w:t xml:space="preserve"> 3</w:t>
      </w:r>
      <w:r w:rsidRPr="00706252">
        <w:rPr>
          <w:rFonts w:ascii="Garamond" w:hAnsi="Garamond" w:cs="Times New Roman"/>
          <w:color w:val="000000" w:themeColor="text1"/>
          <w:sz w:val="24"/>
          <w:szCs w:val="24"/>
        </w:rPr>
        <w:t xml:space="preserve"> të nenit 5 të këtij ligji, plani për transferimin e selisë së regjistruar të SE-së</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duhet të specifikojë edhe kushtet për pagesën e kompensimit në para, për blerjen e aksioneve të ofruara një aksionari që kundërshton transferimin e selisë së regjistruar dhe e shënon këtë kundërshtim në procesverbalin e mbledhjes së asamblesë së përgjithshme ku merret vendimi për transferimin e selisë së regjistruar. Të njëjtën të drejtë e ka edhe një aksionar që nuk ka marrë pjesë në mbledhjen e asamblesë së përgjithshme, sepse i është penguar në mënyrë të paligjshme</w:t>
      </w:r>
      <w:r w:rsidR="003A39BE">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pjesëmarrja ose sepse mbledhja e asamblesë së përgjithshme nuk është thirrur në mënyrë të rregullt, ose sepse çështja, objekt vendimi, nuk është njoftuar siç duhet. </w:t>
      </w:r>
    </w:p>
    <w:p w14:paraId="4B56E672" w14:textId="1412FF5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Detyrimin për të paguar kompensimin në para mund ta marrë përsipër edhe një person tjetër.</w:t>
      </w:r>
    </w:p>
    <w:p w14:paraId="50D4C8A3" w14:textId="37DB57A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Oferta për blerjen e aksioneve duhet të përcaktohet në njoftimin e planit për transferimin e selisë së regjistruar.</w:t>
      </w:r>
    </w:p>
    <w:p w14:paraId="46CE5E68" w14:textId="7C4D2B6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Për blerjen/nënshkrimin e aksioneve zbatohen dispozitat </w:t>
      </w:r>
      <w:r w:rsidR="00BC3CE7" w:rsidRPr="00706252">
        <w:rPr>
          <w:rFonts w:ascii="Garamond" w:hAnsi="Garamond" w:cs="Times New Roman"/>
          <w:color w:val="000000" w:themeColor="text1"/>
          <w:sz w:val="24"/>
          <w:szCs w:val="24"/>
        </w:rPr>
        <w:t xml:space="preserve">për </w:t>
      </w:r>
      <w:r w:rsidRPr="00706252">
        <w:rPr>
          <w:rFonts w:ascii="Garamond" w:hAnsi="Garamond" w:cs="Times New Roman"/>
          <w:color w:val="000000" w:themeColor="text1"/>
          <w:sz w:val="24"/>
          <w:szCs w:val="24"/>
        </w:rPr>
        <w:t xml:space="preserve">nënshkrimin e </w:t>
      </w:r>
      <w:r w:rsidR="00031671" w:rsidRPr="00706252">
        <w:rPr>
          <w:rFonts w:ascii="Garamond" w:hAnsi="Garamond" w:cs="Times New Roman"/>
          <w:color w:val="000000" w:themeColor="text1"/>
          <w:sz w:val="24"/>
          <w:szCs w:val="24"/>
        </w:rPr>
        <w:t>aksioneve</w:t>
      </w:r>
      <w:r w:rsidRPr="00706252">
        <w:rPr>
          <w:rFonts w:ascii="Garamond" w:hAnsi="Garamond" w:cs="Times New Roman"/>
          <w:color w:val="000000" w:themeColor="text1"/>
          <w:sz w:val="24"/>
          <w:szCs w:val="24"/>
        </w:rPr>
        <w:t xml:space="preserve"> të veta nga shoqëria tregtare, në përputhje me kërkesat e ligjit shqiptar për tregtarët dhe shoqëritë tregtare. </w:t>
      </w:r>
    </w:p>
    <w:p w14:paraId="3FA645DC" w14:textId="3EAB251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Shoqëria merr përsipër shpenzimet e transferimit të aksioneve.</w:t>
      </w:r>
    </w:p>
    <w:p w14:paraId="16DF4C67" w14:textId="77777777" w:rsidR="00581092" w:rsidRPr="00706252" w:rsidRDefault="00581092" w:rsidP="00706252">
      <w:pPr>
        <w:spacing w:after="0" w:line="240" w:lineRule="auto"/>
        <w:ind w:firstLine="284"/>
        <w:jc w:val="both"/>
        <w:rPr>
          <w:rFonts w:ascii="Garamond" w:hAnsi="Garamond" w:cs="Times New Roman"/>
          <w:color w:val="000000" w:themeColor="text1"/>
          <w:sz w:val="24"/>
          <w:szCs w:val="24"/>
        </w:rPr>
      </w:pPr>
    </w:p>
    <w:p w14:paraId="68D2E65B" w14:textId="67007041"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7</w:t>
      </w:r>
    </w:p>
    <w:p w14:paraId="7DDC1E4D"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Vlerësimi i përshtatshmërisë së kompensimit në para</w:t>
      </w:r>
    </w:p>
    <w:p w14:paraId="008369BC"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C7C0B37" w14:textId="4A7DAA7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Një ekspert i pavarur i licencuar vlerëson përshtatshmërinë e kompensimit në para, të përmendur në pikën 1</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nenit 6 të këtij ligji.</w:t>
      </w:r>
    </w:p>
    <w:p w14:paraId="6C1C1865" w14:textId="46DAB66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Eksperti i pavarur i licencuar emërohet nga këshilli mbikëqyrës ose asambleja e aksionarëve. Eksperti i pavarur i licencuar është përgjegjës ndaj SE-së dhe aksionarëve për punën e kryer prej tij.</w:t>
      </w:r>
    </w:p>
    <w:p w14:paraId="255D816E" w14:textId="289225D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Eksperti i pavarur i licencuar paraqet një raport me shkrim </w:t>
      </w:r>
      <w:r w:rsidR="00BC3CE7"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vlerësimin e kryer. Raporti përmbyllet me një deklaratë se kushtet e ofruara për pagesën e kompensimit në para janë ose jo të përshtatshme. Raporti duhet të përmbajë posaçërisht:</w:t>
      </w:r>
    </w:p>
    <w:p w14:paraId="680E0E36" w14:textId="2F947EA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metodat e përdorura për të përcaktuar shumën e kompensimit në para të ofruar;</w:t>
      </w:r>
    </w:p>
    <w:p w14:paraId="7E440FEB" w14:textId="6ECC385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arsyet pse zbatimi i këtyre metodave ishte i përshtatshëm;</w:t>
      </w:r>
    </w:p>
    <w:p w14:paraId="1423B691" w14:textId="2B995F3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rezultatin që do të sillte zbatimi i metodave të ndryshme nëse do të ishte aplikuar më shumë se një prej tyre;</w:t>
      </w:r>
    </w:p>
    <w:p w14:paraId="391F8675" w14:textId="003DF84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 peshën që i është dhënë secilës metodë dhe vështirësitë që patën</w:t>
      </w:r>
      <w:r w:rsidR="003A39BE">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gjatë vlerësimit.</w:t>
      </w:r>
    </w:p>
    <w:p w14:paraId="1143F2CF" w14:textId="35E7322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Eksperti i pavarur i licencuar ia dorëzon raportin organit administrativ.</w:t>
      </w:r>
    </w:p>
    <w:p w14:paraId="76C6A0F3"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D197B7F"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Neni 8</w:t>
      </w:r>
    </w:p>
    <w:p w14:paraId="074ED1F7" w14:textId="77777777" w:rsidR="00581092" w:rsidRPr="00706252" w:rsidRDefault="00581092" w:rsidP="00706252">
      <w:pPr>
        <w:spacing w:after="0" w:line="240" w:lineRule="auto"/>
        <w:ind w:firstLine="284"/>
        <w:jc w:val="center"/>
        <w:rPr>
          <w:rFonts w:ascii="Garamond" w:hAnsi="Garamond" w:cs="Times New Roman"/>
          <w:color w:val="000000" w:themeColor="text1"/>
          <w:sz w:val="24"/>
          <w:szCs w:val="24"/>
        </w:rPr>
      </w:pPr>
    </w:p>
    <w:p w14:paraId="15A37C4C"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Shqyrtimi i transferimit të selisë nga këshilli mbikëqyrës</w:t>
      </w:r>
    </w:p>
    <w:p w14:paraId="3BE43C30"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DE5C957" w14:textId="1B45612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Këshilli mbikëqyrës ose asambleja e aksionarëve të SE-së duhet të shqyrtojë transferimin e parashikuar të selisë së regjistruar në një shtet anëtar të Bashkimit Evropian, bazuar në raportin e organit administrativ, të përmendur në pikën </w:t>
      </w:r>
      <w:r w:rsidR="00031671" w:rsidRPr="00706252">
        <w:rPr>
          <w:rFonts w:ascii="Garamond" w:hAnsi="Garamond" w:cs="Times New Roman"/>
          <w:color w:val="000000" w:themeColor="text1"/>
          <w:sz w:val="24"/>
          <w:szCs w:val="24"/>
        </w:rPr>
        <w:t>4</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nenit 5 të këtij ligji, dhe të hartojë një raport me shkrim </w:t>
      </w:r>
      <w:r w:rsidR="00BC3CE7"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këtë çështje. Organi administrativ nuk është i detyruar të japë informacion në raport në rast se shoqëria me vendim unanim të </w:t>
      </w:r>
      <w:proofErr w:type="spellStart"/>
      <w:r w:rsidRPr="00706252">
        <w:rPr>
          <w:rFonts w:ascii="Garamond" w:hAnsi="Garamond" w:cs="Times New Roman"/>
          <w:color w:val="000000" w:themeColor="text1"/>
          <w:sz w:val="24"/>
          <w:szCs w:val="24"/>
        </w:rPr>
        <w:t>të</w:t>
      </w:r>
      <w:proofErr w:type="spellEnd"/>
      <w:r w:rsidRPr="00706252">
        <w:rPr>
          <w:rFonts w:ascii="Garamond" w:hAnsi="Garamond" w:cs="Times New Roman"/>
          <w:color w:val="000000" w:themeColor="text1"/>
          <w:sz w:val="24"/>
          <w:szCs w:val="24"/>
        </w:rPr>
        <w:t xml:space="preserve"> gjithë aksionarëve ka vendosur që një raport i tillë i organit administrativ të mos hartohet.</w:t>
      </w:r>
    </w:p>
    <w:p w14:paraId="3369E885"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10A0EF6" w14:textId="07BE7138"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9</w:t>
      </w:r>
    </w:p>
    <w:p w14:paraId="79ECA245"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Publikimi i planit për transferimin e selisë së regjistruar</w:t>
      </w:r>
    </w:p>
    <w:p w14:paraId="061A2609"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431D4C1" w14:textId="16D0A8C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Organi administrativ i SE-së duhet t’i paraqesë QKB-së planin e transferimit të selisë</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paktën </w:t>
      </w:r>
      <w:r w:rsidR="00BC3CE7" w:rsidRPr="00706252">
        <w:rPr>
          <w:rFonts w:ascii="Garamond" w:hAnsi="Garamond" w:cs="Times New Roman"/>
          <w:color w:val="000000" w:themeColor="text1"/>
          <w:sz w:val="24"/>
          <w:szCs w:val="24"/>
        </w:rPr>
        <w:t>2</w:t>
      </w:r>
      <w:r w:rsidRPr="00706252">
        <w:rPr>
          <w:rFonts w:ascii="Garamond" w:hAnsi="Garamond" w:cs="Times New Roman"/>
          <w:color w:val="000000" w:themeColor="text1"/>
          <w:sz w:val="24"/>
          <w:szCs w:val="24"/>
        </w:rPr>
        <w:t xml:space="preserve"> muaj para datës së asamblesë së përgjithshme në të cilën do të merret vendimi për transferimin e selisë së regjistruar të shoqërisë në një shtet tjetër anëtar të Bashkimit Evropian dhe ta publikojë atë në faqen e internetit të shoqërisë</w:t>
      </w:r>
      <w:r w:rsidR="00031671" w:rsidRPr="00706252">
        <w:rPr>
          <w:rFonts w:ascii="Garamond" w:hAnsi="Garamond" w:cs="Times New Roman"/>
          <w:color w:val="000000" w:themeColor="text1"/>
          <w:sz w:val="24"/>
          <w:szCs w:val="24"/>
        </w:rPr>
        <w:t>.</w:t>
      </w:r>
      <w:r w:rsidR="003A39BE">
        <w:rPr>
          <w:rFonts w:ascii="Garamond" w:hAnsi="Garamond" w:cs="Times New Roman"/>
          <w:color w:val="000000" w:themeColor="text1"/>
          <w:sz w:val="24"/>
          <w:szCs w:val="24"/>
        </w:rPr>
        <w:t xml:space="preserve"> </w:t>
      </w:r>
      <w:r w:rsidR="00031671" w:rsidRPr="00706252">
        <w:rPr>
          <w:rFonts w:ascii="Garamond" w:hAnsi="Garamond" w:cs="Times New Roman"/>
          <w:color w:val="000000" w:themeColor="text1"/>
          <w:sz w:val="24"/>
          <w:szCs w:val="24"/>
        </w:rPr>
        <w:t xml:space="preserve">Plani i transferimit </w:t>
      </w:r>
      <w:r w:rsidRPr="00706252">
        <w:rPr>
          <w:rFonts w:ascii="Garamond" w:hAnsi="Garamond" w:cs="Times New Roman"/>
          <w:color w:val="000000" w:themeColor="text1"/>
          <w:sz w:val="24"/>
          <w:szCs w:val="24"/>
        </w:rPr>
        <w:t xml:space="preserve">publikohet </w:t>
      </w:r>
      <w:r w:rsidR="00031671" w:rsidRPr="00706252">
        <w:rPr>
          <w:rFonts w:ascii="Garamond" w:hAnsi="Garamond" w:cs="Times New Roman"/>
          <w:color w:val="000000" w:themeColor="text1"/>
          <w:sz w:val="24"/>
          <w:szCs w:val="24"/>
        </w:rPr>
        <w:t xml:space="preserve">edhe </w:t>
      </w:r>
      <w:r w:rsidRPr="00706252">
        <w:rPr>
          <w:rFonts w:ascii="Garamond" w:hAnsi="Garamond" w:cs="Times New Roman"/>
          <w:color w:val="000000" w:themeColor="text1"/>
          <w:sz w:val="24"/>
          <w:szCs w:val="24"/>
        </w:rPr>
        <w:t>në Regjistrin Tregtar të Qendrës Kombëtare të Biznesit. Plani i publikuar duhet të përmbajë informacion për</w:t>
      </w:r>
      <w:r w:rsidR="003A39BE">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aksionarët për të drejtat e tyre</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sipas pikave 2 dhe 3 të këtij neni dhe nenit 12</w:t>
      </w:r>
      <w:r w:rsidR="00BC3CE7" w:rsidRPr="00706252">
        <w:rPr>
          <w:rFonts w:ascii="Garamond" w:hAnsi="Garamond" w:cs="Times New Roman"/>
          <w:color w:val="000000" w:themeColor="text1"/>
          <w:sz w:val="24"/>
          <w:szCs w:val="24"/>
        </w:rPr>
        <w:t xml:space="preserve"> të këtij ligji</w:t>
      </w:r>
      <w:r w:rsidR="00091177" w:rsidRPr="00706252">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si dhe kreditorët për të drejtat e tyre sipas pikave 2 dhe 3, të këtij neni, dhe nenit 14 të këtij ligji.</w:t>
      </w:r>
    </w:p>
    <w:p w14:paraId="18F83897" w14:textId="445059A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Në selinë e regjistruar të shoqërisë, të paktën </w:t>
      </w:r>
      <w:r w:rsidR="00BC3CE7" w:rsidRPr="00706252">
        <w:rPr>
          <w:rFonts w:ascii="Garamond" w:hAnsi="Garamond" w:cs="Times New Roman"/>
          <w:color w:val="000000" w:themeColor="text1"/>
          <w:sz w:val="24"/>
          <w:szCs w:val="24"/>
        </w:rPr>
        <w:t>1</w:t>
      </w:r>
      <w:r w:rsidRPr="00706252">
        <w:rPr>
          <w:rFonts w:ascii="Garamond" w:hAnsi="Garamond" w:cs="Times New Roman"/>
          <w:color w:val="000000" w:themeColor="text1"/>
          <w:sz w:val="24"/>
          <w:szCs w:val="24"/>
        </w:rPr>
        <w:t xml:space="preserve"> muaj para datës së asamblesë së përgjithshme në të cilën merret vendimi për transferimin e selisë së regjistruar të shoqërisë, aksionarëve dhe kreditorëve të shoqërisë duhet t’u vihen në dispozicion plani i transferimit, raporti i organit administrativ, raporti i ekspertit të pavarur të licencuar, raporti i këshillit mbikëqyrës </w:t>
      </w:r>
      <w:r w:rsidR="00BC3CE7"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shqyrtimin e transferimit, pasqyrat financiare vjetore më të fundit të hartuara, si dhe raporti i organit administrativ </w:t>
      </w:r>
      <w:r w:rsidR="00BC3CE7"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gjendjen e shoqërisë, i cili është hartuar ose duhet të ishte hartuar.</w:t>
      </w:r>
    </w:p>
    <w:p w14:paraId="592A4FFB" w14:textId="7A13502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Çdo aksionari dhe çdo kreditori duhet t’i jepen me kërkesën e tyre dhe me shpenzimet e shoqërisë kopje të dokumenteve të përmendura në pikën 2 të këtij neni.</w:t>
      </w:r>
    </w:p>
    <w:p w14:paraId="2C77D8BF" w14:textId="356382C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Dokumentet e përmendura në pikën 2 të këtij neni duhet të paraqiten në asamblenë e përgjithshme. Në fillim të diskutimit organi administrativ duhet të shpjegojë planin për transferimin e shoqërisë. Organi administrativ duhet t’i informojë aksionarët, përpara marrjes së vendimit, lidhur me të gjitha ndryshimet e rëndësishme në aktivet e shoqërisë dhe potencialin e saj ekonomik, që kanë ndodhur nga krijimi i planit për transferimin e shoqërisë deri në momentin e marrjes së vendimit në asamblenë e përgjithshme.</w:t>
      </w:r>
    </w:p>
    <w:p w14:paraId="0CC2DD99"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ABBF1A1"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10</w:t>
      </w:r>
    </w:p>
    <w:p w14:paraId="07316610"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Nevoja për pëlqim të veçantë</w:t>
      </w:r>
    </w:p>
    <w:p w14:paraId="0D252C9D" w14:textId="77777777" w:rsidR="002128F5" w:rsidRPr="00706252" w:rsidRDefault="002128F5" w:rsidP="00706252">
      <w:pPr>
        <w:spacing w:after="0" w:line="240" w:lineRule="auto"/>
        <w:ind w:firstLine="284"/>
        <w:jc w:val="both"/>
        <w:rPr>
          <w:rFonts w:ascii="Garamond" w:hAnsi="Garamond" w:cs="Times New Roman"/>
          <w:b/>
          <w:bCs/>
          <w:color w:val="000000" w:themeColor="text1"/>
          <w:sz w:val="24"/>
          <w:szCs w:val="24"/>
        </w:rPr>
      </w:pPr>
    </w:p>
    <w:p w14:paraId="662D2A5F"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Nëse transferimi i selisë së regjistruar të shoqërisë cenon të drejtat e dhëna me statutin e shoqërisë një aksionari të caktuar ose disa prej tyre, vendimi për transferimin e selisë së regjistruar kërkon pëlqimin e atij ose atyre aksionarëve.</w:t>
      </w:r>
    </w:p>
    <w:p w14:paraId="6DBF6636"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2C10E71"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11</w:t>
      </w:r>
    </w:p>
    <w:p w14:paraId="2353E363"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Transferimi i thjeshtuar i selisë së regjistruar</w:t>
      </w:r>
    </w:p>
    <w:p w14:paraId="64471ABD" w14:textId="77777777" w:rsidR="002128F5" w:rsidRPr="00706252" w:rsidRDefault="002128F5" w:rsidP="00706252">
      <w:pPr>
        <w:spacing w:after="0" w:line="240" w:lineRule="auto"/>
        <w:ind w:firstLine="284"/>
        <w:jc w:val="both"/>
        <w:rPr>
          <w:rFonts w:ascii="Garamond" w:hAnsi="Garamond" w:cs="Times New Roman"/>
          <w:b/>
          <w:bCs/>
          <w:color w:val="000000" w:themeColor="text1"/>
          <w:sz w:val="24"/>
          <w:szCs w:val="24"/>
        </w:rPr>
      </w:pPr>
    </w:p>
    <w:p w14:paraId="16D9B355"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Nëse të gjitha aksionet e shoqërisë janë në pronësi të një aksionari të vetëm ose nëse të gjithë aksionarët heqin dorë nga e drejta e tyre për kompensim në para me anë të një deklarate me shkrim ose një deklarimi të shënuar në procesverbalin e asamblesë së përgjithshme, atëherë nuk është e nevojshme që në planin e transferimit të parashikohen kushtet e ofertës së kompensimit në para dhe nuk është e nevojshme të shqyrtohet përshtatshmëria e kompensimit në para të ofruar.</w:t>
      </w:r>
    </w:p>
    <w:p w14:paraId="38C18238"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E8BBFF9"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77C784E1"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07E86357"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7C74E95F"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72AD7CFA" w14:textId="0023E781"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Neni 12</w:t>
      </w:r>
    </w:p>
    <w:p w14:paraId="04A06C79"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Kompensimi në para për një aksionar që kundërshton transferimin e selisë së regjistruar</w:t>
      </w:r>
    </w:p>
    <w:p w14:paraId="196E15EE"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F4C193D" w14:textId="3FCDEEA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Çdo aksionar që deklaron kundërshtimin e tij ndaj vendimit për transferimin e selisë së regjistruar gjatë asamblesë së përgjithshme, të shënuar në procesverbal, ka të drejtë t’i kërkojë shoqërisë ose palës së tretë, </w:t>
      </w:r>
      <w:r w:rsidR="00FD5EC9" w:rsidRPr="00706252">
        <w:rPr>
          <w:rFonts w:ascii="Garamond" w:hAnsi="Garamond" w:cs="Times New Roman"/>
          <w:color w:val="000000" w:themeColor="text1"/>
          <w:sz w:val="24"/>
          <w:szCs w:val="24"/>
        </w:rPr>
        <w:t>e cila</w:t>
      </w:r>
      <w:r w:rsidRPr="00706252">
        <w:rPr>
          <w:rFonts w:ascii="Garamond" w:hAnsi="Garamond" w:cs="Times New Roman"/>
          <w:color w:val="000000" w:themeColor="text1"/>
          <w:sz w:val="24"/>
          <w:szCs w:val="24"/>
        </w:rPr>
        <w:t xml:space="preserve"> ka ofruar të paguajë kompensimin në para, që t’i paguajë atij një kompensim të përshtatshëm në para, me kusht që ai t’ia transferojë aksionet e tij shoqërisë.</w:t>
      </w:r>
    </w:p>
    <w:p w14:paraId="2B5216F0" w14:textId="03C925B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 </w:t>
      </w:r>
      <w:r w:rsidR="000D73BA" w:rsidRPr="00706252">
        <w:rPr>
          <w:rFonts w:ascii="Garamond" w:hAnsi="Garamond" w:cs="Times New Roman"/>
          <w:color w:val="000000" w:themeColor="text1"/>
          <w:sz w:val="24"/>
          <w:szCs w:val="24"/>
        </w:rPr>
        <w:tab/>
      </w: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Deklarata për ushtrimin e kësaj të drejte mund të bëhet njëkohësisht me deklarimin e kundërshtimit në procesverbalin e asamblesë së përgjithshme ose duhet t’i paraqitet shoqërisë ose palës së tretë, që ka ofruar të paguajë kompensimin në para brenda një muaji nga data e marrjes së vendimit për transferimin e selisë së regjistruar.</w:t>
      </w:r>
    </w:p>
    <w:p w14:paraId="7144F55A" w14:textId="41D3393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 </w:t>
      </w:r>
      <w:r w:rsidR="000D73BA" w:rsidRPr="00706252">
        <w:rPr>
          <w:rFonts w:ascii="Garamond" w:hAnsi="Garamond" w:cs="Times New Roman"/>
          <w:color w:val="000000" w:themeColor="text1"/>
          <w:sz w:val="24"/>
          <w:szCs w:val="24"/>
        </w:rPr>
        <w:tab/>
      </w: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Kërkesa për pagesën e kompensimit në para kushtëzohet nga regjistrimi i ndryshimit të selisë së regjistruar në regjistrin e selisë së re dhe bëhet e pagueshme në datën e atij regjistrimi dhe skadon pas </w:t>
      </w:r>
      <w:r w:rsidR="00FD5EC9" w:rsidRPr="00706252">
        <w:rPr>
          <w:rFonts w:ascii="Garamond" w:hAnsi="Garamond" w:cs="Times New Roman"/>
          <w:color w:val="000000" w:themeColor="text1"/>
          <w:sz w:val="24"/>
          <w:szCs w:val="24"/>
        </w:rPr>
        <w:t>3</w:t>
      </w:r>
      <w:r w:rsidRPr="00706252">
        <w:rPr>
          <w:rFonts w:ascii="Garamond" w:hAnsi="Garamond" w:cs="Times New Roman"/>
          <w:color w:val="000000" w:themeColor="text1"/>
          <w:sz w:val="24"/>
          <w:szCs w:val="24"/>
        </w:rPr>
        <w:t xml:space="preserve"> vjetësh. Shoqëria ose pala e tretë duhet të mbulojë shpenzimet e transferimit të aksioneve. Personit që ka të drejtë në kompensimin në para duhet t’i ofrohet garanci se atij do t’i paguhet kompensimi në para</w:t>
      </w:r>
      <w:r w:rsidR="00FD5EC9" w:rsidRPr="00706252">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si dhe shpenzimet e transferimit të aksioneve.</w:t>
      </w:r>
    </w:p>
    <w:p w14:paraId="7D8563E5" w14:textId="5140849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Certifikata e përmendur në nenin 5 të këtij ligji mund të lëshohet vetëm pasi t’u jetë ofruar garanci e mjaftueshme aksionarëve ose pasi të jetë provuar se të gjithë aksionarët kanë hequr dorë nga e drejta e tyre për një kompensim në para.</w:t>
      </w:r>
    </w:p>
    <w:p w14:paraId="64BFAC79" w14:textId="0CBE4E0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Deri në skadimin e afatit brenda të cilit një aksionar mund të paraqesë kërkesë për pagesën e kompensimit në para, pengesat e parashikuara në statut për të disponuar ndryshe aksionet pas marrjes së vendimit për transferimin e selisë së regjistruar nuk zbatohen ndaj atij aksionari.</w:t>
      </w:r>
    </w:p>
    <w:p w14:paraId="28488A9B"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1FA29CA"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13</w:t>
      </w:r>
    </w:p>
    <w:p w14:paraId="7521D6D0"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Rishikimi gjyqësor i kompensimit në para</w:t>
      </w:r>
    </w:p>
    <w:p w14:paraId="2E3ADEC1"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3805FF7" w14:textId="1ECC921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Vendimi i asamblesë së përgjithshme për transferimin e selisë së regjistruar të shoqërisë nuk mund të kontestohet me arsyetimin se oferta e kompensimit në para nuk është e përshtatshme ose se shpjegimi i ofertës së kompensimit në para në planin për transferimin e selisë së regjistruar, në raportin mbi transferimin e selisë së regjistruar, në raportin e ekspertit të pavarur të licencuar ose në raportin e këshillit mbikëqyrës mbi shqyrtimin e kryer nuk është në përputhje me ligjin.</w:t>
      </w:r>
    </w:p>
    <w:p w14:paraId="686644F2" w14:textId="54AC70F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Aksionarët, të cilët kanë shënuar kundërshtimin e tyre ndaj atij vendimi në procesverbalin e asamblesë së përgjithshme ku është marrë vendimi për transferimin e selisë së regjistruar, brenda </w:t>
      </w:r>
      <w:r w:rsidR="00FD5EC9" w:rsidRPr="00706252">
        <w:rPr>
          <w:rFonts w:ascii="Garamond" w:hAnsi="Garamond" w:cs="Times New Roman"/>
          <w:color w:val="000000" w:themeColor="text1"/>
          <w:sz w:val="24"/>
          <w:szCs w:val="24"/>
        </w:rPr>
        <w:t>1</w:t>
      </w:r>
      <w:r w:rsidRPr="00706252">
        <w:rPr>
          <w:rFonts w:ascii="Garamond" w:hAnsi="Garamond" w:cs="Times New Roman"/>
          <w:color w:val="000000" w:themeColor="text1"/>
          <w:sz w:val="24"/>
          <w:szCs w:val="24"/>
        </w:rPr>
        <w:t xml:space="preserve"> muaji nga data e marrjes së vendimit, </w:t>
      </w:r>
      <w:r w:rsidR="00FD5EC9" w:rsidRPr="00706252">
        <w:rPr>
          <w:rFonts w:ascii="Garamond" w:hAnsi="Garamond" w:cs="Times New Roman"/>
          <w:color w:val="000000" w:themeColor="text1"/>
          <w:sz w:val="24"/>
          <w:szCs w:val="24"/>
        </w:rPr>
        <w:t xml:space="preserve">mund </w:t>
      </w:r>
      <w:r w:rsidRPr="00706252">
        <w:rPr>
          <w:rFonts w:ascii="Garamond" w:hAnsi="Garamond" w:cs="Times New Roman"/>
          <w:color w:val="000000" w:themeColor="text1"/>
          <w:sz w:val="24"/>
          <w:szCs w:val="24"/>
        </w:rPr>
        <w:t xml:space="preserve">t’i kërkojnë gjykatës në juridiksionin e së cilës ndodhet selia e regjistruar e shoqërisë të rishikojë kompensimin në para të ofruar dhe të përcaktojë shumën e tij. Kundërshtimi i transferimit të selisë dhe shqyrtimi i tij nga gjykata bëhen në përputhje me rregullat dhe procedurat e parashikuara në Kodin e Procedurës Civile të Republikës së Shqipërisë. </w:t>
      </w:r>
    </w:p>
    <w:p w14:paraId="366FD6ED"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B9501DC"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14</w:t>
      </w:r>
    </w:p>
    <w:p w14:paraId="1E7544DE"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Mbrojtja e kreditorëve</w:t>
      </w:r>
    </w:p>
    <w:p w14:paraId="13DFBA83"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9030078" w14:textId="029CDAD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Nëse SE-ja </w:t>
      </w:r>
      <w:r w:rsidR="00FD5EC9" w:rsidRPr="00706252">
        <w:rPr>
          <w:rFonts w:ascii="Garamond" w:hAnsi="Garamond" w:cs="Times New Roman"/>
          <w:color w:val="000000" w:themeColor="text1"/>
          <w:sz w:val="24"/>
          <w:szCs w:val="24"/>
        </w:rPr>
        <w:t xml:space="preserve">e </w:t>
      </w:r>
      <w:r w:rsidRPr="00706252">
        <w:rPr>
          <w:rFonts w:ascii="Garamond" w:hAnsi="Garamond" w:cs="Times New Roman"/>
          <w:color w:val="000000" w:themeColor="text1"/>
          <w:sz w:val="24"/>
          <w:szCs w:val="24"/>
        </w:rPr>
        <w:t xml:space="preserve">transferon selinë e saj në një shtet tjetër anëtar të Bashkimit Evropian, kreditorët e saj, jo më vonë se </w:t>
      </w:r>
      <w:r w:rsidR="00FD5EC9" w:rsidRPr="00706252">
        <w:rPr>
          <w:rFonts w:ascii="Garamond" w:hAnsi="Garamond" w:cs="Times New Roman"/>
          <w:color w:val="000000" w:themeColor="text1"/>
          <w:sz w:val="24"/>
          <w:szCs w:val="24"/>
        </w:rPr>
        <w:t>1</w:t>
      </w:r>
      <w:r w:rsidRPr="00706252">
        <w:rPr>
          <w:rFonts w:ascii="Garamond" w:hAnsi="Garamond" w:cs="Times New Roman"/>
          <w:color w:val="000000" w:themeColor="text1"/>
          <w:sz w:val="24"/>
          <w:szCs w:val="24"/>
        </w:rPr>
        <w:t xml:space="preserve"> muaj nga data e vendimit të asamblesë për transferimin e selisë së regjistruar, </w:t>
      </w:r>
      <w:r w:rsidR="00FD5EC9" w:rsidRPr="00706252">
        <w:rPr>
          <w:rFonts w:ascii="Garamond" w:hAnsi="Garamond" w:cs="Times New Roman"/>
          <w:color w:val="000000" w:themeColor="text1"/>
          <w:sz w:val="24"/>
          <w:szCs w:val="24"/>
        </w:rPr>
        <w:t xml:space="preserve">mund </w:t>
      </w:r>
      <w:r w:rsidRPr="00706252">
        <w:rPr>
          <w:rFonts w:ascii="Garamond" w:hAnsi="Garamond" w:cs="Times New Roman"/>
          <w:color w:val="000000" w:themeColor="text1"/>
          <w:sz w:val="24"/>
          <w:szCs w:val="24"/>
        </w:rPr>
        <w:t>t’i kërkojnë me shkrim shoqërisë të ofrojë garanci për pretendimet e tyre, të cilat kanë lindur deri në atë moment. Kreditorët e gëzojnë këtë të drejtë vetëm nëse mund të dëshmojnë se transferimi i selisë do të vërë në rrezik shlyerjen e pretendimeve të tyre.</w:t>
      </w:r>
    </w:p>
    <w:p w14:paraId="4FA0BF28" w14:textId="16C99D0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Certifikata e përmendur në pikën 7</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nenit 5 të këtij ligji</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mund të lëshohet vetëm kur të gjithë kreditorëve që kanë një pretendim, siç parashikohet në pikën 1 të këtij neni, u është dhënë garanci.</w:t>
      </w:r>
    </w:p>
    <w:p w14:paraId="64D23BAB"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047FCAA"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15</w:t>
      </w:r>
    </w:p>
    <w:p w14:paraId="14B4F508" w14:textId="7A24F662"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Regjistrimi në QKB i synimit për të transferuar selinë e regjistruar të</w:t>
      </w:r>
      <w:r w:rsidR="003A39BE">
        <w:rPr>
          <w:rFonts w:ascii="Garamond" w:hAnsi="Garamond" w:cs="Times New Roman"/>
          <w:b/>
          <w:bCs/>
          <w:color w:val="000000" w:themeColor="text1"/>
          <w:sz w:val="24"/>
          <w:szCs w:val="24"/>
        </w:rPr>
        <w:t xml:space="preserve"> </w:t>
      </w:r>
      <w:r w:rsidRPr="00706252">
        <w:rPr>
          <w:rFonts w:ascii="Garamond" w:hAnsi="Garamond" w:cs="Times New Roman"/>
          <w:b/>
          <w:bCs/>
          <w:color w:val="000000" w:themeColor="text1"/>
          <w:sz w:val="24"/>
          <w:szCs w:val="24"/>
        </w:rPr>
        <w:t>SE-së në një shtet anëtar të Bashkimit Evropian</w:t>
      </w:r>
    </w:p>
    <w:p w14:paraId="7D28DD57"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3C03D9B" w14:textId="7ED145A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 efekt konfirmimi, sipas pikës 2</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nenit 5 të këtij ligji, të gjithë anëtarët e organit administrativ të një SE-je duhet të paraqesin në QKB një kërkesë për regjistrimin e synimit për të transferuar selinë e </w:t>
      </w:r>
      <w:r w:rsidRPr="00706252">
        <w:rPr>
          <w:rFonts w:ascii="Garamond" w:hAnsi="Garamond" w:cs="Times New Roman"/>
          <w:color w:val="000000" w:themeColor="text1"/>
          <w:sz w:val="24"/>
          <w:szCs w:val="24"/>
        </w:rPr>
        <w:lastRenderedPageBreak/>
        <w:t>regjistruar të shoqërisë në një shtet anëtar të Bashkimit Evropian. Kërkesës duhet t’i bashkëlidhen origjinali ose një kopje e certifikuar</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e:</w:t>
      </w:r>
    </w:p>
    <w:p w14:paraId="50925558" w14:textId="27E37B6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planit për transferimin e selisë së regjistruar, sipas pikës 1</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nenit 5 të këtij ligji;</w:t>
      </w:r>
    </w:p>
    <w:p w14:paraId="18E0E843" w14:textId="155B52D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procesverbalit të asamblesë së përgjithshme ku deklarohet vendimi për transferimin e selisë së regjistruar;</w:t>
      </w:r>
    </w:p>
    <w:p w14:paraId="073B1D46" w14:textId="36015E2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raportit të organit administrativ, sipas pikës 2</w:t>
      </w:r>
      <w:r w:rsidR="00E2352F">
        <w:rPr>
          <w:rFonts w:ascii="Garamond" w:hAnsi="Garamond" w:cs="Times New Roman"/>
          <w:color w:val="000000" w:themeColor="text1"/>
          <w:sz w:val="24"/>
          <w:szCs w:val="24"/>
        </w:rPr>
        <w:t>,</w:t>
      </w:r>
      <w:r w:rsidR="0070280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të nenit 5 të këtij ligji;</w:t>
      </w:r>
    </w:p>
    <w:p w14:paraId="01DEAC1F" w14:textId="0BFBD6BC"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 dëshmisë së depozitimit të planit për transferimin e selisë së regjistruar në gjykatë që është publikuar me referencat përkatëse;</w:t>
      </w:r>
    </w:p>
    <w:p w14:paraId="567DE2BF" w14:textId="0CEFE2E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pasqyrave financiare vjetore dhe raportit </w:t>
      </w:r>
      <w:r w:rsidR="00FD5EC9"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gjendjen e shoqërisë për vitin e fundit financiar ose atyre që do të duhej të ishin përgatitur për atë vit;</w:t>
      </w:r>
    </w:p>
    <w:p w14:paraId="3670B027" w14:textId="3D9740F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dh) dëshmisë se aksionarëve që kundërshtuan transferimin e selisë së regjistruar, që u është dhënë garanci për pagesën e kompensimit në para;</w:t>
      </w:r>
    </w:p>
    <w:p w14:paraId="1C228ED4" w14:textId="69E0C52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e)</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dëshmisë se u është dhënë garanci kreditorëve të shoqërisë dhe një deklarate se, përveç kreditorëve, pretendimet e të cilëve janë plotësuar, dhe atyre për të cilët është dhënë garanci, asnjë kreditor tjetër nuk i është paraqitur shoqërisë brenda afatit të parashikuar në nenin 14 të këtij ligji.</w:t>
      </w:r>
    </w:p>
    <w:p w14:paraId="21B55670" w14:textId="6B770DC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Të gjithë anëtarët e organit administrativ duhet t’i paraqesin QKB-së deklaratat e mëposhtme:</w:t>
      </w:r>
    </w:p>
    <w:p w14:paraId="5834E1BD" w14:textId="4D30F93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091177" w:rsidRPr="00706252">
        <w:rPr>
          <w:rFonts w:ascii="Garamond" w:hAnsi="Garamond" w:cs="Times New Roman"/>
          <w:color w:val="000000" w:themeColor="text1"/>
          <w:sz w:val="24"/>
          <w:szCs w:val="24"/>
        </w:rPr>
        <w:t xml:space="preserve"> </w:t>
      </w:r>
      <w:r w:rsidR="00FD5EC9" w:rsidRPr="00706252">
        <w:rPr>
          <w:rFonts w:ascii="Garamond" w:hAnsi="Garamond" w:cs="Times New Roman"/>
          <w:color w:val="000000" w:themeColor="text1"/>
          <w:sz w:val="24"/>
          <w:szCs w:val="24"/>
        </w:rPr>
        <w:t>s</w:t>
      </w:r>
      <w:r w:rsidRPr="00706252">
        <w:rPr>
          <w:rFonts w:ascii="Garamond" w:hAnsi="Garamond" w:cs="Times New Roman"/>
          <w:color w:val="000000" w:themeColor="text1"/>
          <w:sz w:val="24"/>
          <w:szCs w:val="24"/>
        </w:rPr>
        <w:t>e brenda një muaji nga data e marrjes së vendimit për transferimin e selisë së regjistruar, nuk është ngritur asnjë padi për të kërkuar pavlefshmërinë e vendimit ose për ta kundërshtuar atë, ose se një padi e tillë është tërhequr, ose se të gjithë aksionarët kanë dhënë deklarata përpara noterit publik se heqin dorë nga një padi e tillë;</w:t>
      </w:r>
    </w:p>
    <w:p w14:paraId="7FC4EAB2" w14:textId="77945B1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091177" w:rsidRPr="00706252">
        <w:rPr>
          <w:rFonts w:ascii="Garamond" w:hAnsi="Garamond" w:cs="Times New Roman"/>
          <w:color w:val="000000" w:themeColor="text1"/>
          <w:sz w:val="24"/>
          <w:szCs w:val="24"/>
        </w:rPr>
        <w:t xml:space="preserve"> </w:t>
      </w:r>
      <w:r w:rsidR="00FD5EC9" w:rsidRPr="00706252">
        <w:rPr>
          <w:rFonts w:ascii="Garamond" w:hAnsi="Garamond" w:cs="Times New Roman"/>
          <w:color w:val="000000" w:themeColor="text1"/>
          <w:sz w:val="24"/>
          <w:szCs w:val="24"/>
        </w:rPr>
        <w:t>p</w:t>
      </w:r>
      <w:r w:rsidRPr="00706252">
        <w:rPr>
          <w:rFonts w:ascii="Garamond" w:hAnsi="Garamond" w:cs="Times New Roman"/>
          <w:color w:val="000000" w:themeColor="text1"/>
          <w:sz w:val="24"/>
          <w:szCs w:val="24"/>
        </w:rPr>
        <w:t>ër numrin e aksionarëve, që kanë kërkuar kompensim në para dhe deklarimi se nuk ka pengesa ligjore për transferimin e aksioneve të tyre në favor të shoqërisë ose palës që ofron kompensimin.</w:t>
      </w:r>
    </w:p>
    <w:p w14:paraId="22BA00C7" w14:textId="6E4E4E8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QKB-ja shqyrton nëse të gjitha veprimet juridike që duhet të kryhen përpara transferimit të selisë janë përmbushur siç duhet dhe nëse është dhënë garanci për pagesën e kompensimit në para për aksionarët që dëshirojnë të tërhiqen nga shoqëria. Nëse këto kushte janë përmbushur, QKB-ja bën regjistrimin dhe lëshon certifikatën sipas pikës</w:t>
      </w:r>
      <w:r w:rsidR="00031671" w:rsidRPr="00706252">
        <w:rPr>
          <w:rFonts w:ascii="Garamond" w:hAnsi="Garamond" w:cs="Times New Roman"/>
          <w:color w:val="000000" w:themeColor="text1"/>
          <w:sz w:val="24"/>
          <w:szCs w:val="24"/>
        </w:rPr>
        <w:t xml:space="preserve"> 8</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nenit </w:t>
      </w:r>
      <w:r w:rsidR="00031671" w:rsidRPr="00706252">
        <w:rPr>
          <w:rFonts w:ascii="Garamond" w:hAnsi="Garamond" w:cs="Times New Roman"/>
          <w:color w:val="000000" w:themeColor="text1"/>
          <w:sz w:val="24"/>
          <w:szCs w:val="24"/>
        </w:rPr>
        <w:t>5</w:t>
      </w:r>
      <w:r w:rsidRPr="00706252">
        <w:rPr>
          <w:rFonts w:ascii="Garamond" w:hAnsi="Garamond" w:cs="Times New Roman"/>
          <w:color w:val="000000" w:themeColor="text1"/>
          <w:sz w:val="24"/>
          <w:szCs w:val="24"/>
        </w:rPr>
        <w:t xml:space="preserve"> të këtij ligji.</w:t>
      </w:r>
    </w:p>
    <w:p w14:paraId="60A3B9E2" w14:textId="1B5FC5B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Gjatë regjistrimit në regjistrin tregtar të synimit për të transferuar selinë e regjistruar të shoqërisë në regjistër shënohet selia e re e planifikuar e shoqërisë, regjistri në të cilin shoqëria do të regjistrohet dhe informacioni se është lëshuar certifikata sipas nenit 5 të këtij ligji.</w:t>
      </w:r>
    </w:p>
    <w:p w14:paraId="31D386F5" w14:textId="086C593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Menjëherë pas regjistrimit të synimit për transferimin e selisë së shoqërisë, selia e re e regjistruar duhet të shënohet në regjistrin e mbajtur në juridiksionin e selisë së re. Shoqëria informon QKB-në se regjistrimi është bërë, e cila pastaj </w:t>
      </w:r>
      <w:proofErr w:type="spellStart"/>
      <w:r w:rsidRPr="00706252">
        <w:rPr>
          <w:rFonts w:ascii="Garamond" w:hAnsi="Garamond" w:cs="Times New Roman"/>
          <w:i/>
          <w:iCs/>
          <w:color w:val="000000" w:themeColor="text1"/>
          <w:sz w:val="24"/>
          <w:szCs w:val="24"/>
        </w:rPr>
        <w:t>ex</w:t>
      </w:r>
      <w:proofErr w:type="spellEnd"/>
      <w:r w:rsidRPr="00706252">
        <w:rPr>
          <w:rFonts w:ascii="Garamond" w:hAnsi="Garamond" w:cs="Times New Roman"/>
          <w:i/>
          <w:iCs/>
          <w:color w:val="000000" w:themeColor="text1"/>
          <w:sz w:val="24"/>
          <w:szCs w:val="24"/>
        </w:rPr>
        <w:t xml:space="preserve"> </w:t>
      </w:r>
      <w:proofErr w:type="spellStart"/>
      <w:r w:rsidRPr="00706252">
        <w:rPr>
          <w:rFonts w:ascii="Garamond" w:hAnsi="Garamond" w:cs="Times New Roman"/>
          <w:i/>
          <w:iCs/>
          <w:color w:val="000000" w:themeColor="text1"/>
          <w:sz w:val="24"/>
          <w:szCs w:val="24"/>
        </w:rPr>
        <w:t>officio</w:t>
      </w:r>
      <w:proofErr w:type="spellEnd"/>
      <w:r w:rsidRPr="00706252">
        <w:rPr>
          <w:rFonts w:ascii="Garamond" w:hAnsi="Garamond" w:cs="Times New Roman"/>
          <w:color w:val="000000" w:themeColor="text1"/>
          <w:sz w:val="24"/>
          <w:szCs w:val="24"/>
        </w:rPr>
        <w:t xml:space="preserve"> e fshin shoqërinë nga regjistri tregtar i QKB-së.</w:t>
      </w:r>
    </w:p>
    <w:p w14:paraId="34911D92" w14:textId="77777777" w:rsidR="004708F5" w:rsidRPr="00706252" w:rsidRDefault="004708F5" w:rsidP="00706252">
      <w:pPr>
        <w:spacing w:after="0" w:line="240" w:lineRule="auto"/>
        <w:ind w:firstLine="284"/>
        <w:jc w:val="both"/>
        <w:rPr>
          <w:rFonts w:ascii="Garamond" w:hAnsi="Garamond" w:cs="Times New Roman"/>
          <w:color w:val="000000" w:themeColor="text1"/>
          <w:sz w:val="24"/>
          <w:szCs w:val="24"/>
        </w:rPr>
      </w:pPr>
    </w:p>
    <w:p w14:paraId="1AED297E" w14:textId="0A5D3399"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16</w:t>
      </w:r>
    </w:p>
    <w:p w14:paraId="175D7B00"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Kërkesa për regjistrim nga një shtet anëtar i Bashkimit Evropian në Republikën e Shqipërisë</w:t>
      </w:r>
    </w:p>
    <w:p w14:paraId="784479A0"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5FAEC07" w14:textId="70682A5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Të gjithë anëtarët e organit administrativ duhet të paraqesin një kërkesë për regjistrimin e transferimit të selisë së SE-së në Republikën e Shqipërisë.</w:t>
      </w:r>
    </w:p>
    <w:p w14:paraId="363DC0F4" w14:textId="2607BCD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Me paraqitjen e kërkesës, duhet të provohet ekzistenca e SE-së. Kërkesës duhet t’i bashkëlidhet i gjithë dokumentacioni i kërkuar nga dispozitat e legjislacioni shqiptar për regjistrimin e shoqërive aksionare, duke përfshirë, por duke mos u kufizuar në origjinalin ose kopjen e </w:t>
      </w:r>
      <w:proofErr w:type="spellStart"/>
      <w:r w:rsidRPr="00706252">
        <w:rPr>
          <w:rFonts w:ascii="Garamond" w:hAnsi="Garamond" w:cs="Times New Roman"/>
          <w:color w:val="000000" w:themeColor="text1"/>
          <w:sz w:val="24"/>
          <w:szCs w:val="24"/>
        </w:rPr>
        <w:t>noterizuar</w:t>
      </w:r>
      <w:proofErr w:type="spellEnd"/>
      <w:r w:rsidRPr="00706252">
        <w:rPr>
          <w:rFonts w:ascii="Garamond" w:hAnsi="Garamond" w:cs="Times New Roman"/>
          <w:color w:val="000000" w:themeColor="text1"/>
          <w:sz w:val="24"/>
          <w:szCs w:val="24"/>
        </w:rPr>
        <w:t>, dhe, nëse dokumentet nuk janë në gjuhën shqipe, përkthimet e tyre të certifikuara nga noteri si më poshtë:</w:t>
      </w:r>
    </w:p>
    <w:p w14:paraId="3E750915" w14:textId="11E435C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091177" w:rsidRPr="00706252">
        <w:rPr>
          <w:rFonts w:ascii="Garamond" w:hAnsi="Garamond" w:cs="Times New Roman"/>
          <w:color w:val="000000" w:themeColor="text1"/>
          <w:sz w:val="24"/>
          <w:szCs w:val="24"/>
        </w:rPr>
        <w:t xml:space="preserve"> s</w:t>
      </w:r>
      <w:r w:rsidRPr="00706252">
        <w:rPr>
          <w:rFonts w:ascii="Garamond" w:hAnsi="Garamond" w:cs="Times New Roman"/>
          <w:color w:val="000000" w:themeColor="text1"/>
          <w:sz w:val="24"/>
          <w:szCs w:val="24"/>
        </w:rPr>
        <w:t>tatuti aktual i SE-së, i vërtetuar nga një noter publik me konfirmimin e tij se dispozitat e ndryshuara të statutit dhe vendimi për ndryshimin dhe dispozitat e pandryshuara të statutit përputhen plotësisht me tekstin e statutit bashkëlidhur kërkesës;</w:t>
      </w:r>
    </w:p>
    <w:p w14:paraId="2AEA3449" w14:textId="7AF023E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091177" w:rsidRPr="00706252">
        <w:rPr>
          <w:rFonts w:ascii="Garamond" w:hAnsi="Garamond" w:cs="Times New Roman"/>
          <w:color w:val="000000" w:themeColor="text1"/>
          <w:sz w:val="24"/>
          <w:szCs w:val="24"/>
        </w:rPr>
        <w:t xml:space="preserve"> p</w:t>
      </w:r>
      <w:r w:rsidRPr="00706252">
        <w:rPr>
          <w:rFonts w:ascii="Garamond" w:hAnsi="Garamond" w:cs="Times New Roman"/>
          <w:color w:val="000000" w:themeColor="text1"/>
          <w:sz w:val="24"/>
          <w:szCs w:val="24"/>
        </w:rPr>
        <w:t>lani për transferimin e selisë së regjistruar</w:t>
      </w:r>
      <w:r w:rsidR="00031671" w:rsidRPr="00706252">
        <w:rPr>
          <w:rFonts w:ascii="Garamond" w:hAnsi="Garamond" w:cs="Times New Roman"/>
          <w:color w:val="000000" w:themeColor="text1"/>
          <w:sz w:val="24"/>
          <w:szCs w:val="24"/>
        </w:rPr>
        <w:t xml:space="preserve"> sipas nenit 5, pika 2, të këtij ligji</w:t>
      </w:r>
      <w:r w:rsidRPr="00706252">
        <w:rPr>
          <w:rFonts w:ascii="Garamond" w:hAnsi="Garamond" w:cs="Times New Roman"/>
          <w:color w:val="000000" w:themeColor="text1"/>
          <w:sz w:val="24"/>
          <w:szCs w:val="24"/>
        </w:rPr>
        <w:t>;</w:t>
      </w:r>
    </w:p>
    <w:p w14:paraId="75E49D32" w14:textId="5ADA9D6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091177" w:rsidRPr="00706252">
        <w:rPr>
          <w:rFonts w:ascii="Garamond" w:hAnsi="Garamond" w:cs="Times New Roman"/>
          <w:color w:val="000000" w:themeColor="text1"/>
          <w:sz w:val="24"/>
          <w:szCs w:val="24"/>
        </w:rPr>
        <w:t xml:space="preserve"> p</w:t>
      </w:r>
      <w:r w:rsidRPr="00706252">
        <w:rPr>
          <w:rFonts w:ascii="Garamond" w:hAnsi="Garamond" w:cs="Times New Roman"/>
          <w:color w:val="000000" w:themeColor="text1"/>
          <w:sz w:val="24"/>
          <w:szCs w:val="24"/>
        </w:rPr>
        <w:t>rocesverbali i asamblesë së përgjithshme ku deklarohet vendimi për transferimin e selisë së regjistruar;</w:t>
      </w:r>
    </w:p>
    <w:p w14:paraId="5E6F8EB5" w14:textId="5DEE06C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w:t>
      </w:r>
      <w:r w:rsidR="00091177" w:rsidRPr="00706252">
        <w:rPr>
          <w:rFonts w:ascii="Garamond" w:hAnsi="Garamond" w:cs="Times New Roman"/>
          <w:color w:val="000000" w:themeColor="text1"/>
          <w:sz w:val="24"/>
          <w:szCs w:val="24"/>
        </w:rPr>
        <w:t xml:space="preserve"> d</w:t>
      </w:r>
      <w:r w:rsidRPr="00706252">
        <w:rPr>
          <w:rFonts w:ascii="Garamond" w:hAnsi="Garamond" w:cs="Times New Roman"/>
          <w:color w:val="000000" w:themeColor="text1"/>
          <w:sz w:val="24"/>
          <w:szCs w:val="24"/>
        </w:rPr>
        <w:t>okumentet për emërimin e organit administrativ dhe zgjedhjen ose emërimin e anëtarëve të këshillit mbikëqyrës;</w:t>
      </w:r>
    </w:p>
    <w:p w14:paraId="78C2A638" w14:textId="529167A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w:t>
      </w:r>
      <w:r w:rsidR="00091177" w:rsidRPr="00706252">
        <w:rPr>
          <w:rFonts w:ascii="Garamond" w:hAnsi="Garamond" w:cs="Times New Roman"/>
          <w:color w:val="000000" w:themeColor="text1"/>
          <w:sz w:val="24"/>
          <w:szCs w:val="24"/>
        </w:rPr>
        <w:t xml:space="preserve"> r</w:t>
      </w:r>
      <w:r w:rsidRPr="00706252">
        <w:rPr>
          <w:rFonts w:ascii="Garamond" w:hAnsi="Garamond" w:cs="Times New Roman"/>
          <w:color w:val="000000" w:themeColor="text1"/>
          <w:sz w:val="24"/>
          <w:szCs w:val="24"/>
        </w:rPr>
        <w:t>aporti i organit administrativ</w:t>
      </w:r>
      <w:r w:rsidR="00031671" w:rsidRPr="00706252">
        <w:rPr>
          <w:rFonts w:ascii="Garamond" w:hAnsi="Garamond" w:cs="Times New Roman"/>
          <w:color w:val="000000" w:themeColor="text1"/>
          <w:sz w:val="24"/>
          <w:szCs w:val="24"/>
        </w:rPr>
        <w:t xml:space="preserve"> sipas nenit 5, pika 4, të këtij ligji</w:t>
      </w:r>
      <w:r w:rsidRPr="00706252">
        <w:rPr>
          <w:rFonts w:ascii="Garamond" w:hAnsi="Garamond" w:cs="Times New Roman"/>
          <w:color w:val="000000" w:themeColor="text1"/>
          <w:sz w:val="24"/>
          <w:szCs w:val="24"/>
        </w:rPr>
        <w:t>;</w:t>
      </w:r>
    </w:p>
    <w:p w14:paraId="5E6FA4D5" w14:textId="513DAE2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dh) </w:t>
      </w:r>
      <w:r w:rsidR="00091177" w:rsidRPr="00706252">
        <w:rPr>
          <w:rFonts w:ascii="Garamond" w:hAnsi="Garamond" w:cs="Times New Roman"/>
          <w:color w:val="000000" w:themeColor="text1"/>
          <w:sz w:val="24"/>
          <w:szCs w:val="24"/>
        </w:rPr>
        <w:t>p</w:t>
      </w:r>
      <w:r w:rsidRPr="00706252">
        <w:rPr>
          <w:rFonts w:ascii="Garamond" w:hAnsi="Garamond" w:cs="Times New Roman"/>
          <w:color w:val="000000" w:themeColor="text1"/>
          <w:sz w:val="24"/>
          <w:szCs w:val="24"/>
        </w:rPr>
        <w:t xml:space="preserve">asqyrat financiare vjetore dhe një raport </w:t>
      </w:r>
      <w:r w:rsidR="00D06DAA"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gjendjen e shoqërisë për vitin e fundit financiar ose ato që do të duhej të ishin përgatitur për atë vit;</w:t>
      </w:r>
    </w:p>
    <w:p w14:paraId="7C136E32" w14:textId="4CD1054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e)</w:t>
      </w:r>
      <w:r w:rsidR="00091177" w:rsidRPr="00706252">
        <w:rPr>
          <w:rFonts w:ascii="Garamond" w:hAnsi="Garamond" w:cs="Times New Roman"/>
          <w:color w:val="000000" w:themeColor="text1"/>
          <w:sz w:val="24"/>
          <w:szCs w:val="24"/>
        </w:rPr>
        <w:t xml:space="preserve"> c</w:t>
      </w:r>
      <w:r w:rsidRPr="00706252">
        <w:rPr>
          <w:rFonts w:ascii="Garamond" w:hAnsi="Garamond" w:cs="Times New Roman"/>
          <w:color w:val="000000" w:themeColor="text1"/>
          <w:sz w:val="24"/>
          <w:szCs w:val="24"/>
        </w:rPr>
        <w:t>ertifikata nga organi kompetent në vendin e selisë së mëparshme të regjistruar të shoqërisë</w:t>
      </w:r>
      <w:r w:rsidR="00031671" w:rsidRPr="00706252">
        <w:rPr>
          <w:rFonts w:ascii="Garamond" w:hAnsi="Garamond" w:cs="Times New Roman"/>
          <w:color w:val="000000" w:themeColor="text1"/>
          <w:sz w:val="24"/>
          <w:szCs w:val="24"/>
        </w:rPr>
        <w:t xml:space="preserve"> sipas nenit 5, pika 7, të këtij ligji</w:t>
      </w:r>
      <w:r w:rsidRPr="00706252">
        <w:rPr>
          <w:rFonts w:ascii="Garamond" w:hAnsi="Garamond" w:cs="Times New Roman"/>
          <w:color w:val="000000" w:themeColor="text1"/>
          <w:sz w:val="24"/>
          <w:szCs w:val="24"/>
        </w:rPr>
        <w:t>;</w:t>
      </w:r>
    </w:p>
    <w:p w14:paraId="4FAFC361" w14:textId="6D26302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ë) </w:t>
      </w:r>
      <w:r w:rsidR="00091177" w:rsidRPr="00706252">
        <w:rPr>
          <w:rFonts w:ascii="Garamond" w:hAnsi="Garamond" w:cs="Times New Roman"/>
          <w:color w:val="000000" w:themeColor="text1"/>
          <w:sz w:val="24"/>
          <w:szCs w:val="24"/>
        </w:rPr>
        <w:t>n</w:t>
      </w:r>
      <w:r w:rsidRPr="00706252">
        <w:rPr>
          <w:rFonts w:ascii="Garamond" w:hAnsi="Garamond" w:cs="Times New Roman"/>
          <w:color w:val="000000" w:themeColor="text1"/>
          <w:sz w:val="24"/>
          <w:szCs w:val="24"/>
        </w:rPr>
        <w:t>jë ekstrakt nga regjistri i vendit të selisë së mëparshme të regjistruar të shoqërisë, i cili nuk duhet të jetë më i vjetër se data e lëshimit të certifikatës së përmendur në shkronjën “</w:t>
      </w:r>
      <w:r w:rsidR="00031671" w:rsidRPr="00706252">
        <w:rPr>
          <w:rFonts w:ascii="Garamond" w:hAnsi="Garamond" w:cs="Times New Roman"/>
          <w:color w:val="000000" w:themeColor="text1"/>
          <w:sz w:val="24"/>
          <w:szCs w:val="24"/>
        </w:rPr>
        <w:t>e</w:t>
      </w:r>
      <w:r w:rsidRPr="00706252">
        <w:rPr>
          <w:rFonts w:ascii="Garamond" w:hAnsi="Garamond" w:cs="Times New Roman"/>
          <w:color w:val="000000" w:themeColor="text1"/>
          <w:sz w:val="24"/>
          <w:szCs w:val="24"/>
        </w:rPr>
        <w:t>”</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pikës 2 të këtij neni.</w:t>
      </w:r>
    </w:p>
    <w:p w14:paraId="24E73236" w14:textId="55620DB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Të gjithë anëtarët e organit administrativ të SE-së duhet të deklarojnë para QKB-së se ndaj shoqërisë nuk është duke u zhvilluar asnjë procedurë për mbylljen e saj, ajo nuk është në likuidim, nuk është e paaftë për të paguar borxhet ose nuk ka pezulluar përkohësisht pagesat dhe se ndaj saj nuk është duke u zhvilluar asnjë procedurë tjetër e ngjashme.</w:t>
      </w:r>
    </w:p>
    <w:p w14:paraId="034C7C10" w14:textId="0022126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Pas përfundimit të regjistrimit, QKB-ja duhet të njoftojë organin kompetent që mban regjistrin në shtetin në të cilin shoqëria ishte regjistruar më parë.</w:t>
      </w:r>
    </w:p>
    <w:p w14:paraId="284018B4"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E006F49"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KREU III</w:t>
      </w:r>
    </w:p>
    <w:p w14:paraId="31BA0F59" w14:textId="00AB1E6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THEMELIMI I NJË SE-</w:t>
      </w:r>
      <w:r w:rsidR="00E2352F" w:rsidRPr="00706252">
        <w:rPr>
          <w:rFonts w:ascii="Garamond" w:hAnsi="Garamond" w:cs="Times New Roman"/>
          <w:color w:val="000000" w:themeColor="text1"/>
          <w:sz w:val="24"/>
          <w:szCs w:val="24"/>
        </w:rPr>
        <w:t>je</w:t>
      </w:r>
      <w:r w:rsidRPr="00706252">
        <w:rPr>
          <w:rFonts w:ascii="Garamond" w:hAnsi="Garamond" w:cs="Times New Roman"/>
          <w:color w:val="000000" w:themeColor="text1"/>
          <w:sz w:val="24"/>
          <w:szCs w:val="24"/>
        </w:rPr>
        <w:t xml:space="preserve"> NËPËRMJET BASHKIMIT TË DY OSE MË SHUMË SHOQËRIVE TREGTARE</w:t>
      </w:r>
    </w:p>
    <w:p w14:paraId="49EB9C47"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6ED72C8D"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17</w:t>
      </w:r>
    </w:p>
    <w:p w14:paraId="4FD5187B"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Projektmarrëveshja e bashkimit dhe oferta e kompensimit në para në marrëveshjen e bashkimit</w:t>
      </w:r>
    </w:p>
    <w:p w14:paraId="3D18F8E1"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210B38C" w14:textId="1AE3195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DB20E6"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Organet administrative të shoqërive që do të bashkohen përgatisin një projektmarrëveshje të bashkimit, e cila përmban:</w:t>
      </w:r>
    </w:p>
    <w:p w14:paraId="761CF989" w14:textId="31FF90A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emrin dhe selinë e regjistruar të çdo shoqërie që bashkohet dhe atyre të propozuara për SE-në;</w:t>
      </w:r>
    </w:p>
    <w:p w14:paraId="509DED76" w14:textId="345CB80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raportin e shkëmbimit të aksioneve dhe kompensimet përkatëse;</w:t>
      </w:r>
    </w:p>
    <w:p w14:paraId="55ABA8E6" w14:textId="640C8CD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termat dhe mënyrat e shpërndarjes së aksioneve në SE për aksionarët e shoqërive pjesëmarrëse në bashkim, përfshirë formën, klasën, të drejtat që rrjedhin prej tyre dhe datën e dhënies së tyre;</w:t>
      </w:r>
    </w:p>
    <w:p w14:paraId="357B6203" w14:textId="2C95E44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 datën nga e cila aksionarët e SE-së kanë të drejtë për pjesëmarrje në fitim dhe çdo kusht të veçantë që lidhet me këtë të drejtë;</w:t>
      </w:r>
    </w:p>
    <w:p w14:paraId="596BDA7D" w14:textId="50847CC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datën nga e cila transaksionet kontabël të shoqërive që bashkohen do të konsiderohen si të SE-së;</w:t>
      </w:r>
    </w:p>
    <w:p w14:paraId="19A9DF9B" w14:textId="01E404D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dh)</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të drejtat që SE-ja u njeh mbajtësve të aksioneve me të drejta të veçanta dhe mbajtësve të instrumenteve të tjera financiare;</w:t>
      </w:r>
    </w:p>
    <w:p w14:paraId="24F3E9E5" w14:textId="4ED53AA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e)</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përfitimet e veçanta të dhëna ekspertëve apo anëtarëve të organeve të shoqërive që bashkohen;</w:t>
      </w:r>
    </w:p>
    <w:p w14:paraId="3C60AC97" w14:textId="2D311B8C"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ë) statutin e propozuar të SE-së;</w:t>
      </w:r>
    </w:p>
    <w:p w14:paraId="63C9F1BF" w14:textId="2761E03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f)</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informacion </w:t>
      </w:r>
      <w:r w:rsidR="00C26B7F"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procedurat për përfshirjen e punëmarrësve.</w:t>
      </w:r>
    </w:p>
    <w:p w14:paraId="652F5BD9" w14:textId="70E3464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Përveç informacionit të përmendur në pikën 1 të këtij neni, projektmarrëveshja e bashkimit duhet të përmbajë edhe kushtet për pagesën e kompensimit në para ndaj një aksionari që kundërshton transferimin e aktiveve të shoqërisë në një SE, me seli të regjistruar në një shtet anëtar të Bashkimit Evropian, kompensim ky që i ofrohet nga shoqëria ose një palë e tretë për transferimin e aksioneve.</w:t>
      </w:r>
    </w:p>
    <w:p w14:paraId="64E36FB1"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 </w:t>
      </w:r>
    </w:p>
    <w:p w14:paraId="0440CDAB"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18</w:t>
      </w:r>
    </w:p>
    <w:p w14:paraId="451ECFF8"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Shqyrtimi i bashkimit</w:t>
      </w:r>
    </w:p>
    <w:p w14:paraId="4A1D356F"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5D97C315" w14:textId="5A0C7A7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Marrëveshja e bashkimit duhet të shqyrtohet nga një ose më shumë ekspertë të pavarur të licencuar për secilën shoqëri që merr pjesë në bashkim. Dispozitat e zbatueshme për bashkimin ndërkufitar të shoqërive, sipas ligjit shqiptar për shndërrimet, bashkimet dhe ndarjet ndërkufitare të shoqërive tregtare, zbatohen edhe në rastin e bashkimit të SE-ve. </w:t>
      </w:r>
    </w:p>
    <w:p w14:paraId="54B0C236" w14:textId="059F7FA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Si pjesë e këtij shqyrtimi, duhet të ekzaminohet</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gjithashtu</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përshtatshmëria e kushteve për pagesën e kompensimit në para ndaj një aksionari që kundërshton transferimin e aktiveve të shoqërisë në një SE me seli të regjistruar në një shtet anëtar të Bashkimit Evropian, kompensim ky që i ofrohet për transferimin e aksioneve nga shoqëria ose një palë e tretë.</w:t>
      </w:r>
    </w:p>
    <w:p w14:paraId="1C177D71"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C341A23"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19</w:t>
      </w:r>
    </w:p>
    <w:p w14:paraId="05DB9280"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Publikimi i marrëveshjes së bashkimit</w:t>
      </w:r>
    </w:p>
    <w:p w14:paraId="538FED8C"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539904C7" w14:textId="54FBCAEC"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Shoqëria duhet të dorëzojë marrëveshjen e bashkimit ose propozimin e saj në QKB dhe ta publikojë atë në mënyrën e përcaktuar në rastet e bashkimit ndërkufitar të shoqërive, sipas ligjit shqiptar për </w:t>
      </w:r>
      <w:r w:rsidRPr="00706252">
        <w:rPr>
          <w:rFonts w:ascii="Garamond" w:hAnsi="Garamond" w:cs="Times New Roman"/>
          <w:color w:val="000000" w:themeColor="text1"/>
          <w:sz w:val="24"/>
          <w:szCs w:val="24"/>
        </w:rPr>
        <w:lastRenderedPageBreak/>
        <w:t>shndërrimet, bashkimet dhe ndarjet ndërkufitare t</w:t>
      </w:r>
      <w:r w:rsidR="0060473F" w:rsidRPr="00706252">
        <w:rPr>
          <w:rFonts w:ascii="Garamond" w:hAnsi="Garamond" w:cs="Times New Roman"/>
          <w:color w:val="000000" w:themeColor="text1"/>
          <w:sz w:val="24"/>
          <w:szCs w:val="24"/>
        </w:rPr>
        <w:t>ë</w:t>
      </w:r>
      <w:r w:rsidRPr="00706252">
        <w:rPr>
          <w:rFonts w:ascii="Garamond" w:hAnsi="Garamond" w:cs="Times New Roman"/>
          <w:color w:val="000000" w:themeColor="text1"/>
          <w:sz w:val="24"/>
          <w:szCs w:val="24"/>
        </w:rPr>
        <w:t xml:space="preserve"> shoqëri</w:t>
      </w:r>
      <w:r w:rsidR="0060473F" w:rsidRPr="00706252">
        <w:rPr>
          <w:rFonts w:ascii="Garamond" w:hAnsi="Garamond" w:cs="Times New Roman"/>
          <w:color w:val="000000" w:themeColor="text1"/>
          <w:sz w:val="24"/>
          <w:szCs w:val="24"/>
        </w:rPr>
        <w:t>ve</w:t>
      </w:r>
      <w:r w:rsidRPr="00706252">
        <w:rPr>
          <w:rFonts w:ascii="Garamond" w:hAnsi="Garamond" w:cs="Times New Roman"/>
          <w:color w:val="000000" w:themeColor="text1"/>
          <w:sz w:val="24"/>
          <w:szCs w:val="24"/>
        </w:rPr>
        <w:t xml:space="preserve"> tregtare. Njoftimi se marrëveshja e bashkimit ose propozimi i saj është dorëzuar në QKB duhet të përmbajë informacionin e përmendur në pikën 3 të këtij neni dhe t’i informojë aksionarët për të drejtat e tyre</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sipas nenit 21 të këtij ligji dhe kreditorët për të drejtat e tyre sipas pikës 2</w:t>
      </w:r>
      <w:r w:rsidR="00E2352F">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këtij neni dhe nenit 22 të këtij ligji.</w:t>
      </w:r>
    </w:p>
    <w:p w14:paraId="64A8BBBD" w14:textId="75BA44C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Me kërkesë të çdo kreditori të një shoqërie, aktivet e së cilës transferohen në një SE me seli të regjistruar në një shtet anëtar të Bashkimit Evropian, dokumentet që u janë vendosur në dispozicion aksionarëve, duhet t’i vihen atij në dispozicion pa vonesë dhe me shpenzimet e shoqërisë.</w:t>
      </w:r>
    </w:p>
    <w:p w14:paraId="3934807C" w14:textId="56486C8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 secilën nga shoqëritë që marrin pjesë në bashkim për qëllime të krijimit të një SE-je, në përputhje me kërkesat e përcaktuara në këtë ligj publikohet projekti i bashkimit në faqen zyrtare të internetit të QKB-së. Publikimi i projektit të bashkimit duhet të përmbajë të paktën informacionin e mëposhtëm për:</w:t>
      </w:r>
    </w:p>
    <w:p w14:paraId="4DD9DE4C" w14:textId="04B5033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formën ligjore, emrin dhe selinë të secilës shoqëri që bashkohet;</w:t>
      </w:r>
    </w:p>
    <w:p w14:paraId="3A31F668" w14:textId="3378F22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regjistrin tregtar në të cilin janë depozituar dokumentet e secilës shoqëri</w:t>
      </w:r>
      <w:r w:rsidR="00C26B7F" w:rsidRPr="00706252">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si dhe numrin e regjistrimit në regjistër;</w:t>
      </w:r>
    </w:p>
    <w:p w14:paraId="29C6C3BB" w14:textId="3892C54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informacionin për procedurat që u mundësojnë kreditorëve të ushtrojnë të drejtat e tyre, si dhe adresën ku këto informacione mund të merren falas;</w:t>
      </w:r>
    </w:p>
    <w:p w14:paraId="494FAF81" w14:textId="05BA838C"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 informacionin për procedurat që u mundësojnë aksionarëve</w:t>
      </w:r>
      <w:r w:rsidR="00031671" w:rsidRPr="00706252">
        <w:rPr>
          <w:rFonts w:ascii="Garamond" w:hAnsi="Garamond"/>
          <w:color w:val="000000" w:themeColor="text1"/>
          <w:sz w:val="24"/>
          <w:szCs w:val="24"/>
        </w:rPr>
        <w:t xml:space="preserve"> </w:t>
      </w:r>
      <w:r w:rsidR="00031671" w:rsidRPr="00706252">
        <w:rPr>
          <w:rFonts w:ascii="Garamond" w:hAnsi="Garamond" w:cs="Times New Roman"/>
          <w:color w:val="000000" w:themeColor="text1"/>
          <w:sz w:val="24"/>
          <w:szCs w:val="24"/>
        </w:rPr>
        <w:t xml:space="preserve">të pakicës </w:t>
      </w:r>
      <w:r w:rsidRPr="00706252">
        <w:rPr>
          <w:rFonts w:ascii="Garamond" w:hAnsi="Garamond" w:cs="Times New Roman"/>
          <w:color w:val="000000" w:themeColor="text1"/>
          <w:sz w:val="24"/>
          <w:szCs w:val="24"/>
        </w:rPr>
        <w:t>të ushtrojnë të drejtat e tyre në të njëjtën mënyrë në të cilën ato ushtrohen për shoqëritë aksionare, sipas ligjit shqiptar për tregtarët dhe shoqëritë tregtare, si dhe adresën ku mund të drejtohen;</w:t>
      </w:r>
    </w:p>
    <w:p w14:paraId="110CC826" w14:textId="275AFC9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emrin e propozuar dhe selinë e propozuar të shoqërisë evropiane (SE).</w:t>
      </w:r>
    </w:p>
    <w:p w14:paraId="32671CF1"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8CE19CD"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20</w:t>
      </w:r>
    </w:p>
    <w:p w14:paraId="55C0958D"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Bashkim i thjeshtuar</w:t>
      </w:r>
    </w:p>
    <w:p w14:paraId="58363862"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31DF29A"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Nëse të gjitha aksionet e shoqërisë zotërohen nga një aksionar i vetëm ose nëse të gjithë aksionarët heqin dorë nga e drejta e tyre për kompensim në para me një deklaratë me shkrim ose një deklarim të shënuar në procesverbalin e asamblesë së përgjithshme, atëherë nuk është e nevojshme që në marrëveshjen e bashkimit të përcaktohen kushtet e ofrimit të kompensimit në para dhe nuk është e nevojshme të shqyrtohet përshtatshmëria e tij.</w:t>
      </w:r>
    </w:p>
    <w:p w14:paraId="1EF0C01C"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1506B490"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21</w:t>
      </w:r>
    </w:p>
    <w:p w14:paraId="3D49A93E"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Kompensimi në para për një aksionar që kundërshton bashkimin e shoqërive</w:t>
      </w:r>
    </w:p>
    <w:p w14:paraId="4DEE7A74"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50DC8031" w14:textId="41EDA9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Çdo aksionar i një shoqërie, aktivet e së cilës transferohen në një SE me seli në një shtet anëtar të Bashkimit Evropian, i cili në asamblenë e përgjithshme deklaron në procesverbal kundërshtimin e tij ndaj vendimit për bashkimin e shoqërive, ka të drejtë të kërkojë nga shoqëria ose nga një person i tretë, që ka ofruar të paguajë kompensimin në para, që t’i paguhet një kompensim i përshtatshëm në para dhe që ai t’ia transferojë aksionet e tij atij. Në këtë rast do të zbatohen dispozitat e neneve 12 dhe 13 të këtij ligji.</w:t>
      </w:r>
    </w:p>
    <w:p w14:paraId="362EBFA7"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A7B3A11" w14:textId="0BD3A65F"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22</w:t>
      </w:r>
    </w:p>
    <w:p w14:paraId="246F7432"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 xml:space="preserve">Mbrojtja e kreditorëve dhe e mbajtësve të </w:t>
      </w:r>
      <w:proofErr w:type="spellStart"/>
      <w:r w:rsidRPr="00706252">
        <w:rPr>
          <w:rFonts w:ascii="Garamond" w:hAnsi="Garamond" w:cs="Times New Roman"/>
          <w:b/>
          <w:bCs/>
          <w:color w:val="000000" w:themeColor="text1"/>
          <w:sz w:val="24"/>
          <w:szCs w:val="24"/>
        </w:rPr>
        <w:t>të</w:t>
      </w:r>
      <w:proofErr w:type="spellEnd"/>
      <w:r w:rsidRPr="00706252">
        <w:rPr>
          <w:rFonts w:ascii="Garamond" w:hAnsi="Garamond" w:cs="Times New Roman"/>
          <w:b/>
          <w:bCs/>
          <w:color w:val="000000" w:themeColor="text1"/>
          <w:sz w:val="24"/>
          <w:szCs w:val="24"/>
        </w:rPr>
        <w:t xml:space="preserve"> drejtave të veçanta</w:t>
      </w:r>
    </w:p>
    <w:p w14:paraId="62C969B8"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3E9A397" w14:textId="558B0D0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Nëse një shoqëri transferon aktivet e saj në një SE me seli të regjistruar në një shtet anëtar të Bashkimit Evropian, zbatohen, sipas rastit, dispozitat e nenit 14 të këtij ligji. Certifikata e </w:t>
      </w:r>
      <w:proofErr w:type="spellStart"/>
      <w:r w:rsidRPr="00706252">
        <w:rPr>
          <w:rFonts w:ascii="Garamond" w:hAnsi="Garamond" w:cs="Times New Roman"/>
          <w:color w:val="000000" w:themeColor="text1"/>
          <w:sz w:val="24"/>
          <w:szCs w:val="24"/>
        </w:rPr>
        <w:t>parabashkimit</w:t>
      </w:r>
      <w:proofErr w:type="spellEnd"/>
      <w:r w:rsidRPr="00706252">
        <w:rPr>
          <w:rFonts w:ascii="Garamond" w:hAnsi="Garamond" w:cs="Times New Roman"/>
          <w:color w:val="000000" w:themeColor="text1"/>
          <w:sz w:val="24"/>
          <w:szCs w:val="24"/>
        </w:rPr>
        <w:t>, e lëshuar nga noteri në rastin e bashkimit ndërkufitar të shoqërive tregtare, sipas ligjit shqiptar për shndërrimet, bashkimet dhe ndarjet ndërkufitare të shoqërive tregtare, mund të lëshohet vetëm pasi të jetë konstatuar se mbajtësve të aksioneve me të drejta të veçanta dhe mbajtësve të instrumenteve të tjera financiare u janë dhënë të njëjtat të drejta.</w:t>
      </w:r>
    </w:p>
    <w:p w14:paraId="4913FE25" w14:textId="2F3B5FC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Kërkesa për regjistrim në regjistrin e QKB-së të bashkimit të synuar, që përfshin transferimin e aktiveve të një shoqërie me seli të regjistruar në Republikën e Shqipërisë në një SE me seli të regjistruar në një shtet tjetër anëtar të BE-së, mund të paraqitet vetëm pasi të jenë përmbushur kërkesat e këtij neni për mbrojtjen e kreditorëve dhe të mbajtësve të </w:t>
      </w:r>
      <w:proofErr w:type="spellStart"/>
      <w:r w:rsidRPr="00706252">
        <w:rPr>
          <w:rFonts w:ascii="Garamond" w:hAnsi="Garamond" w:cs="Times New Roman"/>
          <w:color w:val="000000" w:themeColor="text1"/>
          <w:sz w:val="24"/>
          <w:szCs w:val="24"/>
        </w:rPr>
        <w:t>të</w:t>
      </w:r>
      <w:proofErr w:type="spellEnd"/>
      <w:r w:rsidRPr="00706252">
        <w:rPr>
          <w:rFonts w:ascii="Garamond" w:hAnsi="Garamond" w:cs="Times New Roman"/>
          <w:color w:val="000000" w:themeColor="text1"/>
          <w:sz w:val="24"/>
          <w:szCs w:val="24"/>
        </w:rPr>
        <w:t xml:space="preserve"> drejtave të veçanta.</w:t>
      </w:r>
    </w:p>
    <w:p w14:paraId="1F09AC7B"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 </w:t>
      </w:r>
    </w:p>
    <w:p w14:paraId="13F44344"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2BB02A99"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512AB8C2" w14:textId="348D4C2D"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Neni 23</w:t>
      </w:r>
    </w:p>
    <w:p w14:paraId="6EFECEA7" w14:textId="3A2D5498"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 xml:space="preserve">Regjistrimi i bashkimit dhe lëshimi i certifikatës së </w:t>
      </w:r>
      <w:proofErr w:type="spellStart"/>
      <w:r w:rsidRPr="00706252">
        <w:rPr>
          <w:rFonts w:ascii="Garamond" w:hAnsi="Garamond" w:cs="Times New Roman"/>
          <w:b/>
          <w:bCs/>
          <w:color w:val="000000" w:themeColor="text1"/>
          <w:sz w:val="24"/>
          <w:szCs w:val="24"/>
        </w:rPr>
        <w:t>parabashkimit</w:t>
      </w:r>
      <w:proofErr w:type="spellEnd"/>
    </w:p>
    <w:p w14:paraId="404AD740"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12309263" w14:textId="3F426BF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Të gjithë anëtarët e organit administrativ të një shoqërie që transferon aktivet në një SE me seli në një shtet anëtar të BE-së duhet t’i paraqesin QKB-së për regjistrim në regjistrin tregtar bashkimin e synuar. Kërkesës duhet t’i bashkëlidhen origjinali ose një kopje e vërtetuar ose një kopje e:</w:t>
      </w:r>
    </w:p>
    <w:p w14:paraId="1CA344C0" w14:textId="7233AFF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marrëveshjes së nënshkruar të bashkimit ose projektit të asaj marrëveshjeje të miratuar nga asambleja;</w:t>
      </w:r>
    </w:p>
    <w:p w14:paraId="3E914128" w14:textId="43F1EE5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procesverbalit të asamblesë së përgjithshme të shoqërisë që transferon aktivet, ku deklarohet vendimi për bashkim;</w:t>
      </w:r>
    </w:p>
    <w:p w14:paraId="657D7957" w14:textId="3351838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nëse bashkimi kërkon ndonjë miratim nga një organ shtetëror, të miratimit të atij organi;</w:t>
      </w:r>
    </w:p>
    <w:p w14:paraId="19A4E855" w14:textId="386D41D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w:t>
      </w:r>
      <w:r w:rsidR="003A39BE">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raportit të bashkimit të përgatitur nga organi administrativ i shoqërisë;</w:t>
      </w:r>
    </w:p>
    <w:p w14:paraId="6671C3AB" w14:textId="5930B36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raportit të ekspertit të pavarur të licencuar për bashkimin;</w:t>
      </w:r>
    </w:p>
    <w:p w14:paraId="356C5934" w14:textId="7138BEE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dh) pasqyrave financiare përfundimtare të shoqërisë që transferon aktivet;</w:t>
      </w:r>
    </w:p>
    <w:p w14:paraId="18A6F0D1" w14:textId="3C5F67E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e)</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dëshmisë se depozitimi i marrëveshjes së bashkimit ose i projektit të saj, i depozituar në QKB sipas këtij neni, është publikuar edhe në faqen e internetit të shoqërisë që transferon aktivet;</w:t>
      </w:r>
    </w:p>
    <w:p w14:paraId="57713BFE" w14:textId="6514002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ë)</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dëshmisë se është dhënë garanci për pagesën e kompensimit të përshtatshëm në para aksionarëve që kundërshtojnë bashkimin;</w:t>
      </w:r>
    </w:p>
    <w:p w14:paraId="2E1776B6" w14:textId="4B393B2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f)</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dëshmisë se u është dhënë garanci kreditorëve dhe një deklaratë se, përveç kreditorëve të shlyer dhe kreditorëve ndaj të cilëve është dhënë garanci, nuk ka kreditorë të tjerë që i janë paraqitur shoqërisë brenda afatit të parashikuar.</w:t>
      </w:r>
    </w:p>
    <w:p w14:paraId="773C5074" w14:textId="6F6E659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Të gjithë anëtarët e organit administrativ duhet t’i paraqesin QKB-së deklaratat se brenda një muaji nga data e marrjes së vendimit për bashkimin e shoqërive nuk është ngritur asnjë padi për të kërkuar shpalljen e pavlefshmërisë së vendimit ose për ta kundërshtuar atë, ose se një padi e tillë është tërhequr, ose se të gjithë aksionarët kanë dhënë deklarata përpara noterit publik se heqin dorë nga një padi e tillë, si dhe nëse dhe sa aksionarë kanë ushtruar të drejtën për të marrë një kompensim në para dhe se aksionet e aksionarëve, që kundërshtuan bashkimin e shoqërive, mund të merren sipas ligjit.</w:t>
      </w:r>
    </w:p>
    <w:p w14:paraId="1A7FA90D" w14:textId="3827DA00" w:rsidR="006F5BF4"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QKB-ja është e detyruar të shqyrtojë nëse të gjitha veprimet juridike dhe formalitetet që duhet të kryhen përpara bashkimit të shoqërive, sipas këtij ligji, janë kryer siç duhet dhe nëse </w:t>
      </w:r>
      <w:r w:rsidR="00174E2E" w:rsidRPr="00706252">
        <w:rPr>
          <w:rFonts w:ascii="Garamond" w:hAnsi="Garamond" w:cs="Times New Roman"/>
          <w:color w:val="000000" w:themeColor="text1"/>
          <w:sz w:val="24"/>
          <w:szCs w:val="24"/>
        </w:rPr>
        <w:t xml:space="preserve">u </w:t>
      </w:r>
      <w:r w:rsidRPr="00706252">
        <w:rPr>
          <w:rFonts w:ascii="Garamond" w:hAnsi="Garamond" w:cs="Times New Roman"/>
          <w:color w:val="000000" w:themeColor="text1"/>
          <w:sz w:val="24"/>
          <w:szCs w:val="24"/>
        </w:rPr>
        <w:t xml:space="preserve">është dhënë garanci kreditorëve për pretendimet e tyre ndaj shoqërisë, mbajtësve të </w:t>
      </w:r>
      <w:proofErr w:type="spellStart"/>
      <w:r w:rsidRPr="00706252">
        <w:rPr>
          <w:rFonts w:ascii="Garamond" w:hAnsi="Garamond" w:cs="Times New Roman"/>
          <w:color w:val="000000" w:themeColor="text1"/>
          <w:sz w:val="24"/>
          <w:szCs w:val="24"/>
        </w:rPr>
        <w:t>të</w:t>
      </w:r>
      <w:proofErr w:type="spellEnd"/>
      <w:r w:rsidRPr="00706252">
        <w:rPr>
          <w:rFonts w:ascii="Garamond" w:hAnsi="Garamond" w:cs="Times New Roman"/>
          <w:color w:val="000000" w:themeColor="text1"/>
          <w:sz w:val="24"/>
          <w:szCs w:val="24"/>
        </w:rPr>
        <w:t xml:space="preserve"> drejtave të veçanta dhe aksionarëve, që kundërshtuan bashkimin, për pagesën e kompensimit në para për aksionarët që dëshirojnë të tërhiqen nga shoqëria. Nëse këto kushte janë përmbushur, QKB-ja bën regjistrimin dhe lëshon një certifikatë </w:t>
      </w:r>
      <w:proofErr w:type="spellStart"/>
      <w:r w:rsidRPr="00706252">
        <w:rPr>
          <w:rFonts w:ascii="Garamond" w:hAnsi="Garamond" w:cs="Times New Roman"/>
          <w:color w:val="000000" w:themeColor="text1"/>
          <w:sz w:val="24"/>
          <w:szCs w:val="24"/>
        </w:rPr>
        <w:t>parabashkimi</w:t>
      </w:r>
      <w:proofErr w:type="spellEnd"/>
      <w:r w:rsidR="00174E2E" w:rsidRPr="00706252">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e cila kërkohet edhe </w:t>
      </w:r>
      <w:r w:rsidR="006F5BF4" w:rsidRPr="00706252">
        <w:rPr>
          <w:rFonts w:ascii="Garamond" w:hAnsi="Garamond" w:cs="Times New Roman"/>
          <w:color w:val="000000" w:themeColor="text1"/>
          <w:sz w:val="24"/>
          <w:szCs w:val="24"/>
        </w:rPr>
        <w:t>në kuptim të nenit 22, pika 2, të këtij ligji</w:t>
      </w:r>
      <w:r w:rsidR="00C62CCF">
        <w:rPr>
          <w:rFonts w:ascii="Garamond" w:hAnsi="Garamond" w:cs="Times New Roman"/>
          <w:color w:val="000000" w:themeColor="text1"/>
          <w:sz w:val="24"/>
          <w:szCs w:val="24"/>
        </w:rPr>
        <w:t>.</w:t>
      </w:r>
      <w:r w:rsidR="006F5BF4" w:rsidRPr="00706252">
        <w:rPr>
          <w:rFonts w:ascii="Garamond" w:hAnsi="Garamond" w:cs="Times New Roman"/>
          <w:color w:val="000000" w:themeColor="text1"/>
          <w:sz w:val="24"/>
          <w:szCs w:val="24"/>
        </w:rPr>
        <w:t xml:space="preserve"> </w:t>
      </w:r>
    </w:p>
    <w:p w14:paraId="63DE32FA" w14:textId="627A6AD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Gjatë regjistrimit të bashkimit të synuar në regjistrin e tregtar të QKB-së duhet të shënohet selia e planifikuar e regjistruar e SE-së, regjistri në të cilin shoqëria do të regjistrohet dhe fakti që është lëshuar certifikata e </w:t>
      </w:r>
      <w:proofErr w:type="spellStart"/>
      <w:r w:rsidRPr="00706252">
        <w:rPr>
          <w:rFonts w:ascii="Garamond" w:hAnsi="Garamond" w:cs="Times New Roman"/>
          <w:color w:val="000000" w:themeColor="text1"/>
          <w:sz w:val="24"/>
          <w:szCs w:val="24"/>
        </w:rPr>
        <w:t>parabashkimit</w:t>
      </w:r>
      <w:proofErr w:type="spellEnd"/>
      <w:r w:rsidRPr="00706252">
        <w:rPr>
          <w:rFonts w:ascii="Garamond" w:hAnsi="Garamond" w:cs="Times New Roman"/>
          <w:color w:val="000000" w:themeColor="text1"/>
          <w:sz w:val="24"/>
          <w:szCs w:val="24"/>
        </w:rPr>
        <w:t xml:space="preserve"> sipas pikës 3 të këtij neni.</w:t>
      </w:r>
    </w:p>
    <w:p w14:paraId="39F6B12D" w14:textId="5F6A836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Menjëherë pas regjistrimit të bashkimit e synuar të shoqërive në regjistrin e ri, organi administrativ duhet të paraqesë një kërkesë për regjistrimin e bashkimit dhe për fshirjen e shoqërisë nga regjistri tregtar i QKB-së së bashku me njoftimin nga regjistri i selisë së re të regjistruar të shoqërisë. Nëse njoftimi nuk është në gjuhën shqipe, ai duhet të paraqitet në një përkthim të certifikuar në gjuhën shqipe.</w:t>
      </w:r>
    </w:p>
    <w:p w14:paraId="47F7D288"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9547451"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24</w:t>
      </w:r>
    </w:p>
    <w:p w14:paraId="07FEF0CA"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Marrëveshja për pjesëmarrjen e punëmarrësve si kusht për regjistrimin</w:t>
      </w:r>
    </w:p>
    <w:p w14:paraId="5A68330C"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A7B4001" w14:textId="2C299E6C"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Çdo shoqëri pjesëmarrëse në bashkim ka të drejtë të kushtëzojë pjesëmarrjen e saj në SE me miratimin e mënyrës së pjesëmarrjes së punëmarrësve, në përputhje me dispozitat për pjesëmarrjen e punëmarrësve të parashikuara në këtë ligj.</w:t>
      </w:r>
    </w:p>
    <w:p w14:paraId="38008379" w14:textId="1E3FF35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Në rast se marrëveshja për pjesëmarrjen e punëmarrësve nuk është arritur brenda afatit të përcaktuar me ligj, asnjë shoqëri pjesëmarrëse nuk mund të detyrohet të marrë pjesë në shoqërinë evropiane.</w:t>
      </w:r>
    </w:p>
    <w:p w14:paraId="25A6E3F4" w14:textId="53AF693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Certifikata e </w:t>
      </w:r>
      <w:proofErr w:type="spellStart"/>
      <w:r w:rsidRPr="00706252">
        <w:rPr>
          <w:rFonts w:ascii="Garamond" w:hAnsi="Garamond" w:cs="Times New Roman"/>
          <w:color w:val="000000" w:themeColor="text1"/>
          <w:sz w:val="24"/>
          <w:szCs w:val="24"/>
        </w:rPr>
        <w:t>parabashkimit</w:t>
      </w:r>
      <w:proofErr w:type="spellEnd"/>
      <w:r w:rsidRPr="00706252">
        <w:rPr>
          <w:rFonts w:ascii="Garamond" w:hAnsi="Garamond" w:cs="Times New Roman"/>
          <w:color w:val="000000" w:themeColor="text1"/>
          <w:sz w:val="24"/>
          <w:szCs w:val="24"/>
        </w:rPr>
        <w:t>, e parashikuar në nenin 23 të këtij ligji, nuk mund të lëshohet në mungesë të dokumentacionit që vërteton se çështjet e përfaqësimit të punëmarrësve janë zgjidhur në përputhje me këtë ligj, kur pjesëmarrja e punëmarrësve, sipas pikës 1 të këtij neni, ishte vendosur si kusht nga ndonjë prej shoqërive pjesëmarrëse.</w:t>
      </w:r>
    </w:p>
    <w:p w14:paraId="0E83DABD"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36B48FE"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Neni 25</w:t>
      </w:r>
    </w:p>
    <w:p w14:paraId="75DC2B49"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Themelimi i një shoqërie evropiane mbajtëse (</w:t>
      </w:r>
      <w:proofErr w:type="spellStart"/>
      <w:r w:rsidRPr="00706252">
        <w:rPr>
          <w:rFonts w:ascii="Garamond" w:hAnsi="Garamond" w:cs="Times New Roman"/>
          <w:b/>
          <w:bCs/>
          <w:i/>
          <w:iCs/>
          <w:color w:val="000000" w:themeColor="text1"/>
          <w:sz w:val="24"/>
          <w:szCs w:val="24"/>
        </w:rPr>
        <w:t>holding</w:t>
      </w:r>
      <w:proofErr w:type="spellEnd"/>
      <w:r w:rsidRPr="00706252">
        <w:rPr>
          <w:rFonts w:ascii="Garamond" w:hAnsi="Garamond" w:cs="Times New Roman"/>
          <w:b/>
          <w:bCs/>
          <w:color w:val="000000" w:themeColor="text1"/>
          <w:sz w:val="24"/>
          <w:szCs w:val="24"/>
        </w:rPr>
        <w:t>)</w:t>
      </w:r>
    </w:p>
    <w:p w14:paraId="1A7588D5"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A0F09DA" w14:textId="371D036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Një SE mund të krijohet edhe me themelimin e një SE-je mbajtëse nga dy ose më shumë shoqëri tregtare, që </w:t>
      </w:r>
      <w:r w:rsidR="00FD6B1B" w:rsidRPr="00706252">
        <w:rPr>
          <w:rFonts w:ascii="Garamond" w:hAnsi="Garamond" w:cs="Times New Roman"/>
          <w:color w:val="000000" w:themeColor="text1"/>
          <w:sz w:val="24"/>
          <w:szCs w:val="24"/>
        </w:rPr>
        <w:t>u</w:t>
      </w:r>
      <w:r w:rsidRPr="00706252">
        <w:rPr>
          <w:rFonts w:ascii="Garamond" w:hAnsi="Garamond" w:cs="Times New Roman"/>
          <w:color w:val="000000" w:themeColor="text1"/>
          <w:sz w:val="24"/>
          <w:szCs w:val="24"/>
        </w:rPr>
        <w:t xml:space="preserve"> nënshtrohen legjislacioneve të ndryshme</w:t>
      </w:r>
      <w:r w:rsidR="006F5BF4" w:rsidRPr="00706252">
        <w:rPr>
          <w:rFonts w:ascii="Garamond" w:hAnsi="Garamond" w:cs="Times New Roman"/>
          <w:color w:val="000000" w:themeColor="text1"/>
          <w:sz w:val="24"/>
          <w:szCs w:val="24"/>
        </w:rPr>
        <w:t xml:space="preserve"> me kusht që të paktën dy prej tyre të kenë pasur për të paktën dy vjet një shoqëri filiale të rregulluar nga ligji i një shteti tjetër anëtar ose një degë të vendosur në një shtet tjetër anëtar</w:t>
      </w:r>
      <w:r w:rsidRPr="00706252">
        <w:rPr>
          <w:rFonts w:ascii="Garamond" w:hAnsi="Garamond" w:cs="Times New Roman"/>
          <w:color w:val="000000" w:themeColor="text1"/>
          <w:sz w:val="24"/>
          <w:szCs w:val="24"/>
        </w:rPr>
        <w:t>.</w:t>
      </w:r>
    </w:p>
    <w:p w14:paraId="13162974" w14:textId="6F195AF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Aksionarët e shoqërive pjesëmarrëse kanë një afat tremujor për të njoftuar nëse do të kontribuojnë aksionet e tyre për krijimin e SE-së mbajtëse. Ky afat fillon nga data kur kushtet përfundimtare për themelimin e SE-së mbajtëse, të përcaktuara në përputhje me nenet 26 dhe 27 të këtij ligji, janë zbatuar.</w:t>
      </w:r>
    </w:p>
    <w:p w14:paraId="5C5CAB40" w14:textId="06BE452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Kur kushtet sipas nenit 27</w:t>
      </w:r>
      <w:r w:rsidR="00FD6B1B" w:rsidRPr="00706252">
        <w:rPr>
          <w:rFonts w:ascii="Garamond" w:hAnsi="Garamond" w:cs="Times New Roman"/>
          <w:color w:val="000000" w:themeColor="text1"/>
          <w:sz w:val="24"/>
          <w:szCs w:val="24"/>
        </w:rPr>
        <w:t xml:space="preserve"> të këtij ligji</w:t>
      </w:r>
      <w:r w:rsidRPr="00706252">
        <w:rPr>
          <w:rFonts w:ascii="Garamond" w:hAnsi="Garamond" w:cs="Times New Roman"/>
          <w:color w:val="000000" w:themeColor="text1"/>
          <w:sz w:val="24"/>
          <w:szCs w:val="24"/>
        </w:rPr>
        <w:t xml:space="preserve"> janë përmbushur për secilën shoqëri pjesëmarrëse, projekti i themelimit të SE-së mbajtëse publikohet në regjistrin tregtar përkatës</w:t>
      </w:r>
      <w:r w:rsidR="00FD6B1B" w:rsidRPr="00706252">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si dhe në regjistrin tregtar të mbajtur nga QKB-ja</w:t>
      </w:r>
      <w:r w:rsidR="00986C41">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në përputhje me kërkesat për regjistrimet e detyrueshme të ligjit shqiptar për regjistrimin e biznesit të paktën </w:t>
      </w:r>
      <w:r w:rsidR="00FD6B1B" w:rsidRPr="00706252">
        <w:rPr>
          <w:rFonts w:ascii="Garamond" w:hAnsi="Garamond" w:cs="Times New Roman"/>
          <w:color w:val="000000" w:themeColor="text1"/>
          <w:sz w:val="24"/>
          <w:szCs w:val="24"/>
        </w:rPr>
        <w:t>1</w:t>
      </w:r>
      <w:r w:rsidRPr="00706252">
        <w:rPr>
          <w:rFonts w:ascii="Garamond" w:hAnsi="Garamond" w:cs="Times New Roman"/>
          <w:color w:val="000000" w:themeColor="text1"/>
          <w:sz w:val="24"/>
          <w:szCs w:val="24"/>
        </w:rPr>
        <w:t xml:space="preserve"> muaj para datës së mbledhjes së përgjithshme, që do të vendosë për miratimin e tij.</w:t>
      </w:r>
    </w:p>
    <w:p w14:paraId="4BE1A9CF" w14:textId="6F1A345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Aksionarët që nuk kanë shprehur qëndrimin e tyre gjatë afatit të parë, kanë një afat shtesë njëmujor për të njoftuar vendimin e tyre.</w:t>
      </w:r>
    </w:p>
    <w:p w14:paraId="44EDC411" w14:textId="2D161ED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09117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SE-ja mbajtëse nuk mund të regjistrohet pa u konfirmuar se janë përmbushur të gjitha formalitetet sipas nenit 27 të këtij ligji dhe afateve të parashikuara në pikat 2, 3 dhe 4 të këtij neni.</w:t>
      </w:r>
    </w:p>
    <w:p w14:paraId="1F5CE3E9" w14:textId="2B237A4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6.</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SE-ja mbajtëse themelohet vetëm nëse brenda afatit të përcaktuar në pikën 2 apo afatit shtesë të përcaktuar në pikën 4 të këtij neni, aksionarët kontribuojnë përqindjen minimale të aksioneve në secilën shoqëri në përputhje me projektin</w:t>
      </w:r>
      <w:r w:rsidR="00FD6B1B"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dhe përmbushen të gjitha kushtet e tjera.</w:t>
      </w:r>
    </w:p>
    <w:p w14:paraId="1D965517" w14:textId="2413A53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7.</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Teksti i statutit, i miratuar përpara një noteri publik, duhet të jetë identik me tekstin e statutit të përfshirë në projektmarrëveshjen e bashkimit. Për qëllime të përcaktimit të kapitalit aksionar, mjafton që në projektmarrëveshjen e bashkimit të përcaktohet shuma minimale e kapitalit të kërkuar për themelimin e SE-së dhe shuma maksimale që mund të arrihet me kontributin e aksionarëve.</w:t>
      </w:r>
    </w:p>
    <w:p w14:paraId="2B4B1ECF"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BE9C1AA"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26</w:t>
      </w:r>
    </w:p>
    <w:p w14:paraId="51B78820" w14:textId="3DC0BFD3"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 xml:space="preserve">Zbatimi i dispozitave </w:t>
      </w:r>
      <w:r w:rsidR="00FD6B1B" w:rsidRPr="00706252">
        <w:rPr>
          <w:rFonts w:ascii="Garamond" w:hAnsi="Garamond" w:cs="Times New Roman"/>
          <w:b/>
          <w:bCs/>
          <w:color w:val="000000" w:themeColor="text1"/>
          <w:sz w:val="24"/>
          <w:szCs w:val="24"/>
        </w:rPr>
        <w:t>për</w:t>
      </w:r>
      <w:r w:rsidRPr="00706252">
        <w:rPr>
          <w:rFonts w:ascii="Garamond" w:hAnsi="Garamond" w:cs="Times New Roman"/>
          <w:b/>
          <w:bCs/>
          <w:color w:val="000000" w:themeColor="text1"/>
          <w:sz w:val="24"/>
          <w:szCs w:val="24"/>
        </w:rPr>
        <w:t xml:space="preserve"> bashkimet e shoqërive</w:t>
      </w:r>
    </w:p>
    <w:p w14:paraId="08EE06B9"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E84AB8B" w14:textId="4BC72C9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Dispozitat e zbatueshme për bashkimin me krijimin e një shoqërie</w:t>
      </w:r>
      <w:r w:rsidR="006F5BF4" w:rsidRPr="00706252">
        <w:rPr>
          <w:rFonts w:ascii="Garamond" w:hAnsi="Garamond" w:cs="Times New Roman"/>
          <w:color w:val="000000" w:themeColor="text1"/>
          <w:sz w:val="24"/>
          <w:szCs w:val="24"/>
        </w:rPr>
        <w:t xml:space="preserve"> të re</w:t>
      </w:r>
      <w:r w:rsidRPr="00706252">
        <w:rPr>
          <w:rFonts w:ascii="Garamond" w:hAnsi="Garamond" w:cs="Times New Roman"/>
          <w:color w:val="000000" w:themeColor="text1"/>
          <w:sz w:val="24"/>
          <w:szCs w:val="24"/>
        </w:rPr>
        <w:t>, sipas ligjit shqiptar për tregtarët dhe shoqëritë tregtare, zbatohen edhe në rastin e krijimit të një SE-je mbajtëse (</w:t>
      </w:r>
      <w:proofErr w:type="spellStart"/>
      <w:r w:rsidRPr="00706252">
        <w:rPr>
          <w:rFonts w:ascii="Garamond" w:hAnsi="Garamond" w:cs="Times New Roman"/>
          <w:i/>
          <w:iCs/>
          <w:color w:val="000000" w:themeColor="text1"/>
          <w:sz w:val="24"/>
          <w:szCs w:val="24"/>
        </w:rPr>
        <w:t>holding</w:t>
      </w:r>
      <w:proofErr w:type="spellEnd"/>
      <w:r w:rsidRPr="00706252">
        <w:rPr>
          <w:rFonts w:ascii="Garamond" w:hAnsi="Garamond" w:cs="Times New Roman"/>
          <w:color w:val="000000" w:themeColor="text1"/>
          <w:sz w:val="24"/>
          <w:szCs w:val="24"/>
        </w:rPr>
        <w:t>), sipas këtij ligji.</w:t>
      </w:r>
    </w:p>
    <w:p w14:paraId="32B5C026"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19944AE"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27</w:t>
      </w:r>
    </w:p>
    <w:p w14:paraId="6FEC76A3" w14:textId="2AB1B392"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Procedura për krijimin e një SE-je mbajtëse</w:t>
      </w:r>
    </w:p>
    <w:p w14:paraId="5D904A98"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38A8682" w14:textId="5E316B2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Shoqëritë tregtare që përmbushin kushtet e përcaktuara në nenin 25 të këtij ligji mund të marrin nismën për themelimin e shoqërisë evropiane mbajtëse. Shoqëritë që marrin nismën për themelimin e SE-së mbajtëse vazhdojnë të ekzistojnë pas themelimit të SE-së mbajtëse.</w:t>
      </w:r>
    </w:p>
    <w:p w14:paraId="416DE9CA" w14:textId="607DEAA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Organet administrative të shoqërive pjesëmarrëse hartojnë një projekt të përbashkët për themelimin e SE-së mbajtëse, i cili përfshin:</w:t>
      </w:r>
    </w:p>
    <w:p w14:paraId="3AAD9BC3" w14:textId="599F0BE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 një raport shpjegues për aspektet juridike dhe ekonomike të themelimit, si dhe pasojat për aksionarët e punonjësit nga adoptimi i formës së SE-së mbajtëse;</w:t>
      </w:r>
    </w:p>
    <w:p w14:paraId="313D4C40" w14:textId="7E6FCE3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 të dhënat e parashikuara në nenin 17 të këtij ligji</w:t>
      </w:r>
      <w:r w:rsidR="00986C41">
        <w:rPr>
          <w:rFonts w:ascii="Garamond" w:hAnsi="Garamond" w:cs="Times New Roman"/>
          <w:color w:val="000000" w:themeColor="text1"/>
          <w:sz w:val="24"/>
          <w:szCs w:val="24"/>
        </w:rPr>
        <w:t>;</w:t>
      </w:r>
    </w:p>
    <w:p w14:paraId="17A306DF" w14:textId="13D4B81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c) përqindjen minimale të aksioneve në secilën shoqëri pjesëmarrëse që duhet të </w:t>
      </w:r>
      <w:proofErr w:type="spellStart"/>
      <w:r w:rsidRPr="00706252">
        <w:rPr>
          <w:rFonts w:ascii="Garamond" w:hAnsi="Garamond" w:cs="Times New Roman"/>
          <w:color w:val="000000" w:themeColor="text1"/>
          <w:sz w:val="24"/>
          <w:szCs w:val="24"/>
        </w:rPr>
        <w:t>kontribuohen</w:t>
      </w:r>
      <w:proofErr w:type="spellEnd"/>
      <w:r w:rsidRPr="00706252">
        <w:rPr>
          <w:rFonts w:ascii="Garamond" w:hAnsi="Garamond" w:cs="Times New Roman"/>
          <w:color w:val="000000" w:themeColor="text1"/>
          <w:sz w:val="24"/>
          <w:szCs w:val="24"/>
        </w:rPr>
        <w:t xml:space="preserve"> për krijimin e SE-së mbajtëse. Kjo përqindje duhet të përbëhet nga aksione që japin më shumë se 50% të </w:t>
      </w:r>
      <w:proofErr w:type="spellStart"/>
      <w:r w:rsidRPr="00706252">
        <w:rPr>
          <w:rFonts w:ascii="Garamond" w:hAnsi="Garamond" w:cs="Times New Roman"/>
          <w:color w:val="000000" w:themeColor="text1"/>
          <w:sz w:val="24"/>
          <w:szCs w:val="24"/>
        </w:rPr>
        <w:t>të</w:t>
      </w:r>
      <w:proofErr w:type="spellEnd"/>
      <w:r w:rsidRPr="00706252">
        <w:rPr>
          <w:rFonts w:ascii="Garamond" w:hAnsi="Garamond" w:cs="Times New Roman"/>
          <w:color w:val="000000" w:themeColor="text1"/>
          <w:sz w:val="24"/>
          <w:szCs w:val="24"/>
        </w:rPr>
        <w:t xml:space="preserve"> drejtave të përhershme të votimit;</w:t>
      </w:r>
    </w:p>
    <w:p w14:paraId="644B67C2" w14:textId="4E9CF7C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ç) deklaratën se brenda </w:t>
      </w:r>
      <w:r w:rsidR="00D564D9" w:rsidRPr="00706252">
        <w:rPr>
          <w:rFonts w:ascii="Garamond" w:hAnsi="Garamond" w:cs="Times New Roman"/>
          <w:color w:val="000000" w:themeColor="text1"/>
          <w:sz w:val="24"/>
          <w:szCs w:val="24"/>
        </w:rPr>
        <w:t>1</w:t>
      </w:r>
      <w:r w:rsidRPr="00706252">
        <w:rPr>
          <w:rFonts w:ascii="Garamond" w:hAnsi="Garamond" w:cs="Times New Roman"/>
          <w:color w:val="000000" w:themeColor="text1"/>
          <w:sz w:val="24"/>
          <w:szCs w:val="24"/>
        </w:rPr>
        <w:t xml:space="preserve"> muaji nga data e vendimit për themelimin, sipas pikës 1 të këtij neni, nuk është ngritur asnjë padi për të kërkuar shpalljen e vendimit të pavlefshëm ose për ta kundërshtuar atë, ose se një padi e tillë është tërhequr, ose se të gjithë aksionarët kanë dhënë deklarata përpara një noteri publik se heqin dorë nga një padi e tillë;</w:t>
      </w:r>
    </w:p>
    <w:p w14:paraId="3BD87A02" w14:textId="4D9E0AE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 informacionin</w:t>
      </w:r>
      <w:r w:rsidR="003A39BE">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nëse dhe sa aksionarë kanë ushtruar të drejtën e tyre për të marrë një kompensim në para dhe se aksionet e aksionarëve që kundërshtuan bashkimin e shoqërive mund të merren sipas ligjit.</w:t>
      </w:r>
    </w:p>
    <w:p w14:paraId="36F06BD9" w14:textId="604CD22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3.</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 secilën shoqëri pjesëmarrëse, projekti i themelimit të SE-së mbajtëse publikohet në regjistrin tregtar përkatës</w:t>
      </w:r>
      <w:r w:rsidR="00D564D9" w:rsidRPr="00706252">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si dhe në regjistrin tregtar të mbajtur nga QKB-ja</w:t>
      </w:r>
      <w:r w:rsidR="00986C41">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në përputhje me kërkesat për regjistrimet e detyrueshme sipas ligjit shqiptar për regjistrimin e biznesit, të paktën </w:t>
      </w:r>
      <w:r w:rsidR="00D564D9" w:rsidRPr="00706252">
        <w:rPr>
          <w:rFonts w:ascii="Garamond" w:hAnsi="Garamond" w:cs="Times New Roman"/>
          <w:color w:val="000000" w:themeColor="text1"/>
          <w:sz w:val="24"/>
          <w:szCs w:val="24"/>
        </w:rPr>
        <w:t>1</w:t>
      </w:r>
      <w:r w:rsidRPr="00706252">
        <w:rPr>
          <w:rFonts w:ascii="Garamond" w:hAnsi="Garamond" w:cs="Times New Roman"/>
          <w:color w:val="000000" w:themeColor="text1"/>
          <w:sz w:val="24"/>
          <w:szCs w:val="24"/>
        </w:rPr>
        <w:t xml:space="preserve"> muaj para datës së mbledhjes së përgjithshme që do të vendosë për miratimin e tij.</w:t>
      </w:r>
    </w:p>
    <w:p w14:paraId="2E9AB2AC" w14:textId="6C81968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Një ose më shumë ekspertë të pavarur nga shoqëritë pjesëmarrëse </w:t>
      </w:r>
      <w:r w:rsidR="00D564D9" w:rsidRPr="00706252">
        <w:rPr>
          <w:rFonts w:ascii="Garamond" w:hAnsi="Garamond" w:cs="Times New Roman"/>
          <w:color w:val="000000" w:themeColor="text1"/>
          <w:sz w:val="24"/>
          <w:szCs w:val="24"/>
        </w:rPr>
        <w:t xml:space="preserve">e </w:t>
      </w:r>
      <w:r w:rsidRPr="00706252">
        <w:rPr>
          <w:rFonts w:ascii="Garamond" w:hAnsi="Garamond" w:cs="Times New Roman"/>
          <w:color w:val="000000" w:themeColor="text1"/>
          <w:sz w:val="24"/>
          <w:szCs w:val="24"/>
        </w:rPr>
        <w:t xml:space="preserve">shqyrtojnë projektin e hartuar sipas pikës 2 të këtij neni dhe hartojnë një raport me shkrim për aksionarët e secilës shoqëri. </w:t>
      </w:r>
    </w:p>
    <w:p w14:paraId="4E81E6AB" w14:textId="3FF4D69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Raporti i ekspertit duhet të paraqesë çdo vështirësi të veçantë të vlerësimit dhe të analizojë nëse raporti i këmbimit të aksioneve është i drejtë dhe i arsyeshëm, duke përshkruar metodat e përdorura dhe përshtatshmërinë e tyre.</w:t>
      </w:r>
    </w:p>
    <w:p w14:paraId="54F2A2C2" w14:textId="42789A1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6.</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Mbledhja e përgjithshme e secilës shoqëri miraton projektin për themelimin e SE-së mbajtëse. Pjesëmarrja e punëmarrësve në SE përcaktohet në përputhje me nenet 3 dhe 24 të këtij ligji.</w:t>
      </w:r>
    </w:p>
    <w:p w14:paraId="7B5ADF57"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836F7E7"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28</w:t>
      </w:r>
    </w:p>
    <w:p w14:paraId="1FD136F5"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Miratimi nga QKB-ja i regjistrimit të një SE-je mbajtëse</w:t>
      </w:r>
    </w:p>
    <w:p w14:paraId="7F265E3B" w14:textId="77777777" w:rsidR="00312043" w:rsidRPr="00706252" w:rsidRDefault="00312043" w:rsidP="00706252">
      <w:pPr>
        <w:spacing w:after="0" w:line="240" w:lineRule="auto"/>
        <w:ind w:firstLine="284"/>
        <w:jc w:val="center"/>
        <w:rPr>
          <w:rFonts w:ascii="Garamond" w:hAnsi="Garamond" w:cs="Times New Roman"/>
          <w:color w:val="000000" w:themeColor="text1"/>
          <w:sz w:val="24"/>
          <w:szCs w:val="24"/>
        </w:rPr>
      </w:pPr>
    </w:p>
    <w:p w14:paraId="383606E8" w14:textId="65F94FB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QKB-ja është e detyruar të shqyrtojë nëse aksionarët në shoqëritë që synojnë të themelojnë një SE mbajtëse kanë paguar përqindjen minimale të aksioneve të përcaktuar për secilën shoqëri, në përputhje me planin e themelimit, brenda afatit të parashikuar, nëse të gjitha kushtet e tjera janë plotësuar dhe të gjitha veprimet juridike janë ndërmarrë dhe të gjitha formalitetet për themelimin e një SE-je mbajtëse janë përmbushur siç duhet. Nëse kjo është bërë, QKB-ja bën regjistrimin në regjistrin e saj tregtar dhe lëshon një certifikatë që të gjitha veprimet juridike janë kryer siç duhet dhe të gjitha formalitetet e kërkuara për themelimin e një SE-je mbajtëse janë përmbushur siç duhet.</w:t>
      </w:r>
    </w:p>
    <w:p w14:paraId="1648243A" w14:textId="77777777" w:rsidR="00346793" w:rsidRPr="00706252" w:rsidRDefault="00346793" w:rsidP="00706252">
      <w:pPr>
        <w:spacing w:after="0" w:line="240" w:lineRule="auto"/>
        <w:ind w:firstLine="284"/>
        <w:jc w:val="both"/>
        <w:rPr>
          <w:rFonts w:ascii="Garamond" w:hAnsi="Garamond" w:cs="Times New Roman"/>
          <w:color w:val="000000" w:themeColor="text1"/>
          <w:sz w:val="24"/>
          <w:szCs w:val="24"/>
        </w:rPr>
      </w:pPr>
    </w:p>
    <w:p w14:paraId="0BB3CB13" w14:textId="4A3CB713"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29</w:t>
      </w:r>
    </w:p>
    <w:p w14:paraId="0B8254BF"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Plani i shndërrimit</w:t>
      </w:r>
    </w:p>
    <w:p w14:paraId="21F9E9BF"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B890D5F" w14:textId="34CF1B2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Plani i shndërrimit duhet të përmbajë të paktën:</w:t>
      </w:r>
    </w:p>
    <w:p w14:paraId="63310903" w14:textId="0850650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të dhënat e shoqërisë ekzistuese, selinë e regjistruar dhe numrin e regjistrimit të shoqërisë që po shndërrohet;</w:t>
      </w:r>
    </w:p>
    <w:p w14:paraId="6B33A51C" w14:textId="0F40A58C"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statutin e propozuar për SE-në dhe për shoqërinë e re;</w:t>
      </w:r>
    </w:p>
    <w:p w14:paraId="37520807" w14:textId="3E1BA3D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pasojat e mundshme të shndërrimit në pjesëmarrjen e punëmarrësve;</w:t>
      </w:r>
    </w:p>
    <w:p w14:paraId="610ABAE6" w14:textId="471C258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 afatin kohor të parashikuar për shndërrimin;</w:t>
      </w:r>
    </w:p>
    <w:p w14:paraId="73B0F8E5" w14:textId="4568F02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mbrojtjen e mundshme të </w:t>
      </w:r>
      <w:proofErr w:type="spellStart"/>
      <w:r w:rsidRPr="00706252">
        <w:rPr>
          <w:rFonts w:ascii="Garamond" w:hAnsi="Garamond" w:cs="Times New Roman"/>
          <w:color w:val="000000" w:themeColor="text1"/>
          <w:sz w:val="24"/>
          <w:szCs w:val="24"/>
        </w:rPr>
        <w:t>të</w:t>
      </w:r>
      <w:proofErr w:type="spellEnd"/>
      <w:r w:rsidRPr="00706252">
        <w:rPr>
          <w:rFonts w:ascii="Garamond" w:hAnsi="Garamond" w:cs="Times New Roman"/>
          <w:color w:val="000000" w:themeColor="text1"/>
          <w:sz w:val="24"/>
          <w:szCs w:val="24"/>
        </w:rPr>
        <w:t xml:space="preserve"> drejtave të parashikueshme të aksionarëve dhe/ose kreditorëve.</w:t>
      </w:r>
    </w:p>
    <w:p w14:paraId="05E45EE0" w14:textId="65D1F6D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Organi administrativ i shoqërisë harton një raport të detajuar, që shpjegon bazën ligjore dhe ekonomike të shndërrimit të propozuar, përshkruan vështirësitë e veçanta të vlerësimit të hasura dhe efektin që do të ketë shndërrimi te punëmarrësit.</w:t>
      </w:r>
    </w:p>
    <w:p w14:paraId="25185EA4"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2F373F3"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30</w:t>
      </w:r>
    </w:p>
    <w:p w14:paraId="40B3F7DC"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Shqyrtimi i shndërrimit</w:t>
      </w:r>
    </w:p>
    <w:p w14:paraId="533890CE"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C181F87" w14:textId="568680E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Përpara mbledhjes së përgjithshme ku merret vendimi për miratimin e shndërrimit të një shoqërie në shoqëri evropiane (SE), një ose më shumë ekspertë të pavarur të licencuar duhet të vërtetojnë me raport të arsyetuar se vlera neto e aktiveve të shoqërisë nuk është më e vogël se shuma e kapitalit të saj themeltar dhe e rezervave, të cilat, sipas dispozitave ligjore ose statutit të shoqërisë, nuk mund të shpërndahen.</w:t>
      </w:r>
    </w:p>
    <w:p w14:paraId="7F123E5B" w14:textId="010C50D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Vlerësimi dhe raporti i ekspertëve bëhen në përputhje me parimet e përcaktuara në legjislacionin shqiptar për kontributet në natyrë dhe vlerësimin e pasurive në kuadër të themelimit dhe rritjes së kapitalit të shoqërive aksionare.</w:t>
      </w:r>
    </w:p>
    <w:p w14:paraId="6531968E" w14:textId="64BA3AD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Përfaqësuesit e organit administrativ apo mbikëqyrës të shoqërisë që shndërrohet mbajnë përgjegjësi për çdo dëm të shkaktuar nga shkelja e detyrimeve të tyre gjatë procesit të shndërrimit, në përputhje me legjislacionin shqiptar për tregtarët dhe shoqëritë tregtare.</w:t>
      </w:r>
    </w:p>
    <w:p w14:paraId="1D56063D"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19F17B2B"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53F7AB2A"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55E55683"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083A2124" w14:textId="647ACBB2"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Neni 31</w:t>
      </w:r>
    </w:p>
    <w:p w14:paraId="39160BED"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Publikimi i planit të shndërrimit</w:t>
      </w:r>
    </w:p>
    <w:p w14:paraId="1DD45AE1"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6AF2860" w14:textId="1D59604C"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Organi administrativ i shoqërisë duhet të paraqesë planin e shndërrimit në QKB</w:t>
      </w:r>
      <w:r w:rsidR="00986C41">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paktën </w:t>
      </w:r>
      <w:r w:rsidR="00612406" w:rsidRPr="00706252">
        <w:rPr>
          <w:rFonts w:ascii="Garamond" w:hAnsi="Garamond" w:cs="Times New Roman"/>
          <w:color w:val="000000" w:themeColor="text1"/>
          <w:sz w:val="24"/>
          <w:szCs w:val="24"/>
        </w:rPr>
        <w:t>1</w:t>
      </w:r>
      <w:r w:rsidRPr="00706252">
        <w:rPr>
          <w:rFonts w:ascii="Garamond" w:hAnsi="Garamond" w:cs="Times New Roman"/>
          <w:color w:val="000000" w:themeColor="text1"/>
          <w:sz w:val="24"/>
          <w:szCs w:val="24"/>
        </w:rPr>
        <w:t xml:space="preserve"> muaj para datës së mbledhjes së përgjithshme, ku merret vendimi për miratimin e shndërrimit, dhe të shpallë në faqen e internetit të shoqërisë se ky veprim është kryer. Njoftimi duhet t’i informojë aksionarët për të drejtat e parashikuara në pikat 2 dhe 3 të këtij neni.</w:t>
      </w:r>
    </w:p>
    <w:p w14:paraId="5BE8B9D7" w14:textId="53B0A73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Plani i shndërrimit, raporti i organit administrativ mbi shndërrimin, raporti i ekspertit mbi shndërrimin si dhe pasqyrat financiare vjetore dhe raporti </w:t>
      </w:r>
      <w:r w:rsidR="00612406"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gjendjen e shoqërisë, të përgatitura së fundi ose që duhej të përgatiteshin sipas ligjit, duhet të jenë të </w:t>
      </w:r>
      <w:proofErr w:type="spellStart"/>
      <w:r w:rsidRPr="00706252">
        <w:rPr>
          <w:rFonts w:ascii="Garamond" w:hAnsi="Garamond" w:cs="Times New Roman"/>
          <w:color w:val="000000" w:themeColor="text1"/>
          <w:sz w:val="24"/>
          <w:szCs w:val="24"/>
        </w:rPr>
        <w:t>disponueshme</w:t>
      </w:r>
      <w:proofErr w:type="spellEnd"/>
      <w:r w:rsidRPr="00706252">
        <w:rPr>
          <w:rFonts w:ascii="Garamond" w:hAnsi="Garamond" w:cs="Times New Roman"/>
          <w:color w:val="000000" w:themeColor="text1"/>
          <w:sz w:val="24"/>
          <w:szCs w:val="24"/>
        </w:rPr>
        <w:t xml:space="preserve"> për shqyrtim nga aksionarët në ambientet e shoqërisë në selinë e saj të regjistruar të paktën </w:t>
      </w:r>
      <w:r w:rsidR="00612406" w:rsidRPr="00706252">
        <w:rPr>
          <w:rFonts w:ascii="Garamond" w:hAnsi="Garamond" w:cs="Times New Roman"/>
          <w:color w:val="000000" w:themeColor="text1"/>
          <w:sz w:val="24"/>
          <w:szCs w:val="24"/>
        </w:rPr>
        <w:t>1</w:t>
      </w:r>
      <w:r w:rsidRPr="00706252">
        <w:rPr>
          <w:rFonts w:ascii="Garamond" w:hAnsi="Garamond" w:cs="Times New Roman"/>
          <w:color w:val="000000" w:themeColor="text1"/>
          <w:sz w:val="24"/>
          <w:szCs w:val="24"/>
        </w:rPr>
        <w:t xml:space="preserve"> muaj para datës së mbledhjes së përgjithshme, të përmendur në pikën 1 të këtij neni.</w:t>
      </w:r>
    </w:p>
    <w:p w14:paraId="2E500D79" w14:textId="7CC8606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Me kërkesën e tyre, çdo aksionari duhet t’i vihen në dispozicion me shpenzimet e shoqërisë kopje të dokumenteve të përmendura në pikën 2 të këtij neni. </w:t>
      </w:r>
    </w:p>
    <w:p w14:paraId="35F14100" w14:textId="40A2852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Dokumentet e përmendura në pikën 2 të këtij neni duhet të jenë të </w:t>
      </w:r>
      <w:proofErr w:type="spellStart"/>
      <w:r w:rsidRPr="00706252">
        <w:rPr>
          <w:rFonts w:ascii="Garamond" w:hAnsi="Garamond" w:cs="Times New Roman"/>
          <w:color w:val="000000" w:themeColor="text1"/>
          <w:sz w:val="24"/>
          <w:szCs w:val="24"/>
        </w:rPr>
        <w:t>disponueshme</w:t>
      </w:r>
      <w:proofErr w:type="spellEnd"/>
      <w:r w:rsidRPr="00706252">
        <w:rPr>
          <w:rFonts w:ascii="Garamond" w:hAnsi="Garamond" w:cs="Times New Roman"/>
          <w:color w:val="000000" w:themeColor="text1"/>
          <w:sz w:val="24"/>
          <w:szCs w:val="24"/>
        </w:rPr>
        <w:t xml:space="preserve"> edhe gjatë mbledhjes së përgjithshme. Para fillimit të diskutimeve, organi administrativ duhet të japë një shpjegim verbal </w:t>
      </w:r>
      <w:r w:rsidR="00612406"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planin e shndërrimit dhe duhet të informojë aksionarët para marrjes së vendimit për çdo ndryshim të rëndësishëm në aktivet e shoqërisë dhe kapacitetin e saj ekonomik që ka ndodhur midis hartimit të planit të shndërrimit dhe momentit të vendimmarrjes në asamblenë e përgjithshme.</w:t>
      </w:r>
    </w:p>
    <w:p w14:paraId="4A2DA296" w14:textId="77777777" w:rsidR="00346793" w:rsidRPr="00706252" w:rsidRDefault="00346793" w:rsidP="00706252">
      <w:pPr>
        <w:spacing w:after="0" w:line="240" w:lineRule="auto"/>
        <w:ind w:firstLine="284"/>
        <w:jc w:val="both"/>
        <w:rPr>
          <w:rFonts w:ascii="Garamond" w:hAnsi="Garamond" w:cs="Times New Roman"/>
          <w:color w:val="000000" w:themeColor="text1"/>
          <w:sz w:val="24"/>
          <w:szCs w:val="24"/>
        </w:rPr>
      </w:pPr>
    </w:p>
    <w:p w14:paraId="0357745F" w14:textId="49F8003B"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32</w:t>
      </w:r>
    </w:p>
    <w:p w14:paraId="4D180C0B"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Aplikimi për regjistrimin e shndërrimit në QKB</w:t>
      </w:r>
    </w:p>
    <w:p w14:paraId="02E65845" w14:textId="77777777" w:rsidR="00346793" w:rsidRPr="00706252" w:rsidRDefault="00346793" w:rsidP="00706252">
      <w:pPr>
        <w:spacing w:after="0" w:line="240" w:lineRule="auto"/>
        <w:ind w:firstLine="284"/>
        <w:jc w:val="both"/>
        <w:rPr>
          <w:rFonts w:ascii="Garamond" w:hAnsi="Garamond" w:cs="Times New Roman"/>
          <w:color w:val="000000" w:themeColor="text1"/>
          <w:sz w:val="24"/>
          <w:szCs w:val="24"/>
        </w:rPr>
      </w:pPr>
    </w:p>
    <w:p w14:paraId="2E92F04B" w14:textId="55E8CA6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Organi administrativ është i detyruar të paraqesë një aplikim </w:t>
      </w:r>
      <w:r w:rsidR="006F5BF4" w:rsidRPr="00706252">
        <w:rPr>
          <w:rFonts w:ascii="Garamond" w:hAnsi="Garamond" w:cs="Times New Roman"/>
          <w:color w:val="000000" w:themeColor="text1"/>
          <w:sz w:val="24"/>
          <w:szCs w:val="24"/>
        </w:rPr>
        <w:t xml:space="preserve">në QKB </w:t>
      </w:r>
      <w:r w:rsidRPr="00706252">
        <w:rPr>
          <w:rFonts w:ascii="Garamond" w:hAnsi="Garamond" w:cs="Times New Roman"/>
          <w:color w:val="000000" w:themeColor="text1"/>
          <w:sz w:val="24"/>
          <w:szCs w:val="24"/>
        </w:rPr>
        <w:t xml:space="preserve">për qëllime regjistrimi të shndërrimit. Aplikimit i bashkëlidhen në origjinal ose në kopje të </w:t>
      </w:r>
      <w:proofErr w:type="spellStart"/>
      <w:r w:rsidRPr="00706252">
        <w:rPr>
          <w:rFonts w:ascii="Garamond" w:hAnsi="Garamond" w:cs="Times New Roman"/>
          <w:color w:val="000000" w:themeColor="text1"/>
          <w:sz w:val="24"/>
          <w:szCs w:val="24"/>
        </w:rPr>
        <w:t>noterizuar</w:t>
      </w:r>
      <w:proofErr w:type="spellEnd"/>
      <w:r w:rsidRPr="00706252">
        <w:rPr>
          <w:rFonts w:ascii="Garamond" w:hAnsi="Garamond" w:cs="Times New Roman"/>
          <w:color w:val="000000" w:themeColor="text1"/>
          <w:sz w:val="24"/>
          <w:szCs w:val="24"/>
        </w:rPr>
        <w:t xml:space="preserve"> dokumentet e mëposhtme:</w:t>
      </w:r>
    </w:p>
    <w:p w14:paraId="56192F1B" w14:textId="320736F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6A1297" w:rsidRPr="00706252">
        <w:rPr>
          <w:rFonts w:ascii="Garamond" w:hAnsi="Garamond" w:cs="Times New Roman"/>
          <w:color w:val="000000" w:themeColor="text1"/>
          <w:sz w:val="24"/>
          <w:szCs w:val="24"/>
        </w:rPr>
        <w:t xml:space="preserve"> p</w:t>
      </w:r>
      <w:r w:rsidRPr="00706252">
        <w:rPr>
          <w:rFonts w:ascii="Garamond" w:hAnsi="Garamond" w:cs="Times New Roman"/>
          <w:color w:val="000000" w:themeColor="text1"/>
          <w:sz w:val="24"/>
          <w:szCs w:val="24"/>
        </w:rPr>
        <w:t>lani i shndërrimit;</w:t>
      </w:r>
    </w:p>
    <w:p w14:paraId="1F31120D" w14:textId="2B6149E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6A1297" w:rsidRPr="00706252">
        <w:rPr>
          <w:rFonts w:ascii="Garamond" w:hAnsi="Garamond" w:cs="Times New Roman"/>
          <w:color w:val="000000" w:themeColor="text1"/>
          <w:sz w:val="24"/>
          <w:szCs w:val="24"/>
        </w:rPr>
        <w:t xml:space="preserve"> p</w:t>
      </w:r>
      <w:r w:rsidRPr="00706252">
        <w:rPr>
          <w:rFonts w:ascii="Garamond" w:hAnsi="Garamond" w:cs="Times New Roman"/>
          <w:color w:val="000000" w:themeColor="text1"/>
          <w:sz w:val="24"/>
          <w:szCs w:val="24"/>
        </w:rPr>
        <w:t xml:space="preserve">rocesverbali i mbledhjes së përgjithshme që përmban vendimin </w:t>
      </w:r>
      <w:r w:rsidR="00612406" w:rsidRPr="00706252">
        <w:rPr>
          <w:rFonts w:ascii="Garamond" w:hAnsi="Garamond" w:cs="Times New Roman"/>
          <w:color w:val="000000" w:themeColor="text1"/>
          <w:sz w:val="24"/>
          <w:szCs w:val="24"/>
        </w:rPr>
        <w:t xml:space="preserve">për </w:t>
      </w:r>
      <w:r w:rsidRPr="00706252">
        <w:rPr>
          <w:rFonts w:ascii="Garamond" w:hAnsi="Garamond" w:cs="Times New Roman"/>
          <w:color w:val="000000" w:themeColor="text1"/>
          <w:sz w:val="24"/>
          <w:szCs w:val="24"/>
        </w:rPr>
        <w:t>shndërrimin;</w:t>
      </w:r>
    </w:p>
    <w:p w14:paraId="388E3E23" w14:textId="5734370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6A1297" w:rsidRPr="00706252">
        <w:rPr>
          <w:rFonts w:ascii="Garamond" w:hAnsi="Garamond" w:cs="Times New Roman"/>
          <w:color w:val="000000" w:themeColor="text1"/>
          <w:sz w:val="24"/>
          <w:szCs w:val="24"/>
        </w:rPr>
        <w:t xml:space="preserve"> n</w:t>
      </w:r>
      <w:r w:rsidRPr="00706252">
        <w:rPr>
          <w:rFonts w:ascii="Garamond" w:hAnsi="Garamond" w:cs="Times New Roman"/>
          <w:color w:val="000000" w:themeColor="text1"/>
          <w:sz w:val="24"/>
          <w:szCs w:val="24"/>
        </w:rPr>
        <w:t>ëse shndërrimi kërkon miratim nga një organ shtetëror, atë miratim;</w:t>
      </w:r>
    </w:p>
    <w:p w14:paraId="43F28E25" w14:textId="575DD79C"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ç) </w:t>
      </w:r>
      <w:r w:rsidR="006A1297" w:rsidRPr="00706252">
        <w:rPr>
          <w:rFonts w:ascii="Garamond" w:hAnsi="Garamond" w:cs="Times New Roman"/>
          <w:color w:val="000000" w:themeColor="text1"/>
          <w:sz w:val="24"/>
          <w:szCs w:val="24"/>
        </w:rPr>
        <w:t>r</w:t>
      </w:r>
      <w:r w:rsidRPr="00706252">
        <w:rPr>
          <w:rFonts w:ascii="Garamond" w:hAnsi="Garamond" w:cs="Times New Roman"/>
          <w:color w:val="000000" w:themeColor="text1"/>
          <w:sz w:val="24"/>
          <w:szCs w:val="24"/>
        </w:rPr>
        <w:t xml:space="preserve">aporti i bordit drejtues </w:t>
      </w:r>
      <w:r w:rsidR="00612406"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shndërrimin;</w:t>
      </w:r>
    </w:p>
    <w:p w14:paraId="4B43FB94" w14:textId="5C884BE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d)</w:t>
      </w:r>
      <w:r w:rsidR="006A1297" w:rsidRPr="00706252">
        <w:rPr>
          <w:rFonts w:ascii="Garamond" w:hAnsi="Garamond" w:cs="Times New Roman"/>
          <w:color w:val="000000" w:themeColor="text1"/>
          <w:sz w:val="24"/>
          <w:szCs w:val="24"/>
        </w:rPr>
        <w:t xml:space="preserve"> p</w:t>
      </w:r>
      <w:r w:rsidRPr="00706252">
        <w:rPr>
          <w:rFonts w:ascii="Garamond" w:hAnsi="Garamond" w:cs="Times New Roman"/>
          <w:color w:val="000000" w:themeColor="text1"/>
          <w:sz w:val="24"/>
          <w:szCs w:val="24"/>
        </w:rPr>
        <w:t xml:space="preserve">rovë </w:t>
      </w:r>
      <w:r w:rsidR="00612406"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publikimin e dorëzimit të planit të shndërrimit </w:t>
      </w:r>
      <w:r w:rsidR="006F5BF4" w:rsidRPr="00706252">
        <w:rPr>
          <w:rFonts w:ascii="Garamond" w:hAnsi="Garamond" w:cs="Times New Roman"/>
          <w:color w:val="000000" w:themeColor="text1"/>
          <w:sz w:val="24"/>
          <w:szCs w:val="24"/>
        </w:rPr>
        <w:t>në QKB</w:t>
      </w:r>
      <w:r w:rsidRPr="00706252">
        <w:rPr>
          <w:rFonts w:ascii="Garamond" w:hAnsi="Garamond" w:cs="Times New Roman"/>
          <w:color w:val="000000" w:themeColor="text1"/>
          <w:sz w:val="24"/>
          <w:szCs w:val="24"/>
        </w:rPr>
        <w:t>, përveç</w:t>
      </w:r>
      <w:r w:rsidR="00612406" w:rsidRPr="00706252">
        <w:rPr>
          <w:rFonts w:ascii="Garamond" w:hAnsi="Garamond" w:cs="Times New Roman"/>
          <w:color w:val="000000" w:themeColor="text1"/>
          <w:sz w:val="24"/>
          <w:szCs w:val="24"/>
        </w:rPr>
        <w:t>se</w:t>
      </w:r>
      <w:r w:rsidRPr="00706252">
        <w:rPr>
          <w:rFonts w:ascii="Garamond" w:hAnsi="Garamond" w:cs="Times New Roman"/>
          <w:color w:val="000000" w:themeColor="text1"/>
          <w:sz w:val="24"/>
          <w:szCs w:val="24"/>
        </w:rPr>
        <w:t xml:space="preserve"> </w:t>
      </w:r>
      <w:r w:rsidR="00612406" w:rsidRPr="00706252">
        <w:rPr>
          <w:rFonts w:ascii="Garamond" w:hAnsi="Garamond" w:cs="Times New Roman"/>
          <w:color w:val="000000" w:themeColor="text1"/>
          <w:sz w:val="24"/>
          <w:szCs w:val="24"/>
        </w:rPr>
        <w:t>kur</w:t>
      </w:r>
      <w:r w:rsidRPr="00706252">
        <w:rPr>
          <w:rFonts w:ascii="Garamond" w:hAnsi="Garamond" w:cs="Times New Roman"/>
          <w:color w:val="000000" w:themeColor="text1"/>
          <w:sz w:val="24"/>
          <w:szCs w:val="24"/>
        </w:rPr>
        <w:t xml:space="preserve"> të gjithë aksionarët morën pjesë ose u përfaqësuan në mbledhjen e përgjithshme dhe nuk shprehën kundërshtim ndaj vendimit të marrë;</w:t>
      </w:r>
    </w:p>
    <w:p w14:paraId="0A174A50" w14:textId="2CB7A0D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dh) </w:t>
      </w:r>
      <w:r w:rsidR="006A1297" w:rsidRPr="00706252">
        <w:rPr>
          <w:rFonts w:ascii="Garamond" w:hAnsi="Garamond" w:cs="Times New Roman"/>
          <w:color w:val="000000" w:themeColor="text1"/>
          <w:sz w:val="24"/>
          <w:szCs w:val="24"/>
        </w:rPr>
        <w:t>r</w:t>
      </w:r>
      <w:r w:rsidRPr="00706252">
        <w:rPr>
          <w:rFonts w:ascii="Garamond" w:hAnsi="Garamond" w:cs="Times New Roman"/>
          <w:color w:val="000000" w:themeColor="text1"/>
          <w:sz w:val="24"/>
          <w:szCs w:val="24"/>
        </w:rPr>
        <w:t>aporti i ekspertit të pavarur për shndërrimin;</w:t>
      </w:r>
    </w:p>
    <w:p w14:paraId="3A8AA7F8" w14:textId="288C8C8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e)</w:t>
      </w:r>
      <w:r w:rsidR="006A1297" w:rsidRPr="00706252">
        <w:rPr>
          <w:rFonts w:ascii="Garamond" w:hAnsi="Garamond" w:cs="Times New Roman"/>
          <w:color w:val="000000" w:themeColor="text1"/>
          <w:sz w:val="24"/>
          <w:szCs w:val="24"/>
        </w:rPr>
        <w:t xml:space="preserve"> p</w:t>
      </w:r>
      <w:r w:rsidRPr="00706252">
        <w:rPr>
          <w:rFonts w:ascii="Garamond" w:hAnsi="Garamond" w:cs="Times New Roman"/>
          <w:color w:val="000000" w:themeColor="text1"/>
          <w:sz w:val="24"/>
          <w:szCs w:val="24"/>
        </w:rPr>
        <w:t xml:space="preserve">asqyrat financiare vjetore dhe raporti </w:t>
      </w:r>
      <w:r w:rsidR="00612406"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gjendjen e shoqërisë, të përgatitura së fundi ose që duhet të ishin përgatitur.</w:t>
      </w:r>
    </w:p>
    <w:p w14:paraId="745AA4D1"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5471C9F4"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33</w:t>
      </w:r>
    </w:p>
    <w:p w14:paraId="2C5D825D"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Shndërrimi i një SE-je në shoqëri aksionare</w:t>
      </w:r>
    </w:p>
    <w:p w14:paraId="1A5EF2C5"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7941FE5" w14:textId="0B148F5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Dispozitat e neneve 29 deri 32 të këtij ligji zbatohen në mënyrë të përshtatshme për shndërrimin e një SE-je në një shoqëri aksionare. </w:t>
      </w:r>
    </w:p>
    <w:p w14:paraId="1898741A"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BAAD01B" w14:textId="213B5795"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KREU</w:t>
      </w:r>
      <w:r w:rsidR="003A39BE">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IV</w:t>
      </w:r>
    </w:p>
    <w:p w14:paraId="52FE5A4C"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STRUKTURA E SE-ve</w:t>
      </w:r>
    </w:p>
    <w:p w14:paraId="02DB022F"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26EF801F"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34</w:t>
      </w:r>
    </w:p>
    <w:p w14:paraId="4D12DDD6"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Organet e SE-së</w:t>
      </w:r>
    </w:p>
    <w:p w14:paraId="67D52A8A" w14:textId="77777777" w:rsidR="002128F5" w:rsidRPr="00706252" w:rsidRDefault="002128F5" w:rsidP="00706252">
      <w:pPr>
        <w:spacing w:after="0" w:line="240" w:lineRule="auto"/>
        <w:ind w:firstLine="284"/>
        <w:jc w:val="both"/>
        <w:rPr>
          <w:rFonts w:ascii="Garamond" w:hAnsi="Garamond" w:cs="Times New Roman"/>
          <w:b/>
          <w:bCs/>
          <w:color w:val="000000" w:themeColor="text1"/>
          <w:sz w:val="24"/>
          <w:szCs w:val="24"/>
        </w:rPr>
      </w:pPr>
    </w:p>
    <w:p w14:paraId="77CDDB21" w14:textId="494E797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612406"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Organet e SE-së janë asambleja e përgjithshme e aksionarëve dhe: </w:t>
      </w:r>
    </w:p>
    <w:p w14:paraId="0748AF6B" w14:textId="629722B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a) </w:t>
      </w:r>
      <w:r w:rsidR="006A1297" w:rsidRPr="00706252">
        <w:rPr>
          <w:rFonts w:ascii="Garamond" w:hAnsi="Garamond" w:cs="Times New Roman"/>
          <w:color w:val="000000" w:themeColor="text1"/>
          <w:sz w:val="24"/>
          <w:szCs w:val="24"/>
        </w:rPr>
        <w:t>k</w:t>
      </w:r>
      <w:r w:rsidRPr="00706252">
        <w:rPr>
          <w:rFonts w:ascii="Garamond" w:hAnsi="Garamond" w:cs="Times New Roman"/>
          <w:color w:val="000000" w:themeColor="text1"/>
          <w:sz w:val="24"/>
          <w:szCs w:val="24"/>
        </w:rPr>
        <w:t xml:space="preserve">ëshilli i administrimit në sistemin me një nivel drejtimi; </w:t>
      </w:r>
    </w:p>
    <w:p w14:paraId="0A7E53C5" w14:textId="4BEBF6A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b) </w:t>
      </w:r>
      <w:r w:rsidR="006A1297" w:rsidRPr="00706252">
        <w:rPr>
          <w:rFonts w:ascii="Garamond" w:hAnsi="Garamond" w:cs="Times New Roman"/>
          <w:color w:val="000000" w:themeColor="text1"/>
          <w:sz w:val="24"/>
          <w:szCs w:val="24"/>
        </w:rPr>
        <w:t>k</w:t>
      </w:r>
      <w:r w:rsidRPr="00706252">
        <w:rPr>
          <w:rFonts w:ascii="Garamond" w:hAnsi="Garamond" w:cs="Times New Roman"/>
          <w:color w:val="000000" w:themeColor="text1"/>
          <w:sz w:val="24"/>
          <w:szCs w:val="24"/>
        </w:rPr>
        <w:t>ëshilli mbikëqyrës dhe administratori/ët</w:t>
      </w:r>
      <w:r w:rsidR="00612406"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në sistemin me dy nivele drejtimi.</w:t>
      </w:r>
    </w:p>
    <w:p w14:paraId="2E36F64E" w14:textId="693EAF0C"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6A1297"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 qëllimet e këtij ligji, kudo ku përdoret termi “organ administrativ” nënkupto</w:t>
      </w:r>
      <w:r w:rsidR="007B1662" w:rsidRPr="00706252">
        <w:rPr>
          <w:rFonts w:ascii="Garamond" w:hAnsi="Garamond" w:cs="Times New Roman"/>
          <w:color w:val="000000" w:themeColor="text1"/>
          <w:sz w:val="24"/>
          <w:szCs w:val="24"/>
        </w:rPr>
        <w:t>n</w:t>
      </w:r>
      <w:r w:rsidRPr="00706252">
        <w:rPr>
          <w:rFonts w:ascii="Garamond" w:hAnsi="Garamond" w:cs="Times New Roman"/>
          <w:color w:val="000000" w:themeColor="text1"/>
          <w:sz w:val="24"/>
          <w:szCs w:val="24"/>
        </w:rPr>
        <w:t xml:space="preserve"> këshillin e administrimit (për sistemin me një nivel) ose administratorin/ët (për sistemin me dy nivele).</w:t>
      </w:r>
    </w:p>
    <w:p w14:paraId="0D93CC4E"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12DF78D8" w14:textId="77777777" w:rsidR="0089718C" w:rsidRDefault="0089718C" w:rsidP="00706252">
      <w:pPr>
        <w:spacing w:after="0" w:line="240" w:lineRule="auto"/>
        <w:ind w:firstLine="284"/>
        <w:jc w:val="center"/>
        <w:rPr>
          <w:rFonts w:ascii="Garamond" w:hAnsi="Garamond" w:cs="Times New Roman"/>
          <w:color w:val="000000" w:themeColor="text1"/>
          <w:sz w:val="24"/>
          <w:szCs w:val="24"/>
        </w:rPr>
      </w:pPr>
    </w:p>
    <w:p w14:paraId="7A118820" w14:textId="32160C3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Neni 35</w:t>
      </w:r>
    </w:p>
    <w:p w14:paraId="0DA031E2"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Organizimi i organit drejtues</w:t>
      </w:r>
    </w:p>
    <w:p w14:paraId="55A66120"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AE8E10A" w14:textId="50B5034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Organi administrativ është përgjegjës për përfaqësimin ligjor dhe drejtimin e veprimtarisë së SE-së. Përfaqësimi ligjor mund të kryhet nga një ose më shumë administratorë.</w:t>
      </w:r>
    </w:p>
    <w:p w14:paraId="506F5B76" w14:textId="4B4C2BF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 sa i takon mënyrës së organizimit, mbledhjes, kompetencave, të drejtave e detyrimeve të organit administrativ, zbatohen dispozitat përkatëse për shoqëritë aksionare sipas ligjit shqiptar për tregtarët dhe shoqëritë tregtare.</w:t>
      </w:r>
    </w:p>
    <w:p w14:paraId="3E4997BC" w14:textId="366144F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Anëtari ose anëtarët e organit administrativ emërohen dhe shkarkohen nga këshilli mbikëqyrës. Megjithatë, statuti i SE-së mund të parashikojë që emërimi dhe shkarkimi të bëhet nga mbledhja e përgjithshme e aksionarëve sipas të njëjtave rregulla që zbatohen për shoqëritë aksionare të regjistruara në Shqipëri.</w:t>
      </w:r>
    </w:p>
    <w:p w14:paraId="72EC66BB" w14:textId="7361653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Askush nuk mund të jetë njëkohësisht anëtar i organit administrativ dhe i këshillit mbikëqyrës të së njëjtës SE. Këshillit mbikëqyrës, megjithatë, i lejohet të emërojë një nga anëtarët e tij për të vepruar si anëtar i përkohshëm i organit drejtues në rast </w:t>
      </w:r>
      <w:proofErr w:type="spellStart"/>
      <w:r w:rsidRPr="00706252">
        <w:rPr>
          <w:rFonts w:ascii="Garamond" w:hAnsi="Garamond" w:cs="Times New Roman"/>
          <w:color w:val="000000" w:themeColor="text1"/>
          <w:sz w:val="24"/>
          <w:szCs w:val="24"/>
        </w:rPr>
        <w:t>vakance</w:t>
      </w:r>
      <w:proofErr w:type="spellEnd"/>
      <w:r w:rsidRPr="00706252">
        <w:rPr>
          <w:rFonts w:ascii="Garamond" w:hAnsi="Garamond" w:cs="Times New Roman"/>
          <w:color w:val="000000" w:themeColor="text1"/>
          <w:sz w:val="24"/>
          <w:szCs w:val="24"/>
        </w:rPr>
        <w:t>. Gjatë kësaj periudhe, funksionet e tij si anëtar i këshillit mbikëqyrës pezullohen.</w:t>
      </w:r>
    </w:p>
    <w:p w14:paraId="6D06919D" w14:textId="7A748C5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Numri i anëtarëve të organit administrativ ose rregullat për përcaktimin e tij vendosen në statutin e SE-së.</w:t>
      </w:r>
    </w:p>
    <w:p w14:paraId="300D2CE5"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4802696"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36</w:t>
      </w:r>
    </w:p>
    <w:p w14:paraId="4354F05B"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Organizimi i këshillit mbikëqyrës</w:t>
      </w:r>
    </w:p>
    <w:p w14:paraId="2C959ED0"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2FA5D8B" w14:textId="1860FCE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Këshilli mbikëqyrës mbikëqyr veprimtarinë e organit administrativ. Ai nuk mund t</w:t>
      </w:r>
      <w:r w:rsidR="00612406" w:rsidRPr="00706252">
        <w:rPr>
          <w:rFonts w:ascii="Garamond" w:hAnsi="Garamond" w:cs="Times New Roman"/>
          <w:color w:val="000000" w:themeColor="text1"/>
          <w:sz w:val="24"/>
          <w:szCs w:val="24"/>
        </w:rPr>
        <w:t>’i</w:t>
      </w:r>
      <w:r w:rsidRPr="00706252">
        <w:rPr>
          <w:rFonts w:ascii="Garamond" w:hAnsi="Garamond" w:cs="Times New Roman"/>
          <w:color w:val="000000" w:themeColor="text1"/>
          <w:sz w:val="24"/>
          <w:szCs w:val="24"/>
        </w:rPr>
        <w:t xml:space="preserve"> ushtrojë vetë kompetencat e drejtimit të SE-së.</w:t>
      </w:r>
    </w:p>
    <w:p w14:paraId="01B465FB" w14:textId="3D28D7C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Anëtarët e këshillit mbikëqyrës emërohen nga asambleja e përgjithshme e aksionarëve.</w:t>
      </w:r>
    </w:p>
    <w:p w14:paraId="519343D2" w14:textId="62EA970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Përveçse kur parashikohet ndryshe në këtë ligj, për sa i takon mënyrës së organizimit, kompetencave, vendimmarrjes, të drejtave e detyrimeve të këshillit mbikëqyrës, zbatohen dispozitat përkatëse për shoqëritë aksionare sipas ligjit shqiptar për tregtarët dhe shoqëritë tregtare.</w:t>
      </w:r>
    </w:p>
    <w:p w14:paraId="5405C5CE" w14:textId="5CB0C80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Numri i anëtarëve të këshillit mbikëqyrës ose rregullat për caktimin e tyre vendosen në statutin e SE-së.</w:t>
      </w:r>
    </w:p>
    <w:p w14:paraId="7C8254FC"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F034FFE"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37</w:t>
      </w:r>
    </w:p>
    <w:p w14:paraId="2D209446"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Informimi dhe mbikëqyrja</w:t>
      </w:r>
    </w:p>
    <w:p w14:paraId="55E50277"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D9C828B" w14:textId="43B9C72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Organi administrativ i paraqet këshillit mbikëqyrës të paktën çdo </w:t>
      </w:r>
      <w:r w:rsidR="00612406" w:rsidRPr="00706252">
        <w:rPr>
          <w:rFonts w:ascii="Garamond" w:hAnsi="Garamond" w:cs="Times New Roman"/>
          <w:color w:val="000000" w:themeColor="text1"/>
          <w:sz w:val="24"/>
          <w:szCs w:val="24"/>
        </w:rPr>
        <w:t>3</w:t>
      </w:r>
      <w:r w:rsidRPr="00706252">
        <w:rPr>
          <w:rFonts w:ascii="Garamond" w:hAnsi="Garamond" w:cs="Times New Roman"/>
          <w:color w:val="000000" w:themeColor="text1"/>
          <w:sz w:val="24"/>
          <w:szCs w:val="24"/>
        </w:rPr>
        <w:t xml:space="preserve"> muaj një raport </w:t>
      </w:r>
      <w:r w:rsidR="00612406" w:rsidRPr="00706252">
        <w:rPr>
          <w:rFonts w:ascii="Garamond" w:hAnsi="Garamond" w:cs="Times New Roman"/>
          <w:color w:val="000000" w:themeColor="text1"/>
          <w:sz w:val="24"/>
          <w:szCs w:val="24"/>
        </w:rPr>
        <w:t>për</w:t>
      </w:r>
      <w:r w:rsidRPr="00706252">
        <w:rPr>
          <w:rFonts w:ascii="Garamond" w:hAnsi="Garamond" w:cs="Times New Roman"/>
          <w:color w:val="000000" w:themeColor="text1"/>
          <w:sz w:val="24"/>
          <w:szCs w:val="24"/>
        </w:rPr>
        <w:t xml:space="preserve"> ecurinë dhe zhvillimet e parashikueshme të veprimtarisë së SE-së.</w:t>
      </w:r>
    </w:p>
    <w:p w14:paraId="7327F8D4" w14:textId="7B9066B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Përveç informacioneve të rregullta, organi administrativ duhet t’i përcjellë menjëherë këshillit mbikëqyrës çdo informacion për ngjarje që mund të kenë ndikim të rëndësishëm në SE.</w:t>
      </w:r>
    </w:p>
    <w:p w14:paraId="142A5DDB" w14:textId="5B1DC98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Këshilli mbikëqyrës mund të kërkojë nga organi administrativ çdo lloj informacioni të nevojshëm për ushtrimin e funksionit mbikëqyrës, sipas pikës 1</w:t>
      </w:r>
      <w:r w:rsidR="00986C41">
        <w:rPr>
          <w:rFonts w:ascii="Garamond" w:hAnsi="Garamond" w:cs="Times New Roman"/>
          <w:color w:val="000000" w:themeColor="text1"/>
          <w:sz w:val="24"/>
          <w:szCs w:val="24"/>
        </w:rPr>
        <w:t>,</w:t>
      </w:r>
      <w:r w:rsidRPr="00706252">
        <w:rPr>
          <w:rFonts w:ascii="Garamond" w:hAnsi="Garamond" w:cs="Times New Roman"/>
          <w:color w:val="000000" w:themeColor="text1"/>
          <w:sz w:val="24"/>
          <w:szCs w:val="24"/>
        </w:rPr>
        <w:t xml:space="preserve"> të nenit 36 të këtij ligji.</w:t>
      </w:r>
    </w:p>
    <w:p w14:paraId="3B611F85" w14:textId="4C06B54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Këshilli mbikëqyrës mund të ndërmarrë ose të porosisë çdo hetim që </w:t>
      </w:r>
      <w:r w:rsidR="00612406" w:rsidRPr="00706252">
        <w:rPr>
          <w:rFonts w:ascii="Garamond" w:hAnsi="Garamond" w:cs="Times New Roman"/>
          <w:color w:val="000000" w:themeColor="text1"/>
          <w:sz w:val="24"/>
          <w:szCs w:val="24"/>
        </w:rPr>
        <w:t xml:space="preserve">e </w:t>
      </w:r>
      <w:r w:rsidRPr="00706252">
        <w:rPr>
          <w:rFonts w:ascii="Garamond" w:hAnsi="Garamond" w:cs="Times New Roman"/>
          <w:color w:val="000000" w:themeColor="text1"/>
          <w:sz w:val="24"/>
          <w:szCs w:val="24"/>
        </w:rPr>
        <w:t>konsideron të nevojshëm për përmbushjen e detyrës së tij.</w:t>
      </w:r>
    </w:p>
    <w:p w14:paraId="46B33C02" w14:textId="305AF3C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Çdo anëtar i këshillit mbikëqyrës ka të drejtë të shqyrtojë të gjitha informacionet që i janë paraqitur atij organi.</w:t>
      </w:r>
    </w:p>
    <w:p w14:paraId="6511E41A"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A68AF4E"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38</w:t>
      </w:r>
    </w:p>
    <w:p w14:paraId="1D1A38D3"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Kryetari i këshillit mbikëqyrës</w:t>
      </w:r>
    </w:p>
    <w:p w14:paraId="1202C94D"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FF14FDD"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Këshilli mbikëqyrës zgjedh një kryetar nga radhët e anëtarëve të tij. Nëse gjysma e anëtarëve janë emëruar nga punëmarrësit, vetëm një anëtar i emëruar nga mbledhja e përgjithshme e aksionarëve mund të zgjidhet kryetar.</w:t>
      </w:r>
    </w:p>
    <w:p w14:paraId="3791904D" w14:textId="08D9F9DB" w:rsidR="002128F5" w:rsidRDefault="002128F5" w:rsidP="00706252">
      <w:pPr>
        <w:spacing w:after="0" w:line="240" w:lineRule="auto"/>
        <w:ind w:firstLine="284"/>
        <w:jc w:val="both"/>
        <w:rPr>
          <w:rFonts w:ascii="Garamond" w:hAnsi="Garamond" w:cs="Times New Roman"/>
          <w:color w:val="000000" w:themeColor="text1"/>
          <w:sz w:val="24"/>
          <w:szCs w:val="24"/>
        </w:rPr>
      </w:pPr>
    </w:p>
    <w:p w14:paraId="2D52EFB2" w14:textId="06C047A7" w:rsidR="0089718C" w:rsidRDefault="0089718C" w:rsidP="00706252">
      <w:pPr>
        <w:spacing w:after="0" w:line="240" w:lineRule="auto"/>
        <w:ind w:firstLine="284"/>
        <w:jc w:val="both"/>
        <w:rPr>
          <w:rFonts w:ascii="Garamond" w:hAnsi="Garamond" w:cs="Times New Roman"/>
          <w:color w:val="000000" w:themeColor="text1"/>
          <w:sz w:val="24"/>
          <w:szCs w:val="24"/>
        </w:rPr>
      </w:pPr>
    </w:p>
    <w:p w14:paraId="198977E2" w14:textId="470D443A" w:rsidR="0089718C" w:rsidRDefault="0089718C" w:rsidP="00706252">
      <w:pPr>
        <w:spacing w:after="0" w:line="240" w:lineRule="auto"/>
        <w:ind w:firstLine="284"/>
        <w:jc w:val="both"/>
        <w:rPr>
          <w:rFonts w:ascii="Garamond" w:hAnsi="Garamond" w:cs="Times New Roman"/>
          <w:color w:val="000000" w:themeColor="text1"/>
          <w:sz w:val="24"/>
          <w:szCs w:val="24"/>
        </w:rPr>
      </w:pPr>
    </w:p>
    <w:p w14:paraId="62FF3697" w14:textId="77777777" w:rsidR="0089718C" w:rsidRPr="00706252" w:rsidRDefault="0089718C" w:rsidP="00706252">
      <w:pPr>
        <w:spacing w:after="0" w:line="240" w:lineRule="auto"/>
        <w:ind w:firstLine="284"/>
        <w:jc w:val="both"/>
        <w:rPr>
          <w:rFonts w:ascii="Garamond" w:hAnsi="Garamond" w:cs="Times New Roman"/>
          <w:color w:val="000000" w:themeColor="text1"/>
          <w:sz w:val="24"/>
          <w:szCs w:val="24"/>
        </w:rPr>
      </w:pPr>
    </w:p>
    <w:p w14:paraId="6659AA98"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Neni 39</w:t>
      </w:r>
    </w:p>
    <w:p w14:paraId="18F27425"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Organizimi i organit administrativ</w:t>
      </w:r>
    </w:p>
    <w:p w14:paraId="285E6AA3"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92DB5B9" w14:textId="3811DC8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Organi administrativ është përgjegjës për përfaqësimin ligjor dhe drejtimin e veprimtarisë së SE-së. Përfaqësimi ligjor mund të kryhet nga një ose më shumë administratorë.</w:t>
      </w:r>
    </w:p>
    <w:p w14:paraId="3CB20713" w14:textId="12CF4C6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 </w:t>
      </w:r>
      <w:r w:rsidR="00C46078" w:rsidRPr="00706252">
        <w:rPr>
          <w:rFonts w:ascii="Garamond" w:hAnsi="Garamond" w:cs="Times New Roman"/>
          <w:color w:val="000000" w:themeColor="text1"/>
          <w:sz w:val="24"/>
          <w:szCs w:val="24"/>
        </w:rPr>
        <w:tab/>
      </w:r>
      <w:r w:rsidRPr="00706252">
        <w:rPr>
          <w:rFonts w:ascii="Garamond" w:hAnsi="Garamond" w:cs="Times New Roman"/>
          <w:color w:val="000000" w:themeColor="text1"/>
          <w:sz w:val="24"/>
          <w:szCs w:val="24"/>
        </w:rPr>
        <w:t>2.</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Përveçse ku parashikohet ndryshe në këtë ligj, për sa i takon mbledhjes, mënyrës së organizimit, pjesëmarrjes, përfaqësimit, kompetencave, vendimmarrjes, të drejtave e detyrimeve të organit administrativ, zbatohen dispozitat përkatëse për shoqëritë aksionare sipas ligjit shqiptar për tregtarët dhe shoqëritë tregtare.</w:t>
      </w:r>
    </w:p>
    <w:p w14:paraId="1543E7CD" w14:textId="1E98565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Numri i anëtarëve të organit administrativ ose rregullat për përcaktimin e tij vendosen në statutin e SE-së, por në çdo rast duhet të përbëhet nga të paktën tre anëtarë.</w:t>
      </w:r>
    </w:p>
    <w:p w14:paraId="194FB2F8" w14:textId="64AB154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4.</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Anëtari ose anëtarët e organit administrativ emërohen nga mbledhja e përgjithshme.</w:t>
      </w:r>
    </w:p>
    <w:p w14:paraId="21918EC4"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81EB14B"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40</w:t>
      </w:r>
    </w:p>
    <w:p w14:paraId="7C847E02"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Mbledhjet e organit administrativ</w:t>
      </w:r>
    </w:p>
    <w:p w14:paraId="01E304EC" w14:textId="77777777" w:rsidR="002128F5" w:rsidRPr="00706252" w:rsidRDefault="002128F5" w:rsidP="00706252">
      <w:pPr>
        <w:spacing w:after="0" w:line="240" w:lineRule="auto"/>
        <w:ind w:firstLine="284"/>
        <w:jc w:val="both"/>
        <w:rPr>
          <w:rFonts w:ascii="Garamond" w:hAnsi="Garamond" w:cs="Times New Roman"/>
          <w:b/>
          <w:bCs/>
          <w:color w:val="000000" w:themeColor="text1"/>
          <w:sz w:val="24"/>
          <w:szCs w:val="24"/>
        </w:rPr>
      </w:pPr>
    </w:p>
    <w:p w14:paraId="2E3AC631" w14:textId="62FD349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Organi administrativ mblidhet të paktën një herë çdo tre muaj në përputhje me afatet e përcaktuara në statut për të shqyrtuar ecurinë dhe zhvillimet e parashikueshme të veprimtarisë së SE-së.</w:t>
      </w:r>
    </w:p>
    <w:p w14:paraId="1FD20B69" w14:textId="4165A64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CD431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Çdo anëtar i organit administrativ ka të drejtë të shqyrtojë të gjithë informacionin që i paraqitet këtij organi.</w:t>
      </w:r>
    </w:p>
    <w:p w14:paraId="7443CA28"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7AF630E"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41</w:t>
      </w:r>
    </w:p>
    <w:p w14:paraId="4E77FA1C"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Kryetari i organit administrativ</w:t>
      </w:r>
    </w:p>
    <w:p w14:paraId="6BC2DED5"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2DEB8957"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Organi administrativ zgjedh një kryetar nga radhët e anëtarëve të tij. Nëse gjysma e anëtarëve janë emëruar nga punëmarrësit, vetëm një anëtar i emëruar nga mbledhja e përgjithshme e aksionarëve mund të zgjidhet kryetar.</w:t>
      </w:r>
    </w:p>
    <w:p w14:paraId="4000A11A"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3313BC2"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42</w:t>
      </w:r>
    </w:p>
    <w:p w14:paraId="42CE6F19"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Mandati i anëtarëve të organeve të SE-së</w:t>
      </w:r>
    </w:p>
    <w:p w14:paraId="0488E209"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12541F7B" w14:textId="55664E0D"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49744C"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Anëtarët e organeve të SE-së emërohen për një periudhë të përcaktuar në statut, e cila nuk mund të jetë më e gjatë se </w:t>
      </w:r>
      <w:r w:rsidR="00612406" w:rsidRPr="00706252">
        <w:rPr>
          <w:rFonts w:ascii="Garamond" w:hAnsi="Garamond" w:cs="Times New Roman"/>
          <w:color w:val="000000" w:themeColor="text1"/>
          <w:sz w:val="24"/>
          <w:szCs w:val="24"/>
        </w:rPr>
        <w:t>6</w:t>
      </w:r>
      <w:r w:rsidRPr="00706252">
        <w:rPr>
          <w:rFonts w:ascii="Garamond" w:hAnsi="Garamond" w:cs="Times New Roman"/>
          <w:color w:val="000000" w:themeColor="text1"/>
          <w:sz w:val="24"/>
          <w:szCs w:val="24"/>
        </w:rPr>
        <w:t xml:space="preserve"> vjet.</w:t>
      </w:r>
    </w:p>
    <w:p w14:paraId="3554DC72" w14:textId="619FDCB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49744C"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Me përjashtim të kufizimeve të parashikuara në statut, anëtarët mund të riemërohen një ose më shumë herë për periudha në përputhje me pikën 1 të këtij neni.</w:t>
      </w:r>
    </w:p>
    <w:p w14:paraId="1399D1AA"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F0D2ED8"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43</w:t>
      </w:r>
    </w:p>
    <w:p w14:paraId="07CABDE8"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Kushtet për anëtarësim në organet e SE-së</w:t>
      </w:r>
    </w:p>
    <w:p w14:paraId="07E431EB"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585BC688" w14:textId="3A1A210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49744C" w:rsidRPr="00706252">
        <w:rPr>
          <w:rFonts w:ascii="Garamond" w:hAnsi="Garamond" w:cs="Times New Roman"/>
          <w:color w:val="000000" w:themeColor="text1"/>
          <w:sz w:val="24"/>
          <w:szCs w:val="24"/>
        </w:rPr>
        <w:t xml:space="preserve"> </w:t>
      </w:r>
      <w:r w:rsidR="006F5BF4" w:rsidRPr="00706252">
        <w:rPr>
          <w:rFonts w:ascii="Garamond" w:hAnsi="Garamond" w:cs="Times New Roman"/>
          <w:color w:val="000000" w:themeColor="text1"/>
          <w:sz w:val="24"/>
          <w:szCs w:val="24"/>
        </w:rPr>
        <w:t>Një person</w:t>
      </w:r>
      <w:r w:rsidRPr="00706252">
        <w:rPr>
          <w:rFonts w:ascii="Garamond" w:hAnsi="Garamond" w:cs="Times New Roman"/>
          <w:color w:val="000000" w:themeColor="text1"/>
          <w:sz w:val="24"/>
          <w:szCs w:val="24"/>
        </w:rPr>
        <w:t xml:space="preserve"> nuk mund të jetë anëtar i ndonjë organi të SE-së apo përfaqësues i një anëtari nëse:</w:t>
      </w:r>
    </w:p>
    <w:p w14:paraId="42632DD3" w14:textId="50CD201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49744C"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është i përjashtuar nga e drejta për të qenë anëtar i organit përkatës të një shoqërie aksionare sipas ligjit të shtetit anëtar të Bashkimit Evropian ku SE-ja ka selinë; ose</w:t>
      </w:r>
    </w:p>
    <w:p w14:paraId="71E1C294" w14:textId="072C4AF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636745">
        <w:rPr>
          <w:rFonts w:ascii="Garamond" w:hAnsi="Garamond" w:cs="Times New Roman"/>
          <w:color w:val="000000" w:themeColor="text1"/>
          <w:sz w:val="24"/>
          <w:szCs w:val="24"/>
        </w:rPr>
        <w:t xml:space="preserve"> </w:t>
      </w:r>
      <w:bookmarkStart w:id="1" w:name="_GoBack"/>
      <w:bookmarkEnd w:id="1"/>
      <w:r w:rsidRPr="00706252">
        <w:rPr>
          <w:rFonts w:ascii="Garamond" w:hAnsi="Garamond" w:cs="Times New Roman"/>
          <w:color w:val="000000" w:themeColor="text1"/>
          <w:sz w:val="24"/>
          <w:szCs w:val="24"/>
        </w:rPr>
        <w:t>është i përjashtuar nga kjo e drejtë me vendim gjyqësor apo administrativ në një shtet anëtar të Bashkimit Evropian.</w:t>
      </w:r>
    </w:p>
    <w:p w14:paraId="0211BEA4" w14:textId="73415BA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49744C"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Ky ligj nuk cenon të drejtën e parashikuar në ligjin shqiptar për tregtarët dhe shoqëritë tregtare për emërimin e disa anëtarëve të organeve nga aksionarët e pakicës ose nga persona apo autoritete të tjera, nëse ka të tilla.</w:t>
      </w:r>
    </w:p>
    <w:p w14:paraId="7DCB4AA7"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AFBE7E5"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44</w:t>
      </w:r>
    </w:p>
    <w:p w14:paraId="2CFC3D72"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Transaksione që kërkojnë autorizim</w:t>
      </w:r>
    </w:p>
    <w:p w14:paraId="63CDFEA0"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0AE3383" w14:textId="7A9E9163"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49744C"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Statuti i SE-së duhet të përmbajë listën dhe karakteristikat e atyre transaksioneve që do të kërkojnë:</w:t>
      </w:r>
    </w:p>
    <w:p w14:paraId="6DC65799" w14:textId="5E5DC8D4" w:rsidR="002128F5" w:rsidRPr="00706252" w:rsidRDefault="000F29F4"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2128F5" w:rsidRPr="00706252">
        <w:rPr>
          <w:rFonts w:ascii="Garamond" w:hAnsi="Garamond" w:cs="Times New Roman"/>
          <w:color w:val="000000" w:themeColor="text1"/>
          <w:sz w:val="24"/>
          <w:szCs w:val="24"/>
        </w:rPr>
        <w:t>)</w:t>
      </w:r>
      <w:r w:rsidR="0049744C" w:rsidRPr="00706252">
        <w:rPr>
          <w:rFonts w:ascii="Garamond" w:hAnsi="Garamond" w:cs="Times New Roman"/>
          <w:color w:val="000000" w:themeColor="text1"/>
          <w:sz w:val="24"/>
          <w:szCs w:val="24"/>
        </w:rPr>
        <w:t xml:space="preserve"> </w:t>
      </w:r>
      <w:r w:rsidR="002128F5" w:rsidRPr="00706252">
        <w:rPr>
          <w:rFonts w:ascii="Garamond" w:hAnsi="Garamond" w:cs="Times New Roman"/>
          <w:color w:val="000000" w:themeColor="text1"/>
          <w:sz w:val="24"/>
          <w:szCs w:val="24"/>
        </w:rPr>
        <w:t>autorizimin e këshillit mbikëqyrës (në sistemin me dy nivele); ose</w:t>
      </w:r>
    </w:p>
    <w:p w14:paraId="6D1B6A70" w14:textId="5154423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 një vendim të posaçëm të asamblesë së aksionarëve (në sistemin me një nivel).</w:t>
      </w:r>
    </w:p>
    <w:p w14:paraId="5A0691C9" w14:textId="1D4FD10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2.</w:t>
      </w:r>
      <w:r w:rsidR="0049744C"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Kategoritë e transaksioneve, që kërkojnë miratim dhe që duhet të përfshihen </w:t>
      </w:r>
      <w:proofErr w:type="spellStart"/>
      <w:r w:rsidRPr="00706252">
        <w:rPr>
          <w:rFonts w:ascii="Garamond" w:hAnsi="Garamond" w:cs="Times New Roman"/>
          <w:color w:val="000000" w:themeColor="text1"/>
          <w:sz w:val="24"/>
          <w:szCs w:val="24"/>
        </w:rPr>
        <w:t>minimalisht</w:t>
      </w:r>
      <w:proofErr w:type="spellEnd"/>
      <w:r w:rsidRPr="00706252">
        <w:rPr>
          <w:rFonts w:ascii="Garamond" w:hAnsi="Garamond" w:cs="Times New Roman"/>
          <w:color w:val="000000" w:themeColor="text1"/>
          <w:sz w:val="24"/>
          <w:szCs w:val="24"/>
        </w:rPr>
        <w:t xml:space="preserve"> në statutin e SE-së, janë ato që parashikohen, sipas rastit, për shoqëritë aksionare në ligjin shqiptar për tregtarët dhe shoqëritë tregtare. Statuti i SE-së mund të parashikojë një gamë më të gjerë transaksionesh që kërkojnë miratim.</w:t>
      </w:r>
    </w:p>
    <w:p w14:paraId="4913C10F"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15E22BA7"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45</w:t>
      </w:r>
    </w:p>
    <w:p w14:paraId="20B158EC"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proofErr w:type="spellStart"/>
      <w:r w:rsidRPr="00706252">
        <w:rPr>
          <w:rFonts w:ascii="Garamond" w:hAnsi="Garamond" w:cs="Times New Roman"/>
          <w:b/>
          <w:bCs/>
          <w:color w:val="000000" w:themeColor="text1"/>
          <w:sz w:val="24"/>
          <w:szCs w:val="24"/>
        </w:rPr>
        <w:t>Konfidencialiteti</w:t>
      </w:r>
      <w:proofErr w:type="spellEnd"/>
      <w:r w:rsidRPr="00706252">
        <w:rPr>
          <w:rFonts w:ascii="Garamond" w:hAnsi="Garamond" w:cs="Times New Roman"/>
          <w:b/>
          <w:bCs/>
          <w:color w:val="000000" w:themeColor="text1"/>
          <w:sz w:val="24"/>
          <w:szCs w:val="24"/>
        </w:rPr>
        <w:t xml:space="preserve"> i informacionit</w:t>
      </w:r>
    </w:p>
    <w:p w14:paraId="4EAD1280"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0AB9E40" w14:textId="6854E44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Anëtarët e organeve të SE-së janë të detyruar edhe pas përfundimit të mandatit të tyre të mos bëjnë publik asnjë informacion për SE-në, i cili, nëse zbulohet, mund të dëmtojë interesat e shoqërisë, përveç rasteve kur publikimi kërkohet ose lejohet nga ligji i zbatueshëm për shoqëritë aksionare ose kur kjo kërkohet nga organet që kanë të drejtë ligjore për ta kërkuar këtë.</w:t>
      </w:r>
    </w:p>
    <w:p w14:paraId="32E2F0B7"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73972CC"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46</w:t>
      </w:r>
    </w:p>
    <w:p w14:paraId="01F5DF8B"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Përgjegjësia e anëtarëve të organeve</w:t>
      </w:r>
    </w:p>
    <w:p w14:paraId="508D8C65"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614FE1AC" w14:textId="753784D1"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Aksionarët, anëtarët e organeve mbikëqyrëse dhe administrative të një SE-je janë përgjegjës në përputhje me dispozitat përkatëse të ligjit shqiptar për tregtarët dhe shoqëritë tregtare për çdo dëm të shkaktuar ndaj SE-së, si rezultat i shkeljes së detyrimeve ligjore, </w:t>
      </w:r>
      <w:proofErr w:type="spellStart"/>
      <w:r w:rsidRPr="00706252">
        <w:rPr>
          <w:rFonts w:ascii="Garamond" w:hAnsi="Garamond" w:cs="Times New Roman"/>
          <w:color w:val="000000" w:themeColor="text1"/>
          <w:sz w:val="24"/>
          <w:szCs w:val="24"/>
        </w:rPr>
        <w:t>statutore</w:t>
      </w:r>
      <w:proofErr w:type="spellEnd"/>
      <w:r w:rsidRPr="00706252">
        <w:rPr>
          <w:rFonts w:ascii="Garamond" w:hAnsi="Garamond" w:cs="Times New Roman"/>
          <w:color w:val="000000" w:themeColor="text1"/>
          <w:sz w:val="24"/>
          <w:szCs w:val="24"/>
        </w:rPr>
        <w:t xml:space="preserve"> ose të tjera që rrjedhin nga funksioni i tyre.</w:t>
      </w:r>
    </w:p>
    <w:p w14:paraId="5091724D"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6DAE69C"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47</w:t>
      </w:r>
    </w:p>
    <w:p w14:paraId="46CDEB6D"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Kompetencat e mbledhjes së përgjithshme</w:t>
      </w:r>
    </w:p>
    <w:p w14:paraId="64CD9F12"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F5C53A6" w14:textId="6DEF389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Mbledhja e përgjithshme vendos për çështjet për të cilat ka kompetencë sipas këtij ligji ose sipas ligjit shqiptar për tregtarët dhe shoqëritë tregtare. Përveçse kur parashikohet ndryshe në këtë ligj, për sa i takon mënyrës së organizimit, mbledhjes, pjesëmarrjes, përfaqësimit, kompetencave, vendimmarrjes, të drejtave e detyrimeve të asamblesë së aksionarëve dhe secilit aksionar, zbatohen dispozitat përkatëse për shoqëritë aksionare të ligjit shqiptar për tregtarët dhe shoqëritë tregtare.</w:t>
      </w:r>
    </w:p>
    <w:p w14:paraId="6D9790B9" w14:textId="77777777" w:rsidR="004843E0" w:rsidRPr="00706252" w:rsidRDefault="004843E0" w:rsidP="00706252">
      <w:pPr>
        <w:spacing w:after="0" w:line="240" w:lineRule="auto"/>
        <w:ind w:firstLine="284"/>
        <w:jc w:val="both"/>
        <w:rPr>
          <w:rFonts w:ascii="Garamond" w:hAnsi="Garamond" w:cs="Times New Roman"/>
          <w:color w:val="000000" w:themeColor="text1"/>
          <w:sz w:val="24"/>
          <w:szCs w:val="24"/>
        </w:rPr>
      </w:pPr>
    </w:p>
    <w:p w14:paraId="5401E68A" w14:textId="2FE7E060"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48</w:t>
      </w:r>
    </w:p>
    <w:p w14:paraId="67F610CD"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Mbledhja e përgjithshme vjetore dhe të tjera</w:t>
      </w:r>
    </w:p>
    <w:p w14:paraId="65EF6C0D" w14:textId="77777777" w:rsidR="002128F5" w:rsidRPr="00706252" w:rsidRDefault="002128F5" w:rsidP="00706252">
      <w:pPr>
        <w:spacing w:after="0" w:line="240" w:lineRule="auto"/>
        <w:ind w:firstLine="284"/>
        <w:jc w:val="both"/>
        <w:rPr>
          <w:rFonts w:ascii="Garamond" w:hAnsi="Garamond" w:cs="Times New Roman"/>
          <w:b/>
          <w:bCs/>
          <w:color w:val="000000" w:themeColor="text1"/>
          <w:sz w:val="24"/>
          <w:szCs w:val="24"/>
        </w:rPr>
      </w:pPr>
    </w:p>
    <w:p w14:paraId="2D1117EC" w14:textId="4D54DB6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SE-ja mban një mbledhje të përgjithshme të paktën një herë në vit brenda gjashtë muajve nga përfundimi i vitit financiar.</w:t>
      </w:r>
    </w:p>
    <w:p w14:paraId="4D596186" w14:textId="18F680B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Mbledhjet e përgjithshme mund të thirren në çdo kohë nga organi drejtues, organi administrativ, organi mbikëqyrës ose çdo organ tjetër apo autoritet kompetent, sipas legjislacionit kombëtar për shoqëritë aksionare në shtetin anëtar përkatës.</w:t>
      </w:r>
    </w:p>
    <w:p w14:paraId="6E529C24" w14:textId="77777777" w:rsidR="004843E0" w:rsidRPr="00706252" w:rsidRDefault="004843E0" w:rsidP="00706252">
      <w:pPr>
        <w:spacing w:after="0" w:line="240" w:lineRule="auto"/>
        <w:ind w:firstLine="284"/>
        <w:jc w:val="both"/>
        <w:rPr>
          <w:rFonts w:ascii="Garamond" w:hAnsi="Garamond" w:cs="Times New Roman"/>
          <w:color w:val="000000" w:themeColor="text1"/>
          <w:sz w:val="24"/>
          <w:szCs w:val="24"/>
        </w:rPr>
      </w:pPr>
    </w:p>
    <w:p w14:paraId="78FF1FFA" w14:textId="6BDF3DCC"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KREU V</w:t>
      </w:r>
    </w:p>
    <w:p w14:paraId="6E7AB2E7"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PUNËMARRËSIT</w:t>
      </w:r>
    </w:p>
    <w:p w14:paraId="742E3622"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2BDFBE0C"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49</w:t>
      </w:r>
    </w:p>
    <w:p w14:paraId="418AAA66"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Pjesëmarrja e punëmarrësve</w:t>
      </w:r>
    </w:p>
    <w:p w14:paraId="7FB7F54D"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F4A7A8A" w14:textId="4B71613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Pjesëmarrja e punëmarrësve në një shoqëri evropiane (SE), me seli të regjistruar në Republikën e Shqipërisë, rregullohet në përputhje me dispozitat e legjislacionit shqiptar në fuqi që garantojnë të drejtën për informim, konsultim dhe, kur parashikohet, përfaqësim në organet vendimmarrëse të shoqërisë.</w:t>
      </w:r>
    </w:p>
    <w:p w14:paraId="36A2185A" w14:textId="57AA9B2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Rregullat për pjesëmarrjen e punëmarrësve në SE zbatohen në të njëjtën mënyrë dhe në të njëjtat kushte si për shoqëritë aksionare të krijuara sipas legjislacionit shqiptar, përveç rasteve kur ky ligj parashikon ndryshe.</w:t>
      </w:r>
    </w:p>
    <w:p w14:paraId="522095B9" w14:textId="5C66B03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Në rastet kur krijimi i një SE-je përfshin një ose më shumë shoqëri nga juridiksione të ndryshme, përfshirë juridiksione të shteteve anëtare të Bashkimit Evropian, pjesëmarrja e punëmarrësve përcaktohet nëpërmjet një marrëveshjeje ndërmjet palëve, që respekton parimin e ruajtjes së të drejtave të përfaqësimit ekzistuese në shoqëritë pjesëmarrëse.</w:t>
      </w:r>
    </w:p>
    <w:p w14:paraId="0AFD4654" w14:textId="6A82FC5A"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4.</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Marrëveshja sipas pikës 3 të këtij neni hartohet nga një grup i posaçëm </w:t>
      </w:r>
      <w:proofErr w:type="spellStart"/>
      <w:r w:rsidRPr="00706252">
        <w:rPr>
          <w:rFonts w:ascii="Garamond" w:hAnsi="Garamond" w:cs="Times New Roman"/>
          <w:color w:val="000000" w:themeColor="text1"/>
          <w:sz w:val="24"/>
          <w:szCs w:val="24"/>
        </w:rPr>
        <w:t>negociues</w:t>
      </w:r>
      <w:proofErr w:type="spellEnd"/>
      <w:r w:rsidRPr="00706252">
        <w:rPr>
          <w:rFonts w:ascii="Garamond" w:hAnsi="Garamond" w:cs="Times New Roman"/>
          <w:color w:val="000000" w:themeColor="text1"/>
          <w:sz w:val="24"/>
          <w:szCs w:val="24"/>
        </w:rPr>
        <w:t>, i cili përbëhet nga përfaqësues të punëmarrësve të shoqërive pjesëmarrëse dhe miratohet nga organet kompetente të SE-së, në përputhje me procedurat e përcaktuara në aktet nënligjore.</w:t>
      </w:r>
    </w:p>
    <w:p w14:paraId="317FA988" w14:textId="3E1808C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5.</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Nëse nuk arrihet marrëveshje për pjesëmarrjen e punëmarrësve brenda afatit të përcaktuar me ligj, zbatohen dispozitat e legjislacionit shqiptar për përfaqësimin dhe konsultimin kolektiv të punonjësve në shoqëritë tregtare.</w:t>
      </w:r>
    </w:p>
    <w:p w14:paraId="175EB469" w14:textId="1E1232B2"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6.</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QKB-ja nuk mund të regjistrojë një SE nëse nuk provohet se janë zbatuar dispozitat e këtij neni dhe, sipas rastit, është lidhur një marrëveshje për pjesëmarrjen e punëmarrësve ose është dokumentuar pamundësia për arritjen e saj brenda afateve të përcaktuara me ligj.</w:t>
      </w:r>
    </w:p>
    <w:p w14:paraId="273BCC6E"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C1E58D9"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KREU VI</w:t>
      </w:r>
    </w:p>
    <w:p w14:paraId="73436235"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PASQYRAT FINANCIARE VJETORE DHE PASQYRAT E KONSOLIDUARA</w:t>
      </w:r>
    </w:p>
    <w:p w14:paraId="7B1B823D"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69604915"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50</w:t>
      </w:r>
    </w:p>
    <w:p w14:paraId="2DE08C43"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Zbatimi i rregullave kombëtare për pasqyrat financiare</w:t>
      </w:r>
    </w:p>
    <w:p w14:paraId="4AFFDBAE" w14:textId="77777777" w:rsidR="00055CDB" w:rsidRPr="00706252" w:rsidRDefault="00055CDB" w:rsidP="00706252">
      <w:pPr>
        <w:spacing w:after="0" w:line="240" w:lineRule="auto"/>
        <w:ind w:firstLine="284"/>
        <w:jc w:val="center"/>
        <w:rPr>
          <w:rFonts w:ascii="Garamond" w:hAnsi="Garamond" w:cs="Times New Roman"/>
          <w:color w:val="000000" w:themeColor="text1"/>
          <w:sz w:val="24"/>
          <w:szCs w:val="24"/>
        </w:rPr>
      </w:pPr>
    </w:p>
    <w:p w14:paraId="1A71B3D1" w14:textId="79A6778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Një SE </w:t>
      </w:r>
      <w:r w:rsidR="00055CDB" w:rsidRPr="00706252">
        <w:rPr>
          <w:rFonts w:ascii="Garamond" w:hAnsi="Garamond" w:cs="Times New Roman"/>
          <w:color w:val="000000" w:themeColor="text1"/>
          <w:sz w:val="24"/>
          <w:szCs w:val="24"/>
        </w:rPr>
        <w:t>u</w:t>
      </w:r>
      <w:r w:rsidRPr="00706252">
        <w:rPr>
          <w:rFonts w:ascii="Garamond" w:hAnsi="Garamond" w:cs="Times New Roman"/>
          <w:color w:val="000000" w:themeColor="text1"/>
          <w:sz w:val="24"/>
          <w:szCs w:val="24"/>
        </w:rPr>
        <w:t xml:space="preserve"> nënshtrohet rregullave që zbatohen për shoqëritë aksionare sipas legjislacionit përkatës për tregtarët dhe shoqëritë tregtare dhe legjislacionit përkatës për kontabilitetin dhe pasqyrat financiare.</w:t>
      </w:r>
    </w:p>
    <w:p w14:paraId="170C2BB9"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8F62708"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51</w:t>
      </w:r>
    </w:p>
    <w:p w14:paraId="26443B0B"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Dispozita të veçanta për institucionet financiare dhe të sigurimit</w:t>
      </w:r>
    </w:p>
    <w:p w14:paraId="2299E65F"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5278808" w14:textId="3A3FB298"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Një SE që është institucion i mbikëqyrur nga Banka e Shqipërisë dhe/ose nga Autoriteti i Mbikëqyrjes Financiare </w:t>
      </w:r>
      <w:r w:rsidR="00F06895" w:rsidRPr="00706252">
        <w:rPr>
          <w:rFonts w:ascii="Garamond" w:hAnsi="Garamond" w:cs="Times New Roman"/>
          <w:color w:val="000000" w:themeColor="text1"/>
          <w:sz w:val="24"/>
          <w:szCs w:val="24"/>
        </w:rPr>
        <w:t>u</w:t>
      </w:r>
      <w:r w:rsidRPr="00706252">
        <w:rPr>
          <w:rFonts w:ascii="Garamond" w:hAnsi="Garamond" w:cs="Times New Roman"/>
          <w:color w:val="000000" w:themeColor="text1"/>
          <w:sz w:val="24"/>
          <w:szCs w:val="24"/>
        </w:rPr>
        <w:t xml:space="preserve"> nënshtrohet rregullave të përcaktuara në legjislacionin e posaçëm, që rregullon fushën e veprimtarisë së tyre, për sa i përket:</w:t>
      </w:r>
    </w:p>
    <w:p w14:paraId="3378AEDE" w14:textId="34BB4666"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a)</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hartimit të pasqyrave financiare vjetore dhe, kur është e nevojshme, të pasqyrave të </w:t>
      </w:r>
      <w:proofErr w:type="spellStart"/>
      <w:r w:rsidRPr="00706252">
        <w:rPr>
          <w:rFonts w:ascii="Garamond" w:hAnsi="Garamond" w:cs="Times New Roman"/>
          <w:color w:val="000000" w:themeColor="text1"/>
          <w:sz w:val="24"/>
          <w:szCs w:val="24"/>
        </w:rPr>
        <w:t>konsoliduara</w:t>
      </w:r>
      <w:proofErr w:type="spellEnd"/>
      <w:r w:rsidRPr="00706252">
        <w:rPr>
          <w:rFonts w:ascii="Garamond" w:hAnsi="Garamond" w:cs="Times New Roman"/>
          <w:color w:val="000000" w:themeColor="text1"/>
          <w:sz w:val="24"/>
          <w:szCs w:val="24"/>
        </w:rPr>
        <w:t>;</w:t>
      </w:r>
    </w:p>
    <w:p w14:paraId="37D954B7" w14:textId="0F88886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b)</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raportit vjetor shoqërues;</w:t>
      </w:r>
    </w:p>
    <w:p w14:paraId="2793B0B2" w14:textId="03E6A17B"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c)</w:t>
      </w:r>
      <w:r w:rsidR="00B7489A" w:rsidRPr="00706252">
        <w:rPr>
          <w:rFonts w:ascii="Garamond" w:hAnsi="Garamond" w:cs="Times New Roman"/>
          <w:color w:val="000000" w:themeColor="text1"/>
          <w:sz w:val="24"/>
          <w:szCs w:val="24"/>
        </w:rPr>
        <w:t xml:space="preserve"> </w:t>
      </w:r>
      <w:proofErr w:type="spellStart"/>
      <w:r w:rsidRPr="00706252">
        <w:rPr>
          <w:rFonts w:ascii="Garamond" w:hAnsi="Garamond" w:cs="Times New Roman"/>
          <w:color w:val="000000" w:themeColor="text1"/>
          <w:sz w:val="24"/>
          <w:szCs w:val="24"/>
        </w:rPr>
        <w:t>auditimit</w:t>
      </w:r>
      <w:proofErr w:type="spellEnd"/>
      <w:r w:rsidRPr="00706252">
        <w:rPr>
          <w:rFonts w:ascii="Garamond" w:hAnsi="Garamond" w:cs="Times New Roman"/>
          <w:color w:val="000000" w:themeColor="text1"/>
          <w:sz w:val="24"/>
          <w:szCs w:val="24"/>
        </w:rPr>
        <w:t>;</w:t>
      </w:r>
    </w:p>
    <w:p w14:paraId="67EE69B0" w14:textId="61AC941F"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ç) publikimit dhe dorëzimit të pasqyrave financiare.</w:t>
      </w:r>
    </w:p>
    <w:p w14:paraId="40597AA6"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3C319DB" w14:textId="3B9C3F10"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KREU VII</w:t>
      </w:r>
    </w:p>
    <w:p w14:paraId="2EC3C173" w14:textId="0DA10147" w:rsidR="002128F5" w:rsidRPr="00706252" w:rsidRDefault="001C14FD"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PRISHJA</w:t>
      </w:r>
      <w:r w:rsidR="002128F5" w:rsidRPr="00706252">
        <w:rPr>
          <w:rFonts w:ascii="Garamond" w:hAnsi="Garamond" w:cs="Times New Roman"/>
          <w:color w:val="000000" w:themeColor="text1"/>
          <w:sz w:val="24"/>
          <w:szCs w:val="24"/>
        </w:rPr>
        <w:t>, LIKUIDIMI, FALIMENTIMI DHE PEZULLIMI I PAGESAVE</w:t>
      </w:r>
    </w:p>
    <w:p w14:paraId="26E118EB"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p>
    <w:p w14:paraId="2485B56E"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52</w:t>
      </w:r>
    </w:p>
    <w:p w14:paraId="388E106F"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Zbatimi i së drejtës kombëtare për procedurat e përfundimit të aktivitetit</w:t>
      </w:r>
    </w:p>
    <w:p w14:paraId="3D193323"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3CE65E76" w14:textId="04241143" w:rsidR="00D922DA"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Për sa i përket </w:t>
      </w:r>
      <w:r w:rsidR="006F5BF4" w:rsidRPr="00706252">
        <w:rPr>
          <w:rFonts w:ascii="Garamond" w:hAnsi="Garamond" w:cs="Times New Roman"/>
          <w:color w:val="000000" w:themeColor="text1"/>
          <w:sz w:val="24"/>
          <w:szCs w:val="24"/>
        </w:rPr>
        <w:t>prishje</w:t>
      </w:r>
      <w:r w:rsidRPr="00706252">
        <w:rPr>
          <w:rFonts w:ascii="Garamond" w:hAnsi="Garamond" w:cs="Times New Roman"/>
          <w:color w:val="000000" w:themeColor="text1"/>
          <w:sz w:val="24"/>
          <w:szCs w:val="24"/>
        </w:rPr>
        <w:t xml:space="preserve">, likuidimit, falimentimit dhe procedurave të ngjashme, një SE </w:t>
      </w:r>
      <w:r w:rsidR="00D1643E" w:rsidRPr="00706252">
        <w:rPr>
          <w:rFonts w:ascii="Garamond" w:hAnsi="Garamond" w:cs="Times New Roman"/>
          <w:color w:val="000000" w:themeColor="text1"/>
          <w:sz w:val="24"/>
          <w:szCs w:val="24"/>
        </w:rPr>
        <w:t>u</w:t>
      </w:r>
      <w:r w:rsidRPr="00706252">
        <w:rPr>
          <w:rFonts w:ascii="Garamond" w:hAnsi="Garamond" w:cs="Times New Roman"/>
          <w:color w:val="000000" w:themeColor="text1"/>
          <w:sz w:val="24"/>
          <w:szCs w:val="24"/>
        </w:rPr>
        <w:t xml:space="preserve"> nënshtrohet dispozitave ligjore që zbatohen për shoqëritë aksionare, të krijuara sipas ligjit shqiptar për tregtarët dhe shoqëritë tregtare.</w:t>
      </w:r>
    </w:p>
    <w:p w14:paraId="3C39E4B2" w14:textId="636F192E"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 xml:space="preserve">Pa paragjykuar dispozitat e ligjit kombëtar, që kërkojnë publikime shtesë, nisja dhe përfundimi i procedurave për </w:t>
      </w:r>
      <w:r w:rsidR="006F5BF4" w:rsidRPr="00706252">
        <w:rPr>
          <w:rFonts w:ascii="Garamond" w:hAnsi="Garamond" w:cs="Times New Roman"/>
          <w:color w:val="000000" w:themeColor="text1"/>
          <w:sz w:val="24"/>
          <w:szCs w:val="24"/>
        </w:rPr>
        <w:t>prishje</w:t>
      </w:r>
      <w:r w:rsidRPr="00706252">
        <w:rPr>
          <w:rFonts w:ascii="Garamond" w:hAnsi="Garamond" w:cs="Times New Roman"/>
          <w:color w:val="000000" w:themeColor="text1"/>
          <w:sz w:val="24"/>
          <w:szCs w:val="24"/>
        </w:rPr>
        <w:t>, likuidim, falimentim, si dhe çdo vendim për vazhdimin e veprimtarisë publikohen në përputhje me nenin 2 të këtij ligji.</w:t>
      </w:r>
    </w:p>
    <w:p w14:paraId="140765BF"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AD70522"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53</w:t>
      </w:r>
    </w:p>
    <w:p w14:paraId="25ECE4C3"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Aktet nënligjore në zbatim të ligjit</w:t>
      </w:r>
    </w:p>
    <w:p w14:paraId="0C10C69D"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AA02A3B" w14:textId="7CBF2330"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1.</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Ngarkohet Këshilli i Ministrave të miratojë procedurat e hollësishme për deklarimin, trajtimin dhe shkëmbimin e të dhënave të detyrueshme sipas legjislacionit tatimor, legjislacionit për sigurimet shoqërore e shëndetësore, legjislacionit të punës dhe atij</w:t>
      </w:r>
      <w:r w:rsidR="003A39BE">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të statistikave, si dhe të miratojë procedurën e lëshimit të numrit unik të identifikimit të një SE-je.</w:t>
      </w:r>
    </w:p>
    <w:p w14:paraId="0C8D964B" w14:textId="2219ECE4"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2.</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Ministri, me propozimin e titullarit të QKB-së, përcakton formën dhe përmbajtjen e dokumenteve që lëshohen nga QKB-ja dhe formatet e kthimit të përgjigjes për çdo veprim të kryer sipas këtij ligji.</w:t>
      </w:r>
    </w:p>
    <w:p w14:paraId="4DFEB9E5" w14:textId="57574E99"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3.</w:t>
      </w:r>
      <w:r w:rsidR="00B7489A" w:rsidRPr="00706252">
        <w:rPr>
          <w:rFonts w:ascii="Garamond" w:hAnsi="Garamond" w:cs="Times New Roman"/>
          <w:color w:val="000000" w:themeColor="text1"/>
          <w:sz w:val="24"/>
          <w:szCs w:val="24"/>
        </w:rPr>
        <w:t xml:space="preserve"> </w:t>
      </w:r>
      <w:r w:rsidRPr="00706252">
        <w:rPr>
          <w:rFonts w:ascii="Garamond" w:hAnsi="Garamond" w:cs="Times New Roman"/>
          <w:color w:val="000000" w:themeColor="text1"/>
          <w:sz w:val="24"/>
          <w:szCs w:val="24"/>
        </w:rPr>
        <w:t>Ngarkohet ministri të miratojë procedurat e hollësishme për hedhjen dhe formën e hedhjes si dhe shfaqjen në regjistër të një SE-je.</w:t>
      </w:r>
    </w:p>
    <w:p w14:paraId="402E6739"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4F3AD82A"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lastRenderedPageBreak/>
        <w:t>Neni 54</w:t>
      </w:r>
    </w:p>
    <w:p w14:paraId="1F8390A9" w14:textId="0022EE2E"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Shfuqizime në datën e anëtarësimit të Republikës së Shqipërisë në Bashkimin Evropian</w:t>
      </w:r>
    </w:p>
    <w:p w14:paraId="15516F3A"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p>
    <w:p w14:paraId="7024B0A6" w14:textId="5791A795" w:rsidR="002128F5"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Në datën e anëtarësimit të Republikës së Shqipërisë në Bashkimin Evropian të gjitha dispozitat e këtij ligji shfuqizohen.</w:t>
      </w:r>
    </w:p>
    <w:p w14:paraId="4A99D36E"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0A50F802" w14:textId="77777777" w:rsidR="002128F5" w:rsidRPr="00706252" w:rsidRDefault="002128F5" w:rsidP="00706252">
      <w:pPr>
        <w:spacing w:after="0" w:line="240" w:lineRule="auto"/>
        <w:ind w:firstLine="284"/>
        <w:jc w:val="center"/>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Neni 55</w:t>
      </w:r>
    </w:p>
    <w:p w14:paraId="5F471E6B" w14:textId="77777777" w:rsidR="002128F5" w:rsidRPr="00706252" w:rsidRDefault="002128F5" w:rsidP="00706252">
      <w:pPr>
        <w:spacing w:after="0" w:line="240" w:lineRule="auto"/>
        <w:ind w:firstLine="284"/>
        <w:jc w:val="center"/>
        <w:rPr>
          <w:rFonts w:ascii="Garamond" w:hAnsi="Garamond" w:cs="Times New Roman"/>
          <w:b/>
          <w:bCs/>
          <w:color w:val="000000" w:themeColor="text1"/>
          <w:sz w:val="24"/>
          <w:szCs w:val="24"/>
        </w:rPr>
      </w:pPr>
      <w:r w:rsidRPr="00706252">
        <w:rPr>
          <w:rFonts w:ascii="Garamond" w:hAnsi="Garamond" w:cs="Times New Roman"/>
          <w:b/>
          <w:bCs/>
          <w:color w:val="000000" w:themeColor="text1"/>
          <w:sz w:val="24"/>
          <w:szCs w:val="24"/>
        </w:rPr>
        <w:t>Hyrja në fuqi</w:t>
      </w:r>
    </w:p>
    <w:p w14:paraId="4666E9D4" w14:textId="77777777" w:rsidR="002128F5" w:rsidRPr="00706252" w:rsidRDefault="002128F5" w:rsidP="00706252">
      <w:pPr>
        <w:spacing w:after="0" w:line="240" w:lineRule="auto"/>
        <w:ind w:firstLine="284"/>
        <w:jc w:val="both"/>
        <w:rPr>
          <w:rFonts w:ascii="Garamond" w:hAnsi="Garamond" w:cs="Times New Roman"/>
          <w:color w:val="000000" w:themeColor="text1"/>
          <w:sz w:val="24"/>
          <w:szCs w:val="24"/>
        </w:rPr>
      </w:pPr>
    </w:p>
    <w:p w14:paraId="77E056A2" w14:textId="1A4A6385" w:rsidR="00D1643E" w:rsidRPr="00706252" w:rsidRDefault="002128F5" w:rsidP="00706252">
      <w:pPr>
        <w:spacing w:after="0" w:line="240" w:lineRule="auto"/>
        <w:ind w:firstLine="284"/>
        <w:jc w:val="both"/>
        <w:rPr>
          <w:rFonts w:ascii="Garamond" w:hAnsi="Garamond" w:cs="Times New Roman"/>
          <w:color w:val="000000" w:themeColor="text1"/>
          <w:sz w:val="24"/>
          <w:szCs w:val="24"/>
        </w:rPr>
      </w:pPr>
      <w:r w:rsidRPr="00706252">
        <w:rPr>
          <w:rFonts w:ascii="Garamond" w:hAnsi="Garamond" w:cs="Times New Roman"/>
          <w:color w:val="000000" w:themeColor="text1"/>
          <w:sz w:val="24"/>
          <w:szCs w:val="24"/>
        </w:rPr>
        <w:t xml:space="preserve">Ky ligj hyn në fuqi 15 ditë pas botimit në Fletoren </w:t>
      </w:r>
      <w:r w:rsidR="00DB63F8" w:rsidRPr="00706252">
        <w:rPr>
          <w:rFonts w:ascii="Garamond" w:hAnsi="Garamond" w:cs="Times New Roman"/>
          <w:color w:val="000000" w:themeColor="text1"/>
          <w:sz w:val="24"/>
          <w:szCs w:val="24"/>
        </w:rPr>
        <w:t>Z</w:t>
      </w:r>
      <w:r w:rsidRPr="00706252">
        <w:rPr>
          <w:rFonts w:ascii="Garamond" w:hAnsi="Garamond" w:cs="Times New Roman"/>
          <w:color w:val="000000" w:themeColor="text1"/>
          <w:sz w:val="24"/>
          <w:szCs w:val="24"/>
        </w:rPr>
        <w:t>yrtare.</w:t>
      </w:r>
    </w:p>
    <w:p w14:paraId="2EC02965" w14:textId="77777777" w:rsidR="00112C8B" w:rsidRDefault="00112C8B" w:rsidP="00706252">
      <w:pPr>
        <w:spacing w:after="0" w:line="240" w:lineRule="auto"/>
        <w:ind w:firstLine="284"/>
        <w:jc w:val="both"/>
        <w:rPr>
          <w:rFonts w:ascii="Garamond" w:hAnsi="Garamond" w:cs="Times New Roman"/>
          <w:bCs/>
          <w:color w:val="000000" w:themeColor="text1"/>
          <w:sz w:val="24"/>
          <w:szCs w:val="24"/>
        </w:rPr>
      </w:pPr>
    </w:p>
    <w:p w14:paraId="38CC0089" w14:textId="64DECAFF" w:rsidR="00976A3C" w:rsidRDefault="00976A3C" w:rsidP="00706252">
      <w:pPr>
        <w:spacing w:after="0" w:line="240" w:lineRule="auto"/>
        <w:ind w:firstLine="284"/>
        <w:jc w:val="both"/>
        <w:rPr>
          <w:rFonts w:ascii="Garamond" w:hAnsi="Garamond" w:cs="Times New Roman"/>
          <w:bCs/>
          <w:color w:val="000000" w:themeColor="text1"/>
          <w:sz w:val="24"/>
          <w:szCs w:val="24"/>
        </w:rPr>
      </w:pPr>
      <w:r w:rsidRPr="00706252">
        <w:rPr>
          <w:rFonts w:ascii="Garamond" w:hAnsi="Garamond" w:cs="Times New Roman"/>
          <w:bCs/>
          <w:color w:val="000000" w:themeColor="text1"/>
          <w:sz w:val="24"/>
          <w:szCs w:val="24"/>
        </w:rPr>
        <w:t>Miratuar në datën</w:t>
      </w:r>
      <w:r w:rsidR="00FC6BDD" w:rsidRPr="00706252">
        <w:rPr>
          <w:rFonts w:ascii="Garamond" w:hAnsi="Garamond" w:cs="Times New Roman"/>
          <w:bCs/>
          <w:color w:val="000000" w:themeColor="text1"/>
          <w:sz w:val="24"/>
          <w:szCs w:val="24"/>
        </w:rPr>
        <w:t xml:space="preserve"> </w:t>
      </w:r>
      <w:r w:rsidR="004F7C46" w:rsidRPr="00706252">
        <w:rPr>
          <w:rFonts w:ascii="Garamond" w:hAnsi="Garamond" w:cs="Times New Roman"/>
          <w:bCs/>
          <w:color w:val="000000" w:themeColor="text1"/>
          <w:sz w:val="24"/>
          <w:szCs w:val="24"/>
        </w:rPr>
        <w:t>2</w:t>
      </w:r>
      <w:r w:rsidR="00AC305B" w:rsidRPr="00706252">
        <w:rPr>
          <w:rFonts w:ascii="Garamond" w:hAnsi="Garamond" w:cs="Times New Roman"/>
          <w:bCs/>
          <w:color w:val="000000" w:themeColor="text1"/>
          <w:sz w:val="24"/>
          <w:szCs w:val="24"/>
        </w:rPr>
        <w:t>3</w:t>
      </w:r>
      <w:r w:rsidR="004F7C46" w:rsidRPr="00706252">
        <w:rPr>
          <w:rFonts w:ascii="Garamond" w:hAnsi="Garamond" w:cs="Times New Roman"/>
          <w:bCs/>
          <w:color w:val="000000" w:themeColor="text1"/>
          <w:sz w:val="24"/>
          <w:szCs w:val="24"/>
        </w:rPr>
        <w:t>.7.</w:t>
      </w:r>
      <w:r w:rsidR="007748A2" w:rsidRPr="00706252">
        <w:rPr>
          <w:rFonts w:ascii="Garamond" w:hAnsi="Garamond" w:cs="Times New Roman"/>
          <w:bCs/>
          <w:color w:val="000000" w:themeColor="text1"/>
          <w:sz w:val="24"/>
          <w:szCs w:val="24"/>
        </w:rPr>
        <w:t>202</w:t>
      </w:r>
      <w:r w:rsidR="00624857" w:rsidRPr="00706252">
        <w:rPr>
          <w:rFonts w:ascii="Garamond" w:hAnsi="Garamond" w:cs="Times New Roman"/>
          <w:bCs/>
          <w:color w:val="000000" w:themeColor="text1"/>
          <w:sz w:val="24"/>
          <w:szCs w:val="24"/>
        </w:rPr>
        <w:t>6</w:t>
      </w:r>
      <w:r w:rsidR="0089718C">
        <w:rPr>
          <w:rFonts w:ascii="Garamond" w:hAnsi="Garamond" w:cs="Times New Roman"/>
          <w:bCs/>
          <w:color w:val="000000" w:themeColor="text1"/>
          <w:sz w:val="24"/>
          <w:szCs w:val="24"/>
        </w:rPr>
        <w:t>.</w:t>
      </w:r>
    </w:p>
    <w:p w14:paraId="521E8C07" w14:textId="77777777" w:rsidR="0089718C" w:rsidRPr="00706252" w:rsidRDefault="0089718C" w:rsidP="00706252">
      <w:pPr>
        <w:spacing w:after="0" w:line="240" w:lineRule="auto"/>
        <w:ind w:firstLine="284"/>
        <w:jc w:val="both"/>
        <w:rPr>
          <w:rFonts w:ascii="Garamond" w:hAnsi="Garamond" w:cs="Times New Roman"/>
          <w:bCs/>
          <w:color w:val="000000" w:themeColor="text1"/>
          <w:sz w:val="24"/>
          <w:szCs w:val="24"/>
        </w:rPr>
      </w:pPr>
    </w:p>
    <w:p w14:paraId="3C879EE1" w14:textId="6A3C5A6D" w:rsidR="00F23E38" w:rsidRPr="00A642FD" w:rsidRDefault="00F23E38" w:rsidP="00F23E38">
      <w:pPr>
        <w:spacing w:after="0" w:line="240" w:lineRule="auto"/>
        <w:ind w:firstLine="284"/>
        <w:jc w:val="both"/>
        <w:rPr>
          <w:rFonts w:ascii="Garamond" w:hAnsi="Garamond" w:cs="Times New Roman"/>
          <w:b/>
          <w:bCs/>
          <w:color w:val="000000" w:themeColor="text1"/>
          <w:sz w:val="24"/>
          <w:szCs w:val="24"/>
        </w:rPr>
      </w:pPr>
      <w:r w:rsidRPr="00A642FD">
        <w:rPr>
          <w:rFonts w:ascii="Garamond" w:hAnsi="Garamond" w:cs="Times New Roman"/>
          <w:b/>
          <w:bCs/>
          <w:color w:val="000000" w:themeColor="text1"/>
          <w:sz w:val="24"/>
          <w:szCs w:val="24"/>
        </w:rPr>
        <w:t xml:space="preserve">Shpallur me dekretin nr. </w:t>
      </w:r>
      <w:r w:rsidR="003A39BE">
        <w:rPr>
          <w:rFonts w:ascii="Garamond" w:hAnsi="Garamond" w:cs="Times New Roman"/>
          <w:b/>
          <w:bCs/>
          <w:color w:val="000000" w:themeColor="text1"/>
          <w:sz w:val="24"/>
          <w:szCs w:val="24"/>
        </w:rPr>
        <w:t xml:space="preserve">465, </w:t>
      </w:r>
      <w:r w:rsidRPr="00A642FD">
        <w:rPr>
          <w:rFonts w:ascii="Garamond" w:hAnsi="Garamond" w:cs="Times New Roman"/>
          <w:b/>
          <w:bCs/>
          <w:color w:val="000000" w:themeColor="text1"/>
          <w:sz w:val="24"/>
          <w:szCs w:val="24"/>
        </w:rPr>
        <w:t xml:space="preserve">datë </w:t>
      </w:r>
      <w:r w:rsidR="003A39BE">
        <w:rPr>
          <w:rFonts w:ascii="Garamond" w:hAnsi="Garamond" w:cs="Times New Roman"/>
          <w:b/>
          <w:bCs/>
          <w:color w:val="000000" w:themeColor="text1"/>
          <w:sz w:val="24"/>
          <w:szCs w:val="24"/>
        </w:rPr>
        <w:t xml:space="preserve">3.8.2026, </w:t>
      </w:r>
      <w:r w:rsidRPr="00A642FD">
        <w:rPr>
          <w:rFonts w:ascii="Garamond" w:hAnsi="Garamond" w:cs="Times New Roman"/>
          <w:b/>
          <w:bCs/>
          <w:color w:val="000000" w:themeColor="text1"/>
          <w:sz w:val="24"/>
          <w:szCs w:val="24"/>
        </w:rPr>
        <w:t xml:space="preserve">të Presidentit të Republikës së Shqipërisë, Bajram </w:t>
      </w:r>
      <w:proofErr w:type="spellStart"/>
      <w:r w:rsidRPr="00A642FD">
        <w:rPr>
          <w:rFonts w:ascii="Garamond" w:hAnsi="Garamond" w:cs="Times New Roman"/>
          <w:b/>
          <w:bCs/>
          <w:color w:val="000000" w:themeColor="text1"/>
          <w:sz w:val="24"/>
          <w:szCs w:val="24"/>
        </w:rPr>
        <w:t>Begaj</w:t>
      </w:r>
      <w:proofErr w:type="spellEnd"/>
      <w:r w:rsidR="003A39BE">
        <w:rPr>
          <w:rFonts w:ascii="Garamond" w:hAnsi="Garamond" w:cs="Times New Roman"/>
          <w:b/>
          <w:bCs/>
          <w:color w:val="000000" w:themeColor="text1"/>
          <w:sz w:val="24"/>
          <w:szCs w:val="24"/>
        </w:rPr>
        <w:t>.</w:t>
      </w:r>
    </w:p>
    <w:p w14:paraId="053D67FB" w14:textId="77777777" w:rsidR="008A48E5" w:rsidRPr="00706252" w:rsidRDefault="008A48E5" w:rsidP="00706252">
      <w:pPr>
        <w:spacing w:after="0" w:line="240" w:lineRule="auto"/>
        <w:ind w:firstLine="284"/>
        <w:jc w:val="both"/>
        <w:rPr>
          <w:rFonts w:ascii="Garamond" w:eastAsia="Times New Roman" w:hAnsi="Garamond" w:cs="Times New Roman"/>
          <w:color w:val="000000" w:themeColor="text1"/>
          <w:sz w:val="24"/>
          <w:szCs w:val="24"/>
        </w:rPr>
      </w:pPr>
    </w:p>
    <w:p w14:paraId="1FCAC45A" w14:textId="77777777" w:rsidR="00213234" w:rsidRPr="00706252" w:rsidRDefault="00213234" w:rsidP="00706252">
      <w:pPr>
        <w:spacing w:after="0" w:line="240" w:lineRule="auto"/>
        <w:ind w:firstLine="284"/>
        <w:jc w:val="both"/>
        <w:rPr>
          <w:rFonts w:ascii="Garamond" w:hAnsi="Garamond" w:cs="Times New Roman"/>
          <w:bCs/>
          <w:color w:val="000000" w:themeColor="text1"/>
          <w:sz w:val="24"/>
          <w:szCs w:val="24"/>
        </w:rPr>
      </w:pPr>
    </w:p>
    <w:sectPr w:rsidR="00213234" w:rsidRPr="00706252" w:rsidSect="00356A30">
      <w:footerReference w:type="default" r:id="rId13"/>
      <w:pgSz w:w="11906" w:h="16838" w:code="9"/>
      <w:pgMar w:top="720" w:right="1152" w:bottom="900"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5643F" w14:textId="77777777" w:rsidR="00A759FB" w:rsidRDefault="00A759FB" w:rsidP="00420682">
      <w:pPr>
        <w:spacing w:after="0" w:line="240" w:lineRule="auto"/>
      </w:pPr>
      <w:r>
        <w:separator/>
      </w:r>
    </w:p>
  </w:endnote>
  <w:endnote w:type="continuationSeparator" w:id="0">
    <w:p w14:paraId="05978304" w14:textId="77777777" w:rsidR="00A759FB" w:rsidRDefault="00A759FB" w:rsidP="00420682">
      <w:pPr>
        <w:spacing w:after="0" w:line="240" w:lineRule="auto"/>
      </w:pPr>
      <w:r>
        <w:continuationSeparator/>
      </w:r>
    </w:p>
  </w:endnote>
  <w:endnote w:type="continuationNotice" w:id="1">
    <w:p w14:paraId="554C232C" w14:textId="77777777" w:rsidR="00F62A3B" w:rsidRDefault="00F62A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5095240E" w14:textId="22602B77" w:rsidR="00A759FB" w:rsidRDefault="00A759FB">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17</w:t>
        </w:r>
        <w:r w:rsidRPr="0096575A">
          <w:rPr>
            <w:rFonts w:ascii="Times New Roman" w:hAnsi="Times New Roman" w:cs="Times New Roman"/>
            <w:noProof/>
            <w:sz w:val="24"/>
            <w:szCs w:val="24"/>
          </w:rPr>
          <w:fldChar w:fldCharType="end"/>
        </w:r>
      </w:p>
    </w:sdtContent>
  </w:sdt>
  <w:p w14:paraId="04951816" w14:textId="77777777" w:rsidR="00A759FB" w:rsidRDefault="00A75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5A07B5" w14:textId="77777777" w:rsidR="00A759FB" w:rsidRDefault="00A759FB" w:rsidP="00420682">
      <w:pPr>
        <w:spacing w:after="0" w:line="240" w:lineRule="auto"/>
      </w:pPr>
      <w:r>
        <w:separator/>
      </w:r>
    </w:p>
  </w:footnote>
  <w:footnote w:type="continuationSeparator" w:id="0">
    <w:p w14:paraId="327ABD76" w14:textId="77777777" w:rsidR="00A759FB" w:rsidRDefault="00A759FB" w:rsidP="00420682">
      <w:pPr>
        <w:spacing w:after="0" w:line="240" w:lineRule="auto"/>
      </w:pPr>
      <w:r>
        <w:continuationSeparator/>
      </w:r>
    </w:p>
  </w:footnote>
  <w:footnote w:type="continuationNotice" w:id="1">
    <w:p w14:paraId="344AF3AA" w14:textId="77777777" w:rsidR="00F62A3B" w:rsidRDefault="00F62A3B">
      <w:pPr>
        <w:spacing w:after="0" w:line="240" w:lineRule="auto"/>
      </w:pPr>
    </w:p>
  </w:footnote>
  <w:footnote w:id="2">
    <w:p w14:paraId="18431B26" w14:textId="6A9BF36C" w:rsidR="00A759FB" w:rsidRPr="00EB48DE" w:rsidRDefault="00A759FB" w:rsidP="00EB48DE">
      <w:pPr>
        <w:spacing w:after="0" w:line="240" w:lineRule="auto"/>
        <w:jc w:val="both"/>
        <w:rPr>
          <w:rFonts w:ascii="Garamond" w:hAnsi="Garamond" w:cs="Times New Roman"/>
          <w:i/>
          <w:color w:val="000000" w:themeColor="text1"/>
          <w:sz w:val="20"/>
          <w:szCs w:val="24"/>
        </w:rPr>
      </w:pPr>
      <w:r w:rsidRPr="00EB48DE">
        <w:rPr>
          <w:rStyle w:val="FootnoteReference"/>
          <w:rFonts w:ascii="Garamond" w:hAnsi="Garamond"/>
          <w:sz w:val="20"/>
          <w:szCs w:val="24"/>
        </w:rPr>
        <w:footnoteRef/>
      </w:r>
      <w:r w:rsidRPr="00EB48DE">
        <w:rPr>
          <w:rFonts w:ascii="Garamond" w:hAnsi="Garamond" w:cs="Times New Roman"/>
          <w:sz w:val="20"/>
          <w:szCs w:val="24"/>
        </w:rPr>
        <w:t xml:space="preserve"> </w:t>
      </w:r>
      <w:r w:rsidRPr="00EB48DE">
        <w:rPr>
          <w:rFonts w:ascii="Garamond" w:hAnsi="Garamond" w:cs="Times New Roman"/>
          <w:i/>
          <w:sz w:val="20"/>
          <w:szCs w:val="24"/>
        </w:rPr>
        <w:t xml:space="preserve">Ky ligj është përafruar plotësisht me </w:t>
      </w:r>
      <w:bookmarkStart w:id="0" w:name="_Hlk198709236"/>
      <w:r w:rsidRPr="00EB48DE">
        <w:rPr>
          <w:rFonts w:ascii="Garamond" w:hAnsi="Garamond" w:cs="Times New Roman"/>
          <w:bCs/>
          <w:i/>
          <w:sz w:val="20"/>
          <w:szCs w:val="24"/>
        </w:rPr>
        <w:t>rregulloren e Këshillit (KE) nr.</w:t>
      </w:r>
      <w:r>
        <w:rPr>
          <w:rFonts w:ascii="Garamond" w:hAnsi="Garamond" w:cs="Times New Roman"/>
          <w:bCs/>
          <w:i/>
          <w:sz w:val="20"/>
          <w:szCs w:val="24"/>
        </w:rPr>
        <w:t xml:space="preserve"> </w:t>
      </w:r>
      <w:r w:rsidRPr="00EB48DE">
        <w:rPr>
          <w:rFonts w:ascii="Garamond" w:hAnsi="Garamond" w:cs="Times New Roman"/>
          <w:bCs/>
          <w:i/>
          <w:sz w:val="20"/>
          <w:szCs w:val="24"/>
        </w:rPr>
        <w:t>2157/2001, datë 8 tetor 2001, Për statutin e shoqërisë evropiane (SE</w:t>
      </w:r>
      <w:bookmarkEnd w:id="0"/>
      <w:r w:rsidRPr="00EB48DE">
        <w:rPr>
          <w:rFonts w:ascii="Garamond" w:hAnsi="Garamond" w:cs="Times New Roman"/>
          <w:bCs/>
          <w:i/>
          <w:sz w:val="20"/>
          <w:szCs w:val="24"/>
        </w:rPr>
        <w:t>)</w:t>
      </w:r>
      <w:r w:rsidRPr="00EB48DE">
        <w:rPr>
          <w:rFonts w:ascii="Garamond" w:hAnsi="Garamond" w:cs="Times New Roman"/>
          <w:sz w:val="20"/>
          <w:szCs w:val="24"/>
        </w:rPr>
        <w:t xml:space="preserve"> </w:t>
      </w:r>
      <w:r w:rsidRPr="00EB48DE">
        <w:rPr>
          <w:rFonts w:ascii="Garamond" w:hAnsi="Garamond" w:cs="Times New Roman"/>
          <w:i/>
          <w:iCs/>
          <w:color w:val="000000" w:themeColor="text1"/>
          <w:sz w:val="20"/>
          <w:szCs w:val="24"/>
        </w:rPr>
        <w:t xml:space="preserve">e ndryshuar. Numri CELEX 32001R2157, Fletorja Zyrtare e Bashkimit Evropian, </w:t>
      </w:r>
      <w:r>
        <w:rPr>
          <w:rFonts w:ascii="Garamond" w:hAnsi="Garamond" w:cs="Times New Roman"/>
          <w:i/>
          <w:iCs/>
          <w:color w:val="000000" w:themeColor="text1"/>
          <w:sz w:val="20"/>
          <w:szCs w:val="24"/>
        </w:rPr>
        <w:t>s</w:t>
      </w:r>
      <w:r w:rsidRPr="00EB48DE">
        <w:rPr>
          <w:rFonts w:ascii="Garamond" w:hAnsi="Garamond" w:cs="Times New Roman"/>
          <w:i/>
          <w:iCs/>
          <w:color w:val="000000" w:themeColor="text1"/>
          <w:sz w:val="20"/>
          <w:szCs w:val="24"/>
        </w:rPr>
        <w:t xml:space="preserve">eria L, </w:t>
      </w:r>
      <w:r>
        <w:rPr>
          <w:rFonts w:ascii="Garamond" w:hAnsi="Garamond" w:cs="Times New Roman"/>
          <w:i/>
          <w:iCs/>
          <w:color w:val="000000" w:themeColor="text1"/>
          <w:sz w:val="20"/>
          <w:szCs w:val="24"/>
        </w:rPr>
        <w:t>n</w:t>
      </w:r>
      <w:r w:rsidRPr="00EB48DE">
        <w:rPr>
          <w:rFonts w:ascii="Garamond" w:hAnsi="Garamond" w:cs="Times New Roman"/>
          <w:i/>
          <w:iCs/>
          <w:color w:val="000000" w:themeColor="text1"/>
          <w:sz w:val="20"/>
          <w:szCs w:val="24"/>
        </w:rPr>
        <w:t>r. 294, datë 10.11.2001, faqe 1–21</w:t>
      </w:r>
      <w:r>
        <w:rPr>
          <w:rFonts w:ascii="Garamond" w:hAnsi="Garamond" w:cs="Times New Roman"/>
          <w:i/>
          <w:iCs/>
          <w:color w:val="000000" w:themeColor="text1"/>
          <w:sz w:val="20"/>
          <w:szCs w:val="24"/>
        </w:rPr>
        <w:t>.</w:t>
      </w:r>
    </w:p>
    <w:p w14:paraId="753EB159" w14:textId="61752D9C" w:rsidR="00A759FB" w:rsidRPr="00E30A67" w:rsidRDefault="00A759FB">
      <w:pPr>
        <w:pStyle w:val="FootnoteText"/>
        <w:rPr>
          <w:lang w:val="it-I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37D6"/>
    <w:rsid w:val="000141A5"/>
    <w:rsid w:val="0001561C"/>
    <w:rsid w:val="00024790"/>
    <w:rsid w:val="00031671"/>
    <w:rsid w:val="00037962"/>
    <w:rsid w:val="00040D8C"/>
    <w:rsid w:val="00042C20"/>
    <w:rsid w:val="00043C57"/>
    <w:rsid w:val="000514F1"/>
    <w:rsid w:val="000518D6"/>
    <w:rsid w:val="000528BB"/>
    <w:rsid w:val="00054966"/>
    <w:rsid w:val="00055AB5"/>
    <w:rsid w:val="00055CDB"/>
    <w:rsid w:val="00060376"/>
    <w:rsid w:val="00072080"/>
    <w:rsid w:val="000765C2"/>
    <w:rsid w:val="00082266"/>
    <w:rsid w:val="00085424"/>
    <w:rsid w:val="00090F3B"/>
    <w:rsid w:val="00091177"/>
    <w:rsid w:val="00091A46"/>
    <w:rsid w:val="0009415D"/>
    <w:rsid w:val="00096985"/>
    <w:rsid w:val="00096F02"/>
    <w:rsid w:val="00097617"/>
    <w:rsid w:val="000A08A2"/>
    <w:rsid w:val="000A1E47"/>
    <w:rsid w:val="000A3B4D"/>
    <w:rsid w:val="000A6B3D"/>
    <w:rsid w:val="000B3F8E"/>
    <w:rsid w:val="000B5AFE"/>
    <w:rsid w:val="000D199E"/>
    <w:rsid w:val="000D1AC4"/>
    <w:rsid w:val="000D73BA"/>
    <w:rsid w:val="000E020D"/>
    <w:rsid w:val="000E268C"/>
    <w:rsid w:val="000E32F6"/>
    <w:rsid w:val="000E4CA8"/>
    <w:rsid w:val="000E5BA6"/>
    <w:rsid w:val="000F29F4"/>
    <w:rsid w:val="000F482E"/>
    <w:rsid w:val="00103828"/>
    <w:rsid w:val="001066CD"/>
    <w:rsid w:val="00106F6D"/>
    <w:rsid w:val="00111ECA"/>
    <w:rsid w:val="00112C8B"/>
    <w:rsid w:val="0011415C"/>
    <w:rsid w:val="001155E0"/>
    <w:rsid w:val="0011684B"/>
    <w:rsid w:val="00117D28"/>
    <w:rsid w:val="00121E29"/>
    <w:rsid w:val="00122D1F"/>
    <w:rsid w:val="0012550D"/>
    <w:rsid w:val="001268E9"/>
    <w:rsid w:val="00130958"/>
    <w:rsid w:val="00132CEC"/>
    <w:rsid w:val="0013569A"/>
    <w:rsid w:val="00135A36"/>
    <w:rsid w:val="00136EC9"/>
    <w:rsid w:val="00140E6B"/>
    <w:rsid w:val="00143DC2"/>
    <w:rsid w:val="00146A7A"/>
    <w:rsid w:val="00146D52"/>
    <w:rsid w:val="00153559"/>
    <w:rsid w:val="00153CC5"/>
    <w:rsid w:val="00154CFD"/>
    <w:rsid w:val="0015512C"/>
    <w:rsid w:val="001551CE"/>
    <w:rsid w:val="00155BCF"/>
    <w:rsid w:val="00155EBC"/>
    <w:rsid w:val="00163579"/>
    <w:rsid w:val="00166272"/>
    <w:rsid w:val="00166898"/>
    <w:rsid w:val="00167D1D"/>
    <w:rsid w:val="00172D4F"/>
    <w:rsid w:val="00174E2E"/>
    <w:rsid w:val="00176471"/>
    <w:rsid w:val="001816AF"/>
    <w:rsid w:val="00187492"/>
    <w:rsid w:val="00187A2D"/>
    <w:rsid w:val="00191A00"/>
    <w:rsid w:val="001942D4"/>
    <w:rsid w:val="001960B2"/>
    <w:rsid w:val="001A1919"/>
    <w:rsid w:val="001A2945"/>
    <w:rsid w:val="001A2C14"/>
    <w:rsid w:val="001B2638"/>
    <w:rsid w:val="001B796E"/>
    <w:rsid w:val="001C0806"/>
    <w:rsid w:val="001C14FD"/>
    <w:rsid w:val="001C1A1A"/>
    <w:rsid w:val="001C1E51"/>
    <w:rsid w:val="001C2335"/>
    <w:rsid w:val="001C445C"/>
    <w:rsid w:val="001C5CDE"/>
    <w:rsid w:val="001C6A0A"/>
    <w:rsid w:val="001C7EC0"/>
    <w:rsid w:val="001D2895"/>
    <w:rsid w:val="001D31EB"/>
    <w:rsid w:val="001D3B4F"/>
    <w:rsid w:val="001D4E55"/>
    <w:rsid w:val="001D77D6"/>
    <w:rsid w:val="001D7939"/>
    <w:rsid w:val="001F194A"/>
    <w:rsid w:val="001F676C"/>
    <w:rsid w:val="001F78C3"/>
    <w:rsid w:val="001F797D"/>
    <w:rsid w:val="0020004E"/>
    <w:rsid w:val="002009A1"/>
    <w:rsid w:val="00200D3D"/>
    <w:rsid w:val="0020160E"/>
    <w:rsid w:val="0020170B"/>
    <w:rsid w:val="00204052"/>
    <w:rsid w:val="002044B0"/>
    <w:rsid w:val="0020507F"/>
    <w:rsid w:val="0020603B"/>
    <w:rsid w:val="002101FE"/>
    <w:rsid w:val="002128F5"/>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6B1A"/>
    <w:rsid w:val="00247DF1"/>
    <w:rsid w:val="00250F7F"/>
    <w:rsid w:val="00251245"/>
    <w:rsid w:val="00252CF0"/>
    <w:rsid w:val="0025735E"/>
    <w:rsid w:val="00260E70"/>
    <w:rsid w:val="002645B6"/>
    <w:rsid w:val="00264FD5"/>
    <w:rsid w:val="00266C06"/>
    <w:rsid w:val="00267E57"/>
    <w:rsid w:val="0027350F"/>
    <w:rsid w:val="00274D4C"/>
    <w:rsid w:val="002753F6"/>
    <w:rsid w:val="002773E8"/>
    <w:rsid w:val="00277C89"/>
    <w:rsid w:val="00280456"/>
    <w:rsid w:val="002813BF"/>
    <w:rsid w:val="00282145"/>
    <w:rsid w:val="00284AC7"/>
    <w:rsid w:val="00294FCA"/>
    <w:rsid w:val="00295340"/>
    <w:rsid w:val="00296ECC"/>
    <w:rsid w:val="002A0C1D"/>
    <w:rsid w:val="002A47D7"/>
    <w:rsid w:val="002B5575"/>
    <w:rsid w:val="002B6575"/>
    <w:rsid w:val="002B6DDE"/>
    <w:rsid w:val="002C4562"/>
    <w:rsid w:val="002C7626"/>
    <w:rsid w:val="002C7D02"/>
    <w:rsid w:val="002D201C"/>
    <w:rsid w:val="002D3DB1"/>
    <w:rsid w:val="002D3E28"/>
    <w:rsid w:val="002D4309"/>
    <w:rsid w:val="002D5F14"/>
    <w:rsid w:val="002E0FFB"/>
    <w:rsid w:val="002E2079"/>
    <w:rsid w:val="002E4404"/>
    <w:rsid w:val="002E5221"/>
    <w:rsid w:val="002F000B"/>
    <w:rsid w:val="002F1C5B"/>
    <w:rsid w:val="002F5953"/>
    <w:rsid w:val="002F5F81"/>
    <w:rsid w:val="00300CDA"/>
    <w:rsid w:val="00301305"/>
    <w:rsid w:val="0030276C"/>
    <w:rsid w:val="0031187E"/>
    <w:rsid w:val="00312043"/>
    <w:rsid w:val="00312698"/>
    <w:rsid w:val="003168B3"/>
    <w:rsid w:val="00321185"/>
    <w:rsid w:val="00323264"/>
    <w:rsid w:val="003248D9"/>
    <w:rsid w:val="00325554"/>
    <w:rsid w:val="003265C9"/>
    <w:rsid w:val="003305E1"/>
    <w:rsid w:val="003333CC"/>
    <w:rsid w:val="0033513E"/>
    <w:rsid w:val="00336EED"/>
    <w:rsid w:val="00337401"/>
    <w:rsid w:val="003403C8"/>
    <w:rsid w:val="00340CB6"/>
    <w:rsid w:val="003459D4"/>
    <w:rsid w:val="00345A72"/>
    <w:rsid w:val="00346793"/>
    <w:rsid w:val="003547D6"/>
    <w:rsid w:val="00356A30"/>
    <w:rsid w:val="00360A25"/>
    <w:rsid w:val="00363075"/>
    <w:rsid w:val="00365BF7"/>
    <w:rsid w:val="003706C5"/>
    <w:rsid w:val="003745EF"/>
    <w:rsid w:val="00375597"/>
    <w:rsid w:val="0038331D"/>
    <w:rsid w:val="00391BCE"/>
    <w:rsid w:val="003938EC"/>
    <w:rsid w:val="00394777"/>
    <w:rsid w:val="00395396"/>
    <w:rsid w:val="003953EE"/>
    <w:rsid w:val="00397541"/>
    <w:rsid w:val="00397F37"/>
    <w:rsid w:val="003A135F"/>
    <w:rsid w:val="003A38DC"/>
    <w:rsid w:val="003A39BE"/>
    <w:rsid w:val="003A63A5"/>
    <w:rsid w:val="003B24CC"/>
    <w:rsid w:val="003B4F18"/>
    <w:rsid w:val="003B683D"/>
    <w:rsid w:val="003C118D"/>
    <w:rsid w:val="003C400C"/>
    <w:rsid w:val="003C48FF"/>
    <w:rsid w:val="003D0E7F"/>
    <w:rsid w:val="003D17E1"/>
    <w:rsid w:val="003D5049"/>
    <w:rsid w:val="003D59B2"/>
    <w:rsid w:val="003D5ED0"/>
    <w:rsid w:val="003E72F7"/>
    <w:rsid w:val="003F139E"/>
    <w:rsid w:val="003F282B"/>
    <w:rsid w:val="003F29A8"/>
    <w:rsid w:val="003F398D"/>
    <w:rsid w:val="003F5317"/>
    <w:rsid w:val="00400340"/>
    <w:rsid w:val="0040042E"/>
    <w:rsid w:val="00403430"/>
    <w:rsid w:val="00403A89"/>
    <w:rsid w:val="00412FF4"/>
    <w:rsid w:val="0041300C"/>
    <w:rsid w:val="00420682"/>
    <w:rsid w:val="00426989"/>
    <w:rsid w:val="004269AF"/>
    <w:rsid w:val="00433BCD"/>
    <w:rsid w:val="00435452"/>
    <w:rsid w:val="004357FF"/>
    <w:rsid w:val="00436717"/>
    <w:rsid w:val="00437B33"/>
    <w:rsid w:val="00445610"/>
    <w:rsid w:val="00446CCC"/>
    <w:rsid w:val="00452A10"/>
    <w:rsid w:val="0045538C"/>
    <w:rsid w:val="004555DB"/>
    <w:rsid w:val="00455BBA"/>
    <w:rsid w:val="00460BC4"/>
    <w:rsid w:val="004647DB"/>
    <w:rsid w:val="004708F5"/>
    <w:rsid w:val="00471609"/>
    <w:rsid w:val="004771A5"/>
    <w:rsid w:val="00477804"/>
    <w:rsid w:val="0048341A"/>
    <w:rsid w:val="004843E0"/>
    <w:rsid w:val="00484922"/>
    <w:rsid w:val="004866A8"/>
    <w:rsid w:val="00486954"/>
    <w:rsid w:val="00492BFD"/>
    <w:rsid w:val="004953FE"/>
    <w:rsid w:val="00496497"/>
    <w:rsid w:val="0049744C"/>
    <w:rsid w:val="004A2182"/>
    <w:rsid w:val="004A3756"/>
    <w:rsid w:val="004A5884"/>
    <w:rsid w:val="004A5DE6"/>
    <w:rsid w:val="004B12D2"/>
    <w:rsid w:val="004B5EEC"/>
    <w:rsid w:val="004B6ED9"/>
    <w:rsid w:val="004C20B0"/>
    <w:rsid w:val="004C2DFD"/>
    <w:rsid w:val="004C67EE"/>
    <w:rsid w:val="004D3CFC"/>
    <w:rsid w:val="004D3D4F"/>
    <w:rsid w:val="004D6DAE"/>
    <w:rsid w:val="004D74A9"/>
    <w:rsid w:val="004E03F1"/>
    <w:rsid w:val="004E0701"/>
    <w:rsid w:val="004E0CFF"/>
    <w:rsid w:val="004E1C0F"/>
    <w:rsid w:val="004E48D1"/>
    <w:rsid w:val="004E62D6"/>
    <w:rsid w:val="004E7290"/>
    <w:rsid w:val="004E7E53"/>
    <w:rsid w:val="004F446C"/>
    <w:rsid w:val="004F447A"/>
    <w:rsid w:val="004F536D"/>
    <w:rsid w:val="004F7030"/>
    <w:rsid w:val="004F7C46"/>
    <w:rsid w:val="0050203D"/>
    <w:rsid w:val="005061B5"/>
    <w:rsid w:val="005110B5"/>
    <w:rsid w:val="00513E1E"/>
    <w:rsid w:val="00513F13"/>
    <w:rsid w:val="0051568A"/>
    <w:rsid w:val="005201B5"/>
    <w:rsid w:val="0052203F"/>
    <w:rsid w:val="00522FFB"/>
    <w:rsid w:val="00525EC9"/>
    <w:rsid w:val="0052693D"/>
    <w:rsid w:val="00531970"/>
    <w:rsid w:val="00531A97"/>
    <w:rsid w:val="00533AC7"/>
    <w:rsid w:val="00536F06"/>
    <w:rsid w:val="00542102"/>
    <w:rsid w:val="0054435D"/>
    <w:rsid w:val="0054741F"/>
    <w:rsid w:val="00550FA3"/>
    <w:rsid w:val="00552AF2"/>
    <w:rsid w:val="00554AFD"/>
    <w:rsid w:val="00554CC5"/>
    <w:rsid w:val="0055575B"/>
    <w:rsid w:val="00556AD2"/>
    <w:rsid w:val="0055707F"/>
    <w:rsid w:val="00560AB1"/>
    <w:rsid w:val="005619E8"/>
    <w:rsid w:val="005661F9"/>
    <w:rsid w:val="0057022D"/>
    <w:rsid w:val="00570DA2"/>
    <w:rsid w:val="005726F2"/>
    <w:rsid w:val="00573EE3"/>
    <w:rsid w:val="0057485A"/>
    <w:rsid w:val="00575ADC"/>
    <w:rsid w:val="005767F6"/>
    <w:rsid w:val="00581092"/>
    <w:rsid w:val="00584083"/>
    <w:rsid w:val="005841D1"/>
    <w:rsid w:val="005908D6"/>
    <w:rsid w:val="00591503"/>
    <w:rsid w:val="00591A3B"/>
    <w:rsid w:val="0059248B"/>
    <w:rsid w:val="0059341A"/>
    <w:rsid w:val="0059342C"/>
    <w:rsid w:val="00594C1D"/>
    <w:rsid w:val="00596BF3"/>
    <w:rsid w:val="0059702A"/>
    <w:rsid w:val="005A0D53"/>
    <w:rsid w:val="005A380F"/>
    <w:rsid w:val="005A3842"/>
    <w:rsid w:val="005A7379"/>
    <w:rsid w:val="005B079E"/>
    <w:rsid w:val="005B1D69"/>
    <w:rsid w:val="005B5423"/>
    <w:rsid w:val="005B6E3F"/>
    <w:rsid w:val="005C1F7E"/>
    <w:rsid w:val="005D05F3"/>
    <w:rsid w:val="005D15D9"/>
    <w:rsid w:val="005D2603"/>
    <w:rsid w:val="005F00A8"/>
    <w:rsid w:val="005F010E"/>
    <w:rsid w:val="005F183C"/>
    <w:rsid w:val="00600E61"/>
    <w:rsid w:val="00602136"/>
    <w:rsid w:val="00602362"/>
    <w:rsid w:val="0060473F"/>
    <w:rsid w:val="0060535D"/>
    <w:rsid w:val="006066FA"/>
    <w:rsid w:val="00611181"/>
    <w:rsid w:val="0061141E"/>
    <w:rsid w:val="00612406"/>
    <w:rsid w:val="00614273"/>
    <w:rsid w:val="0062077A"/>
    <w:rsid w:val="00621A17"/>
    <w:rsid w:val="00623F4C"/>
    <w:rsid w:val="00624857"/>
    <w:rsid w:val="0062490A"/>
    <w:rsid w:val="006312E7"/>
    <w:rsid w:val="0063535A"/>
    <w:rsid w:val="00636745"/>
    <w:rsid w:val="006409CD"/>
    <w:rsid w:val="006465EF"/>
    <w:rsid w:val="00646924"/>
    <w:rsid w:val="00647466"/>
    <w:rsid w:val="0065057A"/>
    <w:rsid w:val="00650FDD"/>
    <w:rsid w:val="00651D0E"/>
    <w:rsid w:val="00654305"/>
    <w:rsid w:val="0066141E"/>
    <w:rsid w:val="00663243"/>
    <w:rsid w:val="006661CE"/>
    <w:rsid w:val="00670AA2"/>
    <w:rsid w:val="0067406E"/>
    <w:rsid w:val="00677E6C"/>
    <w:rsid w:val="00677F25"/>
    <w:rsid w:val="00683998"/>
    <w:rsid w:val="00683C22"/>
    <w:rsid w:val="0068478A"/>
    <w:rsid w:val="00693B26"/>
    <w:rsid w:val="00694869"/>
    <w:rsid w:val="00694C3A"/>
    <w:rsid w:val="00696D19"/>
    <w:rsid w:val="006A1297"/>
    <w:rsid w:val="006A2688"/>
    <w:rsid w:val="006B02FE"/>
    <w:rsid w:val="006B3074"/>
    <w:rsid w:val="006B3952"/>
    <w:rsid w:val="006B54A6"/>
    <w:rsid w:val="006C0490"/>
    <w:rsid w:val="006C2C78"/>
    <w:rsid w:val="006C3818"/>
    <w:rsid w:val="006C54E5"/>
    <w:rsid w:val="006C5C56"/>
    <w:rsid w:val="006C6D22"/>
    <w:rsid w:val="006C7476"/>
    <w:rsid w:val="006D41C9"/>
    <w:rsid w:val="006D7505"/>
    <w:rsid w:val="006F4D55"/>
    <w:rsid w:val="006F5BF4"/>
    <w:rsid w:val="006F5C30"/>
    <w:rsid w:val="006F5FC1"/>
    <w:rsid w:val="007004D5"/>
    <w:rsid w:val="00702807"/>
    <w:rsid w:val="007031E5"/>
    <w:rsid w:val="00703E15"/>
    <w:rsid w:val="007042FA"/>
    <w:rsid w:val="00705BA3"/>
    <w:rsid w:val="00706252"/>
    <w:rsid w:val="00707B70"/>
    <w:rsid w:val="0071247D"/>
    <w:rsid w:val="00712886"/>
    <w:rsid w:val="007140D9"/>
    <w:rsid w:val="007165B5"/>
    <w:rsid w:val="007217C2"/>
    <w:rsid w:val="00722DC5"/>
    <w:rsid w:val="007243F1"/>
    <w:rsid w:val="00726525"/>
    <w:rsid w:val="0073064D"/>
    <w:rsid w:val="00730DF9"/>
    <w:rsid w:val="0073160B"/>
    <w:rsid w:val="00733169"/>
    <w:rsid w:val="00736DC8"/>
    <w:rsid w:val="0074016F"/>
    <w:rsid w:val="007403CF"/>
    <w:rsid w:val="00740D48"/>
    <w:rsid w:val="00742442"/>
    <w:rsid w:val="0074390C"/>
    <w:rsid w:val="0074460B"/>
    <w:rsid w:val="00750246"/>
    <w:rsid w:val="00750AED"/>
    <w:rsid w:val="00750BE2"/>
    <w:rsid w:val="00755BCF"/>
    <w:rsid w:val="00755E27"/>
    <w:rsid w:val="00756AFD"/>
    <w:rsid w:val="00760420"/>
    <w:rsid w:val="0076056B"/>
    <w:rsid w:val="007654B3"/>
    <w:rsid w:val="00767C6C"/>
    <w:rsid w:val="00770CEF"/>
    <w:rsid w:val="00770FAD"/>
    <w:rsid w:val="00772C10"/>
    <w:rsid w:val="00774741"/>
    <w:rsid w:val="007748A2"/>
    <w:rsid w:val="007749AC"/>
    <w:rsid w:val="00775308"/>
    <w:rsid w:val="00781B37"/>
    <w:rsid w:val="00781CCC"/>
    <w:rsid w:val="0078321A"/>
    <w:rsid w:val="00783B0B"/>
    <w:rsid w:val="00785EEE"/>
    <w:rsid w:val="0078794C"/>
    <w:rsid w:val="007912DB"/>
    <w:rsid w:val="0079144F"/>
    <w:rsid w:val="007934D0"/>
    <w:rsid w:val="007A1622"/>
    <w:rsid w:val="007A2A36"/>
    <w:rsid w:val="007A2E0E"/>
    <w:rsid w:val="007A460E"/>
    <w:rsid w:val="007B1662"/>
    <w:rsid w:val="007B1FC4"/>
    <w:rsid w:val="007B4156"/>
    <w:rsid w:val="007C083E"/>
    <w:rsid w:val="007C61F3"/>
    <w:rsid w:val="007D0D92"/>
    <w:rsid w:val="007D4C47"/>
    <w:rsid w:val="007D6440"/>
    <w:rsid w:val="007D742E"/>
    <w:rsid w:val="007D76F7"/>
    <w:rsid w:val="007E0959"/>
    <w:rsid w:val="007E199D"/>
    <w:rsid w:val="007E2515"/>
    <w:rsid w:val="007E47F1"/>
    <w:rsid w:val="007E4902"/>
    <w:rsid w:val="007E62A2"/>
    <w:rsid w:val="007E6D9E"/>
    <w:rsid w:val="007F2AAA"/>
    <w:rsid w:val="007F3B8B"/>
    <w:rsid w:val="007F46B2"/>
    <w:rsid w:val="007F5841"/>
    <w:rsid w:val="00801790"/>
    <w:rsid w:val="00801FB5"/>
    <w:rsid w:val="008030D2"/>
    <w:rsid w:val="00811138"/>
    <w:rsid w:val="00811AEA"/>
    <w:rsid w:val="0081405B"/>
    <w:rsid w:val="0081489E"/>
    <w:rsid w:val="00817643"/>
    <w:rsid w:val="008204F8"/>
    <w:rsid w:val="00820E26"/>
    <w:rsid w:val="00824399"/>
    <w:rsid w:val="008263CD"/>
    <w:rsid w:val="00827374"/>
    <w:rsid w:val="0083165F"/>
    <w:rsid w:val="00836200"/>
    <w:rsid w:val="008372DF"/>
    <w:rsid w:val="00837EAD"/>
    <w:rsid w:val="00840462"/>
    <w:rsid w:val="008420C3"/>
    <w:rsid w:val="00842849"/>
    <w:rsid w:val="008535CB"/>
    <w:rsid w:val="0085472C"/>
    <w:rsid w:val="00857D03"/>
    <w:rsid w:val="008620E4"/>
    <w:rsid w:val="00862D12"/>
    <w:rsid w:val="008635A9"/>
    <w:rsid w:val="0086360A"/>
    <w:rsid w:val="00863E39"/>
    <w:rsid w:val="0087208B"/>
    <w:rsid w:val="008720AB"/>
    <w:rsid w:val="0087264B"/>
    <w:rsid w:val="0087468B"/>
    <w:rsid w:val="008814EA"/>
    <w:rsid w:val="0088367C"/>
    <w:rsid w:val="00883D53"/>
    <w:rsid w:val="008849E7"/>
    <w:rsid w:val="0088796B"/>
    <w:rsid w:val="00887E61"/>
    <w:rsid w:val="008914C1"/>
    <w:rsid w:val="00892C77"/>
    <w:rsid w:val="00896644"/>
    <w:rsid w:val="0089718C"/>
    <w:rsid w:val="0089762F"/>
    <w:rsid w:val="008A0308"/>
    <w:rsid w:val="008A1646"/>
    <w:rsid w:val="008A38AE"/>
    <w:rsid w:val="008A3C31"/>
    <w:rsid w:val="008A48E5"/>
    <w:rsid w:val="008B2E33"/>
    <w:rsid w:val="008B3FAE"/>
    <w:rsid w:val="008B5DAE"/>
    <w:rsid w:val="008C15C7"/>
    <w:rsid w:val="008C1C92"/>
    <w:rsid w:val="008C3427"/>
    <w:rsid w:val="008D12D7"/>
    <w:rsid w:val="008D3FB7"/>
    <w:rsid w:val="008D4F14"/>
    <w:rsid w:val="008E125A"/>
    <w:rsid w:val="008E7793"/>
    <w:rsid w:val="008E7C0A"/>
    <w:rsid w:val="008F2010"/>
    <w:rsid w:val="008F56E1"/>
    <w:rsid w:val="00900D7B"/>
    <w:rsid w:val="00903DE7"/>
    <w:rsid w:val="00904604"/>
    <w:rsid w:val="0090583C"/>
    <w:rsid w:val="009059DE"/>
    <w:rsid w:val="00910064"/>
    <w:rsid w:val="0091014E"/>
    <w:rsid w:val="009104DF"/>
    <w:rsid w:val="00913B11"/>
    <w:rsid w:val="009244D4"/>
    <w:rsid w:val="00925F09"/>
    <w:rsid w:val="00934914"/>
    <w:rsid w:val="009363AF"/>
    <w:rsid w:val="009438AE"/>
    <w:rsid w:val="00944D6B"/>
    <w:rsid w:val="00954FD3"/>
    <w:rsid w:val="00957A39"/>
    <w:rsid w:val="00957B5F"/>
    <w:rsid w:val="0096096B"/>
    <w:rsid w:val="00964128"/>
    <w:rsid w:val="0096575A"/>
    <w:rsid w:val="00970D95"/>
    <w:rsid w:val="00971A02"/>
    <w:rsid w:val="00974717"/>
    <w:rsid w:val="00976A3C"/>
    <w:rsid w:val="00976B1C"/>
    <w:rsid w:val="00983F4A"/>
    <w:rsid w:val="00986C41"/>
    <w:rsid w:val="009874B3"/>
    <w:rsid w:val="00990E72"/>
    <w:rsid w:val="00991D86"/>
    <w:rsid w:val="00993777"/>
    <w:rsid w:val="00996306"/>
    <w:rsid w:val="0099741A"/>
    <w:rsid w:val="009A2331"/>
    <w:rsid w:val="009A4870"/>
    <w:rsid w:val="009A6F98"/>
    <w:rsid w:val="009A789B"/>
    <w:rsid w:val="009B1183"/>
    <w:rsid w:val="009B61B1"/>
    <w:rsid w:val="009C0ABA"/>
    <w:rsid w:val="009C12D6"/>
    <w:rsid w:val="009C456D"/>
    <w:rsid w:val="009C52A4"/>
    <w:rsid w:val="009D36E7"/>
    <w:rsid w:val="009E259E"/>
    <w:rsid w:val="00A01F1A"/>
    <w:rsid w:val="00A022FB"/>
    <w:rsid w:val="00A06D12"/>
    <w:rsid w:val="00A10B5D"/>
    <w:rsid w:val="00A159CC"/>
    <w:rsid w:val="00A15DE9"/>
    <w:rsid w:val="00A17BC3"/>
    <w:rsid w:val="00A23827"/>
    <w:rsid w:val="00A27C1F"/>
    <w:rsid w:val="00A32598"/>
    <w:rsid w:val="00A3335C"/>
    <w:rsid w:val="00A344B5"/>
    <w:rsid w:val="00A34D9D"/>
    <w:rsid w:val="00A35A3F"/>
    <w:rsid w:val="00A36786"/>
    <w:rsid w:val="00A40685"/>
    <w:rsid w:val="00A41CE5"/>
    <w:rsid w:val="00A431DD"/>
    <w:rsid w:val="00A44A71"/>
    <w:rsid w:val="00A510CF"/>
    <w:rsid w:val="00A528C3"/>
    <w:rsid w:val="00A5415E"/>
    <w:rsid w:val="00A561B4"/>
    <w:rsid w:val="00A645A6"/>
    <w:rsid w:val="00A7382D"/>
    <w:rsid w:val="00A75385"/>
    <w:rsid w:val="00A759FB"/>
    <w:rsid w:val="00A7761C"/>
    <w:rsid w:val="00A97B73"/>
    <w:rsid w:val="00AA0D1D"/>
    <w:rsid w:val="00AA1E07"/>
    <w:rsid w:val="00AA1EA9"/>
    <w:rsid w:val="00AA32E0"/>
    <w:rsid w:val="00AA5367"/>
    <w:rsid w:val="00AA545E"/>
    <w:rsid w:val="00AA7433"/>
    <w:rsid w:val="00AB0AA8"/>
    <w:rsid w:val="00AB149D"/>
    <w:rsid w:val="00AB18EF"/>
    <w:rsid w:val="00AB555A"/>
    <w:rsid w:val="00AC1C45"/>
    <w:rsid w:val="00AC2686"/>
    <w:rsid w:val="00AC305B"/>
    <w:rsid w:val="00AD1072"/>
    <w:rsid w:val="00AD2AD0"/>
    <w:rsid w:val="00AD3D4C"/>
    <w:rsid w:val="00AD4C52"/>
    <w:rsid w:val="00AE5B81"/>
    <w:rsid w:val="00AE5CA3"/>
    <w:rsid w:val="00AF0CE9"/>
    <w:rsid w:val="00AF1C1D"/>
    <w:rsid w:val="00AF2BC1"/>
    <w:rsid w:val="00AF4010"/>
    <w:rsid w:val="00AF5D8E"/>
    <w:rsid w:val="00AF79BB"/>
    <w:rsid w:val="00AF7B78"/>
    <w:rsid w:val="00B03A16"/>
    <w:rsid w:val="00B05FAF"/>
    <w:rsid w:val="00B07961"/>
    <w:rsid w:val="00B07A20"/>
    <w:rsid w:val="00B12642"/>
    <w:rsid w:val="00B131E7"/>
    <w:rsid w:val="00B14BBE"/>
    <w:rsid w:val="00B17529"/>
    <w:rsid w:val="00B22027"/>
    <w:rsid w:val="00B238ED"/>
    <w:rsid w:val="00B26672"/>
    <w:rsid w:val="00B2797E"/>
    <w:rsid w:val="00B3200A"/>
    <w:rsid w:val="00B46B49"/>
    <w:rsid w:val="00B51B87"/>
    <w:rsid w:val="00B51F9D"/>
    <w:rsid w:val="00B54D96"/>
    <w:rsid w:val="00B6099E"/>
    <w:rsid w:val="00B61804"/>
    <w:rsid w:val="00B6427E"/>
    <w:rsid w:val="00B67778"/>
    <w:rsid w:val="00B67E49"/>
    <w:rsid w:val="00B71AC8"/>
    <w:rsid w:val="00B73DB2"/>
    <w:rsid w:val="00B7489A"/>
    <w:rsid w:val="00B74D0C"/>
    <w:rsid w:val="00B8315C"/>
    <w:rsid w:val="00B85BF4"/>
    <w:rsid w:val="00B8668D"/>
    <w:rsid w:val="00B93E76"/>
    <w:rsid w:val="00B958E5"/>
    <w:rsid w:val="00B9783F"/>
    <w:rsid w:val="00BA1706"/>
    <w:rsid w:val="00BA1CAD"/>
    <w:rsid w:val="00BA1E62"/>
    <w:rsid w:val="00BA5571"/>
    <w:rsid w:val="00BA57F5"/>
    <w:rsid w:val="00BA7E1D"/>
    <w:rsid w:val="00BB15C8"/>
    <w:rsid w:val="00BB1755"/>
    <w:rsid w:val="00BB6F57"/>
    <w:rsid w:val="00BC0B3B"/>
    <w:rsid w:val="00BC3CE7"/>
    <w:rsid w:val="00BD4611"/>
    <w:rsid w:val="00BD625D"/>
    <w:rsid w:val="00BE2D48"/>
    <w:rsid w:val="00BE4BA2"/>
    <w:rsid w:val="00BE5023"/>
    <w:rsid w:val="00BF2791"/>
    <w:rsid w:val="00C1023D"/>
    <w:rsid w:val="00C10624"/>
    <w:rsid w:val="00C1082F"/>
    <w:rsid w:val="00C17A6D"/>
    <w:rsid w:val="00C238A5"/>
    <w:rsid w:val="00C23E2C"/>
    <w:rsid w:val="00C2402D"/>
    <w:rsid w:val="00C26B7F"/>
    <w:rsid w:val="00C31328"/>
    <w:rsid w:val="00C3153B"/>
    <w:rsid w:val="00C33585"/>
    <w:rsid w:val="00C40B28"/>
    <w:rsid w:val="00C4191B"/>
    <w:rsid w:val="00C446ED"/>
    <w:rsid w:val="00C449B5"/>
    <w:rsid w:val="00C46078"/>
    <w:rsid w:val="00C5239D"/>
    <w:rsid w:val="00C53EBB"/>
    <w:rsid w:val="00C56979"/>
    <w:rsid w:val="00C60CAD"/>
    <w:rsid w:val="00C60E24"/>
    <w:rsid w:val="00C62CCF"/>
    <w:rsid w:val="00C64341"/>
    <w:rsid w:val="00C6446D"/>
    <w:rsid w:val="00C655D9"/>
    <w:rsid w:val="00C6573D"/>
    <w:rsid w:val="00C70AA0"/>
    <w:rsid w:val="00C70D94"/>
    <w:rsid w:val="00C71734"/>
    <w:rsid w:val="00C74B4C"/>
    <w:rsid w:val="00C74DD9"/>
    <w:rsid w:val="00C751AA"/>
    <w:rsid w:val="00C81143"/>
    <w:rsid w:val="00C8373E"/>
    <w:rsid w:val="00C85BBF"/>
    <w:rsid w:val="00C86CD9"/>
    <w:rsid w:val="00C90FD7"/>
    <w:rsid w:val="00C925DC"/>
    <w:rsid w:val="00C92C5B"/>
    <w:rsid w:val="00C9312F"/>
    <w:rsid w:val="00CA0828"/>
    <w:rsid w:val="00CA1CF1"/>
    <w:rsid w:val="00CB0B77"/>
    <w:rsid w:val="00CB13A2"/>
    <w:rsid w:val="00CB1B8E"/>
    <w:rsid w:val="00CB7990"/>
    <w:rsid w:val="00CC15A1"/>
    <w:rsid w:val="00CC2D43"/>
    <w:rsid w:val="00CC63B6"/>
    <w:rsid w:val="00CC7027"/>
    <w:rsid w:val="00CC7CA2"/>
    <w:rsid w:val="00CD2BD6"/>
    <w:rsid w:val="00CD431A"/>
    <w:rsid w:val="00CD5705"/>
    <w:rsid w:val="00CE07DB"/>
    <w:rsid w:val="00CE1D81"/>
    <w:rsid w:val="00CE2478"/>
    <w:rsid w:val="00CE42A7"/>
    <w:rsid w:val="00CE4E9C"/>
    <w:rsid w:val="00CE5517"/>
    <w:rsid w:val="00CF13E1"/>
    <w:rsid w:val="00CF5B26"/>
    <w:rsid w:val="00CF6D0A"/>
    <w:rsid w:val="00CF79C8"/>
    <w:rsid w:val="00D06DAA"/>
    <w:rsid w:val="00D127E2"/>
    <w:rsid w:val="00D1643E"/>
    <w:rsid w:val="00D23C4B"/>
    <w:rsid w:val="00D24B56"/>
    <w:rsid w:val="00D26FEB"/>
    <w:rsid w:val="00D3110D"/>
    <w:rsid w:val="00D3649D"/>
    <w:rsid w:val="00D4036B"/>
    <w:rsid w:val="00D41916"/>
    <w:rsid w:val="00D45AC2"/>
    <w:rsid w:val="00D45F60"/>
    <w:rsid w:val="00D50CA0"/>
    <w:rsid w:val="00D51772"/>
    <w:rsid w:val="00D521BF"/>
    <w:rsid w:val="00D52992"/>
    <w:rsid w:val="00D555FA"/>
    <w:rsid w:val="00D560BF"/>
    <w:rsid w:val="00D564D9"/>
    <w:rsid w:val="00D5660B"/>
    <w:rsid w:val="00D56C48"/>
    <w:rsid w:val="00D60C6B"/>
    <w:rsid w:val="00D749E5"/>
    <w:rsid w:val="00D773E1"/>
    <w:rsid w:val="00D77F1A"/>
    <w:rsid w:val="00D87B52"/>
    <w:rsid w:val="00D922DA"/>
    <w:rsid w:val="00D96C4B"/>
    <w:rsid w:val="00DA2B84"/>
    <w:rsid w:val="00DA33D4"/>
    <w:rsid w:val="00DA56D4"/>
    <w:rsid w:val="00DA72AD"/>
    <w:rsid w:val="00DB06AA"/>
    <w:rsid w:val="00DB20E6"/>
    <w:rsid w:val="00DB5847"/>
    <w:rsid w:val="00DB63F8"/>
    <w:rsid w:val="00DC03DB"/>
    <w:rsid w:val="00DC0BDC"/>
    <w:rsid w:val="00DC1137"/>
    <w:rsid w:val="00DC34E0"/>
    <w:rsid w:val="00DC787E"/>
    <w:rsid w:val="00DD1F03"/>
    <w:rsid w:val="00DD3860"/>
    <w:rsid w:val="00DD492E"/>
    <w:rsid w:val="00DD596F"/>
    <w:rsid w:val="00DD7DEF"/>
    <w:rsid w:val="00DE163B"/>
    <w:rsid w:val="00DE573A"/>
    <w:rsid w:val="00DE7915"/>
    <w:rsid w:val="00DE793A"/>
    <w:rsid w:val="00DF07E6"/>
    <w:rsid w:val="00DF2019"/>
    <w:rsid w:val="00DF295D"/>
    <w:rsid w:val="00DF729A"/>
    <w:rsid w:val="00DF7D66"/>
    <w:rsid w:val="00E02F28"/>
    <w:rsid w:val="00E03BB9"/>
    <w:rsid w:val="00E04303"/>
    <w:rsid w:val="00E07E8C"/>
    <w:rsid w:val="00E137B8"/>
    <w:rsid w:val="00E20095"/>
    <w:rsid w:val="00E208F9"/>
    <w:rsid w:val="00E22DA9"/>
    <w:rsid w:val="00E2352F"/>
    <w:rsid w:val="00E301D0"/>
    <w:rsid w:val="00E30A67"/>
    <w:rsid w:val="00E31171"/>
    <w:rsid w:val="00E32B8C"/>
    <w:rsid w:val="00E33812"/>
    <w:rsid w:val="00E33A62"/>
    <w:rsid w:val="00E370B3"/>
    <w:rsid w:val="00E452DA"/>
    <w:rsid w:val="00E47C1A"/>
    <w:rsid w:val="00E5279C"/>
    <w:rsid w:val="00E54172"/>
    <w:rsid w:val="00E56857"/>
    <w:rsid w:val="00E60B3E"/>
    <w:rsid w:val="00E611BD"/>
    <w:rsid w:val="00E6234F"/>
    <w:rsid w:val="00E64795"/>
    <w:rsid w:val="00E72BC5"/>
    <w:rsid w:val="00E76B9D"/>
    <w:rsid w:val="00E7782A"/>
    <w:rsid w:val="00E82905"/>
    <w:rsid w:val="00E9471E"/>
    <w:rsid w:val="00EB262A"/>
    <w:rsid w:val="00EB39C6"/>
    <w:rsid w:val="00EB48DE"/>
    <w:rsid w:val="00EC47A4"/>
    <w:rsid w:val="00EC55E7"/>
    <w:rsid w:val="00EC57E8"/>
    <w:rsid w:val="00EC5AA5"/>
    <w:rsid w:val="00EC5B31"/>
    <w:rsid w:val="00ED2418"/>
    <w:rsid w:val="00ED3463"/>
    <w:rsid w:val="00ED7107"/>
    <w:rsid w:val="00EE4D4D"/>
    <w:rsid w:val="00EE58BB"/>
    <w:rsid w:val="00EE5C98"/>
    <w:rsid w:val="00EE61F5"/>
    <w:rsid w:val="00EE7E5D"/>
    <w:rsid w:val="00EF4CCD"/>
    <w:rsid w:val="00EF7E55"/>
    <w:rsid w:val="00F03310"/>
    <w:rsid w:val="00F03AA2"/>
    <w:rsid w:val="00F03F03"/>
    <w:rsid w:val="00F05632"/>
    <w:rsid w:val="00F06895"/>
    <w:rsid w:val="00F07F7F"/>
    <w:rsid w:val="00F234B6"/>
    <w:rsid w:val="00F23E38"/>
    <w:rsid w:val="00F25E61"/>
    <w:rsid w:val="00F30C68"/>
    <w:rsid w:val="00F312F4"/>
    <w:rsid w:val="00F320F6"/>
    <w:rsid w:val="00F321FF"/>
    <w:rsid w:val="00F32C43"/>
    <w:rsid w:val="00F43A6A"/>
    <w:rsid w:val="00F44A01"/>
    <w:rsid w:val="00F470FA"/>
    <w:rsid w:val="00F50416"/>
    <w:rsid w:val="00F52125"/>
    <w:rsid w:val="00F537D2"/>
    <w:rsid w:val="00F60A58"/>
    <w:rsid w:val="00F6225D"/>
    <w:rsid w:val="00F62A3B"/>
    <w:rsid w:val="00F62A46"/>
    <w:rsid w:val="00F630AC"/>
    <w:rsid w:val="00F7479E"/>
    <w:rsid w:val="00F75C28"/>
    <w:rsid w:val="00F814BA"/>
    <w:rsid w:val="00F81749"/>
    <w:rsid w:val="00F8279D"/>
    <w:rsid w:val="00F84F9C"/>
    <w:rsid w:val="00F86F45"/>
    <w:rsid w:val="00F90923"/>
    <w:rsid w:val="00F92C2B"/>
    <w:rsid w:val="00F92EFE"/>
    <w:rsid w:val="00FA02A3"/>
    <w:rsid w:val="00FA0571"/>
    <w:rsid w:val="00FA065B"/>
    <w:rsid w:val="00FA0DCC"/>
    <w:rsid w:val="00FA3199"/>
    <w:rsid w:val="00FA3C0E"/>
    <w:rsid w:val="00FA52FE"/>
    <w:rsid w:val="00FA6AD5"/>
    <w:rsid w:val="00FB1AE5"/>
    <w:rsid w:val="00FB2FEC"/>
    <w:rsid w:val="00FB4F69"/>
    <w:rsid w:val="00FB5CED"/>
    <w:rsid w:val="00FB742A"/>
    <w:rsid w:val="00FC1BB4"/>
    <w:rsid w:val="00FC2ABE"/>
    <w:rsid w:val="00FC3617"/>
    <w:rsid w:val="00FC484A"/>
    <w:rsid w:val="00FC58BA"/>
    <w:rsid w:val="00FC631E"/>
    <w:rsid w:val="00FC6BDD"/>
    <w:rsid w:val="00FD3EA6"/>
    <w:rsid w:val="00FD4130"/>
    <w:rsid w:val="00FD5EC9"/>
    <w:rsid w:val="00FD6B1B"/>
    <w:rsid w:val="00FE32E6"/>
    <w:rsid w:val="00FE5D83"/>
    <w:rsid w:val="00FF069A"/>
    <w:rsid w:val="00FF0877"/>
    <w:rsid w:val="00FF1103"/>
    <w:rsid w:val="00FF2798"/>
    <w:rsid w:val="00FF6B1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B35CFA9E27743A18492BA91B9D425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Nr_x002e__x0020_akti>
    <Data_x0020_e_x0020_Krijimit xmlns="0e656187-b300-4fb0-8bf4-3a50f872073c">2026-08-05T08:12:25Z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2026-08-04T00:00:00Z</Date_x0020_protokolli>
    <Titulli xmlns="0e656187-b300-4fb0-8bf4-3a50f872073c">Për statutin e shoqërisë evropiane (SE)</Titulli>
    <Modifikuesi xmlns="0e656187-b300-4fb0-8bf4-3a50f872073c">Fjora.Cahani</Modifikuesi>
    <Nr_x002e__x0020_prot_x0020_QBZ xmlns="0e656187-b300-4fb0-8bf4-3a50f872073c">1806/1</Nr_x002e__x0020_prot_x0020_QBZ>
    <Data_x0020_e_x0020_Modifikimit xmlns="0e656187-b300-4fb0-8bf4-3a50f872073c">2026-08-05T12:08:37Z</Data_x0020_e_x0020_Modifikimit>
    <Dekretuar xmlns="0e656187-b300-4fb0-8bf4-3a50f872073c">false</Dekretuar>
    <Data xmlns="0e656187-b300-4fb0-8bf4-3a50f872073c">2026-07-23T00:00:00Z</Data>
    <Nr_x002e__x0020_protokolli_x0020_i_x0020_aktit xmlns="0e656187-b300-4fb0-8bf4-3a50f872073c">3514/4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B35CFA9E27743A18492BA91B9D425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8F16B-FE5C-4106-BDF4-0A11EE3460EF}">
  <ds:schemaRefs>
    <ds:schemaRef ds:uri="http://schemas.microsoft.com/sharepoint/v3/contenttype/forms"/>
  </ds:schemaRefs>
</ds:datastoreItem>
</file>

<file path=customXml/itemProps2.xml><?xml version="1.0" encoding="utf-8"?>
<ds:datastoreItem xmlns:ds="http://schemas.openxmlformats.org/officeDocument/2006/customXml" ds:itemID="{45341546-3712-48CD-B1FF-7E6DCA133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2F0B5AA-D218-499D-9819-20CA2C84412A}">
  <ds:schemaRefs>
    <ds:schemaRef ds:uri="0e656187-b300-4fb0-8bf4-3a50f872073c"/>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E0DCDD71-6D5A-40BC-B2DF-B26C3F7BCB6F}">
  <ds:schemaRefs>
    <ds:schemaRef ds:uri="http://schemas.microsoft.com/sharepoint/v3/contenttype/forms"/>
  </ds:schemaRefs>
</ds:datastoreItem>
</file>

<file path=customXml/itemProps5.xml><?xml version="1.0" encoding="utf-8"?>
<ds:datastoreItem xmlns:ds="http://schemas.openxmlformats.org/officeDocument/2006/customXml" ds:itemID="{48E8F95E-A2A5-4B0B-BA3E-C4DA62104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6952E03-5D63-43A8-9590-F6CF0B914448}">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28</TotalTime>
  <Pages>17</Pages>
  <Words>8299</Words>
  <Characters>47305</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Për statutin e shoqërisë evropiane (SE)</vt:lpstr>
    </vt:vector>
  </TitlesOfParts>
  <Company/>
  <LinksUpToDate>false</LinksUpToDate>
  <CharactersWithSpaces>55494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statutin e shoqërisë evropiane (SE)</dc:title>
  <dc:creator>gazmend.hanku</dc:creator>
  <cp:lastModifiedBy>Amarilda Muja</cp:lastModifiedBy>
  <cp:revision>14</cp:revision>
  <cp:lastPrinted>2026-07-25T07:12:00Z</cp:lastPrinted>
  <dcterms:created xsi:type="dcterms:W3CDTF">2026-08-04T12:25:00Z</dcterms:created>
  <dcterms:modified xsi:type="dcterms:W3CDTF">2026-08-06T08:06:00Z</dcterms:modified>
</cp:coreProperties>
</file>