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2EACA3" w14:textId="014B2FCD" w:rsidR="00420682" w:rsidRPr="007C1501" w:rsidRDefault="00420682" w:rsidP="003456F4">
      <w:pPr>
        <w:spacing w:after="0" w:line="240" w:lineRule="auto"/>
        <w:ind w:firstLine="284"/>
        <w:jc w:val="center"/>
        <w:rPr>
          <w:rFonts w:ascii="Garamond" w:hAnsi="Garamond" w:cs="Times New Roman"/>
          <w:b/>
          <w:color w:val="000000" w:themeColor="text1"/>
          <w:sz w:val="24"/>
          <w:szCs w:val="24"/>
        </w:rPr>
      </w:pPr>
      <w:r w:rsidRPr="007C1501">
        <w:rPr>
          <w:rFonts w:ascii="Garamond" w:hAnsi="Garamond" w:cs="Times New Roman"/>
          <w:b/>
          <w:color w:val="000000" w:themeColor="text1"/>
          <w:sz w:val="24"/>
          <w:szCs w:val="24"/>
        </w:rPr>
        <w:t>LIGJ</w:t>
      </w:r>
    </w:p>
    <w:p w14:paraId="0A11B03B" w14:textId="4DF3D9EA" w:rsidR="00ED3463" w:rsidRPr="007C1501" w:rsidRDefault="002009A1" w:rsidP="003456F4">
      <w:pPr>
        <w:spacing w:after="0" w:line="240" w:lineRule="auto"/>
        <w:ind w:firstLine="284"/>
        <w:jc w:val="center"/>
        <w:rPr>
          <w:rFonts w:ascii="Garamond" w:hAnsi="Garamond" w:cs="Times New Roman"/>
          <w:b/>
          <w:color w:val="000000" w:themeColor="text1"/>
          <w:sz w:val="24"/>
          <w:szCs w:val="24"/>
        </w:rPr>
      </w:pPr>
      <w:r w:rsidRPr="007C1501">
        <w:rPr>
          <w:rFonts w:ascii="Garamond" w:hAnsi="Garamond" w:cs="Times New Roman"/>
          <w:b/>
          <w:color w:val="000000" w:themeColor="text1"/>
          <w:sz w:val="24"/>
          <w:szCs w:val="24"/>
        </w:rPr>
        <w:t>Nr.</w:t>
      </w:r>
      <w:r w:rsidR="00F62A46" w:rsidRPr="007C1501">
        <w:rPr>
          <w:rFonts w:ascii="Garamond" w:hAnsi="Garamond" w:cs="Times New Roman"/>
          <w:b/>
          <w:color w:val="000000" w:themeColor="text1"/>
          <w:sz w:val="24"/>
          <w:szCs w:val="24"/>
        </w:rPr>
        <w:t xml:space="preserve"> </w:t>
      </w:r>
      <w:r w:rsidR="00015405" w:rsidRPr="007C1501">
        <w:rPr>
          <w:rFonts w:ascii="Garamond" w:hAnsi="Garamond" w:cs="Times New Roman"/>
          <w:b/>
          <w:color w:val="000000" w:themeColor="text1"/>
          <w:sz w:val="24"/>
          <w:szCs w:val="24"/>
        </w:rPr>
        <w:t>87</w:t>
      </w:r>
      <w:r w:rsidR="007748A2" w:rsidRPr="007C1501">
        <w:rPr>
          <w:rFonts w:ascii="Garamond" w:hAnsi="Garamond" w:cs="Times New Roman"/>
          <w:b/>
          <w:color w:val="000000" w:themeColor="text1"/>
          <w:sz w:val="24"/>
          <w:szCs w:val="24"/>
        </w:rPr>
        <w:t>/202</w:t>
      </w:r>
      <w:r w:rsidR="00B958E5" w:rsidRPr="007C1501">
        <w:rPr>
          <w:rFonts w:ascii="Garamond" w:hAnsi="Garamond" w:cs="Times New Roman"/>
          <w:b/>
          <w:color w:val="000000" w:themeColor="text1"/>
          <w:sz w:val="24"/>
          <w:szCs w:val="24"/>
        </w:rPr>
        <w:t>6</w:t>
      </w:r>
    </w:p>
    <w:p w14:paraId="31A892EB"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0A069369" w14:textId="7EFDC67A" w:rsidR="00586F05"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PËR</w:t>
      </w:r>
      <w:r w:rsidR="00586F05" w:rsidRPr="007C1501">
        <w:rPr>
          <w:rFonts w:ascii="Garamond" w:hAnsi="Garamond" w:cs="Times New Roman"/>
          <w:b/>
          <w:bCs/>
          <w:color w:val="000000" w:themeColor="text1"/>
          <w:sz w:val="24"/>
          <w:szCs w:val="24"/>
        </w:rPr>
        <w:t xml:space="preserve"> </w:t>
      </w:r>
      <w:r w:rsidRPr="007C1501">
        <w:rPr>
          <w:rFonts w:ascii="Garamond" w:hAnsi="Garamond" w:cs="Times New Roman"/>
          <w:b/>
          <w:bCs/>
          <w:color w:val="000000" w:themeColor="text1"/>
          <w:sz w:val="24"/>
          <w:szCs w:val="24"/>
        </w:rPr>
        <w:t>DISA NDRYSHIME DHE SHTESA NË LIGJIN NR.</w:t>
      </w:r>
      <w:r w:rsidR="007F3D4E" w:rsidRPr="007C1501">
        <w:rPr>
          <w:rFonts w:ascii="Garamond" w:hAnsi="Garamond" w:cs="Times New Roman"/>
          <w:b/>
          <w:bCs/>
          <w:color w:val="000000" w:themeColor="text1"/>
          <w:sz w:val="24"/>
          <w:szCs w:val="24"/>
        </w:rPr>
        <w:t xml:space="preserve"> </w:t>
      </w:r>
      <w:r w:rsidRPr="007C1501">
        <w:rPr>
          <w:rFonts w:ascii="Garamond" w:hAnsi="Garamond" w:cs="Times New Roman"/>
          <w:b/>
          <w:bCs/>
          <w:color w:val="000000" w:themeColor="text1"/>
          <w:sz w:val="24"/>
          <w:szCs w:val="24"/>
        </w:rPr>
        <w:t xml:space="preserve">25/2018 </w:t>
      </w:r>
    </w:p>
    <w:p w14:paraId="7BA2A43F" w14:textId="16AE6064"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“PËR KONTABILITETIN DHE PASQYRAT FINANCIARE”</w:t>
      </w:r>
      <w:r w:rsidR="00586F05" w:rsidRPr="007C1501">
        <w:rPr>
          <w:rStyle w:val="FootnoteReference"/>
          <w:rFonts w:ascii="Garamond" w:hAnsi="Garamond"/>
          <w:b/>
          <w:bCs/>
          <w:color w:val="000000" w:themeColor="text1"/>
          <w:sz w:val="24"/>
          <w:szCs w:val="24"/>
        </w:rPr>
        <w:footnoteReference w:id="2"/>
      </w:r>
    </w:p>
    <w:p w14:paraId="2983FAE7"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14A39F1" w14:textId="77777777" w:rsidR="007449B9"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Në mbështetje të neneve 78 dhe 83, pika 1, të Kushtetutës, me propozimin e Këshillit të Ministrave, </w:t>
      </w:r>
    </w:p>
    <w:p w14:paraId="44C362D5" w14:textId="77777777" w:rsidR="007449B9" w:rsidRPr="007C1501" w:rsidRDefault="007449B9" w:rsidP="003456F4">
      <w:pPr>
        <w:spacing w:after="0" w:line="240" w:lineRule="auto"/>
        <w:ind w:firstLine="284"/>
        <w:jc w:val="both"/>
        <w:rPr>
          <w:rFonts w:ascii="Garamond" w:hAnsi="Garamond" w:cs="Times New Roman"/>
          <w:color w:val="000000" w:themeColor="text1"/>
          <w:sz w:val="24"/>
          <w:szCs w:val="24"/>
        </w:rPr>
      </w:pPr>
    </w:p>
    <w:p w14:paraId="781F929E" w14:textId="45560F94" w:rsidR="007449B9" w:rsidRPr="007C1501" w:rsidRDefault="007449B9"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KUVENDI</w:t>
      </w:r>
    </w:p>
    <w:p w14:paraId="473D26B1" w14:textId="6A8F73D4" w:rsidR="001B0D78" w:rsidRPr="007C1501" w:rsidRDefault="007449B9"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 REPUBLIKËS SË SHQIPËRISË</w:t>
      </w:r>
    </w:p>
    <w:p w14:paraId="3D6C1B5D" w14:textId="77777777" w:rsidR="001B0D78" w:rsidRPr="007C1501" w:rsidRDefault="001B0D78" w:rsidP="003456F4">
      <w:pPr>
        <w:spacing w:after="0" w:line="240" w:lineRule="auto"/>
        <w:ind w:firstLine="284"/>
        <w:rPr>
          <w:rFonts w:ascii="Garamond" w:hAnsi="Garamond" w:cs="Times New Roman"/>
          <w:color w:val="000000" w:themeColor="text1"/>
          <w:sz w:val="24"/>
          <w:szCs w:val="24"/>
        </w:rPr>
      </w:pPr>
    </w:p>
    <w:p w14:paraId="77629D7E" w14:textId="279C842A" w:rsidR="001B0D78" w:rsidRPr="007C1501" w:rsidRDefault="007449B9"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VENDOSI:</w:t>
      </w:r>
    </w:p>
    <w:p w14:paraId="5C2D6577"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549A73C6" w14:textId="7A270F1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ligjin nr.</w:t>
      </w:r>
      <w:r w:rsidR="007449B9"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25/2018</w:t>
      </w:r>
      <w:r w:rsid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“Për kontabilitetin dhe pasqyrat financiare” bëhen ndryshimet dhe shtesat e mëposhtme:</w:t>
      </w:r>
    </w:p>
    <w:p w14:paraId="44586233"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0DBC0E41"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w:t>
      </w:r>
    </w:p>
    <w:p w14:paraId="027B9149"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59813D70" w14:textId="74ACAC5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 ndryshohet si më poshtë:</w:t>
      </w:r>
    </w:p>
    <w:p w14:paraId="78FA2649" w14:textId="77777777" w:rsidR="009F5DE2" w:rsidRPr="007C1501" w:rsidRDefault="009F5DE2" w:rsidP="003456F4">
      <w:pPr>
        <w:spacing w:after="0" w:line="240" w:lineRule="auto"/>
        <w:ind w:firstLine="284"/>
        <w:jc w:val="both"/>
        <w:rPr>
          <w:rFonts w:ascii="Garamond" w:hAnsi="Garamond" w:cs="Times New Roman"/>
          <w:color w:val="000000" w:themeColor="text1"/>
          <w:sz w:val="24"/>
          <w:szCs w:val="24"/>
        </w:rPr>
      </w:pPr>
    </w:p>
    <w:p w14:paraId="4E1EDA10"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w:t>
      </w:r>
    </w:p>
    <w:p w14:paraId="10A089A2" w14:textId="77777777"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Objekti</w:t>
      </w:r>
    </w:p>
    <w:p w14:paraId="79CCBBF4"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E537102" w14:textId="064ED04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Ky ligj përcakton parimet dhe rregullat e përgjithshme për hartimin dhe përbërësit e pasqyrave financiare, mbajtjen e kontabilitetit, përcaktimin e standardeve kontabël të raportimit financiar të zbatueshme, si dhe kërkesat për raportimin e qëndrueshmërisë nga njësitë ekonomike të përcaktuara në këtë ligj.”.</w:t>
      </w:r>
    </w:p>
    <w:p w14:paraId="22232CD3"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A7B5EFD"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w:t>
      </w:r>
    </w:p>
    <w:p w14:paraId="29F7DC90"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26E507DE" w14:textId="20E0636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nenin 3 bëhen ndryshimet dhe shtesat e mëposhtme:</w:t>
      </w:r>
    </w:p>
    <w:p w14:paraId="2C325382" w14:textId="3F6685D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lastRenderedPageBreak/>
        <w:t>1.</w:t>
      </w:r>
      <w:r w:rsidR="00B7530A"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Në pikën 4 fjalët “Standardet Ndërkombëtare të Raportimit Financiar” (SNFR)” zëvendësohen me </w:t>
      </w:r>
      <w:r w:rsidR="00B653A7"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“Standardet kontabël ndërkombëtare të raportimit financiar”.</w:t>
      </w:r>
    </w:p>
    <w:p w14:paraId="0570C0D1" w14:textId="5B2A071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B7530A"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Në pikën 17 fjalët “Monedhë e paraqitjes” zëvendësohen me </w:t>
      </w:r>
      <w:r w:rsidR="00B653A7"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“Monedhë raportuese”.</w:t>
      </w:r>
    </w:p>
    <w:p w14:paraId="4410C9C2" w14:textId="765FB43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w:t>
      </w:r>
      <w:r w:rsidR="00B7530A"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Pas pikës 18 shtohen pikat 19 deri 29 me këtë përmbajtje:</w:t>
      </w:r>
    </w:p>
    <w:p w14:paraId="7CE63981" w14:textId="50922D5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“19.</w:t>
      </w:r>
      <w:r w:rsidR="00B7530A"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“Palë e lidhur” ka të njëjtin kuptim si në standardet kontabël të raportimit financiar, që zbaton njësia ekonomike.</w:t>
      </w:r>
    </w:p>
    <w:p w14:paraId="4EFF857B" w14:textId="6C3B88A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20. “Njësi ekonomike të lidhura” janë dy ose më shumë njësi brenda një grupi.</w:t>
      </w:r>
    </w:p>
    <w:p w14:paraId="026B8AEE" w14:textId="2C9E459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21. “Njësi ekonomike investimi” janë:</w:t>
      </w:r>
    </w:p>
    <w:p w14:paraId="72BD8D32"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njësitë ekonomike, objekti i vetëm i të cilave është investimi i fondeve të tyre në tituj të ndryshëm, pasuri të paluajtshme dhe aktive të tjera, me qëllim të vetëm shpërndarjen e rreziqeve të investimit dhe dhënien e përfitimeve aksionarëve nga rezultatet e menaxhimit të këtyre aktiveve;</w:t>
      </w:r>
    </w:p>
    <w:p w14:paraId="36D17DF6" w14:textId="37B54F9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 njësitë ekonomike pjesëmarrëse në njësitë ekonomike të investimit me kapital fiks, kur objekti i vetëm i tyre është blerja e aksioneve të shlyera plotësisht të emetuara nga njësitë ekonomike të investimit, pa cenuar kufizimet ligjore për blerjen e aksioneve të veta nga shoqëritë aksionare, sipas parashikimeve të legjislacionit në fuqi.</w:t>
      </w:r>
    </w:p>
    <w:p w14:paraId="552C1640" w14:textId="2932D45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22.</w:t>
      </w:r>
      <w:r w:rsidR="00B7530A"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“Standardet e raportimit të qëndrueshmërisë</w:t>
      </w:r>
      <w:r w:rsidR="00EC5E89" w:rsidRPr="007C1501">
        <w:rPr>
          <w:rFonts w:ascii="Garamond" w:hAnsi="Garamond" w:cs="Times New Roman"/>
          <w:color w:val="000000" w:themeColor="text1"/>
          <w:sz w:val="24"/>
          <w:szCs w:val="24"/>
        </w:rPr>
        <w:t xml:space="preserve"> (SRQ)</w:t>
      </w:r>
      <w:r w:rsidRPr="007C1501">
        <w:rPr>
          <w:rFonts w:ascii="Garamond" w:hAnsi="Garamond" w:cs="Times New Roman"/>
          <w:color w:val="000000" w:themeColor="text1"/>
          <w:sz w:val="24"/>
          <w:szCs w:val="24"/>
        </w:rPr>
        <w:t>” janë standardet dhe udhëzimet e raportimit të qëndrueshmërisë, të miratuara nga Komisioni Evropian, të përkthyera në shqip, nën përgjegjësinë e Këshillit Kombëtar të Kontabilitetit, pa ndryshime nga teksti origjinal në gjuhën angleze, të shpallura të detyrueshme për zbatim me urdhër të ministrit përgjegjës për financat.</w:t>
      </w:r>
    </w:p>
    <w:p w14:paraId="1F7EF882" w14:textId="1D84829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23.</w:t>
      </w:r>
      <w:r w:rsidR="00B7530A"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“Standardet vullnetare të raportimit të qëndrueshmërisë</w:t>
      </w:r>
      <w:r w:rsidR="00CA7925" w:rsidRPr="007C1501">
        <w:rPr>
          <w:rFonts w:ascii="Garamond" w:hAnsi="Garamond" w:cs="Times New Roman"/>
          <w:color w:val="000000" w:themeColor="text1"/>
          <w:sz w:val="24"/>
          <w:szCs w:val="24"/>
        </w:rPr>
        <w:t xml:space="preserve"> (SVRQ)</w:t>
      </w:r>
      <w:r w:rsidRPr="007C1501">
        <w:rPr>
          <w:rFonts w:ascii="Garamond" w:hAnsi="Garamond" w:cs="Times New Roman"/>
          <w:color w:val="000000" w:themeColor="text1"/>
          <w:sz w:val="24"/>
          <w:szCs w:val="24"/>
        </w:rPr>
        <w:t>” janë standardet dhe udhëzimet e raportimit të qëndrueshmërisë, të miratuara nga Komisioni Evropian, të destinuara për përdorim vullnetar nga njësitë ekonomike, që nuk i nënshtrohen detyrimit për raportim të qëndrueshmërisë, sipas këtij ligji. Standardet përkthehen zyrtarisht në gjuhën shqipe, nën përgjegjësinë e Këshillit Kombëtar të Kontabilitetit</w:t>
      </w:r>
      <w:r w:rsidR="004F588F"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dhe shpallen për zbatim me urdhër të ministrit përgjegjës për financat.</w:t>
      </w:r>
    </w:p>
    <w:p w14:paraId="401E4EE7" w14:textId="4F903A9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24.</w:t>
      </w:r>
      <w:r w:rsidR="00BC6E34"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“Çështje të qëndrueshmërisë” janë faktorët mjedisorë, socialë, të të drejtave të njeriut, si dhe faktorët e qeverisjes, duke përfshirë çështjet kundër korrupsionit ose ryshfetit.</w:t>
      </w:r>
    </w:p>
    <w:p w14:paraId="70455F37" w14:textId="7F93214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25.</w:t>
      </w:r>
      <w:r w:rsidR="00B7530A"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“Raportim i qëndrueshmërisë” përmban</w:t>
      </w:r>
      <w:r w:rsidR="004F588F"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informacion </w:t>
      </w:r>
      <w:r w:rsidR="00BC6E34" w:rsidRPr="007C1501">
        <w:rPr>
          <w:rFonts w:ascii="Garamond" w:hAnsi="Garamond" w:cs="Times New Roman"/>
          <w:color w:val="000000" w:themeColor="text1"/>
          <w:sz w:val="24"/>
          <w:szCs w:val="24"/>
        </w:rPr>
        <w:t>p</w:t>
      </w:r>
      <w:r w:rsidRPr="007C1501">
        <w:rPr>
          <w:rFonts w:ascii="Garamond" w:hAnsi="Garamond" w:cs="Times New Roman"/>
          <w:color w:val="000000" w:themeColor="text1"/>
          <w:sz w:val="24"/>
          <w:szCs w:val="24"/>
        </w:rPr>
        <w:t>ë</w:t>
      </w:r>
      <w:r w:rsidR="00BC6E34" w:rsidRPr="007C1501">
        <w:rPr>
          <w:rFonts w:ascii="Garamond" w:hAnsi="Garamond" w:cs="Times New Roman"/>
          <w:color w:val="000000" w:themeColor="text1"/>
          <w:sz w:val="24"/>
          <w:szCs w:val="24"/>
        </w:rPr>
        <w:t>r</w:t>
      </w:r>
      <w:r w:rsidRPr="007C1501">
        <w:rPr>
          <w:rFonts w:ascii="Garamond" w:hAnsi="Garamond" w:cs="Times New Roman"/>
          <w:color w:val="000000" w:themeColor="text1"/>
          <w:sz w:val="24"/>
          <w:szCs w:val="24"/>
        </w:rPr>
        <w:t xml:space="preserve"> çështjet e qëndrueshmërisë, në përputhje me nenet 18/1, 20/1, 20/2 dhe 20/3 të këtij ligji. </w:t>
      </w:r>
    </w:p>
    <w:p w14:paraId="55EACD38" w14:textId="10F1F60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26. Për qëllimet e neneve 18/2 dhe 20/2 termat e mëposhtëm kanë këto kuptime:</w:t>
      </w:r>
    </w:p>
    <w:p w14:paraId="2BCFC20D" w14:textId="5861223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“Njësi ekonomike raportuese” nënkupton një njësi ekonomike/njësi ekonomike mëmë, që ka detyrimin të raportojë informacion të qëndrueshmërisë në përputhje me pikën 1 të nenit 18/1 dhe të nenit 20/1 të këtij ligji;</w:t>
      </w:r>
    </w:p>
    <w:p w14:paraId="231C0DED" w14:textId="29867FF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 “Njësi ekonomike e mbrojtur” nënkupton një njësi ekonomike, e cila:</w:t>
      </w:r>
    </w:p>
    <w:p w14:paraId="064EF4EC" w14:textId="57925E6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nuk tejkalon në datën e raportimit një numër mesatar prej 1000 punonjësish gjatë vitit financiar paraardhës;</w:t>
      </w:r>
    </w:p>
    <w:p w14:paraId="6A0CF4F3" w14:textId="1B61CAE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është pjesë e zinxhirit të vlerës së një njësie ekonomike raportuese.</w:t>
      </w:r>
    </w:p>
    <w:p w14:paraId="2DE2A71D" w14:textId="46C7324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w:t>
      </w:r>
      <w:r w:rsidR="00B7530A"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“Standarde vullnetare” nënkupton standardet e raportimit të qëndrueshmërisë, të krijuara për përdorim vullnetar, sipas përkufizimit të përcaktuar në pikën 23 të nenit 3 të këtij ligji.</w:t>
      </w:r>
    </w:p>
    <w:p w14:paraId="70127F8F" w14:textId="79CD93D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27. Për qëllimet e nenit 21 termat e mëposhtëm kanë këto kuptime:</w:t>
      </w:r>
    </w:p>
    <w:p w14:paraId="10B47415" w14:textId="5FB6E19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w:t>
      </w:r>
      <w:r w:rsidR="00B7530A"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“Institucion shtetëror” nënkupton çdo autoritet kombëtar, rajonal ose vendor, përfshirë agjencitë dhe njësitë e kontrolluara prej tyre, pavarësisht nëse i përkasin Republikës së Shqipërisë apo një shteti tjetër;</w:t>
      </w:r>
    </w:p>
    <w:p w14:paraId="2F27B1CA" w14:textId="3B85C4C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B7530A"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“Projekt” nënkupton aktivitetet operacionale që rregullohen nga një kontratë, licencë, marrëveshje qiraje, koncesion ose marrëveshje tjetër ligjore e ngjashme dhe përbëjnë bazën e detyrimeve të pagesave kundrejt një qeverie. Kur disa marrëveshje të tilla janë të ndërlidhura në mënyrë thelbësore, ato konsiderohen si një projekt i vetëm.</w:t>
      </w:r>
    </w:p>
    <w:p w14:paraId="42112550" w14:textId="03D1CFD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28. “Vend tjetër apo juridiksion tjetër” nënkupton çdo vend apo juridiksion:</w:t>
      </w:r>
    </w:p>
    <w:p w14:paraId="26D13D90" w14:textId="3F1B4FD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jashtë Republikës së Shqipërisë deri në datën e anëtarësimit të saj në Bashkimin Evropian;</w:t>
      </w:r>
    </w:p>
    <w:p w14:paraId="089F7756" w14:textId="15D1E2E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 jashtë Bashkimit Evropian pas datës së anëtarësimit të Republikës së Shqipërisë në Bashkimin Evropian.</w:t>
      </w:r>
    </w:p>
    <w:p w14:paraId="68B1DF21" w14:textId="3A40F09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29.</w:t>
      </w:r>
      <w:r w:rsidR="004C4347"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“Data e raportimit” ka të njëjtin kuptim si në standardet kontabël të raportimit financiar që zbaton njësia ekonomike.”.</w:t>
      </w:r>
    </w:p>
    <w:p w14:paraId="0AC9DA5F"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7CCB18C5"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lastRenderedPageBreak/>
        <w:t>Neni 3</w:t>
      </w:r>
    </w:p>
    <w:p w14:paraId="1682287E"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4291E479" w14:textId="5293D49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nenin 4 bëhen ndryshimet si më poshtë:</w:t>
      </w:r>
    </w:p>
    <w:p w14:paraId="238062F1" w14:textId="14BFA0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Kudo në përmbajtjen e nenit fjalët “të ardhurat nga veprimtaria ekonomike (qarkullimi)” zëvendësohen me </w:t>
      </w:r>
      <w:r w:rsidR="004C4347"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“të ardhura të shfrytëzimit”.</w:t>
      </w:r>
    </w:p>
    <w:p w14:paraId="01753787" w14:textId="0306D7A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4C4347"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Në pikën 3 fjalët “të ardhura nga veprimtaria ekonomike” zëvendësohen me </w:t>
      </w:r>
      <w:r w:rsidR="004C4347"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 xml:space="preserve">“të ardhura të shfrytëzimit”. </w:t>
      </w:r>
    </w:p>
    <w:p w14:paraId="128F93AA" w14:textId="44CD858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w:t>
      </w:r>
      <w:r w:rsidR="004C4347"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Në pikën 4 togfjalëshi “në vitin 2028” hiqet.</w:t>
      </w:r>
    </w:p>
    <w:p w14:paraId="6146EA84" w14:textId="2BCDA3D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w:t>
      </w:r>
      <w:r w:rsidR="004C4347"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Në pikën 5 fjalët “standardet kontabël të aplikueshme” zëvendësohen me </w:t>
      </w:r>
      <w:r w:rsidR="004C4347"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“standardet kontabël të raportimit financiar të zbatueshme”.</w:t>
      </w:r>
    </w:p>
    <w:p w14:paraId="2153EDC3" w14:textId="6F827C4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5.</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Pika 6 ndryshohet si më poshtë:</w:t>
      </w:r>
    </w:p>
    <w:p w14:paraId="27873719" w14:textId="7BE65F8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“6.</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Pas përafrimit të plotë të kufijve, sipas pikës 4 të këtij neni, me kufijtë e parashikuar në legjislacionin përkatës të Bashkimit Evropian, për të rregulluar efektet e inflacionit ose kursit të këmbimit, Këshilli Kombëtar i Kontabilitetit duhet të paktën një herë në 5 vjet të rishikojë dhe, kur është e nevojshme, të propozojë ndryshime ligjore në lidhje me:</w:t>
      </w:r>
    </w:p>
    <w:p w14:paraId="095981CB" w14:textId="167BB39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kriteret e përcaktuara në pikat 1 dhe 2 të këtij neni;</w:t>
      </w:r>
    </w:p>
    <w:p w14:paraId="49D4F5B4" w14:textId="4A54B64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 kufijtë që përcaktojnë fushën e zbatimit të kërkesave për raportimin e</w:t>
      </w:r>
      <w:r w:rsid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qëndrueshmërisë për njësitë ekonomike; </w:t>
      </w:r>
    </w:p>
    <w:p w14:paraId="09E2D3A2" w14:textId="26669E2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 kufijtë që përcaktojnë fushën e zbatimit të kërkesave për raportimin e konsoliduar të qëndrueshmërisë për grupet e njësive ekonomike.”.</w:t>
      </w:r>
    </w:p>
    <w:p w14:paraId="5DDDAE23"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1C6E6F13"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4</w:t>
      </w:r>
    </w:p>
    <w:p w14:paraId="53A7F721"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6DC094E9" w14:textId="1DD5CA6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pikën 2 të nenit 5 fjalët “duhet të” hiqen.</w:t>
      </w:r>
    </w:p>
    <w:p w14:paraId="101DAC61"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5D6AB0EC"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5</w:t>
      </w:r>
    </w:p>
    <w:p w14:paraId="6112239A"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0FECAAEF" w14:textId="0080D87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Në nenin 6 fjalët “standardeve kontabël të aplikueshme” zëvendësohen me </w:t>
      </w:r>
      <w:r w:rsidR="00232CDE"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“standardeve kontabël të raportimit financiar të zbatueshme”.</w:t>
      </w:r>
    </w:p>
    <w:p w14:paraId="05663A17"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DCF3EBA"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6</w:t>
      </w:r>
    </w:p>
    <w:p w14:paraId="52A62C27"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4BF8B20D" w14:textId="213EEB2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pikën 3 të nenit 9 fjala “gjithsesi” hiqet.</w:t>
      </w:r>
    </w:p>
    <w:p w14:paraId="1ED38D6B"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4E4FC8A"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7</w:t>
      </w:r>
    </w:p>
    <w:p w14:paraId="4FB91C97"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5F4CA1CD" w14:textId="2048C8D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Në nenin 11 fjalët “standardet e aplikueshme të raportimit financiar” zëvendësohen me </w:t>
      </w:r>
      <w:r w:rsidR="00232CDE"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“standardet kontabël të raportimit financiar të zbatueshme”</w:t>
      </w:r>
      <w:r w:rsidR="00B67097" w:rsidRPr="007C1501">
        <w:rPr>
          <w:rFonts w:ascii="Garamond" w:hAnsi="Garamond" w:cs="Times New Roman"/>
          <w:color w:val="000000" w:themeColor="text1"/>
          <w:sz w:val="24"/>
          <w:szCs w:val="24"/>
        </w:rPr>
        <w:t>.</w:t>
      </w:r>
    </w:p>
    <w:p w14:paraId="537C1875" w14:textId="77777777" w:rsidR="009D5289" w:rsidRPr="007C1501" w:rsidRDefault="009D5289" w:rsidP="003456F4">
      <w:pPr>
        <w:spacing w:after="0" w:line="240" w:lineRule="auto"/>
        <w:ind w:firstLine="284"/>
        <w:jc w:val="center"/>
        <w:rPr>
          <w:rFonts w:ascii="Garamond" w:hAnsi="Garamond" w:cs="Times New Roman"/>
          <w:color w:val="000000" w:themeColor="text1"/>
          <w:sz w:val="24"/>
          <w:szCs w:val="24"/>
        </w:rPr>
      </w:pPr>
    </w:p>
    <w:p w14:paraId="19E82EC9" w14:textId="1FD5431B"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8</w:t>
      </w:r>
    </w:p>
    <w:p w14:paraId="7B578B6A"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6BCF9D66" w14:textId="78F9748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nenin 12 bëhen shtesat dhe ndryshimi i mëposhtëm:</w:t>
      </w:r>
    </w:p>
    <w:p w14:paraId="32DD10AA" w14:textId="6FC3685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Në fund të pikës 1 shtohen fjalët “sipas standardeve kontabël të raportimit financiar të zbatueshme”.</w:t>
      </w:r>
    </w:p>
    <w:p w14:paraId="3B0BAA0B" w14:textId="3685D11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Në pikën 2 fjalët “raport drejtimi të konsoliduar” zëvendësohen me </w:t>
      </w:r>
      <w:r w:rsidR="007855DC"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“raport të konsoliduar të ecurisë së veprimtarisë”.</w:t>
      </w:r>
    </w:p>
    <w:p w14:paraId="61A58690" w14:textId="46B3BF0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Pas pikës 3 shtohet pika 4 me këtë përmbajtje:</w:t>
      </w:r>
    </w:p>
    <w:p w14:paraId="6FB248F6" w14:textId="2E80CAF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 Përjashtimet nga detyrimi për hartimin e pasqyrave financiare të konsoliduara dhe të raportit të konsoliduar të ecurisë së veprimtarisë, të përcaktuara në këtë ligj, zbatohen për aq kohë sa nuk cenohen detyrimet e tjera të përcaktuara nga legjislacioni vendas në fuqi, kur:</w:t>
      </w:r>
    </w:p>
    <w:p w14:paraId="25A5FA8F" w14:textId="27531FD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këto dokumente kërkohen për informimin e punëmarrësve ose të përfaqësuesve të tyre; ose</w:t>
      </w:r>
    </w:p>
    <w:p w14:paraId="6B89F6B8"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 këto dokumente kërkohen nga një autoritet administrativ ose gjyqësor për qëllimet e veta.”.</w:t>
      </w:r>
    </w:p>
    <w:p w14:paraId="26CAE895"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514959CB"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lastRenderedPageBreak/>
        <w:t>Neni 9</w:t>
      </w:r>
    </w:p>
    <w:p w14:paraId="0606AD65"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4936BDB4" w14:textId="4CFF759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Pas nenit 12 shtohet neni 12/1 me këtë përmbajtje: </w:t>
      </w:r>
    </w:p>
    <w:p w14:paraId="54187D34"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4A88136D"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12/1</w:t>
      </w:r>
    </w:p>
    <w:p w14:paraId="615E06C6" w14:textId="77777777"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Kërkesa për përgatitjen e pasqyrave financiare të konsoliduara</w:t>
      </w:r>
    </w:p>
    <w:p w14:paraId="6F36D363"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4B8DB169" w14:textId="220A876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Çdo njësi ekonomike, përveç atyre të përjashtuara, sipas nenit 12 të këtij ligji, e rregulluar nga legjislacioni shqiptar, harton pasqyra financiare të konsoliduara dhe një raport të konsoliduar të ecurisë së veprimtarisë kur kjo njësi:</w:t>
      </w:r>
    </w:p>
    <w:p w14:paraId="15DBDC05"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zotëron shumicën e të drejtave të votës së aksionarëve ose anëtarëve të një njësie tjetër (njësi e kontrolluar);</w:t>
      </w:r>
    </w:p>
    <w:p w14:paraId="2E945B3F"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 ka të drejtë të emërojë ose të largojë shumicën e anëtarëve të organeve ekzekutive, drejtuese ose mbikëqyrëse të një njësie tjetër (njësi e kontrolluar) dhe është në të njëjtën kohë aksionare ose anëtare në atë njësi;</w:t>
      </w:r>
    </w:p>
    <w:p w14:paraId="0C7D58E8" w14:textId="5C488A6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 ka të drejtë të ushtrojë kontroll përmes një ndikimi dominues mbi një njësi të kontrolluar në të cilën është aksionare ose anëtare në bazë të një kontrate të lidhur me atë njësi ose të një dispozite në aktin e themelimit apo statutin e saj, kur legjislacioni i njësisë së kontrolluar e lejon një marrëdhënie të tillë;</w:t>
      </w:r>
    </w:p>
    <w:p w14:paraId="063DC51F" w14:textId="3E4CA6B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ç) është aksionare ose anëtare e një njësie tjetër dhe:</w:t>
      </w:r>
    </w:p>
    <w:p w14:paraId="0ABFDA02" w14:textId="72D7223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shumica e anëtarëve të organeve ekzekutive, drejtuese ose mbikëqyrëse të asaj njësie, të cilët kanë ushtruar funksionin e tyre gjatë vitit financiar, gjatë vitit financiar të mëparshëm dhe deri në kohën e hartimit të pasqyrave financiare të konsoliduara, janë emëruar vetëm si rezultat i ushtrimit të të drejtave të saj të votës; ose</w:t>
      </w:r>
    </w:p>
    <w:p w14:paraId="1553BE3B" w14:textId="4DE762C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kontrollon e vetme shumicën e të drejtave të votës së aksionarëve ose anëtarëve të asaj njësie, në përputhje me një marrëveshje me aksionarët ose anëtarët e tjerë të asaj njësie.</w:t>
      </w:r>
    </w:p>
    <w:p w14:paraId="7C3F6160" w14:textId="513F055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Nënndarja “i” e shkronjës “ç” të kësaj pike nuk zbatohet kur të drejtat e përcaktuara në shkronjat “a”, “b” ose “c” të kësaj pike, në lidhje me atë njësi, zotërohen nga një palë e tretë.</w:t>
      </w:r>
    </w:p>
    <w:p w14:paraId="3DF21B8B" w14:textId="64B1422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Përveç rasteve të përcaktuara në pikën 1 të këtij neni, njësia ekonomike harton pasqyra financiare të konsoliduara dhe një raport të konsoliduar të ecurisë së veprimtarisë edhe kur:</w:t>
      </w:r>
    </w:p>
    <w:p w14:paraId="0C178A4D"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kjo njësi ekonomike (mëma) ka kompetencën të ushtrojë ose ushtron faktikisht kontroll, përmes një ndikimi dominues, mbi një njësi tjetër (njësi e kontrolluar); ose</w:t>
      </w:r>
    </w:p>
    <w:p w14:paraId="628E027B" w14:textId="74739A2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kjo njësi ekonomike (mëma) dhe një njësi ekonomike tjetër (njësi e kontrolluar) drejtohen në mënyrë të unifikuar nga kjo njësi ekonomike mëmë.</w:t>
      </w:r>
    </w:p>
    <w:p w14:paraId="5366867C" w14:textId="3D08A61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Për qëllimet e shkronjave “a”, “b” dhe “ç” të pikës 1 të këtij neni</w:t>
      </w:r>
      <w:r w:rsidR="00976934"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të drejtat e votës dhe të drejtat e emërimit apo largimit që zotërohen nga një njësi e kontrolluar tjetër ose nga çdo person që vepron në emër të vet, por për llogari të njësisë mëmë ose të një njësie tjetër të kontrolluar, </w:t>
      </w:r>
      <w:r w:rsidR="00403B7A" w:rsidRPr="007C1501">
        <w:rPr>
          <w:rFonts w:ascii="Garamond" w:hAnsi="Garamond" w:cs="Times New Roman"/>
          <w:color w:val="000000" w:themeColor="text1"/>
          <w:sz w:val="24"/>
          <w:szCs w:val="24"/>
        </w:rPr>
        <w:t>u</w:t>
      </w:r>
      <w:r w:rsidRPr="007C1501">
        <w:rPr>
          <w:rFonts w:ascii="Garamond" w:hAnsi="Garamond" w:cs="Times New Roman"/>
          <w:color w:val="000000" w:themeColor="text1"/>
          <w:sz w:val="24"/>
          <w:szCs w:val="24"/>
        </w:rPr>
        <w:t xml:space="preserve"> shtohen të drejtave të njësisë mëmë.</w:t>
      </w:r>
    </w:p>
    <w:p w14:paraId="49466083" w14:textId="73B9F8F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Për qëllimet e shkronjave “a”, “b” dhe “ç” të pikës 1 të këtij neni, të drejtat e parashikuara në pikën 3 të këtij neni nuk zbatohen kur ato burojnë nga:</w:t>
      </w:r>
    </w:p>
    <w:p w14:paraId="2BF15DAE" w14:textId="4DE4366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aksione të mbajtura për llogari të një personi që nuk është as njësi mëmë, as njësi e kontrolluar e saj; ose</w:t>
      </w:r>
    </w:p>
    <w:p w14:paraId="5027F4F6" w14:textId="2C531E3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 aksione, të cilat:</w:t>
      </w:r>
    </w:p>
    <w:p w14:paraId="27ED5AD5" w14:textId="0EF9AF8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mbahen si kolateral, nëse të drejtat ushtrohen sipas udhëzimeve të dhëna; ose</w:t>
      </w:r>
    </w:p>
    <w:p w14:paraId="59B23908" w14:textId="12BFC3A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BF2CD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mbahen për dhënien e huave, si pjesë e veprimtarisë së zakonshme të biznesit, nëse të drejtat e votës ushtrohen në interes të personit që ka siguruar kolateralin.</w:t>
      </w:r>
    </w:p>
    <w:p w14:paraId="10C9E320" w14:textId="1CE9DD4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5.</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Për qëllimet e shkronjave “a” dhe “ç” të pikës 1 të këtij neni, totali i të drejtave të votës së aksionarëve ose anëtarëve në njësinë e kontrolluar reduktohet duke përjashtuar të drejtat e votës që burojnë nga aksionet e mbajtura nga vetë ajo njësi, nga njësitë e saj të kontrolluara ose nga persona që veprojnë në emër të vet, por për llogari të tyre.</w:t>
      </w:r>
    </w:p>
    <w:p w14:paraId="2C1B028A" w14:textId="52DBAB1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6.</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Rregullat e hollësishme për vlerësimin, paraqitjen dhe metodat e konsolidimit përcaktohen nga standardet kontabël të zbatueshme të raportimit financiar.”.</w:t>
      </w:r>
    </w:p>
    <w:p w14:paraId="233D3FA7"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49600C32" w14:textId="77777777" w:rsidR="001004CA" w:rsidRDefault="001004CA" w:rsidP="003456F4">
      <w:pPr>
        <w:spacing w:after="0" w:line="240" w:lineRule="auto"/>
        <w:ind w:firstLine="284"/>
        <w:jc w:val="center"/>
        <w:rPr>
          <w:rFonts w:ascii="Garamond" w:hAnsi="Garamond" w:cs="Times New Roman"/>
          <w:color w:val="000000" w:themeColor="text1"/>
          <w:sz w:val="24"/>
          <w:szCs w:val="24"/>
        </w:rPr>
      </w:pPr>
    </w:p>
    <w:p w14:paraId="7FBFA322"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10</w:t>
      </w:r>
    </w:p>
    <w:p w14:paraId="75E25BC4"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07E75755" w14:textId="689934B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pikën 1 të nenit 13 fjalët “Standardet Ndërkombëtare të Raportimit Financiar” zëvendësohen me “standardet kontabël ndërkombëtare të raportimit financiar”.</w:t>
      </w:r>
    </w:p>
    <w:p w14:paraId="7EFF6D17" w14:textId="77777777" w:rsidR="00702B0E" w:rsidRPr="007C1501" w:rsidRDefault="00702B0E" w:rsidP="003456F4">
      <w:pPr>
        <w:spacing w:after="0" w:line="240" w:lineRule="auto"/>
        <w:ind w:firstLine="284"/>
        <w:jc w:val="both"/>
        <w:rPr>
          <w:rFonts w:ascii="Garamond" w:hAnsi="Garamond" w:cs="Times New Roman"/>
          <w:color w:val="000000" w:themeColor="text1"/>
          <w:sz w:val="24"/>
          <w:szCs w:val="24"/>
        </w:rPr>
      </w:pPr>
    </w:p>
    <w:p w14:paraId="510E055C" w14:textId="5888465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11</w:t>
      </w:r>
    </w:p>
    <w:p w14:paraId="21F07E14"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22218F12" w14:textId="3A9BD9A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Pika 1 e nenit 15 ndryshohet si më poshtë:</w:t>
      </w:r>
      <w:r w:rsidR="00D62085" w:rsidRPr="007C1501">
        <w:rPr>
          <w:rFonts w:ascii="Garamond" w:hAnsi="Garamond" w:cs="Times New Roman"/>
          <w:color w:val="000000" w:themeColor="text1"/>
          <w:sz w:val="24"/>
          <w:szCs w:val="24"/>
        </w:rPr>
        <w:t xml:space="preserve"> </w:t>
      </w:r>
    </w:p>
    <w:p w14:paraId="01F9E37A"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“1. Njësitë ekonomike, subjekt i këtij ligji, duhet të kontrollojnë, të paktën një herë gjatë periudhës raportuese, ekzistencën dhe vlerësimin e aktiveve, të detyrimeve e të kapitaleve të veta, nëpërmjet inventarizimit të këtyre elementeve dhe dokumenteve kontabël përkatëse.”. </w:t>
      </w:r>
    </w:p>
    <w:p w14:paraId="6A9863CF"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7339E7A5"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12</w:t>
      </w:r>
    </w:p>
    <w:p w14:paraId="0F78A7EB"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22CEA955"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nenin 16 bëhen ndryshimet dhe shtesa e mëposhtme:</w:t>
      </w:r>
    </w:p>
    <w:p w14:paraId="3813F4D3" w14:textId="4FE772D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1. Kudo në përmbajtjen e nenit fjalët “standardet kontabël të aplikueshme” zëvendësohen me </w:t>
      </w:r>
      <w:r w:rsidR="00761FEA"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“standardet kontabël të raportimit financiar të zbatueshme”.</w:t>
      </w:r>
    </w:p>
    <w:p w14:paraId="35486877" w14:textId="428C1E5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 Pika 2 ndryshohet si më poshtë vijon:</w:t>
      </w:r>
      <w:r w:rsidR="008E3A74" w:rsidRPr="007C1501">
        <w:rPr>
          <w:rFonts w:ascii="Garamond" w:hAnsi="Garamond" w:cs="Times New Roman"/>
          <w:color w:val="000000" w:themeColor="text1"/>
          <w:sz w:val="24"/>
          <w:szCs w:val="24"/>
        </w:rPr>
        <w:t xml:space="preserve"> </w:t>
      </w:r>
    </w:p>
    <w:p w14:paraId="652CE695" w14:textId="244B398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 Të gjitha njësitë ekonomike, përtej kërkesave të parashikuara në standardet kontabël të raportimit financiar të zbatueshme, në shënimet shpjeguese duhet të paraqesin edhe:</w:t>
      </w:r>
    </w:p>
    <w:p w14:paraId="0696C03E"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numrin mesatar të punëmarrësve gjatë periudhës raportuese;</w:t>
      </w:r>
    </w:p>
    <w:p w14:paraId="6059C364" w14:textId="693DAA9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F4085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shumën e paradhënieve dhe kredive të dhëna anëtarëve të organeve ekzekutive, drejtuese dhe mbikëqyrëse, duke specifikuar normat e interesit, kushtet kryesore, si dhe të gjitha shumat e shlyera, të fshira ose të hequra dorë, si edhe angazhimet e ndërmarra në emër të tyre përmes garancive të çdo lloji, me specifikimin e totalit për secilën kategori;</w:t>
      </w:r>
    </w:p>
    <w:p w14:paraId="035E8301" w14:textId="5B0E754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shumat që duhet të paguhen nga njësia ekonomike dhe që janë të detyrueshme për pagesë pas më shumë se </w:t>
      </w:r>
      <w:r w:rsidR="00B82A58" w:rsidRPr="007C1501">
        <w:rPr>
          <w:rFonts w:ascii="Garamond" w:hAnsi="Garamond" w:cs="Times New Roman"/>
          <w:color w:val="000000" w:themeColor="text1"/>
          <w:sz w:val="24"/>
          <w:szCs w:val="24"/>
        </w:rPr>
        <w:t>5</w:t>
      </w:r>
      <w:r w:rsidRPr="007C1501">
        <w:rPr>
          <w:rFonts w:ascii="Garamond" w:hAnsi="Garamond" w:cs="Times New Roman"/>
          <w:color w:val="000000" w:themeColor="text1"/>
          <w:sz w:val="24"/>
          <w:szCs w:val="24"/>
        </w:rPr>
        <w:t xml:space="preserve"> vjetësh, si dhe të gjitha detyrimet e saj, të siguruara me garanci të dhëna nga vetë njësia ekonomike, duke specifikuar natyrën dhe formën e garancisë.”.</w:t>
      </w:r>
    </w:p>
    <w:p w14:paraId="0249DF24" w14:textId="05F614A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3. Në shkronjën “c” të pikës 3 fjalët “Sa më sipër” zëvendësohen me </w:t>
      </w:r>
      <w:r w:rsidR="00761FEA"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“Përjashtimisht nga përcaktimet në shkronjat “a”, “b” dhe “c”, të kësaj pike”.</w:t>
      </w:r>
    </w:p>
    <w:p w14:paraId="5618F192" w14:textId="643C2E1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 Pas pikës 4 shtohet pika 5 me këtë përmbajtje:</w:t>
      </w:r>
    </w:p>
    <w:p w14:paraId="15F8543F"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“5. Të gjitha njësitë ekonomike duhet të japin informacion për kategoritë kryesore të të ardhurave të shfrytëzimit, të ndara sipas llojit të aktivitetit ekonomik.”.</w:t>
      </w:r>
    </w:p>
    <w:p w14:paraId="72C49F12"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7C17597D"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13</w:t>
      </w:r>
    </w:p>
    <w:p w14:paraId="26D11C9A"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F431417"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nenin 17 bëhen ndryshimet dhe shtesa e mëposhtme:</w:t>
      </w:r>
    </w:p>
    <w:p w14:paraId="789CC0FF" w14:textId="29C148B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Në pikën 1 fjalët “Njësitë ekonomike” zëvendësohen me</w:t>
      </w:r>
      <w:r w:rsidR="00761FEA" w:rsidRPr="007C1501">
        <w:rPr>
          <w:rFonts w:ascii="Garamond" w:hAnsi="Garamond" w:cs="Times New Roman"/>
          <w:color w:val="000000" w:themeColor="text1"/>
          <w:sz w:val="24"/>
          <w:szCs w:val="24"/>
        </w:rPr>
        <w:t xml:space="preserve"> fjalët</w:t>
      </w:r>
      <w:r w:rsidRPr="007C1501">
        <w:rPr>
          <w:rFonts w:ascii="Garamond" w:hAnsi="Garamond" w:cs="Times New Roman"/>
          <w:color w:val="000000" w:themeColor="text1"/>
          <w:sz w:val="24"/>
          <w:szCs w:val="24"/>
        </w:rPr>
        <w:t xml:space="preserve"> “Njësitë ekonomike fitimprurëse”.</w:t>
      </w:r>
    </w:p>
    <w:p w14:paraId="435C4AC0" w14:textId="07C434C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 Pas pikës 1 shtohet pika 1/1, me këtë përmbajtje:</w:t>
      </w:r>
      <w:r w:rsidR="007C786E" w:rsidRPr="007C1501">
        <w:rPr>
          <w:rFonts w:ascii="Garamond" w:hAnsi="Garamond" w:cs="Times New Roman"/>
          <w:color w:val="000000" w:themeColor="text1"/>
          <w:sz w:val="24"/>
          <w:szCs w:val="24"/>
        </w:rPr>
        <w:t xml:space="preserve"> </w:t>
      </w:r>
    </w:p>
    <w:p w14:paraId="6597D122" w14:textId="5A2F771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“1/1. Njësitë ekonomike, të cilat në datën e raportimit tejkalojnë vlerën prej 45 000 000 000 lekësh të të ardhurave të shfrytëzimit dhe kanë një numër mesatar prej më shumë se 1 000 punonjësish gjatë vitit financiar</w:t>
      </w:r>
      <w:r w:rsidR="008B5252"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raportojnë informacion për aktivet e tyre jomateriale dhe shpjegojnë se si modeli i biznesit</w:t>
      </w:r>
      <w:r w:rsidR="00D12AD9" w:rsidRPr="007C1501">
        <w:rPr>
          <w:rFonts w:ascii="Garamond" w:hAnsi="Garamond" w:cs="Times New Roman"/>
          <w:color w:val="000000" w:themeColor="text1"/>
          <w:sz w:val="24"/>
          <w:szCs w:val="24"/>
        </w:rPr>
        <w:t xml:space="preserve"> të</w:t>
      </w:r>
      <w:r w:rsidRPr="007C1501">
        <w:rPr>
          <w:rFonts w:ascii="Garamond" w:hAnsi="Garamond" w:cs="Times New Roman"/>
          <w:color w:val="000000" w:themeColor="text1"/>
          <w:sz w:val="24"/>
          <w:szCs w:val="24"/>
        </w:rPr>
        <w:t xml:space="preserve"> njësisë ekonomike varet në mënyrë thelbësore nga këto aktive dhe si këto aktive përbëjnë një burim të krijimit të vlerës për njësinë ekonomike.”.</w:t>
      </w:r>
    </w:p>
    <w:p w14:paraId="674C5B33" w14:textId="13F66B3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 Shkronja “c” e pikës 3 shfuqizohet.</w:t>
      </w:r>
    </w:p>
    <w:p w14:paraId="77538FB0"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5BBC3CCF"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14</w:t>
      </w:r>
    </w:p>
    <w:p w14:paraId="5F75C45D"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0FEC08C6" w14:textId="138DEEC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nenin 18 bëhen ndryshimet e mëposhtme:</w:t>
      </w:r>
    </w:p>
    <w:p w14:paraId="7DD25294" w14:textId="29D3AEB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Në pikën 1 fjalët “janë me interes publik dhe” hiqen.</w:t>
      </w:r>
    </w:p>
    <w:p w14:paraId="6EE3705F" w14:textId="38E2A502"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Pika 5 ndryshohet si më poshtë:</w:t>
      </w:r>
    </w:p>
    <w:p w14:paraId="265AE500" w14:textId="092C366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“5. Audituesit ligjorë dhe shoqëritë e auditimit, bazuar në standardet ndërkombëtare të auditimit dhe sigurisë, të shpallura të detyrueshme për zbatim, japin siguri </w:t>
      </w:r>
      <w:r w:rsidR="001736AF" w:rsidRPr="007C1501">
        <w:rPr>
          <w:rFonts w:ascii="Garamond" w:hAnsi="Garamond" w:cs="Times New Roman"/>
          <w:color w:val="000000" w:themeColor="text1"/>
          <w:sz w:val="24"/>
          <w:szCs w:val="24"/>
        </w:rPr>
        <w:t>për</w:t>
      </w:r>
      <w:r w:rsidRPr="007C1501">
        <w:rPr>
          <w:rFonts w:ascii="Garamond" w:hAnsi="Garamond" w:cs="Times New Roman"/>
          <w:color w:val="000000" w:themeColor="text1"/>
          <w:sz w:val="24"/>
          <w:szCs w:val="24"/>
        </w:rPr>
        <w:t xml:space="preserve"> raportin jofinanciar të hartuar nga njësitë ekonomike, në përputhje me kërkesat e legjislacionit në fuqi për kontabilitetin dhe pasqyrat financiare.”.</w:t>
      </w:r>
    </w:p>
    <w:p w14:paraId="080FE77A"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652FE8D1"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15</w:t>
      </w:r>
    </w:p>
    <w:p w14:paraId="7A038E49"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75768A17" w14:textId="718BD59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Pas nenit 18 shtohen nenet 18/1 dhe 18/2 me</w:t>
      </w:r>
      <w:r w:rsid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këtë përmbajtje:</w:t>
      </w:r>
    </w:p>
    <w:p w14:paraId="5F9C930F"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14C28649"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18/1</w:t>
      </w:r>
    </w:p>
    <w:p w14:paraId="05A65E36" w14:textId="77777777"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Raportimi i qëndrueshmërisë</w:t>
      </w:r>
    </w:p>
    <w:p w14:paraId="5A79003A"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05401EA3" w14:textId="3D3B88D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Njësitë ekonomike, të cilat në datën e raportimit tejkalojnë njëkohësisht një mesatare vjetore prej 1 000 punonjësish dhe të ardhura të shfrytëzimit prej 45 000 000 000 lekësh gjatë vitit financiar, duhet të përfshijnë në raportin e ecurisë së veprimtarisë informacionin e nevojshëm për të kuptuar ndikimet e veprimtarisë së njësisë ekonomike për çështjet e qëndrueshmërisë, si dhe informacionin e nevojshëm për të kuptuar se si çështjet e qëndrueshmërisë ndikojnë në zhvillimin, performancën dhe pozicionin e njësisë ekonomike.</w:t>
      </w:r>
    </w:p>
    <w:p w14:paraId="4FFE9BB3" w14:textId="2FFD134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Raporti i qëndrueshmërisë përmban:</w:t>
      </w:r>
    </w:p>
    <w:p w14:paraId="48AA02FE" w14:textId="38D4ABB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përshkrim të modelit dhe strategjisë së biznesit të njësisë, duke përfshirë:</w:t>
      </w:r>
    </w:p>
    <w:p w14:paraId="3D41A636" w14:textId="51CD843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fleksibilitetin e tyre ndaj rreziqeve që lidhen me çështjet e qëndrueshmërisë;</w:t>
      </w:r>
    </w:p>
    <w:p w14:paraId="1A923A97" w14:textId="545648B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mundësitë në lidhje me çështjet e qëndrueshmërisë;</w:t>
      </w:r>
    </w:p>
    <w:p w14:paraId="76DE6594" w14:textId="46E198FD"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planet e njësisë, përfshirë masat zbatuese dhe planet financiare e të investimeve</w:t>
      </w:r>
      <w:r w:rsidR="007C033F"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për të siguruar harmonizimin e modelit dhe strategjisë me kalimin drejt një ekonomie të qëndrueshme dhe me kufizimin e ngrohjes globale në 1,5°C, në pajtueshmëri me marrëveshjen e Parisit, sipas Konventës kuadër të Kombeve të Bashkuara për Ndryshimet Klimatike, si dhe objektivat afatgjatë të neutralitetit klimatik dhe, sipas rastit, ekspozimin e njësisë ndaj veprimtarive të lidhura me qymyrin, naftën dhe gazin;</w:t>
      </w:r>
    </w:p>
    <w:p w14:paraId="4CEBDDD8" w14:textId="2094758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iv.</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mënyrën se si merren parasysh interesat e grupeve të interesit dhe ndikimet e njësisë në çështjet e qëndrueshmërisë;</w:t>
      </w:r>
    </w:p>
    <w:p w14:paraId="1B8B813C" w14:textId="356A27D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v.</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mënyrën e zbatimit të strategjisë për çështjet e qëndrueshmërisë.</w:t>
      </w:r>
    </w:p>
    <w:p w14:paraId="51E9A367" w14:textId="3E6D1E1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përshkrim të objektivave të përcaktuar nga njësia në lidhje me çështjet e qëndrueshmërisë, duke përfshirë objektivat për reduktimin e shkarkimeve të gazeve me efekt serë, të paktën për vitet 2030 dhe 2050, progresin e bërë drejt arritjes së tyre, si dhe një deklaratë ku të specifikohet nëse këta objektiva në lidhje me faktorët mjedisorë bazohen në të dhëna shkencore të verifikuara;</w:t>
      </w:r>
    </w:p>
    <w:p w14:paraId="0B2E80A3" w14:textId="7B292D2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përshkrim të rolit të organeve drejtuese dhe mbikëqyrëse në lidhje me çështjet e qëndrueshmërisë, si dhe të ekspertizës dhe aftësive të tyre në këtë drejtim;</w:t>
      </w:r>
    </w:p>
    <w:p w14:paraId="12099501" w14:textId="75B528B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ç)</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përshkrim të politikave të ndjekura nga njësia për çështjet e qëndrueshmërisë;</w:t>
      </w:r>
    </w:p>
    <w:p w14:paraId="14A60C27" w14:textId="41E8240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d)</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informacion për ekzistencën e skemave nxitëse lidhur me çështjet e qëndrueshmërisë për anëtarët e organeve drejtuese e mbikëqyrëse;</w:t>
      </w:r>
    </w:p>
    <w:p w14:paraId="7149C76C" w14:textId="4D1CC31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dh) përshkrim të:</w:t>
      </w:r>
    </w:p>
    <w:p w14:paraId="367478A4" w14:textId="49C7250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procesit të kujdesit të duhur, të zbatuar nga njësia për çështjet e qëndrueshmërisë;</w:t>
      </w:r>
    </w:p>
    <w:p w14:paraId="2D44EF8A" w14:textId="06E9380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ndikimeve kryesore negative, aktuale ose të mundshme, që lidhen me veprimtarinë e saj dhe zinxhirin e vlerës, duke përfshirë produktet, shërbimet, marrëdhëniet e biznesit dhe zinxhirin e saj të furnizimit, si dhe masat e marra për t’i identifikuar, për t’i monitoruar dhe për t’i menaxhuar ato;</w:t>
      </w:r>
    </w:p>
    <w:p w14:paraId="2F8A04D0" w14:textId="7ECD7E9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masave të marra për të parandaluar, për të zbutur, për të korrigjuar ose për të eliminuar ndikimet negative, aktuale ose të mundshme, dhe rezultatet e këtyre masave.</w:t>
      </w:r>
    </w:p>
    <w:p w14:paraId="5CE7737B"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e) përshkrim të rreziqeve kryesore lidhur me çështjet e qëndrueshmërisë, përfshirë ndërvarësitë kryesore të njësisë dhe mënyrën e menaxhimit të tyre; </w:t>
      </w:r>
    </w:p>
    <w:p w14:paraId="3B523C62" w14:textId="386A51A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ë)</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treguesit kryesorë të performancës për çështjet e raportuara në shkronjat “a” deri në “e” të kësaj pike.</w:t>
      </w:r>
    </w:p>
    <w:p w14:paraId="17E466A4" w14:textId="4DD8BD2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Njësitë ekonomike raportojnë procesin e ndjekur për identifikimin e informacionit të përfshirë në raportin e ecurisë së veprimtarisë, në përputhje me pikën 1 të këtij neni. Ky informacion përfshin, sipas rastit, të dhëna që lidhen me periudha kohore afatshkurtra, afatmesme dhe afatgjata.</w:t>
      </w:r>
    </w:p>
    <w:p w14:paraId="7C2D4719" w14:textId="4D8FB6B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Kur raporton informacionin e përmendur në pikat 1 dhe 2 të këtij neni, njësia ekonomike mund të mos përfshijë informacionin e mëposhtëm:</w:t>
      </w:r>
    </w:p>
    <w:p w14:paraId="53311C3F" w14:textId="1D617F72"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w:t>
      </w:r>
      <w:r w:rsidR="00DE1DC8" w:rsidRPr="007C1501">
        <w:rPr>
          <w:rFonts w:ascii="Garamond" w:hAnsi="Garamond" w:cs="Times New Roman"/>
          <w:color w:val="000000" w:themeColor="text1"/>
          <w:sz w:val="24"/>
          <w:szCs w:val="24"/>
        </w:rPr>
        <w:t xml:space="preserve"> </w:t>
      </w:r>
      <w:r w:rsidR="009F0D7C" w:rsidRPr="007C1501">
        <w:rPr>
          <w:rFonts w:ascii="Garamond" w:hAnsi="Garamond" w:cs="Times New Roman"/>
          <w:color w:val="000000" w:themeColor="text1"/>
          <w:sz w:val="24"/>
          <w:szCs w:val="24"/>
        </w:rPr>
        <w:t>n</w:t>
      </w:r>
      <w:r w:rsidRPr="007C1501">
        <w:rPr>
          <w:rFonts w:ascii="Garamond" w:hAnsi="Garamond" w:cs="Times New Roman"/>
          <w:color w:val="000000" w:themeColor="text1"/>
          <w:sz w:val="24"/>
          <w:szCs w:val="24"/>
        </w:rPr>
        <w:t>ë raste të jashtëzakonshme, informacionin, dhënia e të cilit do të dëmtonte rëndë pozitën tregtare të njësisë ekonomike, me kusht që:</w:t>
      </w:r>
    </w:p>
    <w:p w14:paraId="1E158A5C" w14:textId="406300A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 mospërfshirje e tillë të mos pengojë një kuptim të drejtë dhe të ekuilibruar të zhvillimit, performancës dhe pozicionit të njësisë ekonomike ose të rreziqeve kryesore apo ndikimeve kryesore të saj;</w:t>
      </w:r>
    </w:p>
    <w:p w14:paraId="3B69AD5C" w14:textId="30F3AA9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njësia ekonomike të ketë vlerësuar se informacioni nuk mund të jepet në një mënyrë që do të përmbushte objektivat e kërkesës për dhënie informacioni, pa dëmtuar rëndë pozitën e saj tregtare, duke përfshirë, sipas rastit, edhe dhënien e tij në formë të agreguar;</w:t>
      </w:r>
    </w:p>
    <w:p w14:paraId="602C7644" w14:textId="470BC63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njësia ekonomike të bëjë të ditur se ka përdorur këtë përjashtim; </w:t>
      </w:r>
    </w:p>
    <w:p w14:paraId="3F7B7D3A" w14:textId="7888A90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iv.</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njësia ekonomike të rivlerësojë në çdo datë raportimi nëse informacioni mund të vazhdojë të mos përfshihet.</w:t>
      </w:r>
    </w:p>
    <w:p w14:paraId="6A4168E0" w14:textId="400D3C5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DE1DC8" w:rsidRPr="007C1501">
        <w:rPr>
          <w:rFonts w:ascii="Garamond" w:hAnsi="Garamond" w:cs="Times New Roman"/>
          <w:color w:val="000000" w:themeColor="text1"/>
          <w:sz w:val="24"/>
          <w:szCs w:val="24"/>
        </w:rPr>
        <w:t xml:space="preserve"> </w:t>
      </w:r>
      <w:r w:rsidR="009622AC" w:rsidRPr="007C1501">
        <w:rPr>
          <w:rFonts w:ascii="Garamond" w:hAnsi="Garamond" w:cs="Times New Roman"/>
          <w:color w:val="000000" w:themeColor="text1"/>
          <w:sz w:val="24"/>
          <w:szCs w:val="24"/>
        </w:rPr>
        <w:t>i</w:t>
      </w:r>
      <w:r w:rsidRPr="007C1501">
        <w:rPr>
          <w:rFonts w:ascii="Garamond" w:hAnsi="Garamond" w:cs="Times New Roman"/>
          <w:color w:val="000000" w:themeColor="text1"/>
          <w:sz w:val="24"/>
          <w:szCs w:val="24"/>
        </w:rPr>
        <w:t>nformacionin që lidhet me kapitalin intelektual, pronësinë intelektuale, njohuritë e specializuara, informacionin teknologjik ose rezultatet e inovacionit, të cilat përbëjnë sekret tregtar, sipas legjislacionit në fuqi, me kusht që:</w:t>
      </w:r>
    </w:p>
    <w:p w14:paraId="6A614A97" w14:textId="4C588EB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njësia ekonomike të bëjë të ditur se ka përdorur këtë përjashtim; </w:t>
      </w:r>
    </w:p>
    <w:p w14:paraId="4DCF6BF2" w14:textId="27AF9D6D"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njësia ekonomike të rivlerësojë në çdo datë raportimi nëse informacioni mund të vazhdojë të mos përfshihet.</w:t>
      </w:r>
    </w:p>
    <w:p w14:paraId="53B0BABA" w14:textId="3780ABC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w:t>
      </w:r>
      <w:r w:rsidR="00DE1DC8" w:rsidRPr="007C1501">
        <w:rPr>
          <w:rFonts w:ascii="Garamond" w:hAnsi="Garamond" w:cs="Times New Roman"/>
          <w:color w:val="000000" w:themeColor="text1"/>
          <w:sz w:val="24"/>
          <w:szCs w:val="24"/>
        </w:rPr>
        <w:t xml:space="preserve"> </w:t>
      </w:r>
      <w:r w:rsidR="00327935" w:rsidRPr="007C1501">
        <w:rPr>
          <w:rFonts w:ascii="Garamond" w:hAnsi="Garamond" w:cs="Times New Roman"/>
          <w:color w:val="000000" w:themeColor="text1"/>
          <w:sz w:val="24"/>
          <w:szCs w:val="24"/>
        </w:rPr>
        <w:t>i</w:t>
      </w:r>
      <w:r w:rsidRPr="007C1501">
        <w:rPr>
          <w:rFonts w:ascii="Garamond" w:hAnsi="Garamond" w:cs="Times New Roman"/>
          <w:color w:val="000000" w:themeColor="text1"/>
          <w:sz w:val="24"/>
          <w:szCs w:val="24"/>
        </w:rPr>
        <w:t>nformacionin e klasifikuar sipas legjislacionit të zbatueshëm, me kusht që:</w:t>
      </w:r>
    </w:p>
    <w:p w14:paraId="3DF84DBC" w14:textId="7A4DBBC2"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njësia ekonomike të bëjë të ditur se ka përdorur këtë përjashtim; </w:t>
      </w:r>
    </w:p>
    <w:p w14:paraId="785219EC" w14:textId="23B16A4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njësia ekonomike të rivlerësojë në çdo datë raportimi nëse informacioni mund të vazhdojë të mos përfshihet;</w:t>
      </w:r>
    </w:p>
    <w:p w14:paraId="657B32EF" w14:textId="0A686A0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ç) informacione të tjera që duhet të mbrohen nga aksesi ose përhapja e paautorizuar</w:t>
      </w:r>
      <w:r w:rsidR="00C23F01"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për shkak të detyrimeve të përcaktuara nga legjislacioni në fuqi ose për të mbrojtur privatësinë apo sigurinë e një personi fizik ose sigurinë e një personi juridik, me kusht që:</w:t>
      </w:r>
    </w:p>
    <w:p w14:paraId="425DDB2F" w14:textId="32F8DEA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njësia ekonomike të bëjë të ditur se ka përdorur këtë përjashtim;</w:t>
      </w:r>
    </w:p>
    <w:p w14:paraId="2FFDD10D" w14:textId="53D197A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njësia ekonomike të rivlerësojë në çdo datë raportimi nëse informacioni mund të vazhdojë të mos përfshihet.</w:t>
      </w:r>
    </w:p>
    <w:p w14:paraId="2304739D" w14:textId="48CC02D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w:t>
      </w:r>
      <w:r w:rsidR="00DE1DC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Drejtuesit e njësisë informojnë përfaqësuesit e punonjësve dhe diskutojnë me ta informacionin për çështjet e qëndrueshmërisë dhe mjetet e sigurimit e verifikimit të tij. Opinioni i përfaqësuesve të punonjësve u komunikohet, sipas rastit, organeve përkatëse ekzekutive, drejtuese ose mbikëqyrëse.</w:t>
      </w:r>
    </w:p>
    <w:p w14:paraId="714436F8" w14:textId="74C3E81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5.</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Raporti i qëndrueshmërisë, i përgatitur në përputhje me pikat 1 deri 4 të këtij neni, si dhe raportimi i kufizuar, i parashikuar për njësitë e përfshira në pikën 6 të këtij neni, konsiderohe</w:t>
      </w:r>
      <w:r w:rsidR="002B0BAF" w:rsidRPr="007C1501">
        <w:rPr>
          <w:rFonts w:ascii="Garamond" w:hAnsi="Garamond" w:cs="Times New Roman"/>
          <w:color w:val="000000" w:themeColor="text1"/>
          <w:sz w:val="24"/>
          <w:szCs w:val="24"/>
        </w:rPr>
        <w:t>n</w:t>
      </w:r>
      <w:r w:rsidRPr="007C1501">
        <w:rPr>
          <w:rFonts w:ascii="Garamond" w:hAnsi="Garamond" w:cs="Times New Roman"/>
          <w:color w:val="000000" w:themeColor="text1"/>
          <w:sz w:val="24"/>
          <w:szCs w:val="24"/>
        </w:rPr>
        <w:t xml:space="preserve"> se plotëso</w:t>
      </w:r>
      <w:r w:rsidR="00D8688C" w:rsidRPr="007C1501">
        <w:rPr>
          <w:rFonts w:ascii="Garamond" w:hAnsi="Garamond" w:cs="Times New Roman"/>
          <w:color w:val="000000" w:themeColor="text1"/>
          <w:sz w:val="24"/>
          <w:szCs w:val="24"/>
        </w:rPr>
        <w:t>j</w:t>
      </w:r>
      <w:r w:rsidRPr="007C1501">
        <w:rPr>
          <w:rFonts w:ascii="Garamond" w:hAnsi="Garamond" w:cs="Times New Roman"/>
          <w:color w:val="000000" w:themeColor="text1"/>
          <w:sz w:val="24"/>
          <w:szCs w:val="24"/>
        </w:rPr>
        <w:t>n</w:t>
      </w:r>
      <w:r w:rsidR="00D8688C" w:rsidRPr="007C1501">
        <w:rPr>
          <w:rFonts w:ascii="Garamond" w:hAnsi="Garamond" w:cs="Times New Roman"/>
          <w:color w:val="000000" w:themeColor="text1"/>
          <w:sz w:val="24"/>
          <w:szCs w:val="24"/>
        </w:rPr>
        <w:t>ë</w:t>
      </w:r>
      <w:r w:rsidRPr="007C1501">
        <w:rPr>
          <w:rFonts w:ascii="Garamond" w:hAnsi="Garamond" w:cs="Times New Roman"/>
          <w:color w:val="000000" w:themeColor="text1"/>
          <w:sz w:val="24"/>
          <w:szCs w:val="24"/>
        </w:rPr>
        <w:t xml:space="preserve"> detyrimin për raportimin e informacionit, të parashikuar në pikën 2 të nenit 17 të këtij ligji.</w:t>
      </w:r>
    </w:p>
    <w:p w14:paraId="7F8A44ED" w14:textId="2685AD4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6. Njësitë ekonomike të kontrolluara përjashtohen nga detyrimi për të hartuar raport të veçantë të qëndrueshmërisë, nëse ato dhe njësitë e tyre të kontrolluara përfshihen në raportin e konsoliduar të ecurisë së veprimtarisë ose në raportin e konsoliduar të qëndrueshmërisë së njësisë mëmë të përgatitur në përputhje me standardet e raportimit të qëndrueshmërisë ose standardeve të barasvlershme me to, sipas përcaktimeve të akteve nënligjore për njohjen e barasvle</w:t>
      </w:r>
      <w:r w:rsidR="007C1501">
        <w:rPr>
          <w:rFonts w:ascii="Garamond" w:hAnsi="Garamond" w:cs="Times New Roman"/>
          <w:color w:val="000000" w:themeColor="text1"/>
          <w:sz w:val="24"/>
          <w:szCs w:val="24"/>
        </w:rPr>
        <w:t>r</w:t>
      </w:r>
      <w:r w:rsidRPr="007C1501">
        <w:rPr>
          <w:rFonts w:ascii="Garamond" w:hAnsi="Garamond" w:cs="Times New Roman"/>
          <w:color w:val="000000" w:themeColor="text1"/>
          <w:sz w:val="24"/>
          <w:szCs w:val="24"/>
        </w:rPr>
        <w:t xml:space="preserve">shmërisë së këtyre standardeve. </w:t>
      </w:r>
    </w:p>
    <w:p w14:paraId="235010EE" w14:textId="00151CC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Një njësi e kontrolluar e një njësie mëmë, kur kjo e fundit është e themeluar në një juridiksion tjetër, përjashtohet gjithashtu nga ky detyrim</w:t>
      </w:r>
      <w:r w:rsidR="00CF62B9"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nëse ajo dhe njësitë e saj të kontrolluara përfshihen në raportin e konsoliduar të qëndrueshmërisë të përgatitur nga njësia mëmë në atë juridiksion dhe ky raport përgatitet në përputhje me standardet e raportimit të qëndrueshmërisë ose standardeve të barasvlershme me to, sipas përcaktimeve të akteve nënligjore për njohjen e barasvle</w:t>
      </w:r>
      <w:r w:rsidR="007C1501">
        <w:rPr>
          <w:rFonts w:ascii="Garamond" w:hAnsi="Garamond" w:cs="Times New Roman"/>
          <w:color w:val="000000" w:themeColor="text1"/>
          <w:sz w:val="24"/>
          <w:szCs w:val="24"/>
        </w:rPr>
        <w:t>r</w:t>
      </w:r>
      <w:r w:rsidRPr="007C1501">
        <w:rPr>
          <w:rFonts w:ascii="Garamond" w:hAnsi="Garamond" w:cs="Times New Roman"/>
          <w:color w:val="000000" w:themeColor="text1"/>
          <w:sz w:val="24"/>
          <w:szCs w:val="24"/>
        </w:rPr>
        <w:t>shmërisë së këtyre standardeve.</w:t>
      </w:r>
    </w:p>
    <w:p w14:paraId="7375F13B" w14:textId="4C4BBF8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Përjashtimi në këtë pikë është objekt i kushteve të mëposhtme:</w:t>
      </w:r>
    </w:p>
    <w:p w14:paraId="37356D9B" w14:textId="2ADF36C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w:t>
      </w:r>
      <w:r w:rsidR="00152F24" w:rsidRPr="007C1501">
        <w:rPr>
          <w:rFonts w:ascii="Garamond" w:hAnsi="Garamond" w:cs="Times New Roman"/>
          <w:color w:val="000000" w:themeColor="text1"/>
          <w:sz w:val="24"/>
          <w:szCs w:val="24"/>
        </w:rPr>
        <w:t xml:space="preserve"> </w:t>
      </w:r>
      <w:r w:rsidR="00D017F8" w:rsidRPr="007C1501">
        <w:rPr>
          <w:rFonts w:ascii="Garamond" w:hAnsi="Garamond" w:cs="Times New Roman"/>
          <w:color w:val="000000" w:themeColor="text1"/>
          <w:sz w:val="24"/>
          <w:szCs w:val="24"/>
        </w:rPr>
        <w:t>r</w:t>
      </w:r>
      <w:r w:rsidRPr="007C1501">
        <w:rPr>
          <w:rFonts w:ascii="Garamond" w:hAnsi="Garamond" w:cs="Times New Roman"/>
          <w:color w:val="000000" w:themeColor="text1"/>
          <w:sz w:val="24"/>
          <w:szCs w:val="24"/>
        </w:rPr>
        <w:t xml:space="preserve">aporti i ecurisë së veprimtarisë </w:t>
      </w:r>
      <w:r w:rsidR="0068014D" w:rsidRPr="007C1501">
        <w:rPr>
          <w:rFonts w:ascii="Garamond" w:hAnsi="Garamond" w:cs="Times New Roman"/>
          <w:color w:val="000000" w:themeColor="text1"/>
          <w:sz w:val="24"/>
          <w:szCs w:val="24"/>
        </w:rPr>
        <w:t>së</w:t>
      </w:r>
      <w:r w:rsidRPr="007C1501">
        <w:rPr>
          <w:rFonts w:ascii="Garamond" w:hAnsi="Garamond" w:cs="Times New Roman"/>
          <w:color w:val="000000" w:themeColor="text1"/>
          <w:sz w:val="24"/>
          <w:szCs w:val="24"/>
        </w:rPr>
        <w:t xml:space="preserve"> njësisë së kontrolluar që përjashtohet përmban:</w:t>
      </w:r>
    </w:p>
    <w:p w14:paraId="17BA9240" w14:textId="504596D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152F24"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emrin dhe selinë e regjistruar të njësisë mëmë që raporton;</w:t>
      </w:r>
    </w:p>
    <w:p w14:paraId="6B896AE7" w14:textId="18B9479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152F24"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lidhjen në </w:t>
      </w:r>
      <w:r w:rsidRPr="007C1501">
        <w:rPr>
          <w:rFonts w:ascii="Garamond" w:hAnsi="Garamond" w:cs="Times New Roman"/>
          <w:i/>
          <w:iCs/>
          <w:color w:val="000000" w:themeColor="text1"/>
          <w:sz w:val="24"/>
          <w:szCs w:val="24"/>
        </w:rPr>
        <w:t>web</w:t>
      </w:r>
      <w:r w:rsidRPr="007C1501">
        <w:rPr>
          <w:rFonts w:ascii="Garamond" w:hAnsi="Garamond" w:cs="Times New Roman"/>
          <w:color w:val="000000" w:themeColor="text1"/>
          <w:sz w:val="24"/>
          <w:szCs w:val="24"/>
        </w:rPr>
        <w:t xml:space="preserve"> që drejton te raporti i qëndrueshmërisë i konsoliduar i njësisë mëmë dhe te opinioni i dhënies së sigurisë për raportin;</w:t>
      </w:r>
    </w:p>
    <w:p w14:paraId="0265D4B4" w14:textId="3241793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deklarimin se njësia është e përjashtuar nga detyrimi për raportim të veçantë të qëndrueshmërisë.</w:t>
      </w:r>
    </w:p>
    <w:p w14:paraId="179DAEFF" w14:textId="7AF3E2F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b) </w:t>
      </w:r>
      <w:r w:rsidR="00494634" w:rsidRPr="007C1501">
        <w:rPr>
          <w:rFonts w:ascii="Garamond" w:hAnsi="Garamond" w:cs="Times New Roman"/>
          <w:color w:val="000000" w:themeColor="text1"/>
          <w:sz w:val="24"/>
          <w:szCs w:val="24"/>
        </w:rPr>
        <w:t>k</w:t>
      </w:r>
      <w:r w:rsidRPr="007C1501">
        <w:rPr>
          <w:rFonts w:ascii="Garamond" w:hAnsi="Garamond" w:cs="Times New Roman"/>
          <w:color w:val="000000" w:themeColor="text1"/>
          <w:sz w:val="24"/>
          <w:szCs w:val="24"/>
        </w:rPr>
        <w:t xml:space="preserve">ur njësia mëmë është themeluar në një juridiksion tjetër, raporti i saj i qëndrueshmërisë i konsoliduar dhe opinioni i dhënies së sigurisë </w:t>
      </w:r>
      <w:r w:rsidR="00056762" w:rsidRPr="007C1501">
        <w:rPr>
          <w:rFonts w:ascii="Garamond" w:hAnsi="Garamond" w:cs="Times New Roman"/>
          <w:color w:val="000000" w:themeColor="text1"/>
          <w:sz w:val="24"/>
          <w:szCs w:val="24"/>
        </w:rPr>
        <w:t>për</w:t>
      </w:r>
      <w:r w:rsidRPr="007C1501">
        <w:rPr>
          <w:rFonts w:ascii="Garamond" w:hAnsi="Garamond" w:cs="Times New Roman"/>
          <w:color w:val="000000" w:themeColor="text1"/>
          <w:sz w:val="24"/>
          <w:szCs w:val="24"/>
        </w:rPr>
        <w:t xml:space="preserve"> raportin e qëndrueshmërisë së konsoliduar publikohen në përputhje me legjislacionin vendas për publikimin e pasqyrave financiare dhe në përputhje me legjislacionin e shtetit, ku është regjistruar njësia e kontrolluar e përjashtuar.</w:t>
      </w:r>
    </w:p>
    <w:p w14:paraId="174F298F"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52FA10EA"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18/2</w:t>
      </w:r>
    </w:p>
    <w:p w14:paraId="5E67C32A" w14:textId="77777777"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Informacioni në lidhje me zinxhirin e vlerës për qëllimet e raportimit të qëndrueshmërisë</w:t>
      </w:r>
    </w:p>
    <w:p w14:paraId="4DB6FA26"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531F3058" w14:textId="2E1A2EC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w:t>
      </w:r>
      <w:r w:rsidR="00152F24"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Kur është e zbatueshme, informacioni i përmendur në pikat 1 dhe 2 të nenit 18/1 të këtij ligji duhet të përfshijë informacion në lidhje me veprimtarinë e vetë njësisë ekonomike dhe zinxhirin e saj të vlerës, duke përfshirë produktet dhe shërbimet e saj, marrëdhëniet e saj të biznesit dhe zinxhirin e saj të furnizimit.</w:t>
      </w:r>
    </w:p>
    <w:p w14:paraId="6D732E62" w14:textId="3D80639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152F24"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Njësitë ekonomike raportuese mund të mbështeten në një vetëdeklarim nga njësitë ekonomike në zinxhirin e tyre të vlerës për të përcaktuar nëse ato kualifikohen si njësi ekonomike të mbrojtura. Njësitë ekonomike raportuese nuk kanë detyrimin të ndërmarrin hapa për të verifikuar informacionin e përfshirë në një vetëdeklarim të tillë. </w:t>
      </w:r>
      <w:r w:rsidR="001C15FE" w:rsidRPr="007C1501">
        <w:rPr>
          <w:rFonts w:ascii="Garamond" w:hAnsi="Garamond" w:cs="Times New Roman"/>
          <w:color w:val="000000" w:themeColor="text1"/>
          <w:sz w:val="24"/>
          <w:szCs w:val="24"/>
        </w:rPr>
        <w:t>A</w:t>
      </w:r>
      <w:r w:rsidRPr="007C1501">
        <w:rPr>
          <w:rFonts w:ascii="Garamond" w:hAnsi="Garamond" w:cs="Times New Roman"/>
          <w:color w:val="000000" w:themeColor="text1"/>
          <w:sz w:val="24"/>
          <w:szCs w:val="24"/>
        </w:rPr>
        <w:t>to nuk duhet të mbështeten në vetëdeklarim nëse e dinë ose mund të pritet në mënyrë të arsyeshme të dinë se deklarata është qartazi e pasaktë.</w:t>
      </w:r>
    </w:p>
    <w:p w14:paraId="57B982B0" w14:textId="0179DB5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w:t>
      </w:r>
      <w:r w:rsidR="00152F24"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Njësitë ekonomike të mbrojtura kanë të drejtën të refuzojnë dhënien e informacionit që tejkalon informacionin e specifikuar në standardet vullnetare, në përgjigje të një kërkese të bërë për qëllime të raportimit të qëndrueshmërisë, sipas këtij ligji. Për më tepër:</w:t>
      </w:r>
    </w:p>
    <w:p w14:paraId="02D78D8E" w14:textId="36F44F2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kur vendosen marrëveshje kontraktuale ose të tjera për qëllime të përmbushjes së kërkesave të raportimit të qëndrueshmërisë, sipas këtij ligji, njësitë ekonomike raportuese nuk duhet të kërkojnë nga njësitë ekonomike të mbrojtura të japin informacion që tejkalon informacionin e përcaktuar në standardet vullnetare;</w:t>
      </w:r>
    </w:p>
    <w:p w14:paraId="225E3E7B" w14:textId="295C42F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 çdo dispozitë kontraktuale që bie ndesh me shkronjën “a” të kësaj pike nuk do të jetë detyruese, pa cenuar vlefshmërinë e pjesëve të tjera të kontratës;</w:t>
      </w:r>
    </w:p>
    <w:p w14:paraId="6666D33D" w14:textId="64926EA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 kur një njësi ekonomike raportuese kërkon informacion, drejtpërdrejt ose tërthorazi,</w:t>
      </w:r>
      <w:r w:rsidR="00FD2A9C"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nga njësi ekonomike të mbrojtura, për qëllime të raportimit të qëndrueshmërisë, dhe një pjesë ose i gjithë ai informacion tejkalon informacionin e përcaktuar në standardet vullnetare, ajo njësi ekonomike raportuese duhet të sigurojë që njësia ekonomike e mbrojtur të informohet për:</w:t>
      </w:r>
    </w:p>
    <w:p w14:paraId="11C2C466" w14:textId="67230E9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CE39A9"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informacionin që tejkalon informacionin e përcaktuar në standardet vullnetare;</w:t>
      </w:r>
    </w:p>
    <w:p w14:paraId="13B86A11" w14:textId="46F2A01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CE39A9"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të drejtën ligjore të njësisë ekonomike të mbrojtur për të refuzuar dhënien e këtij informacioni.</w:t>
      </w:r>
    </w:p>
    <w:p w14:paraId="69E0834E" w14:textId="1B773F2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ç)</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njësitë ekonomike raportuese, të cilat raportojnë informacionin e nevojshëm në lidhje me zinxhirin e tyre të vlerës, pa u kërkuar njësive ekonomike të mbrojtura të japin informacion që tejkalon informacionin e përcaktuar në standardet vullnetare, konsiderohen se kanë përmbushur detyrimin për të raportuar informacionin në lidhje me zinxhirin e vlerës.</w:t>
      </w:r>
    </w:p>
    <w:p w14:paraId="39DBA5F7" w14:textId="54C0757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w:t>
      </w:r>
      <w:r w:rsidR="00152F24"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Dispozitat e këtij neni nuk duhet:</w:t>
      </w:r>
    </w:p>
    <w:p w14:paraId="3A7ABD30" w14:textId="4775CB4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w:t>
      </w:r>
      <w:r w:rsidR="00152F24"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të ndikojnë në kërkesat për informacion, të bëra për qëllime të tjera nga raportimi i qëndrueshmërisë, sipas këtij ligji, përfshirë kërkesat për përmbushjen e detyrimeve ligjore në lidhje me proceset e kujdesit të duhur; ose</w:t>
      </w:r>
    </w:p>
    <w:p w14:paraId="73E090DF" w14:textId="0D0347B2"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152F24"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të vendosin ose të nënkuptojnë ndonjë detyrim për ndonjë njësi ekonomike në zinxhirin e vlerës për të dhënë informacion për qëndrueshmërinë.</w:t>
      </w:r>
    </w:p>
    <w:p w14:paraId="1130844A" w14:textId="2A2050C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5.</w:t>
      </w:r>
      <w:r w:rsidR="00152F24"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Për </w:t>
      </w:r>
      <w:r w:rsidR="009A3F1C" w:rsidRPr="007C1501">
        <w:rPr>
          <w:rFonts w:ascii="Garamond" w:hAnsi="Garamond" w:cs="Times New Roman"/>
          <w:color w:val="000000" w:themeColor="text1"/>
          <w:sz w:val="24"/>
          <w:szCs w:val="24"/>
        </w:rPr>
        <w:t>3</w:t>
      </w:r>
      <w:r w:rsidRPr="007C1501">
        <w:rPr>
          <w:rFonts w:ascii="Garamond" w:hAnsi="Garamond" w:cs="Times New Roman"/>
          <w:color w:val="000000" w:themeColor="text1"/>
          <w:sz w:val="24"/>
          <w:szCs w:val="24"/>
        </w:rPr>
        <w:t xml:space="preserve"> v</w:t>
      </w:r>
      <w:r w:rsidR="002B27F2" w:rsidRPr="007C1501">
        <w:rPr>
          <w:rFonts w:ascii="Garamond" w:hAnsi="Garamond" w:cs="Times New Roman"/>
          <w:color w:val="000000" w:themeColor="text1"/>
          <w:sz w:val="24"/>
          <w:szCs w:val="24"/>
        </w:rPr>
        <w:t>jetët</w:t>
      </w:r>
      <w:r w:rsidRPr="007C1501">
        <w:rPr>
          <w:rFonts w:ascii="Garamond" w:hAnsi="Garamond" w:cs="Times New Roman"/>
          <w:color w:val="000000" w:themeColor="text1"/>
          <w:sz w:val="24"/>
          <w:szCs w:val="24"/>
        </w:rPr>
        <w:t xml:space="preserve"> e para, gjatë të cilave një njësi ekonomike bëhet subjekt i kërkesave të raportimit të qëndrueshmërisë, në përputhje me pikën 1 të nenit 18/1 të këtij ligji, dhe kur jo i gjithë informacioni i nevojshëm në lidhje me zinxhirin e saj të vlerës është i disponueshëm, njësia ekonomike duhet:</w:t>
      </w:r>
    </w:p>
    <w:p w14:paraId="0D4FC7E1" w14:textId="1B86759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të shpjegojë përpjekjet e bëra për të siguruar informacionin e nevojshëm në lidhje me zinxhirin e vlerës;</w:t>
      </w:r>
    </w:p>
    <w:p w14:paraId="48B3B0AB" w14:textId="105AEAD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të shpjegojë arsyet pse nuk është siguruar i gjithë informacioni i nevojshëm; </w:t>
      </w:r>
    </w:p>
    <w:p w14:paraId="3E239D26" w14:textId="31EC36A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 të përshkruajë planet e saj për të siguruar informacionin në të ardhmen.</w:t>
      </w:r>
    </w:p>
    <w:p w14:paraId="775093AB" w14:textId="1D83197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6. Pas përfundimit të periudhës tranzitore </w:t>
      </w:r>
      <w:r w:rsidR="00953519" w:rsidRPr="007C1501">
        <w:rPr>
          <w:rFonts w:ascii="Garamond" w:hAnsi="Garamond" w:cs="Times New Roman"/>
          <w:color w:val="000000" w:themeColor="text1"/>
          <w:sz w:val="24"/>
          <w:szCs w:val="24"/>
        </w:rPr>
        <w:t>3-</w:t>
      </w:r>
      <w:r w:rsidRPr="007C1501">
        <w:rPr>
          <w:rFonts w:ascii="Garamond" w:hAnsi="Garamond" w:cs="Times New Roman"/>
          <w:color w:val="000000" w:themeColor="text1"/>
          <w:sz w:val="24"/>
          <w:szCs w:val="24"/>
        </w:rPr>
        <w:t>vjeçare, të përmendur në pikën 5 të këtij neni, njësia ekonomike duhet të përmbushë detyrimin për të raportuar informacionin në lidhje me zinxhirin e vlerës, duke përdorur informacion të marrë drejtpërdrejt nga njësi ekonomike, brenda zinxhirit të saj të vlerës ose, sipas rastit, vlerësime të këtij informacioni.”.</w:t>
      </w:r>
    </w:p>
    <w:p w14:paraId="693DF14B"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04C0BA87" w14:textId="77777777" w:rsidR="001004CA" w:rsidRDefault="001004CA" w:rsidP="003456F4">
      <w:pPr>
        <w:spacing w:after="0" w:line="240" w:lineRule="auto"/>
        <w:ind w:firstLine="284"/>
        <w:jc w:val="center"/>
        <w:rPr>
          <w:rFonts w:ascii="Garamond" w:hAnsi="Garamond" w:cs="Times New Roman"/>
          <w:color w:val="000000" w:themeColor="text1"/>
          <w:sz w:val="24"/>
          <w:szCs w:val="24"/>
        </w:rPr>
      </w:pPr>
    </w:p>
    <w:p w14:paraId="085EB2ED"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16</w:t>
      </w:r>
    </w:p>
    <w:p w14:paraId="3402D80F"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435FA82D" w14:textId="34A8D73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pikën 1 të nenit 19 bëhen këto shtesa dhe ndryshime:</w:t>
      </w:r>
    </w:p>
    <w:p w14:paraId="398B8497" w14:textId="4C5CE871" w:rsidR="001B0D78" w:rsidRPr="007C1501" w:rsidRDefault="00AA5459"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1. </w:t>
      </w:r>
      <w:r w:rsidR="001B0D78" w:rsidRPr="007C1501">
        <w:rPr>
          <w:rFonts w:ascii="Garamond" w:hAnsi="Garamond" w:cs="Times New Roman"/>
          <w:color w:val="000000" w:themeColor="text1"/>
          <w:sz w:val="24"/>
          <w:szCs w:val="24"/>
        </w:rPr>
        <w:t xml:space="preserve">Pas fjalëve “Njësitë ekonomike me interes publik” shtohen </w:t>
      </w:r>
      <w:r w:rsidR="00041671" w:rsidRPr="007C1501">
        <w:rPr>
          <w:rFonts w:ascii="Garamond" w:hAnsi="Garamond" w:cs="Times New Roman"/>
          <w:color w:val="000000" w:themeColor="text1"/>
          <w:sz w:val="24"/>
          <w:szCs w:val="24"/>
        </w:rPr>
        <w:t xml:space="preserve">fjalët </w:t>
      </w:r>
      <w:r w:rsidR="001B0D78" w:rsidRPr="007C1501">
        <w:rPr>
          <w:rFonts w:ascii="Garamond" w:hAnsi="Garamond" w:cs="Times New Roman"/>
          <w:color w:val="000000" w:themeColor="text1"/>
          <w:sz w:val="24"/>
          <w:szCs w:val="24"/>
        </w:rPr>
        <w:t>“përjashtuar mikronjësitë”.</w:t>
      </w:r>
    </w:p>
    <w:p w14:paraId="42F626BF" w14:textId="7770968C" w:rsidR="001E4400" w:rsidRPr="007C1501" w:rsidRDefault="00AA5459"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2. </w:t>
      </w:r>
      <w:r w:rsidR="001E4400" w:rsidRPr="007C1501">
        <w:rPr>
          <w:rFonts w:ascii="Garamond" w:hAnsi="Garamond" w:cs="Times New Roman"/>
          <w:color w:val="000000" w:themeColor="text1"/>
          <w:sz w:val="24"/>
          <w:szCs w:val="24"/>
        </w:rPr>
        <w:t>Në shkronjën “a” pas nënndarjes “iii” shtohet një paragraf me këtë përmbajtje:</w:t>
      </w:r>
    </w:p>
    <w:p w14:paraId="23694452" w14:textId="4CB8024A" w:rsidR="001E4400" w:rsidRPr="007C1501" w:rsidRDefault="001E4400"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“Kur përfshihen referenca të kodit për drejtimin e brendshëm, të përmendura në nënndarjet “i” ose “ii” të kësaj shkronje, njësia ekonomike përcakton edhe se ku gjenden të publikuara tekstet përkatëse. Kur përfshihen referenca të informacionit</w:t>
      </w:r>
      <w:r w:rsidR="00037694"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të përmendura në nënndarjen “iii” të kësaj shkronje, njësia ekonomike vë në dispozicion të publikut detaje të praktikave të saj të drejtimit të brendshëm;</w:t>
      </w:r>
    </w:p>
    <w:p w14:paraId="640ECC63" w14:textId="5D13E8A1" w:rsidR="001B0D78" w:rsidRPr="007C1501" w:rsidRDefault="001E4400"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w:t>
      </w:r>
      <w:r w:rsidR="001B0D78" w:rsidRPr="007C1501">
        <w:rPr>
          <w:rFonts w:ascii="Garamond" w:hAnsi="Garamond" w:cs="Times New Roman"/>
          <w:color w:val="000000" w:themeColor="text1"/>
          <w:sz w:val="24"/>
          <w:szCs w:val="24"/>
        </w:rPr>
        <w:t>.</w:t>
      </w:r>
      <w:r w:rsidR="002B27F2" w:rsidRPr="007C1501">
        <w:rPr>
          <w:rFonts w:ascii="Garamond" w:hAnsi="Garamond" w:cs="Times New Roman"/>
          <w:color w:val="000000" w:themeColor="text1"/>
          <w:sz w:val="24"/>
          <w:szCs w:val="24"/>
        </w:rPr>
        <w:t xml:space="preserve"> </w:t>
      </w:r>
      <w:r w:rsidR="001B0D78" w:rsidRPr="007C1501">
        <w:rPr>
          <w:rFonts w:ascii="Garamond" w:hAnsi="Garamond" w:cs="Times New Roman"/>
          <w:color w:val="000000" w:themeColor="text1"/>
          <w:sz w:val="24"/>
          <w:szCs w:val="24"/>
        </w:rPr>
        <w:t>Në shkronjën “ç” bëhen ndryshimi dhe shtesa e mëposhtme:</w:t>
      </w:r>
    </w:p>
    <w:p w14:paraId="26C3F0F8" w14:textId="4DACEF8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a) </w:t>
      </w:r>
      <w:r w:rsidR="00832BD0" w:rsidRPr="007C1501">
        <w:rPr>
          <w:rFonts w:ascii="Garamond" w:hAnsi="Garamond" w:cs="Times New Roman"/>
          <w:color w:val="000000" w:themeColor="text1"/>
          <w:sz w:val="24"/>
          <w:szCs w:val="24"/>
        </w:rPr>
        <w:t>f</w:t>
      </w:r>
      <w:r w:rsidRPr="007C1501">
        <w:rPr>
          <w:rFonts w:ascii="Garamond" w:hAnsi="Garamond" w:cs="Times New Roman"/>
          <w:color w:val="000000" w:themeColor="text1"/>
          <w:sz w:val="24"/>
          <w:szCs w:val="24"/>
        </w:rPr>
        <w:t xml:space="preserve">jala “të ndryshme” zëvendësohet me </w:t>
      </w:r>
      <w:r w:rsidR="00832BD0" w:rsidRPr="007C1501">
        <w:rPr>
          <w:rFonts w:ascii="Garamond" w:hAnsi="Garamond" w:cs="Times New Roman"/>
          <w:color w:val="000000" w:themeColor="text1"/>
          <w:sz w:val="24"/>
          <w:szCs w:val="24"/>
        </w:rPr>
        <w:t xml:space="preserve">fjalën </w:t>
      </w:r>
      <w:r w:rsidRPr="007C1501">
        <w:rPr>
          <w:rFonts w:ascii="Garamond" w:hAnsi="Garamond" w:cs="Times New Roman"/>
          <w:color w:val="000000" w:themeColor="text1"/>
          <w:sz w:val="24"/>
          <w:szCs w:val="24"/>
        </w:rPr>
        <w:t xml:space="preserve">“të diversitetit”; </w:t>
      </w:r>
    </w:p>
    <w:p w14:paraId="1025D163" w14:textId="52CCCAD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2B27F2" w:rsidRPr="007C1501">
        <w:rPr>
          <w:rFonts w:ascii="Garamond" w:hAnsi="Garamond" w:cs="Times New Roman"/>
          <w:color w:val="000000" w:themeColor="text1"/>
          <w:sz w:val="24"/>
          <w:szCs w:val="24"/>
        </w:rPr>
        <w:t xml:space="preserve"> </w:t>
      </w:r>
      <w:r w:rsidR="005E7D52" w:rsidRPr="007C1501">
        <w:rPr>
          <w:rFonts w:ascii="Garamond" w:hAnsi="Garamond" w:cs="Times New Roman"/>
          <w:color w:val="000000" w:themeColor="text1"/>
          <w:sz w:val="24"/>
          <w:szCs w:val="24"/>
        </w:rPr>
        <w:t>n</w:t>
      </w:r>
      <w:r w:rsidRPr="007C1501">
        <w:rPr>
          <w:rFonts w:ascii="Garamond" w:hAnsi="Garamond" w:cs="Times New Roman"/>
          <w:color w:val="000000" w:themeColor="text1"/>
          <w:sz w:val="24"/>
          <w:szCs w:val="24"/>
        </w:rPr>
        <w:t>ë fund të shkronjës shtohen fjalitë me këtë përmbajtje:</w:t>
      </w:r>
    </w:p>
    <w:p w14:paraId="15DE8B33" w14:textId="798D8C4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“Nëse nuk zbatohet një politikë e tillë, raporti duhet të përmbajë një shpjegim të arsyeve përkatëse. Njësitë ekonomike që përgatitin raport mbi qëndrueshmërinë, në përputhje me këtë ligj, konsiderohen se e kanë përmbushur këtë detyrim kur informacioni i kërkuar përfshihet në atë raport dhe bëhet referencë për të në raportin e drejtimit të brendshëm.”.</w:t>
      </w:r>
    </w:p>
    <w:p w14:paraId="158EDAE7"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2385DAC3" w14:textId="7232CB1B" w:rsidR="00AA5459" w:rsidRPr="007C1501" w:rsidRDefault="00AA5459" w:rsidP="003456F4">
      <w:pPr>
        <w:spacing w:after="0" w:line="240" w:lineRule="auto"/>
        <w:ind w:firstLine="284"/>
        <w:contextualSpacing/>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16/1</w:t>
      </w:r>
    </w:p>
    <w:p w14:paraId="16318A90" w14:textId="77777777" w:rsidR="00AA5459" w:rsidRPr="007C1501" w:rsidRDefault="00AA5459" w:rsidP="003456F4">
      <w:pPr>
        <w:spacing w:after="0" w:line="240" w:lineRule="auto"/>
        <w:ind w:firstLine="284"/>
        <w:jc w:val="both"/>
        <w:rPr>
          <w:rFonts w:ascii="Garamond" w:hAnsi="Garamond" w:cs="Times New Roman"/>
          <w:color w:val="000000" w:themeColor="text1"/>
          <w:sz w:val="24"/>
          <w:szCs w:val="24"/>
        </w:rPr>
      </w:pPr>
    </w:p>
    <w:p w14:paraId="612620C9" w14:textId="123E106C" w:rsidR="00AA5459" w:rsidRPr="007C1501" w:rsidRDefault="00AA5459"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nenin 20 pas pikës 2 shtohet pika 3 me këtë përmbajtje:</w:t>
      </w:r>
    </w:p>
    <w:p w14:paraId="3F19A949" w14:textId="0EB283C4" w:rsidR="00AA5459" w:rsidRPr="007C1501" w:rsidRDefault="00AA5459"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 Kur krahas raportit të ecurisë së veprimtarisë kërkohet gjithashtu një raport i konsoliduar i ecurisë së veprimtarisë, të dyja raportet mund të paraqiten si një raport i vetëm.</w:t>
      </w:r>
    </w:p>
    <w:p w14:paraId="4CB00AB7" w14:textId="77777777" w:rsidR="008F20FF" w:rsidRPr="007C1501" w:rsidRDefault="008F20FF" w:rsidP="003456F4">
      <w:pPr>
        <w:spacing w:after="0" w:line="240" w:lineRule="auto"/>
        <w:ind w:firstLine="284"/>
        <w:jc w:val="both"/>
        <w:rPr>
          <w:rFonts w:ascii="Garamond" w:hAnsi="Garamond" w:cs="Times New Roman"/>
          <w:color w:val="000000" w:themeColor="text1"/>
          <w:sz w:val="24"/>
          <w:szCs w:val="24"/>
        </w:rPr>
      </w:pPr>
    </w:p>
    <w:p w14:paraId="24708C50"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17</w:t>
      </w:r>
    </w:p>
    <w:p w14:paraId="0CC39BFA"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4743812A" w14:textId="3DC6141D"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Pas nenit 20 shtohen nenet 20/1 deri 20/7 me këtë përmbajtje:</w:t>
      </w:r>
    </w:p>
    <w:p w14:paraId="03BEFCB5"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50F15411"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20/1</w:t>
      </w:r>
    </w:p>
    <w:p w14:paraId="5532DF60" w14:textId="77777777"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Raportimi i qëndrueshmërisë i konsoliduar</w:t>
      </w:r>
    </w:p>
    <w:p w14:paraId="1BB03F7E"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03F670E4" w14:textId="158EEE2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Njësitë ekonomike mëmë të një grupi, të cilat në datën e raportimit, në bazë të konsoliduar, tejkalojnë njëkohësisht të ardhura neto prej 45 000 000 000 lekësh dhe një mesatare vjetore prej 1 000 punonjësish gjatë vitit financiar, duhet të përgatisin dhe të përfshijnë në raportin e konsoliduar të ecurisë së veprimtarisë informacionin e nevojshëm për të kuptuar:</w:t>
      </w:r>
    </w:p>
    <w:p w14:paraId="20558191"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ndikimet e veprimtarive të grupit për çështjet e qëndrueshmërisë;</w:t>
      </w:r>
    </w:p>
    <w:p w14:paraId="0B586DFF" w14:textId="3F19FDB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mënyrën se si çështjet e qëndrueshmërisë ndikojnë në zhvillimin, performancën dhe pozicionin e grupit.</w:t>
      </w:r>
    </w:p>
    <w:p w14:paraId="10A2B0A8" w14:textId="6FFFC89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Informacioni i përmendur në këtë pikë duhet të jetë qartësisht i identifikueshëm brenda raportit të konsoliduar të ecurisë së veprimtarisë, nëpërmjet një seksioni të dedikuar të këtij raporti.</w:t>
      </w:r>
    </w:p>
    <w:p w14:paraId="142D8D20" w14:textId="6C43781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Raporti i qëndrueshmërisë i konsoliduar përmban:</w:t>
      </w:r>
    </w:p>
    <w:p w14:paraId="347616E1" w14:textId="7363489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përshkrim të modelit dhe strategjisë së biznesit të grupit, duke përfshirë:</w:t>
      </w:r>
    </w:p>
    <w:p w14:paraId="315879D9" w14:textId="42E4F69D"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fleksibilitetin e modelit dhe strategjisë së biznesit të grupit për sa u përket rreziqeve që lidhen me çështjet e qëndrueshmërisë;</w:t>
      </w:r>
    </w:p>
    <w:p w14:paraId="2A4757F2" w14:textId="109AC612"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mundësitë për grupin në lidhje me çështjet e qëndrueshmërisë;</w:t>
      </w:r>
    </w:p>
    <w:p w14:paraId="0E0597CA" w14:textId="1CAD4D9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planet e grupit, përfshirë masat zbatuese dhe planet financiare të investimeve, për të siguruar harmonizimin e modelit dhe strategjisë, me kalimin drejt një ekonomie të qëndrueshme dhe me kufizimin e ngrohjes globale në 1,5°C, në pajtueshmëri me marrëveshjen e Parisit dhe me objektivin e arritjes së neutralitetit klimatik deri në vitin 2050, dhe, sipas rastit, ekspozimin e grupit ndaj veprimtarive të lidhura me qymyrin, naftën dhe gazin;</w:t>
      </w:r>
    </w:p>
    <w:p w14:paraId="079CCEB1" w14:textId="6987281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iv.</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mënyrën se si modeli dhe strategjia e biznesit të grupit marrin parasysh interesat e grupeve të interesit dhe ndikimet e grupit në çështjet e qëndrueshmërisë;</w:t>
      </w:r>
    </w:p>
    <w:p w14:paraId="3C89C627" w14:textId="0846E56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v.</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mënyrën e zbatimit të strategjisë së grupit në lidhje me çështjet e qëndrueshmërisë.</w:t>
      </w:r>
    </w:p>
    <w:p w14:paraId="0C83A0E9" w14:textId="6F1B283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përshkrim të objektivave të përcaktuar nga grupi lidhur me çështjet e qëndrueshmërisë, përfshirë, sipas rastit, objektivat e reduktimit të shkarkimeve të gazeve me efekt ser</w:t>
      </w:r>
      <w:r w:rsidR="00D8688C" w:rsidRPr="007C1501">
        <w:rPr>
          <w:rFonts w:ascii="Garamond" w:hAnsi="Garamond" w:cs="Times New Roman"/>
          <w:color w:val="000000" w:themeColor="text1"/>
          <w:sz w:val="24"/>
          <w:szCs w:val="24"/>
        </w:rPr>
        <w:t>r</w:t>
      </w:r>
      <w:r w:rsidRPr="007C1501">
        <w:rPr>
          <w:rFonts w:ascii="Garamond" w:hAnsi="Garamond" w:cs="Times New Roman"/>
          <w:color w:val="000000" w:themeColor="text1"/>
          <w:sz w:val="24"/>
          <w:szCs w:val="24"/>
        </w:rPr>
        <w:t>ë për periudhat afatmesme dhe afatgjata, progresin drejt arritjes së tyre dhe një deklaratë, ku të cilësohet nëse objektivat e grupit në lidhje me faktorët mjedisorë bazohen në të dhëna shkencore të verifikuara;</w:t>
      </w:r>
    </w:p>
    <w:p w14:paraId="30C0BCD9"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 përshkrim të rolit të organeve ekzekutive, drejtuese dhe mbikëqyrëse, në lidhje me çështjet e qëndrueshmërisë, si dhe të ekspertizës dhe aftësive të tyre në këtë drejtim;</w:t>
      </w:r>
    </w:p>
    <w:p w14:paraId="6D199F21" w14:textId="4DEA1BA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ç)</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përshkrim të politikave të ndjekura nga grupi për çështjet e qëndrueshmërisë;</w:t>
      </w:r>
    </w:p>
    <w:p w14:paraId="0AFAAE13" w14:textId="6E4BE93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d)</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informacion për ekzistencën e skemave nxitëse lidhur me çështjet e qëndrueshmërisë për anëtarët e organeve ekzekutive, drejtuese e mbikëqyrëse;</w:t>
      </w:r>
    </w:p>
    <w:p w14:paraId="44DFB1BC" w14:textId="7F677B1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dh) përshkrim të:</w:t>
      </w:r>
    </w:p>
    <w:p w14:paraId="54B24A4B" w14:textId="45056A0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procesit të kujdesit të duhur, të zbatuar nga grupi për çështjet e qëndrueshmërisë;</w:t>
      </w:r>
    </w:p>
    <w:p w14:paraId="56D906A5" w14:textId="15678AC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ndikimeve kryesore negative, aktuale ose të mundshme, që lidhen me veprimtarinë e tij dhe zinxhirin e vlerës, duke përfshirë produktet, shërbimet, marrëdhëniet e biznesit dhe zinxhirin e saj të furnizimit, si dhe masat e marra për t’i identifikuar, për t’i monitoruar dhe për t’i menaxhuar ato;</w:t>
      </w:r>
    </w:p>
    <w:p w14:paraId="73483B5B" w14:textId="76C89B7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çdo mase të ndërmarrë nga grupi për të parandaluar, për të zbutur, për të korrigjuar ose për të eliminuar ndikimet negative, aktuale ose të mundshme, dhe të rezultatit të këtyre masave.</w:t>
      </w:r>
    </w:p>
    <w:p w14:paraId="3519FDBB" w14:textId="18DD43F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e) përshkrim të rreziqeve kryesore për grupin, sa </w:t>
      </w:r>
      <w:r w:rsidR="008D6702" w:rsidRPr="007C1501">
        <w:rPr>
          <w:rFonts w:ascii="Garamond" w:hAnsi="Garamond" w:cs="Times New Roman"/>
          <w:color w:val="000000" w:themeColor="text1"/>
          <w:sz w:val="24"/>
          <w:szCs w:val="24"/>
        </w:rPr>
        <w:t>u</w:t>
      </w:r>
      <w:r w:rsidRPr="007C1501">
        <w:rPr>
          <w:rFonts w:ascii="Garamond" w:hAnsi="Garamond" w:cs="Times New Roman"/>
          <w:color w:val="000000" w:themeColor="text1"/>
          <w:sz w:val="24"/>
          <w:szCs w:val="24"/>
        </w:rPr>
        <w:t xml:space="preserve"> përket çështjeve të qëndrueshmërisë, duke përfshirë ndërvarësitë kryesore nga këto çështje dhe mënyrën e menaxhimit të rreziqeve;</w:t>
      </w:r>
    </w:p>
    <w:p w14:paraId="4127C986" w14:textId="12403E9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ë)</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treguesit kryesorë të performancës për çështjet e raportuara në shkronjat “a” deri në “e” të kësaj pike.</w:t>
      </w:r>
    </w:p>
    <w:p w14:paraId="55C5813E" w14:textId="7384DF0D"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Raporti pasqyron të dhëna afatshkurtra, afatmesme dhe afatgjata, sipas rastit.</w:t>
      </w:r>
    </w:p>
    <w:p w14:paraId="219F4C0A" w14:textId="5867ABC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Kur raporton informacionin e përmendur në pikat 1 dhe 2 të këtij neni, njësia ekonomike mëmë mund të mos përfshijë informacionin e mëposhtëm:</w:t>
      </w:r>
    </w:p>
    <w:p w14:paraId="41840520" w14:textId="0346E81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w:t>
      </w:r>
      <w:r w:rsidR="002B27F2" w:rsidRPr="007C1501">
        <w:rPr>
          <w:rFonts w:ascii="Garamond" w:hAnsi="Garamond" w:cs="Times New Roman"/>
          <w:color w:val="000000" w:themeColor="text1"/>
          <w:sz w:val="24"/>
          <w:szCs w:val="24"/>
        </w:rPr>
        <w:t xml:space="preserve"> </w:t>
      </w:r>
      <w:r w:rsidR="007763FB" w:rsidRPr="007C1501">
        <w:rPr>
          <w:rFonts w:ascii="Garamond" w:hAnsi="Garamond" w:cs="Times New Roman"/>
          <w:color w:val="000000" w:themeColor="text1"/>
          <w:sz w:val="24"/>
          <w:szCs w:val="24"/>
        </w:rPr>
        <w:t>n</w:t>
      </w:r>
      <w:r w:rsidRPr="007C1501">
        <w:rPr>
          <w:rFonts w:ascii="Garamond" w:hAnsi="Garamond" w:cs="Times New Roman"/>
          <w:color w:val="000000" w:themeColor="text1"/>
          <w:sz w:val="24"/>
          <w:szCs w:val="24"/>
        </w:rPr>
        <w:t>ë raste të jashtëzakonshme, informacionin, dhënia e të cilit do të dëmtonte rëndë pozitën tregtare të grupit, me kusht që:</w:t>
      </w:r>
    </w:p>
    <w:p w14:paraId="00C580F5" w14:textId="0735477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 mospërfshirje e tillë të mos pengojë një kuptim të drejtë dhe të ekuilibruar të zhvillimit, performancës dhe pozicionit të grupit ose të rreziqeve kryesore apo ndikimeve kryesore të tij;</w:t>
      </w:r>
    </w:p>
    <w:p w14:paraId="33F0F2CC" w14:textId="5324FAB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njësia ekonomike mëmë të ketë vlerësuar se informacioni nuk mund të jepet në një mënyrë që do të lejonte përmbushjen e objektivave të kërkesës për dhënie informacioni, pa dëmtuar rëndë pozitën tregtare të grupit, duke përfshirë, sipas rastit, edhe dhënien e tij në formë të agreguar;</w:t>
      </w:r>
    </w:p>
    <w:p w14:paraId="3D9F5400" w14:textId="62BF06D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njësia ekonomike mëmë të bëjë të ditur se ka përdorur këtë përjashtim; </w:t>
      </w:r>
    </w:p>
    <w:p w14:paraId="0842EAA0" w14:textId="26237DF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iv.</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njësia ekonomike mëmë të rivlerësojë në çdo datë raportimi nëse informacioni mund të vazhdojë të mos përfshihet.</w:t>
      </w:r>
    </w:p>
    <w:p w14:paraId="61A741AB" w14:textId="1866787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2B27F2" w:rsidRPr="007C1501">
        <w:rPr>
          <w:rFonts w:ascii="Garamond" w:hAnsi="Garamond" w:cs="Times New Roman"/>
          <w:color w:val="000000" w:themeColor="text1"/>
          <w:sz w:val="24"/>
          <w:szCs w:val="24"/>
        </w:rPr>
        <w:t xml:space="preserve"> </w:t>
      </w:r>
      <w:r w:rsidR="00BE1D51" w:rsidRPr="007C1501">
        <w:rPr>
          <w:rFonts w:ascii="Garamond" w:hAnsi="Garamond" w:cs="Times New Roman"/>
          <w:color w:val="000000" w:themeColor="text1"/>
          <w:sz w:val="24"/>
          <w:szCs w:val="24"/>
        </w:rPr>
        <w:t>i</w:t>
      </w:r>
      <w:r w:rsidRPr="007C1501">
        <w:rPr>
          <w:rFonts w:ascii="Garamond" w:hAnsi="Garamond" w:cs="Times New Roman"/>
          <w:color w:val="000000" w:themeColor="text1"/>
          <w:sz w:val="24"/>
          <w:szCs w:val="24"/>
        </w:rPr>
        <w:t>nformacionin që lidhet me kapitalin intelektual, pronësinë intelektuale, njohuritë e specializuara, informacionin teknologjik ose rezultatet e inovacionit, të cilat përbëjnë sekret tregtar, sipas legjislacionit në fuqi, me kusht që:</w:t>
      </w:r>
    </w:p>
    <w:p w14:paraId="688F2A70" w14:textId="64C0B60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njësia ekonomike mëmë të bëjë të ditur se ka përdorur këtë përjashtim; </w:t>
      </w:r>
    </w:p>
    <w:p w14:paraId="012EBD99" w14:textId="32A43CF2"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njësia ekonomike mëmë të rivlerësojë në çdo datë raportimi nëse informacioni mund të vazhdojë të mos përfshihet.</w:t>
      </w:r>
    </w:p>
    <w:p w14:paraId="347DC37A" w14:textId="0B5DDC02"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w:t>
      </w:r>
      <w:r w:rsidR="002B27F2" w:rsidRPr="007C1501">
        <w:rPr>
          <w:rFonts w:ascii="Garamond" w:hAnsi="Garamond" w:cs="Times New Roman"/>
          <w:color w:val="000000" w:themeColor="text1"/>
          <w:sz w:val="24"/>
          <w:szCs w:val="24"/>
        </w:rPr>
        <w:t xml:space="preserve"> </w:t>
      </w:r>
      <w:r w:rsidR="00BE1D51" w:rsidRPr="007C1501">
        <w:rPr>
          <w:rFonts w:ascii="Garamond" w:hAnsi="Garamond" w:cs="Times New Roman"/>
          <w:color w:val="000000" w:themeColor="text1"/>
          <w:sz w:val="24"/>
          <w:szCs w:val="24"/>
        </w:rPr>
        <w:t>i</w:t>
      </w:r>
      <w:r w:rsidRPr="007C1501">
        <w:rPr>
          <w:rFonts w:ascii="Garamond" w:hAnsi="Garamond" w:cs="Times New Roman"/>
          <w:color w:val="000000" w:themeColor="text1"/>
          <w:sz w:val="24"/>
          <w:szCs w:val="24"/>
        </w:rPr>
        <w:t>nformacionin e klasifikuar, sipas legjislacionit të zbatueshëm, me kusht që:</w:t>
      </w:r>
    </w:p>
    <w:p w14:paraId="57C0DE09" w14:textId="388C7CD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njësia ekonomike mëmë të bëjë të ditur se ka përdorur këtë përjashtim;</w:t>
      </w:r>
    </w:p>
    <w:p w14:paraId="7750B6A4" w14:textId="3EC121ED"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njësia ekonomike mëmë të rivlerësojë në çdo datë raportimi nëse informacioni mund të vazhdojë të mos përfshihet.</w:t>
      </w:r>
    </w:p>
    <w:p w14:paraId="1B4EACBF" w14:textId="2FCEEE5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ç) </w:t>
      </w:r>
      <w:r w:rsidR="00BE1D51" w:rsidRPr="007C1501">
        <w:rPr>
          <w:rFonts w:ascii="Garamond" w:hAnsi="Garamond" w:cs="Times New Roman"/>
          <w:color w:val="000000" w:themeColor="text1"/>
          <w:sz w:val="24"/>
          <w:szCs w:val="24"/>
        </w:rPr>
        <w:t>i</w:t>
      </w:r>
      <w:r w:rsidRPr="007C1501">
        <w:rPr>
          <w:rFonts w:ascii="Garamond" w:hAnsi="Garamond" w:cs="Times New Roman"/>
          <w:color w:val="000000" w:themeColor="text1"/>
          <w:sz w:val="24"/>
          <w:szCs w:val="24"/>
        </w:rPr>
        <w:t>nformacione të tjera që duhet të mbrohen nga aksesi ose nga përhapja e paautorizuar për shkak të detyrimeve të përcaktuara nga legjislacioni në fuqi ose për të mbrojtur privatësinë apo sigurinë e një personi fizik ose sigurinë e një personi juridik, me kusht që:</w:t>
      </w:r>
    </w:p>
    <w:p w14:paraId="3445DFA6" w14:textId="219F3CB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njësia ekonomike mëmë të bëjë të ditur se ka përdorur këtë përjashtim;</w:t>
      </w:r>
    </w:p>
    <w:p w14:paraId="0FDCC8E8" w14:textId="11C8987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njësia ekonomike mëmë të rivlerësojë</w:t>
      </w:r>
      <w:r w:rsidR="00563A04"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në çdo datë raportimi nëse informacioni mund të vazhdojë të mos përfshihet.</w:t>
      </w:r>
    </w:p>
    <w:p w14:paraId="24141B6A" w14:textId="7301C8C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 Në përjashtim nga pika 1 e këtij neni, kur përbërja e grupit ndryshon gjatë vitit financiar si rezultat i blerjes ose bashkimit të njësive ekonomike, njësia ekonomike mëmë mund të vendosë të mos përfshijë në raportin e konsoliduar të ecurisë së veprimtarisë për atë vit financiar informacionin e përmendur në pikën 1 të këtij neni në lidhje me njësitë ekonomike, që janë subjekt i kësaj blerjeje ose bashkimi.</w:t>
      </w:r>
    </w:p>
    <w:p w14:paraId="326C6EA7" w14:textId="4305403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Njësia ekonomike mëmë mund të vendosë të mos përfshijë në raportin e konsoliduar të ecurisë së veprimtarisë informacionin e përmendur në pikën 1 të këtij neni, në lidhje me një njësi ekonomike të kontrolluar që del nga grupi gjatë vitit financiar.</w:t>
      </w:r>
    </w:p>
    <w:p w14:paraId="48FD3EA1" w14:textId="26803ED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Njësia ekonomike mëmë, e cila zbaton mundësitë e parashikuara në këtë pikë, duhet të japë informacion për çdo ngjarje të rëndësishme që prek njësinë ekonomike të kontrolluar gjatë vitit financiar dhe ka efekt mbi ndikimet e grupit për çështjet e qëndrueshmërisë ose në rreziqet apo mundësitë që lidhen me to.</w:t>
      </w:r>
    </w:p>
    <w:p w14:paraId="7C00AB07" w14:textId="04AE0BA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5.</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Raporti i qëndrueshmërisë i konsoliduar përgatitet në përputhje me standardet e raportimit të qëndrueshmërisë, të shpallura për zbatim me urdhër nga ministri përgjegjës për financat.</w:t>
      </w:r>
    </w:p>
    <w:p w14:paraId="76D678DA" w14:textId="2401AF0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6.</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Drejtuesit e njësisë mëmë informojnë përfaqësuesit e punonjësve në nivelin e duhur dhe diskutojnë me ta informacionin përkatës dhe mjetet e sigurimit e verifikimit të informacionit lidhur me qëndrueshmërinë. Opinioni i përfaqësuesve të punonjësve u komunikohet, sipas rastit, organeve kompetente ekzekutive, drejtuese ose mbikëqyrëse.</w:t>
      </w:r>
    </w:p>
    <w:p w14:paraId="6E1D1CDE" w14:textId="155864B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7.</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Njësia mëmë, që përmbush kërkesat e përcaktuara në pikat 1 deri në 5 të këtij neni, konsiderohet se ka përmbushur kërkesat për përfshirjen e informacionit përkatës në raportin e konsoliduar të ecurisë së veprimtarisë dhe në raportimin e qëndrueshmërisë në nivel grupi, sipas këtij ligji.</w:t>
      </w:r>
    </w:p>
    <w:p w14:paraId="2CA16F4A" w14:textId="678E85D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8.</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Në përjashtim nga pika 1 e këtij neni, njësitë ekonomike mëmë, që janë njësi ekonomike të tipit “shoqëri financiare </w:t>
      </w:r>
      <w:r w:rsidRPr="007C1501">
        <w:rPr>
          <w:rFonts w:ascii="Garamond" w:hAnsi="Garamond" w:cs="Times New Roman"/>
          <w:i/>
          <w:iCs/>
          <w:color w:val="000000" w:themeColor="text1"/>
          <w:sz w:val="24"/>
          <w:szCs w:val="24"/>
        </w:rPr>
        <w:t>holding</w:t>
      </w:r>
      <w:r w:rsidRPr="007C1501">
        <w:rPr>
          <w:rFonts w:ascii="Garamond" w:hAnsi="Garamond" w:cs="Times New Roman"/>
          <w:color w:val="000000" w:themeColor="text1"/>
          <w:sz w:val="24"/>
          <w:szCs w:val="24"/>
        </w:rPr>
        <w:t>”</w:t>
      </w:r>
      <w:r w:rsidR="0055498A"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mund të vendosin të mos përfshijnë në raportin e konsoliduar të ecurisë së veprimtarisë informacionin e përmendur në pikën 1 të këtij neni, kur modelet e biznesit dhe veprimtaritë e njësive ekonomike të kontrolluara janë të pavarura nga njëra-tjetra. </w:t>
      </w:r>
    </w:p>
    <w:p w14:paraId="0A256DC8" w14:textId="326081D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9.</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Njësia mëmë përjashtohet nga detyrimi për të hartuar raport të konsoliduar të qëndrueshmërisë, kur ajo vetë është njësi e kontrolluar dhe përfshihet, së bashku me njësitë e saj të kontrolluara, në raportin e konsoliduar të ecurisë së veprimtarisë ose në raportin e qëndrueshmërisë të konsoliduar të një njësie mëmë tjetër, të përgatitur në përputhje me standardet e raportimit të qëndrueshmërisë ose standardeve të barasvlershme me to, sipas përcaktimeve të akteve nënligjore për njohjen e barasvlefshmërisë së këtyre standardeve. Përjashtimi vlen </w:t>
      </w:r>
      <w:r w:rsidR="001C15FE" w:rsidRPr="007C1501">
        <w:rPr>
          <w:rFonts w:ascii="Garamond" w:hAnsi="Garamond" w:cs="Times New Roman"/>
          <w:color w:val="000000" w:themeColor="text1"/>
          <w:sz w:val="24"/>
          <w:szCs w:val="24"/>
        </w:rPr>
        <w:t>edhe</w:t>
      </w:r>
      <w:r w:rsidRPr="007C1501">
        <w:rPr>
          <w:rFonts w:ascii="Garamond" w:hAnsi="Garamond" w:cs="Times New Roman"/>
          <w:color w:val="000000" w:themeColor="text1"/>
          <w:sz w:val="24"/>
          <w:szCs w:val="24"/>
        </w:rPr>
        <w:t xml:space="preserve"> kur njësia mëmë tjetër është e themeluar në një juridiksion tjetër, me kusht që raporti i saj i qëndrueshmërisë i konsoliduar të jetë i përgatitur sipas standardeve të raportimit të qëndrueshmërisë ose sipas standardeve të barasvlershme me to, sipas përcaktimeve të akteve nënligjore për njohjen e barasvle</w:t>
      </w:r>
      <w:r w:rsidR="007C1501">
        <w:rPr>
          <w:rFonts w:ascii="Garamond" w:hAnsi="Garamond" w:cs="Times New Roman"/>
          <w:color w:val="000000" w:themeColor="text1"/>
          <w:sz w:val="24"/>
          <w:szCs w:val="24"/>
        </w:rPr>
        <w:t>r</w:t>
      </w:r>
      <w:r w:rsidRPr="007C1501">
        <w:rPr>
          <w:rFonts w:ascii="Garamond" w:hAnsi="Garamond" w:cs="Times New Roman"/>
          <w:color w:val="000000" w:themeColor="text1"/>
          <w:sz w:val="24"/>
          <w:szCs w:val="24"/>
        </w:rPr>
        <w:t>shmërisë së këtyre standardeve. Përjashtimi zbatohet vetëm nëse plotësohen kushtet e mëposhtme:</w:t>
      </w:r>
    </w:p>
    <w:p w14:paraId="3A38438F" w14:textId="1FE649D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w:t>
      </w:r>
      <w:r w:rsidR="002B27F2" w:rsidRPr="007C1501">
        <w:rPr>
          <w:rFonts w:ascii="Garamond" w:hAnsi="Garamond" w:cs="Times New Roman"/>
          <w:color w:val="000000" w:themeColor="text1"/>
          <w:sz w:val="24"/>
          <w:szCs w:val="24"/>
        </w:rPr>
        <w:t xml:space="preserve"> </w:t>
      </w:r>
      <w:r w:rsidR="0055498A" w:rsidRPr="007C1501">
        <w:rPr>
          <w:rFonts w:ascii="Garamond" w:hAnsi="Garamond" w:cs="Times New Roman"/>
          <w:color w:val="000000" w:themeColor="text1"/>
          <w:sz w:val="24"/>
          <w:szCs w:val="24"/>
        </w:rPr>
        <w:t>r</w:t>
      </w:r>
      <w:r w:rsidRPr="007C1501">
        <w:rPr>
          <w:rFonts w:ascii="Garamond" w:hAnsi="Garamond" w:cs="Times New Roman"/>
          <w:color w:val="000000" w:themeColor="text1"/>
          <w:sz w:val="24"/>
          <w:szCs w:val="24"/>
        </w:rPr>
        <w:t xml:space="preserve">aporti i ecurisë së veprimtarisë </w:t>
      </w:r>
      <w:r w:rsidR="00931771" w:rsidRPr="007C1501">
        <w:rPr>
          <w:rFonts w:ascii="Garamond" w:hAnsi="Garamond" w:cs="Times New Roman"/>
          <w:color w:val="000000" w:themeColor="text1"/>
          <w:sz w:val="24"/>
          <w:szCs w:val="24"/>
        </w:rPr>
        <w:t>së</w:t>
      </w:r>
      <w:r w:rsidRPr="007C1501">
        <w:rPr>
          <w:rFonts w:ascii="Garamond" w:hAnsi="Garamond" w:cs="Times New Roman"/>
          <w:color w:val="000000" w:themeColor="text1"/>
          <w:sz w:val="24"/>
          <w:szCs w:val="24"/>
        </w:rPr>
        <w:t xml:space="preserve"> njësisë mëmë të përjashtuar përmban:</w:t>
      </w:r>
      <w:r w:rsidR="00931771" w:rsidRPr="007C1501">
        <w:rPr>
          <w:rFonts w:ascii="Garamond" w:hAnsi="Garamond" w:cs="Times New Roman"/>
          <w:color w:val="000000" w:themeColor="text1"/>
          <w:sz w:val="24"/>
          <w:szCs w:val="24"/>
        </w:rPr>
        <w:t xml:space="preserve"> </w:t>
      </w:r>
    </w:p>
    <w:p w14:paraId="1B84A1CA" w14:textId="60ABAEE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emrin dhe selinë e regjistruar të njësisë mëmë që raporton në nivel grupi;</w:t>
      </w:r>
    </w:p>
    <w:p w14:paraId="4A3F77E2" w14:textId="35626A3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lidhjen në </w:t>
      </w:r>
      <w:r w:rsidRPr="007C1501">
        <w:rPr>
          <w:rFonts w:ascii="Garamond" w:hAnsi="Garamond" w:cs="Times New Roman"/>
          <w:i/>
          <w:iCs/>
          <w:color w:val="000000" w:themeColor="text1"/>
          <w:sz w:val="24"/>
          <w:szCs w:val="24"/>
        </w:rPr>
        <w:t>web</w:t>
      </w:r>
      <w:r w:rsidRPr="007C1501">
        <w:rPr>
          <w:rFonts w:ascii="Garamond" w:hAnsi="Garamond" w:cs="Times New Roman"/>
          <w:color w:val="000000" w:themeColor="text1"/>
          <w:sz w:val="24"/>
          <w:szCs w:val="24"/>
        </w:rPr>
        <w:t xml:space="preserve"> që drejton te raporti i konsoliduar i ecurisë së veprimtarisë </w:t>
      </w:r>
      <w:r w:rsidR="00D6674F" w:rsidRPr="007C1501">
        <w:rPr>
          <w:rFonts w:ascii="Garamond" w:hAnsi="Garamond" w:cs="Times New Roman"/>
          <w:color w:val="000000" w:themeColor="text1"/>
          <w:sz w:val="24"/>
          <w:szCs w:val="24"/>
        </w:rPr>
        <w:t xml:space="preserve">së </w:t>
      </w:r>
      <w:r w:rsidRPr="007C1501">
        <w:rPr>
          <w:rFonts w:ascii="Garamond" w:hAnsi="Garamond" w:cs="Times New Roman"/>
          <w:color w:val="000000" w:themeColor="text1"/>
          <w:sz w:val="24"/>
          <w:szCs w:val="24"/>
        </w:rPr>
        <w:t>njësisë mëmë ose, sipas rastit, te raporti i saj i qëndrueshmërisë i konsoliduar, si dhe te</w:t>
      </w:r>
      <w:r w:rsidR="00D6674F" w:rsidRPr="007C1501">
        <w:rPr>
          <w:rFonts w:ascii="Garamond" w:hAnsi="Garamond" w:cs="Times New Roman"/>
          <w:color w:val="000000" w:themeColor="text1"/>
          <w:sz w:val="24"/>
          <w:szCs w:val="24"/>
        </w:rPr>
        <w:t>k</w:t>
      </w:r>
      <w:r w:rsidRPr="007C1501">
        <w:rPr>
          <w:rFonts w:ascii="Garamond" w:hAnsi="Garamond" w:cs="Times New Roman"/>
          <w:color w:val="000000" w:themeColor="text1"/>
          <w:sz w:val="24"/>
          <w:szCs w:val="24"/>
        </w:rPr>
        <w:t xml:space="preserve"> opinioni i dhënies së sigurisë për raportin;</w:t>
      </w:r>
    </w:p>
    <w:p w14:paraId="583CADA8" w14:textId="75A2D7F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deklarimin se njësia mëmë është e përjashtuar nga detyrimi për raportim të konsoliduar të qëndrueshmërisë, sipas kësaj pike.</w:t>
      </w:r>
    </w:p>
    <w:p w14:paraId="2ADEDE60" w14:textId="66731E5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2B27F2" w:rsidRPr="007C1501">
        <w:rPr>
          <w:rFonts w:ascii="Garamond" w:hAnsi="Garamond" w:cs="Times New Roman"/>
          <w:color w:val="000000" w:themeColor="text1"/>
          <w:sz w:val="24"/>
          <w:szCs w:val="24"/>
        </w:rPr>
        <w:t xml:space="preserve"> </w:t>
      </w:r>
      <w:r w:rsidR="00D6674F" w:rsidRPr="007C1501">
        <w:rPr>
          <w:rFonts w:ascii="Garamond" w:hAnsi="Garamond" w:cs="Times New Roman"/>
          <w:color w:val="000000" w:themeColor="text1"/>
          <w:sz w:val="24"/>
          <w:szCs w:val="24"/>
        </w:rPr>
        <w:t>k</w:t>
      </w:r>
      <w:r w:rsidRPr="007C1501">
        <w:rPr>
          <w:rFonts w:ascii="Garamond" w:hAnsi="Garamond" w:cs="Times New Roman"/>
          <w:color w:val="000000" w:themeColor="text1"/>
          <w:sz w:val="24"/>
          <w:szCs w:val="24"/>
        </w:rPr>
        <w:t>ur njësia mëmë është themeluar në një juridiksion tjetër, raporti i qëndrueshmërisë i konsoliduar dhe opinioni i dhënies së sigurisë publikohen në përputhje me kërkesat e këtij ligji për publikimin dhe me legjislacionin e shtetit ku është regjistruar njësia mëmë e përjashtuar;</w:t>
      </w:r>
    </w:p>
    <w:p w14:paraId="4EFAB026" w14:textId="69600D1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w:t>
      </w:r>
      <w:r w:rsidR="002B27F2" w:rsidRPr="007C1501">
        <w:rPr>
          <w:rFonts w:ascii="Garamond" w:hAnsi="Garamond" w:cs="Times New Roman"/>
          <w:color w:val="000000" w:themeColor="text1"/>
          <w:sz w:val="24"/>
          <w:szCs w:val="24"/>
        </w:rPr>
        <w:t xml:space="preserve"> </w:t>
      </w:r>
      <w:r w:rsidR="00D6674F" w:rsidRPr="007C1501">
        <w:rPr>
          <w:rFonts w:ascii="Garamond" w:hAnsi="Garamond" w:cs="Times New Roman"/>
          <w:color w:val="000000" w:themeColor="text1"/>
          <w:sz w:val="24"/>
          <w:szCs w:val="24"/>
        </w:rPr>
        <w:t>k</w:t>
      </w:r>
      <w:r w:rsidRPr="007C1501">
        <w:rPr>
          <w:rFonts w:ascii="Garamond" w:hAnsi="Garamond" w:cs="Times New Roman"/>
          <w:color w:val="000000" w:themeColor="text1"/>
          <w:sz w:val="24"/>
          <w:szCs w:val="24"/>
        </w:rPr>
        <w:t>ur njësia mëmë është themeluar në një juridiksion tjetër, raporti i qëndrueshmërisë i konsoliduar përfshin edhe deklarimet për veprimtaritë e njësive të kontrolluara, sipas kërkesave të legjislacionit për klasifikimin e aktiviteteve të qëndrueshme.</w:t>
      </w:r>
    </w:p>
    <w:p w14:paraId="1B319A38" w14:textId="76825643" w:rsidR="00AA5459"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10.</w:t>
      </w:r>
      <w:r w:rsidR="00975A48" w:rsidRPr="007C1501">
        <w:rPr>
          <w:rFonts w:ascii="Garamond" w:hAnsi="Garamond" w:cs="Times New Roman"/>
          <w:color w:val="000000" w:themeColor="text1"/>
          <w:sz w:val="24"/>
          <w:szCs w:val="24"/>
        </w:rPr>
        <w:t xml:space="preserve"> </w:t>
      </w:r>
      <w:r w:rsidR="00AA5459" w:rsidRPr="007C1501">
        <w:rPr>
          <w:rFonts w:ascii="Garamond" w:hAnsi="Garamond" w:cs="Times New Roman"/>
          <w:color w:val="000000" w:themeColor="text1"/>
          <w:sz w:val="24"/>
          <w:szCs w:val="24"/>
        </w:rPr>
        <w:t>Raporti i qëndrueshmërisë i konsoliduar, hartuar sipas përcaktimeve të pikës 22 të nenit 3 të këtij ligji</w:t>
      </w:r>
      <w:r w:rsidR="009C2FA2" w:rsidRPr="007C1501">
        <w:rPr>
          <w:rFonts w:ascii="Garamond" w:hAnsi="Garamond" w:cs="Times New Roman"/>
          <w:color w:val="000000" w:themeColor="text1"/>
          <w:sz w:val="24"/>
          <w:szCs w:val="24"/>
        </w:rPr>
        <w:t>,</w:t>
      </w:r>
      <w:r w:rsidR="00AA5459" w:rsidRPr="007C1501">
        <w:rPr>
          <w:rFonts w:ascii="Garamond" w:hAnsi="Garamond" w:cs="Times New Roman"/>
          <w:color w:val="000000" w:themeColor="text1"/>
          <w:sz w:val="24"/>
          <w:szCs w:val="24"/>
        </w:rPr>
        <w:t xml:space="preserve"> dhe, sipas rastit, përkthimet përkatëse publikohen në gjuhën shqipe dhe çdo përkthim i pacertifikuar shoqërohet me deklaratën përkatëse.</w:t>
      </w:r>
    </w:p>
    <w:p w14:paraId="56B828F0" w14:textId="0705E7D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11.</w:t>
      </w:r>
      <w:r w:rsidR="00975A48"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Njësitë mëmë të përjashtuara nga përgatitja e raportit të ecurisë së veprimtarisë nuk janë të detyruara të përfshijnë informacionin e përcaktuar në nënndarjet “i” deri në “iii” të shkronjës “a” të pikës 9 të këtij neni, me kusht që të publikojnë raportin e konsoliduar të ecurisë së veprimtarisë</w:t>
      </w:r>
      <w:r w:rsidR="000E4273"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në përputhje me kërkesat e këtij ligji.</w:t>
      </w:r>
    </w:p>
    <w:p w14:paraId="1DCFC026" w14:textId="07ECBFD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Për qëllimet e kësaj pike, institucionet e kreditit</w:t>
      </w:r>
      <w:r w:rsidR="000E4273"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të lidhura në mënyrë të përhershme me një organ qendror që i mbikëqyr, trajtohen si njësi të kontrolluara të atij organi qendror, sipas legjislacionit përkatës</w:t>
      </w:r>
      <w:r w:rsidR="0035762C"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w:t>
      </w:r>
      <w:r w:rsidR="0095497C" w:rsidRPr="007C1501">
        <w:rPr>
          <w:rFonts w:ascii="Garamond" w:hAnsi="Garamond" w:cs="Times New Roman"/>
          <w:color w:val="000000" w:themeColor="text1"/>
          <w:sz w:val="24"/>
          <w:szCs w:val="24"/>
        </w:rPr>
        <w:t>P</w:t>
      </w:r>
      <w:r w:rsidRPr="007C1501">
        <w:rPr>
          <w:rFonts w:ascii="Garamond" w:hAnsi="Garamond" w:cs="Times New Roman"/>
          <w:color w:val="000000" w:themeColor="text1"/>
          <w:sz w:val="24"/>
          <w:szCs w:val="24"/>
        </w:rPr>
        <w:t>ër grupet e përfshira në sektorin e sigurimeve, të cilat i nënshtrohen mbikëqyrjes së grupit, sipas legjislacionit për sigurimet, njësitë trajtohen si të kontrolluara të njësisë mëmë të grupit.</w:t>
      </w:r>
    </w:p>
    <w:p w14:paraId="460B4174"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Përjashtimi i përcaktuar në këtë pikë vlen edhe për njësitë me interes publik.</w:t>
      </w:r>
    </w:p>
    <w:p w14:paraId="38DADC34"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F3E814B"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20/2</w:t>
      </w:r>
    </w:p>
    <w:p w14:paraId="3DC1F69B" w14:textId="77777777" w:rsidR="00D8688C"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 xml:space="preserve">Informacioni </w:t>
      </w:r>
      <w:r w:rsidR="00D8688C" w:rsidRPr="007C1501">
        <w:rPr>
          <w:rFonts w:ascii="Garamond" w:hAnsi="Garamond" w:cs="Times New Roman"/>
          <w:b/>
          <w:bCs/>
          <w:color w:val="000000" w:themeColor="text1"/>
          <w:sz w:val="24"/>
          <w:szCs w:val="24"/>
        </w:rPr>
        <w:t>p</w:t>
      </w:r>
      <w:r w:rsidRPr="007C1501">
        <w:rPr>
          <w:rFonts w:ascii="Garamond" w:hAnsi="Garamond" w:cs="Times New Roman"/>
          <w:b/>
          <w:bCs/>
          <w:color w:val="000000" w:themeColor="text1"/>
          <w:sz w:val="24"/>
          <w:szCs w:val="24"/>
        </w:rPr>
        <w:t>ë</w:t>
      </w:r>
      <w:r w:rsidR="00D8688C" w:rsidRPr="007C1501">
        <w:rPr>
          <w:rFonts w:ascii="Garamond" w:hAnsi="Garamond" w:cs="Times New Roman"/>
          <w:b/>
          <w:bCs/>
          <w:color w:val="000000" w:themeColor="text1"/>
          <w:sz w:val="24"/>
          <w:szCs w:val="24"/>
        </w:rPr>
        <w:t>r</w:t>
      </w:r>
      <w:r w:rsidRPr="007C1501">
        <w:rPr>
          <w:rFonts w:ascii="Garamond" w:hAnsi="Garamond" w:cs="Times New Roman"/>
          <w:b/>
          <w:bCs/>
          <w:color w:val="000000" w:themeColor="text1"/>
          <w:sz w:val="24"/>
          <w:szCs w:val="24"/>
        </w:rPr>
        <w:t xml:space="preserve"> zinxhirin e vlerës për qëllimet e raportimit të konsoliduar </w:t>
      </w:r>
    </w:p>
    <w:p w14:paraId="5A309D7B" w14:textId="463D6E6C"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të qëndrueshmërisë</w:t>
      </w:r>
    </w:p>
    <w:p w14:paraId="7403C601" w14:textId="77777777" w:rsidR="00412FAE" w:rsidRPr="007C1501" w:rsidRDefault="00412FAE" w:rsidP="003456F4">
      <w:pPr>
        <w:spacing w:after="0" w:line="240" w:lineRule="auto"/>
        <w:ind w:firstLine="284"/>
        <w:jc w:val="center"/>
        <w:rPr>
          <w:rFonts w:ascii="Garamond" w:hAnsi="Garamond" w:cs="Times New Roman"/>
          <w:color w:val="000000" w:themeColor="text1"/>
          <w:sz w:val="24"/>
          <w:szCs w:val="24"/>
        </w:rPr>
      </w:pPr>
    </w:p>
    <w:p w14:paraId="74616F65" w14:textId="3742A3A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 Kur është i zbatueshëm, informacioni i përmendur në pikat 1 dhe 2 të nenit 20/1 të këtij ligji duhet të përfshijë informacion në lidhje me veprimtarinë e vetë grupit dhe zinxhirin e tij të vlerës, duke përfshirë produktet dhe shërbimet e tij, marrëdhëniet e tij të biznesit dhe zinxhirin e furnizimit.</w:t>
      </w:r>
    </w:p>
    <w:p w14:paraId="429E9BA9" w14:textId="11A1D84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 Njësitë ekonomike raportuese mund të mbështeten në një vetëdeklarim nga njësi ekonomike në zinxhirin e tyre të vlerës, për të përcaktuar nëse ato kualifikohen si njësi ekonomike të mbrojtura. Ato nuk kanë detyrimin të verifikojnë informacionin e përfshirë në vetëdeklarim</w:t>
      </w:r>
      <w:r w:rsidR="00342C89" w:rsidRPr="007C1501">
        <w:rPr>
          <w:rFonts w:ascii="Garamond" w:hAnsi="Garamond" w:cs="Times New Roman"/>
          <w:color w:val="000000" w:themeColor="text1"/>
          <w:sz w:val="24"/>
          <w:szCs w:val="24"/>
        </w:rPr>
        <w:t xml:space="preserve"> dhe</w:t>
      </w:r>
      <w:r w:rsidRPr="007C1501">
        <w:rPr>
          <w:rFonts w:ascii="Garamond" w:hAnsi="Garamond" w:cs="Times New Roman"/>
          <w:color w:val="000000" w:themeColor="text1"/>
          <w:sz w:val="24"/>
          <w:szCs w:val="24"/>
        </w:rPr>
        <w:t xml:space="preserve"> nuk duhet të mbështeten në vetëdeklarim kur e dinë ose mund të pritet në mënyrë të arsyeshme të dinë se deklarata është qartazi e pasaktë.</w:t>
      </w:r>
    </w:p>
    <w:p w14:paraId="304AE7F1" w14:textId="1EA896BD"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 Njësitë ekonomike të mbrojtura kanë të drejtën të refuzojnë dhënien e informacionit që tejkalon informacionin e specifikuar në standardet vullnetare, në përgjigje të një kërkese të bërë, për qëllime të raportimit të konsoliduar të qëndrueshmërisë, sipas këtij ligji. Për më tepër:</w:t>
      </w:r>
    </w:p>
    <w:p w14:paraId="44B0D979" w14:textId="4D2DEEE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kur vendosen marrëveshje kontraktuale ose të tjera për të përmbushur kërkesat e raportimit të konsoliduar të qëndrueshmërisë, njësitë ekonomike raportuese nuk duhet të kërkojnë nga njësitë ekonomike të mbrojtura të japin informacion që tejkalon informacionin e përcaktuar në standardet vullnetare;</w:t>
      </w:r>
    </w:p>
    <w:p w14:paraId="4F93D764" w14:textId="480AE11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 çdo dispozitë kontraktuale që bie ndesh me shkronjën “a” të kësaj pike nuk do të ketë fuqi detyruese, pa cenuar vlefshmërinë e pjesëve të tjera të kontratës;</w:t>
      </w:r>
    </w:p>
    <w:p w14:paraId="1E727F6D" w14:textId="67A6C01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 kur një njësi ekonomike raportuese kërkon informacion, drejtpërdrejt ose tërthorazi, nga njësi ekonomike të mbrojtura për qëllime të raportimit të konsoliduar të qëndrueshmërisë dhe një pjesë ose i gjithë ai informacion tejkalon informacionin e përcaktuar në standardet vullnetare, ajo duhet të sigurojë që njësia ekonomike e mbrojtur të informohet për:</w:t>
      </w:r>
    </w:p>
    <w:p w14:paraId="298F4181" w14:textId="3D9221ED"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informacionin që tejkalon informacionin e përcaktuar në standardet vullnetare;</w:t>
      </w:r>
    </w:p>
    <w:p w14:paraId="1E9F7B86" w14:textId="2A2C50F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2B27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të drejtën ligjore të njësisë ekonomike të mbrojtur për të refuzuar dhënien e këtij informacioni.</w:t>
      </w:r>
    </w:p>
    <w:p w14:paraId="64866A9C" w14:textId="0478B65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ç)</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njësitë ekonomike raportuese të cilat raportojnë informacionin e nevojshëm në lidhje me zinxhirin e tyre të vlerës, pa u kërkuar njësive ekonomike të mbrojtura të japin informacion që tejkalon informacionin e përcaktuar në standardet vullnetare, konsiderohen se kanë përmbushur detyrimin për të raportuar informacionin në lidhje me zinxhirin e vlerës.</w:t>
      </w:r>
    </w:p>
    <w:p w14:paraId="1CF7C27B" w14:textId="61C963F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 Dispozitat e këtij neni nuk duhet:</w:t>
      </w:r>
    </w:p>
    <w:p w14:paraId="67ECAF57" w14:textId="6AF8324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të ndikojnë në kërkesat për informacion të bëra për qëllime të tjera nga raportimi i konsoliduar i qëndrueshmërisë, sipas këtij ligji, përfshirë kërkesat e lidhura me procesin e kujdesit të duhur; ose</w:t>
      </w:r>
    </w:p>
    <w:p w14:paraId="33E65213" w14:textId="4EAEC08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të vendosin ose të nënkuptojnë ndonjë detyrim për ndonjë njësi ekonomike brenda zinxhirit të vlerës për të dhënë informacion për qëndrueshmërinë.</w:t>
      </w:r>
    </w:p>
    <w:p w14:paraId="3DCE8981" w14:textId="22A5231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5. Për </w:t>
      </w:r>
      <w:r w:rsidR="00384A66" w:rsidRPr="007C1501">
        <w:rPr>
          <w:rFonts w:ascii="Garamond" w:hAnsi="Garamond" w:cs="Times New Roman"/>
          <w:color w:val="000000" w:themeColor="text1"/>
          <w:sz w:val="24"/>
          <w:szCs w:val="24"/>
        </w:rPr>
        <w:t>3</w:t>
      </w:r>
      <w:r w:rsidRPr="007C1501">
        <w:rPr>
          <w:rFonts w:ascii="Garamond" w:hAnsi="Garamond" w:cs="Times New Roman"/>
          <w:color w:val="000000" w:themeColor="text1"/>
          <w:sz w:val="24"/>
          <w:szCs w:val="24"/>
        </w:rPr>
        <w:t xml:space="preserve"> </w:t>
      </w:r>
      <w:r w:rsidR="00EB28DE" w:rsidRPr="007C1501">
        <w:rPr>
          <w:rFonts w:ascii="Garamond" w:hAnsi="Garamond" w:cs="Times New Roman"/>
          <w:color w:val="000000" w:themeColor="text1"/>
          <w:sz w:val="24"/>
          <w:szCs w:val="24"/>
        </w:rPr>
        <w:t>vjetët</w:t>
      </w:r>
      <w:r w:rsidRPr="007C1501">
        <w:rPr>
          <w:rFonts w:ascii="Garamond" w:hAnsi="Garamond" w:cs="Times New Roman"/>
          <w:color w:val="000000" w:themeColor="text1"/>
          <w:sz w:val="24"/>
          <w:szCs w:val="24"/>
        </w:rPr>
        <w:t xml:space="preserve"> e par</w:t>
      </w:r>
      <w:r w:rsidR="00EB28DE" w:rsidRPr="007C1501">
        <w:rPr>
          <w:rFonts w:ascii="Garamond" w:hAnsi="Garamond" w:cs="Times New Roman"/>
          <w:color w:val="000000" w:themeColor="text1"/>
          <w:sz w:val="24"/>
          <w:szCs w:val="24"/>
        </w:rPr>
        <w:t>ë</w:t>
      </w:r>
      <w:r w:rsidRPr="007C1501">
        <w:rPr>
          <w:rFonts w:ascii="Garamond" w:hAnsi="Garamond" w:cs="Times New Roman"/>
          <w:color w:val="000000" w:themeColor="text1"/>
          <w:sz w:val="24"/>
          <w:szCs w:val="24"/>
        </w:rPr>
        <w:t xml:space="preserve"> gjatë të cil</w:t>
      </w:r>
      <w:r w:rsidR="00EB28DE" w:rsidRPr="007C1501">
        <w:rPr>
          <w:rFonts w:ascii="Garamond" w:hAnsi="Garamond" w:cs="Times New Roman"/>
          <w:color w:val="000000" w:themeColor="text1"/>
          <w:sz w:val="24"/>
          <w:szCs w:val="24"/>
        </w:rPr>
        <w:t>ë</w:t>
      </w:r>
      <w:r w:rsidRPr="007C1501">
        <w:rPr>
          <w:rFonts w:ascii="Garamond" w:hAnsi="Garamond" w:cs="Times New Roman"/>
          <w:color w:val="000000" w:themeColor="text1"/>
          <w:sz w:val="24"/>
          <w:szCs w:val="24"/>
        </w:rPr>
        <w:t>ve një njësi ekonomike mëmë bëhet subjekt i kërkesave të raportimit të konsoliduar të qëndrueshmërisë, në përputhje me pikën 1 të nenit 20/1 të këtij ligji, dhe kur jo i gjithë informacioni i nevojshëm në lidhje me zinxhirin e saj të vlerës është i disponueshëm, ajo duhet:</w:t>
      </w:r>
    </w:p>
    <w:p w14:paraId="377DF4E7" w14:textId="1D2061A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të shpjegojë përpjekjet e bëra për të siguruar informacionin e nevojshëm në lidhje me zinxhirin e vlerës;</w:t>
      </w:r>
    </w:p>
    <w:p w14:paraId="76290FFE" w14:textId="7E50345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të shpjegojë arsyet pse nuk është siguruar i gjithë informacioni i nevojshëm; </w:t>
      </w:r>
    </w:p>
    <w:p w14:paraId="5428A16F" w14:textId="65F3D4AD"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të përshkruajë planet e saj për të siguruar këtë informacion në të ardhmen.</w:t>
      </w:r>
    </w:p>
    <w:p w14:paraId="08F15B0B" w14:textId="1F3217E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6. Pas përfundimit të periudhës </w:t>
      </w:r>
      <w:r w:rsidR="00EF3F2B" w:rsidRPr="007C1501">
        <w:rPr>
          <w:rFonts w:ascii="Garamond" w:hAnsi="Garamond" w:cs="Times New Roman"/>
          <w:color w:val="000000" w:themeColor="text1"/>
          <w:sz w:val="24"/>
          <w:szCs w:val="24"/>
        </w:rPr>
        <w:t>3-</w:t>
      </w:r>
      <w:r w:rsidRPr="007C1501">
        <w:rPr>
          <w:rFonts w:ascii="Garamond" w:hAnsi="Garamond" w:cs="Times New Roman"/>
          <w:color w:val="000000" w:themeColor="text1"/>
          <w:sz w:val="24"/>
          <w:szCs w:val="24"/>
        </w:rPr>
        <w:t>vjeçare të tranzicionit, të përmendur në pikën 5 të këtij neni, njësia ekonomike mëmë duhet të përmbushë detyrimin për të raportuar informacionin e zinxhirit të vlerës, duke përdorur informacion të marrë drejtpërdrejt nga njësitë ekonomike, brenda zinxhirit të saj të vlerës ose, sipas rastit, vlerësime të këtij informacioni.</w:t>
      </w:r>
    </w:p>
    <w:p w14:paraId="2E3E6780" w14:textId="11EE30F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7. Kur është e zbatueshme, informacioni i përmendur në pikat 1 dhe 2 të nenit 20/1</w:t>
      </w:r>
      <w:r w:rsidR="00757DB3"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të këtij ligji, duhet të përfshijë gjithashtu referenca dhe shpjegime shtesë në lidhje me informacion tjetër, të përfshirë në raportin e konsoliduar të ecurisë së veprimtarisë dhe me vlerat e raportuara në pasqyrat financiare të konsoliduara.</w:t>
      </w:r>
    </w:p>
    <w:p w14:paraId="6DA9884C"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20/3</w:t>
      </w:r>
    </w:p>
    <w:p w14:paraId="1BDEBB54" w14:textId="77777777"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Standardet e raportimit të qëndrueshmërisë</w:t>
      </w:r>
    </w:p>
    <w:p w14:paraId="4AC558C3"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45E333F2" w14:textId="7B2B89C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Standardet e raportimit të qëndrueshmërisë përcaktojnë formatin, përmbajtjen, treguesit kryesorë dhe elementet e tjera të nevojshme për përgatitjen dhe publikimin e raporteve të qëndrueshmërisë, duke marrë parasysh zhvillimet më të fundit ndërkombëtare dhe rajonale në këtë fushë.</w:t>
      </w:r>
    </w:p>
    <w:p w14:paraId="384C9E89" w14:textId="50508D8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Standardet e raportimit të qëndrueshmërisë duhet të sigurojnë cilësinë e informacionit të raportuar, duke kërkuar që ai të jetë i kuptueshëm, i rëndësishëm, i verifikueshëm, i krahasueshëm dhe i paraqitur në mënyrë të besueshme.</w:t>
      </w:r>
    </w:p>
    <w:p w14:paraId="6E6ABC84"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Standardet e raportimit të qëndrueshmërisë nuk duhet të vendosin një barrë të tepruar administrative ose financiare për njësitë ekonomike dhe duhet të marrin në konsideratë, në masën më të madhe të mundshme, nismat dhe zhvillimet ndërkombëtare në fushën e raportimit të qëndrueshmërisë. Ato duhet gjithashtu të sigurojnë, në masën më të madhe të mundshme, koherencë me kërkesat e përcaktuara në legjislacionin tjetër të zbatueshëm.</w:t>
      </w:r>
    </w:p>
    <w:p w14:paraId="0FCF107D"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Standardet e raportimit të qëndrueshmërisë duhet, në masën më të madhe të mundshme, t’i japin përparësi zbulimit të informacionit sasior, duke marrë parasysh barrën për njësitë ekonomike dhe nevojat e përdoruesve të informacionit të qëndrueshmërisë.</w:t>
      </w:r>
    </w:p>
    <w:p w14:paraId="57B06361" w14:textId="551E7C3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Standardet e raportimit të qëndrueshmërisë, duke marrë parasysh objektin e një standardi të veçantë, specifikojnë informacionin që njësitë ekonomike duhet të deklarojnë në lidhje me:</w:t>
      </w:r>
    </w:p>
    <w:p w14:paraId="744F42AD" w14:textId="7E50F0B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faktorët mjedisorë, përfshirë:</w:t>
      </w:r>
    </w:p>
    <w:p w14:paraId="1FBDDE5C" w14:textId="045E9AB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zbutjen e ndryshimeve klimatike, duke përfshirë emetimet e gazeve serrë;</w:t>
      </w:r>
    </w:p>
    <w:p w14:paraId="52083E78" w14:textId="120E409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përshtatjen ndaj ndryshimeve klimatike;</w:t>
      </w:r>
    </w:p>
    <w:p w14:paraId="215173A3" w14:textId="3F3DC50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burimet ujore dhe detare;</w:t>
      </w:r>
    </w:p>
    <w:p w14:paraId="4CCDF939" w14:textId="486E6FD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iv.</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përdorimin e burimeve dhe ekonominë qarkulluese;</w:t>
      </w:r>
    </w:p>
    <w:p w14:paraId="14DEE4B7" w14:textId="4DA25CB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v.</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ndotjen;</w:t>
      </w:r>
    </w:p>
    <w:p w14:paraId="79D95980" w14:textId="6EEE472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vi.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biodiversitetin dhe ekosistemet.</w:t>
      </w:r>
    </w:p>
    <w:p w14:paraId="46E8980D" w14:textId="6037218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 faktorët socialë dhe të drejtat e njeriut, përfshirë:</w:t>
      </w:r>
    </w:p>
    <w:p w14:paraId="641DFC8B" w14:textId="0CBCC90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trajtimin dhe mundësitë e barabarta për të gjithë, duke përfshirë barazinë gjinore dhe pagën e barabartë për punë, me vlerë të barabartë, trajnimin dhe zhvillimin e aftësive, punësimin dhe përfshirjen e personave me aftësi të kufizuara, masat për parandalimin e dhunës dhe ngacmimit në vendin e punës e diversitetin;</w:t>
      </w:r>
    </w:p>
    <w:p w14:paraId="6D6E47D2" w14:textId="3D70A5B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kushtet e punës, duke përfshirë punësimin e sigurt, kohën e punës, pagat e përshtatshme, dialogun social, lirinë e krijimit të shoqatave, ekzistencën e këshillave të punës, negociatat kolektive, përfshirë përqindjen e punëtorëve të mbuluar nga marrëveshjet kolektive, të drejtat e informimit, konsultimit dhe pjesëmarrjes së punëtorëve, ekuilibrin punë-jetë dhe shëndetin e sigurinë;</w:t>
      </w:r>
    </w:p>
    <w:p w14:paraId="601E4CDD" w14:textId="73D1886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respektimin e të drejtave të njeriut, liritë themelore, parimet dhe standardet demokratike të përcaktuara në instrumentet ndërkombëtare dhe rajonale, përfshirë Kartën Ndërkombëtare të të Drejtave të Njeriut, Konventën e OKB-së për të Drejtat e Personave me Aftësi të Kufizuara, Deklaratën e Popujve Indigjenë, deklaratat dhe konventat e Organizatës Ndërkombëtare të Punës, Konventën Evropiane për të Drejtat e Njeriut, Kartën Sociale Evropiane dhe Kartën e të Drejtave Themelore të Bashkimit Evropian.</w:t>
      </w:r>
    </w:p>
    <w:p w14:paraId="5C2ECB1C" w14:textId="058C0A9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 faktorët e qeverisjes, përfshirë:</w:t>
      </w:r>
    </w:p>
    <w:p w14:paraId="0A32CA31" w14:textId="7FB0385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F52F9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rolin e organeve ekzekutive, drejtuese dhe mbikëqyrëse të njësisë ekonomike në lidhje me çështjet e qëndrueshmërisë dhe përbërjen e tyre, si dhe ekspertizën dhe aftësitë e tyre ose aksesin në to;</w:t>
      </w:r>
    </w:p>
    <w:p w14:paraId="5983652F" w14:textId="7E6CD80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F52F9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veçoritë kryesore të sistemeve të kontrollit të brendshëm e të menaxhimit të riskut të njësisë ekonomike</w:t>
      </w:r>
      <w:r w:rsidR="00D80CA8"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në lidhje me raportimin e qëndrueshmërisë dhe procesin e vendimmarrjes;</w:t>
      </w:r>
    </w:p>
    <w:p w14:paraId="20CD9C6F" w14:textId="7366D42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etikën e biznesit dhe kulturën e korporatës, përfshirë politikat kundër korrupsionit dhe ryshfetit, mbrojtjen e sinjalizuesve dhe mirëqenien e kafshëve;</w:t>
      </w:r>
    </w:p>
    <w:p w14:paraId="0AF7186F" w14:textId="7F1BE3D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iv.</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aktivitetet dhe angazhimet e njësisë ekonomike në ushtrimin e ndikimit të saj politik, përfshirë aktivitetet lobuese;</w:t>
      </w:r>
    </w:p>
    <w:p w14:paraId="3E1D3AD0" w14:textId="3726D6B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v.</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menaxhimin dhe cilësinë e marrëdhënieve me klientët, furnizuesit dhe komunitetet e prekura nga aktivitetet e njësisë ekonomike, përfshirë praktikat e pagesave dhe pagesat e vonuara për njësitë ekonomike të vogla e të mesme.</w:t>
      </w:r>
    </w:p>
    <w:p w14:paraId="026609D8" w14:textId="7110BA9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Standardet e raportimit të qëndrueshmërisë specifikojnë informacionin perspektiv, retrospektiv, cilësor dhe sasior, sipas rastit, që duhet të raportohet nga njësitë ekonomike. </w:t>
      </w:r>
    </w:p>
    <w:p w14:paraId="1F945380"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1854198A" w14:textId="2A181756"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20/4</w:t>
      </w:r>
    </w:p>
    <w:p w14:paraId="6D648AE9" w14:textId="77777777"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Dhënia e sigurisë për raportin e qëndrueshmërisë</w:t>
      </w:r>
    </w:p>
    <w:p w14:paraId="45320D4C"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062D3379" w14:textId="37EFDE9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 Raporti i qëndrueshmërisë dhe raporti i qëndrueshmërisë i konsoliduar i nënshtrohen një angazhimi të dhënies së sigurisë për të siguruar përputhjen e tyre me kërkesat e këtij ligji dhe me standardet e raportimit të qëndrueshmërisë.</w:t>
      </w:r>
    </w:p>
    <w:p w14:paraId="4C0D7746" w14:textId="014CA37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Procedurat, standardet dhe niveli i kërkuar i dhënies së sigurisë përcaktohen nga l</w:t>
      </w:r>
      <w:r w:rsidR="00342C89" w:rsidRPr="007C1501">
        <w:rPr>
          <w:rFonts w:ascii="Garamond" w:hAnsi="Garamond" w:cs="Times New Roman"/>
          <w:color w:val="000000" w:themeColor="text1"/>
          <w:sz w:val="24"/>
          <w:szCs w:val="24"/>
        </w:rPr>
        <w:t>egjislacion</w:t>
      </w:r>
      <w:r w:rsidRPr="007C1501">
        <w:rPr>
          <w:rFonts w:ascii="Garamond" w:hAnsi="Garamond" w:cs="Times New Roman"/>
          <w:color w:val="000000" w:themeColor="text1"/>
          <w:sz w:val="24"/>
          <w:szCs w:val="24"/>
        </w:rPr>
        <w:t xml:space="preserve">i </w:t>
      </w:r>
      <w:r w:rsidR="00342C89" w:rsidRPr="007C1501">
        <w:rPr>
          <w:rFonts w:ascii="Garamond" w:hAnsi="Garamond" w:cs="Times New Roman"/>
          <w:color w:val="000000" w:themeColor="text1"/>
          <w:sz w:val="24"/>
          <w:szCs w:val="24"/>
        </w:rPr>
        <w:t>n</w:t>
      </w:r>
      <w:r w:rsidR="00D461C2" w:rsidRPr="007C1501">
        <w:rPr>
          <w:rFonts w:ascii="Garamond" w:hAnsi="Garamond" w:cs="Times New Roman"/>
          <w:color w:val="000000" w:themeColor="text1"/>
          <w:sz w:val="24"/>
          <w:szCs w:val="24"/>
        </w:rPr>
        <w:t>ë</w:t>
      </w:r>
      <w:r w:rsidR="00342C89" w:rsidRPr="007C1501">
        <w:rPr>
          <w:rFonts w:ascii="Garamond" w:hAnsi="Garamond" w:cs="Times New Roman"/>
          <w:color w:val="000000" w:themeColor="text1"/>
          <w:sz w:val="24"/>
          <w:szCs w:val="24"/>
        </w:rPr>
        <w:t xml:space="preserve"> fuqi p</w:t>
      </w:r>
      <w:r w:rsidR="00D461C2" w:rsidRPr="007C1501">
        <w:rPr>
          <w:rFonts w:ascii="Garamond" w:hAnsi="Garamond" w:cs="Times New Roman"/>
          <w:color w:val="000000" w:themeColor="text1"/>
          <w:sz w:val="24"/>
          <w:szCs w:val="24"/>
        </w:rPr>
        <w:t>ë</w:t>
      </w:r>
      <w:r w:rsidR="00342C89" w:rsidRPr="007C1501">
        <w:rPr>
          <w:rFonts w:ascii="Garamond" w:hAnsi="Garamond" w:cs="Times New Roman"/>
          <w:color w:val="000000" w:themeColor="text1"/>
          <w:sz w:val="24"/>
          <w:szCs w:val="24"/>
        </w:rPr>
        <w:t>r</w:t>
      </w:r>
      <w:r w:rsidRPr="007C1501">
        <w:rPr>
          <w:rFonts w:ascii="Garamond" w:hAnsi="Garamond" w:cs="Times New Roman"/>
          <w:color w:val="000000" w:themeColor="text1"/>
          <w:sz w:val="24"/>
          <w:szCs w:val="24"/>
        </w:rPr>
        <w:t xml:space="preserve"> auditimin ligjor dhe aktet nënligjore të dala në zbatim të tij.</w:t>
      </w:r>
    </w:p>
    <w:p w14:paraId="5BC65D45" w14:textId="0D0A4BB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 Opinioni i dhënies së sigurisë për raportin e qëndrueshmërisë dhe raportin e konsoliduar të qëndrueshmërisë përgatitet duke respektuar kufizimet e parashikuara nga ky ligj</w:t>
      </w:r>
      <w:r w:rsidR="00E67B0C"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në lidhje me raportimin e informacionit për zinxhirin e vlerës, në veçanti detyrimin që njësitë ekonomike të mos kërkojnë nga njësitë e tjera ekonomike që nuk tejkalojnë pragjet e përcaktuara në këtë ligj informacion që shkon përtej kërkesave të standardeve vullnetare të raportimit të qëndrueshmërisë, përveç informacionit shtesë që zakonisht shkëmbehet në sektorin përkatës.</w:t>
      </w:r>
    </w:p>
    <w:p w14:paraId="63F4FFE6" w14:textId="2EBE800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 Opinioni i dhënies së sigurisë përgatitet duke marrë parasysh edhe rastet e jashtëzakonshme kur njësitë ekonomike në zinxhirin e vlerës mund të mos jenë në gjendje të japin informacion, për shkak se dhënia e këtij informacioni nga një njësi e themeluar në një juridiksion tjetër do ta ekspozonte atë ndaj sanksioneve ose pasojave të tjera ligjore, sipas legjislacionit në fuqi të atij juridiksioni, vetëm për shkak të transmetimit të të dhënave të qëndrueshmërisë.</w:t>
      </w:r>
    </w:p>
    <w:p w14:paraId="490A009B"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1FC62349"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20/5</w:t>
      </w:r>
    </w:p>
    <w:p w14:paraId="0F446D5B" w14:textId="77777777"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Detyrimi i njësive ekonomike vendase (bija) për publikim të raportit të qëndrueshmërisë, të hartuar nga njësitë ekonomike të huaja (mëma)</w:t>
      </w:r>
    </w:p>
    <w:p w14:paraId="4F23FAA0"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252994D" w14:textId="3E0D852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 Njësitë ekonomike të kontrolluara, të themeluara në territorin e Republikës së Shqipërisë, njësia mëmë përfundimtare e të cilave është e rregulluar nga legjislacioni i një juridiksioni tjetër, janë të detyruara të publikojnë dhe të bëjnë të aksesueshëm një raport të qëndrueshmërisë që mbulon informacionin e kërkuar, sipas shkronjës “a”</w:t>
      </w:r>
      <w:r w:rsidR="000A0160"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nënndarjet “iii” deri në “v”</w:t>
      </w:r>
      <w:r w:rsidR="000A0160"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shkronjave “b” deri në “dh” dhe, sipas rastit, shkronjës “ë” të pikës 2 të nenit 20/1 të këtij ligji, në nivelin e grupit të njësisë mëmë në nivelin më të lartë. </w:t>
      </w:r>
    </w:p>
    <w:p w14:paraId="370D4F49" w14:textId="303373A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Ky detyrim zbatohet vetëm për njësitë ekonomike të kontrolluara, të cilat në datën e raportimit kanë realizuar të ardhura të shfrytëzimit mbi </w:t>
      </w:r>
      <w:r w:rsidR="00604931" w:rsidRPr="007C1501">
        <w:rPr>
          <w:rFonts w:ascii="Garamond" w:hAnsi="Garamond" w:cs="Times New Roman"/>
          <w:color w:val="000000" w:themeColor="text1"/>
          <w:sz w:val="24"/>
          <w:szCs w:val="24"/>
        </w:rPr>
        <w:t>20 miliard</w:t>
      </w:r>
      <w:r w:rsidR="00D461C2" w:rsidRPr="007C1501">
        <w:rPr>
          <w:rFonts w:ascii="Garamond" w:hAnsi="Garamond" w:cs="Times New Roman"/>
          <w:color w:val="000000" w:themeColor="text1"/>
          <w:sz w:val="24"/>
          <w:szCs w:val="24"/>
        </w:rPr>
        <w:t>ë</w:t>
      </w:r>
      <w:r w:rsidRPr="007C1501">
        <w:rPr>
          <w:rFonts w:ascii="Garamond" w:hAnsi="Garamond" w:cs="Times New Roman"/>
          <w:color w:val="000000" w:themeColor="text1"/>
          <w:sz w:val="24"/>
          <w:szCs w:val="24"/>
        </w:rPr>
        <w:t xml:space="preserve"> lekë në periudhën raportuese paraardhëse.</w:t>
      </w:r>
    </w:p>
    <w:p w14:paraId="14A77F29" w14:textId="27BA8FA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2. Degët e njësive ekonomike të themeluara në një juridiksion tjetër, të cilat nuk janë pjesë e një grupi ose zotërohen nga një njësi mëmë e themeluar në një juridiksion tjetër, janë të detyruara të publikojnë dhe të bëjnë të aksesueshëm një raport të qëndrueshmërisë që mbulon informacionin e kërkuar, sipas shkronjës “a”, nënndarjet “iii” deri në “v”, shkronjave “b” deri në “dh” dhe, sipas rastit, shkronjës “ë” të pikës 2 të nenit 20/1 të këtij ligji, në nivelin e grupit të njësisë mëmë ose, nëse kjo nuk është e zbatueshme, në nivelin individual të njësisë ekonomike të juridiksionit tjetër. </w:t>
      </w:r>
    </w:p>
    <w:p w14:paraId="5F20D37C" w14:textId="2F325A7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Ky detyrim zbatohet vetëm për degët e njësive ekonomike të themeluara në një juridiksion tjetër, kur njësia e vendit tjetër nuk ka një njësi të kontrolluar në territorin e Republikës së Shqipërisë dhe vetëm në rastet kur dega ka realizuar të ardhura të shfrytëzimit më shumë se </w:t>
      </w:r>
      <w:r w:rsidR="00604931" w:rsidRPr="007C1501">
        <w:rPr>
          <w:rFonts w:ascii="Garamond" w:hAnsi="Garamond" w:cs="Times New Roman"/>
          <w:color w:val="000000" w:themeColor="text1"/>
          <w:sz w:val="24"/>
          <w:szCs w:val="24"/>
        </w:rPr>
        <w:t>20 miliard</w:t>
      </w:r>
      <w:r w:rsidR="00D461C2" w:rsidRPr="007C1501">
        <w:rPr>
          <w:rFonts w:ascii="Garamond" w:hAnsi="Garamond" w:cs="Times New Roman"/>
          <w:color w:val="000000" w:themeColor="text1"/>
          <w:sz w:val="24"/>
          <w:szCs w:val="24"/>
        </w:rPr>
        <w:t>ë</w:t>
      </w:r>
      <w:r w:rsidR="00604931" w:rsidRPr="007C1501">
        <w:rPr>
          <w:rFonts w:ascii="Garamond" w:hAnsi="Garamond" w:cs="Times New Roman"/>
          <w:color w:val="000000" w:themeColor="text1"/>
          <w:sz w:val="24"/>
          <w:szCs w:val="24"/>
        </w:rPr>
        <w:t xml:space="preserve"> lekë </w:t>
      </w:r>
      <w:r w:rsidRPr="007C1501">
        <w:rPr>
          <w:rFonts w:ascii="Garamond" w:hAnsi="Garamond" w:cs="Times New Roman"/>
          <w:color w:val="000000" w:themeColor="text1"/>
          <w:sz w:val="24"/>
          <w:szCs w:val="24"/>
        </w:rPr>
        <w:t>në periudhën raportuese paraardhëse.</w:t>
      </w:r>
    </w:p>
    <w:p w14:paraId="7918BB88" w14:textId="3D8DD27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3. Detyrimet e përcaktuara në pikat 1 dhe 2 të këtij neni zbatohen vetëm kur njësia mëmë e juridiksionit tjetër, në nivel grupi ose, nëse kjo nuk është e zbatueshme, në nivel individual, ka realizuar të ardhura të shfrytëzimit më shumë se </w:t>
      </w:r>
      <w:r w:rsidR="00604931" w:rsidRPr="007C1501">
        <w:rPr>
          <w:rFonts w:ascii="Garamond" w:hAnsi="Garamond" w:cs="Times New Roman"/>
          <w:color w:val="000000" w:themeColor="text1"/>
          <w:sz w:val="24"/>
          <w:szCs w:val="24"/>
        </w:rPr>
        <w:t>45 miliard</w:t>
      </w:r>
      <w:r w:rsidR="00D461C2" w:rsidRPr="007C1501">
        <w:rPr>
          <w:rFonts w:ascii="Garamond" w:hAnsi="Garamond" w:cs="Times New Roman"/>
          <w:color w:val="000000" w:themeColor="text1"/>
          <w:sz w:val="24"/>
          <w:szCs w:val="24"/>
        </w:rPr>
        <w:t>ë</w:t>
      </w:r>
      <w:r w:rsidR="00604931" w:rsidRPr="007C1501">
        <w:rPr>
          <w:rFonts w:ascii="Garamond" w:hAnsi="Garamond" w:cs="Times New Roman"/>
          <w:color w:val="000000" w:themeColor="text1"/>
          <w:sz w:val="24"/>
          <w:szCs w:val="24"/>
        </w:rPr>
        <w:t xml:space="preserve"> lekë</w:t>
      </w:r>
      <w:r w:rsid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për secilën nga dy periudhat e fundit raportuese të njëpasnjëshme.</w:t>
      </w:r>
    </w:p>
    <w:p w14:paraId="44135A37" w14:textId="4EE1058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 Raporti i qëndrueshmërisë i njësive ekonomike të kontrolluara ose degëve të përmendura në pikat 1 dhe 2 të këtij neni hartohet në përputhje me standardet e raportimit të qëndrueshmërisë për njësitë ekonomike të juridiksionit tjetër të miratuara.</w:t>
      </w:r>
    </w:p>
    <w:p w14:paraId="7584733A" w14:textId="0748560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5. Përjashtimisht nga sa parashikohet në pikën 4 të këtij neni, raporti i qëndrueshmërisë mund të hartohet në përputhje me standardet e raportimit të qëndrueshmërisë, të miratuara sipas nenit 20/3 të këtij ligji, ose në mënyrë të barasvle</w:t>
      </w:r>
      <w:r w:rsidR="007C1501">
        <w:rPr>
          <w:rFonts w:ascii="Garamond" w:hAnsi="Garamond" w:cs="Times New Roman"/>
          <w:color w:val="000000" w:themeColor="text1"/>
          <w:sz w:val="24"/>
          <w:szCs w:val="24"/>
        </w:rPr>
        <w:t>r</w:t>
      </w:r>
      <w:r w:rsidRPr="007C1501">
        <w:rPr>
          <w:rFonts w:ascii="Garamond" w:hAnsi="Garamond" w:cs="Times New Roman"/>
          <w:color w:val="000000" w:themeColor="text1"/>
          <w:sz w:val="24"/>
          <w:szCs w:val="24"/>
        </w:rPr>
        <w:t>shme me këto standarde, kur kjo përcaktohet në përputhje me aktet nënligjore për barasvle</w:t>
      </w:r>
      <w:r w:rsidR="007C1501">
        <w:rPr>
          <w:rFonts w:ascii="Garamond" w:hAnsi="Garamond" w:cs="Times New Roman"/>
          <w:color w:val="000000" w:themeColor="text1"/>
          <w:sz w:val="24"/>
          <w:szCs w:val="24"/>
        </w:rPr>
        <w:t>r</w:t>
      </w:r>
      <w:r w:rsidRPr="007C1501">
        <w:rPr>
          <w:rFonts w:ascii="Garamond" w:hAnsi="Garamond" w:cs="Times New Roman"/>
          <w:color w:val="000000" w:themeColor="text1"/>
          <w:sz w:val="24"/>
          <w:szCs w:val="24"/>
        </w:rPr>
        <w:t>shmërinë e standardeve të raportimit të qëndrueshmërisë.</w:t>
      </w:r>
    </w:p>
    <w:p w14:paraId="7545665D"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6. Kur informacioni i kërkuar për hartimin e raportit të qëndrueshmërisë nuk është i disponueshëm, njësia e kontrolluar ose dega i kërkon njësisë mëmë të juridiksionit tjetër informacionin e nevojshëm për përmbushjen e detyrimit.</w:t>
      </w:r>
    </w:p>
    <w:p w14:paraId="59A8CE0A" w14:textId="746CF0C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Nëse njësia mëmë nuk vë në dispozicion informacionin e nevojshëm, njësia e kontrolluar ose dega harton, publikon dhe bën të aksesueshëm raportin e qëndrueshmërisë mbi bazën e informacionit që zotëron, ka përftuar ose siguruar, duke e shoqëruar me një deklaratë se informacioni i kërkuar nuk është vënë në dispozicion nga njësia mëmë.</w:t>
      </w:r>
    </w:p>
    <w:p w14:paraId="3BF54461"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7. Raporti i qëndrueshmërisë, i përmendur në këtë nen, publikohet i shoqëruar nga një opinion për dhënien e sigurisë, i përgatitur nga një ose më shumë persona ose shoqëri të autorizuara për dhënien e opinionit të sigurisë për raportimin e qëndrueshmërisë, sipas legjislacionit të zbatueshëm të juridiksionit tjetër ose sipas legjislacionit shqiptar.</w:t>
      </w:r>
    </w:p>
    <w:p w14:paraId="4B4D198D"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Nëse njësia mëmë e juridiksionit tjetër nuk siguron opinionin e dhënies së sigurisë, njësia e kontrolluar ose dega publikon raportin e qëndrueshmërisë, të shoqëruar me një deklaratë se njësia mëmë nuk ka vënë në dispozicion opinionin e nevojshëm të dhënies së sigurisë.</w:t>
      </w:r>
    </w:p>
    <w:p w14:paraId="67DA07AB"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26515F8"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20/6</w:t>
      </w:r>
    </w:p>
    <w:p w14:paraId="6B08A5AE" w14:textId="76CC0E8A"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 xml:space="preserve">Përgjegjësia për raportet e qëndrueshmërisë </w:t>
      </w:r>
      <w:r w:rsidR="00E959B8" w:rsidRPr="007C1501">
        <w:rPr>
          <w:rFonts w:ascii="Garamond" w:hAnsi="Garamond" w:cs="Times New Roman"/>
          <w:b/>
          <w:bCs/>
          <w:color w:val="000000" w:themeColor="text1"/>
          <w:sz w:val="24"/>
          <w:szCs w:val="24"/>
        </w:rPr>
        <w:t>s</w:t>
      </w:r>
      <w:r w:rsidRPr="007C1501">
        <w:rPr>
          <w:rFonts w:ascii="Garamond" w:hAnsi="Garamond" w:cs="Times New Roman"/>
          <w:b/>
          <w:bCs/>
          <w:color w:val="000000" w:themeColor="text1"/>
          <w:sz w:val="24"/>
          <w:szCs w:val="24"/>
        </w:rPr>
        <w:t>ë njësive ekonomike të vendeve të tjera</w:t>
      </w:r>
    </w:p>
    <w:p w14:paraId="45C8F534"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742B4E4B" w14:textId="54272F7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 Degët e njësive ekonomike të themeluara në një vend tjetër, të regjistruara në territorin e Republikës së Shqipërisë, janë përgjegjëse për të garantuar, sipas dijenisë dhe kapacitetit të tyre maksimal, që raporti i qëndrueshmërisë të hartohet në përputhje me nenin 20/5 dhe të publikohet e të bëhet i aksesueshëm në përputhje me nenin 20/7 të këtij ligji.</w:t>
      </w:r>
    </w:p>
    <w:p w14:paraId="3C678882" w14:textId="0683010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 Anëtarët e organeve ekzekutive, drejtuese dhe mbikëqyrëse të njësive ekonomike të kontrolluara, të parashikuara në nenin 20/5, kanë përgjegjësi solidare për të garantuar, sipas dijenisë dhe kapacitetit të tyre maksimal, që raporti i qëndrueshmërisë të hartohet në përputhje me nenin 20/5 dhe të publikohet e të bëhet i aksesueshëm në përputhje me nenin 20/7 të këtij ligji.</w:t>
      </w:r>
    </w:p>
    <w:p w14:paraId="6AECC767"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18AAB501"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20/7</w:t>
      </w:r>
    </w:p>
    <w:p w14:paraId="67EEA122" w14:textId="77777777"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Publikimi i raporteve të qëndrueshmërisë së njësive ekonomike të vendeve të tjera</w:t>
      </w:r>
    </w:p>
    <w:p w14:paraId="48A870EA"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0F0D8AD6" w14:textId="5877658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Njësitë ekonomike të kontrolluara dhe degët e përmendura në nenin 20/6 të këtij ligji publikojnë raportin e qëndrueshmërisë, së bashku me opinionin e dhënies së sigurisë dhe, sipas rastit, me pasqyrat financiare të parashikuara në këtë ligj, në përputhje me sa parashikohet në pikën 1 të nenit 22 të këtij ligji.</w:t>
      </w:r>
    </w:p>
    <w:p w14:paraId="65A731B0" w14:textId="1F4344B2"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 Raporti i qëndrueshmërisë, opinioni i dhënies së sigurisë dhe, sipas rastit, pasqyrat financiare depozitohen pranë regjistrit tregtar, ku është regjistruar njësia ekonomike e kontrolluar ose dega</w:t>
      </w:r>
      <w:r w:rsidR="00E959B8"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dhe publikohen në gjuhën shqipe ose në një gjuhë tjetër të pranuar, sipas legjislacionit vendas.</w:t>
      </w:r>
    </w:p>
    <w:p w14:paraId="1D2875D7" w14:textId="281D9BA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 Kur raporti i qëndrueshmërisë, opinioni i dhënies së sigurisë dhe, sipas rastit, pasqyrat financiare nuk bëhen të aksesueshme për publikun nëpërmjet regjistrit tregtar, ato bëhen të aksesueshme për publikun falas në faqen e internetit të njësisë ekonomike të kontrolluar ose të degës, sipas kërkesave të pikës 1 të nenit 22 të këtij ligji.”.</w:t>
      </w:r>
    </w:p>
    <w:p w14:paraId="343D7BB8"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5C007AE"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18</w:t>
      </w:r>
    </w:p>
    <w:p w14:paraId="22F35CC7"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0D33D7E2" w14:textId="4926071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nenin 21 bëhen këto ndryshime dhe shtesa:</w:t>
      </w:r>
    </w:p>
    <w:p w14:paraId="71D731DD" w14:textId="5583758B"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 Në pikën 1 bëhen ndryshimi dhe shtesa e mëposhtme:</w:t>
      </w:r>
    </w:p>
    <w:p w14:paraId="67A0ECFC" w14:textId="4F212BED"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Në paragrafin e dytë fjalët “legjislacioni në fuqi” zëvendësohen me</w:t>
      </w:r>
      <w:r w:rsidR="00F94163" w:rsidRPr="007C1501">
        <w:rPr>
          <w:rFonts w:ascii="Garamond" w:hAnsi="Garamond" w:cs="Times New Roman"/>
          <w:color w:val="000000" w:themeColor="text1"/>
          <w:sz w:val="24"/>
          <w:szCs w:val="24"/>
        </w:rPr>
        <w:t xml:space="preserve"> fjalët</w:t>
      </w:r>
      <w:r w:rsidRPr="007C1501">
        <w:rPr>
          <w:rFonts w:ascii="Garamond" w:hAnsi="Garamond" w:cs="Times New Roman"/>
          <w:color w:val="000000" w:themeColor="text1"/>
          <w:sz w:val="24"/>
          <w:szCs w:val="24"/>
        </w:rPr>
        <w:t xml:space="preserve"> “legjislacioni i fushës përkatëse në fuqi”;</w:t>
      </w:r>
    </w:p>
    <w:p w14:paraId="41CEE0B4" w14:textId="599EF10D"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Pas paragrafit të dytë shtohet fjalia me këtë përmbajtje:</w:t>
      </w:r>
    </w:p>
    <w:p w14:paraId="6770FE54" w14:textId="1F2AE70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“Njësi ekonomike aktive në shfrytëzimin për lëndë drusore të pyjeve primare konsiderohen njësitë që ushtrojnë veprimtari në prerjen dhe shfrytëzimin e pyjeve primare, sipas përcaktimeve të legjislacionit dhe kategorizimeve përkatëse në Republikën e Shqipërisë.”.</w:t>
      </w:r>
    </w:p>
    <w:p w14:paraId="63D5DD72" w14:textId="288823B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Në pikën 2 fjalët “të ardhurat </w:t>
      </w:r>
      <w:r w:rsidR="005F6A59" w:rsidRPr="007C1501">
        <w:rPr>
          <w:rFonts w:ascii="Garamond" w:hAnsi="Garamond" w:cs="Times New Roman"/>
          <w:color w:val="000000" w:themeColor="text1"/>
          <w:sz w:val="24"/>
          <w:szCs w:val="24"/>
        </w:rPr>
        <w:t>e</w:t>
      </w:r>
      <w:r w:rsidRPr="007C1501">
        <w:rPr>
          <w:rFonts w:ascii="Garamond" w:hAnsi="Garamond" w:cs="Times New Roman"/>
          <w:color w:val="000000" w:themeColor="text1"/>
          <w:sz w:val="24"/>
          <w:szCs w:val="24"/>
        </w:rPr>
        <w:t xml:space="preserve"> veprimtaria” zëvendësohen me</w:t>
      </w:r>
      <w:r w:rsidR="00436C9C" w:rsidRPr="007C1501">
        <w:rPr>
          <w:rFonts w:ascii="Garamond" w:hAnsi="Garamond" w:cs="Times New Roman"/>
          <w:color w:val="000000" w:themeColor="text1"/>
          <w:sz w:val="24"/>
          <w:szCs w:val="24"/>
        </w:rPr>
        <w:t xml:space="preserve"> fjalët</w:t>
      </w:r>
      <w:r w:rsidRPr="007C1501">
        <w:rPr>
          <w:rFonts w:ascii="Garamond" w:hAnsi="Garamond" w:cs="Times New Roman"/>
          <w:color w:val="000000" w:themeColor="text1"/>
          <w:sz w:val="24"/>
          <w:szCs w:val="24"/>
        </w:rPr>
        <w:t xml:space="preserve"> “të ardhurat e shfrytëzimit”.</w:t>
      </w:r>
    </w:p>
    <w:p w14:paraId="3AA943BB" w14:textId="344862FD" w:rsidR="00C07AFB"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 Në pikën 3 togfjalëshi “13,5 milionë lek</w:t>
      </w:r>
      <w:r w:rsidR="00135E96" w:rsidRPr="007C1501">
        <w:rPr>
          <w:rFonts w:ascii="Garamond" w:hAnsi="Garamond" w:cs="Times New Roman"/>
          <w:color w:val="000000" w:themeColor="text1"/>
          <w:sz w:val="24"/>
          <w:szCs w:val="24"/>
        </w:rPr>
        <w:t>ë</w:t>
      </w:r>
      <w:r w:rsidRPr="007C1501">
        <w:rPr>
          <w:rFonts w:ascii="Garamond" w:hAnsi="Garamond" w:cs="Times New Roman"/>
          <w:color w:val="000000" w:themeColor="text1"/>
          <w:sz w:val="24"/>
          <w:szCs w:val="24"/>
        </w:rPr>
        <w:t xml:space="preserve">” zëvendësohet me </w:t>
      </w:r>
      <w:r w:rsidR="00436C9C" w:rsidRPr="007C1501">
        <w:rPr>
          <w:rFonts w:ascii="Garamond" w:hAnsi="Garamond" w:cs="Times New Roman"/>
          <w:color w:val="000000" w:themeColor="text1"/>
          <w:sz w:val="24"/>
          <w:szCs w:val="24"/>
        </w:rPr>
        <w:t>togfjalëshin</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“10 000 000 lekë”.</w:t>
      </w:r>
    </w:p>
    <w:p w14:paraId="096C0C84" w14:textId="660DCEC9" w:rsidR="00C9749E" w:rsidRPr="007C1501" w:rsidRDefault="00491787"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w:t>
      </w:r>
      <w:r w:rsidR="00C07AFB" w:rsidRPr="007C1501">
        <w:rPr>
          <w:rFonts w:ascii="Garamond" w:hAnsi="Garamond" w:cs="Times New Roman"/>
          <w:color w:val="000000" w:themeColor="text1"/>
          <w:sz w:val="24"/>
          <w:szCs w:val="24"/>
        </w:rPr>
        <w:t xml:space="preserve">. Në pikën 4 bëhen këto ndryshime: </w:t>
      </w:r>
    </w:p>
    <w:p w14:paraId="1C2E424D" w14:textId="32893D96" w:rsidR="00C07AFB" w:rsidRPr="007C1501" w:rsidRDefault="00C07AFB"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a) </w:t>
      </w:r>
      <w:r w:rsidR="000466EE" w:rsidRPr="007C1501">
        <w:rPr>
          <w:rFonts w:ascii="Garamond" w:hAnsi="Garamond" w:cs="Times New Roman"/>
          <w:color w:val="000000" w:themeColor="text1"/>
          <w:sz w:val="24"/>
          <w:szCs w:val="24"/>
        </w:rPr>
        <w:t>n</w:t>
      </w:r>
      <w:r w:rsidRPr="007C1501">
        <w:rPr>
          <w:rFonts w:ascii="Garamond" w:hAnsi="Garamond" w:cs="Times New Roman"/>
          <w:color w:val="000000" w:themeColor="text1"/>
          <w:sz w:val="24"/>
          <w:szCs w:val="24"/>
        </w:rPr>
        <w:t>ë shkronjën “a” fjalët “institucioneve shtetërore” zëvendësohen me fjalët “secilit prej institucioneve shtetërore veçmas”.</w:t>
      </w:r>
    </w:p>
    <w:p w14:paraId="195C0D66" w14:textId="6DB20C36" w:rsidR="00C07AFB" w:rsidRPr="007C1501" w:rsidRDefault="00C07AFB" w:rsidP="003456F4">
      <w:pPr>
        <w:spacing w:after="0" w:line="240" w:lineRule="auto"/>
        <w:ind w:firstLine="284"/>
        <w:contextualSpacing/>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b) </w:t>
      </w:r>
      <w:r w:rsidR="000466EE" w:rsidRPr="007C1501">
        <w:rPr>
          <w:rFonts w:ascii="Garamond" w:hAnsi="Garamond" w:cs="Times New Roman"/>
          <w:color w:val="000000" w:themeColor="text1"/>
          <w:sz w:val="24"/>
          <w:szCs w:val="24"/>
        </w:rPr>
        <w:t>n</w:t>
      </w:r>
      <w:r w:rsidRPr="007C1501">
        <w:rPr>
          <w:rFonts w:ascii="Garamond" w:hAnsi="Garamond" w:cs="Times New Roman"/>
          <w:color w:val="000000" w:themeColor="text1"/>
          <w:sz w:val="24"/>
          <w:szCs w:val="24"/>
        </w:rPr>
        <w:t xml:space="preserve">ënndarja “ii” e shkronjës “b” </w:t>
      </w:r>
      <w:r w:rsidR="008E5E4D" w:rsidRPr="007C1501">
        <w:rPr>
          <w:rFonts w:ascii="Garamond" w:hAnsi="Garamond" w:cs="Times New Roman"/>
          <w:color w:val="000000" w:themeColor="text1"/>
          <w:sz w:val="24"/>
          <w:szCs w:val="24"/>
        </w:rPr>
        <w:t>ndryshohet</w:t>
      </w:r>
      <w:r w:rsidRPr="007C1501">
        <w:rPr>
          <w:rFonts w:ascii="Garamond" w:hAnsi="Garamond" w:cs="Times New Roman"/>
          <w:color w:val="000000" w:themeColor="text1"/>
          <w:sz w:val="24"/>
          <w:szCs w:val="24"/>
        </w:rPr>
        <w:t xml:space="preserve"> si më poshtë:</w:t>
      </w:r>
    </w:p>
    <w:p w14:paraId="7B7ABC58" w14:textId="6A249CF0" w:rsidR="00C07AFB" w:rsidRPr="007C1501" w:rsidRDefault="00C07AFB"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w:t>
      </w:r>
      <w:r w:rsidR="000466EE" w:rsidRPr="007C1501">
        <w:rPr>
          <w:rFonts w:ascii="Garamond" w:hAnsi="Garamond" w:cs="Times New Roman"/>
          <w:color w:val="000000" w:themeColor="text1"/>
          <w:sz w:val="24"/>
          <w:szCs w:val="24"/>
        </w:rPr>
        <w:t>t</w:t>
      </w:r>
      <w:r w:rsidRPr="007C1501">
        <w:rPr>
          <w:rFonts w:ascii="Garamond" w:hAnsi="Garamond" w:cs="Times New Roman"/>
          <w:color w:val="000000" w:themeColor="text1"/>
          <w:sz w:val="24"/>
          <w:szCs w:val="24"/>
        </w:rPr>
        <w:t>atimet e vendosura mbi të ardhurat ose fitimet duke përjashtuar tatimet mbi konsumin, të tilla si Tatimi mbi Vlerën e Shtuar (TVSH), akcizat dhe tatimet e tjera që ngarkohen mbi shitjet ose transaksionet tregtare</w:t>
      </w:r>
      <w:r w:rsidR="00C4515C"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w:t>
      </w:r>
    </w:p>
    <w:p w14:paraId="04DAE91D" w14:textId="62CAEE73" w:rsidR="001B0D78" w:rsidRPr="007C1501" w:rsidRDefault="00491787"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5</w:t>
      </w:r>
      <w:r w:rsidR="001B0D78" w:rsidRPr="007C1501">
        <w:rPr>
          <w:rFonts w:ascii="Garamond" w:hAnsi="Garamond" w:cs="Times New Roman"/>
          <w:color w:val="000000" w:themeColor="text1"/>
          <w:sz w:val="24"/>
          <w:szCs w:val="24"/>
        </w:rPr>
        <w:t>. Pas shkronjës “b” të pikës 4 shtohet shkronja “c” me këtë përmbajtje:</w:t>
      </w:r>
    </w:p>
    <w:p w14:paraId="5D2DB581" w14:textId="4228F40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 kur pagesat i atribuohen një projekti specifik, raporti tregon shumën totale për secilën lloj pagese të parashikuar në këtë pikë, si dhe shumën totale të pagesave për secilin projekt. Kur pagesat burojnë nga detyrime të përcaktuara në nivel njësie, ato mund të deklarohen në nivel njësie dhe jo në nivel projekti.</w:t>
      </w:r>
    </w:p>
    <w:p w14:paraId="332190AC" w14:textId="1D4BCE8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Deklarimi i pagesave, sipas kësaj pike, bazohet në përmbajtjen dhe jo në formën e pagesës ose aktivitetit dhe pagesat apo aktivitetet nuk mund të ndahen ose të bashkohen artificialisht për të shmangur zbatimin e këtij neni.”.</w:t>
      </w:r>
    </w:p>
    <w:p w14:paraId="29B7D4D4" w14:textId="5F04E455" w:rsidR="001B0D78" w:rsidRPr="007C1501" w:rsidRDefault="00491787"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6</w:t>
      </w:r>
      <w:r w:rsidR="001B0D78" w:rsidRPr="007C1501">
        <w:rPr>
          <w:rFonts w:ascii="Garamond" w:hAnsi="Garamond" w:cs="Times New Roman"/>
          <w:color w:val="000000" w:themeColor="text1"/>
          <w:sz w:val="24"/>
          <w:szCs w:val="24"/>
        </w:rPr>
        <w:t>.</w:t>
      </w:r>
      <w:r w:rsidR="00B434F2" w:rsidRPr="007C1501">
        <w:rPr>
          <w:rFonts w:ascii="Garamond" w:hAnsi="Garamond" w:cs="Times New Roman"/>
          <w:color w:val="000000" w:themeColor="text1"/>
          <w:sz w:val="24"/>
          <w:szCs w:val="24"/>
        </w:rPr>
        <w:t xml:space="preserve"> </w:t>
      </w:r>
      <w:r w:rsidR="001B0D78" w:rsidRPr="007C1501">
        <w:rPr>
          <w:rFonts w:ascii="Garamond" w:hAnsi="Garamond" w:cs="Times New Roman"/>
          <w:color w:val="000000" w:themeColor="text1"/>
          <w:sz w:val="24"/>
          <w:szCs w:val="24"/>
        </w:rPr>
        <w:t>Në pikën 7 fjalët “raportin e konsoliduar” zëvendësohen me</w:t>
      </w:r>
      <w:r w:rsidR="00436C9C" w:rsidRPr="007C1501">
        <w:rPr>
          <w:rFonts w:ascii="Garamond" w:hAnsi="Garamond" w:cs="Times New Roman"/>
          <w:color w:val="000000" w:themeColor="text1"/>
          <w:sz w:val="24"/>
          <w:szCs w:val="24"/>
        </w:rPr>
        <w:t xml:space="preserve"> fjalët</w:t>
      </w:r>
      <w:r w:rsidR="001B0D78" w:rsidRPr="007C1501">
        <w:rPr>
          <w:rFonts w:ascii="Garamond" w:hAnsi="Garamond" w:cs="Times New Roman"/>
          <w:color w:val="000000" w:themeColor="text1"/>
          <w:sz w:val="24"/>
          <w:szCs w:val="24"/>
        </w:rPr>
        <w:t xml:space="preserve"> “raportin e konsoliduar të pagesave”.</w:t>
      </w:r>
    </w:p>
    <w:p w14:paraId="0C6C814A"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9A8B72B"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19</w:t>
      </w:r>
    </w:p>
    <w:p w14:paraId="1887CACF"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1F27B2F" w14:textId="0819621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nenin 22 bëhen ndryshimet dhe shtesat e mëposhtme:</w:t>
      </w:r>
    </w:p>
    <w:p w14:paraId="62379A6F" w14:textId="32810AB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 Pika 1 ndryshohet si më poshtë vijon:</w:t>
      </w:r>
    </w:p>
    <w:p w14:paraId="6856D2BA" w14:textId="6D03ECC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 Njësitë ekonomike brenda afatit të përcaktuar, sipas legjislacionit në fuqi, depozitojnë për publikim pranë autoritetit përkatës, ku janë regjistruar, pasqyrat financiare vjetore, shoqëruar, sipas rastit, me raportet e tjera, sipas përcaktimeve në nenet 17 deri 21 të këtij ligji, si dhe raportin e auditimit ose raportet e tjera të dhënies së sigurisë, në rastet kur përgatitja e këtyre dokumenteve është e detyrueshme, sipas kërkesave të legjislacionit të fushës përkatëse në fuqi.”.</w:t>
      </w:r>
    </w:p>
    <w:p w14:paraId="38F434E9" w14:textId="171B3C5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 Pika 2 ndryshohet si më poshtë:</w:t>
      </w:r>
    </w:p>
    <w:p w14:paraId="5F67DD97" w14:textId="4A9EE1A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 Njësitë ekonomike të mesme, të mëdha dhe ato me interes publik duhet të publikojnë pasqyrat financiare vjetore, raportin e ecurisë së veprimtarisë/raportin e konsoliduar të ecurisë së veprimtarisë, raportin e auditimit ose raportet e tjera të dhënies së sigurisë, në rastet kur përgatitja e këtyre dokumenteve është e detyrueshme edhe në faqet e tyre zyrtare të internetit, brenda afatit të përcaktuar, sipas legjislacionit në fuqi.”.</w:t>
      </w:r>
    </w:p>
    <w:p w14:paraId="36D35EB4" w14:textId="614A67E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3. Në pikën 3 fjalët “nëse shifra e aktivit ose e të ardhurave në pasqyrat financiare tejkalon” zëvendësohen me </w:t>
      </w:r>
      <w:r w:rsidR="0055157E"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 xml:space="preserve">“nëse njëkohësisht shifra e aktivit dhe shifra e të ardhurave në pasqyrat financiare për </w:t>
      </w:r>
      <w:r w:rsidR="0055157E" w:rsidRPr="007C1501">
        <w:rPr>
          <w:rFonts w:ascii="Garamond" w:hAnsi="Garamond" w:cs="Times New Roman"/>
          <w:color w:val="000000" w:themeColor="text1"/>
          <w:sz w:val="24"/>
          <w:szCs w:val="24"/>
        </w:rPr>
        <w:t>2</w:t>
      </w:r>
      <w:r w:rsidRPr="007C1501">
        <w:rPr>
          <w:rFonts w:ascii="Garamond" w:hAnsi="Garamond" w:cs="Times New Roman"/>
          <w:color w:val="000000" w:themeColor="text1"/>
          <w:sz w:val="24"/>
          <w:szCs w:val="24"/>
        </w:rPr>
        <w:t xml:space="preserve"> vjet radhazi</w:t>
      </w:r>
      <w:r w:rsidR="004A1D10"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tejkalojnë”.</w:t>
      </w:r>
    </w:p>
    <w:p w14:paraId="1D50F190" w14:textId="6FE33FD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 Pas pikës 3 shtohen pikat 4, 5 dhe 6 me këtë përmbajtje:</w:t>
      </w:r>
      <w:r w:rsidR="0055157E" w:rsidRPr="007C1501">
        <w:rPr>
          <w:rFonts w:ascii="Garamond" w:hAnsi="Garamond" w:cs="Times New Roman"/>
          <w:color w:val="000000" w:themeColor="text1"/>
          <w:sz w:val="24"/>
          <w:szCs w:val="24"/>
        </w:rPr>
        <w:t xml:space="preserve"> </w:t>
      </w:r>
    </w:p>
    <w:p w14:paraId="25E7956C" w14:textId="1424D80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 kategori mikronjësish mund të përjashtohet nga detyrimi për publikimin e pasqyrave financiare, sipas përcaktimeve të parashikuara me akt nënligjor nga ministri përgjegjës për financat.</w:t>
      </w:r>
    </w:p>
    <w:p w14:paraId="29375E8D" w14:textId="234740F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5. Kur pasqyrat financiare vjetore dhe raporti i ecurisë së veprimtarisë publikohen në formën e tyre të plotë, ato duhet të jenë në përputhje të plotë me strukturën dhe formulimin </w:t>
      </w:r>
      <w:r w:rsidR="003D26D4" w:rsidRPr="007C1501">
        <w:rPr>
          <w:rFonts w:ascii="Garamond" w:hAnsi="Garamond" w:cs="Times New Roman"/>
          <w:color w:val="000000" w:themeColor="text1"/>
          <w:sz w:val="24"/>
          <w:szCs w:val="24"/>
        </w:rPr>
        <w:t>n</w:t>
      </w:r>
      <w:r w:rsidRPr="007C1501">
        <w:rPr>
          <w:rFonts w:ascii="Garamond" w:hAnsi="Garamond" w:cs="Times New Roman"/>
          <w:color w:val="000000" w:themeColor="text1"/>
          <w:sz w:val="24"/>
          <w:szCs w:val="24"/>
        </w:rPr>
        <w:t>ë të cilat është bazuar audituesi ligjor ose shoqëria e auditimit për dhënien e opinionit të auditimit apo dhënien e sigurisë. Publikimi i tyre shoqërohet me raportin e auditimit ose raportin e dhënies së sigurisë.</w:t>
      </w:r>
    </w:p>
    <w:p w14:paraId="601259C9" w14:textId="2DEFCBA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6. Për rastet kur standardet kontabël të raportimit financiar të zbatueshme parashikojnë një format të reduktuar të pasqyrave financiare, formati i reduktuar që publikohet duhet të përmbajë detyrimisht:</w:t>
      </w:r>
    </w:p>
    <w:p w14:paraId="3B0B5CEB" w14:textId="6365AA7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një deklarim të qartë se formati i publikuar është i reduktuar;</w:t>
      </w:r>
    </w:p>
    <w:p w14:paraId="3DF8889A" w14:textId="13E14B5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 informacion për autoritetin ku janë depozituar pasqyrat financiare të</w:t>
      </w:r>
      <w:r w:rsid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plota ose, kur ato nuk janë depozituar ende, një deklarim për këtë fakt;</w:t>
      </w:r>
    </w:p>
    <w:p w14:paraId="029D3EA3" w14:textId="039A8C62"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 informacion nëse audituesi ligjor ose shoqëria e auditimit ka dhënë opinion të pamodifikuar (pa rezervë), opinion të modifikuar (me rezervë), opinion negativ ose nëse nuk ka qenë në gjendje të japë opinion auditimi;</w:t>
      </w:r>
    </w:p>
    <w:p w14:paraId="657899A7" w14:textId="5B082B9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ç) informacion nëse raporti i auditimit ka përfshirë theksim të ndonjë çështjeje, pa e konsideruar atë si rezervë në opinionin e auditimit;</w:t>
      </w:r>
    </w:p>
    <w:p w14:paraId="5EAB7C7A" w14:textId="637D558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d) informacion nëse raportet e tjera të dhënies së sigurisë së audituesit ligjor ose shoqërisë së auditimit përmbajnë gjetje në lidhje me përputhshmërinë e tyre me kërkesat e këtij ligji.”.</w:t>
      </w:r>
    </w:p>
    <w:p w14:paraId="7DEAF981" w14:textId="77777777" w:rsidR="00C4515C" w:rsidRPr="007C1501" w:rsidRDefault="00C4515C" w:rsidP="003456F4">
      <w:pPr>
        <w:spacing w:after="0" w:line="240" w:lineRule="auto"/>
        <w:ind w:firstLine="284"/>
        <w:jc w:val="both"/>
        <w:rPr>
          <w:rFonts w:ascii="Garamond" w:hAnsi="Garamond" w:cs="Times New Roman"/>
          <w:color w:val="000000" w:themeColor="text1"/>
          <w:sz w:val="24"/>
          <w:szCs w:val="24"/>
        </w:rPr>
      </w:pPr>
    </w:p>
    <w:p w14:paraId="6FA30094" w14:textId="2C05366D" w:rsidR="00C9749E" w:rsidRPr="007C1501" w:rsidRDefault="00C9749E" w:rsidP="003456F4">
      <w:pPr>
        <w:spacing w:after="0" w:line="240" w:lineRule="auto"/>
        <w:ind w:firstLine="284"/>
        <w:contextualSpacing/>
        <w:jc w:val="center"/>
        <w:rPr>
          <w:rFonts w:ascii="Garamond" w:eastAsia="Aptos" w:hAnsi="Garamond" w:cs="Times New Roman"/>
          <w:color w:val="000000" w:themeColor="text1"/>
          <w:sz w:val="24"/>
          <w:szCs w:val="24"/>
        </w:rPr>
      </w:pPr>
      <w:r w:rsidRPr="007C1501">
        <w:rPr>
          <w:rFonts w:ascii="Garamond" w:eastAsia="Aptos" w:hAnsi="Garamond" w:cs="Times New Roman"/>
          <w:color w:val="000000" w:themeColor="text1"/>
          <w:sz w:val="24"/>
          <w:szCs w:val="24"/>
        </w:rPr>
        <w:t xml:space="preserve">Neni </w:t>
      </w:r>
      <w:r w:rsidR="00491787" w:rsidRPr="007C1501">
        <w:rPr>
          <w:rFonts w:ascii="Garamond" w:eastAsia="Aptos" w:hAnsi="Garamond" w:cs="Times New Roman"/>
          <w:color w:val="000000" w:themeColor="text1"/>
          <w:sz w:val="24"/>
          <w:szCs w:val="24"/>
        </w:rPr>
        <w:t>20</w:t>
      </w:r>
      <w:r w:rsidRPr="007C1501">
        <w:rPr>
          <w:rFonts w:ascii="Garamond" w:eastAsia="Aptos" w:hAnsi="Garamond" w:cs="Times New Roman"/>
          <w:color w:val="000000" w:themeColor="text1"/>
          <w:sz w:val="24"/>
          <w:szCs w:val="24"/>
        </w:rPr>
        <w:t xml:space="preserve"> </w:t>
      </w:r>
    </w:p>
    <w:p w14:paraId="5B5A32FD" w14:textId="77777777" w:rsidR="00C9749E" w:rsidRPr="007C1501" w:rsidRDefault="00C9749E" w:rsidP="003456F4">
      <w:pPr>
        <w:spacing w:after="0" w:line="240" w:lineRule="auto"/>
        <w:ind w:firstLine="284"/>
        <w:contextualSpacing/>
        <w:jc w:val="both"/>
        <w:rPr>
          <w:rFonts w:ascii="Garamond" w:hAnsi="Garamond" w:cs="Times New Roman"/>
          <w:color w:val="000000" w:themeColor="text1"/>
          <w:sz w:val="24"/>
          <w:szCs w:val="24"/>
        </w:rPr>
      </w:pPr>
    </w:p>
    <w:p w14:paraId="2E62EC41" w14:textId="0B155226" w:rsidR="00C9749E" w:rsidRPr="007C1501" w:rsidRDefault="00C9749E" w:rsidP="003456F4">
      <w:pPr>
        <w:spacing w:after="0" w:line="240" w:lineRule="auto"/>
        <w:ind w:firstLine="284"/>
        <w:jc w:val="both"/>
        <w:rPr>
          <w:rFonts w:ascii="Garamond" w:eastAsia="Aptos" w:hAnsi="Garamond" w:cs="Times New Roman"/>
          <w:color w:val="000000" w:themeColor="text1"/>
          <w:sz w:val="24"/>
          <w:szCs w:val="24"/>
        </w:rPr>
      </w:pPr>
      <w:r w:rsidRPr="007C1501">
        <w:rPr>
          <w:rFonts w:ascii="Garamond" w:eastAsia="Aptos" w:hAnsi="Garamond" w:cs="Times New Roman"/>
          <w:color w:val="000000" w:themeColor="text1"/>
          <w:sz w:val="24"/>
          <w:szCs w:val="24"/>
        </w:rPr>
        <w:t>Pas nenit 22 shtohet neni 22/1 me këtë përmbajtje:</w:t>
      </w:r>
    </w:p>
    <w:p w14:paraId="5DE011A4" w14:textId="77777777" w:rsidR="009A141F" w:rsidRPr="007C1501" w:rsidRDefault="009A141F" w:rsidP="003456F4">
      <w:pPr>
        <w:spacing w:after="0" w:line="240" w:lineRule="auto"/>
        <w:ind w:firstLine="284"/>
        <w:contextualSpacing/>
        <w:jc w:val="center"/>
        <w:rPr>
          <w:rFonts w:ascii="Garamond" w:hAnsi="Garamond" w:cs="Times New Roman"/>
          <w:color w:val="000000" w:themeColor="text1"/>
          <w:sz w:val="24"/>
          <w:szCs w:val="24"/>
        </w:rPr>
      </w:pPr>
    </w:p>
    <w:p w14:paraId="4FC7B2CF" w14:textId="09DF7D8C" w:rsidR="00C9749E" w:rsidRPr="007C1501" w:rsidRDefault="009A141F" w:rsidP="003456F4">
      <w:pPr>
        <w:spacing w:after="0" w:line="240" w:lineRule="auto"/>
        <w:ind w:firstLine="284"/>
        <w:contextualSpacing/>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 </w:t>
      </w:r>
      <w:r w:rsidR="00C9749E" w:rsidRPr="007C1501">
        <w:rPr>
          <w:rFonts w:ascii="Garamond" w:hAnsi="Garamond" w:cs="Times New Roman"/>
          <w:color w:val="000000" w:themeColor="text1"/>
          <w:sz w:val="24"/>
          <w:szCs w:val="24"/>
        </w:rPr>
        <w:t>“Neni 22/1</w:t>
      </w:r>
    </w:p>
    <w:p w14:paraId="3B239C4C" w14:textId="556B71CF" w:rsidR="00C9749E" w:rsidRPr="007C1501" w:rsidRDefault="00C9749E" w:rsidP="003456F4">
      <w:pPr>
        <w:spacing w:after="0" w:line="240" w:lineRule="auto"/>
        <w:ind w:firstLine="284"/>
        <w:jc w:val="center"/>
        <w:rPr>
          <w:rFonts w:ascii="Garamond" w:eastAsia="Aptos" w:hAnsi="Garamond" w:cs="Times New Roman"/>
          <w:b/>
          <w:bCs/>
          <w:color w:val="000000" w:themeColor="text1"/>
          <w:sz w:val="24"/>
          <w:szCs w:val="24"/>
        </w:rPr>
      </w:pPr>
      <w:r w:rsidRPr="007C1501">
        <w:rPr>
          <w:rFonts w:ascii="Garamond" w:eastAsia="Aptos" w:hAnsi="Garamond" w:cs="Times New Roman"/>
          <w:b/>
          <w:bCs/>
          <w:color w:val="000000" w:themeColor="text1"/>
          <w:sz w:val="24"/>
          <w:szCs w:val="24"/>
        </w:rPr>
        <w:t>Formati elektronik i raportimit</w:t>
      </w:r>
    </w:p>
    <w:p w14:paraId="7F405A8B" w14:textId="77777777" w:rsidR="007336BF" w:rsidRPr="007C1501" w:rsidRDefault="007336BF" w:rsidP="003456F4">
      <w:pPr>
        <w:spacing w:after="0" w:line="240" w:lineRule="auto"/>
        <w:ind w:firstLine="284"/>
        <w:jc w:val="center"/>
        <w:rPr>
          <w:rFonts w:ascii="Garamond" w:eastAsia="Aptos" w:hAnsi="Garamond" w:cs="Times New Roman"/>
          <w:b/>
          <w:bCs/>
          <w:color w:val="000000" w:themeColor="text1"/>
          <w:sz w:val="24"/>
          <w:szCs w:val="24"/>
        </w:rPr>
      </w:pPr>
    </w:p>
    <w:p w14:paraId="602FD511" w14:textId="77D628E7" w:rsidR="00C9749E" w:rsidRPr="007C1501" w:rsidRDefault="00C9749E" w:rsidP="003456F4">
      <w:pPr>
        <w:spacing w:after="0" w:line="240" w:lineRule="auto"/>
        <w:ind w:firstLine="284"/>
        <w:jc w:val="both"/>
        <w:rPr>
          <w:rFonts w:ascii="Garamond" w:eastAsia="Aptos" w:hAnsi="Garamond" w:cs="Times New Roman"/>
          <w:color w:val="000000" w:themeColor="text1"/>
          <w:sz w:val="24"/>
          <w:szCs w:val="24"/>
        </w:rPr>
      </w:pPr>
      <w:r w:rsidRPr="007C1501">
        <w:rPr>
          <w:rFonts w:ascii="Garamond" w:eastAsia="Aptos" w:hAnsi="Garamond" w:cs="Times New Roman"/>
          <w:color w:val="000000" w:themeColor="text1"/>
          <w:sz w:val="24"/>
          <w:szCs w:val="24"/>
        </w:rPr>
        <w:t>1. Njësitë ekonomike, subjekt i kërkesave të nenit 18/1 të këtij ligji, përgati</w:t>
      </w:r>
      <w:r w:rsidR="00652D37" w:rsidRPr="007C1501">
        <w:rPr>
          <w:rFonts w:ascii="Garamond" w:eastAsia="Aptos" w:hAnsi="Garamond" w:cs="Times New Roman"/>
          <w:color w:val="000000" w:themeColor="text1"/>
          <w:sz w:val="24"/>
          <w:szCs w:val="24"/>
        </w:rPr>
        <w:t>t</w:t>
      </w:r>
      <w:r w:rsidRPr="007C1501">
        <w:rPr>
          <w:rFonts w:ascii="Garamond" w:eastAsia="Aptos" w:hAnsi="Garamond" w:cs="Times New Roman"/>
          <w:color w:val="000000" w:themeColor="text1"/>
          <w:sz w:val="24"/>
          <w:szCs w:val="24"/>
        </w:rPr>
        <w:t>in raportin e ecurisë së veprimtarisë në format elektronik raportimi, në përputhje me kërkesat e legjislacionit të zbatueshëm të Bashkimit Evropian dhe akteve nënligjore të dala në zbatim të tij.</w:t>
      </w:r>
    </w:p>
    <w:p w14:paraId="260DD5A1" w14:textId="2298A246" w:rsidR="00C9749E" w:rsidRPr="007C1501" w:rsidRDefault="00C9749E" w:rsidP="003456F4">
      <w:pPr>
        <w:spacing w:after="0" w:line="240" w:lineRule="auto"/>
        <w:ind w:firstLine="284"/>
        <w:jc w:val="both"/>
        <w:rPr>
          <w:rFonts w:ascii="Garamond" w:eastAsia="Aptos" w:hAnsi="Garamond" w:cs="Times New Roman"/>
          <w:color w:val="000000" w:themeColor="text1"/>
          <w:sz w:val="24"/>
          <w:szCs w:val="24"/>
        </w:rPr>
      </w:pPr>
      <w:r w:rsidRPr="007C1501">
        <w:rPr>
          <w:rFonts w:ascii="Garamond" w:eastAsia="Aptos" w:hAnsi="Garamond" w:cs="Times New Roman"/>
          <w:color w:val="000000" w:themeColor="text1"/>
          <w:sz w:val="24"/>
          <w:szCs w:val="24"/>
        </w:rPr>
        <w:t>2.</w:t>
      </w:r>
      <w:r w:rsidR="00EB28DE" w:rsidRPr="007C1501">
        <w:rPr>
          <w:rFonts w:ascii="Garamond" w:eastAsia="Aptos" w:hAnsi="Garamond" w:cs="Times New Roman"/>
          <w:color w:val="000000" w:themeColor="text1"/>
          <w:sz w:val="24"/>
          <w:szCs w:val="24"/>
        </w:rPr>
        <w:t xml:space="preserve"> </w:t>
      </w:r>
      <w:r w:rsidRPr="007C1501">
        <w:rPr>
          <w:rFonts w:ascii="Garamond" w:eastAsia="Aptos" w:hAnsi="Garamond" w:cs="Times New Roman"/>
          <w:color w:val="000000" w:themeColor="text1"/>
          <w:sz w:val="24"/>
          <w:szCs w:val="24"/>
        </w:rPr>
        <w:t>Njësitë ekonomike të parashikuara në pikën 1 të këtij neni paraqesin raportin e qëndrueshmërisë, duke përfshirë, sipas rastit, edhe informacionin e kërkuar nga legjislacioni përkatës i Bashkimit Evropian për taksonominë, në përputhje me formatin elektronik të raportimit, sipas pikës 1 të këtij neni.</w:t>
      </w:r>
    </w:p>
    <w:p w14:paraId="7BC93CE7" w14:textId="047D09B2" w:rsidR="00C9749E" w:rsidRPr="007C1501" w:rsidRDefault="00C9749E" w:rsidP="003456F4">
      <w:pPr>
        <w:spacing w:after="0" w:line="240" w:lineRule="auto"/>
        <w:ind w:firstLine="284"/>
        <w:jc w:val="both"/>
        <w:rPr>
          <w:rFonts w:ascii="Garamond" w:eastAsia="Aptos" w:hAnsi="Garamond" w:cs="Times New Roman"/>
          <w:color w:val="000000" w:themeColor="text1"/>
          <w:sz w:val="24"/>
          <w:szCs w:val="24"/>
        </w:rPr>
      </w:pPr>
      <w:r w:rsidRPr="007C1501">
        <w:rPr>
          <w:rFonts w:ascii="Garamond" w:eastAsia="Aptos" w:hAnsi="Garamond" w:cs="Times New Roman"/>
          <w:color w:val="000000" w:themeColor="text1"/>
          <w:sz w:val="24"/>
          <w:szCs w:val="24"/>
        </w:rPr>
        <w:t>3. Njësitë ekonomike mëmë</w:t>
      </w:r>
      <w:r w:rsidR="00363979" w:rsidRPr="007C1501">
        <w:rPr>
          <w:rFonts w:ascii="Garamond" w:eastAsia="Aptos" w:hAnsi="Garamond" w:cs="Times New Roman"/>
          <w:color w:val="000000" w:themeColor="text1"/>
          <w:sz w:val="24"/>
          <w:szCs w:val="24"/>
        </w:rPr>
        <w:t>,</w:t>
      </w:r>
      <w:r w:rsidRPr="007C1501">
        <w:rPr>
          <w:rFonts w:ascii="Garamond" w:eastAsia="Aptos" w:hAnsi="Garamond" w:cs="Times New Roman"/>
          <w:color w:val="000000" w:themeColor="text1"/>
          <w:sz w:val="24"/>
          <w:szCs w:val="24"/>
        </w:rPr>
        <w:t xml:space="preserve"> subjekt i kërkesave të nenit 20/1 të këtij ligji</w:t>
      </w:r>
      <w:r w:rsidR="00363979" w:rsidRPr="007C1501">
        <w:rPr>
          <w:rFonts w:ascii="Garamond" w:eastAsia="Aptos" w:hAnsi="Garamond" w:cs="Times New Roman"/>
          <w:color w:val="000000" w:themeColor="text1"/>
          <w:sz w:val="24"/>
          <w:szCs w:val="24"/>
        </w:rPr>
        <w:t>,</w:t>
      </w:r>
      <w:r w:rsidRPr="007C1501">
        <w:rPr>
          <w:rFonts w:ascii="Garamond" w:eastAsia="Aptos" w:hAnsi="Garamond" w:cs="Times New Roman"/>
          <w:color w:val="000000" w:themeColor="text1"/>
          <w:sz w:val="24"/>
          <w:szCs w:val="24"/>
        </w:rPr>
        <w:t xml:space="preserve"> përgatisin raportin e konsoliduar të ecurisë së veprimtarisë në format elektronik raportimi në përputhje me kërkesat e legjislacionit të zbatueshëm të Bashkimit Evropian dhe akteve nënligjore të dala në zbatim të tij.</w:t>
      </w:r>
    </w:p>
    <w:p w14:paraId="73D338DF" w14:textId="72326BB1" w:rsidR="001B0D78" w:rsidRPr="007C1501" w:rsidRDefault="00C9749E" w:rsidP="003456F4">
      <w:pPr>
        <w:spacing w:after="0" w:line="240" w:lineRule="auto"/>
        <w:ind w:firstLine="284"/>
        <w:jc w:val="both"/>
        <w:rPr>
          <w:rFonts w:ascii="Garamond" w:hAnsi="Garamond" w:cs="Times New Roman"/>
          <w:color w:val="000000" w:themeColor="text1"/>
          <w:sz w:val="24"/>
          <w:szCs w:val="24"/>
        </w:rPr>
      </w:pPr>
      <w:r w:rsidRPr="007C1501">
        <w:rPr>
          <w:rFonts w:ascii="Garamond" w:eastAsia="Aptos" w:hAnsi="Garamond" w:cs="Times New Roman"/>
          <w:color w:val="000000" w:themeColor="text1"/>
          <w:sz w:val="24"/>
          <w:szCs w:val="24"/>
        </w:rPr>
        <w:t>4. Njësitë ekonomike mëmë të parashikuara në pikën 3 të këtij neni paraqesin raportin e konsoliduar të qëndrueshmërisë, duke përfshirë, sipas rastit, edhe informacionin e kërkuar nga legjislacioni përkatës i Bashkimit Evropian për taksonominë, në përputhje me formatin elektronik të raportimit, sipas pikës 3 të këtij neni.”.</w:t>
      </w:r>
    </w:p>
    <w:p w14:paraId="0F8ABEB0" w14:textId="77777777" w:rsidR="00BB4D9B" w:rsidRPr="007C1501" w:rsidRDefault="00BB4D9B" w:rsidP="003456F4">
      <w:pPr>
        <w:spacing w:after="0" w:line="240" w:lineRule="auto"/>
        <w:ind w:firstLine="284"/>
        <w:jc w:val="center"/>
        <w:rPr>
          <w:rFonts w:ascii="Garamond" w:hAnsi="Garamond" w:cs="Times New Roman"/>
          <w:color w:val="000000" w:themeColor="text1"/>
          <w:sz w:val="24"/>
          <w:szCs w:val="24"/>
        </w:rPr>
      </w:pPr>
    </w:p>
    <w:p w14:paraId="0939BA14" w14:textId="08F3E451"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w:t>
      </w:r>
      <w:r w:rsidR="00491787" w:rsidRPr="007C1501">
        <w:rPr>
          <w:rFonts w:ascii="Garamond" w:hAnsi="Garamond" w:cs="Times New Roman"/>
          <w:color w:val="000000" w:themeColor="text1"/>
          <w:sz w:val="24"/>
          <w:szCs w:val="24"/>
        </w:rPr>
        <w:t>1</w:t>
      </w:r>
    </w:p>
    <w:p w14:paraId="06A43682"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7B0E34D3" w14:textId="79E4FFAD"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nenin 23 bëhen ndryshimi dhe shtesa e mëposhtme:</w:t>
      </w:r>
    </w:p>
    <w:p w14:paraId="7F7907DA" w14:textId="54B874B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1. Në pikën 2 fjala “çliron” zëvendësohet me </w:t>
      </w:r>
      <w:r w:rsidR="00D97FF2" w:rsidRPr="007C1501">
        <w:rPr>
          <w:rFonts w:ascii="Garamond" w:hAnsi="Garamond" w:cs="Times New Roman"/>
          <w:color w:val="000000" w:themeColor="text1"/>
          <w:sz w:val="24"/>
          <w:szCs w:val="24"/>
        </w:rPr>
        <w:t xml:space="preserve">fjalën </w:t>
      </w:r>
      <w:r w:rsidRPr="007C1501">
        <w:rPr>
          <w:rFonts w:ascii="Garamond" w:hAnsi="Garamond" w:cs="Times New Roman"/>
          <w:color w:val="000000" w:themeColor="text1"/>
          <w:sz w:val="24"/>
          <w:szCs w:val="24"/>
        </w:rPr>
        <w:t>“përjashton”.</w:t>
      </w:r>
    </w:p>
    <w:p w14:paraId="6B97352E" w14:textId="5BC1A2A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 Në fund të pikës 3 shtohet fjalia me këtë përmbajtje:</w:t>
      </w:r>
    </w:p>
    <w:p w14:paraId="22E005C5"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“Personi përgjegjës për hartimin e pasqyrave financiare përgatit një deklaratë pajtueshmërie, e cila publikohet së bashku me pasqyrat financiare vjetore. Forma dhe përmbajtja e deklaratës së pajtueshmërisë miratohen me urdhër të ministrit përgjegjës për financat, me propozim të Këshillit Kombëtar të Kontabilitetit.”.</w:t>
      </w:r>
    </w:p>
    <w:p w14:paraId="074A2B50"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436C603F" w14:textId="27BD158E"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w:t>
      </w:r>
      <w:r w:rsidR="00491787" w:rsidRPr="007C1501">
        <w:rPr>
          <w:rFonts w:ascii="Garamond" w:hAnsi="Garamond" w:cs="Times New Roman"/>
          <w:color w:val="000000" w:themeColor="text1"/>
          <w:sz w:val="24"/>
          <w:szCs w:val="24"/>
        </w:rPr>
        <w:t>2</w:t>
      </w:r>
    </w:p>
    <w:p w14:paraId="2FB535F7"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55E41FD8" w14:textId="29E3A54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Pas kreut III shtohet kreu III/1 me këtë përmbajtje:</w:t>
      </w:r>
    </w:p>
    <w:p w14:paraId="2BA67684"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1E9DFF21" w14:textId="77777777" w:rsidR="00EB28DE" w:rsidRPr="007C1501" w:rsidRDefault="00EB28DE" w:rsidP="003456F4">
      <w:pPr>
        <w:spacing w:after="0" w:line="240" w:lineRule="auto"/>
        <w:ind w:firstLine="284"/>
        <w:jc w:val="center"/>
        <w:rPr>
          <w:rFonts w:ascii="Garamond" w:hAnsi="Garamond" w:cs="Times New Roman"/>
          <w:color w:val="000000" w:themeColor="text1"/>
          <w:sz w:val="24"/>
          <w:szCs w:val="24"/>
        </w:rPr>
      </w:pPr>
    </w:p>
    <w:p w14:paraId="2C1D5FA6" w14:textId="15E573F3"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“KREU III/1</w:t>
      </w:r>
    </w:p>
    <w:p w14:paraId="7DEB37E5"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RAPORTI PËR INFORMACIONIN E TATIMIT MBI TË ARDHURAT</w:t>
      </w:r>
    </w:p>
    <w:p w14:paraId="43CC4F2B"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p>
    <w:p w14:paraId="1005EB95"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23/1</w:t>
      </w:r>
    </w:p>
    <w:p w14:paraId="4E2B6721" w14:textId="6BD1FC96"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Njësitë ekonomike dhe degët</w:t>
      </w:r>
      <w:r w:rsidR="00865043" w:rsidRPr="007C1501">
        <w:rPr>
          <w:rFonts w:ascii="Garamond" w:hAnsi="Garamond" w:cs="Times New Roman"/>
          <w:b/>
          <w:bCs/>
          <w:color w:val="000000" w:themeColor="text1"/>
          <w:sz w:val="24"/>
          <w:szCs w:val="24"/>
        </w:rPr>
        <w:t>,</w:t>
      </w:r>
      <w:r w:rsidRPr="007C1501">
        <w:rPr>
          <w:rFonts w:ascii="Garamond" w:hAnsi="Garamond" w:cs="Times New Roman"/>
          <w:b/>
          <w:bCs/>
          <w:color w:val="000000" w:themeColor="text1"/>
          <w:sz w:val="24"/>
          <w:szCs w:val="24"/>
        </w:rPr>
        <w:t xml:space="preserve"> të cilat raportojnë për informacionin e tatimit mbi të ardhurat</w:t>
      </w:r>
    </w:p>
    <w:p w14:paraId="72203913"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593A70CE" w14:textId="7732490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Njësitë ekonomike mëmë të nivelit më të lartë, të rregulluara nga legjislacioni shqiptar, të cilat në datën e raportimit kanë realizuar të ardhura të konsoliduara që tejkalojnë shumën 75 000 000 000 lekë për secilën nga dy periudhat e fundit raportuese të njëpasnjëshme, sipas pasqyrave financiare të konsoliduara, janë të detyruara të hartojnë, të publikojnë dhe të bëjnë të aksesueshëm një raport për informacionin e tatimit mbi të ardhurat për vitin e fundit nga kët</w:t>
      </w:r>
      <w:r w:rsidR="00871580" w:rsidRPr="007C1501">
        <w:rPr>
          <w:rFonts w:ascii="Garamond" w:hAnsi="Garamond" w:cs="Times New Roman"/>
          <w:color w:val="000000" w:themeColor="text1"/>
          <w:sz w:val="24"/>
          <w:szCs w:val="24"/>
        </w:rPr>
        <w:t>a</w:t>
      </w:r>
      <w:r w:rsidRPr="007C1501">
        <w:rPr>
          <w:rFonts w:ascii="Garamond" w:hAnsi="Garamond" w:cs="Times New Roman"/>
          <w:color w:val="000000" w:themeColor="text1"/>
          <w:sz w:val="24"/>
          <w:szCs w:val="24"/>
        </w:rPr>
        <w:t xml:space="preserve"> </w:t>
      </w:r>
      <w:r w:rsidR="00524C4C" w:rsidRPr="007C1501">
        <w:rPr>
          <w:rFonts w:ascii="Garamond" w:hAnsi="Garamond" w:cs="Times New Roman"/>
          <w:color w:val="000000" w:themeColor="text1"/>
          <w:sz w:val="24"/>
          <w:szCs w:val="24"/>
        </w:rPr>
        <w:t>2</w:t>
      </w:r>
      <w:r w:rsidRPr="007C1501">
        <w:rPr>
          <w:rFonts w:ascii="Garamond" w:hAnsi="Garamond" w:cs="Times New Roman"/>
          <w:color w:val="000000" w:themeColor="text1"/>
          <w:sz w:val="24"/>
          <w:szCs w:val="24"/>
        </w:rPr>
        <w:t xml:space="preserve"> v</w:t>
      </w:r>
      <w:r w:rsidR="00871580" w:rsidRPr="007C1501">
        <w:rPr>
          <w:rFonts w:ascii="Garamond" w:hAnsi="Garamond" w:cs="Times New Roman"/>
          <w:color w:val="000000" w:themeColor="text1"/>
          <w:sz w:val="24"/>
          <w:szCs w:val="24"/>
        </w:rPr>
        <w:t>jet</w:t>
      </w:r>
      <w:r w:rsidRPr="007C1501">
        <w:rPr>
          <w:rFonts w:ascii="Garamond" w:hAnsi="Garamond" w:cs="Times New Roman"/>
          <w:color w:val="000000" w:themeColor="text1"/>
          <w:sz w:val="24"/>
          <w:szCs w:val="24"/>
        </w:rPr>
        <w:t xml:space="preserve"> financiar</w:t>
      </w:r>
      <w:r w:rsidR="00871580" w:rsidRPr="007C1501">
        <w:rPr>
          <w:rFonts w:ascii="Garamond" w:hAnsi="Garamond" w:cs="Times New Roman"/>
          <w:color w:val="000000" w:themeColor="text1"/>
          <w:sz w:val="24"/>
          <w:szCs w:val="24"/>
        </w:rPr>
        <w:t>ë</w:t>
      </w:r>
      <w:r w:rsidRPr="007C1501">
        <w:rPr>
          <w:rFonts w:ascii="Garamond" w:hAnsi="Garamond" w:cs="Times New Roman"/>
          <w:color w:val="000000" w:themeColor="text1"/>
          <w:sz w:val="24"/>
          <w:szCs w:val="24"/>
        </w:rPr>
        <w:t>.</w:t>
      </w:r>
    </w:p>
    <w:p w14:paraId="3F5153D3" w14:textId="0B4D9307" w:rsidR="001B0D78" w:rsidRPr="007C1501" w:rsidRDefault="007C1501" w:rsidP="003456F4">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1B0D78" w:rsidRPr="007C1501">
        <w:rPr>
          <w:rFonts w:ascii="Garamond" w:hAnsi="Garamond" w:cs="Times New Roman"/>
          <w:color w:val="000000" w:themeColor="text1"/>
          <w:sz w:val="24"/>
          <w:szCs w:val="24"/>
        </w:rPr>
        <w:t>Detyrimi i mësipërm pushon së zbatuari kur të ardhurat e konsoliduara të njësisë mëmë në nivelin më të lartë në datën e</w:t>
      </w:r>
      <w:r>
        <w:rPr>
          <w:rFonts w:ascii="Garamond" w:hAnsi="Garamond" w:cs="Times New Roman"/>
          <w:color w:val="000000" w:themeColor="text1"/>
          <w:sz w:val="24"/>
          <w:szCs w:val="24"/>
        </w:rPr>
        <w:t xml:space="preserve"> </w:t>
      </w:r>
      <w:r w:rsidR="001B0D78" w:rsidRPr="007C1501">
        <w:rPr>
          <w:rFonts w:ascii="Garamond" w:hAnsi="Garamond" w:cs="Times New Roman"/>
          <w:color w:val="000000" w:themeColor="text1"/>
          <w:sz w:val="24"/>
          <w:szCs w:val="24"/>
        </w:rPr>
        <w:t>raportimit bien nën</w:t>
      </w:r>
      <w:r>
        <w:rPr>
          <w:rFonts w:ascii="Garamond" w:hAnsi="Garamond" w:cs="Times New Roman"/>
          <w:color w:val="000000" w:themeColor="text1"/>
          <w:sz w:val="24"/>
          <w:szCs w:val="24"/>
        </w:rPr>
        <w:t xml:space="preserve"> </w:t>
      </w:r>
      <w:r w:rsidR="001B0D78" w:rsidRPr="007C1501">
        <w:rPr>
          <w:rFonts w:ascii="Garamond" w:hAnsi="Garamond" w:cs="Times New Roman"/>
          <w:color w:val="000000" w:themeColor="text1"/>
          <w:sz w:val="24"/>
          <w:szCs w:val="24"/>
        </w:rPr>
        <w:t>shumën prej 75 000 000 000 lekësh për secilën nga dy periudhat e fundit raportuese të njëpasnjëshme.</w:t>
      </w:r>
    </w:p>
    <w:p w14:paraId="2E099AD9" w14:textId="6E87215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Njësitë ekonomike që nuk janë pjesë </w:t>
      </w:r>
      <w:r w:rsidR="00E8394E" w:rsidRPr="007C1501">
        <w:rPr>
          <w:rFonts w:ascii="Garamond" w:hAnsi="Garamond" w:cs="Times New Roman"/>
          <w:color w:val="000000" w:themeColor="text1"/>
          <w:sz w:val="24"/>
          <w:szCs w:val="24"/>
        </w:rPr>
        <w:t>e</w:t>
      </w:r>
      <w:r w:rsidRPr="007C1501">
        <w:rPr>
          <w:rFonts w:ascii="Garamond" w:hAnsi="Garamond" w:cs="Times New Roman"/>
          <w:color w:val="000000" w:themeColor="text1"/>
          <w:sz w:val="24"/>
          <w:szCs w:val="24"/>
        </w:rPr>
        <w:t xml:space="preserve"> një grupi, të rregulluara nga legjislacioni shqiptar, të cilat në datën e raportimit kanë realizuar të ardhura që tejkalojnë shumën 75 000 000 000 lekë për secilën nga dy periudhat e fundit raportuese të njëpasnjëshme, sipas pasqyrave financiare vjetore, janë të detyruara të hartojnë, të publikojnë dhe të bëjnë të aksesueshëm një raport për informacionin e tatimit mbi të ardhurat për vitin e fundit nga kët</w:t>
      </w:r>
      <w:r w:rsidR="005C52AF" w:rsidRPr="007C1501">
        <w:rPr>
          <w:rFonts w:ascii="Garamond" w:hAnsi="Garamond" w:cs="Times New Roman"/>
          <w:color w:val="000000" w:themeColor="text1"/>
          <w:sz w:val="24"/>
          <w:szCs w:val="24"/>
        </w:rPr>
        <w:t>a</w:t>
      </w:r>
      <w:r w:rsidRPr="007C1501">
        <w:rPr>
          <w:rFonts w:ascii="Garamond" w:hAnsi="Garamond" w:cs="Times New Roman"/>
          <w:color w:val="000000" w:themeColor="text1"/>
          <w:sz w:val="24"/>
          <w:szCs w:val="24"/>
        </w:rPr>
        <w:t xml:space="preserve"> </w:t>
      </w:r>
      <w:r w:rsidR="00CC39BB" w:rsidRPr="007C1501">
        <w:rPr>
          <w:rFonts w:ascii="Garamond" w:hAnsi="Garamond" w:cs="Times New Roman"/>
          <w:color w:val="000000" w:themeColor="text1"/>
          <w:sz w:val="24"/>
          <w:szCs w:val="24"/>
        </w:rPr>
        <w:t>2</w:t>
      </w:r>
      <w:r w:rsidRPr="007C1501">
        <w:rPr>
          <w:rFonts w:ascii="Garamond" w:hAnsi="Garamond" w:cs="Times New Roman"/>
          <w:color w:val="000000" w:themeColor="text1"/>
          <w:sz w:val="24"/>
          <w:szCs w:val="24"/>
        </w:rPr>
        <w:t xml:space="preserve"> </w:t>
      </w:r>
      <w:r w:rsidR="00122268" w:rsidRPr="007C1501">
        <w:rPr>
          <w:rFonts w:ascii="Garamond" w:hAnsi="Garamond" w:cs="Times New Roman"/>
          <w:color w:val="000000" w:themeColor="text1"/>
          <w:sz w:val="24"/>
          <w:szCs w:val="24"/>
        </w:rPr>
        <w:t>vjet</w:t>
      </w:r>
      <w:r w:rsidRPr="007C1501">
        <w:rPr>
          <w:rFonts w:ascii="Garamond" w:hAnsi="Garamond" w:cs="Times New Roman"/>
          <w:color w:val="000000" w:themeColor="text1"/>
          <w:sz w:val="24"/>
          <w:szCs w:val="24"/>
        </w:rPr>
        <w:t xml:space="preserve"> financiar</w:t>
      </w:r>
      <w:r w:rsidR="00122268" w:rsidRPr="007C1501">
        <w:rPr>
          <w:rFonts w:ascii="Garamond" w:hAnsi="Garamond" w:cs="Times New Roman"/>
          <w:color w:val="000000" w:themeColor="text1"/>
          <w:sz w:val="24"/>
          <w:szCs w:val="24"/>
        </w:rPr>
        <w:t>ë</w:t>
      </w:r>
      <w:r w:rsidRPr="007C1501">
        <w:rPr>
          <w:rFonts w:ascii="Garamond" w:hAnsi="Garamond" w:cs="Times New Roman"/>
          <w:color w:val="000000" w:themeColor="text1"/>
          <w:sz w:val="24"/>
          <w:szCs w:val="24"/>
        </w:rPr>
        <w:t xml:space="preserve">. </w:t>
      </w:r>
    </w:p>
    <w:p w14:paraId="56172795" w14:textId="4D8B4A83" w:rsidR="001B0D78" w:rsidRPr="007C1501" w:rsidRDefault="007C1501" w:rsidP="003456F4">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1B0D78" w:rsidRPr="007C1501">
        <w:rPr>
          <w:rFonts w:ascii="Garamond" w:hAnsi="Garamond" w:cs="Times New Roman"/>
          <w:color w:val="000000" w:themeColor="text1"/>
          <w:sz w:val="24"/>
          <w:szCs w:val="24"/>
        </w:rPr>
        <w:t>Detyrimi i mësipërm pushon së zbatuari kur të ardhurat totale të njësisë ekonomike që nuk është pjesë e një grupi në datën e raportimit bien nën shumën prej 75 000 000 000 lekësh për secilën nga dy periudhat e fundit raportuese të njëpasnjëshme.</w:t>
      </w:r>
    </w:p>
    <w:p w14:paraId="79270DAF" w14:textId="5116ADA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3. Dispozitat në pikat 1 dhe 2 të këtij neni nuk zbatohen për njësitë ekonomike që nuk janë pjesë </w:t>
      </w:r>
      <w:r w:rsidR="00982548" w:rsidRPr="007C1501">
        <w:rPr>
          <w:rFonts w:ascii="Garamond" w:hAnsi="Garamond" w:cs="Times New Roman"/>
          <w:color w:val="000000" w:themeColor="text1"/>
          <w:sz w:val="24"/>
          <w:szCs w:val="24"/>
        </w:rPr>
        <w:t>e</w:t>
      </w:r>
      <w:r w:rsidRPr="007C1501">
        <w:rPr>
          <w:rFonts w:ascii="Garamond" w:hAnsi="Garamond" w:cs="Times New Roman"/>
          <w:color w:val="000000" w:themeColor="text1"/>
          <w:sz w:val="24"/>
          <w:szCs w:val="24"/>
        </w:rPr>
        <w:t xml:space="preserve"> një grupi ose për njësitë ekonomike mëmë në nivelin më të lartë dhe njësitë e tyre, pjesë të grupit, kur këto njësi, përfshirë degët e tyre, janë themeluar ose ushtrojnë veprimtarinë e tyre të përhershme ekonomike vetëm brenda territorit të një shteti të vetëm dhe në asnjë juridiksion tjetër tatimor. </w:t>
      </w:r>
    </w:p>
    <w:p w14:paraId="71C971F9" w14:textId="6E105ED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4. Dispozitat në pikat 1 dhe 2 të këtij neni nuk zbatohen për njësitë ekonomike që nuk janë pjesë </w:t>
      </w:r>
      <w:r w:rsidR="00C955AA" w:rsidRPr="007C1501">
        <w:rPr>
          <w:rFonts w:ascii="Garamond" w:hAnsi="Garamond" w:cs="Times New Roman"/>
          <w:color w:val="000000" w:themeColor="text1"/>
          <w:sz w:val="24"/>
          <w:szCs w:val="24"/>
        </w:rPr>
        <w:t>e</w:t>
      </w:r>
      <w:r w:rsidRPr="007C1501">
        <w:rPr>
          <w:rFonts w:ascii="Garamond" w:hAnsi="Garamond" w:cs="Times New Roman"/>
          <w:color w:val="000000" w:themeColor="text1"/>
          <w:sz w:val="24"/>
          <w:szCs w:val="24"/>
        </w:rPr>
        <w:t xml:space="preserve"> një grupi dhe njësitë mëmë në nivelin më të lartë, kur këto njësi ose njësitë, pjesë e grupit</w:t>
      </w:r>
      <w:r w:rsidR="00FD4640"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janë të detyruara të publikojnë raport, sipas legjislacionit të posaçëm, që rregullon institucionet financiare dhe përmban informacion për të gjitha veprimtaritë e tyre.</w:t>
      </w:r>
    </w:p>
    <w:p w14:paraId="58264382" w14:textId="25EC667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5. Njësitë ekonomike të kontrolluara, të mesme dhe të mëdha, të rregulluara nga legjislacioni shqiptar, të cilat kontrollohen nga një njësi ekonomike mëmë në nivelin më të lartë, që nuk rregullohet nga legjislacioni shqiptar, kur të ardhurat e konsoliduara në nivel grupi tejkalojnë shumën 75 000 000 000 lekë për secilën nga dy periudhat e fundit raportuese të njëpasnjëshme, janë të detyruara të hartojnë, të publikojnë dhe të bëjnë të aksesueshëm raportin për informacionin e tatimit mbi të ardhurat për atë njësi ekonomike mëmë në nivelin më të lartë për vitin e fundit nga kët</w:t>
      </w:r>
      <w:r w:rsidR="003E7F43" w:rsidRPr="007C1501">
        <w:rPr>
          <w:rFonts w:ascii="Garamond" w:hAnsi="Garamond" w:cs="Times New Roman"/>
          <w:color w:val="000000" w:themeColor="text1"/>
          <w:sz w:val="24"/>
          <w:szCs w:val="24"/>
        </w:rPr>
        <w:t>a</w:t>
      </w:r>
      <w:r w:rsidRPr="007C1501">
        <w:rPr>
          <w:rFonts w:ascii="Garamond" w:hAnsi="Garamond" w:cs="Times New Roman"/>
          <w:color w:val="000000" w:themeColor="text1"/>
          <w:sz w:val="24"/>
          <w:szCs w:val="24"/>
        </w:rPr>
        <w:t xml:space="preserve"> </w:t>
      </w:r>
      <w:r w:rsidR="003E7F43" w:rsidRPr="007C1501">
        <w:rPr>
          <w:rFonts w:ascii="Garamond" w:hAnsi="Garamond" w:cs="Times New Roman"/>
          <w:color w:val="000000" w:themeColor="text1"/>
          <w:sz w:val="24"/>
          <w:szCs w:val="24"/>
        </w:rPr>
        <w:t>2</w:t>
      </w:r>
      <w:r w:rsidRPr="007C1501">
        <w:rPr>
          <w:rFonts w:ascii="Garamond" w:hAnsi="Garamond" w:cs="Times New Roman"/>
          <w:color w:val="000000" w:themeColor="text1"/>
          <w:sz w:val="24"/>
          <w:szCs w:val="24"/>
        </w:rPr>
        <w:t xml:space="preserve"> v</w:t>
      </w:r>
      <w:r w:rsidR="00F55A8B" w:rsidRPr="007C1501">
        <w:rPr>
          <w:rFonts w:ascii="Garamond" w:hAnsi="Garamond" w:cs="Times New Roman"/>
          <w:color w:val="000000" w:themeColor="text1"/>
          <w:sz w:val="24"/>
          <w:szCs w:val="24"/>
        </w:rPr>
        <w:t>jet</w:t>
      </w:r>
      <w:r w:rsidRPr="007C1501">
        <w:rPr>
          <w:rFonts w:ascii="Garamond" w:hAnsi="Garamond" w:cs="Times New Roman"/>
          <w:color w:val="000000" w:themeColor="text1"/>
          <w:sz w:val="24"/>
          <w:szCs w:val="24"/>
        </w:rPr>
        <w:t xml:space="preserve"> financiar</w:t>
      </w:r>
      <w:r w:rsidR="00F55A8B" w:rsidRPr="007C1501">
        <w:rPr>
          <w:rFonts w:ascii="Garamond" w:hAnsi="Garamond" w:cs="Times New Roman"/>
          <w:color w:val="000000" w:themeColor="text1"/>
          <w:sz w:val="24"/>
          <w:szCs w:val="24"/>
        </w:rPr>
        <w:t>ë</w:t>
      </w:r>
      <w:r w:rsidRPr="007C1501">
        <w:rPr>
          <w:rFonts w:ascii="Garamond" w:hAnsi="Garamond" w:cs="Times New Roman"/>
          <w:color w:val="000000" w:themeColor="text1"/>
          <w:sz w:val="24"/>
          <w:szCs w:val="24"/>
        </w:rPr>
        <w:t xml:space="preserve"> të njëpasnjësh</w:t>
      </w:r>
      <w:r w:rsidR="00871580" w:rsidRPr="007C1501">
        <w:rPr>
          <w:rFonts w:ascii="Garamond" w:hAnsi="Garamond" w:cs="Times New Roman"/>
          <w:color w:val="000000" w:themeColor="text1"/>
          <w:sz w:val="24"/>
          <w:szCs w:val="24"/>
        </w:rPr>
        <w:t>ëm</w:t>
      </w:r>
      <w:r w:rsidRPr="007C1501">
        <w:rPr>
          <w:rFonts w:ascii="Garamond" w:hAnsi="Garamond" w:cs="Times New Roman"/>
          <w:color w:val="000000" w:themeColor="text1"/>
          <w:sz w:val="24"/>
          <w:szCs w:val="24"/>
        </w:rPr>
        <w:t xml:space="preserve">. </w:t>
      </w:r>
    </w:p>
    <w:p w14:paraId="4EF8BB5A" w14:textId="2D7ECD5E" w:rsidR="001B0D78" w:rsidRPr="007C1501" w:rsidRDefault="007C1501" w:rsidP="003456F4">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1B0D78" w:rsidRPr="007C1501">
        <w:rPr>
          <w:rFonts w:ascii="Garamond" w:hAnsi="Garamond" w:cs="Times New Roman"/>
          <w:color w:val="000000" w:themeColor="text1"/>
          <w:sz w:val="24"/>
          <w:szCs w:val="24"/>
        </w:rPr>
        <w:t>Kur raporti nuk është i disponueshëm, njësia e kontrolluar kërkon informacionin e nevojshëm nga njësia mëmë në nivelin më të lartë. Nëse ky informacion nuk vihet në dispozicion, njësia e kontrolluar harton, publikon dhe bën të aksesueshëm raportin me të gjithë informacionin që zotëron, ka përftuar ose ka siguruar</w:t>
      </w:r>
      <w:r w:rsidR="00871580" w:rsidRPr="007C1501">
        <w:rPr>
          <w:rFonts w:ascii="Garamond" w:hAnsi="Garamond" w:cs="Times New Roman"/>
          <w:color w:val="000000" w:themeColor="text1"/>
          <w:sz w:val="24"/>
          <w:szCs w:val="24"/>
        </w:rPr>
        <w:t>,</w:t>
      </w:r>
      <w:r w:rsidR="001B0D78" w:rsidRPr="007C1501">
        <w:rPr>
          <w:rFonts w:ascii="Garamond" w:hAnsi="Garamond" w:cs="Times New Roman"/>
          <w:color w:val="000000" w:themeColor="text1"/>
          <w:sz w:val="24"/>
          <w:szCs w:val="24"/>
        </w:rPr>
        <w:t xml:space="preserve"> duke e shoqëruar atë me një deklaratë, ku tregohet se njësia mëmë nuk ka vënë në dispozicion informacionin e nevojshëm.</w:t>
      </w:r>
    </w:p>
    <w:p w14:paraId="37383F77" w14:textId="3C074776" w:rsidR="001B0D78" w:rsidRPr="007C1501" w:rsidRDefault="007C1501" w:rsidP="003456F4">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1B0D78" w:rsidRPr="007C1501">
        <w:rPr>
          <w:rFonts w:ascii="Garamond" w:hAnsi="Garamond" w:cs="Times New Roman"/>
          <w:color w:val="000000" w:themeColor="text1"/>
          <w:sz w:val="24"/>
          <w:szCs w:val="24"/>
        </w:rPr>
        <w:t>Detyrimi pushon së zbatuari kur të ardhurat e konsoliduara të njësisë ekonomike mëmë në nivelin më të lartë janë nën shumën prej</w:t>
      </w:r>
      <w:r w:rsidR="00871580" w:rsidRPr="007C1501">
        <w:rPr>
          <w:rFonts w:ascii="Garamond" w:hAnsi="Garamond" w:cs="Times New Roman"/>
          <w:color w:val="000000" w:themeColor="text1"/>
          <w:sz w:val="24"/>
          <w:szCs w:val="24"/>
        </w:rPr>
        <w:t xml:space="preserve"> </w:t>
      </w:r>
      <w:r w:rsidR="001B0D78" w:rsidRPr="007C1501">
        <w:rPr>
          <w:rFonts w:ascii="Garamond" w:hAnsi="Garamond" w:cs="Times New Roman"/>
          <w:color w:val="000000" w:themeColor="text1"/>
          <w:sz w:val="24"/>
          <w:szCs w:val="24"/>
        </w:rPr>
        <w:t xml:space="preserve">75 000 000 000 lekësh për secilën nga dy periudhat e fundit raportuese të njëpasnjëshme. </w:t>
      </w:r>
    </w:p>
    <w:p w14:paraId="6648C94B" w14:textId="1E6C669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6. Degët e njësive ekonomike, që nuk rregullohen nga legjislacioni shqiptar, të regjistruara në territorin e Republikës së Shqipërisë janë të detyruara të hartojnë, të publikojnë dhe të bëjnë të aksesueshëm raportin për informacionin e tatimit mbi të ardhurat</w:t>
      </w:r>
      <w:r w:rsidR="00E1405D"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në lidhje me njësinë ekonomike mëmë në nivelin më të lartë ose njësinë ekonomike që nuk është pjesë e një grupi</w:t>
      </w:r>
      <w:r w:rsidR="00E1405D"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për vitin e fundit nga dy periudhat e fundit raportuese të njëpasnjëshme, kur këto njësi ekonomike kanë të ardhura mbi</w:t>
      </w:r>
      <w:r w:rsid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75 000 000 000 lekë për secilën nga dy periudhat raportuese të njëpasnjëshme. </w:t>
      </w:r>
    </w:p>
    <w:p w14:paraId="115F3EDB" w14:textId="36D3D568" w:rsidR="001B0D78" w:rsidRPr="007C1501" w:rsidRDefault="007C1501" w:rsidP="003456F4">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1B0D78" w:rsidRPr="007C1501">
        <w:rPr>
          <w:rFonts w:ascii="Garamond" w:hAnsi="Garamond" w:cs="Times New Roman"/>
          <w:color w:val="000000" w:themeColor="text1"/>
          <w:sz w:val="24"/>
          <w:szCs w:val="24"/>
        </w:rPr>
        <w:t>Kur raporti nuk është i disponueshëm, personat e autorizuar kërkojnë nga njësia mëmë ose nga njësia ekonomike që nuk është pjesë e një grupi informacionin e nevojshëm. Nëse informacioni nuk vihet në dispozicion, dega harton, publikon dhe bën të aksesueshëm raportin me të gjithë informacionin që zotëron, që ka përftuar ose ka siguruar, duke e shoqëruar atë me një deklaratë ku tregohet se njësia mëmë ose njësia që nuk është pjesë e një grupi nuk ka vënë në dispozicion informacionin e nevojshëm.</w:t>
      </w:r>
    </w:p>
    <w:p w14:paraId="0DFB0DA9" w14:textId="060AF205" w:rsidR="001B0D78" w:rsidRPr="007C1501" w:rsidRDefault="007C1501" w:rsidP="003456F4">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1B0D78" w:rsidRPr="007C1501">
        <w:rPr>
          <w:rFonts w:ascii="Garamond" w:hAnsi="Garamond" w:cs="Times New Roman"/>
          <w:color w:val="000000" w:themeColor="text1"/>
          <w:sz w:val="24"/>
          <w:szCs w:val="24"/>
        </w:rPr>
        <w:t>Ky detyrim zbatohet vetëm për degët që kanë realizuar të ardhura mbi pragun e përcaktuar në nënpikën 1.2 të nenit 4 të këtij ligji për secilën nga dy periudhat raportuese të njëpasnjëshme dhe pushon së zbatuari kur të ardhurat e degës janë nën këtë prag për dy periudha raportuese të njëpasnjëshme.</w:t>
      </w:r>
    </w:p>
    <w:p w14:paraId="236D561E" w14:textId="35BEA98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Përcaktimet e këtij neni zbatohen për degët vetëm kur plotësohen njëkohësisht këto kritere:</w:t>
      </w:r>
    </w:p>
    <w:p w14:paraId="348D71E0" w14:textId="1C0948C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a) </w:t>
      </w:r>
      <w:r w:rsidR="00E1405D" w:rsidRPr="007C1501">
        <w:rPr>
          <w:rFonts w:ascii="Garamond" w:hAnsi="Garamond" w:cs="Times New Roman"/>
          <w:color w:val="000000" w:themeColor="text1"/>
          <w:sz w:val="24"/>
          <w:szCs w:val="24"/>
        </w:rPr>
        <w:t>n</w:t>
      </w:r>
      <w:r w:rsidRPr="007C1501">
        <w:rPr>
          <w:rFonts w:ascii="Garamond" w:hAnsi="Garamond" w:cs="Times New Roman"/>
          <w:color w:val="000000" w:themeColor="text1"/>
          <w:sz w:val="24"/>
          <w:szCs w:val="24"/>
        </w:rPr>
        <w:t>jësia ekonomike që ka krijuar degën është ose një njësi pjesë e një grupi, njësia ekonomike mëmë në nivelin më të lartë të të cilit nuk rregullohet nga legjislacioni shqiptar dhe të ardhurat e konsoliduara të të cilit kanë tejkaluar shumën 75 000 000 000 lekë për secilën nga dy periudhat raportuese të njëpasnjëshme, siç reflektohet në pasqyrat financiare të</w:t>
      </w:r>
      <w:r w:rsid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konsoliduara, ose një njësi ekonomike të ardhurat e së cilës kanë tejkaluar shumën 75 000 000 000 lekë për secilën nga dy periudhat raportuese të njëpasnjëshme, siç reflektohet në pasqyrat e saj financiare;</w:t>
      </w:r>
      <w:r w:rsidR="007C1501">
        <w:rPr>
          <w:rFonts w:ascii="Garamond" w:hAnsi="Garamond" w:cs="Times New Roman"/>
          <w:color w:val="000000" w:themeColor="text1"/>
          <w:sz w:val="24"/>
          <w:szCs w:val="24"/>
        </w:rPr>
        <w:t xml:space="preserve"> </w:t>
      </w:r>
    </w:p>
    <w:p w14:paraId="315661F6" w14:textId="49E11DA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B434F2" w:rsidRPr="007C1501">
        <w:rPr>
          <w:rFonts w:ascii="Garamond" w:hAnsi="Garamond" w:cs="Times New Roman"/>
          <w:color w:val="000000" w:themeColor="text1"/>
          <w:sz w:val="24"/>
          <w:szCs w:val="24"/>
        </w:rPr>
        <w:t xml:space="preserve"> </w:t>
      </w:r>
      <w:r w:rsidR="00DD5663" w:rsidRPr="007C1501">
        <w:rPr>
          <w:rFonts w:ascii="Garamond" w:hAnsi="Garamond" w:cs="Times New Roman"/>
          <w:color w:val="000000" w:themeColor="text1"/>
          <w:sz w:val="24"/>
          <w:szCs w:val="24"/>
        </w:rPr>
        <w:t>n</w:t>
      </w:r>
      <w:r w:rsidRPr="007C1501">
        <w:rPr>
          <w:rFonts w:ascii="Garamond" w:hAnsi="Garamond" w:cs="Times New Roman"/>
          <w:color w:val="000000" w:themeColor="text1"/>
          <w:sz w:val="24"/>
          <w:szCs w:val="24"/>
        </w:rPr>
        <w:t>jësia ekonomike mëmë në nivelin më të lartë, e përmendur në shkronjën “a” të kësaj pike, nuk ka njësi ekonomike të kontrolluara të mesme ose të mëdha, sipas përcaktimeve të këtij ligji.</w:t>
      </w:r>
    </w:p>
    <w:p w14:paraId="3DD1B188" w14:textId="35A77EB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Degët nuk </w:t>
      </w:r>
      <w:r w:rsidR="000C438F" w:rsidRPr="007C1501">
        <w:rPr>
          <w:rFonts w:ascii="Garamond" w:hAnsi="Garamond" w:cs="Times New Roman"/>
          <w:color w:val="000000" w:themeColor="text1"/>
          <w:sz w:val="24"/>
          <w:szCs w:val="24"/>
        </w:rPr>
        <w:t>u</w:t>
      </w:r>
      <w:r w:rsidRPr="007C1501">
        <w:rPr>
          <w:rFonts w:ascii="Garamond" w:hAnsi="Garamond" w:cs="Times New Roman"/>
          <w:color w:val="000000" w:themeColor="text1"/>
          <w:sz w:val="24"/>
          <w:szCs w:val="24"/>
        </w:rPr>
        <w:t xml:space="preserve"> nënshtrohen më detyrimeve të raportimit të këtij neni kur kriteri i përcaktuar në shkronjën “a” të kësaj pike nuk përmbushet për dy periudhat raportuese të njëpasnjëshme.</w:t>
      </w:r>
    </w:p>
    <w:p w14:paraId="4C10B802" w14:textId="75B520D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7. Dispozitat e pikave 5 dhe 6 të këtij neni nuk zbatohen kur raporti për informacionin e tatimit mbi të ardhurat publikohet nga njësia ekonomike mëmë në nivelin më të lartë ose nga njësia ekonomike që nuk është pjesë e një grupi, në përputhje me kërkesat e këtij ligji për përmbajtjen e raportit, dhe kur plotësohen njëkohësisht këto kushte:</w:t>
      </w:r>
    </w:p>
    <w:p w14:paraId="387004B6" w14:textId="384F6AA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w:t>
      </w:r>
      <w:r w:rsidR="00094DBC" w:rsidRPr="007C1501">
        <w:rPr>
          <w:rFonts w:ascii="Garamond" w:hAnsi="Garamond" w:cs="Times New Roman"/>
          <w:color w:val="000000" w:themeColor="text1"/>
          <w:sz w:val="24"/>
          <w:szCs w:val="24"/>
        </w:rPr>
        <w:t xml:space="preserve"> </w:t>
      </w:r>
      <w:r w:rsidR="005A46A7" w:rsidRPr="007C1501">
        <w:rPr>
          <w:rFonts w:ascii="Garamond" w:hAnsi="Garamond" w:cs="Times New Roman"/>
          <w:color w:val="000000" w:themeColor="text1"/>
          <w:sz w:val="24"/>
          <w:szCs w:val="24"/>
        </w:rPr>
        <w:t>r</w:t>
      </w:r>
      <w:r w:rsidRPr="007C1501">
        <w:rPr>
          <w:rFonts w:ascii="Garamond" w:hAnsi="Garamond" w:cs="Times New Roman"/>
          <w:color w:val="000000" w:themeColor="text1"/>
          <w:sz w:val="24"/>
          <w:szCs w:val="24"/>
        </w:rPr>
        <w:t>aporti bëhet i aksesueshëm publikisht, falas, në një format elektronik të lexueshëm nga pajisjet, në faqen e internetit të njësisë ekonomike mëmë ose të njësisë ekonomike që nuk është pjesë e një grupi</w:t>
      </w:r>
      <w:r w:rsidR="000F67DB"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jo më vonë se 12 muaj nga data e raportimit të periudhës për të cil</w:t>
      </w:r>
      <w:r w:rsidR="003C39E3" w:rsidRPr="007C1501">
        <w:rPr>
          <w:rFonts w:ascii="Garamond" w:hAnsi="Garamond" w:cs="Times New Roman"/>
          <w:color w:val="000000" w:themeColor="text1"/>
          <w:sz w:val="24"/>
          <w:szCs w:val="24"/>
        </w:rPr>
        <w:t>ë</w:t>
      </w:r>
      <w:r w:rsidRPr="007C1501">
        <w:rPr>
          <w:rFonts w:ascii="Garamond" w:hAnsi="Garamond" w:cs="Times New Roman"/>
          <w:color w:val="000000" w:themeColor="text1"/>
          <w:sz w:val="24"/>
          <w:szCs w:val="24"/>
        </w:rPr>
        <w:t>n është hartuar raporti;</w:t>
      </w:r>
    </w:p>
    <w:p w14:paraId="3C7187BE" w14:textId="66B97D7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b) </w:t>
      </w:r>
      <w:r w:rsidR="00C9749E" w:rsidRPr="007C1501">
        <w:rPr>
          <w:rFonts w:ascii="Garamond" w:hAnsi="Garamond" w:cs="Times New Roman"/>
          <w:color w:val="000000" w:themeColor="text1"/>
          <w:sz w:val="24"/>
          <w:szCs w:val="24"/>
        </w:rPr>
        <w:t>raporti publikohet në gjuhën shqipe dhe të paktën në një nga gjuhët zyrtare të Bashkimit Evropian</w:t>
      </w:r>
      <w:r w:rsidRPr="007C1501">
        <w:rPr>
          <w:rFonts w:ascii="Garamond" w:hAnsi="Garamond" w:cs="Times New Roman"/>
          <w:color w:val="000000" w:themeColor="text1"/>
          <w:sz w:val="24"/>
          <w:szCs w:val="24"/>
        </w:rPr>
        <w:t>;</w:t>
      </w:r>
    </w:p>
    <w:p w14:paraId="1B332D10" w14:textId="1AA4AA8D"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 raporti identifikon emrin dhe selinë e një njësie të vetme të kontrolluar ose emrin dhe adresën e një dege të vetme, të regjistruar në territorin e Republikës së Shqipërisë, e cila ka publikuar raportin, në përputhje me këtë ligj.</w:t>
      </w:r>
    </w:p>
    <w:p w14:paraId="644C8B92" w14:textId="7BA1E420"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8.</w:t>
      </w:r>
      <w:r w:rsid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Njësitë ekonomike të kontrolluara ose degët që nuk janë subjekt i dispozitave të pikave 5 dhe 6 të këtij neni janë të detyruara të publikojnë dhe të bëjnë të aksesueshëm raportin për informacionin e tatimit mbi të ardhurat, kur qëllimi i vetëm i krijimit të tyre është shmangia e detyrimeve të raportimit, të përcaktuara në këtë kre.</w:t>
      </w:r>
    </w:p>
    <w:p w14:paraId="67934112" w14:textId="4136139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9. Raporti për informacionin e tatimit mbi të ardhurat, i parashikuar në këtë kapitull, është një detyrim publik shtesë dhe nuk zëvendëson, as nuk përjashton</w:t>
      </w:r>
      <w:r w:rsidR="00F967FE"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detyrimet e raportimit, të përcaktuara nga legjislacioni tatimor në fuqi.</w:t>
      </w:r>
    </w:p>
    <w:p w14:paraId="173431FF"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486ED10A"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23/2</w:t>
      </w:r>
    </w:p>
    <w:p w14:paraId="5E563875" w14:textId="77777777"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Përmbajtja e raportit për informacionin e tatimit mbi të ardhurat</w:t>
      </w:r>
    </w:p>
    <w:p w14:paraId="2CC0D9D0"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6DE78E0B" w14:textId="0D42DA8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 Raporti për informacionin e tatimit mbi të ardhurat, i kërkuar në zbatim të nenit paraardhës, përfshin informacion në lidhje me të gjitha veprimtaritë e njësisë ekonomike që nuk është pjesë e një grupi ose të njësisë ekonomike mëmë në nivelin më të lartë, duke përfshirë ato të të gjitha njësive, pjesë të grupit, të konsoliduara në pasqyrat financiare për vitin financiar përkatës.</w:t>
      </w:r>
    </w:p>
    <w:p w14:paraId="4B8A0F77" w14:textId="1E6B48E5"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 Informacioni i raportit përmban:</w:t>
      </w:r>
    </w:p>
    <w:p w14:paraId="0A8026F2" w14:textId="619329A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 emrin e njësisë ekonomike mëmë në nivelin më të lartë ose të njësisë ekonomike që nuk është pjesë e një grupi, vitin financiar, monedhën e përdorur për paraqitjen e raportit dhe, sipas rastit, një listë të të gjitha njësive të kontrolluara</w:t>
      </w:r>
      <w:r w:rsidR="00F967FE"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të konsoliduara në pasqyrat financiare të njësisë mëmë në nivelin më të lartë, për vitin financiar përkatës, të themeluara në Republikën e Shqipërisë ose në juridiksione tatimore të klasifikuara si jobashkëpunuese, sipas listave ndërkombëtare të pranuara;</w:t>
      </w:r>
    </w:p>
    <w:p w14:paraId="7162B5CD"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 përshkrim të shkurtër të natyrës së veprimtarive të tyre;</w:t>
      </w:r>
    </w:p>
    <w:p w14:paraId="72E579E6" w14:textId="560E814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numrin e punonjësve</w:t>
      </w:r>
      <w:r w:rsidR="00183B69"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referuar kohës normale të punës, sipas përcaktimeve të legjislacionit vendas të fushës;</w:t>
      </w:r>
    </w:p>
    <w:p w14:paraId="6AC1CC31" w14:textId="116A06D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ç) të ardhurat</w:t>
      </w:r>
      <w:r w:rsidR="00183B69"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të cilat llogariten si:</w:t>
      </w:r>
    </w:p>
    <w:p w14:paraId="27C3683E" w14:textId="097F1CD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shuma </w:t>
      </w:r>
      <w:r w:rsidR="006E44F5" w:rsidRPr="007C1501">
        <w:rPr>
          <w:rFonts w:ascii="Garamond" w:hAnsi="Garamond" w:cs="Times New Roman"/>
          <w:color w:val="000000" w:themeColor="text1"/>
          <w:sz w:val="24"/>
          <w:szCs w:val="24"/>
        </w:rPr>
        <w:t>e</w:t>
      </w:r>
      <w:r w:rsidRPr="007C1501">
        <w:rPr>
          <w:rFonts w:ascii="Garamond" w:hAnsi="Garamond" w:cs="Times New Roman"/>
          <w:color w:val="000000" w:themeColor="text1"/>
          <w:sz w:val="24"/>
          <w:szCs w:val="24"/>
        </w:rPr>
        <w:t xml:space="preserve"> të ardhurave të shfrytëzimit, të ardhurave të tjera të shfrytëzimit, të ardhurave nga interesat në pjesëmarrje, përjashtuar dividendët e marrë nga njësitë që bëjnë pjesë në grup, të ardhurat nga investime të tjera dhe huat</w:t>
      </w:r>
      <w:r w:rsidR="00B60C81"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paraqitur në aktivet afatgjata, interesat e tjera të arkëtueshme dhe të ardhura të ngjashme; ose</w:t>
      </w:r>
    </w:p>
    <w:p w14:paraId="4B7F6DD3" w14:textId="41F5657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ii.</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të ardhura, sipas përcaktimeve të kuadrit të raportimit financiar, mbi bazën e të cilit përgatiten pasqyrat financiare, duke përjashtuar rregullimet e vlerës dhe dividendët e marrë nga njësitë që janë pjesë e grupit.</w:t>
      </w:r>
    </w:p>
    <w:p w14:paraId="72A517C8"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d) shumën e fitimeve ose humbjeve përpara tatimit mbi të ardhurat;</w:t>
      </w:r>
    </w:p>
    <w:p w14:paraId="428E5595"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dh) shumën e tatimit mbi të ardhurat të njohur gjatë vitit financiar përkatës, e cila llogaritet si tatimi aktual mbi fitimet ose humbjet e tatueshme të vitit financiar nga njësitë ekonomike dhe degët në juridiksionin tatimor përkatës;</w:t>
      </w:r>
    </w:p>
    <w:p w14:paraId="69760DC4" w14:textId="3BEEF2C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e)</w:t>
      </w:r>
      <w:r w:rsidR="00B434F2"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shumën e tatimit mbi të ardhurat</w:t>
      </w:r>
      <w:r w:rsidR="00CB71EE" w:rsidRPr="007C1501">
        <w:rPr>
          <w:rFonts w:ascii="Garamond" w:hAnsi="Garamond" w:cs="Times New Roman"/>
          <w:color w:val="000000" w:themeColor="text1"/>
          <w:sz w:val="24"/>
          <w:szCs w:val="24"/>
        </w:rPr>
        <w:t>,</w:t>
      </w:r>
      <w:r w:rsidRPr="007C1501">
        <w:rPr>
          <w:rFonts w:ascii="Garamond" w:hAnsi="Garamond" w:cs="Times New Roman"/>
          <w:color w:val="000000" w:themeColor="text1"/>
          <w:sz w:val="24"/>
          <w:szCs w:val="24"/>
        </w:rPr>
        <w:t xml:space="preserve"> të paguar në mjete monetare, e cila llogaritet si shuma e tatimit mbi të ardhurat të paguar gjatë vitit financiar përkatës nga njësitë ekonomike dhe degët në juridiksionin tatimor përkatës;</w:t>
      </w:r>
    </w:p>
    <w:p w14:paraId="70FB13D5"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ë) shumën e fitimeve të akumuluara në fund të vitit financiar përkatës.</w:t>
      </w:r>
    </w:p>
    <w:p w14:paraId="62D04346" w14:textId="70C070C8"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Për qëllimet e shkronjës “ç”, të ardhurat përfshijnë edhe transaksionet me palët e lidhura.</w:t>
      </w:r>
    </w:p>
    <w:p w14:paraId="6AB1B935"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Për qëllimet e shkronjës “dh” tatimfitimi aktual lidhet vetëm me veprimtaritë e një njësie ekonomike në vitin financiar përkatës dhe nuk përfshin tatimet e shtyra apo provizionet për detyrime tatimore të pasigurta. </w:t>
      </w:r>
    </w:p>
    <w:p w14:paraId="3F1B0BDB"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Për qëllimet e shkronjës “e” tatimet e paguara përfshijnë edhe tatimet në burim të paguara nga njësitë e tjera në lidhje me pagesat për njësitë dhe degët brenda një grupi.</w:t>
      </w:r>
    </w:p>
    <w:p w14:paraId="7C30488C" w14:textId="6724DDC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Për qëllimet e shkronjës “ë” fitimet e akumuluara nënkuptojnë shumën e fitimeve nga vitet e mëparshme financiare dhe nga viti financiar përkatës, shpërndarja e të cilave nuk është vendosur ende. Për degët, të ardhurat e akumuluara janë ato të njësisë ekonomike që ka hapur degën. </w:t>
      </w:r>
    </w:p>
    <w:p w14:paraId="620D1F4C" w14:textId="7F2315C2"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 Informacioni i përmendur në pikën 2 të këtij neni paraqitet në përputhje me udhëzimet dhe modelet e raportimit, të përcaktuara me akt nënligjor nga ministri përgjegjës për financat, propozuar nga Këshilli Kombëtar i Kontabilitetit, duke përdorur një model të përbashkët dhe formate elektronike raportimi të lexueshme nga pajisjet.</w:t>
      </w:r>
    </w:p>
    <w:p w14:paraId="5C01CCBA" w14:textId="228BC35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4. Raporti për informacionin e tatimit mbi të ardhurat paraqet informacionin e përcaktuar në këtë nen, veçmas për çdo shtet dhe juridiksion tatimor ku njësia ekonomike operon. Për juridiksionet tatimore të klasifikuara si jobashkëpunuese sipas listave ndërkombëtare të pranuara, si dhe për juridiksionet e identifikuara si në rrezik për qëllime tatimore, informacioni paraqitet gjithmonë veçmas. Për juridiksionet e tjera tatimore informacioni paraqitet në mënyrë të agreguar. Informacioni i atribuohet juridiksionit tatimor përkatës mbi bazën e themelimit, ekzistencës së një selie fikse biznesi ose veprimtarie të përhershme ekonomike që mund t’i nënshtrohet tatimit mbi të ardhurat në atë juridiksion. Kur disa njësi, pjesë të një grupi, i nënshtrohen tatimit mbi të ardhurat në të njëjtin juridiksion tatimor, informacioni paraqitet si shumë e përbashkët. Një veprimtari e caktuar nuk mund t’i atribuohet më shumë se një juridiksioni tatimor. </w:t>
      </w:r>
    </w:p>
    <w:p w14:paraId="4E0BD925" w14:textId="5318AE3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5.</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Njësitë ekonomike mund të përjashtojnë përkohësisht nga raporti disa elemente të informacionit, të </w:t>
      </w:r>
      <w:r w:rsidR="005C0AA1" w:rsidRPr="007C1501">
        <w:rPr>
          <w:rFonts w:ascii="Garamond" w:hAnsi="Garamond" w:cs="Times New Roman"/>
          <w:color w:val="000000" w:themeColor="text1"/>
          <w:sz w:val="24"/>
          <w:szCs w:val="24"/>
        </w:rPr>
        <w:t>p</w:t>
      </w:r>
      <w:r w:rsidR="00D461C2" w:rsidRPr="007C1501">
        <w:rPr>
          <w:rFonts w:ascii="Garamond" w:hAnsi="Garamond" w:cs="Times New Roman"/>
          <w:color w:val="000000" w:themeColor="text1"/>
          <w:sz w:val="24"/>
          <w:szCs w:val="24"/>
        </w:rPr>
        <w:t>ë</w:t>
      </w:r>
      <w:r w:rsidR="005C0AA1" w:rsidRPr="007C1501">
        <w:rPr>
          <w:rFonts w:ascii="Garamond" w:hAnsi="Garamond" w:cs="Times New Roman"/>
          <w:color w:val="000000" w:themeColor="text1"/>
          <w:sz w:val="24"/>
          <w:szCs w:val="24"/>
        </w:rPr>
        <w:t>rcaktua</w:t>
      </w:r>
      <w:r w:rsidRPr="007C1501">
        <w:rPr>
          <w:rFonts w:ascii="Garamond" w:hAnsi="Garamond" w:cs="Times New Roman"/>
          <w:color w:val="000000" w:themeColor="text1"/>
          <w:sz w:val="24"/>
          <w:szCs w:val="24"/>
        </w:rPr>
        <w:t>r</w:t>
      </w:r>
      <w:r w:rsidR="008F3C8C" w:rsidRPr="007C1501">
        <w:rPr>
          <w:rFonts w:ascii="Garamond" w:hAnsi="Garamond" w:cs="Times New Roman"/>
          <w:color w:val="000000" w:themeColor="text1"/>
          <w:sz w:val="24"/>
          <w:szCs w:val="24"/>
        </w:rPr>
        <w:t>a</w:t>
      </w:r>
      <w:r w:rsidRPr="007C1501">
        <w:rPr>
          <w:rFonts w:ascii="Garamond" w:hAnsi="Garamond" w:cs="Times New Roman"/>
          <w:color w:val="000000" w:themeColor="text1"/>
          <w:sz w:val="24"/>
          <w:szCs w:val="24"/>
        </w:rPr>
        <w:t xml:space="preserve"> në pikën 2 të këtij neni, vetëm kur publikimi i tyre do të cenonte në mënyrë të konsiderueshme pozicionin tregtar. Çdo përjashtim duhet të cilësohet qartë në raport dhe të shoqërohet me shpjegim të argumentuar. Informacioni i përjashtuar publikohet brenda një periudhe jo më të gjatë se </w:t>
      </w:r>
      <w:r w:rsidR="0083399A" w:rsidRPr="007C1501">
        <w:rPr>
          <w:rFonts w:ascii="Garamond" w:hAnsi="Garamond" w:cs="Times New Roman"/>
          <w:color w:val="000000" w:themeColor="text1"/>
          <w:sz w:val="24"/>
          <w:szCs w:val="24"/>
        </w:rPr>
        <w:t xml:space="preserve">5 </w:t>
      </w:r>
      <w:r w:rsidRPr="007C1501">
        <w:rPr>
          <w:rFonts w:ascii="Garamond" w:hAnsi="Garamond" w:cs="Times New Roman"/>
          <w:color w:val="000000" w:themeColor="text1"/>
          <w:sz w:val="24"/>
          <w:szCs w:val="24"/>
        </w:rPr>
        <w:t>vjet nga data e përjashtimit. Përjashtimi nuk lejohet për informacionin që lidhet me juridiksionet tatimore të listuara si jobashkëpunuese, sipas listave ndërkombëtare të pranuara.</w:t>
      </w:r>
    </w:p>
    <w:p w14:paraId="1B9F72CD" w14:textId="2C65E734"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6. Raporti mund të përfshijë, sipas rastit, në nivel grupi një shpjegim të përgjithshëm mbi çdo mosrakordim material ndërmjet shumave të deklaruara për tatimin e njohur (shkronja “dh” e pikës 2) dhe tatimin e paguar (shkronja “e” e pikës 2), duke marrë në konsideratë edhe shumat për vitet e mëparshme.</w:t>
      </w:r>
    </w:p>
    <w:p w14:paraId="4F03EA8E" w14:textId="4F1DD2DF"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7. Monedha e përdorur në raport është monedha në të cilën përgatiten pasqyrat financiare të konsoliduara të njësisë ekonomike mëmë në nivelin më të lartë ose pasqyrat financiare të njësisë që nuk është pjesë e një grupi. Për rastet e degëve të përmendura në nenin përkatës të këtij ligji monedha raportuese është ajo e pasqyrave financiare të degës.</w:t>
      </w:r>
    </w:p>
    <w:p w14:paraId="644A1962" w14:textId="3DDC6008" w:rsidR="001B0D78" w:rsidRPr="007C1501" w:rsidRDefault="004F1289"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Për qëllime të zbatimit të pragjeve të raportimit të përcaktuara në këtë ligj, kur pasqyrat financiare përgatiten në një monedhë tjetër nga monedha raportuese, pragjet përkatëse konvertohen në monedhën raportuese të vendit tjetër sipas kursit të këmbimit të zbatueshëm në përputhje me kuadrin përkatës të raportimit. Asnjë ndërmarrje, degë apo subjekt raportues nuk mund të detyrohet ta publikojë raportin në një monedhë tjetër nga ajo e përcaktuar sipas këtij neni.</w:t>
      </w:r>
    </w:p>
    <w:p w14:paraId="09BCAF9A" w14:textId="52381D32"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8. Në raport cilësohet qartë nëse ai është përgatitu</w:t>
      </w:r>
      <w:r w:rsidR="00370EE8" w:rsidRPr="007C1501">
        <w:rPr>
          <w:rFonts w:ascii="Garamond" w:hAnsi="Garamond" w:cs="Times New Roman"/>
          <w:color w:val="000000" w:themeColor="text1"/>
          <w:sz w:val="24"/>
          <w:szCs w:val="24"/>
        </w:rPr>
        <w:t>r</w:t>
      </w:r>
      <w:r w:rsidRPr="007C1501">
        <w:rPr>
          <w:rFonts w:ascii="Garamond" w:hAnsi="Garamond" w:cs="Times New Roman"/>
          <w:color w:val="000000" w:themeColor="text1"/>
          <w:sz w:val="24"/>
          <w:szCs w:val="24"/>
        </w:rPr>
        <w:t xml:space="preserve"> në përputhje me pikën 2 të këtij neni.</w:t>
      </w:r>
    </w:p>
    <w:p w14:paraId="26A9691C"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B995C71" w14:textId="77777777" w:rsidR="008B4553" w:rsidRDefault="008B4553" w:rsidP="003456F4">
      <w:pPr>
        <w:spacing w:after="0" w:line="240" w:lineRule="auto"/>
        <w:ind w:firstLine="284"/>
        <w:jc w:val="center"/>
        <w:rPr>
          <w:rFonts w:ascii="Garamond" w:hAnsi="Garamond" w:cs="Times New Roman"/>
          <w:color w:val="000000" w:themeColor="text1"/>
          <w:sz w:val="24"/>
          <w:szCs w:val="24"/>
        </w:rPr>
      </w:pPr>
    </w:p>
    <w:p w14:paraId="057C2A54" w14:textId="77777777" w:rsidR="008B4553" w:rsidRDefault="008B4553" w:rsidP="003456F4">
      <w:pPr>
        <w:spacing w:after="0" w:line="240" w:lineRule="auto"/>
        <w:ind w:firstLine="284"/>
        <w:jc w:val="center"/>
        <w:rPr>
          <w:rFonts w:ascii="Garamond" w:hAnsi="Garamond" w:cs="Times New Roman"/>
          <w:color w:val="000000" w:themeColor="text1"/>
          <w:sz w:val="24"/>
          <w:szCs w:val="24"/>
        </w:rPr>
      </w:pPr>
    </w:p>
    <w:p w14:paraId="4C32198F"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23/3</w:t>
      </w:r>
    </w:p>
    <w:p w14:paraId="390B5A3E" w14:textId="77777777"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Publikimi dhe aksesueshmëria e raportit për informacionin e tatimit mbi të ardhurat</w:t>
      </w:r>
    </w:p>
    <w:p w14:paraId="0391C775" w14:textId="77777777" w:rsidR="001B0D78" w:rsidRPr="007C1501" w:rsidRDefault="001B0D78" w:rsidP="003456F4">
      <w:pPr>
        <w:spacing w:after="0" w:line="240" w:lineRule="auto"/>
        <w:ind w:firstLine="284"/>
        <w:jc w:val="both"/>
        <w:rPr>
          <w:rFonts w:ascii="Garamond" w:hAnsi="Garamond" w:cs="Times New Roman"/>
          <w:b/>
          <w:bCs/>
          <w:color w:val="000000" w:themeColor="text1"/>
          <w:sz w:val="24"/>
          <w:szCs w:val="24"/>
        </w:rPr>
      </w:pPr>
    </w:p>
    <w:p w14:paraId="563F34A6" w14:textId="2D5EA67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w:t>
      </w:r>
      <w:r w:rsidR="000A3F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Raporti për informacionin e tatimit mbi të ardhurat dhe, sipas rastit, pasqyrat financiare të parashikuara në nenin 23/1 të këtij ligji publikohen dhe depozitohen pranë autoritetit përkatës ku janë regjistruar brenda 12 muajve nga data e raportimit të periudhës për të cilin janë përgatitur.</w:t>
      </w:r>
    </w:p>
    <w:p w14:paraId="4D782CD5" w14:textId="194E43C3" w:rsidR="00E43B29"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0A3FDE" w:rsidRPr="007C1501">
        <w:rPr>
          <w:rFonts w:ascii="Garamond" w:hAnsi="Garamond" w:cs="Times New Roman"/>
          <w:color w:val="000000" w:themeColor="text1"/>
          <w:sz w:val="24"/>
          <w:szCs w:val="24"/>
        </w:rPr>
        <w:t xml:space="preserve"> </w:t>
      </w:r>
      <w:r w:rsidR="00E43B29" w:rsidRPr="007C1501">
        <w:rPr>
          <w:rFonts w:ascii="Garamond" w:eastAsia="Times New Roman" w:hAnsi="Garamond" w:cs="Times New Roman"/>
          <w:color w:val="000000" w:themeColor="text1"/>
          <w:sz w:val="24"/>
          <w:szCs w:val="24"/>
        </w:rPr>
        <w:t>Raporti dhe pasqyrat financiare bëhen të aksesueshme për publikun falas në gjuhën shqipe dhe të paktën në një nga gjuhët zyrtare të Bashkimit Evropian, në faqen e internetit të njësisë ekonomike ose të degës përkatëse.</w:t>
      </w:r>
    </w:p>
    <w:p w14:paraId="4D83B2B8" w14:textId="5EB76FD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 Përjashtimisht, detyrimi i parashikuar në pikën 2 të këtij neni nuk zbatohet kur raporti dhe pasqyrat financiare janë të aksesueshme publikisht dhe falas në faqen elektronike të autoritetit përkatës ku njësia ekonomike është e regjistruar.</w:t>
      </w:r>
    </w:p>
    <w:p w14:paraId="506C2897"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605E0A56" w14:textId="77777777"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23/4</w:t>
      </w:r>
    </w:p>
    <w:p w14:paraId="12BF6B26" w14:textId="77777777" w:rsidR="001B0D78" w:rsidRPr="007C1501" w:rsidRDefault="001B0D7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Përgjegjësia për hartimin dhe publikimin e raportit për informacionin e tatimit mbi të ardhurat</w:t>
      </w:r>
    </w:p>
    <w:p w14:paraId="547E457A"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237FEFA8" w14:textId="11F0D04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 Anëtarët e organeve ekzekutive, drejtuese dhe mbikëqyrëse të njësive ekonomike mëmë në nivelin më të lartë ose të njësive ekonomike që nuk janë pjesë të grupit, të përmendura në nenin 23/1</w:t>
      </w:r>
      <w:r w:rsidR="006E44F5" w:rsidRPr="007C1501">
        <w:rPr>
          <w:rFonts w:ascii="Garamond" w:hAnsi="Garamond" w:cs="Times New Roman"/>
          <w:color w:val="000000" w:themeColor="text1"/>
          <w:sz w:val="24"/>
          <w:szCs w:val="24"/>
        </w:rPr>
        <w:t xml:space="preserve"> të këtij ligji</w:t>
      </w:r>
      <w:r w:rsidRPr="007C1501">
        <w:rPr>
          <w:rFonts w:ascii="Garamond" w:hAnsi="Garamond" w:cs="Times New Roman"/>
          <w:color w:val="000000" w:themeColor="text1"/>
          <w:sz w:val="24"/>
          <w:szCs w:val="24"/>
        </w:rPr>
        <w:t>, duke vepruar brenda kompetencave të tyre, sipas legjislacionit shqiptar, kanë përgjegjësi solidare për të garantuar që raporti për informacionin e tatimit mbi të ardhurat të hartohet, të publikohet dhe të bëhet i aksesueshëm, në përputhje me nenet 23/1, 23/2 dhe 23/3 të këtij ligji.</w:t>
      </w:r>
    </w:p>
    <w:p w14:paraId="7E19D43F" w14:textId="03A51B5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Anëtarët e organeve ekzekutive, drejtuese dhe mbikëqyrëse të njësive ekonomike të kontrolluara, të përmendura në pikën 5 të nenit 23/1</w:t>
      </w:r>
      <w:r w:rsidR="006E44F5" w:rsidRPr="007C1501">
        <w:rPr>
          <w:rFonts w:ascii="Garamond" w:hAnsi="Garamond" w:cs="Times New Roman"/>
          <w:color w:val="000000" w:themeColor="text1"/>
          <w:sz w:val="24"/>
          <w:szCs w:val="24"/>
        </w:rPr>
        <w:t xml:space="preserve"> të këtij ligji</w:t>
      </w:r>
      <w:r w:rsidRPr="007C1501">
        <w:rPr>
          <w:rFonts w:ascii="Garamond" w:hAnsi="Garamond" w:cs="Times New Roman"/>
          <w:color w:val="000000" w:themeColor="text1"/>
          <w:sz w:val="24"/>
          <w:szCs w:val="24"/>
        </w:rPr>
        <w:t>, si dhe personat e autorizuar për formalitetet e deklarimit të degëve, të përmendura në pikën 6 të nenit 23/1</w:t>
      </w:r>
      <w:r w:rsidR="006E44F5" w:rsidRPr="007C1501">
        <w:rPr>
          <w:rFonts w:ascii="Garamond" w:hAnsi="Garamond" w:cs="Times New Roman"/>
          <w:color w:val="000000" w:themeColor="text1"/>
          <w:sz w:val="24"/>
          <w:szCs w:val="24"/>
        </w:rPr>
        <w:t xml:space="preserve"> të këtij ligji</w:t>
      </w:r>
      <w:r w:rsidRPr="007C1501">
        <w:rPr>
          <w:rFonts w:ascii="Garamond" w:hAnsi="Garamond" w:cs="Times New Roman"/>
          <w:color w:val="000000" w:themeColor="text1"/>
          <w:sz w:val="24"/>
          <w:szCs w:val="24"/>
        </w:rPr>
        <w:t>, kanë përgjegjësi solidare, sipas dijenisë dhe kapaciteteve të tyre maksimale, që raporti për informacionin e tatimit mbi të ardhurat të hartohet në përputhje me nenet 23/1 dhe 23/2 të këtij ligji dhe të publikohet e të bëhet i aksesueshëm në përputhje me nenin 23/3 të këtij ligji.”.</w:t>
      </w:r>
    </w:p>
    <w:p w14:paraId="3FF07B62"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07BA3A3E" w14:textId="401DD96B"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w:t>
      </w:r>
      <w:r w:rsidR="003B12A7" w:rsidRPr="007C1501">
        <w:rPr>
          <w:rFonts w:ascii="Garamond" w:hAnsi="Garamond" w:cs="Times New Roman"/>
          <w:color w:val="000000" w:themeColor="text1"/>
          <w:sz w:val="24"/>
          <w:szCs w:val="24"/>
        </w:rPr>
        <w:t>3</w:t>
      </w:r>
    </w:p>
    <w:p w14:paraId="0E59159F"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193322AD" w14:textId="2C403989"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pikën 2 të nenit 24 bëhen këto ndryshime:</w:t>
      </w:r>
    </w:p>
    <w:p w14:paraId="1D997760" w14:textId="34B48773" w:rsidR="001B0D78" w:rsidRPr="007C1501" w:rsidRDefault="001B0D78" w:rsidP="007C1501">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 Në shkronjën “a” bëhen ndryshimet e mëposhtme:</w:t>
      </w:r>
    </w:p>
    <w:p w14:paraId="23855EFD" w14:textId="5B7D480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w:t>
      </w:r>
      <w:r w:rsidR="00EB28DE" w:rsidRPr="007C1501">
        <w:rPr>
          <w:rFonts w:ascii="Garamond" w:hAnsi="Garamond" w:cs="Times New Roman"/>
          <w:color w:val="000000" w:themeColor="text1"/>
          <w:sz w:val="24"/>
          <w:szCs w:val="24"/>
        </w:rPr>
        <w:t xml:space="preserve"> </w:t>
      </w:r>
      <w:r w:rsidR="00C52921" w:rsidRPr="007C1501">
        <w:rPr>
          <w:rFonts w:ascii="Garamond" w:hAnsi="Garamond" w:cs="Times New Roman"/>
          <w:color w:val="000000" w:themeColor="text1"/>
          <w:sz w:val="24"/>
          <w:szCs w:val="24"/>
        </w:rPr>
        <w:t>f</w:t>
      </w:r>
      <w:r w:rsidRPr="007C1501">
        <w:rPr>
          <w:rFonts w:ascii="Garamond" w:hAnsi="Garamond" w:cs="Times New Roman"/>
          <w:color w:val="000000" w:themeColor="text1"/>
          <w:sz w:val="24"/>
          <w:szCs w:val="24"/>
        </w:rPr>
        <w:t>jalët “Standardet Ndërkombëtare të Raportimit Financiar” zëvendësohen me</w:t>
      </w:r>
      <w:r w:rsidR="007C6F8E" w:rsidRPr="007C1501">
        <w:rPr>
          <w:rFonts w:ascii="Garamond" w:hAnsi="Garamond" w:cs="Times New Roman"/>
          <w:color w:val="000000" w:themeColor="text1"/>
          <w:sz w:val="24"/>
          <w:szCs w:val="24"/>
        </w:rPr>
        <w:t xml:space="preserve"> fjalët</w:t>
      </w:r>
      <w:r w:rsidRPr="007C1501">
        <w:rPr>
          <w:rFonts w:ascii="Garamond" w:hAnsi="Garamond" w:cs="Times New Roman"/>
          <w:color w:val="000000" w:themeColor="text1"/>
          <w:sz w:val="24"/>
          <w:szCs w:val="24"/>
        </w:rPr>
        <w:t xml:space="preserve"> “standardet kontabël ndërkombëtare të raportimit financiar”;</w:t>
      </w:r>
      <w:r w:rsidR="007C6F8E" w:rsidRPr="007C1501">
        <w:rPr>
          <w:rFonts w:ascii="Garamond" w:hAnsi="Garamond" w:cs="Times New Roman"/>
          <w:color w:val="000000" w:themeColor="text1"/>
          <w:sz w:val="24"/>
          <w:szCs w:val="24"/>
        </w:rPr>
        <w:t xml:space="preserve"> </w:t>
      </w:r>
    </w:p>
    <w:p w14:paraId="4E99E3D4" w14:textId="7040794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b)</w:t>
      </w:r>
      <w:r w:rsidR="00EB28DE" w:rsidRPr="007C1501">
        <w:rPr>
          <w:rFonts w:ascii="Garamond" w:hAnsi="Garamond" w:cs="Times New Roman"/>
          <w:color w:val="000000" w:themeColor="text1"/>
          <w:sz w:val="24"/>
          <w:szCs w:val="24"/>
        </w:rPr>
        <w:t xml:space="preserve"> </w:t>
      </w:r>
      <w:r w:rsidR="00C52921" w:rsidRPr="007C1501">
        <w:rPr>
          <w:rFonts w:ascii="Garamond" w:hAnsi="Garamond" w:cs="Times New Roman"/>
          <w:color w:val="000000" w:themeColor="text1"/>
          <w:sz w:val="24"/>
          <w:szCs w:val="24"/>
        </w:rPr>
        <w:t>f</w:t>
      </w:r>
      <w:r w:rsidRPr="007C1501">
        <w:rPr>
          <w:rFonts w:ascii="Garamond" w:hAnsi="Garamond" w:cs="Times New Roman"/>
          <w:color w:val="000000" w:themeColor="text1"/>
          <w:sz w:val="24"/>
          <w:szCs w:val="24"/>
        </w:rPr>
        <w:t xml:space="preserve">jalët “standardeve ndërkombëtare” zëvendësohen me </w:t>
      </w:r>
      <w:r w:rsidR="007C6F8E"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“standardeve kontabël ndërkombëtare”;</w:t>
      </w:r>
    </w:p>
    <w:p w14:paraId="148C7574" w14:textId="747958A1" w:rsidR="007C6F8E"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c)</w:t>
      </w:r>
      <w:r w:rsidR="00EB28DE" w:rsidRPr="007C1501">
        <w:rPr>
          <w:rFonts w:ascii="Garamond" w:hAnsi="Garamond" w:cs="Times New Roman"/>
          <w:color w:val="000000" w:themeColor="text1"/>
          <w:sz w:val="24"/>
          <w:szCs w:val="24"/>
        </w:rPr>
        <w:t xml:space="preserve"> </w:t>
      </w:r>
      <w:r w:rsidR="00C52921" w:rsidRPr="007C1501">
        <w:rPr>
          <w:rFonts w:ascii="Garamond" w:hAnsi="Garamond" w:cs="Times New Roman"/>
          <w:color w:val="000000" w:themeColor="text1"/>
          <w:sz w:val="24"/>
          <w:szCs w:val="24"/>
        </w:rPr>
        <w:t>f</w:t>
      </w:r>
      <w:r w:rsidRPr="007C1501">
        <w:rPr>
          <w:rFonts w:ascii="Garamond" w:hAnsi="Garamond" w:cs="Times New Roman"/>
          <w:color w:val="000000" w:themeColor="text1"/>
          <w:sz w:val="24"/>
          <w:szCs w:val="24"/>
        </w:rPr>
        <w:t xml:space="preserve">jalët “e ka autoritetin” zëvendësohen me </w:t>
      </w:r>
      <w:r w:rsidR="007C6F8E"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“i rekomandon ministrit përgjegjës për financat”.</w:t>
      </w:r>
    </w:p>
    <w:p w14:paraId="4565F9C3" w14:textId="16207FD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 Fjalia e parë e shkronjës “e” ndryshohet si më poshtë:</w:t>
      </w:r>
    </w:p>
    <w:p w14:paraId="4434D911" w14:textId="504FAF5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“e)</w:t>
      </w:r>
      <w:r w:rsidR="00F10DA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të publikojë në faqen zyrtare të institucionit standardet kombëtare të kontabilitetit dhe përkthimin në gjuhën shqipe të standardeve kontabël ndërkombëtare të raportimit financiar dhe standardeve të raportimit të qëndrueshmërisë, të detyrueshme apo vullnetare për zbatim.”.</w:t>
      </w:r>
    </w:p>
    <w:p w14:paraId="2F497379" w14:textId="070310F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3.</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Në shkronjën “f” fjalët “dhe raportimit financiar” zëvendësohen me </w:t>
      </w:r>
      <w:r w:rsidR="007C6F8E" w:rsidRPr="007C1501">
        <w:rPr>
          <w:rFonts w:ascii="Garamond" w:hAnsi="Garamond" w:cs="Times New Roman"/>
          <w:color w:val="000000" w:themeColor="text1"/>
          <w:sz w:val="24"/>
          <w:szCs w:val="24"/>
        </w:rPr>
        <w:t>fjalët</w:t>
      </w:r>
      <w:r w:rsidRPr="007C1501">
        <w:rPr>
          <w:rFonts w:ascii="Garamond" w:hAnsi="Garamond" w:cs="Times New Roman"/>
          <w:color w:val="000000" w:themeColor="text1"/>
          <w:sz w:val="24"/>
          <w:szCs w:val="24"/>
        </w:rPr>
        <w:t xml:space="preserve"> “raportimit financiar dhe raportimit të qëndrueshmërisë”.</w:t>
      </w:r>
    </w:p>
    <w:p w14:paraId="36801AF0" w14:textId="3A8A489C"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 Shkronja “g” ndryshohet si më poshtë:</w:t>
      </w:r>
    </w:p>
    <w:p w14:paraId="6B9634A3"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“g) të organizojë tryeza të rrumbullakëta, seminare, konferenca dhe të tjera të ngjashme me to, me qëllim rritjen e transparencës përmes përfshirjes së palëve të interesit në procesin e përmirësimit të raportimit financiar, informimin e palëve të interesit për zhvillimet në këtë fushë, si dhe nxitjen e zbatimit korrekt nga njësitë ekonomike të SKK-ve/SNRF-ve dhe standardeve të qëndrueshmërisë.”.</w:t>
      </w:r>
    </w:p>
    <w:p w14:paraId="7C6E4E0B"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1ED5826D" w14:textId="77777777" w:rsidR="00CF5BEB" w:rsidRDefault="00CF5BEB" w:rsidP="003456F4">
      <w:pPr>
        <w:spacing w:after="0" w:line="240" w:lineRule="auto"/>
        <w:ind w:firstLine="284"/>
        <w:jc w:val="center"/>
        <w:rPr>
          <w:rFonts w:ascii="Garamond" w:hAnsi="Garamond" w:cs="Times New Roman"/>
          <w:color w:val="000000" w:themeColor="text1"/>
          <w:sz w:val="24"/>
          <w:szCs w:val="24"/>
        </w:rPr>
      </w:pPr>
    </w:p>
    <w:p w14:paraId="7FF95C78" w14:textId="77777777" w:rsidR="00CF5BEB" w:rsidRDefault="00CF5BEB" w:rsidP="003456F4">
      <w:pPr>
        <w:spacing w:after="0" w:line="240" w:lineRule="auto"/>
        <w:ind w:firstLine="284"/>
        <w:jc w:val="center"/>
        <w:rPr>
          <w:rFonts w:ascii="Garamond" w:hAnsi="Garamond" w:cs="Times New Roman"/>
          <w:color w:val="000000" w:themeColor="text1"/>
          <w:sz w:val="24"/>
          <w:szCs w:val="24"/>
        </w:rPr>
      </w:pPr>
    </w:p>
    <w:p w14:paraId="1C5D75BC" w14:textId="77777777" w:rsidR="00CF5BEB" w:rsidRDefault="00CF5BEB" w:rsidP="003456F4">
      <w:pPr>
        <w:spacing w:after="0" w:line="240" w:lineRule="auto"/>
        <w:ind w:firstLine="284"/>
        <w:jc w:val="center"/>
        <w:rPr>
          <w:rFonts w:ascii="Garamond" w:hAnsi="Garamond" w:cs="Times New Roman"/>
          <w:color w:val="000000" w:themeColor="text1"/>
          <w:sz w:val="24"/>
          <w:szCs w:val="24"/>
        </w:rPr>
      </w:pPr>
    </w:p>
    <w:p w14:paraId="2EB4ED84" w14:textId="07CD9C29"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w:t>
      </w:r>
      <w:r w:rsidR="003B12A7" w:rsidRPr="007C1501">
        <w:rPr>
          <w:rFonts w:ascii="Garamond" w:hAnsi="Garamond" w:cs="Times New Roman"/>
          <w:color w:val="000000" w:themeColor="text1"/>
          <w:sz w:val="24"/>
          <w:szCs w:val="24"/>
        </w:rPr>
        <w:t>4</w:t>
      </w:r>
    </w:p>
    <w:p w14:paraId="6E089B9F"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4EA002E5" w14:textId="37B6FC23"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Në nenin 25 bëhen ndryshimi dhe shtesa e mëposhtme:</w:t>
      </w:r>
    </w:p>
    <w:p w14:paraId="56AB55B5" w14:textId="74DCA982"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1.</w:t>
      </w:r>
      <w:r w:rsidR="00C5292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Në pikën 2 fjalët “mandatohen me urdhër” zëvendësohen me </w:t>
      </w:r>
      <w:r w:rsidR="007C6F8E"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“mandatohen dhe lirohen me urdhër”.</w:t>
      </w:r>
    </w:p>
    <w:p w14:paraId="082659D0" w14:textId="4F493A13" w:rsidR="007C6F8E"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2.</w:t>
      </w:r>
      <w:r w:rsidR="00EB28DE"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Në pikën 4 pas fjalëve “dhe/ose financës” shtohen </w:t>
      </w:r>
      <w:r w:rsidR="007C6F8E"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“dhe/ose raportimin e qëndrueshmërisë”.</w:t>
      </w:r>
    </w:p>
    <w:p w14:paraId="5D75846C"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006614C1" w14:textId="0EB5D5A4"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w:t>
      </w:r>
      <w:r w:rsidR="003B12A7" w:rsidRPr="007C1501">
        <w:rPr>
          <w:rFonts w:ascii="Garamond" w:hAnsi="Garamond" w:cs="Times New Roman"/>
          <w:color w:val="000000" w:themeColor="text1"/>
          <w:sz w:val="24"/>
          <w:szCs w:val="24"/>
        </w:rPr>
        <w:t>5</w:t>
      </w:r>
    </w:p>
    <w:p w14:paraId="6736EAB5"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40D6FD3E" w14:textId="64124CBE"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Në pikën 2 të nenit 27 fjalët “pasqyrave financiare” zëvendësohen me </w:t>
      </w:r>
      <w:r w:rsidR="006E44F5" w:rsidRPr="007C1501">
        <w:rPr>
          <w:rFonts w:ascii="Garamond" w:hAnsi="Garamond" w:cs="Times New Roman"/>
          <w:color w:val="000000" w:themeColor="text1"/>
          <w:sz w:val="24"/>
          <w:szCs w:val="24"/>
        </w:rPr>
        <w:t xml:space="preserve">fjalët </w:t>
      </w:r>
      <w:r w:rsidRPr="007C1501">
        <w:rPr>
          <w:rFonts w:ascii="Garamond" w:hAnsi="Garamond" w:cs="Times New Roman"/>
          <w:color w:val="000000" w:themeColor="text1"/>
          <w:sz w:val="24"/>
          <w:szCs w:val="24"/>
        </w:rPr>
        <w:t>“pasqyrave financiare dhe raportit të qëndrueshmërisë”.</w:t>
      </w:r>
    </w:p>
    <w:p w14:paraId="12BE136F"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20FC4FFC" w14:textId="39704CFF"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w:t>
      </w:r>
      <w:r w:rsidR="003B12A7" w:rsidRPr="007C1501">
        <w:rPr>
          <w:rFonts w:ascii="Garamond" w:hAnsi="Garamond" w:cs="Times New Roman"/>
          <w:color w:val="000000" w:themeColor="text1"/>
          <w:sz w:val="24"/>
          <w:szCs w:val="24"/>
        </w:rPr>
        <w:t>6</w:t>
      </w:r>
    </w:p>
    <w:p w14:paraId="0A95350A"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0FE1C784" w14:textId="04753DF6"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Pas pikës 3 të nenit 31 shtohe</w:t>
      </w:r>
      <w:r w:rsidR="00E34E03" w:rsidRPr="007C1501">
        <w:rPr>
          <w:rFonts w:ascii="Garamond" w:hAnsi="Garamond" w:cs="Times New Roman"/>
          <w:color w:val="000000" w:themeColor="text1"/>
          <w:sz w:val="24"/>
          <w:szCs w:val="24"/>
        </w:rPr>
        <w:t>n</w:t>
      </w:r>
      <w:r w:rsidRPr="007C1501">
        <w:rPr>
          <w:rFonts w:ascii="Garamond" w:hAnsi="Garamond" w:cs="Times New Roman"/>
          <w:color w:val="000000" w:themeColor="text1"/>
          <w:sz w:val="24"/>
          <w:szCs w:val="24"/>
        </w:rPr>
        <w:t xml:space="preserve"> pika</w:t>
      </w:r>
      <w:r w:rsidR="00E34E03" w:rsidRPr="007C1501">
        <w:rPr>
          <w:rFonts w:ascii="Garamond" w:hAnsi="Garamond" w:cs="Times New Roman"/>
          <w:color w:val="000000" w:themeColor="text1"/>
          <w:sz w:val="24"/>
          <w:szCs w:val="24"/>
        </w:rPr>
        <w:t>t</w:t>
      </w:r>
      <w:r w:rsidRPr="007C1501">
        <w:rPr>
          <w:rFonts w:ascii="Garamond" w:hAnsi="Garamond" w:cs="Times New Roman"/>
          <w:color w:val="000000" w:themeColor="text1"/>
          <w:sz w:val="24"/>
          <w:szCs w:val="24"/>
        </w:rPr>
        <w:t xml:space="preserve"> 4</w:t>
      </w:r>
      <w:r w:rsidR="00E34E03" w:rsidRPr="007C1501">
        <w:rPr>
          <w:rFonts w:ascii="Garamond" w:hAnsi="Garamond" w:cs="Times New Roman"/>
          <w:color w:val="000000" w:themeColor="text1"/>
          <w:sz w:val="24"/>
          <w:szCs w:val="24"/>
        </w:rPr>
        <w:t xml:space="preserve"> dhe 5</w:t>
      </w:r>
      <w:r w:rsidRPr="007C1501">
        <w:rPr>
          <w:rFonts w:ascii="Garamond" w:hAnsi="Garamond" w:cs="Times New Roman"/>
          <w:color w:val="000000" w:themeColor="text1"/>
          <w:sz w:val="24"/>
          <w:szCs w:val="24"/>
        </w:rPr>
        <w:t xml:space="preserve"> me këtë përmbajtje:</w:t>
      </w:r>
    </w:p>
    <w:p w14:paraId="63AFCB86" w14:textId="1E3E493D"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“4.</w:t>
      </w:r>
      <w:r w:rsidR="00C52921" w:rsidRPr="007C1501">
        <w:rPr>
          <w:rFonts w:ascii="Garamond" w:hAnsi="Garamond" w:cs="Times New Roman"/>
          <w:color w:val="000000" w:themeColor="text1"/>
          <w:sz w:val="24"/>
          <w:szCs w:val="24"/>
        </w:rPr>
        <w:t xml:space="preserve"> </w:t>
      </w:r>
      <w:r w:rsidRPr="007C1501">
        <w:rPr>
          <w:rFonts w:ascii="Garamond" w:hAnsi="Garamond" w:cs="Times New Roman"/>
          <w:color w:val="000000" w:themeColor="text1"/>
          <w:sz w:val="24"/>
          <w:szCs w:val="24"/>
        </w:rPr>
        <w:t xml:space="preserve">Kërkesat për raportimin e qëndrueshmërisë, raportin e konsoliduar të qëndrueshmërisë dhe raportin për informacionin mbi tatimin mbi të ardhurat zbatohen në mënyrë të detyrueshme për periudhat raportuese që fillojnë nga viti 2028 e në vijim. Njësitë ekonomike të përcaktuara në nenin 18 të këtij ligji hartojnë dhe publikojnë raportin jofinanciar për periudhat raportuese përfshirë atë të vitit 2027, në përputhje me kërkesat e këtij ligji. </w:t>
      </w:r>
    </w:p>
    <w:p w14:paraId="7CA1217E" w14:textId="77777777" w:rsidR="002F7AA6"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Nga periudha raportuese e vitit 2028 e në vijim raportimi jofinanciar shfuqizohet dhe zëvendësohet nga raportimi i qëndrueshmërisë. Njësitë ekonomike mund të zbatojnë raportimin e qëndrueshmërisë mbi baza vullnetare, duke filluar nga periudha raportuese e vitit 2028 e në vijim.</w:t>
      </w:r>
    </w:p>
    <w:p w14:paraId="6A1FB2D6" w14:textId="4C8EEC50" w:rsidR="001B0D78" w:rsidRPr="007C1501" w:rsidRDefault="002F7AA6" w:rsidP="003456F4">
      <w:pPr>
        <w:spacing w:after="0" w:line="240" w:lineRule="auto"/>
        <w:ind w:firstLine="284"/>
        <w:jc w:val="both"/>
        <w:rPr>
          <w:rFonts w:ascii="Garamond" w:hAnsi="Garamond" w:cs="Times New Roman"/>
          <w:color w:val="000000" w:themeColor="text1"/>
          <w:sz w:val="24"/>
          <w:szCs w:val="24"/>
        </w:rPr>
      </w:pPr>
      <w:r w:rsidRPr="007C1501">
        <w:rPr>
          <w:rFonts w:ascii="Garamond" w:eastAsiaTheme="minorEastAsia" w:hAnsi="Garamond" w:cs="Times New Roman"/>
          <w:bCs/>
          <w:color w:val="000000" w:themeColor="text1"/>
          <w:sz w:val="24"/>
          <w:szCs w:val="24"/>
        </w:rPr>
        <w:t>5. Deri në miratimin e rregullimeve teknike përkatëse të raportimit elektronik dhe të taksonomis</w:t>
      </w:r>
      <w:r w:rsidRPr="007C1501">
        <w:rPr>
          <w:rFonts w:ascii="Garamond" w:hAnsi="Garamond" w:cs="Times New Roman"/>
          <w:bCs/>
          <w:color w:val="000000" w:themeColor="text1"/>
          <w:sz w:val="24"/>
          <w:szCs w:val="24"/>
        </w:rPr>
        <w:t>ë</w:t>
      </w:r>
      <w:r w:rsidRPr="007C1501">
        <w:rPr>
          <w:rFonts w:ascii="Garamond" w:eastAsiaTheme="minorEastAsia" w:hAnsi="Garamond" w:cs="Times New Roman"/>
          <w:bCs/>
          <w:color w:val="000000" w:themeColor="text1"/>
          <w:sz w:val="24"/>
          <w:szCs w:val="24"/>
        </w:rPr>
        <w:t>, sipas legjislacionit të zbatueshëm të Bashkimit Evropian, njësitë ekonomike individuale dhe ato mëmë nuk kanë detyrimin të zbatojn</w:t>
      </w:r>
      <w:r w:rsidRPr="007C1501">
        <w:rPr>
          <w:rFonts w:ascii="Garamond" w:hAnsi="Garamond" w:cs="Times New Roman"/>
          <w:bCs/>
          <w:color w:val="000000" w:themeColor="text1"/>
          <w:sz w:val="24"/>
          <w:szCs w:val="24"/>
        </w:rPr>
        <w:t>ë</w:t>
      </w:r>
      <w:r w:rsidRPr="007C1501">
        <w:rPr>
          <w:rFonts w:ascii="Garamond" w:eastAsiaTheme="minorEastAsia" w:hAnsi="Garamond" w:cs="Times New Roman"/>
          <w:bCs/>
          <w:color w:val="000000" w:themeColor="text1"/>
          <w:sz w:val="24"/>
          <w:szCs w:val="24"/>
        </w:rPr>
        <w:t xml:space="preserve"> k</w:t>
      </w:r>
      <w:r w:rsidRPr="007C1501">
        <w:rPr>
          <w:rFonts w:ascii="Garamond" w:hAnsi="Garamond" w:cs="Times New Roman"/>
          <w:bCs/>
          <w:color w:val="000000" w:themeColor="text1"/>
          <w:sz w:val="24"/>
          <w:szCs w:val="24"/>
        </w:rPr>
        <w:t>ë</w:t>
      </w:r>
      <w:r w:rsidRPr="007C1501">
        <w:rPr>
          <w:rFonts w:ascii="Garamond" w:eastAsiaTheme="minorEastAsia" w:hAnsi="Garamond" w:cs="Times New Roman"/>
          <w:bCs/>
          <w:color w:val="000000" w:themeColor="text1"/>
          <w:sz w:val="24"/>
          <w:szCs w:val="24"/>
        </w:rPr>
        <w:t>rkesat e nenit 22/1 të këtij ligji. Rregullat e hollësishme dhe procedurat për formatin, paraqitjen, depozitimin dhe publikimin e informacionit të parashikuar në këtë nen miratohen me akt nënligjor nga ministri përgjegjës për financat</w:t>
      </w:r>
      <w:r w:rsidRPr="007C1501">
        <w:rPr>
          <w:rFonts w:ascii="Garamond" w:hAnsi="Garamond" w:cs="Times New Roman"/>
          <w:bCs/>
          <w:color w:val="000000" w:themeColor="text1"/>
          <w:sz w:val="24"/>
          <w:szCs w:val="24"/>
        </w:rPr>
        <w:t>, me propozim të Këshillit Kombëtar të Kontabilitetit.</w:t>
      </w:r>
      <w:r w:rsidR="001B0D78" w:rsidRPr="007C1501">
        <w:rPr>
          <w:rFonts w:ascii="Garamond" w:hAnsi="Garamond" w:cs="Times New Roman"/>
          <w:color w:val="000000" w:themeColor="text1"/>
          <w:sz w:val="24"/>
          <w:szCs w:val="24"/>
        </w:rPr>
        <w:t>”.</w:t>
      </w:r>
    </w:p>
    <w:p w14:paraId="5D1CAFCE"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091598A" w14:textId="24A9FEFC"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w:t>
      </w:r>
      <w:r w:rsidR="003B12A7" w:rsidRPr="007C1501">
        <w:rPr>
          <w:rFonts w:ascii="Garamond" w:hAnsi="Garamond" w:cs="Times New Roman"/>
          <w:color w:val="000000" w:themeColor="text1"/>
          <w:sz w:val="24"/>
          <w:szCs w:val="24"/>
        </w:rPr>
        <w:t>7</w:t>
      </w:r>
    </w:p>
    <w:p w14:paraId="5324C598"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44BD367B" w14:textId="199DE59A"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Aneksi 1 zëvendësohet me aneksin 1 që i bashkëlidhet këtij ligji.</w:t>
      </w:r>
    </w:p>
    <w:p w14:paraId="0AC15534"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35EE69DB" w14:textId="299FC30E" w:rsidR="001B0D78" w:rsidRPr="007C1501" w:rsidRDefault="001B0D78" w:rsidP="003456F4">
      <w:pPr>
        <w:spacing w:after="0" w:line="240" w:lineRule="auto"/>
        <w:ind w:firstLine="284"/>
        <w:jc w:val="center"/>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Neni 2</w:t>
      </w:r>
      <w:r w:rsidR="003B12A7" w:rsidRPr="007C1501">
        <w:rPr>
          <w:rFonts w:ascii="Garamond" w:hAnsi="Garamond" w:cs="Times New Roman"/>
          <w:color w:val="000000" w:themeColor="text1"/>
          <w:sz w:val="24"/>
          <w:szCs w:val="24"/>
        </w:rPr>
        <w:t>8</w:t>
      </w:r>
    </w:p>
    <w:p w14:paraId="00A68CB9" w14:textId="4A3C051E" w:rsidR="00932EA8" w:rsidRPr="007C1501" w:rsidRDefault="00932EA8" w:rsidP="003456F4">
      <w:pPr>
        <w:spacing w:after="0" w:line="240" w:lineRule="auto"/>
        <w:ind w:firstLine="284"/>
        <w:jc w:val="center"/>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Hyrja në fuqi</w:t>
      </w:r>
    </w:p>
    <w:p w14:paraId="7A712EE8" w14:textId="77777777" w:rsidR="00932EA8" w:rsidRPr="007C1501" w:rsidRDefault="00932EA8" w:rsidP="003456F4">
      <w:pPr>
        <w:spacing w:after="0" w:line="240" w:lineRule="auto"/>
        <w:ind w:firstLine="284"/>
        <w:jc w:val="center"/>
        <w:rPr>
          <w:rFonts w:ascii="Garamond" w:hAnsi="Garamond" w:cs="Times New Roman"/>
          <w:color w:val="000000" w:themeColor="text1"/>
          <w:sz w:val="24"/>
          <w:szCs w:val="24"/>
        </w:rPr>
      </w:pPr>
    </w:p>
    <w:p w14:paraId="1B04C41A" w14:textId="622166A1" w:rsidR="001B0D78" w:rsidRPr="007C1501" w:rsidRDefault="001B0D78" w:rsidP="003456F4">
      <w:pPr>
        <w:spacing w:after="0" w:line="240" w:lineRule="auto"/>
        <w:ind w:firstLine="284"/>
        <w:jc w:val="both"/>
        <w:rPr>
          <w:rFonts w:ascii="Garamond" w:hAnsi="Garamond" w:cs="Times New Roman"/>
          <w:color w:val="000000" w:themeColor="text1"/>
          <w:sz w:val="24"/>
          <w:szCs w:val="24"/>
        </w:rPr>
      </w:pPr>
      <w:r w:rsidRPr="007C1501">
        <w:rPr>
          <w:rFonts w:ascii="Garamond" w:hAnsi="Garamond" w:cs="Times New Roman"/>
          <w:color w:val="000000" w:themeColor="text1"/>
          <w:sz w:val="24"/>
          <w:szCs w:val="24"/>
        </w:rPr>
        <w:t xml:space="preserve">Ky ligj hyn në fuqi 15 ditë pas botimit në Fletoren </w:t>
      </w:r>
      <w:r w:rsidR="00932EA8" w:rsidRPr="007C1501">
        <w:rPr>
          <w:rFonts w:ascii="Garamond" w:hAnsi="Garamond" w:cs="Times New Roman"/>
          <w:color w:val="000000" w:themeColor="text1"/>
          <w:sz w:val="24"/>
          <w:szCs w:val="24"/>
        </w:rPr>
        <w:t>Z</w:t>
      </w:r>
      <w:r w:rsidRPr="007C1501">
        <w:rPr>
          <w:rFonts w:ascii="Garamond" w:hAnsi="Garamond" w:cs="Times New Roman"/>
          <w:color w:val="000000" w:themeColor="text1"/>
          <w:sz w:val="24"/>
          <w:szCs w:val="24"/>
        </w:rPr>
        <w:t>yrtare.</w:t>
      </w:r>
    </w:p>
    <w:p w14:paraId="6AF7C1F1" w14:textId="77777777" w:rsidR="001B0D78" w:rsidRPr="007C1501" w:rsidRDefault="001B0D78" w:rsidP="003456F4">
      <w:pPr>
        <w:spacing w:after="0" w:line="240" w:lineRule="auto"/>
        <w:ind w:firstLine="284"/>
        <w:jc w:val="both"/>
        <w:rPr>
          <w:rFonts w:ascii="Garamond" w:hAnsi="Garamond" w:cs="Times New Roman"/>
          <w:color w:val="000000" w:themeColor="text1"/>
          <w:sz w:val="24"/>
          <w:szCs w:val="24"/>
        </w:rPr>
      </w:pPr>
    </w:p>
    <w:p w14:paraId="2E10B574" w14:textId="200B4FAE" w:rsidR="002C13BA" w:rsidRPr="007C1501" w:rsidRDefault="00976A3C" w:rsidP="003456F4">
      <w:pPr>
        <w:spacing w:after="0" w:line="240" w:lineRule="auto"/>
        <w:ind w:firstLine="284"/>
        <w:jc w:val="both"/>
        <w:rPr>
          <w:rFonts w:ascii="Garamond" w:hAnsi="Garamond" w:cs="Times New Roman"/>
          <w:bCs/>
          <w:color w:val="000000" w:themeColor="text1"/>
          <w:sz w:val="24"/>
          <w:szCs w:val="24"/>
        </w:rPr>
      </w:pPr>
      <w:r w:rsidRPr="007C1501">
        <w:rPr>
          <w:rFonts w:ascii="Garamond" w:hAnsi="Garamond" w:cs="Times New Roman"/>
          <w:bCs/>
          <w:color w:val="000000" w:themeColor="text1"/>
          <w:sz w:val="24"/>
          <w:szCs w:val="24"/>
        </w:rPr>
        <w:t>Miratuar në datën</w:t>
      </w:r>
      <w:r w:rsidR="00FC6BDD" w:rsidRPr="007C1501">
        <w:rPr>
          <w:rFonts w:ascii="Garamond" w:hAnsi="Garamond" w:cs="Times New Roman"/>
          <w:bCs/>
          <w:color w:val="000000" w:themeColor="text1"/>
          <w:sz w:val="24"/>
          <w:szCs w:val="24"/>
        </w:rPr>
        <w:t xml:space="preserve"> </w:t>
      </w:r>
      <w:r w:rsidR="005A4B71" w:rsidRPr="007C1501">
        <w:rPr>
          <w:rFonts w:ascii="Garamond" w:hAnsi="Garamond" w:cs="Times New Roman"/>
          <w:bCs/>
          <w:color w:val="000000" w:themeColor="text1"/>
          <w:sz w:val="24"/>
          <w:szCs w:val="24"/>
        </w:rPr>
        <w:t>23.7.</w:t>
      </w:r>
      <w:r w:rsidR="007748A2" w:rsidRPr="007C1501">
        <w:rPr>
          <w:rFonts w:ascii="Garamond" w:hAnsi="Garamond" w:cs="Times New Roman"/>
          <w:bCs/>
          <w:color w:val="000000" w:themeColor="text1"/>
          <w:sz w:val="24"/>
          <w:szCs w:val="24"/>
        </w:rPr>
        <w:t>202</w:t>
      </w:r>
      <w:r w:rsidR="00624857" w:rsidRPr="007C1501">
        <w:rPr>
          <w:rFonts w:ascii="Garamond" w:hAnsi="Garamond" w:cs="Times New Roman"/>
          <w:bCs/>
          <w:color w:val="000000" w:themeColor="text1"/>
          <w:sz w:val="24"/>
          <w:szCs w:val="24"/>
        </w:rPr>
        <w:t>6</w:t>
      </w:r>
      <w:r w:rsidR="007C1501">
        <w:rPr>
          <w:rFonts w:ascii="Garamond" w:hAnsi="Garamond" w:cs="Times New Roman"/>
          <w:bCs/>
          <w:color w:val="000000" w:themeColor="text1"/>
          <w:sz w:val="24"/>
          <w:szCs w:val="24"/>
        </w:rPr>
        <w:t>.</w:t>
      </w:r>
    </w:p>
    <w:p w14:paraId="7841DE4A" w14:textId="77777777" w:rsidR="005A4B71" w:rsidRPr="007C1501" w:rsidRDefault="005A4B71" w:rsidP="003456F4">
      <w:pPr>
        <w:spacing w:after="0" w:line="240" w:lineRule="auto"/>
        <w:ind w:firstLine="284"/>
        <w:jc w:val="both"/>
        <w:rPr>
          <w:rFonts w:ascii="Garamond" w:hAnsi="Garamond" w:cs="Times New Roman"/>
          <w:bCs/>
          <w:color w:val="000000" w:themeColor="text1"/>
          <w:sz w:val="24"/>
          <w:szCs w:val="24"/>
        </w:rPr>
      </w:pPr>
    </w:p>
    <w:p w14:paraId="784828CF" w14:textId="2ED42462" w:rsidR="008C706B" w:rsidRPr="007C1501" w:rsidRDefault="008C706B" w:rsidP="008C706B">
      <w:pPr>
        <w:spacing w:after="0" w:line="240" w:lineRule="auto"/>
        <w:ind w:firstLine="284"/>
        <w:jc w:val="both"/>
        <w:rPr>
          <w:rFonts w:ascii="Garamond" w:hAnsi="Garamond" w:cs="Times New Roman"/>
          <w:b/>
          <w:bCs/>
          <w:color w:val="000000" w:themeColor="text1"/>
          <w:sz w:val="24"/>
          <w:szCs w:val="24"/>
        </w:rPr>
      </w:pPr>
      <w:r w:rsidRPr="007C1501">
        <w:rPr>
          <w:rFonts w:ascii="Garamond" w:hAnsi="Garamond" w:cs="Times New Roman"/>
          <w:b/>
          <w:bCs/>
          <w:color w:val="000000" w:themeColor="text1"/>
          <w:sz w:val="24"/>
          <w:szCs w:val="24"/>
        </w:rPr>
        <w:t>Shpallur me dekretin nr.</w:t>
      </w:r>
      <w:r w:rsidR="007C1501">
        <w:rPr>
          <w:rFonts w:ascii="Garamond" w:hAnsi="Garamond" w:cs="Times New Roman"/>
          <w:b/>
          <w:bCs/>
          <w:color w:val="000000" w:themeColor="text1"/>
          <w:sz w:val="24"/>
          <w:szCs w:val="24"/>
        </w:rPr>
        <w:t xml:space="preserve"> 470, </w:t>
      </w:r>
      <w:r w:rsidRPr="007C1501">
        <w:rPr>
          <w:rFonts w:ascii="Garamond" w:hAnsi="Garamond" w:cs="Times New Roman"/>
          <w:b/>
          <w:bCs/>
          <w:color w:val="000000" w:themeColor="text1"/>
          <w:sz w:val="24"/>
          <w:szCs w:val="24"/>
        </w:rPr>
        <w:t>datë</w:t>
      </w:r>
      <w:r w:rsidR="007C1501">
        <w:rPr>
          <w:rFonts w:ascii="Garamond" w:hAnsi="Garamond" w:cs="Times New Roman"/>
          <w:b/>
          <w:bCs/>
          <w:color w:val="000000" w:themeColor="text1"/>
          <w:sz w:val="24"/>
          <w:szCs w:val="24"/>
        </w:rPr>
        <w:t xml:space="preserve"> 4.8.2026, </w:t>
      </w:r>
      <w:r w:rsidRPr="007C1501">
        <w:rPr>
          <w:rFonts w:ascii="Garamond" w:hAnsi="Garamond" w:cs="Times New Roman"/>
          <w:b/>
          <w:bCs/>
          <w:color w:val="000000" w:themeColor="text1"/>
          <w:sz w:val="24"/>
          <w:szCs w:val="24"/>
        </w:rPr>
        <w:t>të Presidentit të Republikës së Shqipërisë, Bajram Begaj</w:t>
      </w:r>
      <w:r w:rsidR="007C1501">
        <w:rPr>
          <w:rFonts w:ascii="Garamond" w:hAnsi="Garamond" w:cs="Times New Roman"/>
          <w:b/>
          <w:bCs/>
          <w:color w:val="000000" w:themeColor="text1"/>
          <w:sz w:val="24"/>
          <w:szCs w:val="24"/>
        </w:rPr>
        <w:t>.</w:t>
      </w:r>
    </w:p>
    <w:p w14:paraId="343C8DB9" w14:textId="77777777" w:rsidR="005A4B71" w:rsidRPr="007C1501" w:rsidRDefault="005A4B71" w:rsidP="003456F4">
      <w:pPr>
        <w:spacing w:after="0" w:line="240" w:lineRule="auto"/>
        <w:ind w:firstLine="284"/>
        <w:jc w:val="both"/>
        <w:rPr>
          <w:rFonts w:ascii="Garamond" w:hAnsi="Garamond" w:cs="Times New Roman"/>
          <w:bCs/>
          <w:color w:val="000000" w:themeColor="text1"/>
          <w:sz w:val="24"/>
          <w:szCs w:val="24"/>
        </w:rPr>
      </w:pPr>
    </w:p>
    <w:p w14:paraId="69169BF8" w14:textId="77777777" w:rsidR="005A4B71" w:rsidRPr="007C1501" w:rsidRDefault="005A4B71" w:rsidP="003456F4">
      <w:pPr>
        <w:spacing w:after="0" w:line="240" w:lineRule="auto"/>
        <w:ind w:firstLine="284"/>
        <w:jc w:val="both"/>
        <w:rPr>
          <w:rFonts w:ascii="Garamond" w:hAnsi="Garamond" w:cs="Times New Roman"/>
          <w:bCs/>
          <w:color w:val="000000" w:themeColor="text1"/>
          <w:sz w:val="24"/>
          <w:szCs w:val="24"/>
        </w:rPr>
      </w:pPr>
    </w:p>
    <w:p w14:paraId="446EE4CB" w14:textId="77777777" w:rsidR="005A4B71" w:rsidRPr="007C1501" w:rsidRDefault="005A4B71" w:rsidP="003456F4">
      <w:pPr>
        <w:spacing w:after="0" w:line="240" w:lineRule="auto"/>
        <w:ind w:firstLine="284"/>
        <w:jc w:val="both"/>
        <w:rPr>
          <w:rFonts w:ascii="Garamond" w:hAnsi="Garamond" w:cs="Times New Roman"/>
          <w:bCs/>
          <w:color w:val="000000" w:themeColor="text1"/>
          <w:sz w:val="24"/>
          <w:szCs w:val="24"/>
        </w:rPr>
      </w:pPr>
    </w:p>
    <w:p w14:paraId="1B8CC085" w14:textId="77777777" w:rsidR="005A4B71" w:rsidRPr="007C1501" w:rsidRDefault="005A4B71" w:rsidP="003456F4">
      <w:pPr>
        <w:spacing w:after="0" w:line="240" w:lineRule="auto"/>
        <w:ind w:firstLine="284"/>
        <w:jc w:val="both"/>
        <w:rPr>
          <w:rFonts w:ascii="Garamond" w:hAnsi="Garamond" w:cs="Times New Roman"/>
          <w:bCs/>
          <w:color w:val="000000" w:themeColor="text1"/>
          <w:sz w:val="24"/>
          <w:szCs w:val="24"/>
        </w:rPr>
      </w:pPr>
    </w:p>
    <w:p w14:paraId="1BC95C6B" w14:textId="77777777" w:rsidR="005A4B71" w:rsidRPr="007C1501" w:rsidRDefault="005A4B71" w:rsidP="003456F4">
      <w:pPr>
        <w:spacing w:after="0" w:line="240" w:lineRule="auto"/>
        <w:ind w:firstLine="284"/>
        <w:jc w:val="both"/>
        <w:rPr>
          <w:rFonts w:ascii="Garamond" w:hAnsi="Garamond" w:cs="Times New Roman"/>
          <w:bCs/>
          <w:color w:val="000000" w:themeColor="text1"/>
          <w:sz w:val="24"/>
          <w:szCs w:val="24"/>
        </w:rPr>
      </w:pPr>
    </w:p>
    <w:p w14:paraId="56D9829C" w14:textId="77777777" w:rsidR="005A4B71" w:rsidRPr="007C1501" w:rsidRDefault="005A4B71" w:rsidP="003456F4">
      <w:pPr>
        <w:spacing w:after="0" w:line="240" w:lineRule="auto"/>
        <w:ind w:firstLine="284"/>
        <w:jc w:val="both"/>
        <w:rPr>
          <w:rFonts w:ascii="Garamond" w:hAnsi="Garamond" w:cs="Times New Roman"/>
          <w:bCs/>
          <w:color w:val="000000" w:themeColor="text1"/>
          <w:sz w:val="24"/>
          <w:szCs w:val="24"/>
        </w:rPr>
      </w:pPr>
    </w:p>
    <w:p w14:paraId="1C3930AB" w14:textId="77777777" w:rsidR="005A4B71" w:rsidRPr="007C1501" w:rsidRDefault="005A4B71" w:rsidP="003456F4">
      <w:pPr>
        <w:spacing w:after="0" w:line="240" w:lineRule="auto"/>
        <w:ind w:firstLine="284"/>
        <w:jc w:val="both"/>
        <w:rPr>
          <w:rFonts w:ascii="Garamond" w:hAnsi="Garamond" w:cs="Times New Roman"/>
          <w:bCs/>
          <w:color w:val="000000" w:themeColor="text1"/>
          <w:sz w:val="24"/>
          <w:szCs w:val="24"/>
        </w:rPr>
      </w:pPr>
    </w:p>
    <w:p w14:paraId="5CA9B45E" w14:textId="77777777" w:rsidR="005A4B71" w:rsidRPr="007C1501" w:rsidRDefault="005A4B71" w:rsidP="003456F4">
      <w:pPr>
        <w:spacing w:after="0" w:line="240" w:lineRule="auto"/>
        <w:ind w:firstLine="284"/>
        <w:jc w:val="both"/>
        <w:rPr>
          <w:rFonts w:ascii="Garamond" w:hAnsi="Garamond" w:cs="Times New Roman"/>
          <w:bCs/>
          <w:color w:val="000000" w:themeColor="text1"/>
          <w:sz w:val="24"/>
          <w:szCs w:val="24"/>
        </w:rPr>
      </w:pPr>
    </w:p>
    <w:p w14:paraId="4F71AAB6" w14:textId="77777777" w:rsidR="005A4B71" w:rsidRPr="007C1501" w:rsidRDefault="005A4B71" w:rsidP="003456F4">
      <w:pPr>
        <w:spacing w:after="0" w:line="240" w:lineRule="auto"/>
        <w:ind w:firstLine="284"/>
        <w:jc w:val="both"/>
        <w:rPr>
          <w:rFonts w:ascii="Garamond" w:hAnsi="Garamond" w:cs="Times New Roman"/>
          <w:bCs/>
          <w:color w:val="000000" w:themeColor="text1"/>
          <w:sz w:val="24"/>
          <w:szCs w:val="24"/>
        </w:rPr>
      </w:pPr>
    </w:p>
    <w:p w14:paraId="117D9EE2" w14:textId="77777777" w:rsidR="005A4B71" w:rsidRPr="007C1501" w:rsidRDefault="005A4B71" w:rsidP="003456F4">
      <w:pPr>
        <w:spacing w:after="0" w:line="240" w:lineRule="auto"/>
        <w:ind w:firstLine="284"/>
        <w:jc w:val="both"/>
        <w:rPr>
          <w:rFonts w:ascii="Garamond" w:hAnsi="Garamond" w:cs="Times New Roman"/>
          <w:bCs/>
          <w:color w:val="000000" w:themeColor="text1"/>
          <w:sz w:val="24"/>
          <w:szCs w:val="24"/>
        </w:rPr>
      </w:pPr>
    </w:p>
    <w:p w14:paraId="7C0066E4" w14:textId="67F7F220" w:rsidR="009A734D" w:rsidRPr="007C1501" w:rsidRDefault="009A734D" w:rsidP="003456F4">
      <w:pPr>
        <w:spacing w:after="0" w:line="240" w:lineRule="auto"/>
        <w:ind w:firstLine="284"/>
        <w:jc w:val="both"/>
        <w:rPr>
          <w:rFonts w:ascii="Garamond" w:eastAsia="Calibri" w:hAnsi="Garamond" w:cs="Times New Roman"/>
          <w:b/>
          <w:color w:val="000000" w:themeColor="text1"/>
          <w:sz w:val="24"/>
          <w:szCs w:val="24"/>
        </w:rPr>
      </w:pPr>
      <w:bookmarkStart w:id="0" w:name="_GoBack"/>
      <w:bookmarkEnd w:id="0"/>
      <w:r w:rsidRPr="007C1501">
        <w:rPr>
          <w:rFonts w:ascii="Garamond" w:hAnsi="Garamond" w:cs="Times New Roman"/>
          <w:b/>
          <w:bCs/>
          <w:caps/>
          <w:color w:val="000000" w:themeColor="text1"/>
          <w:sz w:val="24"/>
          <w:szCs w:val="24"/>
        </w:rPr>
        <w:t>ANEKSI 1 (</w:t>
      </w:r>
      <w:bookmarkStart w:id="1" w:name="_Hlk229139067"/>
      <w:r w:rsidRPr="007C1501">
        <w:rPr>
          <w:rFonts w:ascii="Garamond" w:eastAsia="Calibri" w:hAnsi="Garamond" w:cs="Times New Roman"/>
          <w:b/>
          <w:color w:val="000000" w:themeColor="text1"/>
          <w:sz w:val="24"/>
          <w:szCs w:val="24"/>
        </w:rPr>
        <w:t>mijë lekë)</w:t>
      </w:r>
      <w:bookmarkEnd w:id="1"/>
    </w:p>
    <w:tbl>
      <w:tblPr>
        <w:tblW w:w="53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680" w:firstRow="0" w:lastRow="0" w:firstColumn="1" w:lastColumn="0" w:noHBand="1" w:noVBand="1"/>
      </w:tblPr>
      <w:tblGrid>
        <w:gridCol w:w="4218"/>
        <w:gridCol w:w="1507"/>
        <w:gridCol w:w="1507"/>
        <w:gridCol w:w="1509"/>
        <w:gridCol w:w="1509"/>
      </w:tblGrid>
      <w:tr w:rsidR="009A734D" w:rsidRPr="007C1501" w14:paraId="08296AF4" w14:textId="77777777" w:rsidTr="001004CA">
        <w:trPr>
          <w:trHeight w:val="345"/>
          <w:jc w:val="center"/>
        </w:trPr>
        <w:tc>
          <w:tcPr>
            <w:tcW w:w="2057" w:type="pct"/>
            <w:shd w:val="clear" w:color="8963A7" w:fill="8963A7"/>
            <w:noWrap/>
            <w:vAlign w:val="center"/>
            <w:hideMark/>
          </w:tcPr>
          <w:p w14:paraId="36782793" w14:textId="77777777" w:rsidR="009A734D" w:rsidRPr="007C1501" w:rsidRDefault="009A734D" w:rsidP="003456F4">
            <w:pPr>
              <w:spacing w:after="0" w:line="240" w:lineRule="auto"/>
              <w:ind w:firstLine="284"/>
              <w:rPr>
                <w:rFonts w:ascii="Garamond" w:eastAsia="Times New Roman" w:hAnsi="Garamond" w:cs="Times New Roman"/>
                <w:b/>
                <w:bCs/>
                <w:i/>
                <w:iCs/>
                <w:color w:val="000000" w:themeColor="text1"/>
                <w:sz w:val="24"/>
                <w:szCs w:val="24"/>
                <w:lang w:eastAsia="it-IT"/>
              </w:rPr>
            </w:pPr>
            <w:r w:rsidRPr="007C1501">
              <w:rPr>
                <w:rFonts w:ascii="Garamond" w:eastAsia="Times New Roman" w:hAnsi="Garamond" w:cs="Times New Roman"/>
                <w:b/>
                <w:bCs/>
                <w:i/>
                <w:iCs/>
                <w:color w:val="000000" w:themeColor="text1"/>
                <w:sz w:val="24"/>
                <w:szCs w:val="24"/>
                <w:lang w:eastAsia="it-IT"/>
              </w:rPr>
              <w:t>Madhësia</w:t>
            </w:r>
          </w:p>
        </w:tc>
        <w:tc>
          <w:tcPr>
            <w:tcW w:w="735" w:type="pct"/>
            <w:shd w:val="clear" w:color="8963A7" w:fill="8963A7"/>
            <w:noWrap/>
            <w:vAlign w:val="center"/>
            <w:hideMark/>
          </w:tcPr>
          <w:p w14:paraId="3A92F7DD" w14:textId="77777777" w:rsidR="009A734D" w:rsidRPr="007C1501" w:rsidRDefault="009A734D" w:rsidP="003456F4">
            <w:pPr>
              <w:spacing w:after="0" w:line="240" w:lineRule="auto"/>
              <w:ind w:firstLine="284"/>
              <w:jc w:val="center"/>
              <w:rPr>
                <w:rFonts w:ascii="Garamond" w:eastAsia="Times New Roman" w:hAnsi="Garamond" w:cs="Times New Roman"/>
                <w:b/>
                <w:bCs/>
                <w:i/>
                <w:iCs/>
                <w:color w:val="000000" w:themeColor="text1"/>
                <w:sz w:val="24"/>
                <w:szCs w:val="24"/>
                <w:lang w:eastAsia="it-IT"/>
              </w:rPr>
            </w:pPr>
            <w:r w:rsidRPr="007C1501">
              <w:rPr>
                <w:rFonts w:ascii="Garamond" w:eastAsia="Times New Roman" w:hAnsi="Garamond" w:cs="Times New Roman"/>
                <w:b/>
                <w:bCs/>
                <w:i/>
                <w:iCs/>
                <w:color w:val="000000" w:themeColor="text1"/>
                <w:sz w:val="24"/>
                <w:szCs w:val="24"/>
                <w:lang w:eastAsia="it-IT"/>
              </w:rPr>
              <w:t>2019-2021</w:t>
            </w:r>
          </w:p>
        </w:tc>
        <w:tc>
          <w:tcPr>
            <w:tcW w:w="735" w:type="pct"/>
            <w:shd w:val="clear" w:color="8963A7" w:fill="8963A7"/>
            <w:noWrap/>
            <w:vAlign w:val="center"/>
            <w:hideMark/>
          </w:tcPr>
          <w:p w14:paraId="333B9B5F" w14:textId="77777777" w:rsidR="009A734D" w:rsidRPr="007C1501" w:rsidRDefault="009A734D" w:rsidP="003456F4">
            <w:pPr>
              <w:spacing w:after="0" w:line="240" w:lineRule="auto"/>
              <w:ind w:firstLine="284"/>
              <w:jc w:val="center"/>
              <w:rPr>
                <w:rFonts w:ascii="Garamond" w:eastAsia="Times New Roman" w:hAnsi="Garamond" w:cs="Times New Roman"/>
                <w:b/>
                <w:bCs/>
                <w:i/>
                <w:iCs/>
                <w:color w:val="000000" w:themeColor="text1"/>
                <w:sz w:val="24"/>
                <w:szCs w:val="24"/>
                <w:lang w:eastAsia="it-IT"/>
              </w:rPr>
            </w:pPr>
            <w:r w:rsidRPr="007C1501">
              <w:rPr>
                <w:rFonts w:ascii="Garamond" w:eastAsia="Times New Roman" w:hAnsi="Garamond" w:cs="Times New Roman"/>
                <w:b/>
                <w:bCs/>
                <w:i/>
                <w:iCs/>
                <w:color w:val="000000" w:themeColor="text1"/>
                <w:sz w:val="24"/>
                <w:szCs w:val="24"/>
                <w:lang w:eastAsia="it-IT"/>
              </w:rPr>
              <w:t>2022-2024</w:t>
            </w:r>
          </w:p>
        </w:tc>
        <w:tc>
          <w:tcPr>
            <w:tcW w:w="736" w:type="pct"/>
            <w:shd w:val="clear" w:color="8963A7" w:fill="8963A7"/>
            <w:noWrap/>
            <w:vAlign w:val="center"/>
            <w:hideMark/>
          </w:tcPr>
          <w:p w14:paraId="10C46D4C" w14:textId="77777777" w:rsidR="009A734D" w:rsidRPr="007C1501" w:rsidRDefault="009A734D" w:rsidP="003456F4">
            <w:pPr>
              <w:spacing w:after="0" w:line="240" w:lineRule="auto"/>
              <w:ind w:firstLine="284"/>
              <w:jc w:val="center"/>
              <w:rPr>
                <w:rFonts w:ascii="Garamond" w:eastAsia="Times New Roman" w:hAnsi="Garamond" w:cs="Times New Roman"/>
                <w:b/>
                <w:bCs/>
                <w:i/>
                <w:iCs/>
                <w:color w:val="000000" w:themeColor="text1"/>
                <w:sz w:val="24"/>
                <w:szCs w:val="24"/>
                <w:lang w:eastAsia="it-IT"/>
              </w:rPr>
            </w:pPr>
            <w:r w:rsidRPr="007C1501">
              <w:rPr>
                <w:rFonts w:ascii="Garamond" w:eastAsia="Times New Roman" w:hAnsi="Garamond" w:cs="Times New Roman"/>
                <w:b/>
                <w:bCs/>
                <w:i/>
                <w:iCs/>
                <w:color w:val="000000" w:themeColor="text1"/>
                <w:sz w:val="24"/>
                <w:szCs w:val="24"/>
                <w:lang w:eastAsia="it-IT"/>
              </w:rPr>
              <w:t>2025-2027</w:t>
            </w:r>
          </w:p>
        </w:tc>
        <w:tc>
          <w:tcPr>
            <w:tcW w:w="736" w:type="pct"/>
            <w:shd w:val="clear" w:color="8963A7" w:fill="8963A7"/>
            <w:noWrap/>
            <w:vAlign w:val="center"/>
            <w:hideMark/>
          </w:tcPr>
          <w:p w14:paraId="5AA1B1A8" w14:textId="77777777" w:rsidR="009A734D" w:rsidRPr="007C1501" w:rsidRDefault="009A734D" w:rsidP="003456F4">
            <w:pPr>
              <w:spacing w:after="0" w:line="240" w:lineRule="auto"/>
              <w:ind w:firstLine="284"/>
              <w:jc w:val="center"/>
              <w:rPr>
                <w:rFonts w:ascii="Garamond" w:eastAsia="Times New Roman" w:hAnsi="Garamond" w:cs="Times New Roman"/>
                <w:b/>
                <w:bCs/>
                <w:i/>
                <w:iCs/>
                <w:color w:val="000000" w:themeColor="text1"/>
                <w:sz w:val="24"/>
                <w:szCs w:val="24"/>
                <w:lang w:eastAsia="it-IT"/>
              </w:rPr>
            </w:pPr>
            <w:r w:rsidRPr="007C1501">
              <w:rPr>
                <w:rFonts w:ascii="Garamond" w:eastAsia="Times New Roman" w:hAnsi="Garamond" w:cs="Times New Roman"/>
                <w:b/>
                <w:bCs/>
                <w:i/>
                <w:iCs/>
                <w:color w:val="000000" w:themeColor="text1"/>
                <w:sz w:val="24"/>
                <w:szCs w:val="24"/>
                <w:lang w:eastAsia="it-IT"/>
              </w:rPr>
              <w:t>2028</w:t>
            </w:r>
          </w:p>
        </w:tc>
      </w:tr>
      <w:tr w:rsidR="009A734D" w:rsidRPr="007C1501" w14:paraId="67D39898" w14:textId="77777777" w:rsidTr="001004CA">
        <w:trPr>
          <w:trHeight w:val="345"/>
          <w:jc w:val="center"/>
        </w:trPr>
        <w:tc>
          <w:tcPr>
            <w:tcW w:w="2057" w:type="pct"/>
            <w:shd w:val="clear" w:color="E8E0ED" w:fill="E8E0ED"/>
            <w:noWrap/>
            <w:vAlign w:val="center"/>
            <w:hideMark/>
          </w:tcPr>
          <w:p w14:paraId="37F8BBDA" w14:textId="77777777" w:rsidR="009A734D" w:rsidRPr="007C1501" w:rsidRDefault="009A734D" w:rsidP="003456F4">
            <w:pPr>
              <w:spacing w:after="0" w:line="240" w:lineRule="auto"/>
              <w:ind w:firstLine="284"/>
              <w:rPr>
                <w:rFonts w:ascii="Garamond" w:eastAsia="Times New Roman" w:hAnsi="Garamond" w:cs="Times New Roman"/>
                <w:b/>
                <w:bCs/>
                <w:color w:val="000000" w:themeColor="text1"/>
                <w:sz w:val="24"/>
                <w:szCs w:val="24"/>
                <w:lang w:eastAsia="it-IT"/>
              </w:rPr>
            </w:pPr>
            <w:r w:rsidRPr="007C1501">
              <w:rPr>
                <w:rFonts w:ascii="Garamond" w:eastAsia="Times New Roman" w:hAnsi="Garamond" w:cs="Times New Roman"/>
                <w:b/>
                <w:bCs/>
                <w:color w:val="000000" w:themeColor="text1"/>
                <w:sz w:val="24"/>
                <w:szCs w:val="24"/>
                <w:lang w:eastAsia="it-IT"/>
              </w:rPr>
              <w:t>Mikronjësi</w:t>
            </w:r>
          </w:p>
        </w:tc>
        <w:tc>
          <w:tcPr>
            <w:tcW w:w="735" w:type="pct"/>
            <w:shd w:val="clear" w:color="E8E0ED" w:fill="E8E0ED"/>
            <w:noWrap/>
            <w:vAlign w:val="center"/>
          </w:tcPr>
          <w:p w14:paraId="5C4B7049"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5" w:type="pct"/>
            <w:shd w:val="clear" w:color="E8E0ED" w:fill="E8E0ED"/>
            <w:noWrap/>
            <w:vAlign w:val="center"/>
          </w:tcPr>
          <w:p w14:paraId="551F9568"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6" w:type="pct"/>
            <w:shd w:val="clear" w:color="E8E0ED" w:fill="E8E0ED"/>
            <w:noWrap/>
            <w:vAlign w:val="center"/>
          </w:tcPr>
          <w:p w14:paraId="37B39E68"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6" w:type="pct"/>
            <w:shd w:val="clear" w:color="E8E0ED" w:fill="E8E0ED"/>
            <w:noWrap/>
            <w:vAlign w:val="center"/>
            <w:hideMark/>
          </w:tcPr>
          <w:p w14:paraId="00D0DDA4"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r>
      <w:tr w:rsidR="009A734D" w:rsidRPr="007C1501" w14:paraId="792BD9AD" w14:textId="77777777" w:rsidTr="001004CA">
        <w:trPr>
          <w:trHeight w:val="345"/>
          <w:jc w:val="center"/>
        </w:trPr>
        <w:tc>
          <w:tcPr>
            <w:tcW w:w="2057" w:type="pct"/>
            <w:noWrap/>
            <w:vAlign w:val="center"/>
            <w:hideMark/>
          </w:tcPr>
          <w:p w14:paraId="3B91EC04"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Aktivet</w:t>
            </w:r>
          </w:p>
        </w:tc>
        <w:tc>
          <w:tcPr>
            <w:tcW w:w="735" w:type="pct"/>
            <w:noWrap/>
            <w:vAlign w:val="center"/>
            <w:hideMark/>
          </w:tcPr>
          <w:p w14:paraId="681830DD"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15 000</w:t>
            </w:r>
          </w:p>
        </w:tc>
        <w:tc>
          <w:tcPr>
            <w:tcW w:w="735" w:type="pct"/>
            <w:noWrap/>
            <w:vAlign w:val="center"/>
            <w:hideMark/>
          </w:tcPr>
          <w:p w14:paraId="03177F35"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lang w:eastAsia="it-IT"/>
              </w:rPr>
              <w:t xml:space="preserve"> </w:t>
            </w:r>
            <w:r w:rsidRPr="007C1501">
              <w:rPr>
                <w:rFonts w:ascii="Garamond" w:eastAsia="Calibri" w:hAnsi="Garamond" w:cs="Times New Roman"/>
                <w:color w:val="000000" w:themeColor="text1"/>
                <w:sz w:val="24"/>
                <w:szCs w:val="24"/>
                <w:shd w:val="clear" w:color="auto" w:fill="FFFFFF"/>
              </w:rPr>
              <w:t>≤ 25</w:t>
            </w:r>
            <w:r w:rsidRPr="007C1501">
              <w:rPr>
                <w:rFonts w:ascii="Garamond" w:eastAsia="Times New Roman" w:hAnsi="Garamond" w:cs="Times New Roman"/>
                <w:color w:val="000000" w:themeColor="text1"/>
                <w:sz w:val="24"/>
                <w:szCs w:val="24"/>
                <w:lang w:eastAsia="it-IT"/>
              </w:rPr>
              <w:t xml:space="preserve"> 000 </w:t>
            </w:r>
          </w:p>
        </w:tc>
        <w:tc>
          <w:tcPr>
            <w:tcW w:w="736" w:type="pct"/>
            <w:noWrap/>
            <w:vAlign w:val="center"/>
            <w:hideMark/>
          </w:tcPr>
          <w:p w14:paraId="3777BD77"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35 0</w:t>
            </w:r>
            <w:r w:rsidRPr="007C1501">
              <w:rPr>
                <w:rFonts w:ascii="Garamond" w:eastAsia="Times New Roman" w:hAnsi="Garamond" w:cs="Times New Roman"/>
                <w:color w:val="000000" w:themeColor="text1"/>
                <w:sz w:val="24"/>
                <w:szCs w:val="24"/>
                <w:lang w:eastAsia="it-IT"/>
              </w:rPr>
              <w:t xml:space="preserve">00 </w:t>
            </w:r>
          </w:p>
        </w:tc>
        <w:tc>
          <w:tcPr>
            <w:tcW w:w="736" w:type="pct"/>
            <w:noWrap/>
            <w:vAlign w:val="center"/>
            <w:hideMark/>
          </w:tcPr>
          <w:p w14:paraId="07AC5454"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45 000</w:t>
            </w:r>
          </w:p>
        </w:tc>
      </w:tr>
      <w:tr w:rsidR="009A734D" w:rsidRPr="007C1501" w14:paraId="13554CE3" w14:textId="77777777" w:rsidTr="001004CA">
        <w:trPr>
          <w:trHeight w:val="345"/>
          <w:jc w:val="center"/>
        </w:trPr>
        <w:tc>
          <w:tcPr>
            <w:tcW w:w="2057" w:type="pct"/>
            <w:noWrap/>
            <w:vAlign w:val="center"/>
            <w:hideMark/>
          </w:tcPr>
          <w:p w14:paraId="224AC6C6"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 xml:space="preserve">Të ardhurat e shfrytëzimit </w:t>
            </w:r>
          </w:p>
        </w:tc>
        <w:tc>
          <w:tcPr>
            <w:tcW w:w="735" w:type="pct"/>
            <w:noWrap/>
            <w:vAlign w:val="center"/>
            <w:hideMark/>
          </w:tcPr>
          <w:p w14:paraId="29B85666"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30 000 </w:t>
            </w:r>
          </w:p>
        </w:tc>
        <w:tc>
          <w:tcPr>
            <w:tcW w:w="735" w:type="pct"/>
            <w:noWrap/>
            <w:vAlign w:val="center"/>
            <w:hideMark/>
          </w:tcPr>
          <w:p w14:paraId="1FD750F0"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lang w:eastAsia="it-IT"/>
              </w:rPr>
              <w:t xml:space="preserve"> </w:t>
            </w:r>
            <w:r w:rsidRPr="007C1501">
              <w:rPr>
                <w:rFonts w:ascii="Garamond" w:eastAsia="Calibri" w:hAnsi="Garamond" w:cs="Times New Roman"/>
                <w:color w:val="000000" w:themeColor="text1"/>
                <w:sz w:val="24"/>
                <w:szCs w:val="24"/>
                <w:shd w:val="clear" w:color="auto" w:fill="FFFFFF"/>
              </w:rPr>
              <w:t>≤ 5</w:t>
            </w:r>
            <w:r w:rsidRPr="007C1501">
              <w:rPr>
                <w:rFonts w:ascii="Garamond" w:eastAsia="Times New Roman" w:hAnsi="Garamond" w:cs="Times New Roman"/>
                <w:color w:val="000000" w:themeColor="text1"/>
                <w:sz w:val="24"/>
                <w:szCs w:val="24"/>
                <w:lang w:eastAsia="it-IT"/>
              </w:rPr>
              <w:t xml:space="preserve">0 000 </w:t>
            </w:r>
          </w:p>
        </w:tc>
        <w:tc>
          <w:tcPr>
            <w:tcW w:w="736" w:type="pct"/>
            <w:noWrap/>
            <w:vAlign w:val="center"/>
            <w:hideMark/>
          </w:tcPr>
          <w:p w14:paraId="2248BE69"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70 000 </w:t>
            </w:r>
          </w:p>
        </w:tc>
        <w:tc>
          <w:tcPr>
            <w:tcW w:w="736" w:type="pct"/>
            <w:noWrap/>
            <w:vAlign w:val="center"/>
            <w:hideMark/>
          </w:tcPr>
          <w:p w14:paraId="5BBD96F6"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90 000</w:t>
            </w:r>
          </w:p>
        </w:tc>
      </w:tr>
      <w:tr w:rsidR="009A734D" w:rsidRPr="007C1501" w14:paraId="18867B3C" w14:textId="77777777" w:rsidTr="001004CA">
        <w:trPr>
          <w:trHeight w:val="345"/>
          <w:jc w:val="center"/>
        </w:trPr>
        <w:tc>
          <w:tcPr>
            <w:tcW w:w="2057" w:type="pct"/>
            <w:noWrap/>
            <w:vAlign w:val="center"/>
            <w:hideMark/>
          </w:tcPr>
          <w:p w14:paraId="4A735B0F"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Numri i punonjësve</w:t>
            </w:r>
          </w:p>
        </w:tc>
        <w:tc>
          <w:tcPr>
            <w:tcW w:w="735" w:type="pct"/>
            <w:noWrap/>
            <w:vAlign w:val="center"/>
            <w:hideMark/>
          </w:tcPr>
          <w:p w14:paraId="467929F0"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10</w:t>
            </w:r>
          </w:p>
        </w:tc>
        <w:tc>
          <w:tcPr>
            <w:tcW w:w="735" w:type="pct"/>
            <w:noWrap/>
            <w:vAlign w:val="center"/>
            <w:hideMark/>
          </w:tcPr>
          <w:p w14:paraId="314AADB6"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10</w:t>
            </w:r>
          </w:p>
        </w:tc>
        <w:tc>
          <w:tcPr>
            <w:tcW w:w="736" w:type="pct"/>
            <w:noWrap/>
            <w:vAlign w:val="center"/>
            <w:hideMark/>
          </w:tcPr>
          <w:p w14:paraId="18F6EA93"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10</w:t>
            </w:r>
          </w:p>
        </w:tc>
        <w:tc>
          <w:tcPr>
            <w:tcW w:w="736" w:type="pct"/>
            <w:noWrap/>
            <w:vAlign w:val="center"/>
            <w:hideMark/>
          </w:tcPr>
          <w:p w14:paraId="5391B981"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10</w:t>
            </w:r>
          </w:p>
        </w:tc>
      </w:tr>
      <w:tr w:rsidR="009A734D" w:rsidRPr="007C1501" w14:paraId="67824F49" w14:textId="77777777" w:rsidTr="001004CA">
        <w:trPr>
          <w:trHeight w:val="345"/>
          <w:jc w:val="center"/>
        </w:trPr>
        <w:tc>
          <w:tcPr>
            <w:tcW w:w="2057" w:type="pct"/>
            <w:shd w:val="clear" w:color="E8E0ED" w:fill="E8E0ED"/>
            <w:noWrap/>
            <w:vAlign w:val="center"/>
            <w:hideMark/>
          </w:tcPr>
          <w:p w14:paraId="7A325973" w14:textId="77777777" w:rsidR="009A734D" w:rsidRPr="007C1501" w:rsidRDefault="009A734D" w:rsidP="003456F4">
            <w:pPr>
              <w:spacing w:after="0" w:line="240" w:lineRule="auto"/>
              <w:ind w:firstLine="284"/>
              <w:rPr>
                <w:rFonts w:ascii="Garamond" w:eastAsia="Times New Roman" w:hAnsi="Garamond" w:cs="Times New Roman"/>
                <w:b/>
                <w:bCs/>
                <w:color w:val="000000" w:themeColor="text1"/>
                <w:sz w:val="24"/>
                <w:szCs w:val="24"/>
                <w:lang w:eastAsia="it-IT"/>
              </w:rPr>
            </w:pPr>
            <w:r w:rsidRPr="007C1501">
              <w:rPr>
                <w:rFonts w:ascii="Garamond" w:eastAsia="Times New Roman" w:hAnsi="Garamond" w:cs="Times New Roman"/>
                <w:b/>
                <w:bCs/>
                <w:color w:val="000000" w:themeColor="text1"/>
                <w:sz w:val="24"/>
                <w:szCs w:val="24"/>
                <w:lang w:eastAsia="it-IT"/>
              </w:rPr>
              <w:t>Njësi ekonomike të vogla</w:t>
            </w:r>
          </w:p>
        </w:tc>
        <w:tc>
          <w:tcPr>
            <w:tcW w:w="735" w:type="pct"/>
            <w:shd w:val="clear" w:color="E8E0ED" w:fill="E8E0ED"/>
            <w:noWrap/>
          </w:tcPr>
          <w:p w14:paraId="789E9ADE" w14:textId="77777777" w:rsidR="009A734D" w:rsidRPr="007C1501" w:rsidRDefault="009A734D" w:rsidP="003456F4">
            <w:pPr>
              <w:spacing w:after="0" w:line="240" w:lineRule="auto"/>
              <w:ind w:firstLine="284"/>
              <w:rPr>
                <w:rFonts w:ascii="Garamond" w:eastAsia="Times New Roman" w:hAnsi="Garamond" w:cs="Times New Roman"/>
                <w:b/>
                <w:bCs/>
                <w:color w:val="000000" w:themeColor="text1"/>
                <w:sz w:val="24"/>
                <w:szCs w:val="24"/>
                <w:lang w:eastAsia="it-IT"/>
              </w:rPr>
            </w:pPr>
          </w:p>
        </w:tc>
        <w:tc>
          <w:tcPr>
            <w:tcW w:w="735" w:type="pct"/>
            <w:shd w:val="clear" w:color="E8E0ED" w:fill="E8E0ED"/>
            <w:noWrap/>
          </w:tcPr>
          <w:p w14:paraId="77A82DDB"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6" w:type="pct"/>
            <w:shd w:val="clear" w:color="E8E0ED" w:fill="E8E0ED"/>
            <w:noWrap/>
          </w:tcPr>
          <w:p w14:paraId="09F42A77"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6" w:type="pct"/>
            <w:shd w:val="clear" w:color="E8E0ED" w:fill="E8E0ED"/>
            <w:noWrap/>
          </w:tcPr>
          <w:p w14:paraId="770DCD1A"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r>
      <w:tr w:rsidR="009A734D" w:rsidRPr="007C1501" w14:paraId="29E1CC9B" w14:textId="77777777" w:rsidTr="001004CA">
        <w:trPr>
          <w:trHeight w:val="345"/>
          <w:jc w:val="center"/>
        </w:trPr>
        <w:tc>
          <w:tcPr>
            <w:tcW w:w="2057" w:type="pct"/>
            <w:noWrap/>
            <w:vAlign w:val="center"/>
            <w:hideMark/>
          </w:tcPr>
          <w:p w14:paraId="0D2892A4"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Aktivet</w:t>
            </w:r>
          </w:p>
        </w:tc>
        <w:tc>
          <w:tcPr>
            <w:tcW w:w="735" w:type="pct"/>
            <w:noWrap/>
            <w:vAlign w:val="center"/>
            <w:hideMark/>
          </w:tcPr>
          <w:p w14:paraId="688E5F5D"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150 000 </w:t>
            </w:r>
          </w:p>
        </w:tc>
        <w:tc>
          <w:tcPr>
            <w:tcW w:w="735" w:type="pct"/>
            <w:noWrap/>
            <w:vAlign w:val="center"/>
            <w:hideMark/>
          </w:tcPr>
          <w:p w14:paraId="38ED5F0F"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250 000 </w:t>
            </w:r>
          </w:p>
        </w:tc>
        <w:tc>
          <w:tcPr>
            <w:tcW w:w="736" w:type="pct"/>
            <w:noWrap/>
            <w:vAlign w:val="center"/>
            <w:hideMark/>
          </w:tcPr>
          <w:p w14:paraId="056487FD"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350 000 </w:t>
            </w:r>
          </w:p>
        </w:tc>
        <w:tc>
          <w:tcPr>
            <w:tcW w:w="736" w:type="pct"/>
            <w:noWrap/>
            <w:vAlign w:val="center"/>
            <w:hideMark/>
          </w:tcPr>
          <w:p w14:paraId="7CC19799"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500 000 </w:t>
            </w:r>
          </w:p>
        </w:tc>
      </w:tr>
      <w:tr w:rsidR="009A734D" w:rsidRPr="007C1501" w14:paraId="485EC191" w14:textId="77777777" w:rsidTr="001004CA">
        <w:trPr>
          <w:trHeight w:val="345"/>
          <w:jc w:val="center"/>
        </w:trPr>
        <w:tc>
          <w:tcPr>
            <w:tcW w:w="2057" w:type="pct"/>
            <w:noWrap/>
            <w:vAlign w:val="center"/>
            <w:hideMark/>
          </w:tcPr>
          <w:p w14:paraId="5673323F"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Të ardhurat</w:t>
            </w:r>
            <w:r w:rsidRPr="007C1501">
              <w:rPr>
                <w:rFonts w:ascii="Garamond" w:eastAsia="Arial Unicode MS" w:hAnsi="Garamond" w:cs="Times New Roman"/>
                <w:color w:val="000000" w:themeColor="text1"/>
                <w:sz w:val="24"/>
                <w:szCs w:val="24"/>
              </w:rPr>
              <w:t xml:space="preserve"> e</w:t>
            </w:r>
            <w:r w:rsidRPr="007C1501">
              <w:rPr>
                <w:rFonts w:ascii="Garamond" w:eastAsia="Times New Roman" w:hAnsi="Garamond" w:cs="Times New Roman"/>
                <w:color w:val="000000" w:themeColor="text1"/>
                <w:sz w:val="24"/>
                <w:szCs w:val="24"/>
                <w:lang w:eastAsia="it-IT"/>
              </w:rPr>
              <w:t xml:space="preserve"> shfrytëzimit </w:t>
            </w:r>
          </w:p>
        </w:tc>
        <w:tc>
          <w:tcPr>
            <w:tcW w:w="735" w:type="pct"/>
            <w:noWrap/>
            <w:vAlign w:val="center"/>
            <w:hideMark/>
          </w:tcPr>
          <w:p w14:paraId="1C5B6FDC"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300 000 </w:t>
            </w:r>
          </w:p>
        </w:tc>
        <w:tc>
          <w:tcPr>
            <w:tcW w:w="735" w:type="pct"/>
            <w:noWrap/>
            <w:vAlign w:val="center"/>
            <w:hideMark/>
          </w:tcPr>
          <w:p w14:paraId="7ADEFDA5"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5</w:t>
            </w:r>
            <w:r w:rsidRPr="007C1501">
              <w:rPr>
                <w:rFonts w:ascii="Garamond" w:eastAsia="Times New Roman" w:hAnsi="Garamond" w:cs="Times New Roman"/>
                <w:color w:val="000000" w:themeColor="text1"/>
                <w:sz w:val="24"/>
                <w:szCs w:val="24"/>
                <w:lang w:eastAsia="it-IT"/>
              </w:rPr>
              <w:t xml:space="preserve">00 000 </w:t>
            </w:r>
          </w:p>
        </w:tc>
        <w:tc>
          <w:tcPr>
            <w:tcW w:w="736" w:type="pct"/>
            <w:noWrap/>
            <w:vAlign w:val="center"/>
            <w:hideMark/>
          </w:tcPr>
          <w:p w14:paraId="57B5A205"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700 000 </w:t>
            </w:r>
          </w:p>
        </w:tc>
        <w:tc>
          <w:tcPr>
            <w:tcW w:w="736" w:type="pct"/>
            <w:noWrap/>
            <w:vAlign w:val="center"/>
            <w:hideMark/>
          </w:tcPr>
          <w:p w14:paraId="6E15760D"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1 000 000</w:t>
            </w:r>
          </w:p>
        </w:tc>
      </w:tr>
      <w:tr w:rsidR="009A734D" w:rsidRPr="007C1501" w14:paraId="35BE45F2" w14:textId="77777777" w:rsidTr="001004CA">
        <w:trPr>
          <w:trHeight w:val="345"/>
          <w:jc w:val="center"/>
        </w:trPr>
        <w:tc>
          <w:tcPr>
            <w:tcW w:w="2057" w:type="pct"/>
            <w:noWrap/>
            <w:vAlign w:val="center"/>
            <w:hideMark/>
          </w:tcPr>
          <w:p w14:paraId="7634A06E"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Numri i punonjësve</w:t>
            </w:r>
          </w:p>
        </w:tc>
        <w:tc>
          <w:tcPr>
            <w:tcW w:w="735" w:type="pct"/>
            <w:noWrap/>
            <w:vAlign w:val="center"/>
            <w:hideMark/>
          </w:tcPr>
          <w:p w14:paraId="5BFB841C"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50</w:t>
            </w:r>
          </w:p>
        </w:tc>
        <w:tc>
          <w:tcPr>
            <w:tcW w:w="735" w:type="pct"/>
            <w:noWrap/>
            <w:vAlign w:val="center"/>
            <w:hideMark/>
          </w:tcPr>
          <w:p w14:paraId="5B081297"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50</w:t>
            </w:r>
          </w:p>
        </w:tc>
        <w:tc>
          <w:tcPr>
            <w:tcW w:w="736" w:type="pct"/>
            <w:noWrap/>
            <w:vAlign w:val="center"/>
            <w:hideMark/>
          </w:tcPr>
          <w:p w14:paraId="5FBE24B0"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50</w:t>
            </w:r>
          </w:p>
        </w:tc>
        <w:tc>
          <w:tcPr>
            <w:tcW w:w="736" w:type="pct"/>
            <w:noWrap/>
            <w:vAlign w:val="center"/>
            <w:hideMark/>
          </w:tcPr>
          <w:p w14:paraId="1C925B1E"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50</w:t>
            </w:r>
          </w:p>
        </w:tc>
      </w:tr>
      <w:tr w:rsidR="009A734D" w:rsidRPr="007C1501" w14:paraId="399D9DEF" w14:textId="77777777" w:rsidTr="001004CA">
        <w:trPr>
          <w:trHeight w:val="345"/>
          <w:jc w:val="center"/>
        </w:trPr>
        <w:tc>
          <w:tcPr>
            <w:tcW w:w="2057" w:type="pct"/>
            <w:shd w:val="clear" w:color="E8E0ED" w:fill="E8E0ED"/>
            <w:noWrap/>
            <w:vAlign w:val="center"/>
            <w:hideMark/>
          </w:tcPr>
          <w:p w14:paraId="5F8E29A8" w14:textId="77777777" w:rsidR="009A734D" w:rsidRPr="007C1501" w:rsidRDefault="009A734D" w:rsidP="003456F4">
            <w:pPr>
              <w:spacing w:after="0" w:line="240" w:lineRule="auto"/>
              <w:ind w:firstLine="284"/>
              <w:rPr>
                <w:rFonts w:ascii="Garamond" w:eastAsia="Times New Roman" w:hAnsi="Garamond" w:cs="Times New Roman"/>
                <w:b/>
                <w:bCs/>
                <w:color w:val="000000" w:themeColor="text1"/>
                <w:sz w:val="24"/>
                <w:szCs w:val="24"/>
                <w:lang w:eastAsia="it-IT"/>
              </w:rPr>
            </w:pPr>
            <w:r w:rsidRPr="007C1501">
              <w:rPr>
                <w:rFonts w:ascii="Garamond" w:eastAsia="Times New Roman" w:hAnsi="Garamond" w:cs="Times New Roman"/>
                <w:b/>
                <w:bCs/>
                <w:color w:val="000000" w:themeColor="text1"/>
                <w:sz w:val="24"/>
                <w:szCs w:val="24"/>
                <w:lang w:eastAsia="it-IT"/>
              </w:rPr>
              <w:t>Njësi ekonomike të mesme</w:t>
            </w:r>
          </w:p>
        </w:tc>
        <w:tc>
          <w:tcPr>
            <w:tcW w:w="735" w:type="pct"/>
            <w:shd w:val="clear" w:color="E8E0ED" w:fill="E8E0ED"/>
            <w:noWrap/>
          </w:tcPr>
          <w:p w14:paraId="6BE0FC94" w14:textId="77777777" w:rsidR="009A734D" w:rsidRPr="007C1501" w:rsidRDefault="009A734D" w:rsidP="003456F4">
            <w:pPr>
              <w:spacing w:after="0" w:line="240" w:lineRule="auto"/>
              <w:ind w:firstLine="284"/>
              <w:rPr>
                <w:rFonts w:ascii="Garamond" w:eastAsia="Times New Roman" w:hAnsi="Garamond" w:cs="Times New Roman"/>
                <w:b/>
                <w:bCs/>
                <w:color w:val="000000" w:themeColor="text1"/>
                <w:sz w:val="24"/>
                <w:szCs w:val="24"/>
                <w:lang w:eastAsia="it-IT"/>
              </w:rPr>
            </w:pPr>
          </w:p>
        </w:tc>
        <w:tc>
          <w:tcPr>
            <w:tcW w:w="735" w:type="pct"/>
            <w:shd w:val="clear" w:color="E8E0ED" w:fill="E8E0ED"/>
            <w:noWrap/>
          </w:tcPr>
          <w:p w14:paraId="31469ED8"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6" w:type="pct"/>
            <w:shd w:val="clear" w:color="E8E0ED" w:fill="E8E0ED"/>
            <w:noWrap/>
          </w:tcPr>
          <w:p w14:paraId="7D489FA7"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6" w:type="pct"/>
            <w:shd w:val="clear" w:color="E8E0ED" w:fill="E8E0ED"/>
            <w:noWrap/>
          </w:tcPr>
          <w:p w14:paraId="6621CC0B"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r>
      <w:tr w:rsidR="009A734D" w:rsidRPr="007C1501" w14:paraId="40DDBE6F" w14:textId="77777777" w:rsidTr="001004CA">
        <w:trPr>
          <w:trHeight w:val="345"/>
          <w:jc w:val="center"/>
        </w:trPr>
        <w:tc>
          <w:tcPr>
            <w:tcW w:w="2057" w:type="pct"/>
            <w:noWrap/>
            <w:vAlign w:val="center"/>
            <w:hideMark/>
          </w:tcPr>
          <w:p w14:paraId="6EC0AECA"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Aktivet</w:t>
            </w:r>
          </w:p>
        </w:tc>
        <w:tc>
          <w:tcPr>
            <w:tcW w:w="735" w:type="pct"/>
            <w:noWrap/>
            <w:vAlign w:val="center"/>
            <w:hideMark/>
          </w:tcPr>
          <w:p w14:paraId="70FE7AD5"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750 000 </w:t>
            </w:r>
          </w:p>
        </w:tc>
        <w:tc>
          <w:tcPr>
            <w:tcW w:w="735" w:type="pct"/>
            <w:noWrap/>
            <w:vAlign w:val="center"/>
            <w:hideMark/>
          </w:tcPr>
          <w:p w14:paraId="6DBB3C88"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1 250 000 </w:t>
            </w:r>
          </w:p>
        </w:tc>
        <w:tc>
          <w:tcPr>
            <w:tcW w:w="736" w:type="pct"/>
            <w:noWrap/>
            <w:vAlign w:val="center"/>
            <w:hideMark/>
          </w:tcPr>
          <w:p w14:paraId="430E10B0"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2 000 000 </w:t>
            </w:r>
          </w:p>
        </w:tc>
        <w:tc>
          <w:tcPr>
            <w:tcW w:w="736" w:type="pct"/>
            <w:noWrap/>
            <w:vAlign w:val="center"/>
            <w:hideMark/>
          </w:tcPr>
          <w:p w14:paraId="0DA2FD58"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2 500 000 </w:t>
            </w:r>
          </w:p>
        </w:tc>
      </w:tr>
      <w:tr w:rsidR="009A734D" w:rsidRPr="007C1501" w14:paraId="5EAA4291" w14:textId="77777777" w:rsidTr="001004CA">
        <w:trPr>
          <w:trHeight w:val="345"/>
          <w:jc w:val="center"/>
        </w:trPr>
        <w:tc>
          <w:tcPr>
            <w:tcW w:w="2057" w:type="pct"/>
            <w:noWrap/>
            <w:vAlign w:val="center"/>
            <w:hideMark/>
          </w:tcPr>
          <w:p w14:paraId="15DF7B46"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Të ardhurat</w:t>
            </w:r>
            <w:r w:rsidRPr="007C1501">
              <w:rPr>
                <w:rFonts w:ascii="Garamond" w:eastAsia="Arial Unicode MS" w:hAnsi="Garamond" w:cs="Times New Roman"/>
                <w:color w:val="000000" w:themeColor="text1"/>
                <w:sz w:val="24"/>
                <w:szCs w:val="24"/>
              </w:rPr>
              <w:t xml:space="preserve"> e</w:t>
            </w:r>
            <w:r w:rsidRPr="007C1501">
              <w:rPr>
                <w:rFonts w:ascii="Garamond" w:eastAsia="Times New Roman" w:hAnsi="Garamond" w:cs="Times New Roman"/>
                <w:color w:val="000000" w:themeColor="text1"/>
                <w:sz w:val="24"/>
                <w:szCs w:val="24"/>
                <w:lang w:eastAsia="it-IT"/>
              </w:rPr>
              <w:t xml:space="preserve"> shfrytëzimit </w:t>
            </w:r>
          </w:p>
        </w:tc>
        <w:tc>
          <w:tcPr>
            <w:tcW w:w="735" w:type="pct"/>
            <w:noWrap/>
            <w:vAlign w:val="center"/>
            <w:hideMark/>
          </w:tcPr>
          <w:p w14:paraId="3988E2D4"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1</w:t>
            </w:r>
            <w:r w:rsidRPr="007C1501">
              <w:rPr>
                <w:rFonts w:ascii="Garamond" w:eastAsia="Calibri" w:hAnsi="Garamond" w:cs="Times New Roman"/>
                <w:color w:val="000000" w:themeColor="text1"/>
                <w:sz w:val="24"/>
                <w:szCs w:val="24"/>
                <w:lang w:eastAsia="it-IT"/>
              </w:rPr>
              <w:t xml:space="preserve"> </w:t>
            </w:r>
            <w:r w:rsidRPr="007C1501">
              <w:rPr>
                <w:rFonts w:ascii="Garamond" w:eastAsia="Times New Roman" w:hAnsi="Garamond" w:cs="Times New Roman"/>
                <w:color w:val="000000" w:themeColor="text1"/>
                <w:sz w:val="24"/>
                <w:szCs w:val="24"/>
                <w:lang w:eastAsia="it-IT"/>
              </w:rPr>
              <w:t>500</w:t>
            </w:r>
            <w:r w:rsidRPr="007C1501">
              <w:rPr>
                <w:rFonts w:ascii="Garamond" w:eastAsia="Calibri" w:hAnsi="Garamond" w:cs="Times New Roman"/>
                <w:color w:val="000000" w:themeColor="text1"/>
                <w:sz w:val="24"/>
                <w:szCs w:val="24"/>
                <w:lang w:eastAsia="it-IT"/>
              </w:rPr>
              <w:t xml:space="preserve"> </w:t>
            </w:r>
            <w:r w:rsidRPr="007C1501">
              <w:rPr>
                <w:rFonts w:ascii="Garamond" w:eastAsia="Times New Roman" w:hAnsi="Garamond" w:cs="Times New Roman"/>
                <w:color w:val="000000" w:themeColor="text1"/>
                <w:sz w:val="24"/>
                <w:szCs w:val="24"/>
                <w:lang w:eastAsia="it-IT"/>
              </w:rPr>
              <w:t>000</w:t>
            </w:r>
            <w:r w:rsidRPr="007C1501">
              <w:rPr>
                <w:rFonts w:ascii="Garamond" w:eastAsia="Calibri" w:hAnsi="Garamond" w:cs="Times New Roman"/>
                <w:color w:val="000000" w:themeColor="text1"/>
                <w:sz w:val="24"/>
                <w:szCs w:val="24"/>
                <w:lang w:eastAsia="it-IT"/>
              </w:rPr>
              <w:t xml:space="preserve"> </w:t>
            </w:r>
          </w:p>
        </w:tc>
        <w:tc>
          <w:tcPr>
            <w:tcW w:w="735" w:type="pct"/>
            <w:noWrap/>
            <w:vAlign w:val="center"/>
            <w:hideMark/>
          </w:tcPr>
          <w:p w14:paraId="5372B3E9"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2 500 000 </w:t>
            </w:r>
          </w:p>
        </w:tc>
        <w:tc>
          <w:tcPr>
            <w:tcW w:w="736" w:type="pct"/>
            <w:noWrap/>
            <w:vAlign w:val="center"/>
            <w:hideMark/>
          </w:tcPr>
          <w:p w14:paraId="726CC3C3"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4 000 000 </w:t>
            </w:r>
          </w:p>
        </w:tc>
        <w:tc>
          <w:tcPr>
            <w:tcW w:w="736" w:type="pct"/>
            <w:noWrap/>
            <w:vAlign w:val="center"/>
            <w:hideMark/>
          </w:tcPr>
          <w:p w14:paraId="519F130A"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5 000 000 </w:t>
            </w:r>
          </w:p>
        </w:tc>
      </w:tr>
      <w:tr w:rsidR="009A734D" w:rsidRPr="007C1501" w14:paraId="1FF7A864" w14:textId="77777777" w:rsidTr="001004CA">
        <w:trPr>
          <w:trHeight w:val="345"/>
          <w:jc w:val="center"/>
        </w:trPr>
        <w:tc>
          <w:tcPr>
            <w:tcW w:w="2057" w:type="pct"/>
            <w:noWrap/>
            <w:vAlign w:val="center"/>
            <w:hideMark/>
          </w:tcPr>
          <w:p w14:paraId="44C8B002"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Numri i punonjësve</w:t>
            </w:r>
          </w:p>
        </w:tc>
        <w:tc>
          <w:tcPr>
            <w:tcW w:w="735" w:type="pct"/>
            <w:noWrap/>
            <w:vAlign w:val="center"/>
            <w:hideMark/>
          </w:tcPr>
          <w:p w14:paraId="621515D1"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c>
          <w:tcPr>
            <w:tcW w:w="735" w:type="pct"/>
            <w:noWrap/>
            <w:vAlign w:val="center"/>
            <w:hideMark/>
          </w:tcPr>
          <w:p w14:paraId="5DF2CBA4"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c>
          <w:tcPr>
            <w:tcW w:w="736" w:type="pct"/>
            <w:noWrap/>
            <w:vAlign w:val="center"/>
            <w:hideMark/>
          </w:tcPr>
          <w:p w14:paraId="467B2ED1"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c>
          <w:tcPr>
            <w:tcW w:w="736" w:type="pct"/>
            <w:noWrap/>
            <w:vAlign w:val="center"/>
            <w:hideMark/>
          </w:tcPr>
          <w:p w14:paraId="7EBFD267"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r>
      <w:tr w:rsidR="009A734D" w:rsidRPr="007C1501" w14:paraId="6931F827" w14:textId="77777777" w:rsidTr="001004CA">
        <w:trPr>
          <w:trHeight w:val="345"/>
          <w:jc w:val="center"/>
        </w:trPr>
        <w:tc>
          <w:tcPr>
            <w:tcW w:w="2057" w:type="pct"/>
            <w:shd w:val="clear" w:color="E8E0ED" w:fill="E8E0ED"/>
            <w:noWrap/>
            <w:vAlign w:val="center"/>
            <w:hideMark/>
          </w:tcPr>
          <w:p w14:paraId="7B03B840" w14:textId="77777777" w:rsidR="009A734D" w:rsidRPr="007C1501" w:rsidRDefault="009A734D" w:rsidP="003456F4">
            <w:pPr>
              <w:spacing w:after="0" w:line="240" w:lineRule="auto"/>
              <w:ind w:firstLine="284"/>
              <w:rPr>
                <w:rFonts w:ascii="Garamond" w:eastAsia="Times New Roman" w:hAnsi="Garamond" w:cs="Times New Roman"/>
                <w:b/>
                <w:bCs/>
                <w:color w:val="000000" w:themeColor="text1"/>
                <w:sz w:val="24"/>
                <w:szCs w:val="24"/>
                <w:lang w:eastAsia="it-IT"/>
              </w:rPr>
            </w:pPr>
            <w:r w:rsidRPr="007C1501">
              <w:rPr>
                <w:rFonts w:ascii="Garamond" w:eastAsia="Times New Roman" w:hAnsi="Garamond" w:cs="Times New Roman"/>
                <w:b/>
                <w:bCs/>
                <w:color w:val="000000" w:themeColor="text1"/>
                <w:sz w:val="24"/>
                <w:szCs w:val="24"/>
                <w:lang w:eastAsia="it-IT"/>
              </w:rPr>
              <w:t xml:space="preserve">Njësi ekonomike të mëdha </w:t>
            </w:r>
          </w:p>
        </w:tc>
        <w:tc>
          <w:tcPr>
            <w:tcW w:w="735" w:type="pct"/>
            <w:shd w:val="clear" w:color="E8E0ED" w:fill="E8E0ED"/>
            <w:noWrap/>
          </w:tcPr>
          <w:p w14:paraId="58C06ABB" w14:textId="77777777" w:rsidR="009A734D" w:rsidRPr="007C1501" w:rsidRDefault="009A734D" w:rsidP="003456F4">
            <w:pPr>
              <w:spacing w:after="0" w:line="240" w:lineRule="auto"/>
              <w:ind w:firstLine="284"/>
              <w:jc w:val="center"/>
              <w:rPr>
                <w:rFonts w:ascii="Garamond" w:eastAsia="Times New Roman" w:hAnsi="Garamond" w:cs="Times New Roman"/>
                <w:b/>
                <w:bCs/>
                <w:color w:val="000000" w:themeColor="text1"/>
                <w:sz w:val="24"/>
                <w:szCs w:val="24"/>
                <w:lang w:eastAsia="it-IT"/>
              </w:rPr>
            </w:pPr>
          </w:p>
        </w:tc>
        <w:tc>
          <w:tcPr>
            <w:tcW w:w="735" w:type="pct"/>
            <w:shd w:val="clear" w:color="E8E0ED" w:fill="E8E0ED"/>
            <w:noWrap/>
          </w:tcPr>
          <w:p w14:paraId="68CB6EF5"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6" w:type="pct"/>
            <w:shd w:val="clear" w:color="E8E0ED" w:fill="E8E0ED"/>
            <w:noWrap/>
          </w:tcPr>
          <w:p w14:paraId="5F6CA3D7"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6" w:type="pct"/>
            <w:shd w:val="clear" w:color="E8E0ED" w:fill="E8E0ED"/>
            <w:noWrap/>
          </w:tcPr>
          <w:p w14:paraId="65D64C17"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r>
      <w:tr w:rsidR="009A734D" w:rsidRPr="007C1501" w14:paraId="60993607" w14:textId="77777777" w:rsidTr="001004CA">
        <w:trPr>
          <w:trHeight w:val="345"/>
          <w:jc w:val="center"/>
        </w:trPr>
        <w:tc>
          <w:tcPr>
            <w:tcW w:w="2057" w:type="pct"/>
            <w:noWrap/>
            <w:vAlign w:val="center"/>
            <w:hideMark/>
          </w:tcPr>
          <w:p w14:paraId="3D09DC4A"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Aktivet</w:t>
            </w:r>
          </w:p>
        </w:tc>
        <w:tc>
          <w:tcPr>
            <w:tcW w:w="735" w:type="pct"/>
            <w:noWrap/>
            <w:vAlign w:val="center"/>
            <w:hideMark/>
          </w:tcPr>
          <w:p w14:paraId="3E54E0D8"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750 000 </w:t>
            </w:r>
          </w:p>
        </w:tc>
        <w:tc>
          <w:tcPr>
            <w:tcW w:w="735" w:type="pct"/>
            <w:noWrap/>
            <w:vAlign w:val="center"/>
            <w:hideMark/>
          </w:tcPr>
          <w:p w14:paraId="59428FC4"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1 250 000 </w:t>
            </w:r>
          </w:p>
        </w:tc>
        <w:tc>
          <w:tcPr>
            <w:tcW w:w="736" w:type="pct"/>
            <w:noWrap/>
            <w:vAlign w:val="center"/>
            <w:hideMark/>
          </w:tcPr>
          <w:p w14:paraId="69922F1D"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2 000 000 </w:t>
            </w:r>
          </w:p>
        </w:tc>
        <w:tc>
          <w:tcPr>
            <w:tcW w:w="736" w:type="pct"/>
            <w:noWrap/>
            <w:vAlign w:val="center"/>
            <w:hideMark/>
          </w:tcPr>
          <w:p w14:paraId="28264E5E"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2 500 000 </w:t>
            </w:r>
          </w:p>
        </w:tc>
      </w:tr>
      <w:tr w:rsidR="009A734D" w:rsidRPr="007C1501" w14:paraId="33D58D0E" w14:textId="77777777" w:rsidTr="001004CA">
        <w:trPr>
          <w:trHeight w:val="345"/>
          <w:jc w:val="center"/>
        </w:trPr>
        <w:tc>
          <w:tcPr>
            <w:tcW w:w="2057" w:type="pct"/>
            <w:noWrap/>
            <w:vAlign w:val="center"/>
            <w:hideMark/>
          </w:tcPr>
          <w:p w14:paraId="70BA8820"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 xml:space="preserve">Të ardhurat e shfrytëzimit </w:t>
            </w:r>
          </w:p>
        </w:tc>
        <w:tc>
          <w:tcPr>
            <w:tcW w:w="735" w:type="pct"/>
            <w:noWrap/>
            <w:vAlign w:val="center"/>
            <w:hideMark/>
          </w:tcPr>
          <w:p w14:paraId="3F052ECF"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1</w:t>
            </w:r>
            <w:r w:rsidRPr="007C1501">
              <w:rPr>
                <w:rFonts w:ascii="Garamond" w:eastAsia="Calibri" w:hAnsi="Garamond" w:cs="Times New Roman"/>
                <w:color w:val="000000" w:themeColor="text1"/>
                <w:sz w:val="24"/>
                <w:szCs w:val="24"/>
                <w:lang w:eastAsia="it-IT"/>
              </w:rPr>
              <w:t xml:space="preserve"> </w:t>
            </w:r>
            <w:r w:rsidRPr="007C1501">
              <w:rPr>
                <w:rFonts w:ascii="Garamond" w:eastAsia="Times New Roman" w:hAnsi="Garamond" w:cs="Times New Roman"/>
                <w:color w:val="000000" w:themeColor="text1"/>
                <w:sz w:val="24"/>
                <w:szCs w:val="24"/>
                <w:lang w:eastAsia="it-IT"/>
              </w:rPr>
              <w:t>500</w:t>
            </w:r>
            <w:r w:rsidRPr="007C1501">
              <w:rPr>
                <w:rFonts w:ascii="Garamond" w:eastAsia="Calibri" w:hAnsi="Garamond" w:cs="Times New Roman"/>
                <w:color w:val="000000" w:themeColor="text1"/>
                <w:sz w:val="24"/>
                <w:szCs w:val="24"/>
                <w:lang w:eastAsia="it-IT"/>
              </w:rPr>
              <w:t xml:space="preserve"> </w:t>
            </w:r>
            <w:r w:rsidRPr="007C1501">
              <w:rPr>
                <w:rFonts w:ascii="Garamond" w:eastAsia="Times New Roman" w:hAnsi="Garamond" w:cs="Times New Roman"/>
                <w:color w:val="000000" w:themeColor="text1"/>
                <w:sz w:val="24"/>
                <w:szCs w:val="24"/>
                <w:lang w:eastAsia="it-IT"/>
              </w:rPr>
              <w:t>000</w:t>
            </w:r>
            <w:r w:rsidRPr="007C1501">
              <w:rPr>
                <w:rFonts w:ascii="Garamond" w:eastAsia="Calibri" w:hAnsi="Garamond" w:cs="Times New Roman"/>
                <w:color w:val="000000" w:themeColor="text1"/>
                <w:sz w:val="24"/>
                <w:szCs w:val="24"/>
                <w:lang w:eastAsia="it-IT"/>
              </w:rPr>
              <w:t xml:space="preserve"> </w:t>
            </w:r>
          </w:p>
        </w:tc>
        <w:tc>
          <w:tcPr>
            <w:tcW w:w="735" w:type="pct"/>
            <w:noWrap/>
            <w:vAlign w:val="center"/>
            <w:hideMark/>
          </w:tcPr>
          <w:p w14:paraId="44E1865A"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2 500 000 </w:t>
            </w:r>
          </w:p>
        </w:tc>
        <w:tc>
          <w:tcPr>
            <w:tcW w:w="736" w:type="pct"/>
            <w:noWrap/>
            <w:vAlign w:val="center"/>
            <w:hideMark/>
          </w:tcPr>
          <w:p w14:paraId="1AEC0BA8"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4 000 000 </w:t>
            </w:r>
          </w:p>
        </w:tc>
        <w:tc>
          <w:tcPr>
            <w:tcW w:w="736" w:type="pct"/>
            <w:noWrap/>
            <w:vAlign w:val="center"/>
            <w:hideMark/>
          </w:tcPr>
          <w:p w14:paraId="6C87E127"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5 000 000 </w:t>
            </w:r>
          </w:p>
        </w:tc>
      </w:tr>
      <w:tr w:rsidR="009A734D" w:rsidRPr="007C1501" w14:paraId="35677D61" w14:textId="77777777" w:rsidTr="001004CA">
        <w:trPr>
          <w:trHeight w:val="345"/>
          <w:jc w:val="center"/>
        </w:trPr>
        <w:tc>
          <w:tcPr>
            <w:tcW w:w="2057" w:type="pct"/>
            <w:noWrap/>
            <w:vAlign w:val="center"/>
            <w:hideMark/>
          </w:tcPr>
          <w:p w14:paraId="22911D8A"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Numri i punonjësve</w:t>
            </w:r>
          </w:p>
        </w:tc>
        <w:tc>
          <w:tcPr>
            <w:tcW w:w="735" w:type="pct"/>
            <w:noWrap/>
            <w:vAlign w:val="center"/>
            <w:hideMark/>
          </w:tcPr>
          <w:p w14:paraId="34270D9A"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i/>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c>
          <w:tcPr>
            <w:tcW w:w="735" w:type="pct"/>
            <w:noWrap/>
            <w:vAlign w:val="center"/>
            <w:hideMark/>
          </w:tcPr>
          <w:p w14:paraId="594197F3"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i/>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c>
          <w:tcPr>
            <w:tcW w:w="736" w:type="pct"/>
            <w:noWrap/>
            <w:vAlign w:val="center"/>
            <w:hideMark/>
          </w:tcPr>
          <w:p w14:paraId="446F184C"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i/>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c>
          <w:tcPr>
            <w:tcW w:w="736" w:type="pct"/>
            <w:noWrap/>
            <w:vAlign w:val="center"/>
            <w:hideMark/>
          </w:tcPr>
          <w:p w14:paraId="7503FF56"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i/>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r>
      <w:tr w:rsidR="009A734D" w:rsidRPr="007C1501" w14:paraId="15637C94" w14:textId="77777777" w:rsidTr="001004CA">
        <w:trPr>
          <w:trHeight w:val="345"/>
          <w:jc w:val="center"/>
        </w:trPr>
        <w:tc>
          <w:tcPr>
            <w:tcW w:w="2057" w:type="pct"/>
            <w:shd w:val="clear" w:color="E8E0ED" w:fill="E8E0ED"/>
            <w:noWrap/>
            <w:vAlign w:val="center"/>
            <w:hideMark/>
          </w:tcPr>
          <w:p w14:paraId="5E41C4E2" w14:textId="77777777" w:rsidR="009A734D" w:rsidRPr="007C1501" w:rsidRDefault="009A734D" w:rsidP="003456F4">
            <w:pPr>
              <w:spacing w:after="0" w:line="240" w:lineRule="auto"/>
              <w:ind w:firstLine="284"/>
              <w:rPr>
                <w:rFonts w:ascii="Garamond" w:eastAsia="Times New Roman" w:hAnsi="Garamond" w:cs="Times New Roman"/>
                <w:b/>
                <w:bCs/>
                <w:color w:val="000000" w:themeColor="text1"/>
                <w:sz w:val="24"/>
                <w:szCs w:val="24"/>
                <w:lang w:eastAsia="it-IT"/>
              </w:rPr>
            </w:pPr>
            <w:r w:rsidRPr="007C1501">
              <w:rPr>
                <w:rFonts w:ascii="Garamond" w:eastAsia="Times New Roman" w:hAnsi="Garamond" w:cs="Times New Roman"/>
                <w:b/>
                <w:bCs/>
                <w:color w:val="000000" w:themeColor="text1"/>
                <w:sz w:val="24"/>
                <w:szCs w:val="24"/>
                <w:lang w:eastAsia="it-IT"/>
              </w:rPr>
              <w:t>Grupe të vogla</w:t>
            </w:r>
          </w:p>
        </w:tc>
        <w:tc>
          <w:tcPr>
            <w:tcW w:w="735" w:type="pct"/>
            <w:shd w:val="clear" w:color="E8E0ED" w:fill="E8E0ED"/>
            <w:noWrap/>
          </w:tcPr>
          <w:p w14:paraId="1C2AF95B" w14:textId="77777777" w:rsidR="009A734D" w:rsidRPr="007C1501" w:rsidRDefault="009A734D" w:rsidP="003456F4">
            <w:pPr>
              <w:spacing w:after="0" w:line="240" w:lineRule="auto"/>
              <w:ind w:firstLine="284"/>
              <w:jc w:val="center"/>
              <w:rPr>
                <w:rFonts w:ascii="Garamond" w:eastAsia="Times New Roman" w:hAnsi="Garamond" w:cs="Times New Roman"/>
                <w:b/>
                <w:bCs/>
                <w:color w:val="000000" w:themeColor="text1"/>
                <w:sz w:val="24"/>
                <w:szCs w:val="24"/>
                <w:lang w:eastAsia="it-IT"/>
              </w:rPr>
            </w:pPr>
          </w:p>
        </w:tc>
        <w:tc>
          <w:tcPr>
            <w:tcW w:w="735" w:type="pct"/>
            <w:shd w:val="clear" w:color="E8E0ED" w:fill="E8E0ED"/>
            <w:noWrap/>
          </w:tcPr>
          <w:p w14:paraId="37ACD713"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6" w:type="pct"/>
            <w:shd w:val="clear" w:color="E8E0ED" w:fill="E8E0ED"/>
            <w:noWrap/>
          </w:tcPr>
          <w:p w14:paraId="7CC3C486"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6" w:type="pct"/>
            <w:shd w:val="clear" w:color="E8E0ED" w:fill="E8E0ED"/>
            <w:noWrap/>
          </w:tcPr>
          <w:p w14:paraId="7D573399"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r>
      <w:tr w:rsidR="009A734D" w:rsidRPr="007C1501" w14:paraId="32AE12D8" w14:textId="77777777" w:rsidTr="001004CA">
        <w:trPr>
          <w:trHeight w:val="345"/>
          <w:jc w:val="center"/>
        </w:trPr>
        <w:tc>
          <w:tcPr>
            <w:tcW w:w="2057" w:type="pct"/>
            <w:noWrap/>
            <w:vAlign w:val="center"/>
            <w:hideMark/>
          </w:tcPr>
          <w:p w14:paraId="24AF0752"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Aktivet</w:t>
            </w:r>
          </w:p>
        </w:tc>
        <w:tc>
          <w:tcPr>
            <w:tcW w:w="735" w:type="pct"/>
            <w:noWrap/>
            <w:vAlign w:val="center"/>
            <w:hideMark/>
          </w:tcPr>
          <w:p w14:paraId="69B88830"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150 000 </w:t>
            </w:r>
          </w:p>
        </w:tc>
        <w:tc>
          <w:tcPr>
            <w:tcW w:w="735" w:type="pct"/>
            <w:noWrap/>
            <w:vAlign w:val="center"/>
            <w:hideMark/>
          </w:tcPr>
          <w:p w14:paraId="674D8A81"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250 000 </w:t>
            </w:r>
          </w:p>
        </w:tc>
        <w:tc>
          <w:tcPr>
            <w:tcW w:w="736" w:type="pct"/>
            <w:noWrap/>
            <w:vAlign w:val="center"/>
            <w:hideMark/>
          </w:tcPr>
          <w:p w14:paraId="24C75460"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350 000 </w:t>
            </w:r>
          </w:p>
        </w:tc>
        <w:tc>
          <w:tcPr>
            <w:tcW w:w="736" w:type="pct"/>
            <w:noWrap/>
            <w:vAlign w:val="center"/>
            <w:hideMark/>
          </w:tcPr>
          <w:p w14:paraId="0DFCB4BB"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500 000 </w:t>
            </w:r>
          </w:p>
        </w:tc>
      </w:tr>
      <w:tr w:rsidR="009A734D" w:rsidRPr="007C1501" w14:paraId="2E1ECB9D" w14:textId="77777777" w:rsidTr="001004CA">
        <w:trPr>
          <w:trHeight w:val="345"/>
          <w:jc w:val="center"/>
        </w:trPr>
        <w:tc>
          <w:tcPr>
            <w:tcW w:w="2057" w:type="pct"/>
            <w:noWrap/>
            <w:vAlign w:val="center"/>
            <w:hideMark/>
          </w:tcPr>
          <w:p w14:paraId="5B15C90D"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 xml:space="preserve">Të ardhurat e shfrytëzimit </w:t>
            </w:r>
          </w:p>
        </w:tc>
        <w:tc>
          <w:tcPr>
            <w:tcW w:w="735" w:type="pct"/>
            <w:noWrap/>
            <w:vAlign w:val="center"/>
            <w:hideMark/>
          </w:tcPr>
          <w:p w14:paraId="6DCED6BB"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300 000 </w:t>
            </w:r>
          </w:p>
        </w:tc>
        <w:tc>
          <w:tcPr>
            <w:tcW w:w="735" w:type="pct"/>
            <w:noWrap/>
            <w:vAlign w:val="center"/>
            <w:hideMark/>
          </w:tcPr>
          <w:p w14:paraId="3310AA10"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5</w:t>
            </w:r>
            <w:r w:rsidRPr="007C1501">
              <w:rPr>
                <w:rFonts w:ascii="Garamond" w:eastAsia="Times New Roman" w:hAnsi="Garamond" w:cs="Times New Roman"/>
                <w:color w:val="000000" w:themeColor="text1"/>
                <w:sz w:val="24"/>
                <w:szCs w:val="24"/>
                <w:lang w:eastAsia="it-IT"/>
              </w:rPr>
              <w:t xml:space="preserve">00 000 </w:t>
            </w:r>
          </w:p>
        </w:tc>
        <w:tc>
          <w:tcPr>
            <w:tcW w:w="736" w:type="pct"/>
            <w:noWrap/>
            <w:vAlign w:val="center"/>
            <w:hideMark/>
          </w:tcPr>
          <w:p w14:paraId="2158F178"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700 000 </w:t>
            </w:r>
          </w:p>
        </w:tc>
        <w:tc>
          <w:tcPr>
            <w:tcW w:w="736" w:type="pct"/>
            <w:noWrap/>
            <w:vAlign w:val="center"/>
            <w:hideMark/>
          </w:tcPr>
          <w:p w14:paraId="6C345146"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1 000 000</w:t>
            </w:r>
          </w:p>
        </w:tc>
      </w:tr>
      <w:tr w:rsidR="009A734D" w:rsidRPr="007C1501" w14:paraId="0682D4C6" w14:textId="77777777" w:rsidTr="001004CA">
        <w:trPr>
          <w:trHeight w:val="345"/>
          <w:jc w:val="center"/>
        </w:trPr>
        <w:tc>
          <w:tcPr>
            <w:tcW w:w="2057" w:type="pct"/>
            <w:noWrap/>
            <w:vAlign w:val="center"/>
            <w:hideMark/>
          </w:tcPr>
          <w:p w14:paraId="6E761023"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Numri i punonjësve</w:t>
            </w:r>
          </w:p>
        </w:tc>
        <w:tc>
          <w:tcPr>
            <w:tcW w:w="735" w:type="pct"/>
            <w:noWrap/>
            <w:vAlign w:val="center"/>
            <w:hideMark/>
          </w:tcPr>
          <w:p w14:paraId="42560135"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50</w:t>
            </w:r>
          </w:p>
        </w:tc>
        <w:tc>
          <w:tcPr>
            <w:tcW w:w="735" w:type="pct"/>
            <w:noWrap/>
            <w:vAlign w:val="center"/>
            <w:hideMark/>
          </w:tcPr>
          <w:p w14:paraId="787916B5"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50</w:t>
            </w:r>
          </w:p>
        </w:tc>
        <w:tc>
          <w:tcPr>
            <w:tcW w:w="736" w:type="pct"/>
            <w:noWrap/>
            <w:vAlign w:val="center"/>
            <w:hideMark/>
          </w:tcPr>
          <w:p w14:paraId="58691065"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50</w:t>
            </w:r>
          </w:p>
        </w:tc>
        <w:tc>
          <w:tcPr>
            <w:tcW w:w="736" w:type="pct"/>
            <w:noWrap/>
            <w:vAlign w:val="center"/>
            <w:hideMark/>
          </w:tcPr>
          <w:p w14:paraId="51A6C93C"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50</w:t>
            </w:r>
          </w:p>
        </w:tc>
      </w:tr>
      <w:tr w:rsidR="009A734D" w:rsidRPr="007C1501" w14:paraId="2B0B33F2" w14:textId="77777777" w:rsidTr="001004CA">
        <w:trPr>
          <w:trHeight w:val="345"/>
          <w:jc w:val="center"/>
        </w:trPr>
        <w:tc>
          <w:tcPr>
            <w:tcW w:w="2057" w:type="pct"/>
            <w:shd w:val="clear" w:color="E8E0ED" w:fill="E8E0ED"/>
            <w:noWrap/>
            <w:vAlign w:val="center"/>
            <w:hideMark/>
          </w:tcPr>
          <w:p w14:paraId="64295877" w14:textId="77777777" w:rsidR="009A734D" w:rsidRPr="007C1501" w:rsidRDefault="009A734D" w:rsidP="003456F4">
            <w:pPr>
              <w:spacing w:after="0" w:line="240" w:lineRule="auto"/>
              <w:ind w:firstLine="284"/>
              <w:rPr>
                <w:rFonts w:ascii="Garamond" w:eastAsia="Times New Roman" w:hAnsi="Garamond" w:cs="Times New Roman"/>
                <w:b/>
                <w:bCs/>
                <w:color w:val="000000" w:themeColor="text1"/>
                <w:sz w:val="24"/>
                <w:szCs w:val="24"/>
                <w:lang w:eastAsia="it-IT"/>
              </w:rPr>
            </w:pPr>
            <w:r w:rsidRPr="007C1501">
              <w:rPr>
                <w:rFonts w:ascii="Garamond" w:eastAsia="Times New Roman" w:hAnsi="Garamond" w:cs="Times New Roman"/>
                <w:b/>
                <w:bCs/>
                <w:color w:val="000000" w:themeColor="text1"/>
                <w:sz w:val="24"/>
                <w:szCs w:val="24"/>
                <w:lang w:eastAsia="it-IT"/>
              </w:rPr>
              <w:t>Grupe të mesme</w:t>
            </w:r>
          </w:p>
        </w:tc>
        <w:tc>
          <w:tcPr>
            <w:tcW w:w="735" w:type="pct"/>
            <w:shd w:val="clear" w:color="E8E0ED" w:fill="E8E0ED"/>
            <w:noWrap/>
          </w:tcPr>
          <w:p w14:paraId="2133B156" w14:textId="77777777" w:rsidR="009A734D" w:rsidRPr="007C1501" w:rsidRDefault="009A734D" w:rsidP="003456F4">
            <w:pPr>
              <w:spacing w:after="0" w:line="240" w:lineRule="auto"/>
              <w:ind w:firstLine="284"/>
              <w:rPr>
                <w:rFonts w:ascii="Garamond" w:eastAsia="Times New Roman" w:hAnsi="Garamond" w:cs="Times New Roman"/>
                <w:b/>
                <w:bCs/>
                <w:color w:val="000000" w:themeColor="text1"/>
                <w:sz w:val="24"/>
                <w:szCs w:val="24"/>
                <w:lang w:eastAsia="it-IT"/>
              </w:rPr>
            </w:pPr>
          </w:p>
        </w:tc>
        <w:tc>
          <w:tcPr>
            <w:tcW w:w="735" w:type="pct"/>
            <w:shd w:val="clear" w:color="E8E0ED" w:fill="E8E0ED"/>
            <w:noWrap/>
          </w:tcPr>
          <w:p w14:paraId="5726FD7E"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6" w:type="pct"/>
            <w:shd w:val="clear" w:color="E8E0ED" w:fill="E8E0ED"/>
            <w:noWrap/>
          </w:tcPr>
          <w:p w14:paraId="0DD7AF08"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6" w:type="pct"/>
            <w:shd w:val="clear" w:color="E8E0ED" w:fill="E8E0ED"/>
            <w:noWrap/>
          </w:tcPr>
          <w:p w14:paraId="26627ABC"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r>
      <w:tr w:rsidR="009A734D" w:rsidRPr="007C1501" w14:paraId="0D938910" w14:textId="77777777" w:rsidTr="001004CA">
        <w:trPr>
          <w:trHeight w:val="345"/>
          <w:jc w:val="center"/>
        </w:trPr>
        <w:tc>
          <w:tcPr>
            <w:tcW w:w="2057" w:type="pct"/>
            <w:noWrap/>
            <w:vAlign w:val="center"/>
            <w:hideMark/>
          </w:tcPr>
          <w:p w14:paraId="67D4A6D9"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Aktivet</w:t>
            </w:r>
          </w:p>
        </w:tc>
        <w:tc>
          <w:tcPr>
            <w:tcW w:w="735" w:type="pct"/>
            <w:noWrap/>
            <w:vAlign w:val="center"/>
            <w:hideMark/>
          </w:tcPr>
          <w:p w14:paraId="6411CE2A"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750 000 </w:t>
            </w:r>
          </w:p>
        </w:tc>
        <w:tc>
          <w:tcPr>
            <w:tcW w:w="735" w:type="pct"/>
            <w:noWrap/>
            <w:vAlign w:val="center"/>
            <w:hideMark/>
          </w:tcPr>
          <w:p w14:paraId="1A1EFA5A"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1 250 000 </w:t>
            </w:r>
          </w:p>
        </w:tc>
        <w:tc>
          <w:tcPr>
            <w:tcW w:w="736" w:type="pct"/>
            <w:noWrap/>
            <w:vAlign w:val="center"/>
            <w:hideMark/>
          </w:tcPr>
          <w:p w14:paraId="3177010C"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2 000 000 </w:t>
            </w:r>
          </w:p>
        </w:tc>
        <w:tc>
          <w:tcPr>
            <w:tcW w:w="736" w:type="pct"/>
            <w:noWrap/>
            <w:vAlign w:val="center"/>
            <w:hideMark/>
          </w:tcPr>
          <w:p w14:paraId="3D700599"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2 500 000 </w:t>
            </w:r>
          </w:p>
        </w:tc>
      </w:tr>
      <w:tr w:rsidR="009A734D" w:rsidRPr="007C1501" w14:paraId="09DC14E5" w14:textId="77777777" w:rsidTr="001004CA">
        <w:trPr>
          <w:trHeight w:val="345"/>
          <w:jc w:val="center"/>
        </w:trPr>
        <w:tc>
          <w:tcPr>
            <w:tcW w:w="2057" w:type="pct"/>
            <w:noWrap/>
            <w:vAlign w:val="center"/>
            <w:hideMark/>
          </w:tcPr>
          <w:p w14:paraId="6FFDF36A"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 xml:space="preserve">Të ardhurat e shfrytëzimit </w:t>
            </w:r>
          </w:p>
        </w:tc>
        <w:tc>
          <w:tcPr>
            <w:tcW w:w="735" w:type="pct"/>
            <w:noWrap/>
            <w:vAlign w:val="center"/>
            <w:hideMark/>
          </w:tcPr>
          <w:p w14:paraId="7C702A15"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1</w:t>
            </w:r>
            <w:r w:rsidRPr="007C1501">
              <w:rPr>
                <w:rFonts w:ascii="Garamond" w:eastAsia="Calibri" w:hAnsi="Garamond" w:cs="Times New Roman"/>
                <w:color w:val="000000" w:themeColor="text1"/>
                <w:sz w:val="24"/>
                <w:szCs w:val="24"/>
                <w:lang w:eastAsia="it-IT"/>
              </w:rPr>
              <w:t xml:space="preserve"> </w:t>
            </w:r>
            <w:r w:rsidRPr="007C1501">
              <w:rPr>
                <w:rFonts w:ascii="Garamond" w:eastAsia="Times New Roman" w:hAnsi="Garamond" w:cs="Times New Roman"/>
                <w:color w:val="000000" w:themeColor="text1"/>
                <w:sz w:val="24"/>
                <w:szCs w:val="24"/>
                <w:lang w:eastAsia="it-IT"/>
              </w:rPr>
              <w:t>500</w:t>
            </w:r>
            <w:r w:rsidRPr="007C1501">
              <w:rPr>
                <w:rFonts w:ascii="Garamond" w:eastAsia="Calibri" w:hAnsi="Garamond" w:cs="Times New Roman"/>
                <w:color w:val="000000" w:themeColor="text1"/>
                <w:sz w:val="24"/>
                <w:szCs w:val="24"/>
                <w:lang w:eastAsia="it-IT"/>
              </w:rPr>
              <w:t xml:space="preserve"> </w:t>
            </w:r>
            <w:r w:rsidRPr="007C1501">
              <w:rPr>
                <w:rFonts w:ascii="Garamond" w:eastAsia="Times New Roman" w:hAnsi="Garamond" w:cs="Times New Roman"/>
                <w:color w:val="000000" w:themeColor="text1"/>
                <w:sz w:val="24"/>
                <w:szCs w:val="24"/>
                <w:lang w:eastAsia="it-IT"/>
              </w:rPr>
              <w:t>000</w:t>
            </w:r>
            <w:r w:rsidRPr="007C1501">
              <w:rPr>
                <w:rFonts w:ascii="Garamond" w:eastAsia="Calibri" w:hAnsi="Garamond" w:cs="Times New Roman"/>
                <w:color w:val="000000" w:themeColor="text1"/>
                <w:sz w:val="24"/>
                <w:szCs w:val="24"/>
                <w:lang w:eastAsia="it-IT"/>
              </w:rPr>
              <w:t xml:space="preserve"> </w:t>
            </w:r>
          </w:p>
        </w:tc>
        <w:tc>
          <w:tcPr>
            <w:tcW w:w="735" w:type="pct"/>
            <w:noWrap/>
            <w:vAlign w:val="center"/>
            <w:hideMark/>
          </w:tcPr>
          <w:p w14:paraId="760B5C24"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2 500 000 </w:t>
            </w:r>
          </w:p>
        </w:tc>
        <w:tc>
          <w:tcPr>
            <w:tcW w:w="736" w:type="pct"/>
            <w:noWrap/>
            <w:vAlign w:val="center"/>
            <w:hideMark/>
          </w:tcPr>
          <w:p w14:paraId="2CDABC4D"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4 000 000 </w:t>
            </w:r>
          </w:p>
        </w:tc>
        <w:tc>
          <w:tcPr>
            <w:tcW w:w="736" w:type="pct"/>
            <w:noWrap/>
            <w:vAlign w:val="center"/>
            <w:hideMark/>
          </w:tcPr>
          <w:p w14:paraId="5E76AD1D"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5 000 000 </w:t>
            </w:r>
          </w:p>
        </w:tc>
      </w:tr>
      <w:tr w:rsidR="009A734D" w:rsidRPr="007C1501" w14:paraId="63BF37FA" w14:textId="77777777" w:rsidTr="001004CA">
        <w:trPr>
          <w:trHeight w:val="345"/>
          <w:jc w:val="center"/>
        </w:trPr>
        <w:tc>
          <w:tcPr>
            <w:tcW w:w="2057" w:type="pct"/>
            <w:noWrap/>
            <w:vAlign w:val="center"/>
            <w:hideMark/>
          </w:tcPr>
          <w:p w14:paraId="5B1A431F"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Numri i punonjësve</w:t>
            </w:r>
          </w:p>
        </w:tc>
        <w:tc>
          <w:tcPr>
            <w:tcW w:w="735" w:type="pct"/>
            <w:noWrap/>
            <w:vAlign w:val="center"/>
            <w:hideMark/>
          </w:tcPr>
          <w:p w14:paraId="198DE35E"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c>
          <w:tcPr>
            <w:tcW w:w="735" w:type="pct"/>
            <w:noWrap/>
            <w:vAlign w:val="center"/>
            <w:hideMark/>
          </w:tcPr>
          <w:p w14:paraId="73583E39"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c>
          <w:tcPr>
            <w:tcW w:w="736" w:type="pct"/>
            <w:noWrap/>
            <w:vAlign w:val="center"/>
            <w:hideMark/>
          </w:tcPr>
          <w:p w14:paraId="1B580FF0"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c>
          <w:tcPr>
            <w:tcW w:w="736" w:type="pct"/>
            <w:noWrap/>
            <w:vAlign w:val="center"/>
            <w:hideMark/>
          </w:tcPr>
          <w:p w14:paraId="1C682E26"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r>
      <w:tr w:rsidR="009A734D" w:rsidRPr="007C1501" w14:paraId="4E611753" w14:textId="77777777" w:rsidTr="001004CA">
        <w:trPr>
          <w:trHeight w:val="345"/>
          <w:jc w:val="center"/>
        </w:trPr>
        <w:tc>
          <w:tcPr>
            <w:tcW w:w="2057" w:type="pct"/>
            <w:shd w:val="clear" w:color="E8E0ED" w:fill="E8E0ED"/>
            <w:noWrap/>
            <w:vAlign w:val="center"/>
            <w:hideMark/>
          </w:tcPr>
          <w:p w14:paraId="39D3594C" w14:textId="77777777" w:rsidR="009A734D" w:rsidRPr="007C1501" w:rsidRDefault="009A734D" w:rsidP="003456F4">
            <w:pPr>
              <w:spacing w:after="0" w:line="240" w:lineRule="auto"/>
              <w:ind w:firstLine="284"/>
              <w:rPr>
                <w:rFonts w:ascii="Garamond" w:eastAsia="Times New Roman" w:hAnsi="Garamond" w:cs="Times New Roman"/>
                <w:b/>
                <w:bCs/>
                <w:color w:val="000000" w:themeColor="text1"/>
                <w:sz w:val="24"/>
                <w:szCs w:val="24"/>
                <w:lang w:eastAsia="it-IT"/>
              </w:rPr>
            </w:pPr>
            <w:r w:rsidRPr="007C1501">
              <w:rPr>
                <w:rFonts w:ascii="Garamond" w:eastAsia="Times New Roman" w:hAnsi="Garamond" w:cs="Times New Roman"/>
                <w:b/>
                <w:bCs/>
                <w:color w:val="000000" w:themeColor="text1"/>
                <w:sz w:val="24"/>
                <w:szCs w:val="24"/>
                <w:lang w:eastAsia="it-IT"/>
              </w:rPr>
              <w:t>Grupe të mëdha</w:t>
            </w:r>
          </w:p>
        </w:tc>
        <w:tc>
          <w:tcPr>
            <w:tcW w:w="735" w:type="pct"/>
            <w:shd w:val="clear" w:color="E8E0ED" w:fill="E8E0ED"/>
            <w:noWrap/>
          </w:tcPr>
          <w:p w14:paraId="7C158C87" w14:textId="77777777" w:rsidR="009A734D" w:rsidRPr="007C1501" w:rsidRDefault="009A734D" w:rsidP="003456F4">
            <w:pPr>
              <w:spacing w:after="0" w:line="240" w:lineRule="auto"/>
              <w:ind w:firstLine="284"/>
              <w:jc w:val="center"/>
              <w:rPr>
                <w:rFonts w:ascii="Garamond" w:eastAsia="Times New Roman" w:hAnsi="Garamond" w:cs="Times New Roman"/>
                <w:b/>
                <w:bCs/>
                <w:color w:val="000000" w:themeColor="text1"/>
                <w:sz w:val="24"/>
                <w:szCs w:val="24"/>
                <w:lang w:eastAsia="it-IT"/>
              </w:rPr>
            </w:pPr>
          </w:p>
        </w:tc>
        <w:tc>
          <w:tcPr>
            <w:tcW w:w="735" w:type="pct"/>
            <w:shd w:val="clear" w:color="E8E0ED" w:fill="E8E0ED"/>
            <w:noWrap/>
          </w:tcPr>
          <w:p w14:paraId="61BD01AA"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6" w:type="pct"/>
            <w:shd w:val="clear" w:color="E8E0ED" w:fill="E8E0ED"/>
            <w:noWrap/>
          </w:tcPr>
          <w:p w14:paraId="2AF5C2E2"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c>
          <w:tcPr>
            <w:tcW w:w="736" w:type="pct"/>
            <w:shd w:val="clear" w:color="E8E0ED" w:fill="E8E0ED"/>
            <w:noWrap/>
          </w:tcPr>
          <w:p w14:paraId="31420FB3"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p>
        </w:tc>
      </w:tr>
      <w:tr w:rsidR="009A734D" w:rsidRPr="007C1501" w14:paraId="679E0356" w14:textId="77777777" w:rsidTr="001004CA">
        <w:trPr>
          <w:trHeight w:val="345"/>
          <w:jc w:val="center"/>
        </w:trPr>
        <w:tc>
          <w:tcPr>
            <w:tcW w:w="2057" w:type="pct"/>
            <w:noWrap/>
            <w:vAlign w:val="center"/>
            <w:hideMark/>
          </w:tcPr>
          <w:p w14:paraId="7DC8A80F"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Aktivet</w:t>
            </w:r>
          </w:p>
        </w:tc>
        <w:tc>
          <w:tcPr>
            <w:tcW w:w="735" w:type="pct"/>
            <w:noWrap/>
            <w:vAlign w:val="center"/>
            <w:hideMark/>
          </w:tcPr>
          <w:p w14:paraId="15E450A5"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750 000 </w:t>
            </w:r>
          </w:p>
        </w:tc>
        <w:tc>
          <w:tcPr>
            <w:tcW w:w="735" w:type="pct"/>
            <w:noWrap/>
            <w:vAlign w:val="center"/>
            <w:hideMark/>
          </w:tcPr>
          <w:p w14:paraId="72F693E5"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1 250 000 </w:t>
            </w:r>
          </w:p>
        </w:tc>
        <w:tc>
          <w:tcPr>
            <w:tcW w:w="736" w:type="pct"/>
            <w:noWrap/>
            <w:vAlign w:val="center"/>
            <w:hideMark/>
          </w:tcPr>
          <w:p w14:paraId="78949CBE"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2 000 000 </w:t>
            </w:r>
          </w:p>
        </w:tc>
        <w:tc>
          <w:tcPr>
            <w:tcW w:w="736" w:type="pct"/>
            <w:noWrap/>
            <w:vAlign w:val="center"/>
            <w:hideMark/>
          </w:tcPr>
          <w:p w14:paraId="784E1C3B"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2 500 000 </w:t>
            </w:r>
          </w:p>
        </w:tc>
      </w:tr>
      <w:tr w:rsidR="009A734D" w:rsidRPr="007C1501" w14:paraId="50F81574" w14:textId="77777777" w:rsidTr="001004CA">
        <w:trPr>
          <w:trHeight w:val="345"/>
          <w:jc w:val="center"/>
        </w:trPr>
        <w:tc>
          <w:tcPr>
            <w:tcW w:w="2057" w:type="pct"/>
            <w:noWrap/>
            <w:vAlign w:val="center"/>
            <w:hideMark/>
          </w:tcPr>
          <w:p w14:paraId="33F2D67B"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 xml:space="preserve">Të ardhurat e shfrytëzimit </w:t>
            </w:r>
          </w:p>
        </w:tc>
        <w:tc>
          <w:tcPr>
            <w:tcW w:w="735" w:type="pct"/>
            <w:noWrap/>
            <w:vAlign w:val="center"/>
            <w:hideMark/>
          </w:tcPr>
          <w:p w14:paraId="061AF72B"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1</w:t>
            </w:r>
            <w:r w:rsidRPr="007C1501">
              <w:rPr>
                <w:rFonts w:ascii="Garamond" w:eastAsia="Calibri" w:hAnsi="Garamond" w:cs="Times New Roman"/>
                <w:color w:val="000000" w:themeColor="text1"/>
                <w:sz w:val="24"/>
                <w:szCs w:val="24"/>
                <w:lang w:eastAsia="it-IT"/>
              </w:rPr>
              <w:t xml:space="preserve"> </w:t>
            </w:r>
            <w:r w:rsidRPr="007C1501">
              <w:rPr>
                <w:rFonts w:ascii="Garamond" w:eastAsia="Times New Roman" w:hAnsi="Garamond" w:cs="Times New Roman"/>
                <w:color w:val="000000" w:themeColor="text1"/>
                <w:sz w:val="24"/>
                <w:szCs w:val="24"/>
                <w:lang w:eastAsia="it-IT"/>
              </w:rPr>
              <w:t>500</w:t>
            </w:r>
            <w:r w:rsidRPr="007C1501">
              <w:rPr>
                <w:rFonts w:ascii="Garamond" w:eastAsia="Calibri" w:hAnsi="Garamond" w:cs="Times New Roman"/>
                <w:color w:val="000000" w:themeColor="text1"/>
                <w:sz w:val="24"/>
                <w:szCs w:val="24"/>
                <w:lang w:eastAsia="it-IT"/>
              </w:rPr>
              <w:t xml:space="preserve"> </w:t>
            </w:r>
            <w:r w:rsidRPr="007C1501">
              <w:rPr>
                <w:rFonts w:ascii="Garamond" w:eastAsia="Times New Roman" w:hAnsi="Garamond" w:cs="Times New Roman"/>
                <w:color w:val="000000" w:themeColor="text1"/>
                <w:sz w:val="24"/>
                <w:szCs w:val="24"/>
                <w:lang w:eastAsia="it-IT"/>
              </w:rPr>
              <w:t>000</w:t>
            </w:r>
            <w:r w:rsidRPr="007C1501">
              <w:rPr>
                <w:rFonts w:ascii="Garamond" w:eastAsia="Calibri" w:hAnsi="Garamond" w:cs="Times New Roman"/>
                <w:color w:val="000000" w:themeColor="text1"/>
                <w:sz w:val="24"/>
                <w:szCs w:val="24"/>
                <w:lang w:eastAsia="it-IT"/>
              </w:rPr>
              <w:t xml:space="preserve"> </w:t>
            </w:r>
          </w:p>
        </w:tc>
        <w:tc>
          <w:tcPr>
            <w:tcW w:w="735" w:type="pct"/>
            <w:noWrap/>
            <w:vAlign w:val="center"/>
            <w:hideMark/>
          </w:tcPr>
          <w:p w14:paraId="5388CEDD"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2 500 000 </w:t>
            </w:r>
          </w:p>
        </w:tc>
        <w:tc>
          <w:tcPr>
            <w:tcW w:w="736" w:type="pct"/>
            <w:noWrap/>
            <w:vAlign w:val="center"/>
            <w:hideMark/>
          </w:tcPr>
          <w:p w14:paraId="4274CE80"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4 000 000 </w:t>
            </w:r>
          </w:p>
        </w:tc>
        <w:tc>
          <w:tcPr>
            <w:tcW w:w="736" w:type="pct"/>
            <w:noWrap/>
            <w:vAlign w:val="center"/>
            <w:hideMark/>
          </w:tcPr>
          <w:p w14:paraId="1622D2A7" w14:textId="77777777" w:rsidR="009A734D" w:rsidRPr="007C1501" w:rsidRDefault="009A734D" w:rsidP="003456F4">
            <w:pPr>
              <w:spacing w:after="0" w:line="240" w:lineRule="auto"/>
              <w:ind w:firstLine="284"/>
              <w:jc w:val="center"/>
              <w:rPr>
                <w:rFonts w:ascii="Garamond" w:eastAsia="Times New Roman" w:hAnsi="Garamond" w:cs="Times New Roman"/>
                <w:color w:val="000000" w:themeColor="text1"/>
                <w:sz w:val="24"/>
                <w:szCs w:val="24"/>
                <w:lang w:eastAsia="it-IT"/>
              </w:rPr>
            </w:pPr>
            <w:r w:rsidRPr="007C1501">
              <w:rPr>
                <w:rFonts w:ascii="Garamond" w:eastAsia="Calibri" w:hAnsi="Garamond" w:cs="Times New Roman"/>
                <w:color w:val="000000" w:themeColor="text1"/>
                <w:sz w:val="24"/>
                <w:szCs w:val="24"/>
                <w:shd w:val="clear" w:color="auto" w:fill="FFFFFF"/>
              </w:rPr>
              <w:t xml:space="preserve">≥ </w:t>
            </w:r>
            <w:r w:rsidRPr="007C1501">
              <w:rPr>
                <w:rFonts w:ascii="Garamond" w:eastAsia="Times New Roman" w:hAnsi="Garamond" w:cs="Times New Roman"/>
                <w:color w:val="000000" w:themeColor="text1"/>
                <w:sz w:val="24"/>
                <w:szCs w:val="24"/>
                <w:lang w:eastAsia="it-IT"/>
              </w:rPr>
              <w:t xml:space="preserve">5 000 000 </w:t>
            </w:r>
          </w:p>
        </w:tc>
      </w:tr>
      <w:tr w:rsidR="009A734D" w:rsidRPr="007C1501" w14:paraId="4A5BE38A" w14:textId="77777777" w:rsidTr="001004CA">
        <w:trPr>
          <w:trHeight w:val="345"/>
          <w:jc w:val="center"/>
        </w:trPr>
        <w:tc>
          <w:tcPr>
            <w:tcW w:w="2057" w:type="pct"/>
            <w:noWrap/>
            <w:vAlign w:val="center"/>
            <w:hideMark/>
          </w:tcPr>
          <w:p w14:paraId="585BD33D" w14:textId="77777777" w:rsidR="009A734D" w:rsidRPr="007C1501" w:rsidRDefault="009A734D" w:rsidP="003456F4">
            <w:pPr>
              <w:spacing w:after="0" w:line="240" w:lineRule="auto"/>
              <w:ind w:firstLine="284"/>
              <w:rPr>
                <w:rFonts w:ascii="Garamond" w:eastAsia="Times New Roman" w:hAnsi="Garamond" w:cs="Times New Roman"/>
                <w:color w:val="000000" w:themeColor="text1"/>
                <w:sz w:val="24"/>
                <w:szCs w:val="24"/>
                <w:lang w:eastAsia="it-IT"/>
              </w:rPr>
            </w:pPr>
            <w:r w:rsidRPr="007C1501">
              <w:rPr>
                <w:rFonts w:ascii="Garamond" w:eastAsia="Times New Roman" w:hAnsi="Garamond" w:cs="Times New Roman"/>
                <w:color w:val="000000" w:themeColor="text1"/>
                <w:sz w:val="24"/>
                <w:szCs w:val="24"/>
                <w:lang w:eastAsia="it-IT"/>
              </w:rPr>
              <w:t>Numri i punonjësve</w:t>
            </w:r>
          </w:p>
        </w:tc>
        <w:tc>
          <w:tcPr>
            <w:tcW w:w="735" w:type="pct"/>
            <w:noWrap/>
            <w:vAlign w:val="center"/>
            <w:hideMark/>
          </w:tcPr>
          <w:p w14:paraId="55C3ABAB"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i/>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c>
          <w:tcPr>
            <w:tcW w:w="735" w:type="pct"/>
            <w:noWrap/>
            <w:vAlign w:val="center"/>
            <w:hideMark/>
          </w:tcPr>
          <w:p w14:paraId="4E9D9729"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i/>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c>
          <w:tcPr>
            <w:tcW w:w="736" w:type="pct"/>
            <w:noWrap/>
            <w:vAlign w:val="center"/>
            <w:hideMark/>
          </w:tcPr>
          <w:p w14:paraId="0EBCEA25"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i/>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c>
          <w:tcPr>
            <w:tcW w:w="736" w:type="pct"/>
            <w:noWrap/>
            <w:vAlign w:val="center"/>
            <w:hideMark/>
          </w:tcPr>
          <w:p w14:paraId="006F56A7" w14:textId="77777777" w:rsidR="009A734D" w:rsidRPr="007C1501" w:rsidRDefault="009A734D" w:rsidP="003456F4">
            <w:pPr>
              <w:spacing w:after="0" w:line="240" w:lineRule="auto"/>
              <w:ind w:firstLine="284"/>
              <w:jc w:val="center"/>
              <w:rPr>
                <w:rFonts w:ascii="Garamond" w:eastAsia="Times New Roman" w:hAnsi="Garamond" w:cs="Times New Roman"/>
                <w:i/>
                <w:color w:val="000000" w:themeColor="text1"/>
                <w:sz w:val="24"/>
                <w:szCs w:val="24"/>
                <w:lang w:eastAsia="it-IT"/>
              </w:rPr>
            </w:pPr>
            <w:r w:rsidRPr="007C1501">
              <w:rPr>
                <w:rFonts w:ascii="Garamond" w:eastAsia="Calibri" w:hAnsi="Garamond" w:cs="Times New Roman"/>
                <w:i/>
                <w:color w:val="000000" w:themeColor="text1"/>
                <w:sz w:val="24"/>
                <w:szCs w:val="24"/>
                <w:shd w:val="clear" w:color="auto" w:fill="FFFFFF"/>
              </w:rPr>
              <w:t xml:space="preserve">≥ </w:t>
            </w:r>
            <w:r w:rsidRPr="007C1501">
              <w:rPr>
                <w:rFonts w:ascii="Garamond" w:eastAsia="Times New Roman" w:hAnsi="Garamond" w:cs="Times New Roman"/>
                <w:i/>
                <w:color w:val="000000" w:themeColor="text1"/>
                <w:sz w:val="24"/>
                <w:szCs w:val="24"/>
                <w:lang w:eastAsia="it-IT"/>
              </w:rPr>
              <w:t>250</w:t>
            </w:r>
          </w:p>
        </w:tc>
      </w:tr>
    </w:tbl>
    <w:p w14:paraId="4234F8AE" w14:textId="77777777" w:rsidR="009A734D" w:rsidRPr="007C1501" w:rsidRDefault="009A734D" w:rsidP="003456F4">
      <w:pPr>
        <w:tabs>
          <w:tab w:val="left" w:pos="720"/>
          <w:tab w:val="left" w:pos="1440"/>
          <w:tab w:val="left" w:pos="3090"/>
        </w:tabs>
        <w:autoSpaceDE w:val="0"/>
        <w:autoSpaceDN w:val="0"/>
        <w:adjustRightInd w:val="0"/>
        <w:spacing w:after="0" w:line="240" w:lineRule="auto"/>
        <w:ind w:firstLine="284"/>
        <w:contextualSpacing/>
        <w:rPr>
          <w:rFonts w:ascii="Garamond" w:hAnsi="Garamond" w:cs="Times New Roman"/>
          <w:b/>
          <w:bCs/>
          <w:caps/>
          <w:color w:val="000000" w:themeColor="text1"/>
          <w:sz w:val="24"/>
          <w:szCs w:val="24"/>
        </w:rPr>
      </w:pPr>
    </w:p>
    <w:p w14:paraId="0534FE76" w14:textId="77777777" w:rsidR="009A734D" w:rsidRPr="007C1501" w:rsidRDefault="009A734D" w:rsidP="003456F4">
      <w:pPr>
        <w:spacing w:after="0" w:line="240" w:lineRule="auto"/>
        <w:ind w:firstLine="284"/>
        <w:rPr>
          <w:rFonts w:ascii="Garamond" w:hAnsi="Garamond"/>
          <w:color w:val="000000" w:themeColor="text1"/>
          <w:sz w:val="24"/>
          <w:szCs w:val="24"/>
        </w:rPr>
      </w:pPr>
    </w:p>
    <w:p w14:paraId="5D12A0C6" w14:textId="77777777" w:rsidR="009A734D" w:rsidRPr="007C1501" w:rsidRDefault="009A734D" w:rsidP="003456F4">
      <w:pPr>
        <w:spacing w:after="0" w:line="240" w:lineRule="auto"/>
        <w:ind w:firstLine="284"/>
        <w:rPr>
          <w:rFonts w:ascii="Garamond" w:hAnsi="Garamond"/>
          <w:color w:val="000000" w:themeColor="text1"/>
          <w:sz w:val="24"/>
          <w:szCs w:val="24"/>
        </w:rPr>
      </w:pPr>
    </w:p>
    <w:p w14:paraId="2EAEB6B4" w14:textId="77777777" w:rsidR="009A734D" w:rsidRPr="007C1501" w:rsidRDefault="009A734D" w:rsidP="003456F4">
      <w:pPr>
        <w:spacing w:after="0" w:line="240" w:lineRule="auto"/>
        <w:ind w:firstLine="284"/>
        <w:rPr>
          <w:rFonts w:ascii="Garamond" w:hAnsi="Garamond"/>
          <w:color w:val="000000" w:themeColor="text1"/>
          <w:sz w:val="24"/>
          <w:szCs w:val="24"/>
        </w:rPr>
      </w:pPr>
    </w:p>
    <w:p w14:paraId="7FA3EB02" w14:textId="77777777" w:rsidR="009A734D" w:rsidRPr="007C1501" w:rsidRDefault="009A734D" w:rsidP="003456F4">
      <w:pPr>
        <w:spacing w:after="0" w:line="240" w:lineRule="auto"/>
        <w:ind w:firstLine="284"/>
        <w:rPr>
          <w:rFonts w:ascii="Garamond" w:hAnsi="Garamond"/>
          <w:color w:val="000000" w:themeColor="text1"/>
          <w:sz w:val="24"/>
          <w:szCs w:val="24"/>
        </w:rPr>
      </w:pPr>
    </w:p>
    <w:p w14:paraId="4E7BA0D7" w14:textId="77777777" w:rsidR="009A734D" w:rsidRPr="007C1501" w:rsidRDefault="009A734D" w:rsidP="003456F4">
      <w:pPr>
        <w:spacing w:after="0" w:line="240" w:lineRule="auto"/>
        <w:ind w:firstLine="284"/>
        <w:rPr>
          <w:rFonts w:ascii="Garamond" w:hAnsi="Garamond"/>
          <w:color w:val="000000" w:themeColor="text1"/>
          <w:sz w:val="24"/>
          <w:szCs w:val="24"/>
        </w:rPr>
      </w:pPr>
    </w:p>
    <w:p w14:paraId="77D62E58" w14:textId="77777777" w:rsidR="009A734D" w:rsidRPr="007C1501" w:rsidRDefault="009A734D" w:rsidP="003456F4">
      <w:pPr>
        <w:spacing w:after="0" w:line="240" w:lineRule="auto"/>
        <w:ind w:firstLine="284"/>
        <w:rPr>
          <w:rFonts w:ascii="Garamond" w:hAnsi="Garamond"/>
          <w:color w:val="000000" w:themeColor="text1"/>
          <w:sz w:val="24"/>
          <w:szCs w:val="24"/>
        </w:rPr>
      </w:pPr>
    </w:p>
    <w:p w14:paraId="04D860A6" w14:textId="77777777" w:rsidR="009A734D" w:rsidRPr="007C1501" w:rsidRDefault="009A734D" w:rsidP="003456F4">
      <w:pPr>
        <w:spacing w:after="0" w:line="240" w:lineRule="auto"/>
        <w:ind w:firstLine="284"/>
        <w:jc w:val="both"/>
        <w:rPr>
          <w:rFonts w:ascii="Garamond" w:hAnsi="Garamond" w:cs="Times New Roman"/>
          <w:bCs/>
          <w:color w:val="000000" w:themeColor="text1"/>
          <w:sz w:val="24"/>
          <w:szCs w:val="24"/>
        </w:rPr>
      </w:pPr>
    </w:p>
    <w:sectPr w:rsidR="009A734D" w:rsidRPr="007C1501" w:rsidSect="002E5ECB">
      <w:footerReference w:type="default" r:id="rId13"/>
      <w:pgSz w:w="11906" w:h="16838" w:code="9"/>
      <w:pgMar w:top="1152" w:right="1152" w:bottom="1152" w:left="1152"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5115E6" w14:textId="77777777" w:rsidR="001004CA" w:rsidRDefault="001004CA" w:rsidP="00420682">
      <w:pPr>
        <w:spacing w:after="0" w:line="240" w:lineRule="auto"/>
      </w:pPr>
      <w:r>
        <w:separator/>
      </w:r>
    </w:p>
  </w:endnote>
  <w:endnote w:type="continuationSeparator" w:id="0">
    <w:p w14:paraId="545522B4" w14:textId="77777777" w:rsidR="001004CA" w:rsidRDefault="001004CA" w:rsidP="00420682">
      <w:pPr>
        <w:spacing w:after="0" w:line="240" w:lineRule="auto"/>
      </w:pPr>
      <w:r>
        <w:continuationSeparator/>
      </w:r>
    </w:p>
  </w:endnote>
  <w:endnote w:type="continuationNotice" w:id="1">
    <w:p w14:paraId="08DDF3F7" w14:textId="77777777" w:rsidR="004F6C05" w:rsidRDefault="004F6C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erif CJK SC">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62233"/>
      <w:docPartObj>
        <w:docPartGallery w:val="Page Numbers (Bottom of Page)"/>
        <w:docPartUnique/>
      </w:docPartObj>
    </w:sdtPr>
    <w:sdtEndPr>
      <w:rPr>
        <w:noProof/>
      </w:rPr>
    </w:sdtEndPr>
    <w:sdtContent>
      <w:p w14:paraId="5095240E" w14:textId="6C06DF60" w:rsidR="001004CA" w:rsidRDefault="001004CA">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CF5BEB">
          <w:rPr>
            <w:rFonts w:ascii="Times New Roman" w:hAnsi="Times New Roman" w:cs="Times New Roman"/>
            <w:noProof/>
            <w:sz w:val="24"/>
            <w:szCs w:val="24"/>
          </w:rPr>
          <w:t>24</w:t>
        </w:r>
        <w:r w:rsidRPr="0096575A">
          <w:rPr>
            <w:rFonts w:ascii="Times New Roman" w:hAnsi="Times New Roman" w:cs="Times New Roman"/>
            <w:noProof/>
            <w:sz w:val="24"/>
            <w:szCs w:val="24"/>
          </w:rPr>
          <w:fldChar w:fldCharType="end"/>
        </w:r>
      </w:p>
    </w:sdtContent>
  </w:sdt>
  <w:p w14:paraId="04951816" w14:textId="77777777" w:rsidR="001004CA" w:rsidRDefault="001004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A7B39A" w14:textId="77777777" w:rsidR="001004CA" w:rsidRDefault="001004CA" w:rsidP="00420682">
      <w:pPr>
        <w:spacing w:after="0" w:line="240" w:lineRule="auto"/>
      </w:pPr>
      <w:r>
        <w:separator/>
      </w:r>
    </w:p>
  </w:footnote>
  <w:footnote w:type="continuationSeparator" w:id="0">
    <w:p w14:paraId="55CAABA4" w14:textId="77777777" w:rsidR="001004CA" w:rsidRDefault="001004CA" w:rsidP="00420682">
      <w:pPr>
        <w:spacing w:after="0" w:line="240" w:lineRule="auto"/>
      </w:pPr>
      <w:r>
        <w:continuationSeparator/>
      </w:r>
    </w:p>
  </w:footnote>
  <w:footnote w:type="continuationNotice" w:id="1">
    <w:p w14:paraId="44A7A955" w14:textId="77777777" w:rsidR="004F6C05" w:rsidRDefault="004F6C05">
      <w:pPr>
        <w:spacing w:after="0" w:line="240" w:lineRule="auto"/>
      </w:pPr>
    </w:p>
  </w:footnote>
  <w:footnote w:id="2">
    <w:p w14:paraId="07D8CECD" w14:textId="4D228A55" w:rsidR="001004CA" w:rsidRPr="003456F4" w:rsidRDefault="001004CA" w:rsidP="00015405">
      <w:pPr>
        <w:widowControl w:val="0"/>
        <w:autoSpaceDE w:val="0"/>
        <w:autoSpaceDN w:val="0"/>
        <w:spacing w:after="0" w:line="240" w:lineRule="auto"/>
        <w:jc w:val="both"/>
        <w:rPr>
          <w:rFonts w:ascii="Garamond" w:eastAsia="Times New Roman" w:hAnsi="Garamond" w:cs="Times New Roman"/>
          <w:b/>
          <w:bCs/>
          <w:i/>
          <w:iCs/>
          <w:color w:val="1F1F1F"/>
          <w:sz w:val="20"/>
          <w:szCs w:val="20"/>
        </w:rPr>
      </w:pPr>
      <w:r w:rsidRPr="003456F4">
        <w:rPr>
          <w:rStyle w:val="FootnoteReference"/>
          <w:rFonts w:ascii="Garamond" w:hAnsi="Garamond"/>
          <w:sz w:val="20"/>
          <w:szCs w:val="20"/>
        </w:rPr>
        <w:footnoteRef/>
      </w:r>
      <w:r w:rsidRPr="003456F4">
        <w:rPr>
          <w:rFonts w:ascii="Garamond" w:hAnsi="Garamond"/>
          <w:sz w:val="20"/>
          <w:szCs w:val="20"/>
        </w:rPr>
        <w:t xml:space="preserve"> </w:t>
      </w:r>
      <w:r w:rsidRPr="003456F4">
        <w:rPr>
          <w:rFonts w:ascii="Garamond" w:eastAsia="Times New Roman" w:hAnsi="Garamond" w:cs="Times New Roman"/>
          <w:sz w:val="20"/>
          <w:szCs w:val="20"/>
        </w:rPr>
        <w:t xml:space="preserve">Ky ligj është përafruar plotësisht me: </w:t>
      </w:r>
    </w:p>
    <w:p w14:paraId="4B60927E" w14:textId="77777777" w:rsidR="001004CA" w:rsidRPr="003456F4" w:rsidRDefault="001004CA" w:rsidP="00B7530A">
      <w:pPr>
        <w:spacing w:after="0" w:line="240" w:lineRule="auto"/>
        <w:jc w:val="both"/>
        <w:rPr>
          <w:rFonts w:ascii="Garamond" w:hAnsi="Garamond" w:cs="Times New Roman"/>
          <w:color w:val="1F1F1F"/>
          <w:sz w:val="20"/>
          <w:szCs w:val="20"/>
        </w:rPr>
      </w:pPr>
      <w:r w:rsidRPr="003456F4">
        <w:rPr>
          <w:rFonts w:ascii="Garamond" w:hAnsi="Garamond" w:cs="Times New Roman"/>
          <w:color w:val="1F1F1F"/>
          <w:sz w:val="20"/>
          <w:szCs w:val="20"/>
        </w:rPr>
        <w:t xml:space="preserve">Direktivën 2013/34/BE të Parlamentit Evropian dhe të Këshillit, datë 26 qershor 2013, </w:t>
      </w:r>
      <w:r w:rsidRPr="003456F4">
        <w:rPr>
          <w:rFonts w:ascii="Garamond" w:hAnsi="Garamond" w:cs="Times New Roman"/>
          <w:color w:val="000000" w:themeColor="text1"/>
          <w:sz w:val="20"/>
          <w:szCs w:val="20"/>
        </w:rPr>
        <w:t>mbi</w:t>
      </w:r>
      <w:r w:rsidRPr="003456F4">
        <w:rPr>
          <w:rFonts w:ascii="Garamond" w:hAnsi="Garamond" w:cs="Times New Roman"/>
          <w:color w:val="1F1F1F"/>
          <w:sz w:val="20"/>
          <w:szCs w:val="20"/>
        </w:rPr>
        <w:t xml:space="preserve"> pasqyrat financiare vjetore, pasqyrat financiare të konsoliduara dhe raportet përkatëse të llojeve të caktuara të ndërmarrjeve, që ndryshon Direktivën 2006/43/KE të Parlamentit Evropian dhe të Këshillit dhe shfuqizon Direktivat 78/660/KEE dhe 83/349/KEE të Këshillit. Numri CELEX: 32013L0034, Fletorja Zyrtare e Bashkimit Evropian, OJ L 182, datë 29.6.2013, faqe 19–76;</w:t>
      </w:r>
    </w:p>
    <w:p w14:paraId="52E0D3C6" w14:textId="77777777" w:rsidR="001004CA" w:rsidRPr="003456F4" w:rsidRDefault="001004CA" w:rsidP="00B7530A">
      <w:pPr>
        <w:spacing w:after="0" w:line="240" w:lineRule="auto"/>
        <w:jc w:val="both"/>
        <w:rPr>
          <w:rFonts w:ascii="Garamond" w:hAnsi="Garamond" w:cs="Times New Roman"/>
          <w:color w:val="1F1F1F"/>
          <w:sz w:val="20"/>
          <w:szCs w:val="20"/>
        </w:rPr>
      </w:pPr>
      <w:r w:rsidRPr="003456F4">
        <w:rPr>
          <w:rFonts w:ascii="Garamond" w:hAnsi="Garamond" w:cs="Times New Roman"/>
          <w:color w:val="1F1F1F"/>
          <w:sz w:val="20"/>
          <w:szCs w:val="20"/>
        </w:rPr>
        <w:t>Direktivën 2014/95/BE të Parlamentit Evropian dhe të Këshillit, datë 22 tetor 2014, që ndryshon Direktivën 2013/34/BE</w:t>
      </w:r>
      <w:r w:rsidRPr="003456F4">
        <w:rPr>
          <w:rFonts w:ascii="Garamond" w:hAnsi="Garamond" w:cs="Times New Roman"/>
          <w:color w:val="000000" w:themeColor="text1"/>
          <w:sz w:val="20"/>
          <w:szCs w:val="20"/>
        </w:rPr>
        <w:t xml:space="preserve"> për </w:t>
      </w:r>
      <w:r w:rsidRPr="003456F4">
        <w:rPr>
          <w:rFonts w:ascii="Garamond" w:hAnsi="Garamond" w:cs="Times New Roman"/>
          <w:color w:val="1F1F1F"/>
          <w:sz w:val="20"/>
          <w:szCs w:val="20"/>
        </w:rPr>
        <w:t xml:space="preserve">sa i përket publikimit të informacionit jofinanciar dhe informacionit </w:t>
      </w:r>
      <w:r w:rsidRPr="003456F4">
        <w:rPr>
          <w:rFonts w:ascii="Garamond" w:hAnsi="Garamond" w:cs="Times New Roman"/>
          <w:color w:val="000000" w:themeColor="text1"/>
          <w:sz w:val="20"/>
          <w:szCs w:val="20"/>
        </w:rPr>
        <w:t xml:space="preserve">mbi </w:t>
      </w:r>
      <w:r w:rsidRPr="003456F4">
        <w:rPr>
          <w:rFonts w:ascii="Garamond" w:hAnsi="Garamond" w:cs="Times New Roman"/>
          <w:color w:val="1F1F1F"/>
          <w:sz w:val="20"/>
          <w:szCs w:val="20"/>
        </w:rPr>
        <w:t>diversitetin nga disa ndërmarrje të mëdha dhe grupe. Numri CELEX: 32014L0095, Fletorja Zyrtare e Bashkimit Evropian, OJ L 330, datë 15.11.2014, faqe 1–9;</w:t>
      </w:r>
    </w:p>
    <w:p w14:paraId="16293144" w14:textId="77777777" w:rsidR="001004CA" w:rsidRPr="003456F4" w:rsidRDefault="001004CA" w:rsidP="00B7530A">
      <w:pPr>
        <w:spacing w:after="0" w:line="240" w:lineRule="auto"/>
        <w:jc w:val="both"/>
        <w:rPr>
          <w:rFonts w:ascii="Garamond" w:hAnsi="Garamond" w:cs="Times New Roman"/>
          <w:color w:val="000000" w:themeColor="text1"/>
          <w:sz w:val="20"/>
          <w:szCs w:val="20"/>
        </w:rPr>
      </w:pPr>
      <w:r w:rsidRPr="003456F4">
        <w:rPr>
          <w:rFonts w:ascii="Garamond" w:hAnsi="Garamond" w:cs="Times New Roman"/>
          <w:color w:val="1F1F1F"/>
          <w:sz w:val="20"/>
          <w:szCs w:val="20"/>
        </w:rPr>
        <w:t xml:space="preserve">Direktivën (BE) 2021/2101 të Parlamentit Evropian dhe të Këshillit, datë 24 nëntor 2021, që ndryshon Direktivën 2013/34/BE </w:t>
      </w:r>
      <w:r w:rsidRPr="003456F4">
        <w:rPr>
          <w:rFonts w:ascii="Garamond" w:hAnsi="Garamond" w:cs="Times New Roman"/>
          <w:color w:val="000000" w:themeColor="text1"/>
          <w:sz w:val="20"/>
          <w:szCs w:val="20"/>
        </w:rPr>
        <w:t>për</w:t>
      </w:r>
      <w:r w:rsidRPr="003456F4">
        <w:rPr>
          <w:rFonts w:ascii="Garamond" w:hAnsi="Garamond" w:cs="Times New Roman"/>
          <w:color w:val="1F1F1F"/>
          <w:sz w:val="20"/>
          <w:szCs w:val="20"/>
        </w:rPr>
        <w:t xml:space="preserve"> sa i përket publikimit të informacionit </w:t>
      </w:r>
      <w:r w:rsidRPr="003456F4">
        <w:rPr>
          <w:rFonts w:ascii="Garamond" w:hAnsi="Garamond" w:cs="Times New Roman"/>
          <w:color w:val="000000" w:themeColor="text1"/>
          <w:sz w:val="20"/>
          <w:szCs w:val="20"/>
        </w:rPr>
        <w:t>mbi tatimin mbi të ardhurat nga ndërmarrje dhe degë të caktuara. Numri CELEX: 32021L2101, Fletorja Zyrtare e Bashkimit Evropian, OJ L 429, datë 1.12.2021, faqe 1–17;</w:t>
      </w:r>
    </w:p>
    <w:p w14:paraId="4553CB7B" w14:textId="77777777" w:rsidR="001004CA" w:rsidRPr="003456F4" w:rsidRDefault="001004CA" w:rsidP="00B7530A">
      <w:pPr>
        <w:spacing w:after="0" w:line="240" w:lineRule="auto"/>
        <w:jc w:val="both"/>
        <w:rPr>
          <w:rFonts w:ascii="Garamond" w:hAnsi="Garamond" w:cs="Times New Roman"/>
          <w:color w:val="000000" w:themeColor="text1"/>
          <w:sz w:val="20"/>
          <w:szCs w:val="20"/>
        </w:rPr>
      </w:pPr>
      <w:r w:rsidRPr="003456F4">
        <w:rPr>
          <w:rFonts w:ascii="Garamond" w:hAnsi="Garamond" w:cs="Times New Roman"/>
          <w:color w:val="000000" w:themeColor="text1"/>
          <w:sz w:val="20"/>
          <w:szCs w:val="20"/>
        </w:rPr>
        <w:t>Direktivën (BE) 2022/2464 të Parlamentit Evropian dhe të Këshillit, datë 14 dhjetor 2022, që ndryshon Rregulloren (BE) nr. 537/2014, Direktivën 2004/109/KE, Direktivën 2006/43/KE dhe Direktivën 2013/34/BE për sa i përket raportimit të qëndrueshmërisë nga ndërmarrjet (</w:t>
      </w:r>
      <w:r w:rsidRPr="003456F4">
        <w:rPr>
          <w:rFonts w:ascii="Garamond" w:hAnsi="Garamond" w:cs="Times New Roman"/>
          <w:i/>
          <w:iCs/>
          <w:color w:val="000000" w:themeColor="text1"/>
          <w:sz w:val="20"/>
          <w:szCs w:val="20"/>
        </w:rPr>
        <w:t>Corporate Sustainability Reporting Directive</w:t>
      </w:r>
      <w:r w:rsidRPr="003456F4">
        <w:rPr>
          <w:rFonts w:ascii="Garamond" w:hAnsi="Garamond" w:cs="Times New Roman"/>
          <w:color w:val="000000" w:themeColor="text1"/>
          <w:sz w:val="20"/>
          <w:szCs w:val="20"/>
        </w:rPr>
        <w:t xml:space="preserve"> – CSRD). Numri CELEX: 32022L2464, Fletorja Zyrtare e Bashkimit Evropian, OJ L 322, datë 16.12.2022, faqe 15–80;</w:t>
      </w:r>
    </w:p>
    <w:p w14:paraId="3AB1F5FD" w14:textId="77777777" w:rsidR="001004CA" w:rsidRPr="003456F4" w:rsidRDefault="001004CA" w:rsidP="00B7530A">
      <w:pPr>
        <w:spacing w:after="0" w:line="240" w:lineRule="auto"/>
        <w:jc w:val="both"/>
        <w:rPr>
          <w:rFonts w:ascii="Garamond" w:hAnsi="Garamond" w:cs="Times New Roman"/>
          <w:color w:val="000000" w:themeColor="text1"/>
          <w:sz w:val="20"/>
          <w:szCs w:val="20"/>
        </w:rPr>
      </w:pPr>
      <w:r w:rsidRPr="003456F4">
        <w:rPr>
          <w:rFonts w:ascii="Garamond" w:hAnsi="Garamond" w:cs="Times New Roman"/>
          <w:color w:val="000000" w:themeColor="text1"/>
          <w:sz w:val="20"/>
          <w:szCs w:val="20"/>
        </w:rPr>
        <w:t>Direktivën e Deleguar (BE) 2023/2775 të Komisionit, datë 17 tetor 2023, që ndryshon Direktivën 2013/34/BE të Parlamentit Evropian dhe të Këshillit për sa i përket përshtatjes së kritereve të madhësisë për mikro, ndërmarrjet e vogla, të mesme dhe të mëdha ose grupet. Numri CELEX: 32023L2775, Fletorja Zyrtare e Bashkimit Evropian, OJ L 2023/2775, datë 21.12.2023;</w:t>
      </w:r>
    </w:p>
    <w:p w14:paraId="5836CF9D" w14:textId="77777777" w:rsidR="001004CA" w:rsidRPr="003456F4" w:rsidRDefault="001004CA" w:rsidP="00B7530A">
      <w:pPr>
        <w:spacing w:after="0" w:line="240" w:lineRule="auto"/>
        <w:jc w:val="both"/>
        <w:rPr>
          <w:rFonts w:ascii="Garamond" w:hAnsi="Garamond" w:cs="Times New Roman"/>
          <w:color w:val="000000" w:themeColor="text1"/>
          <w:sz w:val="20"/>
          <w:szCs w:val="20"/>
        </w:rPr>
      </w:pPr>
      <w:r w:rsidRPr="003456F4">
        <w:rPr>
          <w:rFonts w:ascii="Garamond" w:hAnsi="Garamond" w:cs="Times New Roman"/>
          <w:color w:val="000000" w:themeColor="text1"/>
          <w:sz w:val="20"/>
          <w:szCs w:val="20"/>
        </w:rPr>
        <w:t>Rregulloren (KE) nr. 1606/2002 të Parlamentit Evropian dhe të Këshillit, datë 19 korrik 2002, për zbatimin e standardeve ndërkombëtare të kontabilitetit. Numri CELEX: 32002R1606, Fletorja Zyrtare e Bashkimit Evropian, OJ L 243, datë 11.9.2002, faqe 1–4;</w:t>
      </w:r>
    </w:p>
    <w:p w14:paraId="3AB48B16" w14:textId="49C798AB" w:rsidR="001004CA" w:rsidRPr="003456F4" w:rsidRDefault="001004CA" w:rsidP="00B7530A">
      <w:pPr>
        <w:widowControl w:val="0"/>
        <w:autoSpaceDE w:val="0"/>
        <w:autoSpaceDN w:val="0"/>
        <w:spacing w:after="0" w:line="240" w:lineRule="auto"/>
        <w:jc w:val="both"/>
        <w:rPr>
          <w:rFonts w:ascii="Garamond" w:eastAsia="Times New Roman" w:hAnsi="Garamond" w:cs="Times New Roman"/>
          <w:color w:val="1F1F1F"/>
          <w:sz w:val="20"/>
          <w:szCs w:val="20"/>
        </w:rPr>
      </w:pPr>
      <w:r w:rsidRPr="003456F4">
        <w:rPr>
          <w:rFonts w:ascii="Garamond" w:hAnsi="Garamond" w:cs="Times New Roman"/>
          <w:color w:val="000000" w:themeColor="text1"/>
          <w:sz w:val="20"/>
          <w:szCs w:val="20"/>
        </w:rPr>
        <w:t xml:space="preserve">Direktivën (BE) 2026/470 të Parlamentit Evropian dhe të Këshillit, datë 24 shkurt 2026, që ndryshon Direktivat 2006/43/KE, 2013/34/BE, (BE) 2022/2464 dhe (BE) 2024/1760 për sa u përket </w:t>
      </w:r>
      <w:r w:rsidRPr="003456F4">
        <w:rPr>
          <w:rFonts w:ascii="Garamond" w:hAnsi="Garamond" w:cs="Times New Roman"/>
          <w:color w:val="1F1F1F"/>
          <w:sz w:val="20"/>
          <w:szCs w:val="20"/>
        </w:rPr>
        <w:t>disa kërkesave për raportimin e qëndrueshmërisë së korporatave dhe disa kërkesave për kujdesin e duhur të korporatave në fushën e qëndrueshmërisë. Numri CELEX: 32026L0470, Fletorja Zyrtare e Bashkimit Evropian, OJ L 2026/470, datë 26.2.2026</w:t>
      </w:r>
      <w:r w:rsidRPr="003456F4">
        <w:rPr>
          <w:rFonts w:ascii="Garamond" w:hAnsi="Garamond" w:cs="Times New Roman"/>
          <w:sz w:val="20"/>
          <w:szCs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8C80A11"/>
    <w:multiLevelType w:val="hybridMultilevel"/>
    <w:tmpl w:val="894C9FAE"/>
    <w:lvl w:ilvl="0" w:tplc="3F949B26">
      <w:start w:val="2"/>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 w15:restartNumberingAfterBreak="0">
    <w:nsid w:val="243709E3"/>
    <w:multiLevelType w:val="hybridMultilevel"/>
    <w:tmpl w:val="807A2FCA"/>
    <w:lvl w:ilvl="0" w:tplc="DC8EF32A">
      <w:start w:val="1"/>
      <w:numFmt w:val="lowerLetter"/>
      <w:lvlText w:val="%1)"/>
      <w:lvlJc w:val="left"/>
      <w:pPr>
        <w:ind w:left="450" w:hanging="360"/>
      </w:pPr>
      <w:rPr>
        <w:rFonts w:hint="default"/>
        <w:b/>
        <w:bCs/>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 w15:restartNumberingAfterBreak="0">
    <w:nsid w:val="2C6B2FEE"/>
    <w:multiLevelType w:val="hybridMultilevel"/>
    <w:tmpl w:val="D8A003C8"/>
    <w:lvl w:ilvl="0" w:tplc="FCA4D570">
      <w:numFmt w:val="bullet"/>
      <w:lvlText w:val="-"/>
      <w:lvlJc w:val="left"/>
      <w:pPr>
        <w:ind w:left="720" w:hanging="360"/>
      </w:pPr>
      <w:rPr>
        <w:rFonts w:ascii="Times New Roman" w:eastAsia="Noto Serif CJK S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114E3E"/>
    <w:multiLevelType w:val="hybridMultilevel"/>
    <w:tmpl w:val="0D0C033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33D4B7A"/>
    <w:multiLevelType w:val="hybridMultilevel"/>
    <w:tmpl w:val="995600C4"/>
    <w:lvl w:ilvl="0" w:tplc="A0FC5BF0">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9"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0" w15:restartNumberingAfterBreak="0">
    <w:nsid w:val="4E252A0B"/>
    <w:multiLevelType w:val="hybridMultilevel"/>
    <w:tmpl w:val="501CAA62"/>
    <w:lvl w:ilvl="0" w:tplc="0409000B">
      <w:start w:val="1"/>
      <w:numFmt w:val="bullet"/>
      <w:lvlText w:val=""/>
      <w:lvlJc w:val="left"/>
      <w:pPr>
        <w:ind w:left="360" w:hanging="360"/>
      </w:pPr>
      <w:rPr>
        <w:rFonts w:ascii="Wingdings" w:hAnsi="Wingding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5C3E8D"/>
    <w:multiLevelType w:val="multilevel"/>
    <w:tmpl w:val="C3AC3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5"/>
  </w:num>
  <w:num w:numId="4">
    <w:abstractNumId w:val="6"/>
  </w:num>
  <w:num w:numId="5">
    <w:abstractNumId w:val="9"/>
  </w:num>
  <w:num w:numId="6">
    <w:abstractNumId w:val="11"/>
  </w:num>
  <w:num w:numId="7">
    <w:abstractNumId w:val="4"/>
  </w:num>
  <w:num w:numId="8">
    <w:abstractNumId w:val="8"/>
  </w:num>
  <w:num w:numId="9">
    <w:abstractNumId w:val="1"/>
  </w:num>
  <w:num w:numId="10">
    <w:abstractNumId w:val="7"/>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3A48"/>
    <w:rsid w:val="00005CCE"/>
    <w:rsid w:val="00011558"/>
    <w:rsid w:val="000115A2"/>
    <w:rsid w:val="000137D6"/>
    <w:rsid w:val="000141A5"/>
    <w:rsid w:val="00015405"/>
    <w:rsid w:val="0001561C"/>
    <w:rsid w:val="00024790"/>
    <w:rsid w:val="00026148"/>
    <w:rsid w:val="00033C36"/>
    <w:rsid w:val="00033E73"/>
    <w:rsid w:val="00037694"/>
    <w:rsid w:val="00037962"/>
    <w:rsid w:val="00040D8C"/>
    <w:rsid w:val="00041659"/>
    <w:rsid w:val="00041671"/>
    <w:rsid w:val="00042C20"/>
    <w:rsid w:val="00043C57"/>
    <w:rsid w:val="000466EE"/>
    <w:rsid w:val="000514F1"/>
    <w:rsid w:val="000518D6"/>
    <w:rsid w:val="000528BB"/>
    <w:rsid w:val="00054966"/>
    <w:rsid w:val="00055AB5"/>
    <w:rsid w:val="00056762"/>
    <w:rsid w:val="00060312"/>
    <w:rsid w:val="00060376"/>
    <w:rsid w:val="00072080"/>
    <w:rsid w:val="000765C2"/>
    <w:rsid w:val="00082266"/>
    <w:rsid w:val="00085424"/>
    <w:rsid w:val="00085462"/>
    <w:rsid w:val="00090E29"/>
    <w:rsid w:val="00090F3B"/>
    <w:rsid w:val="00091A46"/>
    <w:rsid w:val="0009415D"/>
    <w:rsid w:val="00094DBC"/>
    <w:rsid w:val="00096985"/>
    <w:rsid w:val="00096F02"/>
    <w:rsid w:val="00097617"/>
    <w:rsid w:val="000A0160"/>
    <w:rsid w:val="000A08A2"/>
    <w:rsid w:val="000A1E47"/>
    <w:rsid w:val="000A3B4D"/>
    <w:rsid w:val="000A3FDE"/>
    <w:rsid w:val="000A6B3D"/>
    <w:rsid w:val="000B1E62"/>
    <w:rsid w:val="000B3F8E"/>
    <w:rsid w:val="000B5AFE"/>
    <w:rsid w:val="000C438F"/>
    <w:rsid w:val="000D199E"/>
    <w:rsid w:val="000D1AC4"/>
    <w:rsid w:val="000E268C"/>
    <w:rsid w:val="000E32F6"/>
    <w:rsid w:val="000E4273"/>
    <w:rsid w:val="000E4CA8"/>
    <w:rsid w:val="000E5BA6"/>
    <w:rsid w:val="000E7046"/>
    <w:rsid w:val="000F482E"/>
    <w:rsid w:val="000F67DB"/>
    <w:rsid w:val="001004CA"/>
    <w:rsid w:val="00101017"/>
    <w:rsid w:val="00103828"/>
    <w:rsid w:val="001066CD"/>
    <w:rsid w:val="00106E50"/>
    <w:rsid w:val="00106F6D"/>
    <w:rsid w:val="00111ECA"/>
    <w:rsid w:val="0011415C"/>
    <w:rsid w:val="001155E0"/>
    <w:rsid w:val="0011684B"/>
    <w:rsid w:val="00117D28"/>
    <w:rsid w:val="001212B0"/>
    <w:rsid w:val="00121E29"/>
    <w:rsid w:val="00122268"/>
    <w:rsid w:val="00122D1F"/>
    <w:rsid w:val="0012550D"/>
    <w:rsid w:val="001268E9"/>
    <w:rsid w:val="00130958"/>
    <w:rsid w:val="00132CEC"/>
    <w:rsid w:val="00133B7F"/>
    <w:rsid w:val="0013569A"/>
    <w:rsid w:val="00135A36"/>
    <w:rsid w:val="00135E96"/>
    <w:rsid w:val="00136EC9"/>
    <w:rsid w:val="00140E6B"/>
    <w:rsid w:val="00143DC2"/>
    <w:rsid w:val="00146A7A"/>
    <w:rsid w:val="00146D52"/>
    <w:rsid w:val="001509A6"/>
    <w:rsid w:val="00152F24"/>
    <w:rsid w:val="00153559"/>
    <w:rsid w:val="00153CC5"/>
    <w:rsid w:val="00154CFD"/>
    <w:rsid w:val="0015512C"/>
    <w:rsid w:val="001551CE"/>
    <w:rsid w:val="00155BCF"/>
    <w:rsid w:val="00155EBC"/>
    <w:rsid w:val="00163579"/>
    <w:rsid w:val="0016586C"/>
    <w:rsid w:val="00166272"/>
    <w:rsid w:val="00166898"/>
    <w:rsid w:val="00166ACA"/>
    <w:rsid w:val="00167D1D"/>
    <w:rsid w:val="001728AA"/>
    <w:rsid w:val="00172D4F"/>
    <w:rsid w:val="001736AF"/>
    <w:rsid w:val="00176471"/>
    <w:rsid w:val="001816AF"/>
    <w:rsid w:val="00183B69"/>
    <w:rsid w:val="00187492"/>
    <w:rsid w:val="00187A2D"/>
    <w:rsid w:val="00191A00"/>
    <w:rsid w:val="001942D4"/>
    <w:rsid w:val="001960B2"/>
    <w:rsid w:val="001A1919"/>
    <w:rsid w:val="001A2066"/>
    <w:rsid w:val="001A2945"/>
    <w:rsid w:val="001A2C14"/>
    <w:rsid w:val="001B0D78"/>
    <w:rsid w:val="001B2638"/>
    <w:rsid w:val="001B796E"/>
    <w:rsid w:val="001C0806"/>
    <w:rsid w:val="001C15FE"/>
    <w:rsid w:val="001C19FD"/>
    <w:rsid w:val="001C1A1A"/>
    <w:rsid w:val="001C1E51"/>
    <w:rsid w:val="001C2335"/>
    <w:rsid w:val="001C445C"/>
    <w:rsid w:val="001C5CDE"/>
    <w:rsid w:val="001C6A0A"/>
    <w:rsid w:val="001C7EC0"/>
    <w:rsid w:val="001D1BDE"/>
    <w:rsid w:val="001D2895"/>
    <w:rsid w:val="001D31EB"/>
    <w:rsid w:val="001D3B4F"/>
    <w:rsid w:val="001D4E55"/>
    <w:rsid w:val="001D77D6"/>
    <w:rsid w:val="001D7939"/>
    <w:rsid w:val="001E4400"/>
    <w:rsid w:val="001E58F9"/>
    <w:rsid w:val="001E7876"/>
    <w:rsid w:val="001F194A"/>
    <w:rsid w:val="001F676C"/>
    <w:rsid w:val="001F78C3"/>
    <w:rsid w:val="001F797D"/>
    <w:rsid w:val="0020004E"/>
    <w:rsid w:val="002009A1"/>
    <w:rsid w:val="00200D3D"/>
    <w:rsid w:val="0020160E"/>
    <w:rsid w:val="0020170B"/>
    <w:rsid w:val="00204052"/>
    <w:rsid w:val="002044B0"/>
    <w:rsid w:val="0020507F"/>
    <w:rsid w:val="0020603B"/>
    <w:rsid w:val="002101FE"/>
    <w:rsid w:val="00212E52"/>
    <w:rsid w:val="00213234"/>
    <w:rsid w:val="002133ED"/>
    <w:rsid w:val="00214854"/>
    <w:rsid w:val="0021715D"/>
    <w:rsid w:val="00217DA0"/>
    <w:rsid w:val="00221AA4"/>
    <w:rsid w:val="00221AAC"/>
    <w:rsid w:val="00222588"/>
    <w:rsid w:val="00223BC9"/>
    <w:rsid w:val="00223F53"/>
    <w:rsid w:val="00224329"/>
    <w:rsid w:val="00225D0F"/>
    <w:rsid w:val="00225DD1"/>
    <w:rsid w:val="00232CDE"/>
    <w:rsid w:val="00233280"/>
    <w:rsid w:val="00234BD8"/>
    <w:rsid w:val="0023769F"/>
    <w:rsid w:val="00240C54"/>
    <w:rsid w:val="0024206A"/>
    <w:rsid w:val="00243B60"/>
    <w:rsid w:val="00246B1A"/>
    <w:rsid w:val="0024777C"/>
    <w:rsid w:val="00247DF1"/>
    <w:rsid w:val="00250F7F"/>
    <w:rsid w:val="00251245"/>
    <w:rsid w:val="00251875"/>
    <w:rsid w:val="00252CF0"/>
    <w:rsid w:val="0025735E"/>
    <w:rsid w:val="00260E70"/>
    <w:rsid w:val="002645B6"/>
    <w:rsid w:val="00264FD5"/>
    <w:rsid w:val="00266C06"/>
    <w:rsid w:val="00267E57"/>
    <w:rsid w:val="0027350F"/>
    <w:rsid w:val="00273BC3"/>
    <w:rsid w:val="00274D4C"/>
    <w:rsid w:val="002753F6"/>
    <w:rsid w:val="0027544C"/>
    <w:rsid w:val="002773E8"/>
    <w:rsid w:val="00277C89"/>
    <w:rsid w:val="00280456"/>
    <w:rsid w:val="002813BF"/>
    <w:rsid w:val="00282145"/>
    <w:rsid w:val="00284AC7"/>
    <w:rsid w:val="00292452"/>
    <w:rsid w:val="00293A6F"/>
    <w:rsid w:val="00294FCA"/>
    <w:rsid w:val="00296ECC"/>
    <w:rsid w:val="002A0C1D"/>
    <w:rsid w:val="002A47D7"/>
    <w:rsid w:val="002A618D"/>
    <w:rsid w:val="002B0BAF"/>
    <w:rsid w:val="002B27F2"/>
    <w:rsid w:val="002B5575"/>
    <w:rsid w:val="002B6DDE"/>
    <w:rsid w:val="002C13BA"/>
    <w:rsid w:val="002C4562"/>
    <w:rsid w:val="002C7626"/>
    <w:rsid w:val="002C7D02"/>
    <w:rsid w:val="002D007F"/>
    <w:rsid w:val="002D201C"/>
    <w:rsid w:val="002D3DB1"/>
    <w:rsid w:val="002D4309"/>
    <w:rsid w:val="002D5F14"/>
    <w:rsid w:val="002E0FFB"/>
    <w:rsid w:val="002E2079"/>
    <w:rsid w:val="002E4404"/>
    <w:rsid w:val="002E5221"/>
    <w:rsid w:val="002E5ECB"/>
    <w:rsid w:val="002F000B"/>
    <w:rsid w:val="002F1C5B"/>
    <w:rsid w:val="002F5953"/>
    <w:rsid w:val="002F5F81"/>
    <w:rsid w:val="002F7AA6"/>
    <w:rsid w:val="00300CDA"/>
    <w:rsid w:val="00301305"/>
    <w:rsid w:val="0030276C"/>
    <w:rsid w:val="00307552"/>
    <w:rsid w:val="0031187E"/>
    <w:rsid w:val="003161F0"/>
    <w:rsid w:val="003168B3"/>
    <w:rsid w:val="00320D65"/>
    <w:rsid w:val="00321185"/>
    <w:rsid w:val="00323264"/>
    <w:rsid w:val="003248D9"/>
    <w:rsid w:val="00325554"/>
    <w:rsid w:val="00327935"/>
    <w:rsid w:val="003305E1"/>
    <w:rsid w:val="003333CC"/>
    <w:rsid w:val="003347F5"/>
    <w:rsid w:val="00334C61"/>
    <w:rsid w:val="0033513E"/>
    <w:rsid w:val="00336EED"/>
    <w:rsid w:val="00337401"/>
    <w:rsid w:val="003403C8"/>
    <w:rsid w:val="00340CB6"/>
    <w:rsid w:val="00342C89"/>
    <w:rsid w:val="0034449E"/>
    <w:rsid w:val="003456F4"/>
    <w:rsid w:val="00345A72"/>
    <w:rsid w:val="003547D6"/>
    <w:rsid w:val="0035745C"/>
    <w:rsid w:val="0035762C"/>
    <w:rsid w:val="00360A25"/>
    <w:rsid w:val="00360BA9"/>
    <w:rsid w:val="00363075"/>
    <w:rsid w:val="00363979"/>
    <w:rsid w:val="00365BF7"/>
    <w:rsid w:val="0036660E"/>
    <w:rsid w:val="003706C5"/>
    <w:rsid w:val="00370EE8"/>
    <w:rsid w:val="003745EF"/>
    <w:rsid w:val="00375597"/>
    <w:rsid w:val="003763EB"/>
    <w:rsid w:val="0038331D"/>
    <w:rsid w:val="00384A66"/>
    <w:rsid w:val="00386133"/>
    <w:rsid w:val="00391BCE"/>
    <w:rsid w:val="003938EC"/>
    <w:rsid w:val="0039407D"/>
    <w:rsid w:val="00394777"/>
    <w:rsid w:val="00395396"/>
    <w:rsid w:val="003953EE"/>
    <w:rsid w:val="003966DD"/>
    <w:rsid w:val="00397541"/>
    <w:rsid w:val="00397F37"/>
    <w:rsid w:val="003A135F"/>
    <w:rsid w:val="003A38DC"/>
    <w:rsid w:val="003A4DE7"/>
    <w:rsid w:val="003A60F3"/>
    <w:rsid w:val="003A63A5"/>
    <w:rsid w:val="003B12A7"/>
    <w:rsid w:val="003B5581"/>
    <w:rsid w:val="003B683D"/>
    <w:rsid w:val="003C118D"/>
    <w:rsid w:val="003C39E3"/>
    <w:rsid w:val="003C400C"/>
    <w:rsid w:val="003C48FF"/>
    <w:rsid w:val="003C5FE5"/>
    <w:rsid w:val="003D0E7F"/>
    <w:rsid w:val="003D17E1"/>
    <w:rsid w:val="003D26D4"/>
    <w:rsid w:val="003D36E6"/>
    <w:rsid w:val="003D5049"/>
    <w:rsid w:val="003D562C"/>
    <w:rsid w:val="003D59B2"/>
    <w:rsid w:val="003D5ED0"/>
    <w:rsid w:val="003E72F7"/>
    <w:rsid w:val="003E7F43"/>
    <w:rsid w:val="003F139E"/>
    <w:rsid w:val="003F27FD"/>
    <w:rsid w:val="003F282B"/>
    <w:rsid w:val="003F29A8"/>
    <w:rsid w:val="003F398D"/>
    <w:rsid w:val="003F39B8"/>
    <w:rsid w:val="00400340"/>
    <w:rsid w:val="0040042E"/>
    <w:rsid w:val="00403430"/>
    <w:rsid w:val="00403A89"/>
    <w:rsid w:val="00403B7A"/>
    <w:rsid w:val="00412FAE"/>
    <w:rsid w:val="0041300C"/>
    <w:rsid w:val="00420682"/>
    <w:rsid w:val="004269AF"/>
    <w:rsid w:val="00433BCD"/>
    <w:rsid w:val="004357FF"/>
    <w:rsid w:val="00436717"/>
    <w:rsid w:val="00436C9C"/>
    <w:rsid w:val="00437B33"/>
    <w:rsid w:val="00441667"/>
    <w:rsid w:val="00445610"/>
    <w:rsid w:val="004463B4"/>
    <w:rsid w:val="00446CCC"/>
    <w:rsid w:val="00452A10"/>
    <w:rsid w:val="0045538C"/>
    <w:rsid w:val="004555DB"/>
    <w:rsid w:val="00455BBA"/>
    <w:rsid w:val="00460BC4"/>
    <w:rsid w:val="004647DB"/>
    <w:rsid w:val="00470DA5"/>
    <w:rsid w:val="00471609"/>
    <w:rsid w:val="004771A5"/>
    <w:rsid w:val="00477804"/>
    <w:rsid w:val="00482F26"/>
    <w:rsid w:val="0048341A"/>
    <w:rsid w:val="00484922"/>
    <w:rsid w:val="004866A8"/>
    <w:rsid w:val="00486954"/>
    <w:rsid w:val="00491787"/>
    <w:rsid w:val="00492BFD"/>
    <w:rsid w:val="004942B5"/>
    <w:rsid w:val="00494634"/>
    <w:rsid w:val="00496497"/>
    <w:rsid w:val="004A1D10"/>
    <w:rsid w:val="004A2182"/>
    <w:rsid w:val="004A3756"/>
    <w:rsid w:val="004A5884"/>
    <w:rsid w:val="004A5ABA"/>
    <w:rsid w:val="004A5DE6"/>
    <w:rsid w:val="004B12D2"/>
    <w:rsid w:val="004B5EEC"/>
    <w:rsid w:val="004B6ED9"/>
    <w:rsid w:val="004C20B0"/>
    <w:rsid w:val="004C2DFD"/>
    <w:rsid w:val="004C4347"/>
    <w:rsid w:val="004C67EE"/>
    <w:rsid w:val="004D1E30"/>
    <w:rsid w:val="004D3CFC"/>
    <w:rsid w:val="004D6DAE"/>
    <w:rsid w:val="004D74A9"/>
    <w:rsid w:val="004D7D14"/>
    <w:rsid w:val="004E03F1"/>
    <w:rsid w:val="004E047E"/>
    <w:rsid w:val="004E0701"/>
    <w:rsid w:val="004E0CFF"/>
    <w:rsid w:val="004E1C0F"/>
    <w:rsid w:val="004E2713"/>
    <w:rsid w:val="004E48D1"/>
    <w:rsid w:val="004E62D6"/>
    <w:rsid w:val="004E7290"/>
    <w:rsid w:val="004E7E53"/>
    <w:rsid w:val="004F1289"/>
    <w:rsid w:val="004F446C"/>
    <w:rsid w:val="004F447A"/>
    <w:rsid w:val="004F536D"/>
    <w:rsid w:val="004F588F"/>
    <w:rsid w:val="004F59E8"/>
    <w:rsid w:val="004F6C05"/>
    <w:rsid w:val="004F7030"/>
    <w:rsid w:val="0050203D"/>
    <w:rsid w:val="005061B5"/>
    <w:rsid w:val="005110B5"/>
    <w:rsid w:val="00513E1E"/>
    <w:rsid w:val="00513F13"/>
    <w:rsid w:val="0051568A"/>
    <w:rsid w:val="00515AC6"/>
    <w:rsid w:val="005201B5"/>
    <w:rsid w:val="0052203F"/>
    <w:rsid w:val="00522FFB"/>
    <w:rsid w:val="00524C4C"/>
    <w:rsid w:val="00525EC9"/>
    <w:rsid w:val="0052693D"/>
    <w:rsid w:val="00531970"/>
    <w:rsid w:val="00531A97"/>
    <w:rsid w:val="00533AC7"/>
    <w:rsid w:val="00535BD8"/>
    <w:rsid w:val="00536F06"/>
    <w:rsid w:val="00540FC0"/>
    <w:rsid w:val="00541D87"/>
    <w:rsid w:val="00542102"/>
    <w:rsid w:val="0054435D"/>
    <w:rsid w:val="00550FA3"/>
    <w:rsid w:val="0055157E"/>
    <w:rsid w:val="00552AF2"/>
    <w:rsid w:val="0055498A"/>
    <w:rsid w:val="00554CC5"/>
    <w:rsid w:val="0055575B"/>
    <w:rsid w:val="0055587B"/>
    <w:rsid w:val="00556AD2"/>
    <w:rsid w:val="0055707F"/>
    <w:rsid w:val="00560AB1"/>
    <w:rsid w:val="005619E8"/>
    <w:rsid w:val="00563A04"/>
    <w:rsid w:val="0056449C"/>
    <w:rsid w:val="005661F9"/>
    <w:rsid w:val="0056658E"/>
    <w:rsid w:val="0057022D"/>
    <w:rsid w:val="0057053A"/>
    <w:rsid w:val="00570DA2"/>
    <w:rsid w:val="005726F2"/>
    <w:rsid w:val="00572B09"/>
    <w:rsid w:val="00573EE3"/>
    <w:rsid w:val="005741BF"/>
    <w:rsid w:val="0057485A"/>
    <w:rsid w:val="00575ADC"/>
    <w:rsid w:val="005767F6"/>
    <w:rsid w:val="00577D84"/>
    <w:rsid w:val="00580906"/>
    <w:rsid w:val="00584083"/>
    <w:rsid w:val="005841D1"/>
    <w:rsid w:val="00586F05"/>
    <w:rsid w:val="005908D6"/>
    <w:rsid w:val="00591503"/>
    <w:rsid w:val="00591896"/>
    <w:rsid w:val="00591A3B"/>
    <w:rsid w:val="0059248B"/>
    <w:rsid w:val="0059341A"/>
    <w:rsid w:val="0059342C"/>
    <w:rsid w:val="00594C1D"/>
    <w:rsid w:val="00596BF3"/>
    <w:rsid w:val="005A0D53"/>
    <w:rsid w:val="005A380F"/>
    <w:rsid w:val="005A3842"/>
    <w:rsid w:val="005A4131"/>
    <w:rsid w:val="005A46A7"/>
    <w:rsid w:val="005A4B71"/>
    <w:rsid w:val="005A7379"/>
    <w:rsid w:val="005B1D69"/>
    <w:rsid w:val="005B5423"/>
    <w:rsid w:val="005B5E26"/>
    <w:rsid w:val="005B68CF"/>
    <w:rsid w:val="005B6E3F"/>
    <w:rsid w:val="005C0AA1"/>
    <w:rsid w:val="005C1F7E"/>
    <w:rsid w:val="005C41D1"/>
    <w:rsid w:val="005C51B7"/>
    <w:rsid w:val="005C52AF"/>
    <w:rsid w:val="005D05F3"/>
    <w:rsid w:val="005D15D9"/>
    <w:rsid w:val="005D5642"/>
    <w:rsid w:val="005E686C"/>
    <w:rsid w:val="005E7D52"/>
    <w:rsid w:val="005F00A8"/>
    <w:rsid w:val="005F010E"/>
    <w:rsid w:val="005F183C"/>
    <w:rsid w:val="005F6A59"/>
    <w:rsid w:val="00600E61"/>
    <w:rsid w:val="00602136"/>
    <w:rsid w:val="00602362"/>
    <w:rsid w:val="00604931"/>
    <w:rsid w:val="0060535D"/>
    <w:rsid w:val="006066FA"/>
    <w:rsid w:val="00611181"/>
    <w:rsid w:val="0061141E"/>
    <w:rsid w:val="00612D5F"/>
    <w:rsid w:val="00614273"/>
    <w:rsid w:val="0062077A"/>
    <w:rsid w:val="00621A17"/>
    <w:rsid w:val="00623F4C"/>
    <w:rsid w:val="00624857"/>
    <w:rsid w:val="0062490A"/>
    <w:rsid w:val="006312E7"/>
    <w:rsid w:val="00633214"/>
    <w:rsid w:val="0063535A"/>
    <w:rsid w:val="006409CD"/>
    <w:rsid w:val="006465EF"/>
    <w:rsid w:val="00646924"/>
    <w:rsid w:val="00647466"/>
    <w:rsid w:val="0065057A"/>
    <w:rsid w:val="00650FDD"/>
    <w:rsid w:val="00651D0E"/>
    <w:rsid w:val="00652D37"/>
    <w:rsid w:val="00654305"/>
    <w:rsid w:val="0066141E"/>
    <w:rsid w:val="00663243"/>
    <w:rsid w:val="006661CE"/>
    <w:rsid w:val="00670AA2"/>
    <w:rsid w:val="0067406E"/>
    <w:rsid w:val="00677E6C"/>
    <w:rsid w:val="00677F25"/>
    <w:rsid w:val="0068014D"/>
    <w:rsid w:val="00680596"/>
    <w:rsid w:val="00683998"/>
    <w:rsid w:val="00683C22"/>
    <w:rsid w:val="0068478A"/>
    <w:rsid w:val="00691408"/>
    <w:rsid w:val="00693B26"/>
    <w:rsid w:val="00694244"/>
    <w:rsid w:val="00694869"/>
    <w:rsid w:val="00696D19"/>
    <w:rsid w:val="006A2688"/>
    <w:rsid w:val="006B02FE"/>
    <w:rsid w:val="006B3074"/>
    <w:rsid w:val="006B3952"/>
    <w:rsid w:val="006B54A6"/>
    <w:rsid w:val="006C0490"/>
    <w:rsid w:val="006C2C78"/>
    <w:rsid w:val="006C35BB"/>
    <w:rsid w:val="006C3818"/>
    <w:rsid w:val="006C54E5"/>
    <w:rsid w:val="006C6D22"/>
    <w:rsid w:val="006C7476"/>
    <w:rsid w:val="006D41C9"/>
    <w:rsid w:val="006D5E9F"/>
    <w:rsid w:val="006D7505"/>
    <w:rsid w:val="006E44F5"/>
    <w:rsid w:val="006F4D55"/>
    <w:rsid w:val="006F5C30"/>
    <w:rsid w:val="006F5FC1"/>
    <w:rsid w:val="00702B0E"/>
    <w:rsid w:val="007031E5"/>
    <w:rsid w:val="00703E15"/>
    <w:rsid w:val="007042FA"/>
    <w:rsid w:val="00705BA3"/>
    <w:rsid w:val="00707B70"/>
    <w:rsid w:val="0071247D"/>
    <w:rsid w:val="00712886"/>
    <w:rsid w:val="007140D9"/>
    <w:rsid w:val="007165B5"/>
    <w:rsid w:val="007217C2"/>
    <w:rsid w:val="00722DC5"/>
    <w:rsid w:val="007243F1"/>
    <w:rsid w:val="00725D50"/>
    <w:rsid w:val="00726525"/>
    <w:rsid w:val="0073064D"/>
    <w:rsid w:val="00730DF9"/>
    <w:rsid w:val="0073160B"/>
    <w:rsid w:val="00733169"/>
    <w:rsid w:val="007336BF"/>
    <w:rsid w:val="00736DC8"/>
    <w:rsid w:val="00737A99"/>
    <w:rsid w:val="0074016F"/>
    <w:rsid w:val="007403CF"/>
    <w:rsid w:val="00740D48"/>
    <w:rsid w:val="00742442"/>
    <w:rsid w:val="0074390C"/>
    <w:rsid w:val="00743C68"/>
    <w:rsid w:val="0074460B"/>
    <w:rsid w:val="007449B9"/>
    <w:rsid w:val="00750246"/>
    <w:rsid w:val="00750685"/>
    <w:rsid w:val="00750AED"/>
    <w:rsid w:val="00750BE2"/>
    <w:rsid w:val="00755BCF"/>
    <w:rsid w:val="00755E27"/>
    <w:rsid w:val="00756AFD"/>
    <w:rsid w:val="00757DB3"/>
    <w:rsid w:val="00760420"/>
    <w:rsid w:val="0076056B"/>
    <w:rsid w:val="00760EF2"/>
    <w:rsid w:val="00761FEA"/>
    <w:rsid w:val="007654B3"/>
    <w:rsid w:val="00766A3F"/>
    <w:rsid w:val="00770CEF"/>
    <w:rsid w:val="00770FAD"/>
    <w:rsid w:val="00772C10"/>
    <w:rsid w:val="00774741"/>
    <w:rsid w:val="007748A2"/>
    <w:rsid w:val="007749AC"/>
    <w:rsid w:val="00775308"/>
    <w:rsid w:val="007763BA"/>
    <w:rsid w:val="007763FB"/>
    <w:rsid w:val="00781B37"/>
    <w:rsid w:val="00781CCC"/>
    <w:rsid w:val="0078321A"/>
    <w:rsid w:val="00783B0B"/>
    <w:rsid w:val="007855DC"/>
    <w:rsid w:val="00785EEE"/>
    <w:rsid w:val="0078794C"/>
    <w:rsid w:val="007912DB"/>
    <w:rsid w:val="0079144F"/>
    <w:rsid w:val="007934D0"/>
    <w:rsid w:val="00793B54"/>
    <w:rsid w:val="007A1622"/>
    <w:rsid w:val="007A2676"/>
    <w:rsid w:val="007A2A36"/>
    <w:rsid w:val="007A2E0E"/>
    <w:rsid w:val="007A460E"/>
    <w:rsid w:val="007A6507"/>
    <w:rsid w:val="007B4156"/>
    <w:rsid w:val="007C033F"/>
    <w:rsid w:val="007C083E"/>
    <w:rsid w:val="007C1501"/>
    <w:rsid w:val="007C1F37"/>
    <w:rsid w:val="007C61F3"/>
    <w:rsid w:val="007C6F8E"/>
    <w:rsid w:val="007C786E"/>
    <w:rsid w:val="007D0D92"/>
    <w:rsid w:val="007D31D2"/>
    <w:rsid w:val="007D4C47"/>
    <w:rsid w:val="007D6440"/>
    <w:rsid w:val="007D6AB5"/>
    <w:rsid w:val="007D742E"/>
    <w:rsid w:val="007D76F7"/>
    <w:rsid w:val="007E0959"/>
    <w:rsid w:val="007E199D"/>
    <w:rsid w:val="007E2515"/>
    <w:rsid w:val="007E46A6"/>
    <w:rsid w:val="007E47F1"/>
    <w:rsid w:val="007E4902"/>
    <w:rsid w:val="007E62A2"/>
    <w:rsid w:val="007E6D9E"/>
    <w:rsid w:val="007F2AAA"/>
    <w:rsid w:val="007F3890"/>
    <w:rsid w:val="007F3B8B"/>
    <w:rsid w:val="007F3D4E"/>
    <w:rsid w:val="007F46B2"/>
    <w:rsid w:val="007F5841"/>
    <w:rsid w:val="007F5CE0"/>
    <w:rsid w:val="007F6AE4"/>
    <w:rsid w:val="00801790"/>
    <w:rsid w:val="008030D2"/>
    <w:rsid w:val="00811138"/>
    <w:rsid w:val="00811AEA"/>
    <w:rsid w:val="0081405B"/>
    <w:rsid w:val="0081489E"/>
    <w:rsid w:val="00817347"/>
    <w:rsid w:val="00817643"/>
    <w:rsid w:val="008204F8"/>
    <w:rsid w:val="00820E26"/>
    <w:rsid w:val="00824399"/>
    <w:rsid w:val="008263CD"/>
    <w:rsid w:val="00826C69"/>
    <w:rsid w:val="00827374"/>
    <w:rsid w:val="0083165F"/>
    <w:rsid w:val="00832BD0"/>
    <w:rsid w:val="0083399A"/>
    <w:rsid w:val="00836200"/>
    <w:rsid w:val="008372DF"/>
    <w:rsid w:val="00837EAD"/>
    <w:rsid w:val="00840106"/>
    <w:rsid w:val="00840462"/>
    <w:rsid w:val="008420C3"/>
    <w:rsid w:val="008535CB"/>
    <w:rsid w:val="0085472C"/>
    <w:rsid w:val="00857D03"/>
    <w:rsid w:val="008620E4"/>
    <w:rsid w:val="008635A9"/>
    <w:rsid w:val="0086360A"/>
    <w:rsid w:val="00863E39"/>
    <w:rsid w:val="00865043"/>
    <w:rsid w:val="00871580"/>
    <w:rsid w:val="0087208B"/>
    <w:rsid w:val="008720AB"/>
    <w:rsid w:val="0087264B"/>
    <w:rsid w:val="0087468B"/>
    <w:rsid w:val="008759FC"/>
    <w:rsid w:val="008814EA"/>
    <w:rsid w:val="0088367C"/>
    <w:rsid w:val="00883D53"/>
    <w:rsid w:val="008849E7"/>
    <w:rsid w:val="00884D11"/>
    <w:rsid w:val="0088796B"/>
    <w:rsid w:val="00887E61"/>
    <w:rsid w:val="008914C1"/>
    <w:rsid w:val="00892C77"/>
    <w:rsid w:val="00896644"/>
    <w:rsid w:val="0089762F"/>
    <w:rsid w:val="008A0308"/>
    <w:rsid w:val="008A1646"/>
    <w:rsid w:val="008A1A4F"/>
    <w:rsid w:val="008A38AE"/>
    <w:rsid w:val="008A3C31"/>
    <w:rsid w:val="008A48E5"/>
    <w:rsid w:val="008B2B9A"/>
    <w:rsid w:val="008B2E33"/>
    <w:rsid w:val="008B3FAE"/>
    <w:rsid w:val="008B4553"/>
    <w:rsid w:val="008B4779"/>
    <w:rsid w:val="008B5252"/>
    <w:rsid w:val="008B5DAE"/>
    <w:rsid w:val="008C15C7"/>
    <w:rsid w:val="008C1C92"/>
    <w:rsid w:val="008C3427"/>
    <w:rsid w:val="008C706B"/>
    <w:rsid w:val="008D12D7"/>
    <w:rsid w:val="008D21AC"/>
    <w:rsid w:val="008D3FB7"/>
    <w:rsid w:val="008D4F14"/>
    <w:rsid w:val="008D6702"/>
    <w:rsid w:val="008D73A0"/>
    <w:rsid w:val="008E05C4"/>
    <w:rsid w:val="008E125A"/>
    <w:rsid w:val="008E3A74"/>
    <w:rsid w:val="008E5E4D"/>
    <w:rsid w:val="008E6042"/>
    <w:rsid w:val="008E7284"/>
    <w:rsid w:val="008E7793"/>
    <w:rsid w:val="008E7C0A"/>
    <w:rsid w:val="008F2010"/>
    <w:rsid w:val="008F20FF"/>
    <w:rsid w:val="008F3C8C"/>
    <w:rsid w:val="00900D7B"/>
    <w:rsid w:val="00902DCA"/>
    <w:rsid w:val="00903DE7"/>
    <w:rsid w:val="00904604"/>
    <w:rsid w:val="0090583C"/>
    <w:rsid w:val="009059DE"/>
    <w:rsid w:val="0091014E"/>
    <w:rsid w:val="009104DF"/>
    <w:rsid w:val="00913B11"/>
    <w:rsid w:val="009148E8"/>
    <w:rsid w:val="009149A6"/>
    <w:rsid w:val="00916892"/>
    <w:rsid w:val="00925F09"/>
    <w:rsid w:val="009278E4"/>
    <w:rsid w:val="009307FA"/>
    <w:rsid w:val="00931771"/>
    <w:rsid w:val="00932EA8"/>
    <w:rsid w:val="00934914"/>
    <w:rsid w:val="009363AF"/>
    <w:rsid w:val="009438AE"/>
    <w:rsid w:val="00944D6B"/>
    <w:rsid w:val="00945B92"/>
    <w:rsid w:val="00953519"/>
    <w:rsid w:val="00954632"/>
    <w:rsid w:val="0095497C"/>
    <w:rsid w:val="00954FD3"/>
    <w:rsid w:val="00957A39"/>
    <w:rsid w:val="00957B5F"/>
    <w:rsid w:val="0096096B"/>
    <w:rsid w:val="009622AC"/>
    <w:rsid w:val="00964128"/>
    <w:rsid w:val="0096575A"/>
    <w:rsid w:val="00970D95"/>
    <w:rsid w:val="009724A2"/>
    <w:rsid w:val="00974717"/>
    <w:rsid w:val="00975A48"/>
    <w:rsid w:val="00976934"/>
    <w:rsid w:val="00976A3C"/>
    <w:rsid w:val="00976B1C"/>
    <w:rsid w:val="00981485"/>
    <w:rsid w:val="00982548"/>
    <w:rsid w:val="00983F4A"/>
    <w:rsid w:val="009874B3"/>
    <w:rsid w:val="00991D86"/>
    <w:rsid w:val="00993777"/>
    <w:rsid w:val="00996306"/>
    <w:rsid w:val="0099741A"/>
    <w:rsid w:val="009A141F"/>
    <w:rsid w:val="009A2331"/>
    <w:rsid w:val="009A3F1C"/>
    <w:rsid w:val="009A4870"/>
    <w:rsid w:val="009A4E18"/>
    <w:rsid w:val="009A6F98"/>
    <w:rsid w:val="009A734D"/>
    <w:rsid w:val="009A789B"/>
    <w:rsid w:val="009B0604"/>
    <w:rsid w:val="009B1183"/>
    <w:rsid w:val="009B176A"/>
    <w:rsid w:val="009B61B1"/>
    <w:rsid w:val="009C0ABA"/>
    <w:rsid w:val="009C12D6"/>
    <w:rsid w:val="009C15C7"/>
    <w:rsid w:val="009C2FA2"/>
    <w:rsid w:val="009C456D"/>
    <w:rsid w:val="009C52A4"/>
    <w:rsid w:val="009D0930"/>
    <w:rsid w:val="009D36E7"/>
    <w:rsid w:val="009D5289"/>
    <w:rsid w:val="009D6A6E"/>
    <w:rsid w:val="009E259E"/>
    <w:rsid w:val="009F0D7C"/>
    <w:rsid w:val="009F5DE2"/>
    <w:rsid w:val="00A01F1A"/>
    <w:rsid w:val="00A02214"/>
    <w:rsid w:val="00A022FB"/>
    <w:rsid w:val="00A06D12"/>
    <w:rsid w:val="00A10B5D"/>
    <w:rsid w:val="00A15480"/>
    <w:rsid w:val="00A159CC"/>
    <w:rsid w:val="00A15DE9"/>
    <w:rsid w:val="00A23827"/>
    <w:rsid w:val="00A27B37"/>
    <w:rsid w:val="00A27C1F"/>
    <w:rsid w:val="00A32598"/>
    <w:rsid w:val="00A3335C"/>
    <w:rsid w:val="00A34D9D"/>
    <w:rsid w:val="00A35A3F"/>
    <w:rsid w:val="00A36786"/>
    <w:rsid w:val="00A40685"/>
    <w:rsid w:val="00A41CE5"/>
    <w:rsid w:val="00A42160"/>
    <w:rsid w:val="00A431DD"/>
    <w:rsid w:val="00A44A71"/>
    <w:rsid w:val="00A510CF"/>
    <w:rsid w:val="00A528C3"/>
    <w:rsid w:val="00A5415E"/>
    <w:rsid w:val="00A55211"/>
    <w:rsid w:val="00A561B4"/>
    <w:rsid w:val="00A645A6"/>
    <w:rsid w:val="00A7382D"/>
    <w:rsid w:val="00A73C36"/>
    <w:rsid w:val="00A75385"/>
    <w:rsid w:val="00A7761C"/>
    <w:rsid w:val="00A80851"/>
    <w:rsid w:val="00A962F5"/>
    <w:rsid w:val="00A97B73"/>
    <w:rsid w:val="00AA0D1D"/>
    <w:rsid w:val="00AA1E07"/>
    <w:rsid w:val="00AA1EA9"/>
    <w:rsid w:val="00AA32E0"/>
    <w:rsid w:val="00AA5367"/>
    <w:rsid w:val="00AA5459"/>
    <w:rsid w:val="00AA545E"/>
    <w:rsid w:val="00AA68DD"/>
    <w:rsid w:val="00AA71E0"/>
    <w:rsid w:val="00AA7433"/>
    <w:rsid w:val="00AB0AA8"/>
    <w:rsid w:val="00AB149D"/>
    <w:rsid w:val="00AB18EF"/>
    <w:rsid w:val="00AB1C04"/>
    <w:rsid w:val="00AB555A"/>
    <w:rsid w:val="00AB5B42"/>
    <w:rsid w:val="00AC1C45"/>
    <w:rsid w:val="00AC2686"/>
    <w:rsid w:val="00AD1072"/>
    <w:rsid w:val="00AD267D"/>
    <w:rsid w:val="00AD2AD0"/>
    <w:rsid w:val="00AD3D4C"/>
    <w:rsid w:val="00AD4C52"/>
    <w:rsid w:val="00AD502E"/>
    <w:rsid w:val="00AD5F0C"/>
    <w:rsid w:val="00AE5B81"/>
    <w:rsid w:val="00AE5CA3"/>
    <w:rsid w:val="00AF0CE9"/>
    <w:rsid w:val="00AF1C1D"/>
    <w:rsid w:val="00AF4010"/>
    <w:rsid w:val="00AF5D8E"/>
    <w:rsid w:val="00AF7836"/>
    <w:rsid w:val="00AF79BB"/>
    <w:rsid w:val="00AF7B78"/>
    <w:rsid w:val="00B025EE"/>
    <w:rsid w:val="00B03A16"/>
    <w:rsid w:val="00B05FAF"/>
    <w:rsid w:val="00B07961"/>
    <w:rsid w:val="00B07A20"/>
    <w:rsid w:val="00B12642"/>
    <w:rsid w:val="00B13CD5"/>
    <w:rsid w:val="00B14BBE"/>
    <w:rsid w:val="00B1659B"/>
    <w:rsid w:val="00B17529"/>
    <w:rsid w:val="00B22027"/>
    <w:rsid w:val="00B238ED"/>
    <w:rsid w:val="00B26672"/>
    <w:rsid w:val="00B2797E"/>
    <w:rsid w:val="00B3200A"/>
    <w:rsid w:val="00B40696"/>
    <w:rsid w:val="00B434F2"/>
    <w:rsid w:val="00B46B49"/>
    <w:rsid w:val="00B51B87"/>
    <w:rsid w:val="00B51F9D"/>
    <w:rsid w:val="00B53F92"/>
    <w:rsid w:val="00B54D96"/>
    <w:rsid w:val="00B60253"/>
    <w:rsid w:val="00B6099E"/>
    <w:rsid w:val="00B60C81"/>
    <w:rsid w:val="00B61804"/>
    <w:rsid w:val="00B6427E"/>
    <w:rsid w:val="00B653A7"/>
    <w:rsid w:val="00B67097"/>
    <w:rsid w:val="00B67778"/>
    <w:rsid w:val="00B67E49"/>
    <w:rsid w:val="00B71AC8"/>
    <w:rsid w:val="00B74D0C"/>
    <w:rsid w:val="00B7530A"/>
    <w:rsid w:val="00B82A58"/>
    <w:rsid w:val="00B8315C"/>
    <w:rsid w:val="00B85BF4"/>
    <w:rsid w:val="00B8668D"/>
    <w:rsid w:val="00B93C2A"/>
    <w:rsid w:val="00B93E76"/>
    <w:rsid w:val="00B958E5"/>
    <w:rsid w:val="00B9783F"/>
    <w:rsid w:val="00BA1706"/>
    <w:rsid w:val="00BA1CAD"/>
    <w:rsid w:val="00BA1E62"/>
    <w:rsid w:val="00BA24DF"/>
    <w:rsid w:val="00BA5571"/>
    <w:rsid w:val="00BA57F5"/>
    <w:rsid w:val="00BA7E1D"/>
    <w:rsid w:val="00BB15C8"/>
    <w:rsid w:val="00BB1755"/>
    <w:rsid w:val="00BB4D9B"/>
    <w:rsid w:val="00BB6F57"/>
    <w:rsid w:val="00BB73A5"/>
    <w:rsid w:val="00BB7854"/>
    <w:rsid w:val="00BC0B3B"/>
    <w:rsid w:val="00BC6E34"/>
    <w:rsid w:val="00BD4611"/>
    <w:rsid w:val="00BD625D"/>
    <w:rsid w:val="00BE1D51"/>
    <w:rsid w:val="00BE2A4B"/>
    <w:rsid w:val="00BE2D48"/>
    <w:rsid w:val="00BE4BA2"/>
    <w:rsid w:val="00BE5023"/>
    <w:rsid w:val="00BF2791"/>
    <w:rsid w:val="00BF2CD1"/>
    <w:rsid w:val="00C07AFB"/>
    <w:rsid w:val="00C1023D"/>
    <w:rsid w:val="00C10624"/>
    <w:rsid w:val="00C1082F"/>
    <w:rsid w:val="00C1546A"/>
    <w:rsid w:val="00C17A6D"/>
    <w:rsid w:val="00C238A5"/>
    <w:rsid w:val="00C23E2C"/>
    <w:rsid w:val="00C23F01"/>
    <w:rsid w:val="00C2402D"/>
    <w:rsid w:val="00C25CFC"/>
    <w:rsid w:val="00C31328"/>
    <w:rsid w:val="00C3153B"/>
    <w:rsid w:val="00C33585"/>
    <w:rsid w:val="00C40B28"/>
    <w:rsid w:val="00C4191B"/>
    <w:rsid w:val="00C446ED"/>
    <w:rsid w:val="00C449B5"/>
    <w:rsid w:val="00C4515C"/>
    <w:rsid w:val="00C5239D"/>
    <w:rsid w:val="00C52921"/>
    <w:rsid w:val="00C53EBB"/>
    <w:rsid w:val="00C60CAD"/>
    <w:rsid w:val="00C62374"/>
    <w:rsid w:val="00C64341"/>
    <w:rsid w:val="00C6446D"/>
    <w:rsid w:val="00C655D9"/>
    <w:rsid w:val="00C6573D"/>
    <w:rsid w:val="00C7035A"/>
    <w:rsid w:val="00C70AA0"/>
    <w:rsid w:val="00C70D94"/>
    <w:rsid w:val="00C71734"/>
    <w:rsid w:val="00C74B4C"/>
    <w:rsid w:val="00C74DD9"/>
    <w:rsid w:val="00C751AA"/>
    <w:rsid w:val="00C8373E"/>
    <w:rsid w:val="00C85453"/>
    <w:rsid w:val="00C857A6"/>
    <w:rsid w:val="00C85BBF"/>
    <w:rsid w:val="00C86CD9"/>
    <w:rsid w:val="00C90FD7"/>
    <w:rsid w:val="00C91492"/>
    <w:rsid w:val="00C925DC"/>
    <w:rsid w:val="00C92C5B"/>
    <w:rsid w:val="00C9312F"/>
    <w:rsid w:val="00C955AA"/>
    <w:rsid w:val="00C9749E"/>
    <w:rsid w:val="00CA0828"/>
    <w:rsid w:val="00CA449B"/>
    <w:rsid w:val="00CA7925"/>
    <w:rsid w:val="00CB0B77"/>
    <w:rsid w:val="00CB13A2"/>
    <w:rsid w:val="00CB1B8E"/>
    <w:rsid w:val="00CB71EE"/>
    <w:rsid w:val="00CB7990"/>
    <w:rsid w:val="00CC15A1"/>
    <w:rsid w:val="00CC2D43"/>
    <w:rsid w:val="00CC3491"/>
    <w:rsid w:val="00CC39BB"/>
    <w:rsid w:val="00CC63B6"/>
    <w:rsid w:val="00CC7027"/>
    <w:rsid w:val="00CC7CA2"/>
    <w:rsid w:val="00CD2BD6"/>
    <w:rsid w:val="00CD5705"/>
    <w:rsid w:val="00CE2478"/>
    <w:rsid w:val="00CE39A9"/>
    <w:rsid w:val="00CE42A7"/>
    <w:rsid w:val="00CE4E9C"/>
    <w:rsid w:val="00CE5517"/>
    <w:rsid w:val="00CE6334"/>
    <w:rsid w:val="00CF13E1"/>
    <w:rsid w:val="00CF5B26"/>
    <w:rsid w:val="00CF5BEB"/>
    <w:rsid w:val="00CF62B9"/>
    <w:rsid w:val="00CF6D0A"/>
    <w:rsid w:val="00CF7082"/>
    <w:rsid w:val="00CF79C8"/>
    <w:rsid w:val="00D017F8"/>
    <w:rsid w:val="00D127E2"/>
    <w:rsid w:val="00D12AD9"/>
    <w:rsid w:val="00D13FCF"/>
    <w:rsid w:val="00D21F9A"/>
    <w:rsid w:val="00D23C4B"/>
    <w:rsid w:val="00D24B56"/>
    <w:rsid w:val="00D3110D"/>
    <w:rsid w:val="00D33026"/>
    <w:rsid w:val="00D3489F"/>
    <w:rsid w:val="00D3649D"/>
    <w:rsid w:val="00D4036B"/>
    <w:rsid w:val="00D41916"/>
    <w:rsid w:val="00D45AC2"/>
    <w:rsid w:val="00D45F60"/>
    <w:rsid w:val="00D461C2"/>
    <w:rsid w:val="00D508D1"/>
    <w:rsid w:val="00D50A39"/>
    <w:rsid w:val="00D50CA0"/>
    <w:rsid w:val="00D51772"/>
    <w:rsid w:val="00D521BF"/>
    <w:rsid w:val="00D52992"/>
    <w:rsid w:val="00D560BF"/>
    <w:rsid w:val="00D5660B"/>
    <w:rsid w:val="00D56C48"/>
    <w:rsid w:val="00D60C6B"/>
    <w:rsid w:val="00D6142C"/>
    <w:rsid w:val="00D62085"/>
    <w:rsid w:val="00D6674F"/>
    <w:rsid w:val="00D749E5"/>
    <w:rsid w:val="00D77F1A"/>
    <w:rsid w:val="00D80CA8"/>
    <w:rsid w:val="00D8688C"/>
    <w:rsid w:val="00D87B52"/>
    <w:rsid w:val="00D958C1"/>
    <w:rsid w:val="00D96C4B"/>
    <w:rsid w:val="00D97FF2"/>
    <w:rsid w:val="00DA2B84"/>
    <w:rsid w:val="00DA33D4"/>
    <w:rsid w:val="00DA56D4"/>
    <w:rsid w:val="00DA56F4"/>
    <w:rsid w:val="00DA72AD"/>
    <w:rsid w:val="00DB5847"/>
    <w:rsid w:val="00DC03DB"/>
    <w:rsid w:val="00DC0BDC"/>
    <w:rsid w:val="00DC1137"/>
    <w:rsid w:val="00DC34E0"/>
    <w:rsid w:val="00DD1F03"/>
    <w:rsid w:val="00DD3860"/>
    <w:rsid w:val="00DD3F16"/>
    <w:rsid w:val="00DD492E"/>
    <w:rsid w:val="00DD5663"/>
    <w:rsid w:val="00DD596F"/>
    <w:rsid w:val="00DD7DEF"/>
    <w:rsid w:val="00DE163B"/>
    <w:rsid w:val="00DE1DC8"/>
    <w:rsid w:val="00DE573A"/>
    <w:rsid w:val="00DE7915"/>
    <w:rsid w:val="00DE793A"/>
    <w:rsid w:val="00DF07E6"/>
    <w:rsid w:val="00DF2019"/>
    <w:rsid w:val="00DF295D"/>
    <w:rsid w:val="00DF394D"/>
    <w:rsid w:val="00DF4E54"/>
    <w:rsid w:val="00DF729A"/>
    <w:rsid w:val="00DF7D66"/>
    <w:rsid w:val="00E02F28"/>
    <w:rsid w:val="00E03BB9"/>
    <w:rsid w:val="00E04303"/>
    <w:rsid w:val="00E07E8C"/>
    <w:rsid w:val="00E100FD"/>
    <w:rsid w:val="00E11350"/>
    <w:rsid w:val="00E12C3B"/>
    <w:rsid w:val="00E137B8"/>
    <w:rsid w:val="00E1405D"/>
    <w:rsid w:val="00E20095"/>
    <w:rsid w:val="00E208F9"/>
    <w:rsid w:val="00E22DA9"/>
    <w:rsid w:val="00E2431B"/>
    <w:rsid w:val="00E301D0"/>
    <w:rsid w:val="00E31171"/>
    <w:rsid w:val="00E32B8C"/>
    <w:rsid w:val="00E33812"/>
    <w:rsid w:val="00E33A62"/>
    <w:rsid w:val="00E34E03"/>
    <w:rsid w:val="00E370B3"/>
    <w:rsid w:val="00E43B29"/>
    <w:rsid w:val="00E452DA"/>
    <w:rsid w:val="00E47C1A"/>
    <w:rsid w:val="00E47EEA"/>
    <w:rsid w:val="00E5279C"/>
    <w:rsid w:val="00E54172"/>
    <w:rsid w:val="00E56857"/>
    <w:rsid w:val="00E5765D"/>
    <w:rsid w:val="00E602B7"/>
    <w:rsid w:val="00E60B3E"/>
    <w:rsid w:val="00E611BD"/>
    <w:rsid w:val="00E6234F"/>
    <w:rsid w:val="00E64795"/>
    <w:rsid w:val="00E67B0C"/>
    <w:rsid w:val="00E72BC5"/>
    <w:rsid w:val="00E76B9D"/>
    <w:rsid w:val="00E7782A"/>
    <w:rsid w:val="00E77CE4"/>
    <w:rsid w:val="00E82905"/>
    <w:rsid w:val="00E8394E"/>
    <w:rsid w:val="00E83FE5"/>
    <w:rsid w:val="00E9075F"/>
    <w:rsid w:val="00E925EF"/>
    <w:rsid w:val="00E93490"/>
    <w:rsid w:val="00E9471E"/>
    <w:rsid w:val="00E959B8"/>
    <w:rsid w:val="00E95B04"/>
    <w:rsid w:val="00EB262A"/>
    <w:rsid w:val="00EB28DE"/>
    <w:rsid w:val="00EB39C6"/>
    <w:rsid w:val="00EC3AAB"/>
    <w:rsid w:val="00EC47A4"/>
    <w:rsid w:val="00EC55E7"/>
    <w:rsid w:val="00EC57E8"/>
    <w:rsid w:val="00EC5AA5"/>
    <w:rsid w:val="00EC5B31"/>
    <w:rsid w:val="00EC5E89"/>
    <w:rsid w:val="00ED2418"/>
    <w:rsid w:val="00ED3463"/>
    <w:rsid w:val="00ED7107"/>
    <w:rsid w:val="00ED7FFB"/>
    <w:rsid w:val="00EE4D4D"/>
    <w:rsid w:val="00EE58BB"/>
    <w:rsid w:val="00EE5C98"/>
    <w:rsid w:val="00EE61F5"/>
    <w:rsid w:val="00EE7E5D"/>
    <w:rsid w:val="00EF2E4D"/>
    <w:rsid w:val="00EF3F2B"/>
    <w:rsid w:val="00EF4CCD"/>
    <w:rsid w:val="00EF5E27"/>
    <w:rsid w:val="00EF7E55"/>
    <w:rsid w:val="00F03310"/>
    <w:rsid w:val="00F03AA2"/>
    <w:rsid w:val="00F03F03"/>
    <w:rsid w:val="00F05632"/>
    <w:rsid w:val="00F07F7F"/>
    <w:rsid w:val="00F10DA1"/>
    <w:rsid w:val="00F144EF"/>
    <w:rsid w:val="00F234B6"/>
    <w:rsid w:val="00F23A6C"/>
    <w:rsid w:val="00F25E61"/>
    <w:rsid w:val="00F30C68"/>
    <w:rsid w:val="00F312F4"/>
    <w:rsid w:val="00F320F6"/>
    <w:rsid w:val="00F321FF"/>
    <w:rsid w:val="00F32C43"/>
    <w:rsid w:val="00F339B7"/>
    <w:rsid w:val="00F4085E"/>
    <w:rsid w:val="00F42686"/>
    <w:rsid w:val="00F43A6A"/>
    <w:rsid w:val="00F44634"/>
    <w:rsid w:val="00F44A01"/>
    <w:rsid w:val="00F50416"/>
    <w:rsid w:val="00F52125"/>
    <w:rsid w:val="00F52F92"/>
    <w:rsid w:val="00F537D2"/>
    <w:rsid w:val="00F55A8B"/>
    <w:rsid w:val="00F60A58"/>
    <w:rsid w:val="00F62A46"/>
    <w:rsid w:val="00F630AC"/>
    <w:rsid w:val="00F7479E"/>
    <w:rsid w:val="00F75C28"/>
    <w:rsid w:val="00F814BA"/>
    <w:rsid w:val="00F81749"/>
    <w:rsid w:val="00F8279D"/>
    <w:rsid w:val="00F84F9C"/>
    <w:rsid w:val="00F86F45"/>
    <w:rsid w:val="00F90923"/>
    <w:rsid w:val="00F92C2B"/>
    <w:rsid w:val="00F92EFE"/>
    <w:rsid w:val="00F94163"/>
    <w:rsid w:val="00F967FE"/>
    <w:rsid w:val="00F970EA"/>
    <w:rsid w:val="00FA02A3"/>
    <w:rsid w:val="00FA0571"/>
    <w:rsid w:val="00FA065B"/>
    <w:rsid w:val="00FA1413"/>
    <w:rsid w:val="00FA3086"/>
    <w:rsid w:val="00FA3199"/>
    <w:rsid w:val="00FA3C0E"/>
    <w:rsid w:val="00FA52FE"/>
    <w:rsid w:val="00FA6AD5"/>
    <w:rsid w:val="00FB1AE5"/>
    <w:rsid w:val="00FB2FEC"/>
    <w:rsid w:val="00FB4F69"/>
    <w:rsid w:val="00FB5CED"/>
    <w:rsid w:val="00FB742A"/>
    <w:rsid w:val="00FB7C67"/>
    <w:rsid w:val="00FC1BB4"/>
    <w:rsid w:val="00FC2ABE"/>
    <w:rsid w:val="00FC3617"/>
    <w:rsid w:val="00FC484A"/>
    <w:rsid w:val="00FC58BA"/>
    <w:rsid w:val="00FC631E"/>
    <w:rsid w:val="00FC6BDD"/>
    <w:rsid w:val="00FD2A9C"/>
    <w:rsid w:val="00FD3EA6"/>
    <w:rsid w:val="00FD4130"/>
    <w:rsid w:val="00FD4640"/>
    <w:rsid w:val="00FE0FFC"/>
    <w:rsid w:val="00FE1511"/>
    <w:rsid w:val="00FE32E6"/>
    <w:rsid w:val="00FE5D83"/>
    <w:rsid w:val="00FF069A"/>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F8B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5ABA"/>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CommentReference">
    <w:name w:val="annotation reference"/>
    <w:basedOn w:val="DefaultParagraphFont"/>
    <w:uiPriority w:val="99"/>
    <w:semiHidden/>
    <w:unhideWhenUsed/>
    <w:rsid w:val="00705BA3"/>
    <w:rPr>
      <w:sz w:val="16"/>
      <w:szCs w:val="16"/>
    </w:rPr>
  </w:style>
  <w:style w:type="paragraph" w:styleId="CommentText">
    <w:name w:val="annotation text"/>
    <w:basedOn w:val="Normal"/>
    <w:link w:val="CommentTextChar"/>
    <w:uiPriority w:val="99"/>
    <w:semiHidden/>
    <w:unhideWhenUsed/>
    <w:rsid w:val="00705BA3"/>
    <w:pPr>
      <w:spacing w:line="240" w:lineRule="auto"/>
    </w:pPr>
    <w:rPr>
      <w:sz w:val="20"/>
      <w:szCs w:val="20"/>
    </w:rPr>
  </w:style>
  <w:style w:type="character" w:customStyle="1" w:styleId="CommentTextChar">
    <w:name w:val="Comment Text Char"/>
    <w:basedOn w:val="DefaultParagraphFont"/>
    <w:link w:val="CommentText"/>
    <w:uiPriority w:val="99"/>
    <w:semiHidden/>
    <w:rsid w:val="00705BA3"/>
    <w:rPr>
      <w:sz w:val="20"/>
      <w:szCs w:val="20"/>
    </w:rPr>
  </w:style>
  <w:style w:type="paragraph" w:styleId="CommentSubject">
    <w:name w:val="annotation subject"/>
    <w:basedOn w:val="CommentText"/>
    <w:next w:val="CommentText"/>
    <w:link w:val="CommentSubjectChar"/>
    <w:uiPriority w:val="99"/>
    <w:semiHidden/>
    <w:unhideWhenUsed/>
    <w:rsid w:val="00705BA3"/>
    <w:rPr>
      <w:b/>
      <w:bCs/>
    </w:rPr>
  </w:style>
  <w:style w:type="character" w:customStyle="1" w:styleId="CommentSubjectChar">
    <w:name w:val="Comment Subject Char"/>
    <w:basedOn w:val="CommentTextChar"/>
    <w:link w:val="CommentSubject"/>
    <w:uiPriority w:val="99"/>
    <w:semiHidden/>
    <w:rsid w:val="00705BA3"/>
    <w:rPr>
      <w:b/>
      <w:bCs/>
      <w:sz w:val="20"/>
      <w:szCs w:val="20"/>
    </w:rPr>
  </w:style>
  <w:style w:type="character" w:customStyle="1" w:styleId="Heading1Char">
    <w:name w:val="Heading 1 Char"/>
    <w:basedOn w:val="DefaultParagraphFont"/>
    <w:link w:val="Heading1"/>
    <w:uiPriority w:val="9"/>
    <w:rsid w:val="004A5ABA"/>
    <w:rPr>
      <w:rFonts w:asciiTheme="majorHAnsi" w:eastAsiaTheme="majorEastAsia" w:hAnsiTheme="majorHAnsi" w:cstheme="majorBidi"/>
      <w:color w:val="2E74B5" w:themeColor="accent1" w:themeShade="BF"/>
      <w:kern w:val="2"/>
      <w:sz w:val="40"/>
      <w:szCs w:val="40"/>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77761413">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46444301">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86252099">
      <w:bodyDiv w:val="1"/>
      <w:marLeft w:val="0"/>
      <w:marRight w:val="0"/>
      <w:marTop w:val="0"/>
      <w:marBottom w:val="0"/>
      <w:divBdr>
        <w:top w:val="none" w:sz="0" w:space="0" w:color="auto"/>
        <w:left w:val="none" w:sz="0" w:space="0" w:color="auto"/>
        <w:bottom w:val="none" w:sz="0" w:space="0" w:color="auto"/>
        <w:right w:val="none" w:sz="0" w:space="0" w:color="auto"/>
      </w:divBdr>
    </w:div>
    <w:div w:id="757751556">
      <w:bodyDiv w:val="1"/>
      <w:marLeft w:val="0"/>
      <w:marRight w:val="0"/>
      <w:marTop w:val="0"/>
      <w:marBottom w:val="0"/>
      <w:divBdr>
        <w:top w:val="none" w:sz="0" w:space="0" w:color="auto"/>
        <w:left w:val="none" w:sz="0" w:space="0" w:color="auto"/>
        <w:bottom w:val="none" w:sz="0" w:space="0" w:color="auto"/>
        <w:right w:val="none" w:sz="0" w:space="0" w:color="auto"/>
      </w:divBdr>
    </w:div>
    <w:div w:id="799104384">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19426151">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87</Nr_x002e__x0020_akti>
    <Data_x0020_e_x0020_Krijimit xmlns="0e656187-b300-4fb0-8bf4-3a50f872073c">2026-08-05T11:16:33Z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2026-08-05T00:00:00Z</Date_x0020_protokolli>
    <Titulli xmlns="0e656187-b300-4fb0-8bf4-3a50f872073c">Për disa ndryshime dhe shtesa në ligjin nr. 25/2018, “Për kontabilitetin dhe pasqyrat financiare”</Titulli>
    <Modifikuesi xmlns="0e656187-b300-4fb0-8bf4-3a50f872073c">Fjora.Cahani</Modifikuesi>
    <Nr_x002e__x0020_prot_x0020_QBZ xmlns="0e656187-b300-4fb0-8bf4-3a50f872073c">1812/2</Nr_x002e__x0020_prot_x0020_QBZ>
    <Data_x0020_e_x0020_Modifikimit xmlns="0e656187-b300-4fb0-8bf4-3a50f872073c">2026-08-06T10:35:34Z</Data_x0020_e_x0020_Modifikimit>
    <Dekretuar xmlns="0e656187-b300-4fb0-8bf4-3a50f872073c">false</Dekretuar>
    <Data xmlns="0e656187-b300-4fb0-8bf4-3a50f872073c">2026-07-23T00:00:00Z</Data>
    <Nr_x002e__x0020_protokolli_x0020_i_x0020_aktit xmlns="0e656187-b300-4fb0-8bf4-3a50f872073c">3514/7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0D590EBA2B948E888D9E7AF4766FA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0D590EBA2B948E888D9E7AF4766FA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07756-7F4F-489C-BE5D-68D6719FCC64}">
  <ds:schemaRefs>
    <ds:schemaRef ds:uri="http://www.w3.org/XML/1998/namespace"/>
    <ds:schemaRef ds:uri="http://purl.org/dc/elements/1.1/"/>
    <ds:schemaRef ds:uri="http://schemas.openxmlformats.org/package/2006/metadata/core-properties"/>
    <ds:schemaRef ds:uri="http://schemas.microsoft.com/office/2006/documentManagement/types"/>
    <ds:schemaRef ds:uri="http://purl.org/dc/terms/"/>
    <ds:schemaRef ds:uri="http://schemas.microsoft.com/office/2006/metadata/properties"/>
    <ds:schemaRef ds:uri="0e656187-b300-4fb0-8bf4-3a50f872073c"/>
    <ds:schemaRef ds:uri="http://purl.org/dc/dcmitype/"/>
  </ds:schemaRefs>
</ds:datastoreItem>
</file>

<file path=customXml/itemProps2.xml><?xml version="1.0" encoding="utf-8"?>
<ds:datastoreItem xmlns:ds="http://schemas.openxmlformats.org/officeDocument/2006/customXml" ds:itemID="{0FBCDFDD-B202-4F45-8455-FEEFA3BC7EE3}">
  <ds:schemaRefs>
    <ds:schemaRef ds:uri="http://schemas.microsoft.com/sharepoint/v3/contenttype/forms"/>
  </ds:schemaRefs>
</ds:datastoreItem>
</file>

<file path=customXml/itemProps3.xml><?xml version="1.0" encoding="utf-8"?>
<ds:datastoreItem xmlns:ds="http://schemas.openxmlformats.org/officeDocument/2006/customXml" ds:itemID="{6F614DBA-144E-4159-B1C5-8E4B6EEB21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267CF70-24BA-4545-88F0-432D7BAF313F}">
  <ds:schemaRefs>
    <ds:schemaRef ds:uri="http://schemas.microsoft.com/sharepoint/v3/contenttype/forms"/>
  </ds:schemaRefs>
</ds:datastoreItem>
</file>

<file path=customXml/itemProps5.xml><?xml version="1.0" encoding="utf-8"?>
<ds:datastoreItem xmlns:ds="http://schemas.openxmlformats.org/officeDocument/2006/customXml" ds:itemID="{4F90C244-7831-41C2-8B81-1CF1E7EDF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A777732-131F-4984-9D79-C545A0C7BA59}">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removed="0"/>
</clbl:labelList>
</file>

<file path=docProps/app.xml><?xml version="1.0" encoding="utf-8"?>
<Properties xmlns="http://schemas.openxmlformats.org/officeDocument/2006/extended-properties" xmlns:vt="http://schemas.openxmlformats.org/officeDocument/2006/docPropsVTypes">
  <Template>Normal</Template>
  <TotalTime>12</TotalTime>
  <Pages>24</Pages>
  <Words>12176</Words>
  <Characters>69405</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Për disa ndryshime dhe shtesa në ligjin nr. 25/2018, “Për kontabilitetin dhe pasqyrat financiare”</vt:lpstr>
    </vt:vector>
  </TitlesOfParts>
  <Company/>
  <LinksUpToDate>false</LinksUpToDate>
  <CharactersWithSpaces>81419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25/2018, “Për kontabilitetin dhe pasqyrat financiare”</dc:title>
  <dc:creator>gazmend.hanku</dc:creator>
  <cp:lastModifiedBy>Entela Suli</cp:lastModifiedBy>
  <cp:revision>10</cp:revision>
  <cp:lastPrinted>2026-07-27T14:17:00Z</cp:lastPrinted>
  <dcterms:created xsi:type="dcterms:W3CDTF">2026-08-05T10:04:00Z</dcterms:created>
  <dcterms:modified xsi:type="dcterms:W3CDTF">2026-08-07T08:13:00Z</dcterms:modified>
</cp:coreProperties>
</file>