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B66" w:rsidRPr="001F5665" w:rsidRDefault="00FD2B66" w:rsidP="00FD2B66">
      <w:pPr>
        <w:pStyle w:val="Titulli"/>
        <w:rPr>
          <w:lang w:val="it-IT"/>
        </w:rPr>
      </w:pPr>
      <w:bookmarkStart w:id="0" w:name="_GoBack"/>
      <w:bookmarkEnd w:id="0"/>
      <w:r w:rsidRPr="001F5665">
        <w:rPr>
          <w:lang w:val="it-IT"/>
        </w:rPr>
        <w:t>NJOFTIM PËR VENDE VAKANTE PËR NOTER</w:t>
      </w:r>
    </w:p>
    <w:p w:rsidR="00FD2B66" w:rsidRPr="00927F67" w:rsidRDefault="00FD2B66" w:rsidP="00FD2B66">
      <w:pPr>
        <w:pStyle w:val="Paragrafi"/>
        <w:ind w:firstLine="0"/>
        <w:jc w:val="center"/>
        <w:rPr>
          <w:sz w:val="21"/>
          <w:szCs w:val="21"/>
          <w:lang w:val="sq-AL"/>
        </w:rPr>
      </w:pPr>
    </w:p>
    <w:p w:rsidR="00FD2B66" w:rsidRPr="00927F67" w:rsidRDefault="00FD2B66" w:rsidP="00FD2B66">
      <w:pPr>
        <w:pStyle w:val="Paragrafi"/>
        <w:rPr>
          <w:sz w:val="21"/>
          <w:szCs w:val="21"/>
          <w:lang w:val="sq-AL"/>
        </w:rPr>
      </w:pPr>
      <w:r w:rsidRPr="00927F67">
        <w:rPr>
          <w:sz w:val="21"/>
          <w:szCs w:val="21"/>
          <w:lang w:val="sq-AL"/>
        </w:rPr>
        <w:t>Në  zbatim të kërkesave të nenit 3 të ligjit nr.7829, datë 1.6.1994 “Për noterinë”, i ndryshuar, Ministri i Drejtësisë shpall publikisht vendet vakante për noter, si më poshtë:</w:t>
      </w:r>
    </w:p>
    <w:p w:rsidR="00FD2B66" w:rsidRPr="00927F67" w:rsidRDefault="00FD2B66" w:rsidP="00FD2B66">
      <w:pPr>
        <w:pStyle w:val="Paragrafi"/>
        <w:rPr>
          <w:sz w:val="21"/>
          <w:szCs w:val="21"/>
          <w:lang w:val="sq-AL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266"/>
        <w:gridCol w:w="2240"/>
      </w:tblGrid>
      <w:tr w:rsidR="00FD2B66" w:rsidRPr="00927F67">
        <w:trPr>
          <w:jc w:val="center"/>
        </w:trPr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Bashkia</w:t>
            </w:r>
          </w:p>
        </w:tc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Numri i vendeve vakant</w:t>
            </w:r>
          </w:p>
        </w:tc>
      </w:tr>
      <w:tr w:rsidR="00FD2B66" w:rsidRPr="00927F67">
        <w:trPr>
          <w:jc w:val="center"/>
        </w:trPr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Tropojë</w:t>
            </w:r>
          </w:p>
        </w:tc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 (një)</w:t>
            </w:r>
          </w:p>
        </w:tc>
      </w:tr>
      <w:tr w:rsidR="00FD2B66" w:rsidRPr="00927F67">
        <w:trPr>
          <w:jc w:val="center"/>
        </w:trPr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Kukës</w:t>
            </w:r>
          </w:p>
        </w:tc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 (një)</w:t>
            </w:r>
          </w:p>
        </w:tc>
      </w:tr>
      <w:tr w:rsidR="00FD2B66" w:rsidRPr="00927F67">
        <w:trPr>
          <w:jc w:val="center"/>
        </w:trPr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Shkodër</w:t>
            </w:r>
          </w:p>
        </w:tc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 (një)</w:t>
            </w:r>
          </w:p>
        </w:tc>
      </w:tr>
      <w:tr w:rsidR="00FD2B66" w:rsidRPr="00927F67">
        <w:trPr>
          <w:jc w:val="center"/>
        </w:trPr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Fushë-Krujë</w:t>
            </w:r>
          </w:p>
        </w:tc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 (një)</w:t>
            </w:r>
          </w:p>
        </w:tc>
      </w:tr>
      <w:tr w:rsidR="00FD2B66" w:rsidRPr="00927F67">
        <w:trPr>
          <w:jc w:val="center"/>
        </w:trPr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Tiranë</w:t>
            </w:r>
          </w:p>
        </w:tc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3 (një)</w:t>
            </w:r>
          </w:p>
        </w:tc>
      </w:tr>
      <w:tr w:rsidR="00FD2B66" w:rsidRPr="00927F67">
        <w:trPr>
          <w:jc w:val="center"/>
        </w:trPr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Ersekë</w:t>
            </w:r>
          </w:p>
        </w:tc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 (një)</w:t>
            </w:r>
          </w:p>
        </w:tc>
      </w:tr>
      <w:tr w:rsidR="00FD2B66" w:rsidRPr="00927F67">
        <w:trPr>
          <w:jc w:val="center"/>
        </w:trPr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Ballsh</w:t>
            </w:r>
          </w:p>
        </w:tc>
        <w:tc>
          <w:tcPr>
            <w:tcW w:w="0" w:type="auto"/>
          </w:tcPr>
          <w:p w:rsidR="00FD2B66" w:rsidRPr="00927F67" w:rsidRDefault="00FD2B66" w:rsidP="00FD2B66">
            <w:pPr>
              <w:pStyle w:val="Tabele"/>
              <w:rPr>
                <w:sz w:val="21"/>
                <w:szCs w:val="21"/>
              </w:rPr>
            </w:pPr>
            <w:r w:rsidRPr="00927F67">
              <w:rPr>
                <w:sz w:val="21"/>
                <w:szCs w:val="21"/>
              </w:rPr>
              <w:t>1 (një)</w:t>
            </w:r>
          </w:p>
        </w:tc>
      </w:tr>
    </w:tbl>
    <w:p w:rsidR="00FD2B66" w:rsidRPr="00927F67" w:rsidRDefault="00FD2B66" w:rsidP="00FD2B66">
      <w:pPr>
        <w:pStyle w:val="Paragrafi"/>
        <w:rPr>
          <w:sz w:val="21"/>
          <w:szCs w:val="21"/>
        </w:rPr>
      </w:pPr>
    </w:p>
    <w:p w:rsidR="00FD2B66" w:rsidRPr="002E1B29" w:rsidRDefault="00FD2B66" w:rsidP="00FD2B66">
      <w:pPr>
        <w:pStyle w:val="Autoriteti"/>
        <w:rPr>
          <w:szCs w:val="20"/>
        </w:rPr>
      </w:pPr>
      <w:r w:rsidRPr="002E1B29">
        <w:rPr>
          <w:szCs w:val="20"/>
        </w:rPr>
        <w:t>MINISTRI I DREJTËSISË</w:t>
      </w:r>
    </w:p>
    <w:p w:rsidR="00FD2B66" w:rsidRPr="00927F67" w:rsidRDefault="00FD2B66" w:rsidP="00FD2B66">
      <w:pPr>
        <w:pStyle w:val="AutoritetiEmer"/>
      </w:pPr>
      <w:r w:rsidRPr="00927F67">
        <w:t>Aldo Bumçi</w:t>
      </w:r>
    </w:p>
    <w:p w:rsidR="00FD2B66" w:rsidRPr="00927F67" w:rsidRDefault="00FD2B66" w:rsidP="00FD2B66">
      <w:pPr>
        <w:pStyle w:val="VENDOSI"/>
      </w:pPr>
    </w:p>
    <w:p w:rsidR="00FD2B66" w:rsidRPr="00927F67" w:rsidRDefault="00FD2B66" w:rsidP="00FD2B66">
      <w:pPr>
        <w:pStyle w:val="VENDOSI"/>
      </w:pPr>
    </w:p>
    <w:p w:rsidR="00FD2B66" w:rsidRPr="0003399E" w:rsidRDefault="00FD2B66" w:rsidP="00FD2B66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C3F9C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2B66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63F970-CEA0-4ABC-891D-49422A8B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B66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D2B6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D2B6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D2B6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D2B66"/>
    <w:rPr>
      <w:rFonts w:ascii="CG Times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D2B6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FD2B6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