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E8C" w:rsidRDefault="000C0E8C" w:rsidP="000C0E8C">
      <w:pPr>
        <w:widowControl w:val="0"/>
        <w:spacing w:after="0" w:line="240" w:lineRule="auto"/>
        <w:jc w:val="center"/>
        <w:rPr>
          <w:rFonts w:ascii="Garamond" w:hAnsi="Garamond"/>
          <w:b/>
          <w:bCs/>
          <w:sz w:val="24"/>
          <w:szCs w:val="24"/>
          <w:lang w:val="sq-AL"/>
        </w:rPr>
      </w:pPr>
      <w:r>
        <w:rPr>
          <w:rFonts w:ascii="Garamond" w:hAnsi="Garamond"/>
          <w:b/>
          <w:bCs/>
          <w:sz w:val="24"/>
          <w:szCs w:val="24"/>
          <w:lang w:val="sq-AL"/>
        </w:rPr>
        <w:t>REZOLUTË</w:t>
      </w:r>
    </w:p>
    <w:p w:rsidR="000C0E8C" w:rsidRDefault="000C0E8C" w:rsidP="000C0E8C">
      <w:pPr>
        <w:widowControl w:val="0"/>
        <w:spacing w:after="0" w:line="240" w:lineRule="auto"/>
        <w:jc w:val="center"/>
        <w:rPr>
          <w:rFonts w:ascii="Garamond" w:hAnsi="Garamond"/>
          <w:b/>
          <w:bCs/>
          <w:sz w:val="24"/>
          <w:szCs w:val="24"/>
          <w:lang w:val="sq-AL"/>
        </w:rPr>
      </w:pPr>
      <w:r>
        <w:rPr>
          <w:rFonts w:ascii="Garamond" w:hAnsi="Garamond"/>
          <w:b/>
          <w:bCs/>
          <w:sz w:val="24"/>
          <w:szCs w:val="24"/>
          <w:lang w:val="sq-AL"/>
        </w:rPr>
        <w:t>PËR VLERËSIMIN E VEPRIMTARISË SË ENTIT RREGULLATOR  TË UJIT (ERRU) PËR VITIN 2017</w:t>
      </w:r>
    </w:p>
    <w:p w:rsidR="000C0E8C" w:rsidRDefault="000C0E8C" w:rsidP="000C0E8C">
      <w:pPr>
        <w:pStyle w:val="Hapesira7"/>
        <w:rPr>
          <w:lang w:val="sq-AL"/>
        </w:rPr>
      </w:pPr>
    </w:p>
    <w:p w:rsidR="000C0E8C" w:rsidRDefault="000C0E8C" w:rsidP="000C0E8C">
      <w:pPr>
        <w:widowControl w:val="0"/>
        <w:spacing w:after="0" w:line="240" w:lineRule="auto"/>
        <w:contextualSpacing/>
        <w:rPr>
          <w:rFonts w:ascii="Garamond" w:hAnsi="Garamond"/>
          <w:b/>
          <w:bCs/>
          <w:sz w:val="24"/>
          <w:szCs w:val="24"/>
          <w:lang w:val="sq-AL"/>
        </w:rPr>
      </w:pPr>
      <w:r>
        <w:rPr>
          <w:rFonts w:ascii="Garamond" w:hAnsi="Garamond"/>
          <w:b/>
          <w:bCs/>
          <w:sz w:val="24"/>
          <w:szCs w:val="24"/>
          <w:lang w:val="sq-AL"/>
        </w:rPr>
        <w:tab/>
      </w:r>
      <w:r>
        <w:rPr>
          <w:rFonts w:ascii="Garamond" w:hAnsi="Garamond"/>
          <w:b/>
          <w:bCs/>
          <w:sz w:val="24"/>
          <w:szCs w:val="24"/>
          <w:lang w:val="sq-AL"/>
        </w:rPr>
        <w:tab/>
        <w:t>Kuvendi i Republikës së Shqipërisë,</w:t>
      </w:r>
    </w:p>
    <w:p w:rsidR="000C0E8C" w:rsidRDefault="000C0E8C" w:rsidP="000C0E8C">
      <w:pPr>
        <w:widowControl w:val="0"/>
        <w:spacing w:after="0" w:line="240" w:lineRule="auto"/>
        <w:contextualSpacing/>
        <w:rPr>
          <w:rFonts w:ascii="Garamond" w:hAnsi="Garamond"/>
          <w:bCs/>
          <w:sz w:val="24"/>
          <w:szCs w:val="24"/>
          <w:lang w:val="sq-AL"/>
        </w:rPr>
      </w:pPr>
      <w:r>
        <w:rPr>
          <w:rFonts w:ascii="Garamond" w:hAnsi="Garamond"/>
          <w:b/>
          <w:bCs/>
          <w:sz w:val="24"/>
          <w:szCs w:val="24"/>
          <w:lang w:val="sq-AL"/>
        </w:rPr>
        <w:t xml:space="preserve"> </w:t>
      </w:r>
      <w:r>
        <w:rPr>
          <w:rFonts w:ascii="Garamond" w:hAnsi="Garamond"/>
          <w:bCs/>
          <w:sz w:val="24"/>
          <w:szCs w:val="24"/>
          <w:lang w:val="sq-AL"/>
        </w:rPr>
        <w:tab/>
      </w:r>
      <w:r>
        <w:rPr>
          <w:rFonts w:ascii="Garamond" w:hAnsi="Garamond"/>
          <w:bCs/>
          <w:sz w:val="24"/>
          <w:szCs w:val="24"/>
          <w:lang w:val="sq-AL"/>
        </w:rPr>
        <w:t>- Duke njohur Entin Rregullator të Ujit si një institucion të pavarur publik, përgjegjës për rregullimin dhe mbikëqyrjen e sektorit të furnizimit me ujë dhe largimit e përpunimit të ujërave të ndotura në nivel kombëtar;</w:t>
      </w:r>
    </w:p>
    <w:p w:rsidR="000C0E8C" w:rsidRDefault="000C0E8C" w:rsidP="000C0E8C">
      <w:pPr>
        <w:pStyle w:val="ListParagraph"/>
        <w:widowControl w:val="0"/>
        <w:spacing w:after="0" w:line="240" w:lineRule="auto"/>
        <w:ind w:left="0" w:firstLine="284"/>
        <w:jc w:val="both"/>
        <w:rPr>
          <w:rFonts w:ascii="Garamond" w:hAnsi="Garamond"/>
          <w:bCs/>
          <w:sz w:val="24"/>
          <w:szCs w:val="24"/>
          <w:lang w:val="sq-AL"/>
        </w:rPr>
      </w:pPr>
      <w:r>
        <w:rPr>
          <w:rFonts w:ascii="Garamond" w:hAnsi="Garamond"/>
          <w:bCs/>
          <w:sz w:val="24"/>
          <w:szCs w:val="24"/>
          <w:lang w:val="sq-AL"/>
        </w:rPr>
        <w:tab/>
      </w:r>
      <w:r>
        <w:rPr>
          <w:rFonts w:ascii="Garamond" w:hAnsi="Garamond"/>
          <w:bCs/>
          <w:sz w:val="24"/>
          <w:szCs w:val="24"/>
          <w:lang w:val="sq-AL"/>
        </w:rPr>
        <w:t>- Duke e konsideruar reformën e ujit si një reformë tepër të rëndësishme për sektorin e ujësjellës-kanalizimeve;</w:t>
      </w:r>
    </w:p>
    <w:p w:rsidR="000C0E8C" w:rsidRDefault="000C0E8C" w:rsidP="000C0E8C">
      <w:pPr>
        <w:widowControl w:val="0"/>
        <w:spacing w:after="0" w:line="240" w:lineRule="auto"/>
        <w:rPr>
          <w:rFonts w:ascii="Garamond" w:hAnsi="Garamond"/>
          <w:bCs/>
          <w:sz w:val="24"/>
          <w:szCs w:val="24"/>
          <w:lang w:val="sq-AL"/>
        </w:rPr>
      </w:pPr>
      <w:r>
        <w:rPr>
          <w:rFonts w:ascii="Garamond" w:hAnsi="Garamond"/>
          <w:bCs/>
          <w:sz w:val="24"/>
          <w:szCs w:val="24"/>
          <w:lang w:val="sq-AL"/>
        </w:rPr>
        <w:t>- Duke njohur rolin e rëndësishëm dhe sfidat e reja që ka Enti Rregullator i Ujit në kuadër të reformës së ujit;</w:t>
      </w:r>
    </w:p>
    <w:p w:rsidR="000C0E8C" w:rsidRDefault="000C0E8C" w:rsidP="000C0E8C">
      <w:pPr>
        <w:pStyle w:val="ListParagraph"/>
        <w:widowControl w:val="0"/>
        <w:spacing w:after="0" w:line="240" w:lineRule="auto"/>
        <w:ind w:left="0" w:firstLine="284"/>
        <w:jc w:val="both"/>
        <w:rPr>
          <w:rFonts w:ascii="Garamond" w:hAnsi="Garamond"/>
          <w:bCs/>
          <w:sz w:val="24"/>
          <w:szCs w:val="24"/>
          <w:lang w:val="sq-AL"/>
        </w:rPr>
      </w:pPr>
      <w:r>
        <w:rPr>
          <w:rFonts w:ascii="Garamond" w:hAnsi="Garamond"/>
          <w:bCs/>
          <w:sz w:val="24"/>
          <w:szCs w:val="24"/>
          <w:lang w:val="sq-AL"/>
        </w:rPr>
        <w:tab/>
      </w:r>
      <w:r>
        <w:rPr>
          <w:rFonts w:ascii="Garamond" w:hAnsi="Garamond"/>
          <w:bCs/>
          <w:sz w:val="24"/>
          <w:szCs w:val="24"/>
          <w:lang w:val="sq-AL"/>
        </w:rPr>
        <w:t>- Duke e konsideruar shumë të rëndësishme mbrojtjen e konsumatorit, në drejtim të cilësisë më të mirë të shërbimeve të ofruara nga operatorët  në sektor;</w:t>
      </w:r>
    </w:p>
    <w:p w:rsidR="000C0E8C" w:rsidRDefault="000C0E8C" w:rsidP="000C0E8C">
      <w:pPr>
        <w:pStyle w:val="ListParagraph"/>
        <w:widowControl w:val="0"/>
        <w:spacing w:after="0" w:line="240" w:lineRule="auto"/>
        <w:ind w:left="0" w:firstLine="284"/>
        <w:jc w:val="both"/>
        <w:rPr>
          <w:rFonts w:ascii="Garamond" w:hAnsi="Garamond"/>
          <w:bCs/>
          <w:sz w:val="24"/>
          <w:szCs w:val="24"/>
          <w:lang w:val="sq-AL"/>
        </w:rPr>
      </w:pPr>
      <w:r>
        <w:rPr>
          <w:rFonts w:ascii="Garamond" w:hAnsi="Garamond"/>
          <w:bCs/>
          <w:sz w:val="24"/>
          <w:szCs w:val="24"/>
          <w:lang w:val="sq-AL"/>
        </w:rPr>
        <w:tab/>
      </w:r>
      <w:bookmarkStart w:id="0" w:name="_GoBack"/>
      <w:bookmarkEnd w:id="0"/>
      <w:r>
        <w:rPr>
          <w:rFonts w:ascii="Garamond" w:hAnsi="Garamond"/>
          <w:bCs/>
          <w:sz w:val="24"/>
          <w:szCs w:val="24"/>
          <w:lang w:val="sq-AL"/>
        </w:rPr>
        <w:t>- Duke njohur rolin e Entit Rregullator të Ujit në krijimin e një sektori ujësjellës-kanalizimesh financiarisht të qëndrueshëm, që ofron shërbime të një cilësie të lartë, por të përballueshme për të gjithë konsumatorët;</w:t>
      </w:r>
    </w:p>
    <w:p w:rsidR="000C0E8C" w:rsidRDefault="000C0E8C" w:rsidP="000C0E8C">
      <w:pPr>
        <w:pStyle w:val="Default"/>
        <w:widowControl w:val="0"/>
        <w:ind w:firstLine="284"/>
        <w:jc w:val="both"/>
        <w:rPr>
          <w:rFonts w:ascii="Garamond" w:hAnsi="Garamond"/>
          <w:b/>
          <w:color w:val="auto"/>
          <w:lang w:val="sq-AL"/>
        </w:rPr>
      </w:pPr>
      <w:r>
        <w:rPr>
          <w:rFonts w:ascii="Garamond" w:hAnsi="Garamond"/>
          <w:b/>
          <w:color w:val="auto"/>
          <w:lang w:val="sq-AL"/>
        </w:rPr>
        <w:tab/>
      </w:r>
      <w:r>
        <w:rPr>
          <w:rFonts w:ascii="Garamond" w:hAnsi="Garamond"/>
          <w:b/>
          <w:color w:val="auto"/>
          <w:lang w:val="sq-AL"/>
        </w:rPr>
        <w:tab/>
        <w:t xml:space="preserve">Për vitin 2017: </w:t>
      </w:r>
    </w:p>
    <w:p w:rsidR="000C0E8C" w:rsidRDefault="000C0E8C" w:rsidP="000C0E8C">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lang w:val="sq-AL"/>
        </w:rPr>
        <w:tab/>
        <w:t xml:space="preserve">- Treguesit kryesorë të performancës në sektorin UK nuk kanë shënuar progres dhe shoqëritë nuk kanë bërë përpjekjet e duhura për të arritur objektivat, gjë e cila ka sjellë që  sektori të vazhdojë të performojë në gjendje stanjacioni, me një tendencë të lehtë përkeqësimi. </w:t>
      </w:r>
    </w:p>
    <w:p w:rsidR="000C0E8C" w:rsidRDefault="000C0E8C" w:rsidP="000C0E8C">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Pr>
          <w:rFonts w:ascii="Garamond" w:eastAsiaTheme="minorHAnsi" w:hAnsi="Garamond"/>
          <w:sz w:val="24"/>
          <w:szCs w:val="24"/>
          <w:lang w:val="sq-AL"/>
        </w:rPr>
        <w:tab/>
        <w:t>- Vlerëson punën e bërë nga ERRU për licencimin e operatorëve UK që paraqiten pranë ERRU-së për licencim, në kuadër të përfundimit të procesit të riorganizimit të shërbimit të furnizimit me ujë dhe kanalizime.</w:t>
      </w:r>
    </w:p>
    <w:p w:rsidR="000C0E8C" w:rsidRDefault="000C0E8C" w:rsidP="000C0E8C">
      <w:pPr>
        <w:pStyle w:val="Default"/>
        <w:widowControl w:val="0"/>
        <w:ind w:firstLine="284"/>
        <w:jc w:val="both"/>
        <w:rPr>
          <w:rFonts w:ascii="Garamond" w:hAnsi="Garamond"/>
          <w:color w:val="auto"/>
          <w:lang w:val="sq-AL"/>
        </w:rPr>
      </w:pPr>
      <w:r>
        <w:rPr>
          <w:rFonts w:ascii="Garamond" w:hAnsi="Garamond"/>
          <w:color w:val="auto"/>
          <w:lang w:val="sq-AL"/>
        </w:rPr>
        <w:tab/>
        <w:t>- ERRU ka realizuar objektivin duke hartuar dhe publikuar Raportin e Performancës së Sektorit të Ujësjellës Kanalizimeve për vitin 2016 në mesin e korrikut 2017, raport i cili është vlerësuar si mjaft analitik, real dhe me rekomandime të vlefshme për përmirësimin e performancës së sektorit në të ardhmen.</w:t>
      </w:r>
    </w:p>
    <w:p w:rsidR="000C0E8C" w:rsidRDefault="000C0E8C" w:rsidP="000C0E8C">
      <w:pPr>
        <w:pStyle w:val="Default"/>
        <w:widowControl w:val="0"/>
        <w:ind w:firstLine="284"/>
        <w:jc w:val="both"/>
        <w:rPr>
          <w:rFonts w:ascii="Garamond" w:hAnsi="Garamond"/>
          <w:color w:val="auto"/>
          <w:lang w:val="sq-AL"/>
        </w:rPr>
      </w:pPr>
      <w:r>
        <w:rPr>
          <w:rFonts w:ascii="Garamond" w:hAnsi="Garamond"/>
          <w:color w:val="auto"/>
          <w:lang w:val="sq-AL"/>
        </w:rPr>
        <w:tab/>
        <w:t xml:space="preserve">- ERRU ka bërë një punë të mirë në përmirësimin e instrumenteve rregullatore që lidhen me aplikimet e tarifave të reja, si udhëzimet e përmirësuara të aspekteve teknike, të rregullores së inspektimeve në shoqëritë UK, përmirësimi i transparencës së shoqërive UK kundrejt publikut, duke rritur cilësinë e seancave dëgjimore me mënyra dhe forma prezantimi gjithëpërfshirëse dhe të kuptueshme për publikun kur propozohen tarifa të reja shërbimi. </w:t>
      </w:r>
    </w:p>
    <w:p w:rsidR="000C0E8C" w:rsidRDefault="000C0E8C" w:rsidP="000C0E8C">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Pr>
          <w:rFonts w:ascii="Garamond" w:eastAsiaTheme="minorHAnsi" w:hAnsi="Garamond"/>
          <w:sz w:val="24"/>
          <w:szCs w:val="24"/>
          <w:lang w:val="sq-AL"/>
        </w:rPr>
        <w:tab/>
        <w:t xml:space="preserve">- Vlerëson punën e bërë në mbrojtje të konsumatorëve dhe zgjidhjes së ankesave të tyre, pavarësisht se zgjidhja e këtyre ankesave mbetet e kufizuar nga roli ndërmjetës që ERRU ka aktualisht me dispozitat në fuqi dhe vonesës së ndryshimeve të pritshme ligjore. </w:t>
      </w:r>
    </w:p>
    <w:p w:rsidR="000C0E8C" w:rsidRDefault="000C0E8C" w:rsidP="000C0E8C">
      <w:pPr>
        <w:pStyle w:val="Default"/>
        <w:widowControl w:val="0"/>
        <w:ind w:firstLine="284"/>
        <w:jc w:val="both"/>
        <w:rPr>
          <w:rFonts w:ascii="Garamond" w:hAnsi="Garamond"/>
          <w:b/>
          <w:color w:val="auto"/>
          <w:lang w:val="sq-AL"/>
        </w:rPr>
      </w:pPr>
      <w:r>
        <w:rPr>
          <w:rFonts w:ascii="Garamond" w:hAnsi="Garamond"/>
          <w:b/>
          <w:color w:val="auto"/>
          <w:lang w:val="sq-AL"/>
        </w:rPr>
        <w:tab/>
      </w:r>
      <w:r>
        <w:rPr>
          <w:rFonts w:ascii="Garamond" w:hAnsi="Garamond"/>
          <w:b/>
          <w:color w:val="auto"/>
          <w:lang w:val="sq-AL"/>
        </w:rPr>
        <w:tab/>
        <w:t>Për vitin 2018:</w:t>
      </w:r>
    </w:p>
    <w:p w:rsidR="000C0E8C" w:rsidRDefault="000C0E8C" w:rsidP="000C0E8C">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shd w:val="clear" w:color="auto" w:fill="FFFFFF"/>
          <w:lang w:val="sq-AL"/>
        </w:rPr>
        <w:tab/>
        <w:t>- Duke e konsideruar reformën në sektorin e ujit si një reformë jetike për</w:t>
      </w:r>
      <w:r>
        <w:rPr>
          <w:rFonts w:ascii="Garamond" w:hAnsi="Garamond"/>
          <w:bCs/>
          <w:sz w:val="24"/>
          <w:szCs w:val="24"/>
          <w:lang w:val="sq-AL"/>
        </w:rPr>
        <w:t xml:space="preserve"> sektorin e ujësjellës-kanalizimeve,</w:t>
      </w:r>
      <w:r>
        <w:rPr>
          <w:rFonts w:ascii="Garamond" w:hAnsi="Garamond"/>
          <w:sz w:val="24"/>
          <w:szCs w:val="24"/>
          <w:shd w:val="clear" w:color="auto" w:fill="FFFFFF"/>
          <w:lang w:val="sq-AL"/>
        </w:rPr>
        <w:t xml:space="preserve"> e cila ka kërkuar një fazë relativisht të gjatë përgatitore, ERRU të bashkëpunojë me gjithë institucionet dhe aktorët e kësaj reforme e në mënyrë të veçantë me Ministrinë e Infrastrukturës dhe Energjisë dhe </w:t>
      </w:r>
      <w:r>
        <w:rPr>
          <w:rFonts w:ascii="Garamond" w:hAnsi="Garamond"/>
          <w:sz w:val="24"/>
          <w:szCs w:val="24"/>
          <w:lang w:val="sq-AL"/>
        </w:rPr>
        <w:t>Agjencinë Kombëtare të Ujësjellës-Kanalizimeve</w:t>
      </w:r>
      <w:r>
        <w:rPr>
          <w:rFonts w:ascii="Garamond" w:hAnsi="Garamond"/>
          <w:sz w:val="24"/>
          <w:szCs w:val="24"/>
          <w:shd w:val="clear" w:color="auto" w:fill="FFFFFF"/>
          <w:lang w:val="sq-AL"/>
        </w:rPr>
        <w:t>, për të bërë të mundur suksesin e kësaj reforme.</w:t>
      </w:r>
    </w:p>
    <w:p w:rsidR="000C0E8C" w:rsidRDefault="000C0E8C" w:rsidP="000C0E8C">
      <w:pPr>
        <w:pStyle w:val="Default"/>
        <w:widowControl w:val="0"/>
        <w:ind w:firstLine="284"/>
        <w:jc w:val="both"/>
        <w:rPr>
          <w:rFonts w:ascii="Garamond" w:hAnsi="Garamond"/>
          <w:color w:val="auto"/>
          <w:lang w:val="sq-AL"/>
        </w:rPr>
      </w:pPr>
      <w:r>
        <w:rPr>
          <w:rFonts w:ascii="Garamond" w:hAnsi="Garamond"/>
          <w:color w:val="auto"/>
          <w:lang w:val="sq-AL"/>
        </w:rPr>
        <w:tab/>
        <w:t>- Në kuadër të reformës në sektorin e ujit, si dhe të kërkesave për një menaxhim bashkëkohor të sektorit UK, të përmirësojë metodologjinë aktuale të llogaritjes së tarifave, duke pasur si bazë vlerësimi performancën tekniko-ekonomike të shoqërive dhe objektivat për përmirësimin e tyre në përputhje me planin e biznesit 5-vjeçar të shoqërisë.</w:t>
      </w:r>
    </w:p>
    <w:p w:rsidR="000C0E8C" w:rsidRDefault="000C0E8C" w:rsidP="000C0E8C">
      <w:pPr>
        <w:pStyle w:val="Default"/>
        <w:widowControl w:val="0"/>
        <w:ind w:firstLine="284"/>
        <w:jc w:val="both"/>
        <w:rPr>
          <w:rFonts w:ascii="Garamond" w:hAnsi="Garamond"/>
          <w:color w:val="auto"/>
          <w:spacing w:val="-4"/>
          <w:lang w:val="sq-AL"/>
        </w:rPr>
      </w:pPr>
      <w:r>
        <w:rPr>
          <w:rFonts w:ascii="Garamond" w:hAnsi="Garamond"/>
          <w:color w:val="auto"/>
          <w:lang w:val="sq-AL"/>
        </w:rPr>
        <w:tab/>
        <w:t xml:space="preserve">- Përmes të gjitha instrumenteve ligjore që disponon, të kërkojë nga shoqëritë UK që të kenë përparësi të punës së tyre rritjen e normës së arkëtimit, e cila ka një rënie prej 8 % krahasuar me një </w:t>
      </w:r>
      <w:r>
        <w:rPr>
          <w:rFonts w:ascii="Garamond" w:hAnsi="Garamond"/>
          <w:color w:val="auto"/>
          <w:lang w:val="sq-AL"/>
        </w:rPr>
        <w:lastRenderedPageBreak/>
        <w:t xml:space="preserve">vit më parë, rritjen e eficiencës së stafit, mbulimit të kostove O&amp;M, uljen e nivelit të humbjeve, i cili vijon të mbetet 65 %, nivel i cili </w:t>
      </w:r>
      <w:r>
        <w:rPr>
          <w:rFonts w:ascii="Garamond" w:hAnsi="Garamond"/>
          <w:color w:val="auto"/>
          <w:spacing w:val="-4"/>
          <w:lang w:val="sq-AL"/>
        </w:rPr>
        <w:t xml:space="preserve">mbetet tepër i lartë dhe përbën një shqetësim kryesor për sektorin UK; evidentimi, eliminimi apo legalizimi i lidhjeve të paligjshme, të cilat ndikojnë drejtpërdrejt në qëndrueshmërinë financiare të shoqërive UK. </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Të tregohet  efikase dhe e kujdesshme në politikën e miratimit të rritjes së tarifave, duke e parë atë të lidhur ngushtë me rritjen e performancës së operatorëve, uljes së shpenzimeve, rritjen e efikasitetit menaxhues dhe përmirësimin e shërbimit ndaj konsumatorit, si dhe të monitorojë nga afër nëse tarifat e miratuara aplikohen drejt nga shoqëritë UK.</w:t>
      </w:r>
    </w:p>
    <w:p w:rsidR="000C0E8C" w:rsidRDefault="000C0E8C" w:rsidP="000C0E8C">
      <w:pPr>
        <w:pStyle w:val="Default"/>
        <w:widowControl w:val="0"/>
        <w:ind w:firstLine="284"/>
        <w:jc w:val="both"/>
        <w:rPr>
          <w:rFonts w:ascii="Garamond" w:hAnsi="Garamond"/>
          <w:color w:val="auto"/>
          <w:spacing w:val="-4"/>
          <w:lang w:val="sq-AL"/>
        </w:rPr>
      </w:pPr>
      <w:r>
        <w:rPr>
          <w:rFonts w:ascii="Garamond" w:hAnsi="Garamond"/>
          <w:color w:val="auto"/>
          <w:spacing w:val="-4"/>
          <w:lang w:val="sq-AL"/>
        </w:rPr>
        <w:tab/>
        <w:t>- Të vijojë përpjekjet dhe bashkëpunimin për hartimin sa më parë të ligjit të ri, i cili bëhet akoma më i nevojshëm si në kuadrin e reformës së sektorit të ujit, ashtu edhe me objektivat e Strategjisë Kombëtare të Furnizimit me ujë dhe kanalizime dhe direktivat e BE-së për institucionet e pavarura; gjithashtu të luajë një rol proaktiv dhe në bashkëpunim me institucionet e tjera të bëjë propozimet për ndryshimet e nevojshme në Kodin e Ujit.</w:t>
      </w:r>
    </w:p>
    <w:p w:rsidR="000C0E8C" w:rsidRDefault="000C0E8C" w:rsidP="000C0E8C">
      <w:pPr>
        <w:pStyle w:val="Default"/>
        <w:widowControl w:val="0"/>
        <w:ind w:firstLine="284"/>
        <w:jc w:val="both"/>
        <w:rPr>
          <w:rFonts w:ascii="Garamond" w:hAnsi="Garamond"/>
          <w:color w:val="auto"/>
          <w:spacing w:val="-4"/>
          <w:lang w:val="sq-AL"/>
        </w:rPr>
      </w:pPr>
      <w:r>
        <w:rPr>
          <w:rFonts w:ascii="Garamond" w:hAnsi="Garamond"/>
          <w:color w:val="auto"/>
          <w:spacing w:val="-4"/>
          <w:lang w:val="sq-AL"/>
        </w:rPr>
        <w:tab/>
        <w:t>- Në kuadër të mbrojtjes së konsumatorit, të punojë për rishikimin dhe saktësimin e kritereve të</w:t>
      </w:r>
      <w:r>
        <w:rPr>
          <w:rFonts w:ascii="Garamond" w:hAnsi="Garamond"/>
          <w:i/>
          <w:color w:val="auto"/>
          <w:spacing w:val="-4"/>
          <w:lang w:val="sq-AL"/>
        </w:rPr>
        <w:t xml:space="preserve"> </w:t>
      </w:r>
      <w:r>
        <w:rPr>
          <w:rFonts w:ascii="Garamond" w:hAnsi="Garamond"/>
          <w:color w:val="auto"/>
          <w:spacing w:val="-4"/>
          <w:lang w:val="sq-AL"/>
        </w:rPr>
        <w:t>metodologjisë për përballueshmërinë, duke iu referuar edhe përvojës ndërkombëtare, si dhe të dhënave të disponueshme nga INSTAT-i, duke i kushtuar vëmendje të veçantë mbrojtjes së konsumatorëve me të ardhura të ulëta (jomesatare).</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Për eliminimin problemeve të licencimit të shoqërive UK në lidhje me plotësimin e kushteve të aktmiratimit të lejes higjieno-sanitare dhe të inspektimeve që lidhen me to, në bashkëpunim me Inspektoratin Sanitar Shtetëror, të propozohen ndryshimet përkatëse ligjore nëpërmjet Ministrisë së Infrastrukturës dhe Energjisë dhe Ministrisë së Shëndetësisë dhe Mbrojtjes Sociale.</w:t>
      </w:r>
    </w:p>
    <w:p w:rsidR="000C0E8C" w:rsidRDefault="000C0E8C" w:rsidP="000C0E8C">
      <w:pPr>
        <w:pStyle w:val="Default"/>
        <w:widowControl w:val="0"/>
        <w:ind w:firstLine="284"/>
        <w:jc w:val="both"/>
        <w:rPr>
          <w:rFonts w:ascii="Garamond" w:hAnsi="Garamond"/>
          <w:color w:val="auto"/>
          <w:spacing w:val="-4"/>
          <w:lang w:val="sq-AL"/>
        </w:rPr>
      </w:pPr>
      <w:r>
        <w:rPr>
          <w:rFonts w:ascii="Garamond" w:hAnsi="Garamond"/>
          <w:color w:val="auto"/>
          <w:spacing w:val="-4"/>
          <w:lang w:val="sq-AL"/>
        </w:rPr>
        <w:tab/>
        <w:t>- Të vijojë bashkëpunimin me institucione, veprimtaria e të cilave është e lidhur dhe ndikon në çështje që kanë të bëjnë me sektorin e ujësjellës-kanalizimeve, në mënyrë të veçantë me Autoritetin e Konkurrencës.</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Në kuadër të mbrojtjes së interesave të konsumatorëve për garantimin e shërbimeve cilësore nga shoqëritë UK, si dhe mbrojtjen e tyre ndaj abuzimeve për shërbimet monopol të ujësjellës-kanalizimeve të ujërave të ndotura, të punojë për hartimin e një rregulloreje për trajtimin e ankesave të konsumatorëve.</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 Në kuadër të rritjes së transparencës ndaj konsumatorëve, të publikojë në faqen </w:t>
      </w:r>
      <w:r>
        <w:rPr>
          <w:rFonts w:ascii="Garamond" w:hAnsi="Garamond"/>
          <w:i/>
          <w:spacing w:val="-4"/>
          <w:sz w:val="24"/>
          <w:szCs w:val="24"/>
          <w:lang w:val="sq-AL"/>
        </w:rPr>
        <w:t>web</w:t>
      </w:r>
      <w:r>
        <w:rPr>
          <w:rFonts w:ascii="Garamond" w:hAnsi="Garamond"/>
          <w:spacing w:val="-4"/>
          <w:sz w:val="24"/>
          <w:szCs w:val="24"/>
          <w:lang w:val="sq-AL"/>
        </w:rPr>
        <w:t xml:space="preserve"> të institucionit, si dhe të përdorë mediat sociale për më shumë informacion, veçanërisht në lidhje me ndryshimin e tarifave, performancën e shoqërive UK dhe treguesve kryesorë, të cilët përbëjnë interes të drejtpërdrejtë dhe të prekshëm për konsumatorët, si dhe të fillojë përpjekjet për gjetjen e rrugëve të instalimit të një sistemi digjital qendror ndërinstitucional raportimi me të dhëna që raportohen </w:t>
      </w:r>
      <w:r>
        <w:rPr>
          <w:rFonts w:ascii="Garamond" w:hAnsi="Garamond"/>
          <w:i/>
          <w:spacing w:val="-4"/>
          <w:sz w:val="24"/>
          <w:szCs w:val="24"/>
          <w:lang w:val="sq-AL"/>
        </w:rPr>
        <w:t>online</w:t>
      </w:r>
      <w:r>
        <w:rPr>
          <w:rFonts w:ascii="Garamond" w:hAnsi="Garamond"/>
          <w:spacing w:val="-4"/>
          <w:sz w:val="24"/>
          <w:szCs w:val="24"/>
          <w:lang w:val="sq-AL"/>
        </w:rPr>
        <w:t xml:space="preserve"> nga shoqëritë e UK, dhe këto të dhëna të jenë disponibël në </w:t>
      </w:r>
      <w:r>
        <w:rPr>
          <w:rFonts w:ascii="Garamond" w:hAnsi="Garamond"/>
          <w:i/>
          <w:spacing w:val="-4"/>
          <w:sz w:val="24"/>
          <w:szCs w:val="24"/>
          <w:lang w:val="sq-AL"/>
        </w:rPr>
        <w:t>web</w:t>
      </w:r>
      <w:r>
        <w:rPr>
          <w:rFonts w:ascii="Garamond" w:hAnsi="Garamond"/>
          <w:spacing w:val="-4"/>
          <w:sz w:val="24"/>
          <w:szCs w:val="24"/>
          <w:lang w:val="sq-AL"/>
        </w:rPr>
        <w:t xml:space="preserve">. </w:t>
      </w:r>
    </w:p>
    <w:p w:rsidR="000C0E8C" w:rsidRDefault="000C0E8C" w:rsidP="000C0E8C">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 Në kuadër të mbrojtjes së konsumatorit, të rrisë përpjekjet dhe të luajë një rol proaktiv, duke përdorur instrumentet ligjore që ka në  dispozicion, në mënyrë që brenda vitit 2018 asnjë territor në Republikën e Shqipërisë të </w:t>
      </w:r>
      <w:r>
        <w:rPr>
          <w:rFonts w:ascii="Garamond" w:hAnsi="Garamond"/>
          <w:bCs/>
          <w:spacing w:val="-4"/>
          <w:sz w:val="24"/>
          <w:szCs w:val="24"/>
          <w:lang w:val="sq-AL"/>
        </w:rPr>
        <w:t>mos ketë të papërcaktuar një tarifë zyrtare</w:t>
      </w:r>
      <w:r>
        <w:rPr>
          <w:rFonts w:ascii="Garamond" w:hAnsi="Garamond"/>
          <w:spacing w:val="-4"/>
          <w:sz w:val="24"/>
          <w:szCs w:val="24"/>
          <w:lang w:val="sq-AL"/>
        </w:rPr>
        <w:t> të furnizimit, largimit dhe trajtimit të ujerave të ndotura.</w:t>
      </w:r>
    </w:p>
    <w:p w:rsidR="000C0E8C" w:rsidRDefault="000C0E8C" w:rsidP="000C0E8C">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Të përdorë instrumentet ligjore në dispozicion dhe të marrë masa administrative për të gjithë ato ndërmarrje që nuk plotësojnë kushtet për të ushtruar veprimtarinë e tyre të furnizimit me ujë dhe për pasojë sjellin cenimin e drejtpërdrejtë të standardeve për konsumatorët.</w:t>
      </w:r>
    </w:p>
    <w:p w:rsidR="000C0E8C" w:rsidRDefault="000C0E8C" w:rsidP="000C0E8C">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 Të rrisë përpjekjet për të garantuar një sistem transparent nga të gjitha shoqëritë UK për mënyrën sesi konsumatori mund të verifikojë detyrimet e tij përmes përdorimit të teknologjisë së informacionit dhe të mbështesë e të inkurajojë implementimin e politikave lehtësuese për kryerjen e pagesave nga konsumatorët. </w:t>
      </w:r>
    </w:p>
    <w:p w:rsidR="000C0E8C" w:rsidRDefault="000C0E8C" w:rsidP="000C0E8C">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xml:space="preserve">- Në kuadër të mbrojtjes së konsumatorëve, të monitorojë nga afër shoqëritë UK që, nga njëra anë, të mos abuzojnë me vendosjen e ujëmatësve, cilësinë e tyre, si dhe të respektojnë kushtet e kontratës me konsumatorin dhe, nga ana tjetër, të nxisë shoqëritë UK të instalojnë ujëmatësit individualë, si një proces që do të ndikonte në uljen e nivelit të faturimit aforfe për konsumatorët dhe të treguesit të Ujit Pa </w:t>
      </w:r>
      <w:r>
        <w:rPr>
          <w:rFonts w:ascii="Garamond" w:hAnsi="Garamond"/>
          <w:spacing w:val="-4"/>
          <w:sz w:val="24"/>
          <w:szCs w:val="24"/>
          <w:lang w:val="sq-AL"/>
        </w:rPr>
        <w:lastRenderedPageBreak/>
        <w:t>të Ardhura.</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Duke pasur parasysh mbingarkimin me staf të shoqërive UK, gjatë procesit të miratimit të tarifave, të kërkojë nga shoqëritë argumentim të plotë mbi numrin e punonjësve, pozicionet dhe përshkrimet e tyre të punës në strukturën organizative të shoqërisë.</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z w:val="24"/>
          <w:szCs w:val="24"/>
          <w:lang w:val="sq-AL"/>
        </w:rPr>
        <w:tab/>
        <w:t xml:space="preserve">- </w:t>
      </w:r>
      <w:r>
        <w:rPr>
          <w:rFonts w:ascii="Garamond" w:hAnsi="Garamond"/>
          <w:spacing w:val="-4"/>
          <w:sz w:val="24"/>
          <w:szCs w:val="24"/>
          <w:lang w:val="sq-AL"/>
        </w:rPr>
        <w:t>Të hartojë dhe të botojë Raportin e Performancës së Shoqërive Ujësjellës-Kanalizime për vitin 2017 jo më vonë se mesi i korrikut 2018.</w:t>
      </w:r>
    </w:p>
    <w:p w:rsidR="000C0E8C" w:rsidRDefault="000C0E8C" w:rsidP="000C0E8C">
      <w:pPr>
        <w:pStyle w:val="ListParagraph"/>
        <w:widowControl w:val="0"/>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ab/>
        <w:t>- Në koordinim me Ministrinë e Infrastrukturës dhe Energjisë, të vijojë nxitjen që shoqëritë UK të instalojnë ujëmatës të mëdhenj në të gjithë pikat kyçe të sistemeve të furnizimit me ujë, si në prodhim, marrje nga transmisionet kryesore, depot dhe zonat e rrjetit shpërndarës, për të bërë të mundur hartimin e bilanceve të sakta të ujit, si bazë e planeve 5-vjeçare të biznesit të tyre.</w:t>
      </w:r>
    </w:p>
    <w:p w:rsidR="000C0E8C" w:rsidRDefault="000C0E8C" w:rsidP="000C0E8C">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lang w:val="sq-AL"/>
        </w:rPr>
        <w:tab/>
        <w:t>- Në bashkëpunim me Ministrinë e Infrastrukturës dhe Energjisë, ERRU të jetë pjesë e vendimmarrjes në investimet që kryhen në sektorin e ujësjellës-kanalizimeve nga sektori publik dhe ai privat nëpërmjet aprovimit, sipas kritereve tekniko-ekonomike të projekteve në sektor dhe të përcaktimit të prioriteteve të tyre.</w:t>
      </w:r>
    </w:p>
    <w:p w:rsidR="000C0E8C" w:rsidRDefault="000C0E8C" w:rsidP="000C0E8C">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lang w:val="sq-AL"/>
        </w:rPr>
        <w:tab/>
        <w:t>- Të luajë një rol nxitës dhe të ndërgjegjësuar që, paralelisht me reformën, të fillojë realizimi i një ose më shumë shembujve pilot agregimi të suksesshëm të shoqërive UK në sektor.</w:t>
      </w:r>
    </w:p>
    <w:p w:rsidR="000C0E8C" w:rsidRDefault="000C0E8C" w:rsidP="000C0E8C">
      <w:pPr>
        <w:pStyle w:val="Hapesira7"/>
        <w:rPr>
          <w:lang w:val="sq-AL"/>
        </w:rPr>
      </w:pPr>
    </w:p>
    <w:p w:rsidR="000C0E8C" w:rsidRDefault="000C0E8C" w:rsidP="000C0E8C">
      <w:pPr>
        <w:pStyle w:val="Paragrafi"/>
        <w:jc w:val="right"/>
        <w:rPr>
          <w:szCs w:val="24"/>
          <w:lang w:val="sq-AL"/>
        </w:rPr>
      </w:pPr>
      <w:r>
        <w:rPr>
          <w:szCs w:val="24"/>
          <w:lang w:val="sq-AL"/>
        </w:rPr>
        <w:t xml:space="preserve">KRYETARI </w:t>
      </w:r>
    </w:p>
    <w:p w:rsidR="000C0E8C" w:rsidRDefault="000C0E8C" w:rsidP="000C0E8C">
      <w:pPr>
        <w:pStyle w:val="Paragrafi"/>
        <w:jc w:val="right"/>
        <w:rPr>
          <w:b/>
          <w:szCs w:val="24"/>
          <w:lang w:val="sq-AL"/>
        </w:rPr>
      </w:pPr>
      <w:r>
        <w:rPr>
          <w:b/>
          <w:szCs w:val="24"/>
          <w:lang w:val="sq-AL"/>
        </w:rPr>
        <w:t>Gramoz Ruçi</w:t>
      </w:r>
    </w:p>
    <w:p w:rsidR="000C0E8C" w:rsidRDefault="000C0E8C" w:rsidP="000C0E8C">
      <w:pPr>
        <w:pStyle w:val="Hapesira7"/>
        <w:rPr>
          <w:lang w:val="sq-AL"/>
        </w:rPr>
      </w:pPr>
    </w:p>
    <w:p w:rsidR="000C0E8C" w:rsidRDefault="000C0E8C" w:rsidP="000C0E8C">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lang w:val="sq-AL"/>
        </w:rPr>
        <w:t>Miratuar në datën 19.4.2018</w:t>
      </w:r>
    </w:p>
    <w:p w:rsidR="00136888" w:rsidRDefault="00136888"/>
    <w:sectPr w:rsidR="00136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38"/>
    <w:rsid w:val="000C0E8C"/>
    <w:rsid w:val="00136888"/>
    <w:rsid w:val="00A5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7579D-8ED4-4D0F-92D1-C0872E33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E8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0C0E8C"/>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0C0E8C"/>
    <w:pPr>
      <w:ind w:left="720" w:firstLine="0"/>
      <w:contextualSpacing/>
      <w:jc w:val="left"/>
    </w:pPr>
    <w:rPr>
      <w:rFonts w:eastAsia="Times New Roman"/>
    </w:rPr>
  </w:style>
  <w:style w:type="character" w:customStyle="1" w:styleId="ParagrafiChar">
    <w:name w:val="Paragrafi Char"/>
    <w:basedOn w:val="DefaultParagraphFont"/>
    <w:link w:val="Paragrafi"/>
    <w:locked/>
    <w:rsid w:val="000C0E8C"/>
    <w:rPr>
      <w:rFonts w:ascii="Garamond" w:eastAsia="MS Mincho" w:hAnsi="Garamond" w:cs="CG Times"/>
      <w:sz w:val="24"/>
    </w:rPr>
  </w:style>
  <w:style w:type="paragraph" w:customStyle="1" w:styleId="Paragrafi">
    <w:name w:val="Paragrafi"/>
    <w:link w:val="ParagrafiChar"/>
    <w:qFormat/>
    <w:rsid w:val="000C0E8C"/>
    <w:pPr>
      <w:widowControl w:val="0"/>
      <w:spacing w:after="0" w:line="240" w:lineRule="auto"/>
      <w:ind w:firstLine="284"/>
      <w:jc w:val="both"/>
    </w:pPr>
    <w:rPr>
      <w:rFonts w:ascii="Garamond" w:eastAsia="MS Mincho" w:hAnsi="Garamond" w:cs="CG Times"/>
      <w:sz w:val="24"/>
    </w:rPr>
  </w:style>
  <w:style w:type="paragraph" w:customStyle="1" w:styleId="Hapesira7">
    <w:name w:val="Hapesira 7"/>
    <w:basedOn w:val="Paragrafi"/>
    <w:qFormat/>
    <w:rsid w:val="000C0E8C"/>
    <w:rPr>
      <w:sz w:val="14"/>
      <w:szCs w:val="24"/>
    </w:rPr>
  </w:style>
  <w:style w:type="character" w:customStyle="1" w:styleId="DefaultChar">
    <w:name w:val="Default Char"/>
    <w:link w:val="Default"/>
    <w:locked/>
    <w:rsid w:val="000C0E8C"/>
    <w:rPr>
      <w:rFonts w:ascii="Times New Roman" w:eastAsia="Calibri" w:hAnsi="Times New Roman" w:cs="Times New Roman"/>
      <w:color w:val="000000"/>
      <w:sz w:val="24"/>
      <w:szCs w:val="24"/>
    </w:rPr>
  </w:style>
  <w:style w:type="paragraph" w:customStyle="1" w:styleId="Default">
    <w:name w:val="Default"/>
    <w:link w:val="DefaultChar"/>
    <w:rsid w:val="000C0E8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1356</Words>
  <Characters>7735</Characters>
  <Application>Microsoft Office Word</Application>
  <DocSecurity>0</DocSecurity>
  <Lines>64</Lines>
  <Paragraphs>18</Paragraphs>
  <ScaleCrop>false</ScaleCrop>
  <Company/>
  <LinksUpToDate>false</LinksUpToDate>
  <CharactersWithSpaces>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2018-04-30T14:03:00Z</dcterms:created>
  <dcterms:modified xsi:type="dcterms:W3CDTF">2018-04-30T14:04:00Z</dcterms:modified>
</cp:coreProperties>
</file>