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544F" w:rsidRPr="00EE4E37" w:rsidRDefault="00C1544F" w:rsidP="00C1544F">
      <w:pPr>
        <w:pStyle w:val="NeniTitull"/>
        <w:rPr>
          <w:lang w:val="sq-AL"/>
        </w:rPr>
      </w:pPr>
      <w:r w:rsidRPr="00EE4E37">
        <w:rPr>
          <w:lang w:val="sq-AL"/>
        </w:rPr>
        <w:t>REZOLUTË</w:t>
      </w:r>
    </w:p>
    <w:p w:rsidR="00C1544F" w:rsidRDefault="00C1544F" w:rsidP="00C1544F">
      <w:pPr>
        <w:pStyle w:val="NeniTitull"/>
        <w:rPr>
          <w:lang w:val="sq-AL"/>
        </w:rPr>
      </w:pPr>
      <w:r w:rsidRPr="00EE4E37">
        <w:rPr>
          <w:lang w:val="sq-AL"/>
        </w:rPr>
        <w:t xml:space="preserve">PËR VLERËSIMIN E VEPRIMTARISË </w:t>
      </w:r>
    </w:p>
    <w:p w:rsidR="00C1544F" w:rsidRPr="00EE4E37" w:rsidRDefault="00C1544F" w:rsidP="00C1544F">
      <w:pPr>
        <w:pStyle w:val="NeniTitull"/>
        <w:rPr>
          <w:lang w:val="sq-AL"/>
        </w:rPr>
      </w:pPr>
      <w:r w:rsidRPr="00EE4E37">
        <w:rPr>
          <w:lang w:val="sq-AL"/>
        </w:rPr>
        <w:t>SË KOMISIONIT QENDROR TË ZGJEDHJEVE PËR VITIN 2018</w:t>
      </w:r>
    </w:p>
    <w:p w:rsidR="00C1544F" w:rsidRPr="00EE4E37" w:rsidRDefault="00C1544F" w:rsidP="00C1544F">
      <w:pPr>
        <w:spacing w:after="0" w:line="240" w:lineRule="auto"/>
        <w:rPr>
          <w:rFonts w:ascii="Garamond" w:hAnsi="Garamond"/>
          <w:sz w:val="24"/>
          <w:szCs w:val="24"/>
          <w:lang w:val="sq-AL"/>
        </w:rPr>
      </w:pPr>
    </w:p>
    <w:p w:rsidR="00C1544F" w:rsidRPr="00EE4E37" w:rsidRDefault="00C1544F" w:rsidP="00C1544F">
      <w:pPr>
        <w:spacing w:after="0" w:line="240" w:lineRule="auto"/>
        <w:rPr>
          <w:rFonts w:ascii="Garamond" w:hAnsi="Garamond"/>
          <w:sz w:val="24"/>
          <w:szCs w:val="24"/>
          <w:lang w:val="sq-AL"/>
        </w:rPr>
      </w:pPr>
      <w:r w:rsidRPr="00EE4E37">
        <w:rPr>
          <w:rFonts w:ascii="Garamond" w:hAnsi="Garamond"/>
          <w:sz w:val="24"/>
          <w:szCs w:val="24"/>
          <w:lang w:val="sq-AL"/>
        </w:rPr>
        <w:tab/>
        <w:t>Pas shqyrtimit të raportit të Komisionit Qendror të Zgjedhjeve mbi veprimtarinë e vitit 2018 dhe duke mbajtur në konsideratë:</w:t>
      </w:r>
    </w:p>
    <w:p w:rsidR="00C1544F" w:rsidRPr="00EE4E37" w:rsidRDefault="00C1544F" w:rsidP="00C1544F">
      <w:pPr>
        <w:spacing w:after="0" w:line="240" w:lineRule="auto"/>
        <w:rPr>
          <w:rFonts w:ascii="Garamond" w:hAnsi="Garamond"/>
          <w:sz w:val="24"/>
          <w:szCs w:val="24"/>
          <w:lang w:val="sq-AL"/>
        </w:rPr>
      </w:pPr>
      <w:r w:rsidRPr="00EE4E37">
        <w:rPr>
          <w:rFonts w:ascii="Garamond" w:hAnsi="Garamond"/>
          <w:sz w:val="24"/>
          <w:szCs w:val="24"/>
          <w:lang w:val="sq-AL"/>
        </w:rPr>
        <w:tab/>
        <w:t>- Problematikat e hasura në zgjedhjet e kaluara për Kuvendin dhe efektet që prodhuan vonesat e regjistrimit të subjekteve zgjedhore, listave të kandidatëve dhe të tjera të lidhura me afatet e parashikuara në Kodin Zgjedhor;</w:t>
      </w:r>
    </w:p>
    <w:p w:rsidR="00C1544F" w:rsidRPr="00EE4E37" w:rsidRDefault="00C1544F" w:rsidP="00C1544F">
      <w:pPr>
        <w:spacing w:after="0" w:line="240" w:lineRule="auto"/>
        <w:rPr>
          <w:rFonts w:ascii="Garamond" w:hAnsi="Garamond"/>
          <w:sz w:val="24"/>
          <w:szCs w:val="24"/>
          <w:lang w:val="sq-AL"/>
        </w:rPr>
      </w:pPr>
      <w:r w:rsidRPr="00EE4E37">
        <w:rPr>
          <w:rFonts w:ascii="Garamond" w:hAnsi="Garamond"/>
          <w:sz w:val="24"/>
          <w:szCs w:val="24"/>
          <w:lang w:val="sq-AL"/>
        </w:rPr>
        <w:tab/>
        <w:t>- Problematikat lidhur me procedurat e ndjekura nga KQZ-ja lidhur me shqyrtimin e pasqyrave financiare dhe kontrollin e financave, financimeve dhe raportimeve të lidhura me to nga partitë politike;</w:t>
      </w:r>
    </w:p>
    <w:p w:rsidR="00C1544F" w:rsidRPr="00EE4E37" w:rsidRDefault="00C1544F" w:rsidP="00C1544F">
      <w:pPr>
        <w:spacing w:after="0" w:line="240" w:lineRule="auto"/>
        <w:rPr>
          <w:rFonts w:ascii="Garamond" w:hAnsi="Garamond"/>
          <w:sz w:val="24"/>
          <w:szCs w:val="24"/>
          <w:lang w:val="sq-AL"/>
        </w:rPr>
      </w:pPr>
      <w:r w:rsidRPr="00EE4E37">
        <w:rPr>
          <w:rFonts w:ascii="Garamond" w:hAnsi="Garamond"/>
          <w:sz w:val="24"/>
          <w:szCs w:val="24"/>
          <w:lang w:val="sq-AL"/>
        </w:rPr>
        <w:tab/>
        <w:t>- Problematikat e vazhdueshme të konstatuara gjatë mbikëqyrjeve të listave të zgjedhësve;</w:t>
      </w:r>
    </w:p>
    <w:p w:rsidR="00C1544F" w:rsidRPr="00EE4E37" w:rsidRDefault="00C1544F" w:rsidP="00C1544F">
      <w:pPr>
        <w:spacing w:after="0" w:line="240" w:lineRule="auto"/>
        <w:rPr>
          <w:rFonts w:ascii="Garamond" w:hAnsi="Garamond"/>
          <w:sz w:val="24"/>
          <w:szCs w:val="24"/>
          <w:lang w:val="sq-AL"/>
        </w:rPr>
      </w:pPr>
      <w:r w:rsidRPr="00EE4E37">
        <w:rPr>
          <w:rFonts w:ascii="Garamond" w:hAnsi="Garamond"/>
          <w:sz w:val="24"/>
          <w:szCs w:val="24"/>
          <w:lang w:val="sq-AL"/>
        </w:rPr>
        <w:tab/>
        <w:t>- Problematikat e zëvendësimit të vendeve të mbetura bosh, për shkak të dorëheqjeve nga mandatet, apo vullnetit për mosmarrjen e mandatit, sipas procedurave të Kodit Zgjedhor, nga kandidatët pasues në listat shumemërore;</w:t>
      </w:r>
    </w:p>
    <w:p w:rsidR="00C1544F" w:rsidRPr="00EE4E37" w:rsidRDefault="00C1544F" w:rsidP="00C1544F">
      <w:pPr>
        <w:spacing w:after="0" w:line="240" w:lineRule="auto"/>
        <w:rPr>
          <w:rFonts w:ascii="Garamond" w:hAnsi="Garamond"/>
          <w:sz w:val="24"/>
          <w:szCs w:val="24"/>
          <w:lang w:val="sq-AL"/>
        </w:rPr>
      </w:pPr>
      <w:r w:rsidRPr="00EE4E37">
        <w:rPr>
          <w:rFonts w:ascii="Garamond" w:hAnsi="Garamond"/>
          <w:sz w:val="24"/>
          <w:szCs w:val="24"/>
          <w:lang w:val="sq-AL"/>
        </w:rPr>
        <w:tab/>
        <w:t xml:space="preserve">dhe </w:t>
      </w:r>
    </w:p>
    <w:p w:rsidR="00C1544F" w:rsidRPr="00EE4E37" w:rsidRDefault="00C1544F" w:rsidP="00C1544F">
      <w:pPr>
        <w:spacing w:after="0" w:line="240" w:lineRule="auto"/>
        <w:rPr>
          <w:rFonts w:ascii="Garamond" w:hAnsi="Garamond"/>
          <w:sz w:val="24"/>
          <w:szCs w:val="24"/>
          <w:lang w:val="sq-AL"/>
        </w:rPr>
      </w:pPr>
      <w:r w:rsidRPr="00EE4E37">
        <w:rPr>
          <w:rFonts w:ascii="Garamond" w:hAnsi="Garamond"/>
          <w:sz w:val="24"/>
          <w:szCs w:val="24"/>
          <w:lang w:val="sq-AL"/>
        </w:rPr>
        <w:tab/>
        <w:t>- Duke vlerësuar daljet publike të Kryetarit të KQZ-së, si dhe përfaqësuesve të KQZ-së për tërheqje të vëmendjes dhe sensibilizim të subjekteve zgjedhore, nëpërmjet njoftimeve publike dhe kujtesave për respektim të afateve dhe kushteve të parashikuara nga Kodi Zgjedhor për regjistrim dhe dorëzim dokumentacioni pranë KQZ-së;</w:t>
      </w:r>
    </w:p>
    <w:p w:rsidR="00C1544F" w:rsidRPr="00EE4E37" w:rsidRDefault="00C1544F" w:rsidP="00C1544F">
      <w:pPr>
        <w:spacing w:after="0" w:line="240" w:lineRule="auto"/>
        <w:rPr>
          <w:rFonts w:ascii="Garamond" w:hAnsi="Garamond"/>
          <w:sz w:val="24"/>
          <w:szCs w:val="24"/>
          <w:lang w:val="sq-AL"/>
        </w:rPr>
      </w:pPr>
      <w:r w:rsidRPr="00EE4E37">
        <w:rPr>
          <w:rFonts w:ascii="Garamond" w:hAnsi="Garamond"/>
          <w:sz w:val="24"/>
          <w:szCs w:val="24"/>
          <w:lang w:val="sq-AL"/>
        </w:rPr>
        <w:tab/>
        <w:t>Kuvendi i Shqipërisë konstaton se:</w:t>
      </w:r>
    </w:p>
    <w:p w:rsidR="00C1544F" w:rsidRPr="00EE4E37" w:rsidRDefault="00C1544F" w:rsidP="00C1544F">
      <w:pPr>
        <w:spacing w:after="0" w:line="240" w:lineRule="auto"/>
        <w:rPr>
          <w:rFonts w:ascii="Garamond" w:hAnsi="Garamond"/>
          <w:sz w:val="24"/>
          <w:szCs w:val="24"/>
          <w:lang w:val="sq-AL"/>
        </w:rPr>
      </w:pPr>
      <w:r w:rsidRPr="00EE4E37">
        <w:rPr>
          <w:rFonts w:ascii="Garamond" w:hAnsi="Garamond"/>
          <w:sz w:val="24"/>
          <w:szCs w:val="24"/>
          <w:lang w:val="sq-AL"/>
        </w:rPr>
        <w:tab/>
        <w:t>- Gjatë vitit 2018 janë konstatuar probleme në lidhje me plotësimin e kërkesave dhe detyrave të lëna nga Kuvendi, me rezolutën për vlerësimin e veprimtarisë së institucionit për vitin 2018 e që përfshiheshin në fushën e veprimtarisë dhe kompetencën e KQZ-së, për shkak të bllokimit të procesit të miratimit të Kodit të ri Zgjedhor, për shkak të mungesës së vullnetit të anëtarëve të caktuar të KQZ-së, apo për shkak të mungesës së bashkëpunimit të Drejtorisë së Përgjithshme të Gjendjes Civile me Komisionin Qendror të Zgjedhjeve.</w:t>
      </w:r>
    </w:p>
    <w:p w:rsidR="00C1544F" w:rsidRPr="00EE4E37" w:rsidRDefault="00C1544F" w:rsidP="00C1544F">
      <w:pPr>
        <w:spacing w:after="0" w:line="240" w:lineRule="auto"/>
        <w:rPr>
          <w:rFonts w:ascii="Garamond" w:hAnsi="Garamond"/>
          <w:sz w:val="24"/>
          <w:szCs w:val="24"/>
          <w:lang w:val="sq-AL"/>
        </w:rPr>
      </w:pPr>
      <w:r w:rsidRPr="00EE4E37">
        <w:rPr>
          <w:rFonts w:ascii="Garamond" w:hAnsi="Garamond"/>
          <w:sz w:val="24"/>
          <w:szCs w:val="24"/>
          <w:lang w:val="sq-AL"/>
        </w:rPr>
        <w:tab/>
        <w:t>- Për shkak të bojkotit të deklaruar nga subjekte politike që kanë qenë historikisht subjekte zgjedhore, mund të vlerësohet se KQZ-ja gjatë vitit 2019 mund të ndodhet në situata të ngjashme me ato në të cilat u vu gjatë periudhës parazgjedhore, për zgjedhjet për Kuvendin të vitit 2017.</w:t>
      </w:r>
    </w:p>
    <w:p w:rsidR="00C1544F" w:rsidRPr="00EE4E37" w:rsidRDefault="00C1544F" w:rsidP="00C1544F">
      <w:pPr>
        <w:spacing w:after="0" w:line="240" w:lineRule="auto"/>
        <w:rPr>
          <w:rFonts w:ascii="Garamond" w:hAnsi="Garamond"/>
          <w:sz w:val="24"/>
          <w:szCs w:val="24"/>
          <w:lang w:val="sq-AL"/>
        </w:rPr>
      </w:pPr>
      <w:r w:rsidRPr="00EE4E37">
        <w:rPr>
          <w:rFonts w:ascii="Garamond" w:hAnsi="Garamond"/>
          <w:sz w:val="24"/>
          <w:szCs w:val="24"/>
          <w:lang w:val="sq-AL"/>
        </w:rPr>
        <w:tab/>
        <w:t xml:space="preserve">Kuvendi i Shqipërisë, për sa më sipër, duke konsideruar faktin që viti në vazhdim është vit zgjedhor, përveç mbështetjes institucionale që i duhet ofruar në vijim Komisionit Qendror të Zgjedhjeve, i kërkon Komisionit Qendror të Zgjedhjeve që gjatë vitit 2019, përveç kryerjes së detyrave funksionale, të parashikuara nga Kodi Zgjedhor, të fokusohet edhe në këto drejtime: </w:t>
      </w:r>
    </w:p>
    <w:p w:rsidR="00C1544F" w:rsidRPr="00EE4E37" w:rsidRDefault="00C1544F" w:rsidP="00C1544F">
      <w:pPr>
        <w:spacing w:after="0" w:line="240" w:lineRule="auto"/>
        <w:rPr>
          <w:rFonts w:ascii="Garamond" w:hAnsi="Garamond"/>
          <w:sz w:val="24"/>
          <w:szCs w:val="24"/>
          <w:lang w:val="sq-AL"/>
        </w:rPr>
      </w:pPr>
      <w:r w:rsidRPr="00EE4E37">
        <w:rPr>
          <w:rFonts w:ascii="Garamond" w:hAnsi="Garamond"/>
          <w:sz w:val="24"/>
          <w:szCs w:val="24"/>
          <w:lang w:val="sq-AL"/>
        </w:rPr>
        <w:tab/>
        <w:t>- Të miratojë, në përputhje me Manualin e Raportimit Vjetor dhe Periodik, programin e punës për vitin në vazhdim;</w:t>
      </w:r>
    </w:p>
    <w:p w:rsidR="00C1544F" w:rsidRPr="00EE4E37" w:rsidRDefault="00C1544F" w:rsidP="00C1544F">
      <w:pPr>
        <w:spacing w:after="0" w:line="240" w:lineRule="auto"/>
        <w:rPr>
          <w:rFonts w:ascii="Garamond" w:hAnsi="Garamond"/>
          <w:sz w:val="24"/>
          <w:szCs w:val="24"/>
          <w:lang w:val="sq-AL"/>
        </w:rPr>
      </w:pPr>
      <w:r w:rsidRPr="00EE4E37">
        <w:rPr>
          <w:rFonts w:ascii="Garamond" w:hAnsi="Garamond"/>
          <w:sz w:val="24"/>
          <w:szCs w:val="24"/>
          <w:lang w:val="sq-AL"/>
        </w:rPr>
        <w:tab/>
        <w:t>- Të marrë masa për garantimin e funksionimin e rregullt të administratës zgjedhore, duke konsideruar që mund të ndodhet në kushtet e braktisjes së sistemit nga partitë kryesore të opozitës parlamentare;</w:t>
      </w:r>
    </w:p>
    <w:p w:rsidR="00C1544F" w:rsidRPr="00EE4E37" w:rsidRDefault="00C1544F" w:rsidP="00C1544F">
      <w:pPr>
        <w:spacing w:after="0" w:line="240" w:lineRule="auto"/>
        <w:rPr>
          <w:rFonts w:ascii="Garamond" w:hAnsi="Garamond"/>
          <w:sz w:val="24"/>
          <w:szCs w:val="24"/>
          <w:lang w:val="sq-AL"/>
        </w:rPr>
      </w:pPr>
      <w:r w:rsidRPr="00EE4E37">
        <w:rPr>
          <w:rFonts w:ascii="Garamond" w:hAnsi="Garamond"/>
          <w:sz w:val="24"/>
          <w:szCs w:val="24"/>
          <w:lang w:val="sq-AL"/>
        </w:rPr>
        <w:tab/>
        <w:t xml:space="preserve">- Të marrë masa të përshtatshme dhe proporcionale për monitorimin nga afër të kushteve dhe kritereve ligjore për financimin publik e privat të fushatës zgjedhore të subjekteve pjesëmarrëse në zgjedhje; </w:t>
      </w:r>
    </w:p>
    <w:p w:rsidR="00C1544F" w:rsidRPr="00EE4E37" w:rsidRDefault="00C1544F" w:rsidP="00C1544F">
      <w:pPr>
        <w:spacing w:after="0" w:line="240" w:lineRule="auto"/>
        <w:rPr>
          <w:rFonts w:ascii="Garamond" w:hAnsi="Garamond"/>
          <w:sz w:val="24"/>
          <w:szCs w:val="24"/>
          <w:lang w:val="sq-AL"/>
        </w:rPr>
      </w:pPr>
      <w:r w:rsidRPr="00EE4E37">
        <w:rPr>
          <w:rFonts w:ascii="Garamond" w:hAnsi="Garamond"/>
          <w:sz w:val="24"/>
          <w:szCs w:val="24"/>
          <w:lang w:val="sq-AL"/>
        </w:rPr>
        <w:tab/>
        <w:t xml:space="preserve">- Të hartojë metodologjitë e kontrollit dhe verifikimit të shpenzimeve të financimeve të partive politike dhe fushatave elektorale, brenda dhe jashtë vendit, duke shqyrtuar edhe mundësinë e lidhjes së marrëveshjeve të bashkëpunimit me autoritetet përgjegjëse që kontrollojnë pastrimin e parave dhe financimet e kundërligjshme. Të përmirësojë shqyrtimin administrativ të verifikimit të financimeve të fushatave zgjedhore jo vetëm mbi bazën e deklarimeve të subjekteve zgjedhore, por </w:t>
      </w:r>
      <w:r w:rsidRPr="00EE4E37">
        <w:rPr>
          <w:rFonts w:ascii="Garamond" w:hAnsi="Garamond"/>
          <w:sz w:val="24"/>
          <w:szCs w:val="24"/>
          <w:lang w:val="sq-AL"/>
        </w:rPr>
        <w:lastRenderedPageBreak/>
        <w:t>edhe mbi bazën e dokumenteve dhe fakteve të deklaruara apo të bëra publike, duke referuar në eksperiencat e vitit 2018;</w:t>
      </w:r>
    </w:p>
    <w:p w:rsidR="00C1544F" w:rsidRPr="00EE4E37" w:rsidRDefault="00C1544F" w:rsidP="00C1544F">
      <w:pPr>
        <w:spacing w:after="0" w:line="240" w:lineRule="auto"/>
        <w:rPr>
          <w:rFonts w:ascii="Garamond" w:hAnsi="Garamond"/>
          <w:sz w:val="24"/>
          <w:szCs w:val="24"/>
          <w:lang w:val="sq-AL"/>
        </w:rPr>
      </w:pPr>
      <w:r w:rsidRPr="00EE4E37">
        <w:rPr>
          <w:rFonts w:ascii="Garamond" w:hAnsi="Garamond"/>
          <w:sz w:val="24"/>
          <w:szCs w:val="24"/>
          <w:lang w:val="sq-AL"/>
        </w:rPr>
        <w:tab/>
        <w:t>- Të ngrejë mekanizmat e monitorimit të fushatës në media, të sigurojë transparencën e rregullave të monitorimit të mediave, të reagojë në kohë dhe t’u kundërpërgjigjet me masa të shpejta, proporcionale dhe efikase praktikave që prishin barazinë ligjore të fushatës mediatike;</w:t>
      </w:r>
    </w:p>
    <w:p w:rsidR="00C1544F" w:rsidRPr="00EE4E37" w:rsidRDefault="00C1544F" w:rsidP="00C1544F">
      <w:pPr>
        <w:spacing w:after="0" w:line="240" w:lineRule="auto"/>
        <w:rPr>
          <w:rFonts w:ascii="Garamond" w:hAnsi="Garamond"/>
          <w:sz w:val="24"/>
          <w:szCs w:val="24"/>
          <w:lang w:val="sq-AL"/>
        </w:rPr>
      </w:pPr>
      <w:r w:rsidRPr="00EE4E37">
        <w:rPr>
          <w:rFonts w:ascii="Garamond" w:hAnsi="Garamond"/>
          <w:sz w:val="24"/>
          <w:szCs w:val="24"/>
          <w:lang w:val="sq-AL"/>
        </w:rPr>
        <w:tab/>
        <w:t>- Të përpunojë strategjitë e përshtatshme të edukimit zgjedhor në përgjigje të rrethanave specifike politike;</w:t>
      </w:r>
    </w:p>
    <w:p w:rsidR="00C1544F" w:rsidRPr="00EE4E37" w:rsidRDefault="00C1544F" w:rsidP="00C1544F">
      <w:pPr>
        <w:spacing w:after="0" w:line="240" w:lineRule="auto"/>
        <w:rPr>
          <w:rFonts w:ascii="Garamond" w:hAnsi="Garamond"/>
          <w:spacing w:val="-4"/>
          <w:sz w:val="24"/>
          <w:szCs w:val="24"/>
          <w:lang w:val="sq-AL"/>
        </w:rPr>
      </w:pPr>
      <w:r w:rsidRPr="00EE4E37">
        <w:rPr>
          <w:rFonts w:ascii="Garamond" w:hAnsi="Garamond"/>
          <w:sz w:val="24"/>
          <w:szCs w:val="24"/>
          <w:lang w:val="sq-AL"/>
        </w:rPr>
        <w:tab/>
      </w:r>
      <w:r w:rsidRPr="00EE4E37">
        <w:rPr>
          <w:rFonts w:ascii="Garamond" w:hAnsi="Garamond"/>
          <w:spacing w:val="-4"/>
          <w:sz w:val="24"/>
          <w:szCs w:val="24"/>
          <w:lang w:val="sq-AL"/>
        </w:rPr>
        <w:t>- Të lehtësojë procedurat për akreditimin e vëzhguesve, me qëllim rritjen e transparencës së procesit zgjedhor dhe mbulimin kapilar të tij;</w:t>
      </w:r>
    </w:p>
    <w:p w:rsidR="00C1544F" w:rsidRPr="00EE4E37" w:rsidRDefault="00C1544F" w:rsidP="00C1544F">
      <w:pPr>
        <w:spacing w:after="0" w:line="240" w:lineRule="auto"/>
        <w:rPr>
          <w:rFonts w:ascii="Garamond" w:hAnsi="Garamond"/>
          <w:spacing w:val="-4"/>
          <w:sz w:val="24"/>
          <w:szCs w:val="24"/>
          <w:lang w:val="sq-AL"/>
        </w:rPr>
      </w:pPr>
      <w:r w:rsidRPr="00EE4E37">
        <w:rPr>
          <w:rFonts w:ascii="Garamond" w:hAnsi="Garamond"/>
          <w:spacing w:val="-4"/>
          <w:sz w:val="24"/>
          <w:szCs w:val="24"/>
          <w:lang w:val="sq-AL"/>
        </w:rPr>
        <w:tab/>
        <w:t>- Të marrë masa të përshtatshme dhe proporcionale për monitorimin nga afër të përdorimit të burimeve shtetërore dhe të ndërhyjë në kohë reale pranë institucioneve publike për ndërprerjen dhe korrigjimin e praktikave të kundërligjshme në këtë drejtim;</w:t>
      </w:r>
    </w:p>
    <w:p w:rsidR="00C1544F" w:rsidRPr="00EE4E37" w:rsidRDefault="00C1544F" w:rsidP="00C1544F">
      <w:pPr>
        <w:spacing w:after="0" w:line="240" w:lineRule="auto"/>
        <w:rPr>
          <w:rFonts w:ascii="Garamond" w:hAnsi="Garamond"/>
          <w:spacing w:val="-4"/>
          <w:sz w:val="24"/>
          <w:szCs w:val="24"/>
          <w:lang w:val="sq-AL"/>
        </w:rPr>
      </w:pPr>
      <w:r w:rsidRPr="00EE4E37">
        <w:rPr>
          <w:rFonts w:ascii="Garamond" w:hAnsi="Garamond"/>
          <w:spacing w:val="-4"/>
          <w:sz w:val="24"/>
          <w:szCs w:val="24"/>
          <w:lang w:val="sq-AL"/>
        </w:rPr>
        <w:tab/>
        <w:t xml:space="preserve">- </w:t>
      </w:r>
      <w:r w:rsidRPr="00EE4E37">
        <w:rPr>
          <w:rFonts w:ascii="Garamond" w:eastAsia="ヒラギノ角ゴ Pro W3" w:hAnsi="Garamond"/>
          <w:spacing w:val="-4"/>
          <w:sz w:val="24"/>
          <w:szCs w:val="24"/>
          <w:lang w:val="sq-AL"/>
        </w:rPr>
        <w:t xml:space="preserve">Në rast të masave ndëshkimore me gjobë, ndaj subjekteve zgjedhore, për shkelje të dispozitave të Kodit Zgjedhor, të nisin menjëherë procedurat e mbledhjes së detyrimeve financiare; </w:t>
      </w:r>
    </w:p>
    <w:p w:rsidR="00C1544F" w:rsidRPr="00EE4E37" w:rsidRDefault="00C1544F" w:rsidP="00C1544F">
      <w:pPr>
        <w:spacing w:after="0" w:line="240" w:lineRule="auto"/>
        <w:rPr>
          <w:rFonts w:ascii="Garamond" w:hAnsi="Garamond"/>
          <w:spacing w:val="-4"/>
          <w:sz w:val="24"/>
          <w:szCs w:val="24"/>
          <w:lang w:val="sq-AL"/>
        </w:rPr>
      </w:pPr>
      <w:r w:rsidRPr="00EE4E37">
        <w:rPr>
          <w:rFonts w:ascii="Garamond" w:hAnsi="Garamond"/>
          <w:spacing w:val="-4"/>
          <w:sz w:val="24"/>
          <w:szCs w:val="24"/>
          <w:lang w:val="sq-AL"/>
        </w:rPr>
        <w:tab/>
        <w:t xml:space="preserve">- Të synojë në një sjellje institucionale për sa i takon vendimmarrjes, në funksion të ruajtjes së pavarësisë dhe referim në dispozitat ligjore, në plotësim të ligjit nr. 138/2015 </w:t>
      </w:r>
      <w:r>
        <w:rPr>
          <w:rFonts w:ascii="Garamond" w:hAnsi="Garamond"/>
          <w:spacing w:val="-4"/>
          <w:sz w:val="24"/>
          <w:szCs w:val="24"/>
          <w:lang w:val="sq-AL"/>
        </w:rPr>
        <w:t>“</w:t>
      </w:r>
      <w:r w:rsidRPr="00EE4E37">
        <w:rPr>
          <w:rFonts w:ascii="Garamond" w:hAnsi="Garamond"/>
          <w:spacing w:val="-4"/>
          <w:sz w:val="24"/>
          <w:szCs w:val="24"/>
          <w:lang w:val="sq-AL"/>
        </w:rPr>
        <w:t>Për garantimin e integritetit të personave që zgjidhen, emërohen ose ushtrojnë funksione publike</w:t>
      </w:r>
      <w:r>
        <w:rPr>
          <w:rFonts w:ascii="Garamond" w:hAnsi="Garamond"/>
          <w:spacing w:val="-4"/>
          <w:sz w:val="24"/>
          <w:szCs w:val="24"/>
          <w:lang w:val="sq-AL"/>
        </w:rPr>
        <w:t>”</w:t>
      </w:r>
      <w:r w:rsidRPr="00EE4E37">
        <w:rPr>
          <w:rFonts w:ascii="Garamond" w:hAnsi="Garamond"/>
          <w:spacing w:val="-4"/>
          <w:sz w:val="24"/>
          <w:szCs w:val="24"/>
          <w:lang w:val="sq-AL"/>
        </w:rPr>
        <w:t xml:space="preserve"> dhe të sigurojë në të ardhmen interpretimin dhe zbatimin me paanësi dhe të njëjtë të ligjit;</w:t>
      </w:r>
    </w:p>
    <w:p w:rsidR="00C1544F" w:rsidRPr="00EE4E37" w:rsidRDefault="00C1544F" w:rsidP="00C1544F">
      <w:pPr>
        <w:spacing w:after="0" w:line="240" w:lineRule="auto"/>
        <w:rPr>
          <w:rFonts w:ascii="Garamond" w:hAnsi="Garamond"/>
          <w:spacing w:val="-4"/>
          <w:sz w:val="24"/>
          <w:szCs w:val="24"/>
          <w:lang w:val="sq-AL"/>
        </w:rPr>
      </w:pPr>
      <w:r w:rsidRPr="00EE4E37">
        <w:rPr>
          <w:rFonts w:ascii="Garamond" w:hAnsi="Garamond"/>
          <w:spacing w:val="-4"/>
          <w:sz w:val="24"/>
          <w:szCs w:val="24"/>
          <w:lang w:val="sq-AL"/>
        </w:rPr>
        <w:tab/>
        <w:t>- Në funksion të transparencës dhe sigurimit të aksesit të publikut në informacionin e bërë publik në faqen zyrtare të KQZ-së, të rishikohet adresa identifikuese e KQZ-së. Kjo adresë duhet të konsiderojë gjuhën e përdorur nga publiku (shqip), fjalët kyçe të përdorshme për identifikimin automatik dhe logjikën e navigimit në internet nga perspektiva e publikut të thjeshtë dhe jo atij të specializuar e që e njeh mirë Komisionin dhe organizimin e faqes zyrtare të tij;</w:t>
      </w:r>
    </w:p>
    <w:p w:rsidR="00C1544F" w:rsidRPr="00EE4E37" w:rsidRDefault="00C1544F" w:rsidP="00C1544F">
      <w:pPr>
        <w:spacing w:after="0" w:line="240" w:lineRule="auto"/>
        <w:rPr>
          <w:rFonts w:ascii="Garamond" w:hAnsi="Garamond"/>
          <w:spacing w:val="-4"/>
          <w:sz w:val="24"/>
          <w:szCs w:val="24"/>
          <w:lang w:val="sq-AL"/>
        </w:rPr>
      </w:pPr>
      <w:r w:rsidRPr="00EE4E37">
        <w:rPr>
          <w:rFonts w:ascii="Garamond" w:hAnsi="Garamond"/>
          <w:spacing w:val="-4"/>
          <w:sz w:val="24"/>
          <w:szCs w:val="24"/>
          <w:lang w:val="sq-AL"/>
        </w:rPr>
        <w:tab/>
        <w:t>- Të miratojë rregullat e përfaqësimit në publik të institucionit dhe të daljeve publike të anëtarëve të KQZ-së, në përputhje me Manualin e Monitorimit Vjetor dhe Periodik, të miratuar me vendim Kuvendi. E gjithë sjellja dhe veprimtaria e tyre duhet të përshtaten me funksionin publik, me qëllim që të sigurohet dhe të mos cenohet paanësia në ushtrimin e funksionit individual, nga njëra anë, dhe funksionit të institucionit, nga ana tjetër, duke evituar shprehjet e mendimit personal, jashtë tryezës së mbledhjes së KQZ-së;</w:t>
      </w:r>
    </w:p>
    <w:p w:rsidR="00C1544F" w:rsidRPr="00EE4E37" w:rsidRDefault="00C1544F" w:rsidP="00C1544F">
      <w:pPr>
        <w:spacing w:after="0" w:line="240" w:lineRule="auto"/>
        <w:rPr>
          <w:rFonts w:ascii="Garamond" w:hAnsi="Garamond"/>
          <w:spacing w:val="-4"/>
          <w:sz w:val="24"/>
          <w:szCs w:val="24"/>
          <w:lang w:val="sq-AL"/>
        </w:rPr>
      </w:pPr>
      <w:r w:rsidRPr="00EE4E37">
        <w:rPr>
          <w:rFonts w:ascii="Garamond" w:hAnsi="Garamond"/>
          <w:spacing w:val="-4"/>
          <w:sz w:val="24"/>
          <w:szCs w:val="24"/>
          <w:lang w:val="sq-AL"/>
        </w:rPr>
        <w:tab/>
        <w:t xml:space="preserve">- KQZ-ja të vlerësojë hapësirat, brenda të cilave mund të ndikojë në rritjen e pjesëmarrjes dhe sensibilizimin për këtë qëllim të pakicave dhe minoriteteve. </w:t>
      </w:r>
    </w:p>
    <w:p w:rsidR="00C1544F" w:rsidRPr="00EE4E37" w:rsidRDefault="00C1544F" w:rsidP="00C1544F">
      <w:pPr>
        <w:spacing w:after="0" w:line="240" w:lineRule="auto"/>
        <w:rPr>
          <w:rFonts w:ascii="Garamond" w:hAnsi="Garamond"/>
          <w:spacing w:val="-4"/>
          <w:sz w:val="24"/>
          <w:szCs w:val="24"/>
          <w:lang w:val="sq-AL"/>
        </w:rPr>
      </w:pPr>
    </w:p>
    <w:p w:rsidR="00C1544F" w:rsidRPr="00EE4E37" w:rsidRDefault="00C1544F" w:rsidP="00C1544F">
      <w:pPr>
        <w:spacing w:after="0" w:line="240" w:lineRule="auto"/>
        <w:rPr>
          <w:rFonts w:ascii="Garamond" w:hAnsi="Garamond"/>
          <w:sz w:val="24"/>
          <w:szCs w:val="24"/>
          <w:lang w:val="sq-AL"/>
        </w:rPr>
      </w:pPr>
      <w:r w:rsidRPr="00EE4E37">
        <w:rPr>
          <w:rFonts w:ascii="Garamond" w:hAnsi="Garamond"/>
          <w:sz w:val="24"/>
          <w:szCs w:val="24"/>
          <w:lang w:val="sq-AL"/>
        </w:rPr>
        <w:t>Miratuar në datën 3.4.2019.</w:t>
      </w:r>
    </w:p>
    <w:p w:rsidR="00C1544F" w:rsidRPr="00EE4E37" w:rsidRDefault="00C1544F" w:rsidP="00C1544F">
      <w:pPr>
        <w:pStyle w:val="ListParagraph"/>
        <w:spacing w:after="0" w:line="240" w:lineRule="auto"/>
        <w:ind w:left="0" w:firstLine="284"/>
        <w:jc w:val="right"/>
        <w:rPr>
          <w:rFonts w:ascii="Garamond" w:hAnsi="Garamond"/>
          <w:sz w:val="24"/>
          <w:szCs w:val="24"/>
          <w:lang w:val="sq-AL"/>
        </w:rPr>
      </w:pPr>
      <w:r w:rsidRPr="00EE4E37">
        <w:rPr>
          <w:rFonts w:ascii="Garamond" w:hAnsi="Garamond"/>
          <w:sz w:val="24"/>
          <w:szCs w:val="24"/>
          <w:lang w:val="sq-AL"/>
        </w:rPr>
        <w:t>KRYETARI</w:t>
      </w:r>
    </w:p>
    <w:p w:rsidR="00C1544F" w:rsidRPr="00EE4E37" w:rsidRDefault="00C1544F" w:rsidP="00C1544F">
      <w:pPr>
        <w:pStyle w:val="ListParagraph"/>
        <w:spacing w:after="0" w:line="240" w:lineRule="auto"/>
        <w:ind w:left="0" w:firstLine="284"/>
        <w:jc w:val="right"/>
        <w:rPr>
          <w:rFonts w:ascii="Garamond" w:hAnsi="Garamond"/>
          <w:b/>
          <w:sz w:val="24"/>
          <w:szCs w:val="24"/>
          <w:lang w:val="sq-AL"/>
        </w:rPr>
      </w:pPr>
      <w:r w:rsidRPr="00EE4E37">
        <w:rPr>
          <w:rFonts w:ascii="Garamond" w:hAnsi="Garamond"/>
          <w:b/>
          <w:sz w:val="24"/>
          <w:szCs w:val="24"/>
          <w:lang w:val="sq-AL"/>
        </w:rPr>
        <w:t>Gramoz Ruçi</w:t>
      </w:r>
    </w:p>
    <w:p w:rsidR="00FF11BA" w:rsidRDefault="00FF11BA">
      <w:bookmarkStart w:id="0" w:name="_GoBack"/>
      <w:bookmarkEnd w:id="0"/>
    </w:p>
    <w:sectPr w:rsidR="00FF11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ヒラギノ角ゴ Pro W3">
    <w:altName w:val="MS Mincho"/>
    <w:panose1 w:val="00000000000000000000"/>
    <w:charset w:val="80"/>
    <w:family w:val="auto"/>
    <w:notTrueType/>
    <w:pitch w:val="variable"/>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544F"/>
    <w:rsid w:val="00C1544F"/>
    <w:rsid w:val="00FF11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544F"/>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niTitull">
    <w:name w:val="Neni_Titull"/>
    <w:next w:val="Normal"/>
    <w:link w:val="NeniTitullChar"/>
    <w:rsid w:val="00C1544F"/>
    <w:pPr>
      <w:keepNext/>
      <w:widowControl w:val="0"/>
      <w:spacing w:after="0" w:line="240" w:lineRule="auto"/>
      <w:jc w:val="center"/>
      <w:outlineLvl w:val="2"/>
    </w:pPr>
    <w:rPr>
      <w:rFonts w:ascii="Garamond" w:eastAsia="MS Mincho" w:hAnsi="Garamond" w:cs="CG Times"/>
      <w:b/>
      <w:bCs/>
      <w:sz w:val="24"/>
      <w:lang w:val="en-GB"/>
    </w:rPr>
  </w:style>
  <w:style w:type="paragraph" w:styleId="ListParagraph">
    <w:name w:val="List Paragraph"/>
    <w:aliases w:val="List Paragraph2,Annex,Normal 1,List Paragraph1,List Paragraph (numbered (a)),Bullet List,FooterText,numbered,Paragraphe de liste1,Bulletr List Paragraph,列出段落,列出段落1,Listeafsnit1,Parágrafo da Lista1,List Paragraph21,リスト段落1,Párrafo de lista1"/>
    <w:basedOn w:val="Normal"/>
    <w:link w:val="ListParagraphChar"/>
    <w:uiPriority w:val="34"/>
    <w:qFormat/>
    <w:rsid w:val="00C1544F"/>
    <w:pPr>
      <w:ind w:left="720" w:firstLine="0"/>
      <w:contextualSpacing/>
      <w:jc w:val="left"/>
    </w:pPr>
    <w:rPr>
      <w:rFonts w:eastAsia="Times New Roman"/>
      <w:lang w:val="x-none" w:eastAsia="x-none"/>
    </w:rPr>
  </w:style>
  <w:style w:type="character" w:customStyle="1" w:styleId="ListParagraphChar">
    <w:name w:val="List Paragraph Char"/>
    <w:aliases w:val="List Paragraph2 Char,Annex Char,Normal 1 Char,List Paragraph1 Char,List Paragraph (numbered (a)) Char,Bullet List Char,FooterText Char,numbered Char,Paragraphe de liste1 Char,Bulletr List Paragraph Char,列出段落 Char,列出段落1 Char"/>
    <w:link w:val="ListParagraph"/>
    <w:uiPriority w:val="34"/>
    <w:locked/>
    <w:rsid w:val="00C1544F"/>
    <w:rPr>
      <w:rFonts w:ascii="Calibri" w:eastAsia="Times New Roman" w:hAnsi="Calibri" w:cs="Times New Roman"/>
      <w:lang w:val="x-none" w:eastAsia="x-none"/>
    </w:rPr>
  </w:style>
  <w:style w:type="character" w:customStyle="1" w:styleId="NeniTitullChar">
    <w:name w:val="Neni_Titull Char"/>
    <w:link w:val="NeniTitull"/>
    <w:locked/>
    <w:rsid w:val="00C1544F"/>
    <w:rPr>
      <w:rFonts w:ascii="Garamond" w:eastAsia="MS Mincho" w:hAnsi="Garamond" w:cs="CG Times"/>
      <w:b/>
      <w:bCs/>
      <w:sz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544F"/>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niTitull">
    <w:name w:val="Neni_Titull"/>
    <w:next w:val="Normal"/>
    <w:link w:val="NeniTitullChar"/>
    <w:rsid w:val="00C1544F"/>
    <w:pPr>
      <w:keepNext/>
      <w:widowControl w:val="0"/>
      <w:spacing w:after="0" w:line="240" w:lineRule="auto"/>
      <w:jc w:val="center"/>
      <w:outlineLvl w:val="2"/>
    </w:pPr>
    <w:rPr>
      <w:rFonts w:ascii="Garamond" w:eastAsia="MS Mincho" w:hAnsi="Garamond" w:cs="CG Times"/>
      <w:b/>
      <w:bCs/>
      <w:sz w:val="24"/>
      <w:lang w:val="en-GB"/>
    </w:rPr>
  </w:style>
  <w:style w:type="paragraph" w:styleId="ListParagraph">
    <w:name w:val="List Paragraph"/>
    <w:aliases w:val="List Paragraph2,Annex,Normal 1,List Paragraph1,List Paragraph (numbered (a)),Bullet List,FooterText,numbered,Paragraphe de liste1,Bulletr List Paragraph,列出段落,列出段落1,Listeafsnit1,Parágrafo da Lista1,List Paragraph21,リスト段落1,Párrafo de lista1"/>
    <w:basedOn w:val="Normal"/>
    <w:link w:val="ListParagraphChar"/>
    <w:uiPriority w:val="34"/>
    <w:qFormat/>
    <w:rsid w:val="00C1544F"/>
    <w:pPr>
      <w:ind w:left="720" w:firstLine="0"/>
      <w:contextualSpacing/>
      <w:jc w:val="left"/>
    </w:pPr>
    <w:rPr>
      <w:rFonts w:eastAsia="Times New Roman"/>
      <w:lang w:val="x-none" w:eastAsia="x-none"/>
    </w:rPr>
  </w:style>
  <w:style w:type="character" w:customStyle="1" w:styleId="ListParagraphChar">
    <w:name w:val="List Paragraph Char"/>
    <w:aliases w:val="List Paragraph2 Char,Annex Char,Normal 1 Char,List Paragraph1 Char,List Paragraph (numbered (a)) Char,Bullet List Char,FooterText Char,numbered Char,Paragraphe de liste1 Char,Bulletr List Paragraph Char,列出段落 Char,列出段落1 Char"/>
    <w:link w:val="ListParagraph"/>
    <w:uiPriority w:val="34"/>
    <w:locked/>
    <w:rsid w:val="00C1544F"/>
    <w:rPr>
      <w:rFonts w:ascii="Calibri" w:eastAsia="Times New Roman" w:hAnsi="Calibri" w:cs="Times New Roman"/>
      <w:lang w:val="x-none" w:eastAsia="x-none"/>
    </w:rPr>
  </w:style>
  <w:style w:type="character" w:customStyle="1" w:styleId="NeniTitullChar">
    <w:name w:val="Neni_Titull Char"/>
    <w:link w:val="NeniTitull"/>
    <w:locked/>
    <w:rsid w:val="00C1544F"/>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924</Words>
  <Characters>5268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Ermira Bukaci</dc:creator>
  <cp:lastModifiedBy>Ermira Bukaci</cp:lastModifiedBy>
  <cp:revision>1</cp:revision>
  <dcterms:created xsi:type="dcterms:W3CDTF">2019-04-09T13:29:00Z</dcterms:created>
  <dcterms:modified xsi:type="dcterms:W3CDTF">2019-04-09T13:29:00Z</dcterms:modified>
</cp:coreProperties>
</file>