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26020B49" w:rsidR="004615DB" w:rsidRPr="005B08F1" w:rsidRDefault="000A0B41" w:rsidP="005B08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B08F1">
        <w:rPr>
          <w:rFonts w:ascii="Garamond" w:hAnsi="Garamond"/>
          <w:b/>
          <w:sz w:val="24"/>
          <w:szCs w:val="24"/>
        </w:rPr>
        <w:t>REZOLUT</w:t>
      </w:r>
      <w:r w:rsidR="004615DB" w:rsidRPr="005B08F1">
        <w:rPr>
          <w:rFonts w:ascii="Garamond" w:hAnsi="Garamond"/>
          <w:b/>
          <w:sz w:val="24"/>
          <w:szCs w:val="24"/>
        </w:rPr>
        <w:t>Ë</w:t>
      </w:r>
    </w:p>
    <w:p w14:paraId="16056234" w14:textId="77777777" w:rsidR="00E778F6" w:rsidRPr="005B08F1" w:rsidRDefault="00E778F6" w:rsidP="005B08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777A7A4" w14:textId="2D93F08D" w:rsidR="000A0B41" w:rsidRPr="005B08F1" w:rsidRDefault="004615DB" w:rsidP="005B08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B08F1">
        <w:rPr>
          <w:rFonts w:ascii="Garamond" w:hAnsi="Garamond"/>
          <w:b/>
          <w:sz w:val="24"/>
          <w:szCs w:val="24"/>
        </w:rPr>
        <w:t xml:space="preserve">PËR VLERËSIMIN E VEPRIMTARISË SË </w:t>
      </w:r>
      <w:r w:rsidR="004B13B2" w:rsidRPr="005B08F1">
        <w:rPr>
          <w:rFonts w:ascii="Garamond" w:hAnsi="Garamond"/>
          <w:b/>
          <w:sz w:val="24"/>
          <w:szCs w:val="24"/>
        </w:rPr>
        <w:t>AUTORITETIT TË KONKURRENCËS</w:t>
      </w:r>
    </w:p>
    <w:p w14:paraId="67951CDC" w14:textId="399BCE12" w:rsidR="004615DB" w:rsidRPr="005B08F1" w:rsidRDefault="004C36BB" w:rsidP="005B08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B08F1">
        <w:rPr>
          <w:rFonts w:ascii="Garamond" w:hAnsi="Garamond"/>
          <w:b/>
          <w:sz w:val="24"/>
          <w:szCs w:val="24"/>
        </w:rPr>
        <w:t>PËR VITIN 20</w:t>
      </w:r>
      <w:r w:rsidR="00F4148E" w:rsidRPr="005B08F1">
        <w:rPr>
          <w:rFonts w:ascii="Garamond" w:hAnsi="Garamond"/>
          <w:b/>
          <w:sz w:val="24"/>
          <w:szCs w:val="24"/>
        </w:rPr>
        <w:t>20</w:t>
      </w:r>
    </w:p>
    <w:p w14:paraId="5E81180F" w14:textId="77777777" w:rsidR="00E778F6" w:rsidRPr="005B08F1" w:rsidRDefault="00E778F6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6BA9D" w14:textId="77777777" w:rsidR="00D9402D" w:rsidRPr="00CE33E5" w:rsidRDefault="00D9402D" w:rsidP="005B08F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33E5">
        <w:rPr>
          <w:rFonts w:ascii="Garamond" w:hAnsi="Garamond"/>
          <w:b/>
          <w:sz w:val="24"/>
          <w:szCs w:val="24"/>
        </w:rPr>
        <w:t>Kuvendi i Shqipërisë:</w:t>
      </w:r>
    </w:p>
    <w:p w14:paraId="3D535583" w14:textId="521C4DCD" w:rsidR="00D9402D" w:rsidRPr="005B08F1" w:rsidRDefault="006F2FA3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Duke vlerësuar rolin e Autoritetit të Konkurrencës në sigurimin e një konkurrence të lirë dhe efektive në treg, në zbatim të ligjit nr. 9121, datë 28.7.2003</w:t>
      </w:r>
      <w:r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“Për mbrojtjen e konkurrencës”, </w:t>
      </w:r>
      <w:r w:rsidR="00584D24">
        <w:rPr>
          <w:rFonts w:ascii="Garamond" w:hAnsi="Garamond"/>
          <w:sz w:val="24"/>
          <w:szCs w:val="24"/>
        </w:rPr>
        <w:t>të</w:t>
      </w:r>
      <w:r w:rsidR="00D9402D" w:rsidRPr="005B08F1">
        <w:rPr>
          <w:rFonts w:ascii="Garamond" w:hAnsi="Garamond"/>
          <w:sz w:val="24"/>
          <w:szCs w:val="24"/>
        </w:rPr>
        <w:t xml:space="preserve"> ndryshuar;</w:t>
      </w:r>
    </w:p>
    <w:p w14:paraId="41045B9B" w14:textId="70A0F068" w:rsidR="00D9402D" w:rsidRPr="005B08F1" w:rsidRDefault="006F2FA3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Duke njohur bashkëpunimin e këtij Autoriteti me institucionet qendrore e ato rregullatore për aktet që mund të prekin funksionimin e konkurrencës në tregje;</w:t>
      </w:r>
    </w:p>
    <w:p w14:paraId="5F3B1B0E" w14:textId="4AC67525" w:rsidR="00D9402D" w:rsidRPr="005B08F1" w:rsidRDefault="006F2FA3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Duke konsideruar se mirëfunksionimi i tregjeve kërkon gjithëpërfshirjen e aktorëve dhe faktorëve të tregut për t’i bërë ata konkurrues dhe sa më të hapur, me </w:t>
      </w:r>
      <w:r w:rsidRPr="005B08F1">
        <w:rPr>
          <w:rFonts w:ascii="Garamond" w:hAnsi="Garamond"/>
          <w:sz w:val="24"/>
          <w:szCs w:val="24"/>
        </w:rPr>
        <w:t>synim mirëqenien e konsumatorit,</w:t>
      </w:r>
    </w:p>
    <w:p w14:paraId="35DB8785" w14:textId="27275F12" w:rsidR="00D9402D" w:rsidRPr="005B08F1" w:rsidRDefault="00D9402D" w:rsidP="005B08F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B08F1">
        <w:rPr>
          <w:rFonts w:ascii="Garamond" w:hAnsi="Garamond"/>
          <w:b/>
          <w:sz w:val="24"/>
          <w:szCs w:val="24"/>
        </w:rPr>
        <w:t>Vlerëson veprimtarinë e Autoritetit të Konkurrencës gjatë vitit 2020</w:t>
      </w:r>
      <w:r w:rsidR="00584D24">
        <w:rPr>
          <w:rFonts w:ascii="Garamond" w:hAnsi="Garamond"/>
          <w:b/>
          <w:sz w:val="24"/>
          <w:szCs w:val="24"/>
        </w:rPr>
        <w:t>,</w:t>
      </w:r>
      <w:r w:rsidRPr="005B08F1">
        <w:rPr>
          <w:rFonts w:ascii="Garamond" w:hAnsi="Garamond"/>
          <w:b/>
          <w:sz w:val="24"/>
          <w:szCs w:val="24"/>
        </w:rPr>
        <w:t xml:space="preserve"> në drejtim të:</w:t>
      </w:r>
    </w:p>
    <w:p w14:paraId="66A84EBD" w14:textId="67A21911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Angazhimit maksimal të Komisionit të Konkurrencës për zhvillimin normal të veprimtarisë së institucionit, edhe pse në kushtet e vështira të krijuara si pasojë e pandemisë </w:t>
      </w:r>
      <w:r w:rsidR="00D9402D" w:rsidRPr="00584D24">
        <w:rPr>
          <w:rFonts w:ascii="Garamond" w:hAnsi="Garamond"/>
          <w:i/>
          <w:sz w:val="24"/>
          <w:szCs w:val="24"/>
        </w:rPr>
        <w:t>Covid-19</w:t>
      </w:r>
      <w:r w:rsidR="00D9402D" w:rsidRPr="005B08F1">
        <w:rPr>
          <w:rFonts w:ascii="Garamond" w:hAnsi="Garamond"/>
          <w:sz w:val="24"/>
          <w:szCs w:val="24"/>
        </w:rPr>
        <w:t>, i cili është pasqyruar në miratimin e një numri total prej 87 vendimesh</w:t>
      </w:r>
      <w:r w:rsidR="00584D24">
        <w:rPr>
          <w:rFonts w:ascii="Garamond" w:hAnsi="Garamond"/>
          <w:sz w:val="24"/>
          <w:szCs w:val="24"/>
        </w:rPr>
        <w:t>;</w:t>
      </w:r>
    </w:p>
    <w:p w14:paraId="61E1972D" w14:textId="51D61949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Monitorimit të vazhdueshëm së</w:t>
      </w:r>
      <w:r w:rsidR="006F2FA3" w:rsidRPr="005B08F1">
        <w:rPr>
          <w:rFonts w:ascii="Garamond" w:hAnsi="Garamond"/>
          <w:sz w:val="24"/>
          <w:szCs w:val="24"/>
        </w:rPr>
        <w:t xml:space="preserve"> </w:t>
      </w:r>
      <w:r w:rsidR="00D9402D" w:rsidRPr="005B08F1">
        <w:rPr>
          <w:rFonts w:ascii="Garamond" w:hAnsi="Garamond"/>
          <w:sz w:val="24"/>
          <w:szCs w:val="24"/>
        </w:rPr>
        <w:t xml:space="preserve">bashku me institucionet e tjera </w:t>
      </w:r>
      <w:r w:rsidR="006F2FA3" w:rsidRPr="005B08F1">
        <w:rPr>
          <w:rFonts w:ascii="Garamond" w:hAnsi="Garamond"/>
          <w:sz w:val="24"/>
          <w:szCs w:val="24"/>
        </w:rPr>
        <w:t>mbikëqyrëse</w:t>
      </w:r>
      <w:r w:rsidR="00D9402D" w:rsidRPr="005B08F1">
        <w:rPr>
          <w:rFonts w:ascii="Garamond" w:hAnsi="Garamond"/>
          <w:sz w:val="24"/>
          <w:szCs w:val="24"/>
        </w:rPr>
        <w:t xml:space="preserve"> të </w:t>
      </w:r>
      <w:r w:rsidR="006F2FA3" w:rsidRPr="005B08F1">
        <w:rPr>
          <w:rFonts w:ascii="Garamond" w:hAnsi="Garamond"/>
          <w:sz w:val="24"/>
          <w:szCs w:val="24"/>
        </w:rPr>
        <w:t>përqendrimeve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  <w:r w:rsidR="006F2FA3" w:rsidRPr="005B08F1">
        <w:rPr>
          <w:rFonts w:ascii="Garamond" w:hAnsi="Garamond"/>
          <w:sz w:val="24"/>
          <w:szCs w:val="24"/>
        </w:rPr>
        <w:t>të autorizuara gjatë vitit 2019</w:t>
      </w:r>
      <w:r w:rsidR="00D9402D" w:rsidRPr="005B08F1">
        <w:rPr>
          <w:rFonts w:ascii="Garamond" w:hAnsi="Garamond"/>
          <w:sz w:val="24"/>
          <w:szCs w:val="24"/>
        </w:rPr>
        <w:t xml:space="preserve"> në dy nga tregjet me </w:t>
      </w:r>
      <w:r w:rsidR="008B74C4" w:rsidRPr="005B08F1">
        <w:rPr>
          <w:rFonts w:ascii="Garamond" w:hAnsi="Garamond"/>
          <w:sz w:val="24"/>
          <w:szCs w:val="24"/>
        </w:rPr>
        <w:t>ndikim</w:t>
      </w:r>
      <w:r w:rsidR="00D9402D" w:rsidRPr="005B08F1">
        <w:rPr>
          <w:rFonts w:ascii="Garamond" w:hAnsi="Garamond"/>
          <w:sz w:val="24"/>
          <w:szCs w:val="24"/>
        </w:rPr>
        <w:t xml:space="preserve"> të drejtpërdrejtë në interesat dhe mirëqenien e konsumatorëve, si: tregu i telefonisë celulare dhe tregu financiar, me qëllim vlerësimin e efekteve që do të sillte në treg ndryshimi i kontrollit të shoqërive </w:t>
      </w:r>
      <w:r w:rsidR="006F2FA3" w:rsidRPr="005B08F1">
        <w:rPr>
          <w:rFonts w:ascii="Garamond" w:hAnsi="Garamond"/>
          <w:sz w:val="24"/>
          <w:szCs w:val="24"/>
        </w:rPr>
        <w:t>përkatëse</w:t>
      </w:r>
      <w:r w:rsidR="00584D24">
        <w:rPr>
          <w:rFonts w:ascii="Garamond" w:hAnsi="Garamond"/>
          <w:sz w:val="24"/>
          <w:szCs w:val="24"/>
        </w:rPr>
        <w:t>;</w:t>
      </w:r>
    </w:p>
    <w:p w14:paraId="2671967B" w14:textId="449E1F0C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Përfundimit të procedurave hetimore në 5 tregjet </w:t>
      </w:r>
      <w:r w:rsidR="008B74C4" w:rsidRPr="005B08F1">
        <w:rPr>
          <w:rFonts w:ascii="Garamond" w:hAnsi="Garamond"/>
          <w:sz w:val="24"/>
          <w:szCs w:val="24"/>
        </w:rPr>
        <w:t>që janë hetuar gjatë vitit 2019</w:t>
      </w:r>
      <w:r w:rsidR="00584D24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për të cilat ka pasur dyshime të</w:t>
      </w:r>
      <w:r w:rsidR="008B74C4" w:rsidRPr="005B08F1">
        <w:rPr>
          <w:rFonts w:ascii="Garamond" w:hAnsi="Garamond"/>
          <w:sz w:val="24"/>
          <w:szCs w:val="24"/>
        </w:rPr>
        <w:t xml:space="preserve"> arsyeshme </w:t>
      </w:r>
      <w:r w:rsidR="00D9402D" w:rsidRPr="005B08F1">
        <w:rPr>
          <w:rFonts w:ascii="Garamond" w:hAnsi="Garamond"/>
          <w:sz w:val="24"/>
          <w:szCs w:val="24"/>
        </w:rPr>
        <w:t>o</w:t>
      </w:r>
      <w:r w:rsidR="008B74C4" w:rsidRPr="005B08F1">
        <w:rPr>
          <w:rFonts w:ascii="Garamond" w:hAnsi="Garamond"/>
          <w:sz w:val="24"/>
          <w:szCs w:val="24"/>
        </w:rPr>
        <w:t>se</w:t>
      </w:r>
      <w:r w:rsidR="00D9402D" w:rsidRPr="005B08F1">
        <w:rPr>
          <w:rFonts w:ascii="Garamond" w:hAnsi="Garamond"/>
          <w:sz w:val="24"/>
          <w:szCs w:val="24"/>
        </w:rPr>
        <w:t xml:space="preserve"> janë konstatuar raste të marrëveshjeve të ndaluara ose abuzim me pozitën dominuese, si: tregu i shërbimeve bankare, tregu i veprimtarive ekonomike</w:t>
      </w:r>
      <w:r w:rsidR="008B74C4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që zhvillohen nga Federata Shqiptare e Futbollit, tregu i importit të grurit dhe prodhimit të miellit, tregu i prodhimit dhe tregtimit të naftës bruto, tregu i depozitimit dhe d</w:t>
      </w:r>
      <w:r w:rsidR="001336E2" w:rsidRPr="005B08F1">
        <w:rPr>
          <w:rFonts w:ascii="Garamond" w:hAnsi="Garamond"/>
          <w:sz w:val="24"/>
          <w:szCs w:val="24"/>
        </w:rPr>
        <w:t>evijimit të energjisë elektrike,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  <w:r w:rsidR="001336E2" w:rsidRPr="005B08F1">
        <w:rPr>
          <w:rFonts w:ascii="Garamond" w:hAnsi="Garamond"/>
          <w:sz w:val="24"/>
          <w:szCs w:val="24"/>
        </w:rPr>
        <w:t>s</w:t>
      </w:r>
      <w:r w:rsidR="00D9402D" w:rsidRPr="005B08F1">
        <w:rPr>
          <w:rFonts w:ascii="Garamond" w:hAnsi="Garamond"/>
          <w:sz w:val="24"/>
          <w:szCs w:val="24"/>
        </w:rPr>
        <w:t>i dhe përfundimi i hetimit të përgjithshëm në sektorin e arsimit të lartë, shoqëruar me detyrimet dhe rekomandimet përkatëse për IAL-të publike dhe private, rekomandimet e dhëna MASR</w:t>
      </w:r>
      <w:r w:rsidR="001336E2" w:rsidRPr="005B08F1">
        <w:rPr>
          <w:rFonts w:ascii="Garamond" w:hAnsi="Garamond"/>
          <w:sz w:val="24"/>
          <w:szCs w:val="24"/>
        </w:rPr>
        <w:t>-së</w:t>
      </w:r>
      <w:r w:rsidR="00D9402D" w:rsidRPr="005B08F1">
        <w:rPr>
          <w:rFonts w:ascii="Garamond" w:hAnsi="Garamond"/>
          <w:sz w:val="24"/>
          <w:szCs w:val="24"/>
        </w:rPr>
        <w:t xml:space="preserve"> dhe INSTAT</w:t>
      </w:r>
      <w:r w:rsidR="001336E2" w:rsidRPr="005B08F1">
        <w:rPr>
          <w:rFonts w:ascii="Garamond" w:hAnsi="Garamond"/>
          <w:sz w:val="24"/>
          <w:szCs w:val="24"/>
        </w:rPr>
        <w:t>-it</w:t>
      </w:r>
      <w:r w:rsidR="00584D24">
        <w:rPr>
          <w:rFonts w:ascii="Garamond" w:hAnsi="Garamond"/>
          <w:sz w:val="24"/>
          <w:szCs w:val="24"/>
        </w:rPr>
        <w:t>;</w:t>
      </w:r>
    </w:p>
    <w:p w14:paraId="6EA6AD32" w14:textId="5B059056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Rritjes së numrit të hetimeve në tregjet tradicionale, si dhe nisjen e hetimeve në tregjet e reja shumë sensitive për publikun e gjerë, siç është tregu për shitjen me shumicë dhe pakicë të materialeve paramjekësore, kërkesa e të cilave është rritur ndjeshëm si pasojë e pandemisë</w:t>
      </w:r>
      <w:r w:rsidR="00584D24">
        <w:rPr>
          <w:rFonts w:ascii="Garamond" w:hAnsi="Garamond"/>
          <w:sz w:val="24"/>
          <w:szCs w:val="24"/>
        </w:rPr>
        <w:t>;</w:t>
      </w:r>
    </w:p>
    <w:p w14:paraId="0B4F4011" w14:textId="13CAA2D4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Përafrimit të mëtejshëm të kuadrit rregullator të konkurrencës me direktivat e BE-së, duke hartua</w:t>
      </w:r>
      <w:r w:rsidR="001336E2" w:rsidRPr="005B08F1">
        <w:rPr>
          <w:rFonts w:ascii="Garamond" w:hAnsi="Garamond"/>
          <w:sz w:val="24"/>
          <w:szCs w:val="24"/>
        </w:rPr>
        <w:t>r dhe miratuar gjatë vitit 2020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  <w:r w:rsidR="007F750C" w:rsidRPr="005B08F1">
        <w:rPr>
          <w:rFonts w:ascii="Garamond" w:hAnsi="Garamond"/>
          <w:sz w:val="24"/>
          <w:szCs w:val="24"/>
        </w:rPr>
        <w:t>katër</w:t>
      </w:r>
      <w:r w:rsidR="00D9402D" w:rsidRPr="005B08F1">
        <w:rPr>
          <w:rFonts w:ascii="Garamond" w:hAnsi="Garamond"/>
          <w:sz w:val="24"/>
          <w:szCs w:val="24"/>
        </w:rPr>
        <w:t xml:space="preserve"> akte nënligjore në formën e udhëzuesit, ku ndër më kryesorit është miratimi i direktiv</w:t>
      </w:r>
      <w:r w:rsidR="001336E2" w:rsidRPr="005B08F1">
        <w:rPr>
          <w:rFonts w:ascii="Garamond" w:hAnsi="Garamond"/>
          <w:sz w:val="24"/>
          <w:szCs w:val="24"/>
        </w:rPr>
        <w:t>ë</w:t>
      </w:r>
      <w:r w:rsidR="00D9402D" w:rsidRPr="005B08F1">
        <w:rPr>
          <w:rFonts w:ascii="Garamond" w:hAnsi="Garamond"/>
          <w:sz w:val="24"/>
          <w:szCs w:val="24"/>
        </w:rPr>
        <w:t xml:space="preserve">s së Parlamentit </w:t>
      </w:r>
      <w:r w:rsidR="00584D24" w:rsidRPr="005B08F1">
        <w:rPr>
          <w:rFonts w:ascii="Garamond" w:hAnsi="Garamond"/>
          <w:sz w:val="24"/>
          <w:szCs w:val="24"/>
        </w:rPr>
        <w:t>Evropian</w:t>
      </w:r>
      <w:r w:rsidR="00D9402D" w:rsidRPr="005B08F1">
        <w:rPr>
          <w:rFonts w:ascii="Garamond" w:hAnsi="Garamond"/>
          <w:sz w:val="24"/>
          <w:szCs w:val="24"/>
        </w:rPr>
        <w:t xml:space="preserve"> dhe të Këshillit, ECN+ “Për fuqizimin e Autoritetit të Konkurrencës për të qenë sa më i efektshëm në z</w:t>
      </w:r>
      <w:r w:rsidR="001336E2" w:rsidRPr="005B08F1">
        <w:rPr>
          <w:rFonts w:ascii="Garamond" w:hAnsi="Garamond"/>
          <w:sz w:val="24"/>
          <w:szCs w:val="24"/>
        </w:rPr>
        <w:t>batueshmërinë e ligjit nr. 9121, datë 28.7.</w:t>
      </w:r>
      <w:r w:rsidR="00D9402D" w:rsidRPr="005B08F1">
        <w:rPr>
          <w:rFonts w:ascii="Garamond" w:hAnsi="Garamond"/>
          <w:sz w:val="24"/>
          <w:szCs w:val="24"/>
        </w:rPr>
        <w:t>2003</w:t>
      </w:r>
      <w:r w:rsidR="00584D24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  <w:r w:rsidR="00584D24">
        <w:rPr>
          <w:rFonts w:ascii="Garamond" w:hAnsi="Garamond"/>
          <w:sz w:val="24"/>
          <w:szCs w:val="24"/>
        </w:rPr>
        <w:t>‘</w:t>
      </w:r>
      <w:r w:rsidR="00D9402D" w:rsidRPr="005B08F1">
        <w:rPr>
          <w:rFonts w:ascii="Garamond" w:hAnsi="Garamond"/>
          <w:sz w:val="24"/>
          <w:szCs w:val="24"/>
        </w:rPr>
        <w:t>Për mbrojtjen e konkurrencës</w:t>
      </w:r>
      <w:r w:rsidR="00584D24">
        <w:rPr>
          <w:rFonts w:ascii="Garamond" w:hAnsi="Garamond"/>
          <w:sz w:val="24"/>
          <w:szCs w:val="24"/>
        </w:rPr>
        <w:t>’</w:t>
      </w:r>
      <w:r w:rsidR="00D9402D" w:rsidRPr="005B08F1">
        <w:rPr>
          <w:rFonts w:ascii="Garamond" w:hAnsi="Garamond"/>
          <w:sz w:val="24"/>
          <w:szCs w:val="24"/>
        </w:rPr>
        <w:t xml:space="preserve">, </w:t>
      </w:r>
      <w:r w:rsidR="00584D24">
        <w:rPr>
          <w:rFonts w:ascii="Garamond" w:hAnsi="Garamond"/>
          <w:sz w:val="24"/>
          <w:szCs w:val="24"/>
        </w:rPr>
        <w:t>të</w:t>
      </w:r>
      <w:r w:rsidR="00D9402D" w:rsidRPr="005B08F1">
        <w:rPr>
          <w:rFonts w:ascii="Garamond" w:hAnsi="Garamond"/>
          <w:sz w:val="24"/>
          <w:szCs w:val="24"/>
        </w:rPr>
        <w:t xml:space="preserve"> ndryshuar</w:t>
      </w:r>
      <w:r w:rsidR="00B074F2" w:rsidRPr="005B08F1">
        <w:rPr>
          <w:rFonts w:ascii="Garamond" w:hAnsi="Garamond"/>
          <w:sz w:val="24"/>
          <w:szCs w:val="24"/>
        </w:rPr>
        <w:t xml:space="preserve">, </w:t>
      </w:r>
      <w:r w:rsidR="00D9402D" w:rsidRPr="005B08F1">
        <w:rPr>
          <w:rFonts w:ascii="Garamond" w:hAnsi="Garamond"/>
          <w:sz w:val="24"/>
          <w:szCs w:val="24"/>
        </w:rPr>
        <w:t xml:space="preserve">dhe për të siguruar funksionimin e duhur të tregut”, e cila jep sigurinë se Autoriteti i Konkurrencës ka të gjitha mjetet e duhura për zbatimin e ligjit të konkurrencës, duke ofruar garanci dhe </w:t>
      </w:r>
      <w:r w:rsidR="007F750C" w:rsidRPr="005B08F1">
        <w:rPr>
          <w:rFonts w:ascii="Garamond" w:hAnsi="Garamond"/>
          <w:sz w:val="24"/>
          <w:szCs w:val="24"/>
        </w:rPr>
        <w:t>standarde</w:t>
      </w:r>
      <w:r w:rsidR="00D9402D" w:rsidRPr="005B08F1">
        <w:rPr>
          <w:rFonts w:ascii="Garamond" w:hAnsi="Garamond"/>
          <w:sz w:val="24"/>
          <w:szCs w:val="24"/>
        </w:rPr>
        <w:t xml:space="preserve"> n</w:t>
      </w:r>
      <w:r w:rsidR="00B074F2" w:rsidRPr="005B08F1">
        <w:rPr>
          <w:rFonts w:ascii="Garamond" w:hAnsi="Garamond"/>
          <w:sz w:val="24"/>
          <w:szCs w:val="24"/>
        </w:rPr>
        <w:t>ë</w:t>
      </w:r>
      <w:r w:rsidR="00D9402D" w:rsidRPr="005B08F1">
        <w:rPr>
          <w:rFonts w:ascii="Garamond" w:hAnsi="Garamond"/>
          <w:sz w:val="24"/>
          <w:szCs w:val="24"/>
        </w:rPr>
        <w:t xml:space="preserve"> veprimtarinë e tij, si dhe aktet e tjera që do </w:t>
      </w:r>
      <w:r w:rsidR="00B074F2" w:rsidRPr="005B08F1">
        <w:rPr>
          <w:rFonts w:ascii="Garamond" w:hAnsi="Garamond"/>
          <w:sz w:val="24"/>
          <w:szCs w:val="24"/>
        </w:rPr>
        <w:t xml:space="preserve">të </w:t>
      </w:r>
      <w:r w:rsidR="00D9402D" w:rsidRPr="005B08F1">
        <w:rPr>
          <w:rFonts w:ascii="Garamond" w:hAnsi="Garamond"/>
          <w:sz w:val="24"/>
          <w:szCs w:val="24"/>
        </w:rPr>
        <w:t xml:space="preserve">vijnë në ndihmë të ndërmarrjeve, konsumatorëve dhe publikut në </w:t>
      </w:r>
      <w:r w:rsidR="00B074F2" w:rsidRPr="005B08F1">
        <w:rPr>
          <w:rFonts w:ascii="Garamond" w:hAnsi="Garamond"/>
          <w:sz w:val="24"/>
          <w:szCs w:val="24"/>
        </w:rPr>
        <w:t>tërësi</w:t>
      </w:r>
      <w:r w:rsidR="00584D24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për</w:t>
      </w:r>
      <w:r w:rsidR="00B074F2" w:rsidRPr="005B08F1">
        <w:rPr>
          <w:rFonts w:ascii="Garamond" w:hAnsi="Garamond"/>
          <w:sz w:val="24"/>
          <w:szCs w:val="24"/>
        </w:rPr>
        <w:t xml:space="preserve"> </w:t>
      </w:r>
      <w:r w:rsidR="00D9402D" w:rsidRPr="005B08F1">
        <w:rPr>
          <w:rFonts w:ascii="Garamond" w:hAnsi="Garamond"/>
          <w:sz w:val="24"/>
          <w:szCs w:val="24"/>
        </w:rPr>
        <w:t xml:space="preserve">sa </w:t>
      </w:r>
      <w:r w:rsidR="00B074F2" w:rsidRPr="005B08F1">
        <w:rPr>
          <w:rFonts w:ascii="Garamond" w:hAnsi="Garamond"/>
          <w:sz w:val="24"/>
          <w:szCs w:val="24"/>
        </w:rPr>
        <w:t>u</w:t>
      </w:r>
      <w:r w:rsidR="00D9402D" w:rsidRPr="005B08F1">
        <w:rPr>
          <w:rFonts w:ascii="Garamond" w:hAnsi="Garamond"/>
          <w:sz w:val="24"/>
          <w:szCs w:val="24"/>
        </w:rPr>
        <w:t xml:space="preserve"> takon çështjeve që lidhen me konkurrencën në tregjet e rrjeteve dhe shërbimeve për komunikimet elektronike, me praktikat më të mira për kryerjen e procedurave për zbatimin e dispozitave ligjore për marrëveshjet e ndaluara dhe abuzimin me pozitën dominuese në treg apo </w:t>
      </w:r>
      <w:r w:rsidR="00B074F2" w:rsidRPr="005B08F1">
        <w:rPr>
          <w:rFonts w:ascii="Garamond" w:hAnsi="Garamond"/>
          <w:sz w:val="24"/>
          <w:szCs w:val="24"/>
        </w:rPr>
        <w:t>e</w:t>
      </w:r>
      <w:r w:rsidR="00D9402D" w:rsidRPr="005B08F1">
        <w:rPr>
          <w:rFonts w:ascii="Garamond" w:hAnsi="Garamond"/>
          <w:sz w:val="24"/>
          <w:szCs w:val="24"/>
        </w:rPr>
        <w:t>dhe implementimin e rregullave të konkurrencës</w:t>
      </w:r>
      <w:r w:rsidR="00B074F2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që lidhen me konfidenci</w:t>
      </w:r>
      <w:r w:rsidR="00B074F2" w:rsidRPr="005B08F1">
        <w:rPr>
          <w:rFonts w:ascii="Garamond" w:hAnsi="Garamond"/>
          <w:sz w:val="24"/>
          <w:szCs w:val="24"/>
        </w:rPr>
        <w:t>a</w:t>
      </w:r>
      <w:r w:rsidR="00D9402D" w:rsidRPr="005B08F1">
        <w:rPr>
          <w:rFonts w:ascii="Garamond" w:hAnsi="Garamond"/>
          <w:sz w:val="24"/>
          <w:szCs w:val="24"/>
        </w:rPr>
        <w:t>litetin dhe aksesin në dosjet e Komisionit</w:t>
      </w:r>
      <w:r w:rsidR="00584D24">
        <w:rPr>
          <w:rFonts w:ascii="Garamond" w:hAnsi="Garamond"/>
          <w:sz w:val="24"/>
          <w:szCs w:val="24"/>
        </w:rPr>
        <w:t>;</w:t>
      </w:r>
    </w:p>
    <w:p w14:paraId="7A598B0A" w14:textId="1A0F211B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Dhënies së kontributit për Kuvendin dhe institucionet e tjera</w:t>
      </w:r>
      <w:r w:rsidR="00584D24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për</w:t>
      </w:r>
      <w:r w:rsidR="00F43580" w:rsidRPr="005B08F1">
        <w:rPr>
          <w:rFonts w:ascii="Garamond" w:hAnsi="Garamond"/>
          <w:sz w:val="24"/>
          <w:szCs w:val="24"/>
        </w:rPr>
        <w:t xml:space="preserve"> </w:t>
      </w:r>
      <w:r w:rsidR="00D9402D" w:rsidRPr="005B08F1">
        <w:rPr>
          <w:rFonts w:ascii="Garamond" w:hAnsi="Garamond"/>
          <w:sz w:val="24"/>
          <w:szCs w:val="24"/>
        </w:rPr>
        <w:t>sa i takon vlerësimit ligjor të akteve ligjore dhe nënligjore, ku për vitin 2020 Autoriteti ka vlerësuar në total 37 akte, nga të cilat 3 projektligje, 4 projektakte normative, 24 akte nënligjore në tregun e energjisë, 4 akte në</w:t>
      </w:r>
      <w:r w:rsidR="00F43580" w:rsidRPr="005B08F1">
        <w:rPr>
          <w:rFonts w:ascii="Garamond" w:hAnsi="Garamond"/>
          <w:sz w:val="24"/>
          <w:szCs w:val="24"/>
        </w:rPr>
        <w:t>n</w:t>
      </w:r>
      <w:r w:rsidR="00D9402D" w:rsidRPr="005B08F1">
        <w:rPr>
          <w:rFonts w:ascii="Garamond" w:hAnsi="Garamond"/>
          <w:sz w:val="24"/>
          <w:szCs w:val="24"/>
        </w:rPr>
        <w:t>ligjore në sektorin e furnizimit me ujë dhe përpunimit të ujërave të ndotura</w:t>
      </w:r>
      <w:r w:rsidR="00F43580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si dhe Dokumentin Strategjik dhe Planin e Veprimit të AMA-s</w:t>
      </w:r>
      <w:r w:rsidR="00584D24">
        <w:rPr>
          <w:rFonts w:ascii="Garamond" w:hAnsi="Garamond"/>
          <w:sz w:val="24"/>
          <w:szCs w:val="24"/>
        </w:rPr>
        <w:t>;</w:t>
      </w:r>
    </w:p>
    <w:p w14:paraId="5837E7AE" w14:textId="5175C0C7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lastRenderedPageBreak/>
        <w:t xml:space="preserve">- </w:t>
      </w:r>
      <w:r w:rsidR="00D9402D" w:rsidRPr="005B08F1">
        <w:rPr>
          <w:rFonts w:ascii="Garamond" w:hAnsi="Garamond"/>
          <w:sz w:val="24"/>
          <w:szCs w:val="24"/>
        </w:rPr>
        <w:t>Trajnimit të vaz</w:t>
      </w:r>
      <w:r w:rsidR="00AD67B1" w:rsidRPr="005B08F1">
        <w:rPr>
          <w:rFonts w:ascii="Garamond" w:hAnsi="Garamond"/>
          <w:sz w:val="24"/>
          <w:szCs w:val="24"/>
        </w:rPr>
        <w:t>hdueshëm të stafit të realizuar</w:t>
      </w:r>
      <w:r w:rsidR="00D9402D" w:rsidRPr="005B08F1">
        <w:rPr>
          <w:rFonts w:ascii="Garamond" w:hAnsi="Garamond"/>
          <w:sz w:val="24"/>
          <w:szCs w:val="24"/>
        </w:rPr>
        <w:t xml:space="preserve"> në kuadër të bashkëpunimit ndërkombëtar </w:t>
      </w:r>
      <w:r w:rsidR="00F43580" w:rsidRPr="005B08F1">
        <w:rPr>
          <w:rFonts w:ascii="Garamond" w:hAnsi="Garamond"/>
          <w:sz w:val="24"/>
          <w:szCs w:val="24"/>
        </w:rPr>
        <w:t>nëpërmjet</w:t>
      </w:r>
      <w:r w:rsidR="00D9402D" w:rsidRPr="005B08F1">
        <w:rPr>
          <w:rFonts w:ascii="Garamond" w:hAnsi="Garamond"/>
          <w:sz w:val="24"/>
          <w:szCs w:val="24"/>
        </w:rPr>
        <w:t xml:space="preserve"> projekteve të BERZH</w:t>
      </w:r>
      <w:r w:rsidR="00F43580" w:rsidRPr="005B08F1">
        <w:rPr>
          <w:rFonts w:ascii="Garamond" w:hAnsi="Garamond"/>
          <w:sz w:val="24"/>
          <w:szCs w:val="24"/>
        </w:rPr>
        <w:t>-it</w:t>
      </w:r>
      <w:r w:rsidR="00D9402D" w:rsidRPr="005B08F1">
        <w:rPr>
          <w:rFonts w:ascii="Garamond" w:hAnsi="Garamond"/>
          <w:sz w:val="24"/>
          <w:szCs w:val="24"/>
        </w:rPr>
        <w:t xml:space="preserve"> dhe IPA</w:t>
      </w:r>
      <w:r w:rsidR="00F43580" w:rsidRPr="005B08F1">
        <w:rPr>
          <w:rFonts w:ascii="Garamond" w:hAnsi="Garamond"/>
          <w:sz w:val="24"/>
          <w:szCs w:val="24"/>
        </w:rPr>
        <w:t>-s</w:t>
      </w:r>
      <w:r w:rsidR="00D9402D" w:rsidRPr="005B08F1">
        <w:rPr>
          <w:rFonts w:ascii="Garamond" w:hAnsi="Garamond"/>
          <w:sz w:val="24"/>
          <w:szCs w:val="24"/>
        </w:rPr>
        <w:t xml:space="preserve">, duke bërë të mundur zhvillimin e 12 trajnimeve </w:t>
      </w:r>
      <w:r w:rsidR="00F43580" w:rsidRPr="005B08F1">
        <w:rPr>
          <w:rFonts w:ascii="Garamond" w:hAnsi="Garamond"/>
          <w:sz w:val="24"/>
          <w:szCs w:val="24"/>
        </w:rPr>
        <w:t>brenda</w:t>
      </w:r>
      <w:r w:rsidR="00AD67B1" w:rsidRPr="005B08F1">
        <w:rPr>
          <w:rFonts w:ascii="Garamond" w:hAnsi="Garamond"/>
          <w:sz w:val="24"/>
          <w:szCs w:val="24"/>
        </w:rPr>
        <w:t xml:space="preserve"> vendit dhe </w:t>
      </w:r>
      <w:r w:rsidR="00D9402D" w:rsidRPr="005B08F1">
        <w:rPr>
          <w:rFonts w:ascii="Garamond" w:hAnsi="Garamond"/>
          <w:sz w:val="24"/>
          <w:szCs w:val="24"/>
        </w:rPr>
        <w:t xml:space="preserve">10 trajnimeve jashtë, si dhe një </w:t>
      </w:r>
      <w:r w:rsidR="00F43580" w:rsidRPr="005B08F1">
        <w:rPr>
          <w:rFonts w:ascii="Garamond" w:hAnsi="Garamond"/>
          <w:sz w:val="24"/>
          <w:szCs w:val="24"/>
        </w:rPr>
        <w:t>pjesëmarrje</w:t>
      </w:r>
      <w:r w:rsidR="00D9402D" w:rsidRPr="005B08F1">
        <w:rPr>
          <w:rFonts w:ascii="Garamond" w:hAnsi="Garamond"/>
          <w:sz w:val="24"/>
          <w:szCs w:val="24"/>
        </w:rPr>
        <w:t xml:space="preserve"> aktive në organizmat ndërkombëtar</w:t>
      </w:r>
      <w:r w:rsidR="00F43580" w:rsidRPr="005B08F1">
        <w:rPr>
          <w:rFonts w:ascii="Garamond" w:hAnsi="Garamond"/>
          <w:sz w:val="24"/>
          <w:szCs w:val="24"/>
        </w:rPr>
        <w:t xml:space="preserve">ë, si: </w:t>
      </w:r>
      <w:r w:rsidR="00D9402D" w:rsidRPr="005B08F1">
        <w:rPr>
          <w:rFonts w:ascii="Garamond" w:hAnsi="Garamond"/>
          <w:sz w:val="24"/>
          <w:szCs w:val="24"/>
        </w:rPr>
        <w:t>UNCTAD, OECD/RCC, ICN, etj.</w:t>
      </w:r>
      <w:r w:rsidR="00584D24">
        <w:rPr>
          <w:rFonts w:ascii="Garamond" w:hAnsi="Garamond"/>
          <w:sz w:val="24"/>
          <w:szCs w:val="24"/>
        </w:rPr>
        <w:t>;</w:t>
      </w:r>
    </w:p>
    <w:p w14:paraId="73BFF186" w14:textId="773F18A1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Përmirësimit ndër vite të përpjekjeve të institucionit në drejtim të advokacisë përkundrejt shumë palëve në treg, si</w:t>
      </w:r>
      <w:r w:rsidR="00F43580" w:rsidRPr="005B08F1">
        <w:rPr>
          <w:rFonts w:ascii="Garamond" w:hAnsi="Garamond"/>
          <w:sz w:val="24"/>
          <w:szCs w:val="24"/>
        </w:rPr>
        <w:t>:</w:t>
      </w:r>
      <w:r w:rsidR="00D9402D" w:rsidRPr="005B08F1">
        <w:rPr>
          <w:rFonts w:ascii="Garamond" w:hAnsi="Garamond"/>
          <w:sz w:val="24"/>
          <w:szCs w:val="24"/>
        </w:rPr>
        <w:t xml:space="preserve"> konsumatorët, komuniteti i biznesit dhe institucionet shtetërore, </w:t>
      </w:r>
      <w:r w:rsidR="00F43580" w:rsidRPr="005B08F1">
        <w:rPr>
          <w:rFonts w:ascii="Garamond" w:hAnsi="Garamond"/>
          <w:sz w:val="24"/>
          <w:szCs w:val="24"/>
        </w:rPr>
        <w:t>ku konkretisht gjatë vitit 2020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  <w:r w:rsidR="00F43580" w:rsidRPr="005B08F1">
        <w:rPr>
          <w:rFonts w:ascii="Garamond" w:hAnsi="Garamond"/>
          <w:sz w:val="24"/>
          <w:szCs w:val="24"/>
        </w:rPr>
        <w:t>është hartuar dhe miratuar</w:t>
      </w:r>
      <w:r w:rsidR="00D9402D" w:rsidRPr="005B08F1">
        <w:rPr>
          <w:rFonts w:ascii="Garamond" w:hAnsi="Garamond"/>
          <w:sz w:val="24"/>
          <w:szCs w:val="24"/>
        </w:rPr>
        <w:t xml:space="preserve"> në bashkëpunim me projektin e asistencës teknike të dhënë nga BERZH</w:t>
      </w:r>
      <w:r w:rsidR="00F43580" w:rsidRPr="005B08F1">
        <w:rPr>
          <w:rFonts w:ascii="Garamond" w:hAnsi="Garamond"/>
          <w:sz w:val="24"/>
          <w:szCs w:val="24"/>
        </w:rPr>
        <w:t>-i</w:t>
      </w:r>
      <w:r w:rsidR="00D9402D" w:rsidRPr="005B08F1">
        <w:rPr>
          <w:rFonts w:ascii="Garamond" w:hAnsi="Garamond"/>
          <w:sz w:val="24"/>
          <w:szCs w:val="24"/>
        </w:rPr>
        <w:t xml:space="preserve"> dokumenti “Advokacia e </w:t>
      </w:r>
      <w:r w:rsidR="00F43580" w:rsidRPr="005B08F1">
        <w:rPr>
          <w:rFonts w:ascii="Garamond" w:hAnsi="Garamond"/>
          <w:sz w:val="24"/>
          <w:szCs w:val="24"/>
        </w:rPr>
        <w:t>k</w:t>
      </w:r>
      <w:r w:rsidR="00D9402D" w:rsidRPr="005B08F1">
        <w:rPr>
          <w:rFonts w:ascii="Garamond" w:hAnsi="Garamond"/>
          <w:sz w:val="24"/>
          <w:szCs w:val="24"/>
        </w:rPr>
        <w:t xml:space="preserve">onkurrencës dhe </w:t>
      </w:r>
      <w:r w:rsidR="00F43580" w:rsidRPr="005B08F1">
        <w:rPr>
          <w:rFonts w:ascii="Garamond" w:hAnsi="Garamond"/>
          <w:sz w:val="24"/>
          <w:szCs w:val="24"/>
        </w:rPr>
        <w:t>s</w:t>
      </w:r>
      <w:r w:rsidR="00D9402D" w:rsidRPr="005B08F1">
        <w:rPr>
          <w:rFonts w:ascii="Garamond" w:hAnsi="Garamond"/>
          <w:sz w:val="24"/>
          <w:szCs w:val="24"/>
        </w:rPr>
        <w:t xml:space="preserve">trategjia e </w:t>
      </w:r>
      <w:r w:rsidR="00F43580" w:rsidRPr="005B08F1">
        <w:rPr>
          <w:rFonts w:ascii="Garamond" w:hAnsi="Garamond"/>
          <w:sz w:val="24"/>
          <w:szCs w:val="24"/>
        </w:rPr>
        <w:t>k</w:t>
      </w:r>
      <w:r w:rsidR="00D9402D" w:rsidRPr="005B08F1">
        <w:rPr>
          <w:rFonts w:ascii="Garamond" w:hAnsi="Garamond"/>
          <w:sz w:val="24"/>
          <w:szCs w:val="24"/>
        </w:rPr>
        <w:t>omunikimit”</w:t>
      </w:r>
      <w:r w:rsidR="006D6CF7" w:rsidRPr="005B08F1">
        <w:rPr>
          <w:rFonts w:ascii="Garamond" w:hAnsi="Garamond"/>
          <w:sz w:val="24"/>
          <w:szCs w:val="24"/>
        </w:rPr>
        <w:t>;</w:t>
      </w:r>
      <w:r w:rsidR="00D9402D" w:rsidRPr="005B08F1">
        <w:rPr>
          <w:rFonts w:ascii="Garamond" w:hAnsi="Garamond"/>
          <w:sz w:val="24"/>
          <w:szCs w:val="24"/>
        </w:rPr>
        <w:t xml:space="preserve"> realizimi në datën 5 dhjetor i “Ditës Kombëtare të Konkurrencës” dhe nënshkrimi i Memorandumit të Bashkëpunimit me Komisionerin për të Drejtën e </w:t>
      </w:r>
      <w:r w:rsidR="006D6CF7" w:rsidRPr="005B08F1">
        <w:rPr>
          <w:rFonts w:ascii="Garamond" w:hAnsi="Garamond"/>
          <w:sz w:val="24"/>
          <w:szCs w:val="24"/>
        </w:rPr>
        <w:t>Informimit</w:t>
      </w:r>
      <w:r w:rsidR="00D9402D" w:rsidRPr="005B08F1">
        <w:rPr>
          <w:rFonts w:ascii="Garamond" w:hAnsi="Garamond"/>
          <w:sz w:val="24"/>
          <w:szCs w:val="24"/>
        </w:rPr>
        <w:t xml:space="preserve"> dhe Mbrojtjen e të Dhënave Personale</w:t>
      </w:r>
      <w:r w:rsidR="00584D24">
        <w:rPr>
          <w:rFonts w:ascii="Garamond" w:hAnsi="Garamond"/>
          <w:sz w:val="24"/>
          <w:szCs w:val="24"/>
        </w:rPr>
        <w:t>;</w:t>
      </w:r>
    </w:p>
    <w:p w14:paraId="25A1906D" w14:textId="1386DF70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Ndjekjes së 3 proce</w:t>
      </w:r>
      <w:r w:rsidR="006D6CF7" w:rsidRPr="005B08F1">
        <w:rPr>
          <w:rFonts w:ascii="Garamond" w:hAnsi="Garamond"/>
          <w:sz w:val="24"/>
          <w:szCs w:val="24"/>
        </w:rPr>
        <w:t>se</w:t>
      </w:r>
      <w:r w:rsidR="00D9402D" w:rsidRPr="005B08F1">
        <w:rPr>
          <w:rFonts w:ascii="Garamond" w:hAnsi="Garamond"/>
          <w:sz w:val="24"/>
          <w:szCs w:val="24"/>
        </w:rPr>
        <w:t>ve gjyqësore gjatë vitit 2020</w:t>
      </w:r>
      <w:r w:rsidR="006D6CF7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ku Autoriteti rezulton të jetë i paditur nga ndërmarrjet për të cilat me </w:t>
      </w:r>
      <w:r w:rsidR="006D6CF7" w:rsidRPr="005B08F1">
        <w:rPr>
          <w:rFonts w:ascii="Garamond" w:hAnsi="Garamond"/>
          <w:sz w:val="24"/>
          <w:szCs w:val="24"/>
        </w:rPr>
        <w:t>vendimmarrje</w:t>
      </w:r>
      <w:r w:rsidR="00D9402D" w:rsidRPr="005B08F1">
        <w:rPr>
          <w:rFonts w:ascii="Garamond" w:hAnsi="Garamond"/>
          <w:sz w:val="24"/>
          <w:szCs w:val="24"/>
        </w:rPr>
        <w:t xml:space="preserve"> të Komisionit është konstatuar abuzimi me pozitën dominuese dhe për të cilat gjykata administrative e shkallës së parë i ka dhënë të drejtë Autoritetit</w:t>
      </w:r>
      <w:r w:rsidR="00584D24">
        <w:rPr>
          <w:rFonts w:ascii="Garamond" w:hAnsi="Garamond"/>
          <w:sz w:val="24"/>
          <w:szCs w:val="24"/>
        </w:rPr>
        <w:t>;</w:t>
      </w:r>
    </w:p>
    <w:p w14:paraId="422E6B0E" w14:textId="23000997" w:rsidR="00D9402D" w:rsidRPr="005B08F1" w:rsidRDefault="003918EF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Dhënies së rekomandimeve konkrete për entet rregullatore dhe institucionet e administratës </w:t>
      </w:r>
      <w:r w:rsidR="006D6CF7" w:rsidRPr="005B08F1">
        <w:rPr>
          <w:rFonts w:ascii="Garamond" w:hAnsi="Garamond"/>
          <w:sz w:val="24"/>
          <w:szCs w:val="24"/>
        </w:rPr>
        <w:t>qendrore</w:t>
      </w:r>
      <w:r w:rsidR="00D9402D" w:rsidRPr="005B08F1">
        <w:rPr>
          <w:rFonts w:ascii="Garamond" w:hAnsi="Garamond"/>
          <w:sz w:val="24"/>
          <w:szCs w:val="24"/>
        </w:rPr>
        <w:t>, si dhe pasurimin e Platformës Parl</w:t>
      </w:r>
      <w:r w:rsidR="006D6CF7" w:rsidRPr="005B08F1">
        <w:rPr>
          <w:rFonts w:ascii="Garamond" w:hAnsi="Garamond"/>
          <w:sz w:val="24"/>
          <w:szCs w:val="24"/>
        </w:rPr>
        <w:t>a</w:t>
      </w:r>
      <w:r w:rsidR="00D9402D" w:rsidRPr="005B08F1">
        <w:rPr>
          <w:rFonts w:ascii="Garamond" w:hAnsi="Garamond"/>
          <w:sz w:val="24"/>
          <w:szCs w:val="24"/>
        </w:rPr>
        <w:t xml:space="preserve">mentare Online me këto rekomandime duke përditësuar statusin e tyre në vazhdimësi. </w:t>
      </w:r>
    </w:p>
    <w:p w14:paraId="3A2BC98D" w14:textId="37F33D6B" w:rsidR="00D9402D" w:rsidRPr="005B08F1" w:rsidRDefault="00D9402D" w:rsidP="005B08F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B08F1">
        <w:rPr>
          <w:rFonts w:ascii="Garamond" w:hAnsi="Garamond"/>
          <w:b/>
          <w:sz w:val="24"/>
          <w:szCs w:val="24"/>
        </w:rPr>
        <w:t>Kuvendi kërkon që Autoriteti i Konkurrencës për vitin 2021</w:t>
      </w:r>
      <w:r w:rsidR="006D6CF7" w:rsidRPr="005B08F1">
        <w:rPr>
          <w:rFonts w:ascii="Garamond" w:hAnsi="Garamond"/>
          <w:b/>
          <w:sz w:val="24"/>
          <w:szCs w:val="24"/>
        </w:rPr>
        <w:t xml:space="preserve"> </w:t>
      </w:r>
      <w:r w:rsidRPr="005B08F1">
        <w:rPr>
          <w:rFonts w:ascii="Garamond" w:hAnsi="Garamond"/>
          <w:b/>
          <w:sz w:val="24"/>
          <w:szCs w:val="24"/>
        </w:rPr>
        <w:t xml:space="preserve">të angazhohet në këto drejtime: </w:t>
      </w:r>
    </w:p>
    <w:p w14:paraId="78AB94C4" w14:textId="021AA235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Të vazhdojë monitorimet, hetimet dhe analizat në tregjet sensitive dhe me </w:t>
      </w:r>
      <w:r w:rsidR="006D6CF7" w:rsidRPr="005B08F1">
        <w:rPr>
          <w:rFonts w:ascii="Garamond" w:hAnsi="Garamond"/>
          <w:sz w:val="24"/>
          <w:szCs w:val="24"/>
        </w:rPr>
        <w:t>ndikim</w:t>
      </w:r>
      <w:r w:rsidR="00D9402D" w:rsidRPr="005B08F1">
        <w:rPr>
          <w:rFonts w:ascii="Garamond" w:hAnsi="Garamond"/>
          <w:sz w:val="24"/>
          <w:szCs w:val="24"/>
        </w:rPr>
        <w:t xml:space="preserve"> të drejtpërdrejtë për </w:t>
      </w:r>
      <w:r w:rsidR="006D6CF7" w:rsidRPr="005B08F1">
        <w:rPr>
          <w:rFonts w:ascii="Garamond" w:hAnsi="Garamond"/>
          <w:sz w:val="24"/>
          <w:szCs w:val="24"/>
        </w:rPr>
        <w:t>mirëqenien</w:t>
      </w:r>
      <w:r w:rsidR="00D9402D" w:rsidRPr="005B08F1">
        <w:rPr>
          <w:rFonts w:ascii="Garamond" w:hAnsi="Garamond"/>
          <w:sz w:val="24"/>
          <w:szCs w:val="24"/>
        </w:rPr>
        <w:t xml:space="preserve"> e konsumatorit, por edhe </w:t>
      </w:r>
      <w:r w:rsidR="00AD67B1" w:rsidRPr="005B08F1">
        <w:rPr>
          <w:rFonts w:ascii="Garamond" w:hAnsi="Garamond"/>
          <w:sz w:val="24"/>
          <w:szCs w:val="24"/>
        </w:rPr>
        <w:t>në</w:t>
      </w:r>
      <w:r w:rsidR="00D9402D" w:rsidRPr="005B08F1">
        <w:rPr>
          <w:rFonts w:ascii="Garamond" w:hAnsi="Garamond"/>
          <w:sz w:val="24"/>
          <w:szCs w:val="24"/>
        </w:rPr>
        <w:t xml:space="preserve"> tregjet e tjera referuar praktikave të ngjashme të vendeve të BE-së</w:t>
      </w:r>
      <w:r w:rsidR="006D6CF7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si tregu i medi</w:t>
      </w:r>
      <w:r w:rsidR="006D6CF7" w:rsidRPr="005B08F1">
        <w:rPr>
          <w:rFonts w:ascii="Garamond" w:hAnsi="Garamond"/>
          <w:sz w:val="24"/>
          <w:szCs w:val="24"/>
        </w:rPr>
        <w:t>e</w:t>
      </w:r>
      <w:r w:rsidR="004B0605" w:rsidRPr="005B08F1">
        <w:rPr>
          <w:rFonts w:ascii="Garamond" w:hAnsi="Garamond"/>
          <w:sz w:val="24"/>
          <w:szCs w:val="24"/>
        </w:rPr>
        <w:t>s audiovizive, shërbimet</w:t>
      </w:r>
      <w:r w:rsidR="00D9402D" w:rsidRPr="005B08F1">
        <w:rPr>
          <w:rFonts w:ascii="Garamond" w:hAnsi="Garamond"/>
          <w:sz w:val="24"/>
          <w:szCs w:val="24"/>
        </w:rPr>
        <w:t xml:space="preserve"> portuale dhe sektori i ekonomisë di</w:t>
      </w:r>
      <w:r w:rsidR="00584D24">
        <w:rPr>
          <w:rFonts w:ascii="Garamond" w:hAnsi="Garamond"/>
          <w:sz w:val="24"/>
          <w:szCs w:val="24"/>
        </w:rPr>
        <w:t>gj</w:t>
      </w:r>
      <w:r w:rsidR="00D9402D" w:rsidRPr="005B08F1">
        <w:rPr>
          <w:rFonts w:ascii="Garamond" w:hAnsi="Garamond"/>
          <w:sz w:val="24"/>
          <w:szCs w:val="24"/>
        </w:rPr>
        <w:t>itale</w:t>
      </w:r>
      <w:r w:rsidR="00584D24">
        <w:rPr>
          <w:rFonts w:ascii="Garamond" w:hAnsi="Garamond"/>
          <w:sz w:val="24"/>
          <w:szCs w:val="24"/>
        </w:rPr>
        <w:t>;</w:t>
      </w:r>
    </w:p>
    <w:p w14:paraId="69771923" w14:textId="3207AC26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Brenda vitit 2021 të paraqesë </w:t>
      </w:r>
      <w:r w:rsidR="006D6CF7" w:rsidRPr="005B08F1">
        <w:rPr>
          <w:rFonts w:ascii="Garamond" w:hAnsi="Garamond"/>
          <w:sz w:val="24"/>
          <w:szCs w:val="24"/>
        </w:rPr>
        <w:t xml:space="preserve">në Kuvend </w:t>
      </w:r>
      <w:r w:rsidR="00D9402D" w:rsidRPr="005B08F1">
        <w:rPr>
          <w:rFonts w:ascii="Garamond" w:hAnsi="Garamond"/>
          <w:sz w:val="24"/>
          <w:szCs w:val="24"/>
        </w:rPr>
        <w:t>për amendim ligjin nr. 9121, datë 28.7.2003</w:t>
      </w:r>
      <w:r w:rsidR="006D6CF7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“Për mbrojtje</w:t>
      </w:r>
      <w:r w:rsidR="006D6CF7" w:rsidRPr="005B08F1">
        <w:rPr>
          <w:rFonts w:ascii="Garamond" w:hAnsi="Garamond"/>
          <w:sz w:val="24"/>
          <w:szCs w:val="24"/>
        </w:rPr>
        <w:t>n e konkurrencës”, të ndryshuar</w:t>
      </w:r>
      <w:r w:rsidR="00584D24">
        <w:rPr>
          <w:rFonts w:ascii="Garamond" w:hAnsi="Garamond"/>
          <w:sz w:val="24"/>
          <w:szCs w:val="24"/>
        </w:rPr>
        <w:t>;</w:t>
      </w:r>
    </w:p>
    <w:p w14:paraId="190C5053" w14:textId="2F1254D5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Të zgjerojë më tej ndërhyrjen në procesin ligjbërës duke mos u fokusuar në vlerësimin e projektit të një propozimi të ri ligjor</w:t>
      </w:r>
      <w:r w:rsidR="00240E91" w:rsidRPr="005B08F1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por edhe në vlerësimin e legjislacionit </w:t>
      </w:r>
      <w:r w:rsidR="00240E91" w:rsidRPr="005B08F1">
        <w:rPr>
          <w:rFonts w:ascii="Garamond" w:hAnsi="Garamond"/>
          <w:sz w:val="24"/>
          <w:szCs w:val="24"/>
        </w:rPr>
        <w:t>ekzistues,</w:t>
      </w:r>
      <w:r w:rsidR="00D9402D" w:rsidRPr="005B08F1">
        <w:rPr>
          <w:rFonts w:ascii="Garamond" w:hAnsi="Garamond"/>
          <w:sz w:val="24"/>
          <w:szCs w:val="24"/>
        </w:rPr>
        <w:t xml:space="preserve"> me qëllim evidentimin e pasojave të padëshirueshme që m</w:t>
      </w:r>
      <w:r w:rsidR="004B0605" w:rsidRPr="005B08F1">
        <w:rPr>
          <w:rFonts w:ascii="Garamond" w:hAnsi="Garamond"/>
          <w:sz w:val="24"/>
          <w:szCs w:val="24"/>
        </w:rPr>
        <w:t>und të ketë pasur një ligj, duk</w:t>
      </w:r>
      <w:r w:rsidR="00240E91" w:rsidRPr="005B08F1">
        <w:rPr>
          <w:rFonts w:ascii="Garamond" w:hAnsi="Garamond"/>
          <w:sz w:val="24"/>
          <w:szCs w:val="24"/>
        </w:rPr>
        <w:t xml:space="preserve">e </w:t>
      </w:r>
      <w:bookmarkStart w:id="0" w:name="_GoBack"/>
      <w:bookmarkEnd w:id="0"/>
      <w:r w:rsidR="00D9402D" w:rsidRPr="005B08F1">
        <w:rPr>
          <w:rFonts w:ascii="Garamond" w:hAnsi="Garamond"/>
          <w:sz w:val="24"/>
          <w:szCs w:val="24"/>
        </w:rPr>
        <w:t>harmonizuar këtë ndërhyr</w:t>
      </w:r>
      <w:r w:rsidR="00584D24">
        <w:rPr>
          <w:rFonts w:ascii="Garamond" w:hAnsi="Garamond"/>
          <w:sz w:val="24"/>
          <w:szCs w:val="24"/>
        </w:rPr>
        <w:t>je në nivel kombëtar dhe vendor;</w:t>
      </w:r>
      <w:r w:rsidR="00D9402D" w:rsidRPr="005B08F1">
        <w:rPr>
          <w:rFonts w:ascii="Garamond" w:hAnsi="Garamond"/>
          <w:sz w:val="24"/>
          <w:szCs w:val="24"/>
        </w:rPr>
        <w:t xml:space="preserve"> </w:t>
      </w:r>
    </w:p>
    <w:p w14:paraId="08723641" w14:textId="2F3CD290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Të jetë aktiv dhe i përfshirë në advokacinë e reformave që promovojnë konkurrencën në procedurat e prokurimit publik dhe dhënies së ndihmës shtetërore, duke kontribuar </w:t>
      </w:r>
      <w:r w:rsidR="00223BB0" w:rsidRPr="005B08F1">
        <w:rPr>
          <w:rFonts w:ascii="Garamond" w:hAnsi="Garamond"/>
          <w:sz w:val="24"/>
          <w:szCs w:val="24"/>
        </w:rPr>
        <w:t>drejtpërsëdrejti</w:t>
      </w:r>
      <w:r w:rsidR="00D9402D" w:rsidRPr="005B08F1">
        <w:rPr>
          <w:rFonts w:ascii="Garamond" w:hAnsi="Garamond"/>
          <w:sz w:val="24"/>
          <w:szCs w:val="24"/>
        </w:rPr>
        <w:t xml:space="preserve"> në të ardhurat e kursyera që lejojnë rritje të shpenzimev</w:t>
      </w:r>
      <w:r w:rsidR="00584D24">
        <w:rPr>
          <w:rFonts w:ascii="Garamond" w:hAnsi="Garamond"/>
          <w:sz w:val="24"/>
          <w:szCs w:val="24"/>
        </w:rPr>
        <w:t>e në fusha të tjera të buxhetit;</w:t>
      </w:r>
    </w:p>
    <w:p w14:paraId="209814A3" w14:textId="704B0D83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Të organizojë më shumë trajnime/seminare në fushën e prokurimit publik për autorite</w:t>
      </w:r>
      <w:r w:rsidR="00240E91" w:rsidRPr="005B08F1">
        <w:rPr>
          <w:rFonts w:ascii="Garamond" w:hAnsi="Garamond"/>
          <w:sz w:val="24"/>
          <w:szCs w:val="24"/>
        </w:rPr>
        <w:t>te</w:t>
      </w:r>
      <w:r w:rsidR="00D9402D" w:rsidRPr="005B08F1">
        <w:rPr>
          <w:rFonts w:ascii="Garamond" w:hAnsi="Garamond"/>
          <w:sz w:val="24"/>
          <w:szCs w:val="24"/>
        </w:rPr>
        <w:t xml:space="preserve">t kontraktuese dhe për bashkësinë e biznesit në mënyrë që të udhëzohet drejt hartimi optimal </w:t>
      </w:r>
      <w:r w:rsidR="00240E91" w:rsidRPr="005B08F1">
        <w:rPr>
          <w:rFonts w:ascii="Garamond" w:hAnsi="Garamond"/>
          <w:sz w:val="24"/>
          <w:szCs w:val="24"/>
        </w:rPr>
        <w:t>i</w:t>
      </w:r>
      <w:r w:rsidR="00D9402D" w:rsidRPr="005B08F1">
        <w:rPr>
          <w:rFonts w:ascii="Garamond" w:hAnsi="Garamond"/>
          <w:sz w:val="24"/>
          <w:szCs w:val="24"/>
        </w:rPr>
        <w:t xml:space="preserve"> p</w:t>
      </w:r>
      <w:r w:rsidR="004B0605" w:rsidRPr="005B08F1">
        <w:rPr>
          <w:rFonts w:ascii="Garamond" w:hAnsi="Garamond"/>
          <w:sz w:val="24"/>
          <w:szCs w:val="24"/>
        </w:rPr>
        <w:t>rocedurave të prokurimit publik</w:t>
      </w:r>
      <w:r w:rsidR="00584D24">
        <w:rPr>
          <w:rFonts w:ascii="Garamond" w:hAnsi="Garamond"/>
          <w:sz w:val="24"/>
          <w:szCs w:val="24"/>
        </w:rPr>
        <w:t>,</w:t>
      </w:r>
      <w:r w:rsidR="00D9402D" w:rsidRPr="005B08F1">
        <w:rPr>
          <w:rFonts w:ascii="Garamond" w:hAnsi="Garamond"/>
          <w:sz w:val="24"/>
          <w:szCs w:val="24"/>
        </w:rPr>
        <w:t xml:space="preserve"> për të shmangur marrëveshjen e fshehtë dhe </w:t>
      </w:r>
      <w:r w:rsidR="00D9402D" w:rsidRPr="00584D24">
        <w:rPr>
          <w:rFonts w:ascii="Garamond" w:hAnsi="Garamond"/>
          <w:i/>
          <w:sz w:val="24"/>
          <w:szCs w:val="24"/>
        </w:rPr>
        <w:t>bid rigging</w:t>
      </w:r>
      <w:r w:rsidR="00D9402D" w:rsidRPr="005B08F1">
        <w:rPr>
          <w:rFonts w:ascii="Garamond" w:hAnsi="Garamond"/>
          <w:sz w:val="24"/>
          <w:szCs w:val="24"/>
        </w:rPr>
        <w:t xml:space="preserve"> dhe të rritet ndërgjegjësimi </w:t>
      </w:r>
      <w:r w:rsidR="00240E91" w:rsidRPr="005B08F1">
        <w:rPr>
          <w:rFonts w:ascii="Garamond" w:hAnsi="Garamond"/>
          <w:sz w:val="24"/>
          <w:szCs w:val="24"/>
        </w:rPr>
        <w:t>për</w:t>
      </w:r>
      <w:r w:rsidR="00D9402D" w:rsidRPr="005B08F1">
        <w:rPr>
          <w:rFonts w:ascii="Garamond" w:hAnsi="Garamond"/>
          <w:sz w:val="24"/>
          <w:szCs w:val="24"/>
        </w:rPr>
        <w:t xml:space="preserve"> rëndësinë e ko</w:t>
      </w:r>
      <w:r w:rsidR="00584D24">
        <w:rPr>
          <w:rFonts w:ascii="Garamond" w:hAnsi="Garamond"/>
          <w:sz w:val="24"/>
          <w:szCs w:val="24"/>
        </w:rPr>
        <w:t>nkurrencës në prokurimin publik;</w:t>
      </w:r>
    </w:p>
    <w:p w14:paraId="055C6D76" w14:textId="1180D161" w:rsidR="00D9402D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>Të krijojë mekanizma efektivë konsultimi me bizneset dhe partnerët socialë për të siguruar transparencë dhe parashikueshmëri të masave mbështetëse dhe legjisla</w:t>
      </w:r>
      <w:r w:rsidR="00584D24">
        <w:rPr>
          <w:rFonts w:ascii="Garamond" w:hAnsi="Garamond"/>
          <w:sz w:val="24"/>
          <w:szCs w:val="24"/>
        </w:rPr>
        <w:t>cionit në fushën e konkurrencës;</w:t>
      </w:r>
    </w:p>
    <w:p w14:paraId="1229C8C1" w14:textId="7D8BF930" w:rsidR="008D5CDA" w:rsidRPr="005B08F1" w:rsidRDefault="005B08F1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02D" w:rsidRPr="005B08F1">
        <w:rPr>
          <w:rFonts w:ascii="Garamond" w:hAnsi="Garamond"/>
          <w:sz w:val="24"/>
          <w:szCs w:val="24"/>
        </w:rPr>
        <w:t xml:space="preserve">Të rrisë përpjekjet për zhvillimin e mëtejshëm të kulturës së konkurrencës me fokus të </w:t>
      </w:r>
      <w:r w:rsidR="00240E91" w:rsidRPr="005B08F1">
        <w:rPr>
          <w:rFonts w:ascii="Garamond" w:hAnsi="Garamond"/>
          <w:sz w:val="24"/>
          <w:szCs w:val="24"/>
        </w:rPr>
        <w:t>veçantë</w:t>
      </w:r>
      <w:r w:rsidR="00D9402D" w:rsidRPr="005B08F1">
        <w:rPr>
          <w:rFonts w:ascii="Garamond" w:hAnsi="Garamond"/>
          <w:sz w:val="24"/>
          <w:szCs w:val="24"/>
        </w:rPr>
        <w:t xml:space="preserve"> botën akademike, me synimin që të sigurojë një gjeneratë profesionistësh, të cilët do të jenë të formuar në fushën e ligjit dhe të ekonomisë së konkurrencës dhe të pajisur me dije për të trajtuar politikat e konkurrencës dhe çështje të rregullimit.</w:t>
      </w:r>
    </w:p>
    <w:p w14:paraId="775CFD6B" w14:textId="2E8B6B8E" w:rsidR="004B79D3" w:rsidRDefault="00533B06" w:rsidP="00533B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5A9EA52" w14:textId="5BBAF9E9" w:rsidR="00533B06" w:rsidRPr="00533B06" w:rsidRDefault="00533B06" w:rsidP="00533B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3B06">
        <w:rPr>
          <w:rFonts w:ascii="Garamond" w:hAnsi="Garamond"/>
          <w:b/>
          <w:sz w:val="24"/>
          <w:szCs w:val="24"/>
        </w:rPr>
        <w:t>Gramoz Ruçi</w:t>
      </w:r>
    </w:p>
    <w:p w14:paraId="1A8F77C4" w14:textId="77777777" w:rsidR="00533B06" w:rsidRPr="005B08F1" w:rsidRDefault="00533B06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1649EC" w14:textId="15ED35C8" w:rsidR="00EB62DE" w:rsidRPr="005B08F1" w:rsidRDefault="00F4148E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8F1">
        <w:rPr>
          <w:rFonts w:ascii="Garamond" w:hAnsi="Garamond"/>
          <w:sz w:val="24"/>
          <w:szCs w:val="24"/>
        </w:rPr>
        <w:t>Miratuar në datën 20.5</w:t>
      </w:r>
      <w:r w:rsidR="000D1518" w:rsidRPr="005B08F1">
        <w:rPr>
          <w:rFonts w:ascii="Garamond" w:hAnsi="Garamond"/>
          <w:sz w:val="24"/>
          <w:szCs w:val="24"/>
        </w:rPr>
        <w:t>.2021</w:t>
      </w:r>
      <w:r w:rsidR="00584D24">
        <w:rPr>
          <w:rFonts w:ascii="Garamond" w:hAnsi="Garamond"/>
          <w:sz w:val="24"/>
          <w:szCs w:val="24"/>
        </w:rPr>
        <w:t>.</w:t>
      </w:r>
    </w:p>
    <w:p w14:paraId="7EC64D1E" w14:textId="77777777" w:rsidR="00EB62DE" w:rsidRPr="005B08F1" w:rsidRDefault="00EB62DE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6DD7B" w14:textId="7328E5DC" w:rsidR="00D332B5" w:rsidRPr="005B08F1" w:rsidRDefault="00D332B5" w:rsidP="005B08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332B5" w:rsidRPr="005B08F1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52B3A" w14:textId="77777777" w:rsidR="00533B06" w:rsidRDefault="00533B06" w:rsidP="00C86383">
      <w:pPr>
        <w:spacing w:after="0" w:line="240" w:lineRule="auto"/>
      </w:pPr>
      <w:r>
        <w:separator/>
      </w:r>
    </w:p>
  </w:endnote>
  <w:endnote w:type="continuationSeparator" w:id="0">
    <w:p w14:paraId="41BAAFCD" w14:textId="77777777" w:rsidR="00533B06" w:rsidRDefault="00533B06" w:rsidP="00C86383">
      <w:pPr>
        <w:spacing w:after="0" w:line="240" w:lineRule="auto"/>
      </w:pPr>
      <w:r>
        <w:continuationSeparator/>
      </w:r>
    </w:p>
  </w:endnote>
  <w:endnote w:type="continuationNotice" w:id="1">
    <w:p w14:paraId="717BFE70" w14:textId="77777777" w:rsidR="00533B06" w:rsidRDefault="00533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533B06" w:rsidRPr="00E7684C" w:rsidRDefault="00533B0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25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33B06" w:rsidRDefault="00533B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150F9" w14:textId="77777777" w:rsidR="00533B06" w:rsidRDefault="00533B06" w:rsidP="00C86383">
      <w:pPr>
        <w:spacing w:after="0" w:line="240" w:lineRule="auto"/>
      </w:pPr>
      <w:r>
        <w:separator/>
      </w:r>
    </w:p>
  </w:footnote>
  <w:footnote w:type="continuationSeparator" w:id="0">
    <w:p w14:paraId="040AE5EB" w14:textId="77777777" w:rsidR="00533B06" w:rsidRDefault="00533B06" w:rsidP="00C86383">
      <w:pPr>
        <w:spacing w:after="0" w:line="240" w:lineRule="auto"/>
      </w:pPr>
      <w:r>
        <w:continuationSeparator/>
      </w:r>
    </w:p>
  </w:footnote>
  <w:footnote w:type="continuationNotice" w:id="1">
    <w:p w14:paraId="2C829366" w14:textId="77777777" w:rsidR="00533B06" w:rsidRDefault="00533B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25ED"/>
    <w:rsid w:val="001F4CD5"/>
    <w:rsid w:val="0020553B"/>
    <w:rsid w:val="002063FE"/>
    <w:rsid w:val="00207F3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310428"/>
    <w:rsid w:val="00312A26"/>
    <w:rsid w:val="00321277"/>
    <w:rsid w:val="00323548"/>
    <w:rsid w:val="003305FA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A29"/>
    <w:rsid w:val="00533B06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83C26"/>
    <w:rsid w:val="00584D24"/>
    <w:rsid w:val="00595D7E"/>
    <w:rsid w:val="005A4BF2"/>
    <w:rsid w:val="005A6A5B"/>
    <w:rsid w:val="005B08F1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6D4C"/>
    <w:rsid w:val="00707C51"/>
    <w:rsid w:val="007134F3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4850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A7723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62A7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33E5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E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555DFA6B-1C68-45B5-AC7B-48D87C46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BD7FCCA53424AB9A57A54CB715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1215-2</Nr_x002e__x0020_akti>
    <Data_x0020_e_x0020_Krijimit xmlns="0e656187-b300-4fb0-8bf4-3a50f872073c">2021-05-25T08:05:10Z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2021-05-23T22:00:00Z</Date_x0020_protokolli>
    <Titulli xmlns="0e656187-b300-4fb0-8bf4-3a50f872073c">Për vlerësimin e veprimtarisë së Autoritetit të Konkurrencës për vitin 2020</Titulli>
    <Modifikuesi xmlns="0e656187-b300-4fb0-8bf4-3a50f872073c">vjollca.pacrami</Modifikuesi>
    <Nr_x002e__x0020_prot_x0020_QBZ xmlns="0e656187-b300-4fb0-8bf4-3a50f872073c">769/1</Nr_x002e__x0020_prot_x0020_QBZ>
    <Data_x0020_e_x0020_Modifikimit xmlns="0e656187-b300-4fb0-8bf4-3a50f872073c">2021-05-25T08:10:55Z</Data_x0020_e_x0020_Modifikimit>
    <Dekretuar xmlns="0e656187-b300-4fb0-8bf4-3a50f872073c">false</Dekretuar>
    <Data xmlns="0e656187-b300-4fb0-8bf4-3a50f872073c">2021-05-19T22:00:00Z</Data>
    <Nr_x002e__x0020_protokolli_x0020_i_x0020_aktit xmlns="0e656187-b300-4fb0-8bf4-3a50f872073c">1215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BD7FCCA53424AB9A57A54CB715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368D-C6C4-4565-ACE5-C2F909808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6833F-2E7D-4933-A31F-21B5F04F4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D03DF4-E237-47CD-B3D6-7EAEA1616DC5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6087DF0-0E82-470A-8881-840650EBCD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086907-8028-4659-B57E-A405B6008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AEFF63-D657-4A26-A09D-830BDB15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Konkurrencës për vitin 2020</vt:lpstr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Konkurrencës për vitin 2020</dc:title>
  <dc:creator>user</dc:creator>
  <cp:lastModifiedBy>Fjora Cahani</cp:lastModifiedBy>
  <cp:revision>7</cp:revision>
  <cp:lastPrinted>2021-05-24T07:00:00Z</cp:lastPrinted>
  <dcterms:created xsi:type="dcterms:W3CDTF">2021-05-25T08:01:00Z</dcterms:created>
  <dcterms:modified xsi:type="dcterms:W3CDTF">2021-05-25T08:30:00Z</dcterms:modified>
</cp:coreProperties>
</file>