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1D590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64EAD60B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02250F2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VLERËSIMIN E VEPRIMTARISË SË KËSHILLIT TË LARTË </w:t>
      </w:r>
    </w:p>
    <w:p w14:paraId="5F880B6F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>TË PROKURORISË PËR VITIN 2020</w:t>
      </w:r>
    </w:p>
    <w:p w14:paraId="012B9205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F8D847B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73206B80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Duke mbajtur parasysh rolin e Këshillit të Lartë të Prokurorisë në garantimin e pavarësisë, llogaridhënies, disiplinës, statusit dhe karrierës së prokurorëve të Republikës së Shqipërisë;</w:t>
      </w:r>
    </w:p>
    <w:p w14:paraId="3DC90CCE" w14:textId="5197E69D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Duke nënvizuar rolin e Këshillit të Lartë të Prokurorisë në emërimin, vlerësimin, ngritjen në detyrë, transferimin dhe vendosjen e masave di</w:t>
      </w:r>
      <w:r w:rsidR="00555078">
        <w:rPr>
          <w:rFonts w:ascii="Garamond" w:hAnsi="Garamond" w:cs="Times New Roman"/>
          <w:color w:val="000000"/>
          <w:sz w:val="24"/>
          <w:szCs w:val="24"/>
        </w:rPr>
        <w:t xml:space="preserve">siplinore, si dhe pezullimin e </w:t>
      </w:r>
      <w:bookmarkStart w:id="0" w:name="_GoBack"/>
      <w:bookmarkEnd w:id="0"/>
      <w:r w:rsidRPr="00555078">
        <w:rPr>
          <w:rFonts w:ascii="Garamond" w:hAnsi="Garamond" w:cs="Times New Roman"/>
          <w:color w:val="000000"/>
          <w:sz w:val="24"/>
          <w:szCs w:val="24"/>
        </w:rPr>
        <w:t>prokurorëve të të gjitha niveleve;</w:t>
      </w:r>
    </w:p>
    <w:p w14:paraId="64FD05B0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Duke mbajtur në konsideratë rolin e Këshillit të Lartë të Prokurorisë në miratimin e standardeve të etikës së prokurorëve dhe të rregullave të sjelljes së prokurorëve, si dhe për mbikëqyrjen e respektimit të tyre;</w:t>
      </w:r>
    </w:p>
    <w:p w14:paraId="59D01C62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Duke nënvizuar rëndësinë e bashkëpunimit të Këshillit të Lartë të Prokurorisë me Shkollën e Magjistraturës për trajnimin vazhdues të prokurorëve dhe emërimin e prokurorëve pas diplomimit në Shkollën e Magjistraturës;</w:t>
      </w:r>
    </w:p>
    <w:p w14:paraId="1FDDC793" w14:textId="3E856482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Duke nënvizuar rëndësinë e bashkëpunimit të Këshillit të Lartë të Prokurorisë me Inspektoratin e Lartë të Drejtësisë në vendosjen e masave disiplinore dhe procedimeve të tjera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sipas përcaktimeve ligjore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në funksion të rritjes së efikasitetit funksional për të dyja institucionet</w:t>
      </w:r>
      <w:r w:rsidR="00555078">
        <w:rPr>
          <w:rFonts w:ascii="Garamond" w:hAnsi="Garamond" w:cs="Times New Roman"/>
          <w:color w:val="000000"/>
          <w:sz w:val="24"/>
          <w:szCs w:val="24"/>
        </w:rPr>
        <w:t>;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A3E226E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ab/>
        <w:t>Duke mbajtur parasysh rëndësinë e rolit të Këshillit të Lartë të Prokurorisë për vlerësimin etik dhe profesional të prokurorit;</w:t>
      </w:r>
    </w:p>
    <w:p w14:paraId="5CBB8923" w14:textId="6D32E2EB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Duke mbajtur parasysh rëndësinë e informimit të publikut dhe Kuvendit për gjen</w:t>
      </w:r>
      <w:r w:rsidR="00555078">
        <w:rPr>
          <w:rFonts w:ascii="Garamond" w:hAnsi="Garamond" w:cs="Times New Roman"/>
          <w:color w:val="000000"/>
          <w:sz w:val="24"/>
          <w:szCs w:val="24"/>
        </w:rPr>
        <w:t>djen e sistemit të prokurorisë;</w:t>
      </w:r>
    </w:p>
    <w:p w14:paraId="2188DFE1" w14:textId="5317BFD0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Duke mbajtur në konsideratë nevojat për funksionimin efi</w:t>
      </w:r>
      <w:r w:rsidR="00555078">
        <w:rPr>
          <w:rFonts w:ascii="Garamond" w:hAnsi="Garamond" w:cs="Times New Roman"/>
          <w:color w:val="000000"/>
          <w:sz w:val="24"/>
          <w:szCs w:val="24"/>
        </w:rPr>
        <w:t>ci</w:t>
      </w:r>
      <w:r w:rsidRPr="00555078">
        <w:rPr>
          <w:rFonts w:ascii="Garamond" w:hAnsi="Garamond" w:cs="Times New Roman"/>
          <w:color w:val="000000"/>
          <w:sz w:val="24"/>
          <w:szCs w:val="24"/>
        </w:rPr>
        <w:t>ent të sistemit të prokurorisë,</w:t>
      </w:r>
    </w:p>
    <w:p w14:paraId="1B017E40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>Vlerëson:</w:t>
      </w:r>
    </w:p>
    <w:p w14:paraId="235529FB" w14:textId="6DB368EF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Punën e Këshillit të Lartë të Prokurorisë për hartimin dhe miratimin e një serie aktesh nënligjore normative, me ndikim të përgjithshëm detyrues për të gjithë prokurorët, sipas përcaktimeve të ligjit nr. 115/2016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“Për organet e qeverisjes së sistemit të drejtësisë” dhe ligjeve t</w:t>
      </w:r>
      <w:r w:rsidR="00555078">
        <w:rPr>
          <w:rFonts w:ascii="Garamond" w:hAnsi="Garamond" w:cs="Times New Roman"/>
          <w:color w:val="000000"/>
          <w:sz w:val="24"/>
          <w:szCs w:val="24"/>
        </w:rPr>
        <w:t>ë tjera të reformës në drejtësi;</w:t>
      </w:r>
    </w:p>
    <w:p w14:paraId="153835AA" w14:textId="66ED84E0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Veprimtarinë e Këshillit për plotësimin e vakumeve të krijuara në sistemin e drejtimit të prokurorive si pasojë e shkarkimit të drejtuesve të prokurorive gjatë pr</w:t>
      </w:r>
      <w:r w:rsidR="00555078">
        <w:rPr>
          <w:rFonts w:ascii="Garamond" w:hAnsi="Garamond" w:cs="Times New Roman"/>
          <w:color w:val="000000"/>
          <w:sz w:val="24"/>
          <w:szCs w:val="24"/>
        </w:rPr>
        <w:t>ocesit të rivlerësimit kalimtar;</w:t>
      </w:r>
    </w:p>
    <w:p w14:paraId="286F6611" w14:textId="40F9F46F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Punën e Këshillit të Lartë të Prokurorisë për rregullimin e disa aspekteve të veprimtarisë së prokurorëve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nëpërmjet miratimit të rregulloreve të n</w:t>
      </w:r>
      <w:r w:rsidR="00555078">
        <w:rPr>
          <w:rFonts w:ascii="Garamond" w:hAnsi="Garamond" w:cs="Times New Roman"/>
          <w:color w:val="000000"/>
          <w:sz w:val="24"/>
          <w:szCs w:val="24"/>
        </w:rPr>
        <w:t>dryshme dhe vendimeve përkatëse;</w:t>
      </w:r>
    </w:p>
    <w:p w14:paraId="54AB7390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Punën e Këshillit të Lartë të Prokurorisë për vlerësimin e aftësive profesionale të subjekteve të rivlerësimit kalimtar dhe rëndësinë e kryerjes së këtij procesi në një kohë sa më të arsyeshme;</w:t>
      </w:r>
    </w:p>
    <w:p w14:paraId="507D4FE6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Kontributin e dhënë nga Këshilli i Lartë i Prokurorisë nëpërmjet opinioneve dhe sugjerimeve në procesin e hartimit të legjislacionit dhe/ose përmirësimin e tij.</w:t>
      </w:r>
    </w:p>
    <w:p w14:paraId="726F1CAB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>Bazuar në analizën e të dhënave të vitit 2020, të referuara në raportin e paraqitur nga Këshilli i Lartë i Prokurorisë, Kuvendi i Shqipërisë konstaton:</w:t>
      </w:r>
    </w:p>
    <w:p w14:paraId="2BABBE77" w14:textId="249A8252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Shqyrtimin dhe përmbylljen me vendimmarrje për një numër të konsiderueshëm çështjesh të rëndësishme, me karakter rregullator dhe normues, përfshirë aktet specifike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lidhur me kriteret dhe procedurat e transferimit të përkohshëm të prokurorëve, të ngritjes në detyrë në pozicionin e drejtuesit në prokuroritë e juridiksionit të përgjithshëm, të transferimit nëpërmjet procedurës së lëvizjes paralele etj.</w:t>
      </w:r>
      <w:r w:rsidR="00555078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6B695E5" w14:textId="6847C69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Hartimin dhe miratimin e rregullores “Mbi organizimin dhe funksionimin e komisionit disiplinor dhe përcaktimin e procedurave të zhvillimit të procedimi</w:t>
      </w:r>
      <w:r w:rsidR="00555078">
        <w:rPr>
          <w:rFonts w:ascii="Garamond" w:hAnsi="Garamond" w:cs="Times New Roman"/>
          <w:color w:val="000000"/>
          <w:sz w:val="24"/>
          <w:szCs w:val="24"/>
        </w:rPr>
        <w:t>t disiplinor ndaj prokurorëve”;</w:t>
      </w:r>
    </w:p>
    <w:p w14:paraId="55A17B02" w14:textId="7B3BA13C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Verifikimin e pasurisë dhe figurës së kandidatëve për t’u pranuar në Programin e Formimit Fillestar</w:t>
      </w:r>
      <w:r w:rsidR="00555078">
        <w:rPr>
          <w:rFonts w:ascii="Garamond" w:hAnsi="Garamond" w:cs="Times New Roman"/>
          <w:color w:val="000000"/>
          <w:sz w:val="24"/>
          <w:szCs w:val="24"/>
        </w:rPr>
        <w:t xml:space="preserve"> të Shkollës së Magjistraturës;</w:t>
      </w:r>
    </w:p>
    <w:p w14:paraId="2EF8EFA4" w14:textId="1CA31E5E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lastRenderedPageBreak/>
        <w:t>- Miratimin e akteve nënligjore normative, në përmbushje të parashikimeve ligjore, për normimin, rregullimin dhe administrimin e karrierës së prokurorëve</w:t>
      </w:r>
      <w:r w:rsidR="00555078">
        <w:rPr>
          <w:rFonts w:ascii="Garamond" w:hAnsi="Garamond" w:cs="Times New Roman"/>
          <w:color w:val="000000"/>
          <w:sz w:val="24"/>
          <w:szCs w:val="24"/>
        </w:rPr>
        <w:t>, si dhe veprimtarisë së KLP-së;</w:t>
      </w:r>
    </w:p>
    <w:p w14:paraId="1F0E4058" w14:textId="3AB76A3C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Caktimin përkohësisht si drejtues të 19 prokurorëve në prokuroritë pranë Gjykatave të Shkallës së</w:t>
      </w:r>
      <w:r w:rsidR="00555078">
        <w:rPr>
          <w:rFonts w:ascii="Garamond" w:hAnsi="Garamond" w:cs="Times New Roman"/>
          <w:color w:val="000000"/>
          <w:sz w:val="24"/>
          <w:szCs w:val="24"/>
        </w:rPr>
        <w:t xml:space="preserve"> Parë dhe prokurorive të Apelit;</w:t>
      </w:r>
    </w:p>
    <w:p w14:paraId="00C73AAD" w14:textId="48BB79F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Miratimin e 49 raporteve për aftësitë profesionale të subjekteve të rivlerësimit kalimtar prokurorë dhe vënien në dispozicion të KPK-së dhe ONM-së</w:t>
      </w:r>
      <w:r w:rsidR="00555078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622B5FE" w14:textId="2423112B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Miratimin e 35 pozicioneve për prokurorë për t’u pranuar në programin fillestar të trajnimit në Shkollën e Magjistraturës për vitin akademik 2020</w:t>
      </w:r>
      <w:r w:rsidR="00555078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r w:rsidRPr="00555078">
        <w:rPr>
          <w:rFonts w:ascii="Garamond" w:hAnsi="Garamond" w:cs="Times New Roman"/>
          <w:color w:val="000000"/>
          <w:sz w:val="24"/>
          <w:szCs w:val="24"/>
        </w:rPr>
        <w:t>2</w:t>
      </w:r>
      <w:r w:rsidR="00555078">
        <w:rPr>
          <w:rFonts w:ascii="Garamond" w:hAnsi="Garamond" w:cs="Times New Roman"/>
          <w:color w:val="000000"/>
          <w:sz w:val="24"/>
          <w:szCs w:val="24"/>
        </w:rPr>
        <w:t>021;</w:t>
      </w:r>
    </w:p>
    <w:p w14:paraId="2CACC57D" w14:textId="3B6FF10E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Përmbylljen e procedurave sipas ligjit dhe emërimin e 12 prokurorëve të rinj, të cilët tashmë jan</w:t>
      </w:r>
      <w:r w:rsidR="00555078">
        <w:rPr>
          <w:rFonts w:ascii="Garamond" w:hAnsi="Garamond" w:cs="Times New Roman"/>
          <w:color w:val="000000"/>
          <w:sz w:val="24"/>
          <w:szCs w:val="24"/>
        </w:rPr>
        <w:t>ë pjesë e sistemit prokurorial;</w:t>
      </w:r>
    </w:p>
    <w:p w14:paraId="7B21274B" w14:textId="18DAE6AD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- Dhënien e kontributit në hartimin dhe përshtatjen e kurrikulave për programin mësimor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për Programin e Formimit Fillesta</w:t>
      </w:r>
      <w:r w:rsidR="00555078">
        <w:rPr>
          <w:rFonts w:ascii="Garamond" w:hAnsi="Garamond" w:cs="Times New Roman"/>
          <w:color w:val="000000"/>
          <w:sz w:val="24"/>
          <w:szCs w:val="24"/>
        </w:rPr>
        <w:t>r të kancelarëve të prokurorive;</w:t>
      </w:r>
    </w:p>
    <w:p w14:paraId="41ED751D" w14:textId="12D95C6A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- Dhënien e kontributit në hartimin dhe dërgimin e kontributit të katërt të raportit të Komisionit </w:t>
      </w:r>
      <w:r w:rsidR="00555078" w:rsidRPr="00555078">
        <w:rPr>
          <w:rFonts w:ascii="Garamond" w:hAnsi="Garamond" w:cs="Times New Roman"/>
          <w:color w:val="000000"/>
          <w:sz w:val="24"/>
          <w:szCs w:val="24"/>
        </w:rPr>
        <w:t>Evropian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për Shqipërinë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për vitin 2020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në bashkëpunim me Ministrinë e Drejtësisë dhe Ministrinë për </w:t>
      </w:r>
      <w:r w:rsidR="00555078" w:rsidRPr="00555078">
        <w:rPr>
          <w:rFonts w:ascii="Garamond" w:hAnsi="Garamond" w:cs="Times New Roman"/>
          <w:color w:val="000000"/>
          <w:sz w:val="24"/>
          <w:szCs w:val="24"/>
        </w:rPr>
        <w:t>Evropën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dhe Punët e Jashtme, në cilësinë e përfaqësuesit si pjesë të </w:t>
      </w:r>
      <w:r w:rsidR="00555078">
        <w:rPr>
          <w:rFonts w:ascii="Garamond" w:hAnsi="Garamond" w:cs="Times New Roman"/>
          <w:color w:val="000000"/>
          <w:sz w:val="24"/>
          <w:szCs w:val="24"/>
        </w:rPr>
        <w:t>k</w:t>
      </w:r>
      <w:r w:rsidRPr="00555078">
        <w:rPr>
          <w:rFonts w:ascii="Garamond" w:hAnsi="Garamond" w:cs="Times New Roman"/>
          <w:color w:val="000000"/>
          <w:sz w:val="24"/>
          <w:szCs w:val="24"/>
        </w:rPr>
        <w:t>apitullit 23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5507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555078">
        <w:rPr>
          <w:rFonts w:ascii="Garamond" w:hAnsi="Garamond" w:cs="Times New Roman"/>
          <w:color w:val="000000"/>
          <w:sz w:val="24"/>
          <w:szCs w:val="24"/>
        </w:rPr>
        <w:t>“Gjyq</w:t>
      </w:r>
      <w:r w:rsidR="00555078">
        <w:rPr>
          <w:rFonts w:ascii="Garamond" w:hAnsi="Garamond" w:cs="Times New Roman"/>
          <w:color w:val="000000"/>
          <w:sz w:val="24"/>
          <w:szCs w:val="24"/>
        </w:rPr>
        <w:t>ësorit dhe të drejtat themelore”;</w:t>
      </w:r>
    </w:p>
    <w:p w14:paraId="4DB29F98" w14:textId="3DB781DF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- Hartimin e Strategjisë së Komunikimit, me fokus përmirësimin e komunikimit me publikun dhe institucionet, si dhe realizimin e </w:t>
      </w:r>
      <w:r w:rsidR="00555078">
        <w:rPr>
          <w:rFonts w:ascii="Garamond" w:hAnsi="Garamond" w:cs="Times New Roman"/>
          <w:color w:val="000000"/>
          <w:sz w:val="24"/>
          <w:szCs w:val="24"/>
        </w:rPr>
        <w:t>transparencës përmes publikimit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të vendimeve dhe akteve të tjera në </w:t>
      </w:r>
      <w:r w:rsidR="00555078">
        <w:rPr>
          <w:rFonts w:ascii="Garamond" w:hAnsi="Garamond" w:cs="Times New Roman"/>
          <w:color w:val="000000"/>
          <w:sz w:val="24"/>
          <w:szCs w:val="24"/>
        </w:rPr>
        <w:t>faqen zyrtare të institucionit.</w:t>
      </w:r>
    </w:p>
    <w:p w14:paraId="58A15DB0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>Bazuar sa më sipër, Kuvendi i Shqipërisë nxit Këshillin e Lartë të Prokurorisë:</w:t>
      </w:r>
    </w:p>
    <w:p w14:paraId="4194101D" w14:textId="090926FD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1. Të veprojë me ritme të shpejta për adresimin e zgjidhjeve të problematikave në sistemin e prokurorisë, veçanërisht në redukt</w:t>
      </w:r>
      <w:r w:rsidR="00555078">
        <w:rPr>
          <w:rFonts w:ascii="Garamond" w:hAnsi="Garamond" w:cs="Times New Roman"/>
          <w:color w:val="000000"/>
          <w:sz w:val="24"/>
          <w:szCs w:val="24"/>
        </w:rPr>
        <w:t>imin e emërimeve të përkohshme.</w:t>
      </w:r>
    </w:p>
    <w:p w14:paraId="683B06F1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2. Të bashkëpunojë me Prokurorin e Përgjithshëm me qëllim ndjekjen e zbatimit të udhëzimeve me karakter të përgjithshëm nga prokurorët e të gjitha niveleve.</w:t>
      </w:r>
    </w:p>
    <w:p w14:paraId="3B8646A9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3. Të vazhdojë t’i kushtojë rëndësi komunikimit me publikun për veprimtarinë e Këshillit të Lartë të Prokurorisë.</w:t>
      </w:r>
    </w:p>
    <w:p w14:paraId="29518595" w14:textId="2D330D03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4. Të forcojë bashkëpunimin me organet e qeverisjes së sistemit të drejtësisë dhe institucionet e tjera shtetërore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në përputhje me parashikimet ligjore në fuqi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për të gjitha proceset që ndikojnë në zbatimin e duhur dhe efektiv të reformës në drejtësi.</w:t>
      </w:r>
    </w:p>
    <w:p w14:paraId="377E63D8" w14:textId="4B3D0D16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5. Të informojë vazhdimisht Kuvendin e Shqipërisë për problematikat e hasura në sistemin e prokurorisë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duke rekomanduar edhe zgjidhjet përkatëse.</w:t>
      </w:r>
    </w:p>
    <w:p w14:paraId="06C93096" w14:textId="44B9EC89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</w:t>
      </w:r>
      <w:r w:rsidR="0055507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2021</w:t>
      </w:r>
      <w:r w:rsidR="0055507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kërkon nga Këshilli i Lartë i Prokurorisë:</w:t>
      </w:r>
    </w:p>
    <w:p w14:paraId="6F59992C" w14:textId="6BCA396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1. Vijimin e procedurave për përzgjedhjen e prokurorëve të tjerë të Prokurorisë së Posaçme kundër Korrupsionit dhe Krimit të Organizuar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për të bërë të mundur plotësimin e vendeve të lira në këtë institucion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në zbatim të vendimit të Kuvendit nr. 6, datë 28.1.2021.</w:t>
      </w:r>
    </w:p>
    <w:p w14:paraId="5B560D0B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2. Në bashkëpunim me Këshillin e Lartë Gjyqësor, të miratohen rregullat e përbashkëta për bashkimin e procedimeve në rastin kur një gjyqtar dhe një prokuror janë përfshirë në të njëjtën shkelje. </w:t>
      </w:r>
    </w:p>
    <w:p w14:paraId="0F3F33BE" w14:textId="1FB81191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3. Forcimin e marrëdhënieve institucionale me Inspektoratin e Lartë të Drejtësisë, me qëllim trajtimin në afate të arsyeshme të procedim</w:t>
      </w:r>
      <w:r w:rsidR="00555078">
        <w:rPr>
          <w:rFonts w:ascii="Garamond" w:hAnsi="Garamond" w:cs="Times New Roman"/>
          <w:color w:val="000000"/>
          <w:sz w:val="24"/>
          <w:szCs w:val="24"/>
        </w:rPr>
        <w:t>eve disiplinore për prokurorët.</w:t>
      </w:r>
    </w:p>
    <w:p w14:paraId="06B0C436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4. Përfundimin dhe miratimin e raporteve për verifikimin e pasurisë dhe figurës së kancelarëve në detyrë në prokuroritë pranë gjykatave të juridiksionit të përgjithshëm.</w:t>
      </w:r>
    </w:p>
    <w:p w14:paraId="46640A55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5. Hartimin, miratimin dhe zbatimin e rregullave më të detajuara për formimin fillestar dhe atë vazhdues për nëpunësit e tjerë civilë të prokurorisë.</w:t>
      </w:r>
    </w:p>
    <w:p w14:paraId="06ED39FF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6. Hartimin dhe miratimin në një afat sa më të shkurtër të rregullores për vlerësimin e punës së prokurorëve.</w:t>
      </w:r>
    </w:p>
    <w:p w14:paraId="55D69A51" w14:textId="7386A0EB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7. Hartimin, miratimin dhe zbatimin e rregullores për pensionin e parakohshëm të prokurorëve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në mbështetje të pikës 4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të nenit 27</w:t>
      </w:r>
      <w:r w:rsidR="00555078">
        <w:rPr>
          <w:rFonts w:ascii="Garamond" w:hAnsi="Garamond" w:cs="Times New Roman"/>
          <w:color w:val="000000"/>
          <w:sz w:val="24"/>
          <w:szCs w:val="24"/>
        </w:rPr>
        <w:t xml:space="preserve">, të ligjit nr. 96/2016, </w:t>
      </w:r>
      <w:r w:rsidRPr="00555078">
        <w:rPr>
          <w:rFonts w:ascii="Garamond" w:hAnsi="Garamond" w:cs="Times New Roman"/>
          <w:color w:val="000000"/>
          <w:sz w:val="24"/>
          <w:szCs w:val="24"/>
        </w:rPr>
        <w:t>“Për statusin e gjyqtarëve dhe prokurorëve në Republikën e Shqipërisë” .</w:t>
      </w:r>
    </w:p>
    <w:p w14:paraId="24EAF57C" w14:textId="54B143C4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8. Hartimin, miratimin dhe zbatimin e Rregullave (Kodit) për Etikën </w:t>
      </w:r>
      <w:r w:rsidR="00555078">
        <w:rPr>
          <w:rFonts w:ascii="Garamond" w:hAnsi="Garamond" w:cs="Times New Roman"/>
          <w:color w:val="000000"/>
          <w:sz w:val="24"/>
          <w:szCs w:val="24"/>
        </w:rPr>
        <w:t>e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prokurorëve.</w:t>
      </w:r>
    </w:p>
    <w:p w14:paraId="64D86AA4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lastRenderedPageBreak/>
        <w:t>9. Përgatitjen dhe miratimin e programit të përvitshëm për vlerësimin e veprimtarisë etike dhe profesionale të prokurorëve.</w:t>
      </w:r>
    </w:p>
    <w:p w14:paraId="5D7FF230" w14:textId="2F81A0C1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10.</w:t>
      </w:r>
      <w:r w:rsidRPr="00555078">
        <w:rPr>
          <w:rFonts w:ascii="Garamond" w:hAnsi="Garamond" w:cs="Times New Roman"/>
          <w:color w:val="000000"/>
          <w:sz w:val="24"/>
          <w:szCs w:val="24"/>
        </w:rPr>
        <w:tab/>
        <w:t>Angazhimin në dhënien e deklaratave publike në mbrojtje të prokurorëve të veçantë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kur gjykohet se e drejta e tyre njerëzore rrezikohet të shkelet për shkak të kryerjes së detyrës ose kur kryerja e funksioneve të tyre ligjore po rrezikohet ose mund të rrezikohet si rezultat i veprimeve ose qëndrimeve të çdo subjekti publik ose privat.</w:t>
      </w:r>
    </w:p>
    <w:p w14:paraId="107B08C3" w14:textId="18C88109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11.</w:t>
      </w:r>
      <w:r w:rsidRPr="00555078">
        <w:rPr>
          <w:rFonts w:ascii="Garamond" w:hAnsi="Garamond" w:cs="Times New Roman"/>
          <w:color w:val="000000"/>
          <w:sz w:val="24"/>
          <w:szCs w:val="24"/>
        </w:rPr>
        <w:tab/>
        <w:t>Vijimin e dhënies së opinioneve dhe vlerësimeve për përmirësimet ligjore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në përputhje me përcaktimet e nenit 187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të ligjit nr. 115/2016</w:t>
      </w:r>
      <w:r w:rsidR="00555078">
        <w:rPr>
          <w:rFonts w:ascii="Garamond" w:hAnsi="Garamond" w:cs="Times New Roman"/>
          <w:color w:val="000000"/>
          <w:sz w:val="24"/>
          <w:szCs w:val="24"/>
        </w:rPr>
        <w:t>,</w:t>
      </w:r>
      <w:r w:rsidRPr="00555078">
        <w:rPr>
          <w:rFonts w:ascii="Garamond" w:hAnsi="Garamond" w:cs="Times New Roman"/>
          <w:color w:val="000000"/>
          <w:sz w:val="24"/>
          <w:szCs w:val="24"/>
        </w:rPr>
        <w:t xml:space="preserve"> “Për organet e qeverisjes së sistemit të drejtësisë”.</w:t>
      </w:r>
    </w:p>
    <w:p w14:paraId="7748523E" w14:textId="77777777" w:rsidR="00555078" w:rsidRDefault="00555078" w:rsidP="005550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KRYETAR </w:t>
      </w:r>
    </w:p>
    <w:p w14:paraId="2C87FACD" w14:textId="77777777" w:rsidR="00555078" w:rsidRPr="00555078" w:rsidRDefault="00555078" w:rsidP="005550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555078">
        <w:rPr>
          <w:rFonts w:ascii="Garamond" w:hAnsi="Garamond" w:cs="Times New Roman"/>
          <w:b/>
          <w:color w:val="000000"/>
          <w:sz w:val="24"/>
          <w:szCs w:val="24"/>
        </w:rPr>
        <w:t>Gramoz Ruçi</w:t>
      </w:r>
    </w:p>
    <w:p w14:paraId="5B0BD4D7" w14:textId="77777777" w:rsidR="00DE0308" w:rsidRPr="0055507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FF11831" w14:textId="3570F769" w:rsidR="00DE0308" w:rsidRDefault="00DE0308" w:rsidP="00DE0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5078">
        <w:rPr>
          <w:rFonts w:ascii="Garamond" w:hAnsi="Garamond" w:cs="Times New Roman"/>
          <w:color w:val="000000"/>
          <w:sz w:val="24"/>
          <w:szCs w:val="24"/>
        </w:rPr>
        <w:t>Miratuar në datën 14.6.2021</w:t>
      </w:r>
      <w:r w:rsidR="00555078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53B6DD7B" w14:textId="31A03483" w:rsidR="00D332B5" w:rsidRPr="00555078" w:rsidRDefault="00D332B5" w:rsidP="00DE0308"/>
    <w:sectPr w:rsidR="00D332B5" w:rsidRPr="00555078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DFF837" w14:textId="77777777" w:rsidR="00555078" w:rsidRDefault="00555078" w:rsidP="00C86383">
      <w:pPr>
        <w:spacing w:after="0" w:line="240" w:lineRule="auto"/>
      </w:pPr>
      <w:r>
        <w:separator/>
      </w:r>
    </w:p>
  </w:endnote>
  <w:endnote w:type="continuationSeparator" w:id="0">
    <w:p w14:paraId="77CB122F" w14:textId="77777777" w:rsidR="00555078" w:rsidRDefault="00555078" w:rsidP="00C86383">
      <w:pPr>
        <w:spacing w:after="0" w:line="240" w:lineRule="auto"/>
      </w:pPr>
      <w:r>
        <w:continuationSeparator/>
      </w:r>
    </w:p>
  </w:endnote>
  <w:endnote w:type="continuationNotice" w:id="1">
    <w:p w14:paraId="5277C53A" w14:textId="77777777" w:rsidR="00555078" w:rsidRDefault="005550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555078" w:rsidRPr="00E7684C" w:rsidRDefault="0055507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33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555078" w:rsidRDefault="005550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66B40" w14:textId="77777777" w:rsidR="00555078" w:rsidRDefault="00555078" w:rsidP="00C86383">
      <w:pPr>
        <w:spacing w:after="0" w:line="240" w:lineRule="auto"/>
      </w:pPr>
      <w:r>
        <w:separator/>
      </w:r>
    </w:p>
  </w:footnote>
  <w:footnote w:type="continuationSeparator" w:id="0">
    <w:p w14:paraId="320C0337" w14:textId="77777777" w:rsidR="00555078" w:rsidRDefault="00555078" w:rsidP="00C86383">
      <w:pPr>
        <w:spacing w:after="0" w:line="240" w:lineRule="auto"/>
      </w:pPr>
      <w:r>
        <w:continuationSeparator/>
      </w:r>
    </w:p>
  </w:footnote>
  <w:footnote w:type="continuationNotice" w:id="1">
    <w:p w14:paraId="7A077E68" w14:textId="77777777" w:rsidR="00555078" w:rsidRDefault="005550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16EE"/>
    <w:rsid w:val="0005725B"/>
    <w:rsid w:val="00062B6C"/>
    <w:rsid w:val="00062F7F"/>
    <w:rsid w:val="0007298B"/>
    <w:rsid w:val="00082B98"/>
    <w:rsid w:val="00082FD1"/>
    <w:rsid w:val="00091EE7"/>
    <w:rsid w:val="000A08B2"/>
    <w:rsid w:val="000A0B41"/>
    <w:rsid w:val="000B5F06"/>
    <w:rsid w:val="000C0CFC"/>
    <w:rsid w:val="000C1BC4"/>
    <w:rsid w:val="000C70E4"/>
    <w:rsid w:val="000C7182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56DB"/>
    <w:rsid w:val="001424BF"/>
    <w:rsid w:val="001432F5"/>
    <w:rsid w:val="00143A0C"/>
    <w:rsid w:val="0015198A"/>
    <w:rsid w:val="0016140E"/>
    <w:rsid w:val="00162EC4"/>
    <w:rsid w:val="001670C9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5A1D"/>
    <w:rsid w:val="001E2085"/>
    <w:rsid w:val="001F4CD5"/>
    <w:rsid w:val="0020553B"/>
    <w:rsid w:val="002063FE"/>
    <w:rsid w:val="002129CF"/>
    <w:rsid w:val="00215C02"/>
    <w:rsid w:val="002176D7"/>
    <w:rsid w:val="0022618D"/>
    <w:rsid w:val="002359AF"/>
    <w:rsid w:val="00237CB2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E7929"/>
    <w:rsid w:val="002F1E84"/>
    <w:rsid w:val="002F495E"/>
    <w:rsid w:val="00310428"/>
    <w:rsid w:val="00312A26"/>
    <w:rsid w:val="00321277"/>
    <w:rsid w:val="00323548"/>
    <w:rsid w:val="003305FA"/>
    <w:rsid w:val="003345F5"/>
    <w:rsid w:val="003426BB"/>
    <w:rsid w:val="00343599"/>
    <w:rsid w:val="00343D14"/>
    <w:rsid w:val="0034558C"/>
    <w:rsid w:val="00351908"/>
    <w:rsid w:val="003556E0"/>
    <w:rsid w:val="003557DA"/>
    <w:rsid w:val="00373D67"/>
    <w:rsid w:val="003745F8"/>
    <w:rsid w:val="003802C5"/>
    <w:rsid w:val="00380CE5"/>
    <w:rsid w:val="00384791"/>
    <w:rsid w:val="00384A0F"/>
    <w:rsid w:val="00387B15"/>
    <w:rsid w:val="00391D0F"/>
    <w:rsid w:val="00393AEF"/>
    <w:rsid w:val="00393D81"/>
    <w:rsid w:val="00394146"/>
    <w:rsid w:val="003962DE"/>
    <w:rsid w:val="00397B89"/>
    <w:rsid w:val="003A3D56"/>
    <w:rsid w:val="003C3B41"/>
    <w:rsid w:val="003C51DC"/>
    <w:rsid w:val="003C73F0"/>
    <w:rsid w:val="003D23B3"/>
    <w:rsid w:val="003E08F3"/>
    <w:rsid w:val="003E0D22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878DE"/>
    <w:rsid w:val="0049616C"/>
    <w:rsid w:val="004A3A52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246F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798"/>
    <w:rsid w:val="00533A29"/>
    <w:rsid w:val="005372E5"/>
    <w:rsid w:val="00537BF5"/>
    <w:rsid w:val="00540968"/>
    <w:rsid w:val="00541D13"/>
    <w:rsid w:val="00544ED5"/>
    <w:rsid w:val="00545007"/>
    <w:rsid w:val="00546B87"/>
    <w:rsid w:val="00555078"/>
    <w:rsid w:val="00555F66"/>
    <w:rsid w:val="00556003"/>
    <w:rsid w:val="00566A66"/>
    <w:rsid w:val="00567336"/>
    <w:rsid w:val="005839A5"/>
    <w:rsid w:val="00595D7E"/>
    <w:rsid w:val="005A4BF2"/>
    <w:rsid w:val="005A6A5B"/>
    <w:rsid w:val="005B4F54"/>
    <w:rsid w:val="005B5CEC"/>
    <w:rsid w:val="005C0232"/>
    <w:rsid w:val="005C275E"/>
    <w:rsid w:val="005C7FD6"/>
    <w:rsid w:val="005D008B"/>
    <w:rsid w:val="005D2C27"/>
    <w:rsid w:val="005D382A"/>
    <w:rsid w:val="005D79C0"/>
    <w:rsid w:val="005E0B16"/>
    <w:rsid w:val="005E30D5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47E1C"/>
    <w:rsid w:val="0066462F"/>
    <w:rsid w:val="00664CC2"/>
    <w:rsid w:val="00666637"/>
    <w:rsid w:val="006672E6"/>
    <w:rsid w:val="0067489C"/>
    <w:rsid w:val="00680190"/>
    <w:rsid w:val="00686471"/>
    <w:rsid w:val="00692676"/>
    <w:rsid w:val="00695534"/>
    <w:rsid w:val="006A1126"/>
    <w:rsid w:val="006A33C4"/>
    <w:rsid w:val="006B27CE"/>
    <w:rsid w:val="006B790D"/>
    <w:rsid w:val="006C2AEE"/>
    <w:rsid w:val="006D3004"/>
    <w:rsid w:val="006E40A1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1C92"/>
    <w:rsid w:val="00750776"/>
    <w:rsid w:val="00760DDD"/>
    <w:rsid w:val="00761637"/>
    <w:rsid w:val="00761C31"/>
    <w:rsid w:val="00761C60"/>
    <w:rsid w:val="0077048D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E4A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2E3A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16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3222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10BB"/>
    <w:rsid w:val="00A61FDE"/>
    <w:rsid w:val="00A77284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216"/>
    <w:rsid w:val="00AC5B21"/>
    <w:rsid w:val="00AC764D"/>
    <w:rsid w:val="00AC7D5A"/>
    <w:rsid w:val="00AD4AE4"/>
    <w:rsid w:val="00AD526B"/>
    <w:rsid w:val="00AD5761"/>
    <w:rsid w:val="00AD7DFE"/>
    <w:rsid w:val="00AE413A"/>
    <w:rsid w:val="00AE51AC"/>
    <w:rsid w:val="00AE5AB4"/>
    <w:rsid w:val="00AE6CBA"/>
    <w:rsid w:val="00AF1CA2"/>
    <w:rsid w:val="00AF5A5B"/>
    <w:rsid w:val="00B03133"/>
    <w:rsid w:val="00B0596C"/>
    <w:rsid w:val="00B07B19"/>
    <w:rsid w:val="00B1268D"/>
    <w:rsid w:val="00B1678C"/>
    <w:rsid w:val="00B1776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B6839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0444"/>
    <w:rsid w:val="00C42220"/>
    <w:rsid w:val="00C46623"/>
    <w:rsid w:val="00C50843"/>
    <w:rsid w:val="00C569D5"/>
    <w:rsid w:val="00C65542"/>
    <w:rsid w:val="00C829DC"/>
    <w:rsid w:val="00C836DA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5C7"/>
    <w:rsid w:val="00D864D2"/>
    <w:rsid w:val="00D874FB"/>
    <w:rsid w:val="00D90262"/>
    <w:rsid w:val="00D94954"/>
    <w:rsid w:val="00DA5786"/>
    <w:rsid w:val="00DB3852"/>
    <w:rsid w:val="00DB5ECD"/>
    <w:rsid w:val="00DB7E09"/>
    <w:rsid w:val="00DC57B4"/>
    <w:rsid w:val="00DD32F3"/>
    <w:rsid w:val="00DD3DDE"/>
    <w:rsid w:val="00DD473E"/>
    <w:rsid w:val="00DE0308"/>
    <w:rsid w:val="00DF1BC6"/>
    <w:rsid w:val="00DF6555"/>
    <w:rsid w:val="00DF6CD2"/>
    <w:rsid w:val="00E02D8F"/>
    <w:rsid w:val="00E03D67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E75"/>
    <w:rsid w:val="00E54762"/>
    <w:rsid w:val="00E55A07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D7978"/>
    <w:rsid w:val="00EE10D0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34C20153-821A-4006-9144-39A5EF26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308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6B46E293874D949CBDE40EB81705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1394-1</Nr_x002e__x0020_akti>
    <Data_x0020_e_x0020_Krijimit xmlns="0e656187-b300-4fb0-8bf4-3a50f872073c">2021-06-18T07:49:40Z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2021-06-16T22:00:00Z</Date_x0020_protokolli>
    <Titulli xmlns="0e656187-b300-4fb0-8bf4-3a50f872073c">Për vlerësimin e veprimtarisë së Këshillit të Lartë të Prokurorisë për vitin 2020</Titulli>
    <Modifikuesi xmlns="0e656187-b300-4fb0-8bf4-3a50f872073c">nevila.samarxhi</Modifikuesi>
    <Nr_x002e__x0020_prot_x0020_QBZ xmlns="0e656187-b300-4fb0-8bf4-3a50f872073c">917/3</Nr_x002e__x0020_prot_x0020_QBZ>
    <Data_x0020_e_x0020_Modifikimit xmlns="0e656187-b300-4fb0-8bf4-3a50f872073c">2021-06-18T07:59:52Z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1394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6B46E293874D949CBDE40EB81705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F112A-9E17-49F7-891D-9479CED13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3A2083-5D6F-400D-A29B-1608CB67A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A35C4C-FBE3-4D7D-9D3F-D8228DBF3636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DD48901-2DB9-44DF-8811-F731125185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A50A77-5A25-4696-B78F-E3F07DA52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B18E16-6C4E-4513-8C01-93E54611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Këshillit të Lartë të Prokurorisë për vitin 2020</vt:lpstr>
    </vt:vector>
  </TitlesOfParts>
  <Company/>
  <LinksUpToDate>false</LinksUpToDate>
  <CharactersWithSpaces>8022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Këshillit të Lartë të Prokurorisë për vitin 2020</dc:title>
  <dc:creator>user</dc:creator>
  <cp:lastModifiedBy>Fjora Cahani</cp:lastModifiedBy>
  <cp:revision>5</cp:revision>
  <cp:lastPrinted>2021-06-16T07:45:00Z</cp:lastPrinted>
  <dcterms:created xsi:type="dcterms:W3CDTF">2021-06-17T12:11:00Z</dcterms:created>
  <dcterms:modified xsi:type="dcterms:W3CDTF">2021-06-18T08:37:00Z</dcterms:modified>
</cp:coreProperties>
</file>