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B3144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012DC1BE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36E46CD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VLERËSIMIN E VEPRIMTARISË SË KËSHILLIT TË LARTË GJYQËSOR </w:t>
      </w:r>
    </w:p>
    <w:p w14:paraId="489F09D4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t>PËR VITIN 2020</w:t>
      </w:r>
    </w:p>
    <w:p w14:paraId="1848E9C7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03D3004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0667D030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Duke nënvizuar rëndësinë e rolit të Këshillit të Lartë Gjyqësor në sigurimin e pavarësisë, përgjegjshmërisë dhe mbarëvajtjes së pushtetit gjyqësor në Republikën e Shqipërisë;</w:t>
      </w:r>
    </w:p>
    <w:p w14:paraId="57AA86E5" w14:textId="741C50B0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Duke e vënë theksin te rëndësia e plotësimit menjëherë të vendeve të lira në Gjykatën e Lartë, me qëllim funksionalitetin e kësaj Gjykate, si dhe krijimin e kushteve ligjore për zgjedhjen e tre anëtarëve të Gjykatës Kushtetuese nga mbledhja e anëtarëve të Gjykatës së Lartë sipas parashikimeve të nenit 7/ç</w:t>
      </w:r>
      <w:r w:rsidR="007A3988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të ligjit nr. 8577, datë 10.2.2000</w:t>
      </w:r>
      <w:r w:rsidR="007A3988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“Për organizimin dhe funksionimin e Gjykatës Kushtetuese në Republikën e Shqipërisë”, të ndryshuar; </w:t>
      </w:r>
    </w:p>
    <w:p w14:paraId="4405E7A4" w14:textId="30DDDE99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ab/>
        <w:t>Duke mbajtur parasysh rolin e Këshillit të Lartë Gjyqësor në emërimin, caktimin në pozicion, transferimin, ngritjen në detyrë, komandimin dhe riemërimin, vlerësimin e veprimtarisë etike dhe profesionale, vendosjen e masave disiplinore dhe pezullimin e</w:t>
      </w:r>
      <w:r w:rsidR="007A39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72F6">
        <w:rPr>
          <w:rFonts w:ascii="Garamond" w:hAnsi="Garamond" w:cs="Times New Roman"/>
          <w:color w:val="000000"/>
          <w:sz w:val="24"/>
          <w:szCs w:val="24"/>
        </w:rPr>
        <w:t>gjyqtarëve të të gjitha niveleve;</w:t>
      </w:r>
    </w:p>
    <w:p w14:paraId="3194605C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Duke nënvizuar rëndësinë e bashkëpunimit të Këshillit të Lartë Gjyqësor me Shkollën e Magjistraturës, sidomos për trajnimin vazhdues të gjyqtarëve dhe emërimin e gjyqtarëve pas diplomimit në Shkollën e Magjistraturës;</w:t>
      </w:r>
    </w:p>
    <w:p w14:paraId="244184D6" w14:textId="7D506772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ab/>
        <w:t>Duke theksuar rëndësinë e rolit të Këshillit të Lartë Gjyqësor, në drejtimin dhe kujdes</w:t>
      </w:r>
      <w:r w:rsidR="009572F6">
        <w:rPr>
          <w:rFonts w:ascii="Garamond" w:hAnsi="Garamond" w:cs="Times New Roman"/>
          <w:color w:val="000000"/>
          <w:sz w:val="24"/>
          <w:szCs w:val="24"/>
        </w:rPr>
        <w:t>i</w:t>
      </w:r>
      <w:r w:rsidRPr="009572F6">
        <w:rPr>
          <w:rFonts w:ascii="Garamond" w:hAnsi="Garamond" w:cs="Times New Roman"/>
          <w:color w:val="000000"/>
          <w:sz w:val="24"/>
          <w:szCs w:val="24"/>
        </w:rPr>
        <w:t>n për mbarëvajtjen e punës në administratën e gjykatave</w:t>
      </w:r>
      <w:r w:rsidR="007A3988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me fokus hartimin dhe ndjekjen e zbatimit të politikave për administrimin gjyqësor, monitorimin dhe menaxhimin e</w:t>
      </w:r>
      <w:r w:rsidR="007A39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72F6">
        <w:rPr>
          <w:rFonts w:ascii="Garamond" w:hAnsi="Garamond" w:cs="Times New Roman"/>
          <w:color w:val="000000"/>
          <w:sz w:val="24"/>
          <w:szCs w:val="24"/>
        </w:rPr>
        <w:t>ngarkesës së gjyqtarëve dhe të gjykatave, kohëzgjatjen e çështjeve dhe miratimin e rregullave të brendshme standarde të gjykatës;</w:t>
      </w:r>
    </w:p>
    <w:p w14:paraId="0091D04D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Duke mbajtur në konsideratë nevojat e Këshillit për mbarëvajtjen e sistemit gjyqësor;</w:t>
      </w:r>
    </w:p>
    <w:p w14:paraId="74F0C32E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Duke mbajtur parasysh rëndësinë e informimit të publikut dhe Kuvendit për gjendjen e sistemit gjyqësor,</w:t>
      </w:r>
    </w:p>
    <w:p w14:paraId="537CB82B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t>Vlerëson:</w:t>
      </w:r>
    </w:p>
    <w:p w14:paraId="72B223C2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Procesin e kryer nga Këshilli i Lartë Gjyqësor për plotësimin e shtatë vendeve të lira në Gjykatën e Lartë.</w:t>
      </w:r>
    </w:p>
    <w:p w14:paraId="3712B706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Procesin e kryer nga Këshilli i Lartë Gjyqësor në plotësimit e një numri të konsiderueshëm të vendeve të lira në gjykatat e posaçme kundër korrupsionit dhe krimit të organizuar.</w:t>
      </w:r>
    </w:p>
    <w:p w14:paraId="64042A3C" w14:textId="03BE11C6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Punën e kryer nga Këshilli i Lartë Gjyqësor për hartën e re gjyqësore, si dhe rëndësinë e bashkëpunimit midis Këshillit të Lartë Gjyqësor dhe Ministrisë së Drejtësisë për hartimin e propozimit të përbashkët për riorganizimin e rretheve gjyqësore dhe kompetencave tokësore të gjykatave sipas parashikimeve të nenit 13</w:t>
      </w:r>
      <w:r w:rsidR="007A3988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të ligjit nr. 98/2016</w:t>
      </w:r>
      <w:r w:rsidR="007A3988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“Për organizimin e pushtetit gjyqësor në Republikën e Shqipërisë”.</w:t>
      </w:r>
    </w:p>
    <w:p w14:paraId="0ED51D76" w14:textId="401F441F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Punën</w:t>
      </w:r>
      <w:r w:rsidR="007A39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e Këshillit të Lartë Gjyqësor për hartimin dhe miratimin e një serie aktesh nënligjore normative dhe </w:t>
      </w:r>
      <w:r w:rsidR="007A3988">
        <w:rPr>
          <w:rFonts w:ascii="Garamond" w:hAnsi="Garamond" w:cs="Times New Roman"/>
          <w:color w:val="000000"/>
          <w:sz w:val="24"/>
          <w:szCs w:val="24"/>
        </w:rPr>
        <w:t>rregullatorë,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sipas përcaktimeve të ligjit nr. 115/2016</w:t>
      </w:r>
      <w:r w:rsidR="007A3988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“Për organet e qeverisjes së sistemit të drejtësisë”, të ndryshuar, dhe ligjeve të tjera të reformës në drejtësi, si dhe rëndësinë e përmbylljes së paketës së plotë të këtyre akteve sa më parë.</w:t>
      </w:r>
    </w:p>
    <w:p w14:paraId="20D7ED4B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Veprimtarinë e Këshillit të Lartë Gjyqësor për vlerësimin e aftësive profesionale të subjekteve të rivlerësimit kalimtar dhe rëndësinë e kryerjes së këtij procesi në një kohë sa më të arsyeshme.</w:t>
      </w:r>
    </w:p>
    <w:p w14:paraId="16B71D48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Analizat e kryera për shumë aspekte të sistemit gjyqësor, mbarëvajtjen e punës në gjykata dhe masat e marra në këtë drejtim.</w:t>
      </w:r>
    </w:p>
    <w:p w14:paraId="09EB0E21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Punën e Këshillit të Lartë Gjyqësor në propozimin dhe administrimin e buxhetit të vet dhe të gjykatave, si dhe nevojat përkatëse.</w:t>
      </w:r>
    </w:p>
    <w:p w14:paraId="1989B998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Kontributin e dhënë nga Këshilli i Lartë Gjyqësor përmes opinioneve dhe sugjerimeve në procesin e hartimit të legjislacionit dhe/ose përmirësimin e tij.</w:t>
      </w:r>
    </w:p>
    <w:p w14:paraId="53A1B922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>Bazuar në analizën e të dhënave të vitit 2020, të referuara në raportin e paraqitur nga Këshilli i Lartë Gjyqësor, Kuvendi i Shqipërisë konstaton:</w:t>
      </w:r>
    </w:p>
    <w:p w14:paraId="7E48410A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Zhvillimin e 87 mbledhjeve plenare dhe miratimin e 654 vendimeve, prej të cilave 640 janë vendimmarrje me nismën e komisioneve të përhershme dhe 14 nga komisionet e përkohshme.</w:t>
      </w:r>
    </w:p>
    <w:p w14:paraId="34F407DB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Transparencën në vendimmarrje nëpërmjet publikimit të tyre në faqen zyrtare të institucionit.</w:t>
      </w:r>
    </w:p>
    <w:p w14:paraId="10DE33B4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Miratimin e një pakete aktesh nënligjore, nëpërmjet të cilave nisi procesi i reformës së administratës gjyqësore, proces i cili pati si pikënisje rekrutimin e 86 nëpunësve gjyqësorë.</w:t>
      </w:r>
    </w:p>
    <w:p w14:paraId="37723D62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- Krijimin e njësisë së shërbimit ligjor në gjykatat e apelit të juridiksionit të përgjithshëm, si një mekanizëm për të përshpejtuar evadimin e dosjeve gjyqësore. </w:t>
      </w:r>
    </w:p>
    <w:p w14:paraId="34A9ACE6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Emërimin në mënyrë të përkohshme të 4 këshilltarëve ligjorë pranë Gjykatës së Lartë.</w:t>
      </w:r>
    </w:p>
    <w:p w14:paraId="6C5AB44A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Emërimin dhe caktimin në detyrë të 34 magjistratëve të diplomuar nga Shkolla e Magjistraturës.</w:t>
      </w:r>
    </w:p>
    <w:p w14:paraId="6EC378AF" w14:textId="459252B0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Rritjen e numrit të kuotave në Shkollën e Magjistraturës për vitin akademik 2020</w:t>
      </w:r>
      <w:r w:rsidR="007A3988">
        <w:rPr>
          <w:rFonts w:ascii="Garamond" w:hAnsi="Garamond" w:cs="Times New Roman"/>
          <w:color w:val="000000"/>
          <w:sz w:val="24"/>
          <w:szCs w:val="24"/>
        </w:rPr>
        <w:t>–</w:t>
      </w:r>
      <w:r w:rsidRPr="009572F6">
        <w:rPr>
          <w:rFonts w:ascii="Garamond" w:hAnsi="Garamond" w:cs="Times New Roman"/>
          <w:color w:val="000000"/>
          <w:sz w:val="24"/>
          <w:szCs w:val="24"/>
        </w:rPr>
        <w:t>2021,</w:t>
      </w:r>
      <w:r w:rsidR="007A39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72F6">
        <w:rPr>
          <w:rFonts w:ascii="Garamond" w:hAnsi="Garamond" w:cs="Times New Roman"/>
          <w:color w:val="000000"/>
          <w:sz w:val="24"/>
          <w:szCs w:val="24"/>
        </w:rPr>
        <w:t>plotësimin me 40 kandidatë për magjistratë në “profilin gjyqtar” dhe 25 kandidatë në profilin këshilltar dhe ndihmës ligjor, për të cilët u krye edhe verifikimi i kritereve formale-ligjore, pasurisë dhe figurës.</w:t>
      </w:r>
    </w:p>
    <w:p w14:paraId="5BF9D0E0" w14:textId="053400D0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- Finalizimin e propozimit të Hartës së re Gjyqësore, </w:t>
      </w:r>
      <w:r w:rsidR="007A3988">
        <w:rPr>
          <w:rFonts w:ascii="Garamond" w:hAnsi="Garamond" w:cs="Times New Roman"/>
          <w:color w:val="000000"/>
          <w:sz w:val="24"/>
          <w:szCs w:val="24"/>
        </w:rPr>
        <w:t>e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cil</w:t>
      </w:r>
      <w:r w:rsidR="007A3988">
        <w:rPr>
          <w:rFonts w:ascii="Garamond" w:hAnsi="Garamond" w:cs="Times New Roman"/>
          <w:color w:val="000000"/>
          <w:sz w:val="24"/>
          <w:szCs w:val="24"/>
        </w:rPr>
        <w:t>a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i është dërguar Ministrisë së Drejtësisë. </w:t>
      </w:r>
    </w:p>
    <w:p w14:paraId="19CF1298" w14:textId="4D845090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Propozimin e ndryshimeve të kodeve të procedurave dhe ligjeve të paketës së reformës në drejtësi, me qëllim rritjen e efi</w:t>
      </w:r>
      <w:r w:rsidR="000573FA">
        <w:rPr>
          <w:rFonts w:ascii="Garamond" w:hAnsi="Garamond" w:cs="Times New Roman"/>
          <w:color w:val="000000"/>
          <w:sz w:val="24"/>
          <w:szCs w:val="24"/>
        </w:rPr>
        <w:t>ci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encës dhe efektshmërisë së gjyqësorit. </w:t>
      </w:r>
    </w:p>
    <w:p w14:paraId="3809164E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- Bashkëpunimin me organet e rivlerësimit kalimtar të gjyqtarëve, duke hartuar për llogari të KPK-së 72 raporte të aftësive profesionale dhe analizuar rreth 360 dosje gjyqësore. </w:t>
      </w:r>
    </w:p>
    <w:p w14:paraId="4FA973F2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- Plotësimin e paketës së akteve për vlerësimin etik dhe profesional të gjyqtarëve dhe fillimin e procesit të vlerësimit periodik duke vlerësuar 30 gjyqtarë në përputhje me “Programin e vlerësimit etik dhe profesional të gjyqtarëve për vitin 2020”. </w:t>
      </w:r>
    </w:p>
    <w:p w14:paraId="32D1DAF0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- Miratimin e propozimit “Për llojet dhe masat e tarifave gjyqësore dhe procedurën e mbledhjes së tyre”, hartuar në bashkëpunim me partnerët ndërkombëtarë. </w:t>
      </w:r>
    </w:p>
    <w:p w14:paraId="37C902BA" w14:textId="6813868B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Zbatimin e kompetencave lidhur me përgjegjësinë disiplinore ndaj gjyqtarëve</w:t>
      </w:r>
      <w:r w:rsidR="000573FA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duke zhvilluar 3 procedime disiplinore, nga të cilat: një procedurë më objekt pezullimin dhe dy procedime disiplinore për shkarkimin nga detyra të gjyqtarit.</w:t>
      </w:r>
    </w:p>
    <w:p w14:paraId="357A75BC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Me qëllim plotësimin e trupave gjyqësore, KLGJ-ja trajtoi 629 kërkesa për caktimin e 874 gjyqtarëve, të caktuar për gjykimin e çështjeve gjyqësore të veçanta në gjykata të ndryshme nga ajo ku ushtrojnë funksionin në mënyrë të përhershme.</w:t>
      </w:r>
    </w:p>
    <w:p w14:paraId="360370CF" w14:textId="11F18C50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- Hartimin e dy dokumenteve strategjike: Planin Strategjik të Komunikimit për Sistemin Gjyqësor dhe </w:t>
      </w:r>
      <w:r w:rsidR="00A456BD" w:rsidRPr="009572F6">
        <w:rPr>
          <w:rFonts w:ascii="Garamond" w:hAnsi="Garamond" w:cs="Times New Roman"/>
          <w:color w:val="000000"/>
          <w:sz w:val="24"/>
          <w:szCs w:val="24"/>
        </w:rPr>
        <w:t xml:space="preserve">rregulloren </w:t>
      </w:r>
      <w:r w:rsidRPr="009572F6">
        <w:rPr>
          <w:rFonts w:ascii="Garamond" w:hAnsi="Garamond" w:cs="Times New Roman"/>
          <w:color w:val="000000"/>
          <w:sz w:val="24"/>
          <w:szCs w:val="24"/>
        </w:rPr>
        <w:t>“Për komunikimin e Këshillit të Lartë Gjyqësor me medien”.</w:t>
      </w:r>
    </w:p>
    <w:p w14:paraId="3D0B81ED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Zbatimin e ligjit për të drejtën e informimit, duke trajtuar 58 kërkesa për informacion, të cilat morën përgjigje brenda një afati të arsyeshëm.</w:t>
      </w:r>
    </w:p>
    <w:p w14:paraId="7D843AEF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Rritjen e kapaciteteve njerëzore duke trajnuar 19 punonjës të KLGJ-së dhe 220 gjyqtarë, në bashkëpunim me Shkollën e Magjistraturës, ASPA-n, si dhe partnerët rajonalë dhe ndërkombëtarë.</w:t>
      </w:r>
    </w:p>
    <w:p w14:paraId="54D5DADC" w14:textId="230134B5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Finalizimin e draftit për konsultim të Planit të ri Strategjik 2021</w:t>
      </w:r>
      <w:r w:rsidR="00D33199">
        <w:rPr>
          <w:rFonts w:ascii="Garamond" w:hAnsi="Garamond" w:cs="Times New Roman"/>
          <w:color w:val="000000"/>
          <w:sz w:val="24"/>
          <w:szCs w:val="24"/>
        </w:rPr>
        <w:t>–</w:t>
      </w:r>
      <w:r w:rsidRPr="009572F6">
        <w:rPr>
          <w:rFonts w:ascii="Garamond" w:hAnsi="Garamond" w:cs="Times New Roman"/>
          <w:color w:val="000000"/>
          <w:sz w:val="24"/>
          <w:szCs w:val="24"/>
        </w:rPr>
        <w:t>2023, i cili po i nënshtrohet një procesi gjithëpërfshirës dhe transparent diskutimi me grupet e interesit.</w:t>
      </w:r>
    </w:p>
    <w:p w14:paraId="2B3A0376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- Përmirësimin e sistemeve dhe kapaciteteve aktuale të teknologjisë së informacionit, duke kryer 84 zhvillime të reja, të cilat i shërbejnë përmirësimit të punës si nga gjyqtarët, ashtu edhe nga stafi mbështetës në pamundësi për një sistem të ri të menaxhimit të çështjeve (ICMIS).</w:t>
      </w:r>
    </w:p>
    <w:p w14:paraId="6BA3A207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t>Bazuar sa më sipër, Kuvendi i Shqipërisë nxit Këshillin e Lartë Gjyqësor:</w:t>
      </w:r>
    </w:p>
    <w:p w14:paraId="7F8BD06A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1. Të veprojë me ritme të shpejta për adresimin e zgjidhjeve të problematikave në sistemin gjyqësor. </w:t>
      </w:r>
    </w:p>
    <w:p w14:paraId="31C765AC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2. T’i kushtojë rëndësi informimit të publikut për qasjen në drejtësi dhe mbarëvajtjes së marrëdhënieve të gjyqësorit me publikun.</w:t>
      </w:r>
    </w:p>
    <w:p w14:paraId="4994585E" w14:textId="004FBCDA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lastRenderedPageBreak/>
        <w:t>3. Të forcojë bashkëpunimin me organet e qeverisjes së sistemit të drejtësisë dhe institucionet e tjera shtetërore</w:t>
      </w:r>
      <w:r w:rsidR="00D33199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në përputhje me parashikimet ligjore në fuqi për të gjitha proceset që ndikojnë në zbatimin e duhur dhe efektiv të reformës në drejtësi.</w:t>
      </w:r>
    </w:p>
    <w:p w14:paraId="5B0EE2AB" w14:textId="0E0CBA69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4. Të informojë vazhdimisht Kuvendin e Shqipërisë për problematikat e hasura në sistemin gjyqësor</w:t>
      </w:r>
      <w:r w:rsidR="00D33199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duke rekomanduar edhe zgjidhjet përkatëse.</w:t>
      </w:r>
    </w:p>
    <w:p w14:paraId="651A8FC3" w14:textId="590DABDF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 për vitin 2021 i kërkon Këshillit</w:t>
      </w:r>
      <w:r w:rsidR="007A39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572F6">
        <w:rPr>
          <w:rFonts w:ascii="Garamond" w:hAnsi="Garamond" w:cs="Times New Roman"/>
          <w:b/>
          <w:bCs/>
          <w:color w:val="000000"/>
          <w:sz w:val="24"/>
          <w:szCs w:val="24"/>
        </w:rPr>
        <w:t>të Lartë Gjyqësor:</w:t>
      </w:r>
    </w:p>
    <w:p w14:paraId="470A1D48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1. Të përmbyllë në një kohë sa më të shkurtër procesin e plotësimit të vendeve vakante në Gjykatën e Lartë, me qëllim vënien në funksionalitet të plotë të saj.</w:t>
      </w:r>
    </w:p>
    <w:p w14:paraId="6A122D25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2. Të plotësojë vendet vakante në Gjykatën e Posaçme të Apelit për Korrupsionin dhe Krimin e Organizuar dhe në Gjykatën e Shkallës së Parë për Korrupsionin dhe Krimin e Organizuar.</w:t>
      </w:r>
    </w:p>
    <w:p w14:paraId="565AC40D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3. Të formalizojë propozimin e përbashkët me Ministrinë e Drejtësisë për riorganizimin e rretheve gjyqësore dhe kompetencave tokësore të gjykatave, si dhe përmbylljen e paketës së plotë me akte nënligjore normative dhe rregullatore sipas përcaktimeve ligjore.</w:t>
      </w:r>
    </w:p>
    <w:p w14:paraId="731FF7DE" w14:textId="5FDE7553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4. Të angazhohet në rritjen profesionale të gjyqtarëve dhe administratës së gjykatës nëpërmjet mundësive të vazhdueshme për zhvillimin profesional</w:t>
      </w:r>
      <w:r w:rsidR="00D33199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duke bashkëpunuar ngushtësisht me Shkollën e Magjistraturës dhe ASPA-n</w:t>
      </w:r>
      <w:r w:rsidR="00D33199">
        <w:rPr>
          <w:rFonts w:ascii="Garamond" w:hAnsi="Garamond" w:cs="Times New Roman"/>
          <w:color w:val="000000"/>
          <w:sz w:val="24"/>
          <w:szCs w:val="24"/>
        </w:rPr>
        <w:t>,</w:t>
      </w:r>
      <w:r w:rsidRPr="009572F6">
        <w:rPr>
          <w:rFonts w:ascii="Garamond" w:hAnsi="Garamond" w:cs="Times New Roman"/>
          <w:color w:val="000000"/>
          <w:sz w:val="24"/>
          <w:szCs w:val="24"/>
        </w:rPr>
        <w:t xml:space="preserve"> përkatësisht.</w:t>
      </w:r>
    </w:p>
    <w:p w14:paraId="2C74F4FD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5. Të përshpejtojë ritmet e punës në vlerësimin vjetor të performancës së gjyqtarëve dhe personelit të administratës së gjykatës.</w:t>
      </w:r>
    </w:p>
    <w:p w14:paraId="1DE752C6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6. Të vijojë bashkëpunimin me organet e rivlerësimit kalimtar për përshpejtimin e përmbylljes së këtij procesi.</w:t>
      </w:r>
    </w:p>
    <w:p w14:paraId="4E5F26A2" w14:textId="7129F43A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7. Të përmbyllë procesin e vlerësimit etik-profesional të gjyqtarëve, në përputhje me skemën e vlerësimit të gjyqtarëve.</w:t>
      </w:r>
    </w:p>
    <w:p w14:paraId="3359F13D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8. Të angazhohet në propozime konkrete për përmirësime ligjore bazuar në përvojën e fituar dhe problematikat e dala përgjatë veprimtarisë së institucionit.</w:t>
      </w:r>
    </w:p>
    <w:p w14:paraId="1C888994" w14:textId="77777777" w:rsidR="00AF5A9B" w:rsidRPr="009572F6" w:rsidRDefault="00AF5A9B" w:rsidP="00AF5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FC3FA53" w14:textId="77777777" w:rsidR="003E1616" w:rsidRDefault="003E1616" w:rsidP="003E16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Garamond" w:hAnsi="Garamond" w:cs="Times New Roman"/>
          <w:color w:val="000000"/>
          <w:sz w:val="24"/>
          <w:szCs w:val="24"/>
        </w:rPr>
        <w:t xml:space="preserve">KRYETAR </w:t>
      </w:r>
    </w:p>
    <w:p w14:paraId="3C66FD92" w14:textId="77777777" w:rsidR="003E1616" w:rsidRDefault="003E1616" w:rsidP="003E16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>
        <w:rPr>
          <w:rFonts w:ascii="Garamond" w:hAnsi="Garamond" w:cs="Times New Roman"/>
          <w:b/>
          <w:color w:val="000000"/>
          <w:sz w:val="24"/>
          <w:szCs w:val="24"/>
        </w:rPr>
        <w:t>Gramoz Ruçi</w:t>
      </w:r>
    </w:p>
    <w:p w14:paraId="0996C147" w14:textId="77777777" w:rsidR="00570397" w:rsidRPr="009572F6" w:rsidRDefault="00570397" w:rsidP="0057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572F6">
        <w:rPr>
          <w:rFonts w:ascii="Garamond" w:hAnsi="Garamond" w:cs="Times New Roman"/>
          <w:color w:val="000000"/>
          <w:sz w:val="24"/>
          <w:szCs w:val="24"/>
        </w:rPr>
        <w:t>Miratuar në datën 14.6.2021</w:t>
      </w:r>
      <w:r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7DF7C57" w14:textId="77777777" w:rsidR="00570397" w:rsidRPr="00BA33CE" w:rsidRDefault="00570397">
      <w:pPr>
        <w:jc w:val="right"/>
        <w:rPr>
          <w:rFonts w:ascii="Garamond" w:hAnsi="Garamond"/>
          <w:b/>
        </w:rPr>
      </w:pPr>
    </w:p>
    <w:sectPr w:rsidR="00570397" w:rsidRPr="00BA33CE" w:rsidSect="00E7684C">
      <w:footerReference w:type="defaul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92149" w14:textId="77777777" w:rsidR="00BA33CE" w:rsidRDefault="00BA33CE" w:rsidP="00C86383">
      <w:pPr>
        <w:spacing w:after="0" w:line="240" w:lineRule="auto"/>
      </w:pPr>
      <w:r>
        <w:separator/>
      </w:r>
    </w:p>
  </w:endnote>
  <w:endnote w:type="continuationSeparator" w:id="0">
    <w:p w14:paraId="57B682BB" w14:textId="77777777" w:rsidR="00BA33CE" w:rsidRDefault="00BA33CE" w:rsidP="00C86383">
      <w:pPr>
        <w:spacing w:after="0" w:line="240" w:lineRule="auto"/>
      </w:pPr>
      <w:r>
        <w:continuationSeparator/>
      </w:r>
    </w:p>
  </w:endnote>
  <w:endnote w:type="continuationNotice" w:id="1">
    <w:p w14:paraId="289F41D9" w14:textId="77777777" w:rsidR="00BA33CE" w:rsidRDefault="00BA33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BA33CE" w:rsidRPr="00E7684C" w:rsidRDefault="00BA33C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16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BA33CE" w:rsidRDefault="00BA33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ABB0C" w14:textId="77777777" w:rsidR="00BA33CE" w:rsidRDefault="00BA33CE" w:rsidP="00C86383">
      <w:pPr>
        <w:spacing w:after="0" w:line="240" w:lineRule="auto"/>
      </w:pPr>
      <w:r>
        <w:separator/>
      </w:r>
    </w:p>
  </w:footnote>
  <w:footnote w:type="continuationSeparator" w:id="0">
    <w:p w14:paraId="15C83E00" w14:textId="77777777" w:rsidR="00BA33CE" w:rsidRDefault="00BA33CE" w:rsidP="00C86383">
      <w:pPr>
        <w:spacing w:after="0" w:line="240" w:lineRule="auto"/>
      </w:pPr>
      <w:r>
        <w:continuationSeparator/>
      </w:r>
    </w:p>
  </w:footnote>
  <w:footnote w:type="continuationNotice" w:id="1">
    <w:p w14:paraId="048900C5" w14:textId="77777777" w:rsidR="00BA33CE" w:rsidRDefault="00BA33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573FA"/>
    <w:rsid w:val="00060FF5"/>
    <w:rsid w:val="00062B6C"/>
    <w:rsid w:val="00062F7F"/>
    <w:rsid w:val="0007298B"/>
    <w:rsid w:val="00082B98"/>
    <w:rsid w:val="00083D5C"/>
    <w:rsid w:val="00091EE7"/>
    <w:rsid w:val="000A08B2"/>
    <w:rsid w:val="000A0B41"/>
    <w:rsid w:val="000C0CFC"/>
    <w:rsid w:val="000C1BC4"/>
    <w:rsid w:val="000C7182"/>
    <w:rsid w:val="000D476A"/>
    <w:rsid w:val="000D6847"/>
    <w:rsid w:val="000D7ED5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56DB"/>
    <w:rsid w:val="001424BF"/>
    <w:rsid w:val="001432F5"/>
    <w:rsid w:val="00143A0C"/>
    <w:rsid w:val="0016140E"/>
    <w:rsid w:val="00162EC4"/>
    <w:rsid w:val="0016364A"/>
    <w:rsid w:val="00176BBD"/>
    <w:rsid w:val="0018119B"/>
    <w:rsid w:val="00181B37"/>
    <w:rsid w:val="00184409"/>
    <w:rsid w:val="001858C3"/>
    <w:rsid w:val="00191634"/>
    <w:rsid w:val="001A2DF7"/>
    <w:rsid w:val="001A79AF"/>
    <w:rsid w:val="001B134B"/>
    <w:rsid w:val="001B6D41"/>
    <w:rsid w:val="001B7CF3"/>
    <w:rsid w:val="001C1147"/>
    <w:rsid w:val="001E2085"/>
    <w:rsid w:val="001F4CD5"/>
    <w:rsid w:val="0020553B"/>
    <w:rsid w:val="002063FE"/>
    <w:rsid w:val="002129CF"/>
    <w:rsid w:val="00215C02"/>
    <w:rsid w:val="002176D7"/>
    <w:rsid w:val="0022618D"/>
    <w:rsid w:val="0022683A"/>
    <w:rsid w:val="002359AF"/>
    <w:rsid w:val="00237CB2"/>
    <w:rsid w:val="00244B19"/>
    <w:rsid w:val="00262C8A"/>
    <w:rsid w:val="00266214"/>
    <w:rsid w:val="00283031"/>
    <w:rsid w:val="00286E87"/>
    <w:rsid w:val="002878A2"/>
    <w:rsid w:val="00290F16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47F0"/>
    <w:rsid w:val="002E57A2"/>
    <w:rsid w:val="002F1E84"/>
    <w:rsid w:val="002F495E"/>
    <w:rsid w:val="00310428"/>
    <w:rsid w:val="00312A26"/>
    <w:rsid w:val="00320FC3"/>
    <w:rsid w:val="00321277"/>
    <w:rsid w:val="00323548"/>
    <w:rsid w:val="003305FA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616"/>
    <w:rsid w:val="003E193B"/>
    <w:rsid w:val="003E334D"/>
    <w:rsid w:val="003E39E2"/>
    <w:rsid w:val="003E3F68"/>
    <w:rsid w:val="003F4CE7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A29"/>
    <w:rsid w:val="00540968"/>
    <w:rsid w:val="00541D13"/>
    <w:rsid w:val="00544ED5"/>
    <w:rsid w:val="00545007"/>
    <w:rsid w:val="00546B87"/>
    <w:rsid w:val="00555F66"/>
    <w:rsid w:val="00556003"/>
    <w:rsid w:val="00566A66"/>
    <w:rsid w:val="00567336"/>
    <w:rsid w:val="00567F4B"/>
    <w:rsid w:val="00570397"/>
    <w:rsid w:val="00570C99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5E32"/>
    <w:rsid w:val="005D79C0"/>
    <w:rsid w:val="005E0B16"/>
    <w:rsid w:val="005E3C64"/>
    <w:rsid w:val="005E4979"/>
    <w:rsid w:val="005F08C5"/>
    <w:rsid w:val="005F1101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3709E"/>
    <w:rsid w:val="00646894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35AD3"/>
    <w:rsid w:val="00750776"/>
    <w:rsid w:val="00761637"/>
    <w:rsid w:val="00761C31"/>
    <w:rsid w:val="00761C60"/>
    <w:rsid w:val="00763CE9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3988"/>
    <w:rsid w:val="007A4144"/>
    <w:rsid w:val="007A6000"/>
    <w:rsid w:val="007C05DC"/>
    <w:rsid w:val="007C0DC8"/>
    <w:rsid w:val="007C1E4A"/>
    <w:rsid w:val="007C69A6"/>
    <w:rsid w:val="007C6F84"/>
    <w:rsid w:val="007F04D3"/>
    <w:rsid w:val="007F16F8"/>
    <w:rsid w:val="007F2061"/>
    <w:rsid w:val="007F43C4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5FA8"/>
    <w:rsid w:val="0088785E"/>
    <w:rsid w:val="00890D60"/>
    <w:rsid w:val="00892480"/>
    <w:rsid w:val="00897A30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2C2A"/>
    <w:rsid w:val="008F0F64"/>
    <w:rsid w:val="008F3C04"/>
    <w:rsid w:val="008F3C44"/>
    <w:rsid w:val="008F4028"/>
    <w:rsid w:val="008F668F"/>
    <w:rsid w:val="008F6781"/>
    <w:rsid w:val="009051F4"/>
    <w:rsid w:val="0092415F"/>
    <w:rsid w:val="009256DD"/>
    <w:rsid w:val="00946C72"/>
    <w:rsid w:val="0095624F"/>
    <w:rsid w:val="009571C2"/>
    <w:rsid w:val="009572F6"/>
    <w:rsid w:val="00960704"/>
    <w:rsid w:val="00960B17"/>
    <w:rsid w:val="00961043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734A"/>
    <w:rsid w:val="009B3A7B"/>
    <w:rsid w:val="009B6083"/>
    <w:rsid w:val="009D3A41"/>
    <w:rsid w:val="009D5991"/>
    <w:rsid w:val="009D76B9"/>
    <w:rsid w:val="009E3C1B"/>
    <w:rsid w:val="009E698C"/>
    <w:rsid w:val="009E6CA9"/>
    <w:rsid w:val="009E7F8D"/>
    <w:rsid w:val="009F1F17"/>
    <w:rsid w:val="009F5E40"/>
    <w:rsid w:val="00A05AAA"/>
    <w:rsid w:val="00A07E25"/>
    <w:rsid w:val="00A12699"/>
    <w:rsid w:val="00A14187"/>
    <w:rsid w:val="00A14640"/>
    <w:rsid w:val="00A14720"/>
    <w:rsid w:val="00A16B59"/>
    <w:rsid w:val="00A215AB"/>
    <w:rsid w:val="00A22178"/>
    <w:rsid w:val="00A241B8"/>
    <w:rsid w:val="00A308D8"/>
    <w:rsid w:val="00A440F2"/>
    <w:rsid w:val="00A456BD"/>
    <w:rsid w:val="00A503B4"/>
    <w:rsid w:val="00A5392D"/>
    <w:rsid w:val="00A53F40"/>
    <w:rsid w:val="00A558AE"/>
    <w:rsid w:val="00A564E2"/>
    <w:rsid w:val="00A6600A"/>
    <w:rsid w:val="00A854F0"/>
    <w:rsid w:val="00A86E2D"/>
    <w:rsid w:val="00A87823"/>
    <w:rsid w:val="00A92792"/>
    <w:rsid w:val="00A94DF9"/>
    <w:rsid w:val="00A96323"/>
    <w:rsid w:val="00A97CA8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7DFE"/>
    <w:rsid w:val="00AE413A"/>
    <w:rsid w:val="00AE5AB4"/>
    <w:rsid w:val="00AE6CA0"/>
    <w:rsid w:val="00AF1CA2"/>
    <w:rsid w:val="00AF5A5B"/>
    <w:rsid w:val="00AF5A9B"/>
    <w:rsid w:val="00B03133"/>
    <w:rsid w:val="00B07B19"/>
    <w:rsid w:val="00B1268D"/>
    <w:rsid w:val="00B1678C"/>
    <w:rsid w:val="00B22C15"/>
    <w:rsid w:val="00B242A8"/>
    <w:rsid w:val="00B25AC1"/>
    <w:rsid w:val="00B35261"/>
    <w:rsid w:val="00B41476"/>
    <w:rsid w:val="00B53DAC"/>
    <w:rsid w:val="00B542F0"/>
    <w:rsid w:val="00B65D03"/>
    <w:rsid w:val="00B67269"/>
    <w:rsid w:val="00B71AED"/>
    <w:rsid w:val="00B750FF"/>
    <w:rsid w:val="00B7731C"/>
    <w:rsid w:val="00B77321"/>
    <w:rsid w:val="00B7748B"/>
    <w:rsid w:val="00B85B4C"/>
    <w:rsid w:val="00B91916"/>
    <w:rsid w:val="00BA2D77"/>
    <w:rsid w:val="00BA33CE"/>
    <w:rsid w:val="00BA7E66"/>
    <w:rsid w:val="00BB1D27"/>
    <w:rsid w:val="00BB4C3C"/>
    <w:rsid w:val="00BB5EC4"/>
    <w:rsid w:val="00BC2A76"/>
    <w:rsid w:val="00BD592D"/>
    <w:rsid w:val="00BD5A4B"/>
    <w:rsid w:val="00BD6A46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68C9"/>
    <w:rsid w:val="00C277DC"/>
    <w:rsid w:val="00C3396C"/>
    <w:rsid w:val="00C356CF"/>
    <w:rsid w:val="00C42220"/>
    <w:rsid w:val="00C46623"/>
    <w:rsid w:val="00C50843"/>
    <w:rsid w:val="00C569D5"/>
    <w:rsid w:val="00C65542"/>
    <w:rsid w:val="00C80389"/>
    <w:rsid w:val="00C829DC"/>
    <w:rsid w:val="00C85851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D692F"/>
    <w:rsid w:val="00CE032B"/>
    <w:rsid w:val="00CE0964"/>
    <w:rsid w:val="00CE0B9A"/>
    <w:rsid w:val="00CE5869"/>
    <w:rsid w:val="00CE6F13"/>
    <w:rsid w:val="00D04D9C"/>
    <w:rsid w:val="00D05C90"/>
    <w:rsid w:val="00D0709B"/>
    <w:rsid w:val="00D17929"/>
    <w:rsid w:val="00D2027A"/>
    <w:rsid w:val="00D27092"/>
    <w:rsid w:val="00D31426"/>
    <w:rsid w:val="00D31E4D"/>
    <w:rsid w:val="00D33199"/>
    <w:rsid w:val="00D332B5"/>
    <w:rsid w:val="00D34239"/>
    <w:rsid w:val="00D44DC4"/>
    <w:rsid w:val="00D57535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954"/>
    <w:rsid w:val="00DA4E4C"/>
    <w:rsid w:val="00DA5786"/>
    <w:rsid w:val="00DB3852"/>
    <w:rsid w:val="00DB5ECD"/>
    <w:rsid w:val="00DB7E09"/>
    <w:rsid w:val="00DC57B4"/>
    <w:rsid w:val="00DC7318"/>
    <w:rsid w:val="00DD32F3"/>
    <w:rsid w:val="00DD3DDE"/>
    <w:rsid w:val="00DD449E"/>
    <w:rsid w:val="00DD473E"/>
    <w:rsid w:val="00DF1BC6"/>
    <w:rsid w:val="00DF6555"/>
    <w:rsid w:val="00DF6CD2"/>
    <w:rsid w:val="00E02D8F"/>
    <w:rsid w:val="00E042C2"/>
    <w:rsid w:val="00E06BA5"/>
    <w:rsid w:val="00E12C4C"/>
    <w:rsid w:val="00E23E57"/>
    <w:rsid w:val="00E24099"/>
    <w:rsid w:val="00E25CF0"/>
    <w:rsid w:val="00E26211"/>
    <w:rsid w:val="00E318C7"/>
    <w:rsid w:val="00E34C07"/>
    <w:rsid w:val="00E36067"/>
    <w:rsid w:val="00E442DC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2AD9"/>
    <w:rsid w:val="00EA3F91"/>
    <w:rsid w:val="00EA7B60"/>
    <w:rsid w:val="00EB31F6"/>
    <w:rsid w:val="00EB4EE4"/>
    <w:rsid w:val="00EB62DE"/>
    <w:rsid w:val="00ED4C45"/>
    <w:rsid w:val="00ED5AEE"/>
    <w:rsid w:val="00ED668D"/>
    <w:rsid w:val="00ED6B85"/>
    <w:rsid w:val="00EE4C8B"/>
    <w:rsid w:val="00EE6A25"/>
    <w:rsid w:val="00EF6235"/>
    <w:rsid w:val="00F05169"/>
    <w:rsid w:val="00F0526E"/>
    <w:rsid w:val="00F066EF"/>
    <w:rsid w:val="00F142C1"/>
    <w:rsid w:val="00F1525A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FCEB6D79-A39C-4EEE-91C2-49C85D4B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A9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1394-3</Nr_x002e__x0020_akti>
    <Data_x0020_e_x0020_Krijimit xmlns="0e656187-b300-4fb0-8bf4-3a50f872073c">2021-06-18T07:49:40Z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http://qbz.gov.al/resource/authority/document-type/rezolute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2021-06-16T22:00:00Z</Date_x0020_protokolli>
    <Titulli xmlns="0e656187-b300-4fb0-8bf4-3a50f872073c">Për vlerësimin e veprimtarisë së Këshillit të Lartë Gjyqësor për vitin 2020</Titulli>
    <Modifikuesi xmlns="0e656187-b300-4fb0-8bf4-3a50f872073c">valjeta.kaftalli</Modifikuesi>
    <Nr_x002e__x0020_prot_x0020_QBZ xmlns="0e656187-b300-4fb0-8bf4-3a50f872073c">917/4</Nr_x002e__x0020_prot_x0020_QBZ>
    <Data_x0020_e_x0020_Modifikimit xmlns="0e656187-b300-4fb0-8bf4-3a50f872073c">2021-06-18T09:00:28Z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1394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A114BFCCE4C059FC672B0BA4C9E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BD81D-774F-4AAF-BAFC-76B0B39BFC44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D50DFF-CEDA-4DB8-A3A0-846A39C75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86CB2A-22CB-4D67-BE5E-982ED76FF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05901F-BCA1-42AE-8A75-1127A781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Këshillit të Lartë Gjyqësor për vitin 2020</vt:lpstr>
    </vt:vector>
  </TitlesOfParts>
  <Company/>
  <LinksUpToDate>false</LinksUpToDate>
  <CharactersWithSpaces>9216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Këshillit të Lartë Gjyqësor për vitin 2020</dc:title>
  <dc:creator>user</dc:creator>
  <cp:lastModifiedBy>Entela Suli</cp:lastModifiedBy>
  <cp:revision>15</cp:revision>
  <cp:lastPrinted>2021-06-16T07:50:00Z</cp:lastPrinted>
  <dcterms:created xsi:type="dcterms:W3CDTF">2021-06-17T12:11:00Z</dcterms:created>
  <dcterms:modified xsi:type="dcterms:W3CDTF">2021-06-18T09:09:00Z</dcterms:modified>
</cp:coreProperties>
</file>