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87458" w14:textId="77777777" w:rsidR="00C8096B" w:rsidRPr="004D7E61" w:rsidRDefault="00C8096B" w:rsidP="00C8096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REZOLUTË </w:t>
      </w:r>
    </w:p>
    <w:p w14:paraId="47287459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28745A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VLERËSIMIN E VEPRIMTARISË SË ENTIT RREGULLATOR TË ENERGJISË PËR VITIN 2020</w:t>
      </w:r>
    </w:p>
    <w:p w14:paraId="4728745C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728745E" w14:textId="41E4F5DB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Kuvendi i Shqipërisë,</w:t>
      </w:r>
    </w:p>
    <w:p w14:paraId="4728745F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njohur Entin Rregullator të Energjisë si rregullatorin e vetëm dhe të pavarur për mbikëqyrjen e funksionimit të tregut të energjisë elektrike e të gazit natyror, si dhe për ruajtjen e ekuilibrit ndërmjet interesave të konsumatorëve, shtetit dhe sipërmarrësve në këtë sektor;</w:t>
      </w:r>
    </w:p>
    <w:p w14:paraId="47287460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FF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 që viti 2020 ka qenë një vit shumë i rëndësishëm pasi më 15 nëntor 2020 projekti TAP përfundoi realizimin e tij; ndërtimi i tubacionit tokësor, i cili kalon përmes Shqipërisë ka përfunduar në përputhje me të gjitha kriteret dhe standardet e një projekti të përmasave kaq të mëdha, tashmë Shqipëria është e lidhur me një rrjet ndërkombëtar të gazit;</w:t>
      </w:r>
    </w:p>
    <w:p w14:paraId="47287461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vlerësuar, gjithashtu, që viti 2020 shënon themelimin e Bursës Shqiptare të Energjisë Elektrike (ALPEX), e cila më 23 tetor 2020 u regjistrua në QKB  dhe pritet të bëhet efektive (</w:t>
      </w:r>
      <w:r w:rsidRPr="004D7E6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Go-Live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) së shpejti duke i hapur rrugën funksionimit të tregut të energjisë së ditës në avancë;</w:t>
      </w:r>
    </w:p>
    <w:p w14:paraId="47287462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 faktin që numri i prodhuesve të pavarur të energjisë elektrike vjen duke u rritur nga viti në vit, duke rritur peshën e këtyre prodhuesve në treg, i cili është një hap i rëndësishëm për liberalizimin e tregut të energjisë elektrike në vendin tonë;</w:t>
      </w:r>
    </w:p>
    <w:p w14:paraId="47287463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 hapat e rëndësishëm të ndërmarrë për rritjen e prodhimit të energjisë elektrike me kosto të ulët përmes diversifikimit të burimeve të rinovueshme të energjisë në Shqipëri nëpërmjet implementimit të planit kombëtar të veprimit për nxitjen e prodhimit të energjisë nga impiante fotovoltaike dhe eolike, si dhe finalizimi me sukses i dy ankandeve për ndërtimin e impianteve fotovoltaike me kapacitet total të instaluar 240 MWp;</w:t>
      </w:r>
    </w:p>
    <w:p w14:paraId="47287464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 trendin pozitiv të uljes së nivelit të humbjeve të energjisë elektrike në sistemin e shpërndarjes, i cili vijon të ketë një rënie nga viti në vit, humbjet e energjisë elektrike për vitin 2020 arritën në nivelin 21.48%, duke shënuar një ulje të lehtë krahasuar me nivelin prej 21.79% të vitit 2019, ndërkohë niveli total i arkëtimeve për vitin 2020 është në vlerat prej 95.8 %, tregues ky i konsoliduar vitet e fundit në nivelin mbi 95%;</w:t>
      </w:r>
    </w:p>
    <w:p w14:paraId="47287466" w14:textId="47D1A1A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Duke vlerësuar faktin që viti 2020 është viti i parë i operimit individual të secilës prej shoqërive OSSH sh.a</w:t>
      </w:r>
      <w:r w:rsidR="00C12E6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, FSHU sh.a</w:t>
      </w:r>
      <w:r w:rsidR="004D7E61"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FTL sh.a., këto shoqëri kanë zhvilluar në mënyrë të pavarur nga njëra-tjetra aktivitetin përkatës sipas licencave që ato zotërojnë,</w:t>
      </w:r>
    </w:p>
    <w:p w14:paraId="47287468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Vlerëson veprimtarinë e Entit Rregullator të Energjisë gjatë vitit 2020 në këto drejtime:</w:t>
      </w:r>
    </w:p>
    <w:p w14:paraId="4728746A" w14:textId="5D1CD7FE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Punën e bërë për të garantuar mbarëvajtjen e sektorit të energjisë gjatë situatës së pandemisë </w:t>
      </w:r>
      <w:r w:rsidR="004D7E61"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-19, ku në bashkëpunim me operatorët e licencuar për shërbimin publik janë marrë të gjitha masat e nevojshme për furnizimin me cilësi dhe siguri të konsumatorëve, si dhe dhënies së shërbimeve përkatëse.</w:t>
      </w:r>
    </w:p>
    <w:p w14:paraId="4728746B" w14:textId="6D8B636E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Bashkëpunimin ndërmjet ERE-s dhe dy autoriteteve të tjera rregullatore të Italisë dhe Greqisë për miratimin e dokumenteve të ndryshme të përbashkëta, si: vendimi i përbashkët për certifikimin e Operatorit të Pavarur të Transmetimit, miratimi i Kodit të Rrjetit të TAP-it etj. Përfundimi i TAP-it në nëntor 2020 ka bërë të mundur që tashmë Shqipëria të jetë e li</w:t>
      </w:r>
      <w:r w:rsidR="00210CAE">
        <w:rPr>
          <w:rFonts w:ascii="Garamond" w:hAnsi="Garamond" w:cs="Times New Roman"/>
          <w:color w:val="000000"/>
          <w:sz w:val="24"/>
          <w:szCs w:val="24"/>
          <w:lang w:val="sq-AL"/>
        </w:rPr>
        <w:t>qaA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dhur me një rrjet ndërkombëtar të gazit.</w:t>
      </w:r>
    </w:p>
    <w:p w14:paraId="4728746C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Punën e bërë nga ERE në bashkëpunim me ministrinë e linjës për hartimin e legjislacionit sekondar për sektorin e gazit natyror duke kompletuar të gjithë kornizën ligjore për një funksionim normal të tregut të gazit në vendin tonë.</w:t>
      </w:r>
    </w:p>
    <w:p w14:paraId="4728746D" w14:textId="5B5E3330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Punën e bërë për krijimin e tregut të përbashkët të energjisë elektrike Shqipëri–Kosovë, veçanërisht në kuadër të ngritjes së bursës së energjisë, harmonizimit dhe adaptimit të kuadrit rregullator dhe teknik.</w:t>
      </w:r>
    </w:p>
    <w:p w14:paraId="4728746E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-Bashkëpunimin e ERE-s me të gjithë aktorët për sa i përket ngritjes së Bursës Shqiptare të Energjisë, e cila pritet të bëhet efektive (</w:t>
      </w:r>
      <w:r w:rsidRPr="004D7E6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Go-Live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) gjatë gjysmës së dytë të vitit 2021.</w:t>
      </w:r>
    </w:p>
    <w:p w14:paraId="4728746F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Vënien në punë të linjës së interkonjeksionit 400 kV Tiranë (Shqipëri) – Prishtinë (Kosovë), e cila do të përmirësojë sigurinë e furnizimit me energji elektrike për dy vendet tona, duke marrë parasysh faktin se dy vendet tona kanë sisteme komplementare të prodhimit të energjisë elektrike.</w:t>
      </w:r>
    </w:p>
    <w:p w14:paraId="47287470" w14:textId="06064580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Rolin dhe kontributin e ERE-s lidhur me ndryshimet ligjore në ligjin nr. 7/2017</w:t>
      </w:r>
      <w:r w:rsidR="00210C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nxitjen e përdorimit të energjisë nga burimet e rinovueshme”, ku përfshihen edhe impiantet e vetëprodhuesve të energjisë elektrike, si dhe miratimin e akteve të ndryshme, të cilat i shërbejnë rregullimit të tregut të energjisë elektrike të prodhuar nga burimet e rinovueshme, si: dielli, era, bimasë etj.</w:t>
      </w:r>
    </w:p>
    <w:p w14:paraId="47287471" w14:textId="5FEA1B20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- Punën e bërë nga ERE, e cila, pas konsultimit edhe me Sekretariatin e Traktatit të Energjisë në Vjenë, me vendimin përkatës ka miratuar programin e pajtueshmërisë së OSSH sh.a., i cili synon shmangien e sjelljeve diskriminuese të OSSH sh.a</w:t>
      </w:r>
      <w:r w:rsidR="00C12E6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pjesëmarrësve të tjerë në tregun e energjisë elektrike.</w:t>
      </w:r>
    </w:p>
    <w:p w14:paraId="47287472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Punën e bërë për miratimin e rregullores, kërkesave dhe procedurave për përcaktimin e Operatorit të Emëruar të Tregut të Energjisë Elektrike (NEMO). </w:t>
      </w:r>
    </w:p>
    <w:p w14:paraId="47287474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Kuvendi i Shqipërisë kërkon që Enti Rregullator i Energjisë për vitin 2021 të angazhohet në këto drejtime:</w:t>
      </w:r>
    </w:p>
    <w:p w14:paraId="47287476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1. Të kërkojë impenjim maksimal nga OSHEE sh.a. për implementimin në një kohë sa më të shkurtër të masave të parashikuara në Planin e Veprimit për Ndarjen Funksionale të OSHEE sh.a., si një hap ngushtësisht të lidhur me liberalizimin e tregut të energjisë elektrike, hapjen e mëtejshme të tij dhe si një kërkesë e theksuar edhe në progresraportin i KE-së.</w:t>
      </w:r>
    </w:p>
    <w:p w14:paraId="47287477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bashkëpunim me Rregullatorin e Kosovës, të marrë masa për hapjen e procesit të përzgjedhjes së NEMO-s (Operatorit të Emëruar të Tregut të Energjisë Elektrike), si dhe për përafrimin e legjislacionit sekondar midis dy vendeve dhe hapave të tjerë të nevojshëm në funksion të bashkimit të tregjeve të dy vendeve tona. </w:t>
      </w:r>
    </w:p>
    <w:p w14:paraId="47287478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Të rrisë bashkëpunimin me Entin Rregullator të Italisë për të bërë të mundur njohjen e Operatorit të Emëruar të Tregut të Energjisë Elektrike (NEMO) në komitetet e bursave të vendeve të BE-së. </w:t>
      </w:r>
    </w:p>
    <w:p w14:paraId="47287479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4. Përmes mundësive të reja në fushën e teknologjisë së informacionit duhet të punojë për zhvillimin dhe implementimin e një sistemi të menaxhimit dhe trajtimit të ankesave, dhënies së informacionit të saktë e të shpejtë për konsumatorët, si dhe trajtimit në një kohë sa më të shkurtër të ankesave.</w:t>
      </w:r>
    </w:p>
    <w:p w14:paraId="4728747A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5. Të punojë për hartimin e treguesit të matjes dhe vlerësimit të performancës së shërbimit ndaj klientit që garanton çdo i licencuar në furnizim, për të bërë të mundur ofrimin e një shërbimi cilësor dhe me standarde për konsumatorin.</w:t>
      </w:r>
    </w:p>
    <w:p w14:paraId="4728747B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Përmes mjeteve dhe mënyrave të informacionit të mbështesë dhe promovojë kalimin nga një konsumator pasiv, subjekt i tarifave të rregulluara, akteve rregullatore, në një pjesëmarrës aktiv të tregut të energjisë. </w:t>
      </w:r>
    </w:p>
    <w:p w14:paraId="4728747C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7. Duhet të vijojë mbikëqyrjen e performancës së operatorit sa i përket zbatimit të detyrimeve që burojnë nga ligji dhe aktet nënligjore për mbrojtjen e të drejtave të konsumatorëve të energjisë elektrike.</w:t>
      </w:r>
    </w:p>
    <w:p w14:paraId="4728747D" w14:textId="331F9150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Përmes miratimit të akteve rregullatore të punojë për nxitjen e investimeve në impiante të prodhimit të energjisë elektrike nga burimet e vogla të rinovueshme, si: dielli, era, bimasë etj., të cilat sjellin një diversifikim gradual të prodhimit të energjisë në vend, një kërkesë e përsëritur edhe në raportet e progresit të BE-së. </w:t>
      </w:r>
    </w:p>
    <w:p w14:paraId="4728747E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Të japë ndihmesën e nevojshme dhe të bashkëpunojë me të gjithë aktorët në vend për të bërë të mundur ndërtimin e rrjetit të transmetimit dhe shpërndarjes së gazit. Ngritja e infrastrukturës së gazit është me rëndësi, pasi gazi jo vetëm sjell diversifikimin e burimeve në 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vend dhe është më ekonomik në përdorimin, por ka edhe emetim shumë herë më të vogël në ambient.</w:t>
      </w:r>
    </w:p>
    <w:p w14:paraId="4728747F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10. Lidhur me përdorimin e teknologjive të reja për stacionet e ngarkimit të automjeteve elektrike, përfshirë rregullimin e tarifimit të këtij shërbimi, t’u referohet praktikave të rregullatorëve në vendet e BE-së duke propozuar opsionet dhe zgjidhjet përkatëse.</w:t>
      </w:r>
    </w:p>
    <w:p w14:paraId="47287480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Mbështetur në parimin e hapjes së tregut, parimin e koherencës dhe atë të shpërndarjes së drejtë, të përqendrohet në punën e saj, në promovimin e konkurrencës dhe inovacionit me qëllim uljen e çmimeve për konsumatorin dhe rritjen e cilësisë së shërbimeve. </w:t>
      </w:r>
    </w:p>
    <w:p w14:paraId="47287481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Me qëllim zvogëlimin e barrierave rregullatore dhe shkurtimin e kohës së procedurave rregullatore, të kryejë një analizë </w:t>
      </w:r>
      <w:r w:rsidRPr="004D7E6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ex-post</w:t>
      </w: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rregulloreve përkatëse.</w:t>
      </w:r>
    </w:p>
    <w:p w14:paraId="47287482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52324"/>
          <w:sz w:val="24"/>
          <w:szCs w:val="24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Krahas ndjekjes së problematikave që mund të lindin nga implementimi i projektit pilot të sistemit të ri të faturimit të energjisë elektrike, të konsiderojë mundësinë e instalimit gradual të matësve inteligjentë, bazuar kjo në një </w:t>
      </w:r>
      <w:r w:rsidRPr="004D7E61">
        <w:rPr>
          <w:rFonts w:ascii="Garamond" w:hAnsi="Garamond" w:cs="Times New Roman"/>
          <w:color w:val="252324"/>
          <w:sz w:val="24"/>
          <w:szCs w:val="24"/>
          <w:lang w:val="sq-AL"/>
        </w:rPr>
        <w:t>analizë kosto-përfitim dhe duke caktuar nivelin e përshtatshëm për zbatimin sipas zonave të ndryshme (urbane, suburban dhe rurale) në varësi edhe të mbulimit me rrjetin e telekomunikacionit.</w:t>
      </w:r>
    </w:p>
    <w:p w14:paraId="47287483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CC1FA1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4D7E61">
        <w:rPr>
          <w:rFonts w:ascii="Garamond" w:hAnsi="Garamond" w:cs="Garamond"/>
          <w:sz w:val="24"/>
          <w:szCs w:val="24"/>
          <w:lang w:val="sq-AL"/>
        </w:rPr>
        <w:t>KRYETAR</w:t>
      </w:r>
    </w:p>
    <w:p w14:paraId="0CE62175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D7E61">
        <w:rPr>
          <w:rFonts w:ascii="Garamond" w:hAnsi="Garamond" w:cs="Garamond"/>
          <w:b/>
          <w:bCs/>
          <w:sz w:val="24"/>
          <w:szCs w:val="24"/>
          <w:lang w:val="sq-AL"/>
        </w:rPr>
        <w:t>Gramoz Ruçi</w:t>
      </w:r>
    </w:p>
    <w:p w14:paraId="47287484" w14:textId="77777777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7287485" w14:textId="5D16791C" w:rsidR="00C8096B" w:rsidRPr="004D7E61" w:rsidRDefault="00C8096B" w:rsidP="00C809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D7E61">
        <w:rPr>
          <w:rFonts w:ascii="Garamond" w:hAnsi="Garamond" w:cs="Times New Roman"/>
          <w:color w:val="000000"/>
          <w:sz w:val="24"/>
          <w:szCs w:val="24"/>
          <w:lang w:val="sq-AL"/>
        </w:rPr>
        <w:t>Miratuar në datën 1.7.2021</w:t>
      </w:r>
      <w:r w:rsidR="00C12E6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7287486" w14:textId="27ED82E3" w:rsidR="001B1C8A" w:rsidRPr="004D7E61" w:rsidRDefault="001B1C8A" w:rsidP="00C8096B">
      <w:pPr>
        <w:rPr>
          <w:lang w:val="sq-AL"/>
        </w:rPr>
      </w:pPr>
    </w:p>
    <w:sectPr w:rsidR="001B1C8A" w:rsidRPr="004D7E61" w:rsidSect="001B1C8A">
      <w:headerReference w:type="default" r:id="rId24"/>
      <w:footerReference w:type="default" r:id="rId25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F360F" w14:textId="77777777" w:rsidR="00270D72" w:rsidRDefault="00270D72">
      <w:pPr>
        <w:spacing w:after="0" w:line="240" w:lineRule="auto"/>
      </w:pPr>
      <w:r>
        <w:separator/>
      </w:r>
    </w:p>
  </w:endnote>
  <w:endnote w:type="continuationSeparator" w:id="0">
    <w:p w14:paraId="4D919317" w14:textId="77777777" w:rsidR="00270D72" w:rsidRDefault="00270D72">
      <w:pPr>
        <w:spacing w:after="0" w:line="240" w:lineRule="auto"/>
      </w:pPr>
      <w:r>
        <w:continuationSeparator/>
      </w:r>
    </w:p>
  </w:endnote>
  <w:endnote w:type="continuationNotice" w:id="1">
    <w:p w14:paraId="6968F358" w14:textId="77777777" w:rsidR="00270D72" w:rsidRDefault="00270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26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728748D" w14:textId="77777777" w:rsidR="00270D72" w:rsidRPr="001B1C8A" w:rsidRDefault="00270D7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1C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1C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1C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0C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1C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28748E" w14:textId="77777777" w:rsidR="00270D72" w:rsidRDefault="00270D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953A" w14:textId="77777777" w:rsidR="00270D72" w:rsidRDefault="00270D72">
      <w:pPr>
        <w:spacing w:after="0" w:line="240" w:lineRule="auto"/>
      </w:pPr>
      <w:r>
        <w:separator/>
      </w:r>
    </w:p>
  </w:footnote>
  <w:footnote w:type="continuationSeparator" w:id="0">
    <w:p w14:paraId="4742ED13" w14:textId="77777777" w:rsidR="00270D72" w:rsidRDefault="00270D72">
      <w:pPr>
        <w:spacing w:after="0" w:line="240" w:lineRule="auto"/>
      </w:pPr>
      <w:r>
        <w:continuationSeparator/>
      </w:r>
    </w:p>
  </w:footnote>
  <w:footnote w:type="continuationNotice" w:id="1">
    <w:p w14:paraId="73CB29D2" w14:textId="77777777" w:rsidR="00270D72" w:rsidRDefault="00270D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8748C" w14:textId="77777777" w:rsidR="00270D72" w:rsidRDefault="00270D72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69AD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C072D"/>
    <w:multiLevelType w:val="hybridMultilevel"/>
    <w:tmpl w:val="4D04E690"/>
    <w:lvl w:ilvl="0" w:tplc="AB2E9C6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A14818"/>
    <w:multiLevelType w:val="hybridMultilevel"/>
    <w:tmpl w:val="D0BC3696"/>
    <w:lvl w:ilvl="0" w:tplc="5F722E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76"/>
    <w:rsid w:val="00004C97"/>
    <w:rsid w:val="0002045B"/>
    <w:rsid w:val="0007485E"/>
    <w:rsid w:val="000B3D29"/>
    <w:rsid w:val="000B6CF0"/>
    <w:rsid w:val="000D3D08"/>
    <w:rsid w:val="000D4726"/>
    <w:rsid w:val="000F5943"/>
    <w:rsid w:val="0015186F"/>
    <w:rsid w:val="00156CD3"/>
    <w:rsid w:val="00165481"/>
    <w:rsid w:val="0017660E"/>
    <w:rsid w:val="001A5656"/>
    <w:rsid w:val="001B1C8A"/>
    <w:rsid w:val="001D666C"/>
    <w:rsid w:val="001F1108"/>
    <w:rsid w:val="00206573"/>
    <w:rsid w:val="00210CAE"/>
    <w:rsid w:val="00217069"/>
    <w:rsid w:val="00232390"/>
    <w:rsid w:val="0023314F"/>
    <w:rsid w:val="00240B92"/>
    <w:rsid w:val="00266BD1"/>
    <w:rsid w:val="00270D72"/>
    <w:rsid w:val="00285179"/>
    <w:rsid w:val="002C2110"/>
    <w:rsid w:val="002C780F"/>
    <w:rsid w:val="00307BD8"/>
    <w:rsid w:val="00326C45"/>
    <w:rsid w:val="00385E8D"/>
    <w:rsid w:val="00387DC3"/>
    <w:rsid w:val="00393BD6"/>
    <w:rsid w:val="003A1C00"/>
    <w:rsid w:val="003B15D1"/>
    <w:rsid w:val="003B537C"/>
    <w:rsid w:val="003E0B79"/>
    <w:rsid w:val="004060F6"/>
    <w:rsid w:val="00410EE7"/>
    <w:rsid w:val="00413AF8"/>
    <w:rsid w:val="00424F58"/>
    <w:rsid w:val="004532EA"/>
    <w:rsid w:val="00455520"/>
    <w:rsid w:val="004959AB"/>
    <w:rsid w:val="004C3F62"/>
    <w:rsid w:val="004D7E61"/>
    <w:rsid w:val="004E4B4B"/>
    <w:rsid w:val="004E5025"/>
    <w:rsid w:val="004F3D64"/>
    <w:rsid w:val="004F4AF0"/>
    <w:rsid w:val="005278C4"/>
    <w:rsid w:val="00583E25"/>
    <w:rsid w:val="005D1E81"/>
    <w:rsid w:val="00662F92"/>
    <w:rsid w:val="00675233"/>
    <w:rsid w:val="00687C8A"/>
    <w:rsid w:val="00693E12"/>
    <w:rsid w:val="006978C8"/>
    <w:rsid w:val="006A1816"/>
    <w:rsid w:val="006A6357"/>
    <w:rsid w:val="006C0AE2"/>
    <w:rsid w:val="006D607E"/>
    <w:rsid w:val="006E4A76"/>
    <w:rsid w:val="007937CB"/>
    <w:rsid w:val="007A4C38"/>
    <w:rsid w:val="007E7759"/>
    <w:rsid w:val="0081109C"/>
    <w:rsid w:val="0081632D"/>
    <w:rsid w:val="00825B09"/>
    <w:rsid w:val="00887B19"/>
    <w:rsid w:val="0089632C"/>
    <w:rsid w:val="008F1769"/>
    <w:rsid w:val="0093360A"/>
    <w:rsid w:val="00937CEE"/>
    <w:rsid w:val="00944625"/>
    <w:rsid w:val="009511EA"/>
    <w:rsid w:val="0095143F"/>
    <w:rsid w:val="00973A12"/>
    <w:rsid w:val="009908F3"/>
    <w:rsid w:val="009967E2"/>
    <w:rsid w:val="009B1D9F"/>
    <w:rsid w:val="009B343D"/>
    <w:rsid w:val="009B4EC6"/>
    <w:rsid w:val="009D415D"/>
    <w:rsid w:val="00A01101"/>
    <w:rsid w:val="00A0387B"/>
    <w:rsid w:val="00A1443A"/>
    <w:rsid w:val="00A22B24"/>
    <w:rsid w:val="00A22E04"/>
    <w:rsid w:val="00A24736"/>
    <w:rsid w:val="00A32C3F"/>
    <w:rsid w:val="00A57E25"/>
    <w:rsid w:val="00A74C1E"/>
    <w:rsid w:val="00AE4171"/>
    <w:rsid w:val="00AF0E76"/>
    <w:rsid w:val="00B00ABF"/>
    <w:rsid w:val="00B109D0"/>
    <w:rsid w:val="00B13420"/>
    <w:rsid w:val="00B507F7"/>
    <w:rsid w:val="00BE42BC"/>
    <w:rsid w:val="00BE6F29"/>
    <w:rsid w:val="00C12E66"/>
    <w:rsid w:val="00C637DE"/>
    <w:rsid w:val="00C7468D"/>
    <w:rsid w:val="00C8096B"/>
    <w:rsid w:val="00C80B9E"/>
    <w:rsid w:val="00C90C07"/>
    <w:rsid w:val="00C95D36"/>
    <w:rsid w:val="00CA3041"/>
    <w:rsid w:val="00CB10D4"/>
    <w:rsid w:val="00CD4ACD"/>
    <w:rsid w:val="00D05910"/>
    <w:rsid w:val="00D10CE9"/>
    <w:rsid w:val="00D15B01"/>
    <w:rsid w:val="00D30EDD"/>
    <w:rsid w:val="00D42AC6"/>
    <w:rsid w:val="00DA5F0D"/>
    <w:rsid w:val="00DC42AA"/>
    <w:rsid w:val="00DE0776"/>
    <w:rsid w:val="00E02677"/>
    <w:rsid w:val="00E12AB7"/>
    <w:rsid w:val="00E36EA3"/>
    <w:rsid w:val="00E44588"/>
    <w:rsid w:val="00E65F40"/>
    <w:rsid w:val="00EA0ECF"/>
    <w:rsid w:val="00ED647D"/>
    <w:rsid w:val="00F11A99"/>
    <w:rsid w:val="00F24AF7"/>
    <w:rsid w:val="00F4614C"/>
    <w:rsid w:val="00F912F1"/>
    <w:rsid w:val="00FA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87446"/>
  <w15:docId w15:val="{954AC967-B517-477F-A3CB-6658F23E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cs="Times New Roman"/>
      <w:lang w:val="sq-AL"/>
    </w:rPr>
  </w:style>
  <w:style w:type="character" w:customStyle="1" w:styleId="ListParagraphChar">
    <w:name w:val="List Paragraph Char"/>
    <w:link w:val="ListParagraph"/>
    <w:uiPriority w:val="34"/>
    <w:rPr>
      <w:rFonts w:ascii="Calibri" w:eastAsia="Calibri" w:hAnsi="Calibri" w:cs="Times New Roman"/>
      <w:lang w:val="sq-AL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cs="Times New Roman"/>
      <w:lang w:val="sq-AL" w:eastAsia="sq-AL"/>
    </w:rPr>
  </w:style>
  <w:style w:type="character" w:customStyle="1" w:styleId="NoSpacingChar">
    <w:name w:val="No Spacing Char"/>
    <w:link w:val="NoSpacing"/>
    <w:uiPriority w:val="1"/>
    <w:rPr>
      <w:rFonts w:ascii="Calibri" w:eastAsia="Calibri" w:hAnsi="Calibri" w:cs="Times New Roman"/>
      <w:lang w:val="sq-AL" w:eastAsia="sq-AL"/>
    </w:rPr>
  </w:style>
  <w:style w:type="paragraph" w:customStyle="1" w:styleId="Akti">
    <w:name w:val="Akti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1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C8A"/>
  </w:style>
  <w:style w:type="paragraph" w:styleId="Footer">
    <w:name w:val="footer"/>
    <w:basedOn w:val="Normal"/>
    <w:link w:val="FooterChar"/>
    <w:uiPriority w:val="99"/>
    <w:unhideWhenUsed/>
    <w:rsid w:val="001B1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21D421838143C3A30AA7FCF89372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1613-5</Nr_x002e__x0020_akti>
    <Data_x0020_e_x0020_Krijimit xmlns="0e656187-b300-4fb0-8bf4-3a50f872073c">2021-07-12T12:43:16Z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2021-07-11T22:00:00Z</Date_x0020_protokolli>
    <Titulli xmlns="0e656187-b300-4fb0-8bf4-3a50f872073c">Për vlerësimin e veprimtarisë së Entit Rregullator të Energjisë për vitin 2020</Titulli>
    <Modifikuesi xmlns="0e656187-b300-4fb0-8bf4-3a50f872073c">nevila.samarxhi</Modifikuesi>
    <Nr_x002e__x0020_prot_x0020_QBZ xmlns="0e656187-b300-4fb0-8bf4-3a50f872073c">1024/5</Nr_x002e__x0020_prot_x0020_QBZ>
    <Data_x0020_e_x0020_Modifikimit xmlns="0e656187-b300-4fb0-8bf4-3a50f872073c">2021-07-13T06:52:58Z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1613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21D421838143C3A30AA7FCF89372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B1075-4695-4543-B51B-3E9C1FCB7E4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3FA5D27-7B1D-4E0F-A7D1-A9C28DA06D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1ED2E4-E481-4E52-8267-292E5D0B6DC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AB7468A-19EA-481D-8477-6887CBAE246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B711B2F-9E4E-4BA1-92CE-683EA1E13A9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917BA9B-7BC2-4BEF-B80F-195672BB8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0CEE44F-B6A1-4381-8B9F-281A6D42A5F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064E46A-F5C3-40DA-A323-FF828A11648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1142CDD-53D7-47EC-AF9B-076D0C332E4A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C86D5EFE-7817-4082-ADAD-462AABC22E6D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11.xml><?xml version="1.0" encoding="utf-8"?>
<ds:datastoreItem xmlns:ds="http://schemas.openxmlformats.org/officeDocument/2006/customXml" ds:itemID="{C2367D01-2715-4E54-85A3-EC776325F0A8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06B5E9E-F056-4426-B7F1-73554D47FD4E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E12B0EE-EDB0-45FC-92CD-7DBC49AC916E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EB1FF2BF-7022-4612-B3A3-6AAF189B380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3DA67BDD-BC55-48BC-ABC0-7676DDC61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4B1DA684-3E34-4733-9164-9B04F0F13BC5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FB67BE2E-3AD1-4F85-A0EB-20E9F99AA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Energjisë për vitin 2020</vt:lpstr>
    </vt:vector>
  </TitlesOfParts>
  <Company/>
  <LinksUpToDate>false</LinksUpToDate>
  <CharactersWithSpaces>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Energjisë për vitin 2020</dc:title>
  <dc:creator>marlind.myftiu</dc:creator>
  <cp:lastModifiedBy>Jorina Kryeziu</cp:lastModifiedBy>
  <cp:revision>7</cp:revision>
  <cp:lastPrinted>2021-07-07T09:29:00Z</cp:lastPrinted>
  <dcterms:created xsi:type="dcterms:W3CDTF">2021-07-12T12:38:00Z</dcterms:created>
  <dcterms:modified xsi:type="dcterms:W3CDTF">2021-07-13T08:30:00Z</dcterms:modified>
</cp:coreProperties>
</file>