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76263" w14:textId="77777777" w:rsid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5043EF50" w14:textId="77777777" w:rsidR="008E77D9" w:rsidRPr="001F5478" w:rsidRDefault="008E77D9" w:rsidP="001F54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ABB1DCA" w14:textId="49BFA49F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AUTORITETIT TË KONKURRENCËS</w:t>
      </w:r>
      <w:r w:rsidR="00BF67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>PËR VITIN 2021</w:t>
      </w:r>
    </w:p>
    <w:p w14:paraId="3772915F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3E67EDE" w14:textId="5940B058" w:rsidR="001F5478" w:rsidRPr="001F5478" w:rsidRDefault="001F5478" w:rsidP="008E77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1C9DFCB1" w14:textId="1234F68E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- Duke vlerësuar rolin e Autoritetit të Konkurrencës në sigurimin e një konkurrence të lirë dhe efektive në treg, në zbatim të ligjit nr. 9121, datë 28.7.2003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“Për mbrojtjen e konkurrencës”, </w:t>
      </w:r>
      <w:r w:rsidR="008E77D9">
        <w:rPr>
          <w:rFonts w:ascii="Garamond" w:hAnsi="Garamond" w:cs="Times New Roman"/>
          <w:color w:val="000000"/>
          <w:sz w:val="24"/>
          <w:szCs w:val="24"/>
        </w:rPr>
        <w:t>të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ndryshuar;</w:t>
      </w:r>
    </w:p>
    <w:p w14:paraId="73F3D74F" w14:textId="14E34F2D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- Duke njohur bashkëpunimin e këtij Autoriteti me institucionet qendrore dhe ato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për aktet që mund të prekin funksionimin e konkurrencës në tregje;</w:t>
      </w:r>
    </w:p>
    <w:p w14:paraId="6C97D6B3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- Duke konsideruar se mirëfunksionimi i tregjeve kërkon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gjithëpërfshirjen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e aktorëve dhe faktorëve të tregut për t’i bërë ata konkurrues dhe sa më të hapur, me synim mirëqenien e konsumatorit,</w:t>
      </w:r>
    </w:p>
    <w:p w14:paraId="6739E002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>Vlerëson veprimtarinë e Autoritetit të Konkurrencës gjatë vitit 2021 në drejtim të:</w:t>
      </w:r>
    </w:p>
    <w:p w14:paraId="4B49C43C" w14:textId="7BB7B0DE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- Angazhimit maksimal të Komisionit të Konkurrencës për zhvillimin normal të veprimtarisë së institucionit, të pasqyruar në miratimin e nj</w:t>
      </w:r>
      <w:r w:rsidR="008E77D9">
        <w:rPr>
          <w:rFonts w:ascii="Garamond" w:hAnsi="Garamond" w:cs="Times New Roman"/>
          <w:color w:val="000000"/>
          <w:sz w:val="24"/>
          <w:szCs w:val="24"/>
        </w:rPr>
        <w:t>ë numri total prej 94 vendimesh;</w:t>
      </w:r>
    </w:p>
    <w:p w14:paraId="67F9FD06" w14:textId="27E46BCD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- Monitorimit të vazhdueshëm të tregjeve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sensitive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si: të telefonisë celulare, të prokurimeve publike, të</w:t>
      </w:r>
      <w:r w:rsidR="008E77D9">
        <w:rPr>
          <w:rFonts w:ascii="Garamond" w:hAnsi="Garamond" w:cs="Times New Roman"/>
          <w:color w:val="000000"/>
          <w:sz w:val="24"/>
          <w:szCs w:val="24"/>
        </w:rPr>
        <w:t xml:space="preserve"> sigurimeve, të produkteve </w:t>
      </w:r>
      <w:proofErr w:type="spellStart"/>
      <w:r w:rsidR="008E77D9">
        <w:rPr>
          <w:rFonts w:ascii="Garamond" w:hAnsi="Garamond" w:cs="Times New Roman"/>
          <w:color w:val="000000"/>
          <w:sz w:val="24"/>
          <w:szCs w:val="24"/>
        </w:rPr>
        <w:t>para</w:t>
      </w:r>
      <w:r w:rsidRPr="001F5478">
        <w:rPr>
          <w:rFonts w:ascii="Garamond" w:hAnsi="Garamond" w:cs="Times New Roman"/>
          <w:color w:val="000000"/>
          <w:sz w:val="24"/>
          <w:szCs w:val="24"/>
        </w:rPr>
        <w:t>mjekëso</w:t>
      </w:r>
      <w:r w:rsidR="008E77D9">
        <w:rPr>
          <w:rFonts w:ascii="Garamond" w:hAnsi="Garamond" w:cs="Times New Roman"/>
          <w:color w:val="000000"/>
          <w:sz w:val="24"/>
          <w:szCs w:val="24"/>
        </w:rPr>
        <w:t>re</w:t>
      </w:r>
      <w:proofErr w:type="spellEnd"/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="00BF67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E77D9">
        <w:rPr>
          <w:rFonts w:ascii="Garamond" w:hAnsi="Garamond" w:cs="Times New Roman"/>
          <w:color w:val="000000"/>
          <w:sz w:val="24"/>
          <w:szCs w:val="24"/>
        </w:rPr>
        <w:t>të grurit dhe miellit, etj.;</w:t>
      </w:r>
    </w:p>
    <w:p w14:paraId="7C6CB71A" w14:textId="041A38B1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- Vlerësimit të 42 rasteve të kontrollit të përqendrimeve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nga të cilat Komisioni ka klasifikuar dhe autorizuar 31 raste dhe nuk ka klasifikuar 11 raste, ku tregjet më të prekura nga transaksionet e ndryshimet e kontrollit vazhdojnë të jenë edhe për vitin 2021 tregjet financiare dhe të sigurimeve, që ndiqen më pas nga tregu i energjisë elektrike, si dhe derdhjen në buxhetin e shtetit të vlerës prej 16,7 milionë lekësh si e ardhur n</w:t>
      </w:r>
      <w:r w:rsidR="008E77D9">
        <w:rPr>
          <w:rFonts w:ascii="Garamond" w:hAnsi="Garamond" w:cs="Times New Roman"/>
          <w:color w:val="000000"/>
          <w:sz w:val="24"/>
          <w:szCs w:val="24"/>
        </w:rPr>
        <w:t>ga përqendrimet;</w:t>
      </w:r>
    </w:p>
    <w:p w14:paraId="71B95E2C" w14:textId="525D777F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- Miratimit të 28 vendimeve që lidhen me zbatimin e dispozitave ligjore për marrëveshjet e ndaluara, nga 7 vendime që janë miratuar në vitin 2020, duke përfunduar procedurat hetimore të nisura në tregjet e prokurimit të shërbimit të shtypshkrimeve, importit dhe tregtimit me shumicë të maskave, të alkooleve, të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xheldezinfektuesve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dhe të termometrave, hapjen e hetimeve të reja si në tregun e importit dhe shitjes me shumicë të plehrave kimike dhe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inputeve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bujqësore, tregun e importit, prodhimit dhe tregtimit me shumicë të vajit vegjetal, </w:t>
      </w:r>
      <w:r w:rsidR="008E77D9">
        <w:rPr>
          <w:rFonts w:ascii="Garamond" w:hAnsi="Garamond" w:cs="Times New Roman"/>
          <w:color w:val="000000"/>
          <w:sz w:val="24"/>
          <w:szCs w:val="24"/>
        </w:rPr>
        <w:t>barnave dhe pajisjeve mjekësore;</w:t>
      </w:r>
    </w:p>
    <w:p w14:paraId="6F5EB664" w14:textId="3D799874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- Miratimit të 16 vendimeve nga 7 vendime të miratuara në vitin 2020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për zbatimin e dispozitës ligjore të nenit 9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të ligjit nr. 9121/2003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“Për mbrojtjen e konkurrencës”, </w:t>
      </w:r>
      <w:r w:rsidR="008E77D9">
        <w:rPr>
          <w:rFonts w:ascii="Garamond" w:hAnsi="Garamond" w:cs="Times New Roman"/>
          <w:color w:val="000000"/>
          <w:sz w:val="24"/>
          <w:szCs w:val="24"/>
        </w:rPr>
        <w:t>të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për abuzimin me pozitën dominuese në treg, në tregjet e ngarkim-shkarkimit, importit, depozitimit, shitjes me shumicë të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GLN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-së, në tregun e ngarkim-shkarkimit, importit, depozitimit, shitjes me shumicë të </w:t>
      </w:r>
      <w:r w:rsidRPr="00EB35A9">
        <w:rPr>
          <w:rFonts w:ascii="Garamond" w:hAnsi="Garamond" w:cs="Times New Roman"/>
          <w:color w:val="000000"/>
          <w:sz w:val="24"/>
          <w:szCs w:val="24"/>
        </w:rPr>
        <w:t>karburanteve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dhe tregun e menaxhimit të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faciliteteve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të parkimit </w:t>
      </w:r>
      <w:r w:rsidR="008E77D9">
        <w:rPr>
          <w:rFonts w:ascii="Garamond" w:hAnsi="Garamond" w:cs="Times New Roman"/>
          <w:color w:val="000000"/>
          <w:sz w:val="24"/>
          <w:szCs w:val="24"/>
        </w:rPr>
        <w:t xml:space="preserve">të Tirana </w:t>
      </w:r>
      <w:proofErr w:type="spellStart"/>
      <w:r w:rsidR="008E77D9">
        <w:rPr>
          <w:rFonts w:ascii="Garamond" w:hAnsi="Garamond" w:cs="Times New Roman"/>
          <w:color w:val="000000"/>
          <w:sz w:val="24"/>
          <w:szCs w:val="24"/>
        </w:rPr>
        <w:t>Internatio</w:t>
      </w:r>
      <w:bookmarkStart w:id="0" w:name="_GoBack"/>
      <w:bookmarkEnd w:id="0"/>
      <w:r w:rsidR="008E77D9">
        <w:rPr>
          <w:rFonts w:ascii="Garamond" w:hAnsi="Garamond" w:cs="Times New Roman"/>
          <w:color w:val="000000"/>
          <w:sz w:val="24"/>
          <w:szCs w:val="24"/>
        </w:rPr>
        <w:t>nal</w:t>
      </w:r>
      <w:proofErr w:type="spellEnd"/>
      <w:r w:rsidR="008E77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E77D9">
        <w:rPr>
          <w:rFonts w:ascii="Garamond" w:hAnsi="Garamond" w:cs="Times New Roman"/>
          <w:color w:val="000000"/>
          <w:sz w:val="24"/>
          <w:szCs w:val="24"/>
        </w:rPr>
        <w:t>Airport</w:t>
      </w:r>
      <w:proofErr w:type="spellEnd"/>
      <w:r w:rsidR="008E77D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F8816A3" w14:textId="0F1445AF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- Plotësimit të detyrimeve që rrjedhin nga </w:t>
      </w:r>
      <w:r w:rsidR="008E77D9" w:rsidRPr="001F5478">
        <w:rPr>
          <w:rFonts w:ascii="Garamond" w:hAnsi="Garamond" w:cs="Times New Roman"/>
          <w:color w:val="000000"/>
          <w:sz w:val="24"/>
          <w:szCs w:val="24"/>
        </w:rPr>
        <w:t>marrëveshja e stabilizim-</w:t>
      </w:r>
      <w:proofErr w:type="spellStart"/>
      <w:r w:rsidR="008E77D9" w:rsidRPr="001F5478">
        <w:rPr>
          <w:rFonts w:ascii="Garamond" w:hAnsi="Garamond" w:cs="Times New Roman"/>
          <w:color w:val="000000"/>
          <w:sz w:val="24"/>
          <w:szCs w:val="24"/>
        </w:rPr>
        <w:t>asociimit</w:t>
      </w:r>
      <w:proofErr w:type="spellEnd"/>
      <w:r w:rsidR="008E77D9" w:rsidRPr="001F547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në fushën e konkurrencës, duke vijuar procesin e përafrimit të legjislacionit me direktivat </w:t>
      </w:r>
      <w:r w:rsidR="008E77D9" w:rsidRPr="001F5478">
        <w:rPr>
          <w:rFonts w:ascii="Garamond" w:hAnsi="Garamond" w:cs="Times New Roman"/>
          <w:color w:val="000000"/>
          <w:sz w:val="24"/>
          <w:szCs w:val="24"/>
        </w:rPr>
        <w:t>evropiane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në këtë fushë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nëpërmjet hartimit</w:t>
      </w:r>
      <w:r w:rsidR="00BF67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5478">
        <w:rPr>
          <w:rFonts w:ascii="Garamond" w:hAnsi="Garamond" w:cs="Times New Roman"/>
          <w:color w:val="000000"/>
          <w:sz w:val="24"/>
          <w:szCs w:val="24"/>
        </w:rPr>
        <w:t>dhe miratimit</w:t>
      </w:r>
      <w:r w:rsidR="00BF67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5478">
        <w:rPr>
          <w:rFonts w:ascii="Garamond" w:hAnsi="Garamond" w:cs="Times New Roman"/>
          <w:color w:val="000000"/>
          <w:sz w:val="24"/>
          <w:szCs w:val="24"/>
        </w:rPr>
        <w:t>gjatë vitit 2021 të dy akteve nënligjore në formën e udhëzuesit: udhëzimin “Mbi praktikat më të mira në rastet e zbatimit të procedurave të kontrollit të përqendrimeve”, si dhe udhëzimin “Mbi praktikat më të mira për dorëzimin e provave me karakter ekonomik dhe mbledhjen e të dhënave në rastet që kanë të bëjnë me zbatimin e neneve 4 dhe 9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të ligjit nr. 9121/2003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“Për mbrojtjen e konkurrencës”, </w:t>
      </w:r>
      <w:r w:rsidR="008E77D9">
        <w:rPr>
          <w:rFonts w:ascii="Garamond" w:hAnsi="Garamond" w:cs="Times New Roman"/>
          <w:color w:val="000000"/>
          <w:sz w:val="24"/>
          <w:szCs w:val="24"/>
        </w:rPr>
        <w:t>të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ndryshuar, si</w:t>
      </w:r>
      <w:r w:rsidR="008E77D9">
        <w:rPr>
          <w:rFonts w:ascii="Garamond" w:hAnsi="Garamond" w:cs="Times New Roman"/>
          <w:color w:val="000000"/>
          <w:sz w:val="24"/>
          <w:szCs w:val="24"/>
        </w:rPr>
        <w:t xml:space="preserve"> dhe në rastet e përqendrimeve”;</w:t>
      </w:r>
    </w:p>
    <w:p w14:paraId="42D92BE1" w14:textId="47B8E37D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- Dhënies së kontributit për institucionet e tjera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për sa i takon hartimit të akteve ligjore dhe nënligjore, ku Autoriteti ka vlerësuar në total 36 akte dhe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projektakte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, nga të cilat 30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projektakte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në tregun e energjisë dhe gazit, 2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projektakte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në sektorin e furnizimit me ujë dhe largimin e përpunimit të ujërave të ndotura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lidhur me ndryshimin e nivelit tarifor, si dhe dhënien e rekomandimeve për disa akte nënligjore në fuqi në fushën e prokurimit publik, koncesioneve dh</w:t>
      </w:r>
      <w:r w:rsidR="008E77D9">
        <w:rPr>
          <w:rFonts w:ascii="Garamond" w:hAnsi="Garamond" w:cs="Times New Roman"/>
          <w:color w:val="000000"/>
          <w:sz w:val="24"/>
          <w:szCs w:val="24"/>
        </w:rPr>
        <w:t xml:space="preserve">e shërbimit të </w:t>
      </w:r>
      <w:proofErr w:type="spellStart"/>
      <w:r w:rsidR="008E77D9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="008E77D9">
        <w:rPr>
          <w:rFonts w:ascii="Garamond" w:hAnsi="Garamond" w:cs="Times New Roman"/>
          <w:color w:val="000000"/>
          <w:sz w:val="24"/>
          <w:szCs w:val="24"/>
        </w:rPr>
        <w:t xml:space="preserve"> ligjor;</w:t>
      </w:r>
    </w:p>
    <w:p w14:paraId="20752737" w14:textId="22CD6563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- Trajnimit të vazhdueshëm të stafit të realizuar në kuadër të bashkëpunimit ndërkombëtar nëpërmjet projekteve të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BERZH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-it dhe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IPA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-s, si dhe OECD-së,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ICN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>-s, etj., duke bërë të mundur zhvillimin e 68 trajnimeve virtuale brenda dhe jashtë vendi</w:t>
      </w:r>
      <w:r w:rsidR="008E77D9">
        <w:rPr>
          <w:rFonts w:ascii="Garamond" w:hAnsi="Garamond" w:cs="Times New Roman"/>
          <w:color w:val="000000"/>
          <w:sz w:val="24"/>
          <w:szCs w:val="24"/>
        </w:rPr>
        <w:t>t, si dhe një vizite studimore;</w:t>
      </w:r>
    </w:p>
    <w:p w14:paraId="496E1F9A" w14:textId="5ED9353C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- Përmirësimit ndër vite të përpjekjeve të institucionit në drejtim të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advokacisë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përkundrejt shumë palëve në treg, si: konsumatorët, komuniteti i biznesit dhe institucionet shtetërore, ku konkretisht është nënshkruar Memorandumi i Bashkëpunimit me A</w:t>
      </w:r>
      <w:r w:rsidR="008E77D9">
        <w:rPr>
          <w:rFonts w:ascii="Garamond" w:hAnsi="Garamond" w:cs="Times New Roman"/>
          <w:color w:val="000000"/>
          <w:sz w:val="24"/>
          <w:szCs w:val="24"/>
        </w:rPr>
        <w:t>utoritetin Grek të Konkurrencës;</w:t>
      </w:r>
    </w:p>
    <w:p w14:paraId="20BF40BF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- Ndjekjes së 20 proceseve gjyqësore në Gjykatën Administrative të Shkallës së Parë Tiranë, ku Autoriteti rezulton të jetë i paditur nga ndërmarrjet për të cilat me vendimmarrje të Komisionit është konstatuar moszbatimi i masës së përkohshme për të cilat gjykata administrative e shkallës së parë i ka dhënë të drejtë Autoritetit në 14 raste.</w:t>
      </w:r>
    </w:p>
    <w:p w14:paraId="46835A67" w14:textId="1284160A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>Kuvendi kërkon që Autoriteti i Konkurrencës</w:t>
      </w:r>
      <w:r w:rsidR="008E77D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2022</w:t>
      </w:r>
      <w:r w:rsidR="008E77D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angazhohet veçanërisht në këto drejtime: </w:t>
      </w:r>
    </w:p>
    <w:p w14:paraId="227F3365" w14:textId="0B7C99E3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Të orientohet drejt digjitalizimit të proceseve të monitorimit dhe hetimit të tregjeve, si dhe të zbatojë sa më parë projektin për digjitalizimin e arkiv</w:t>
      </w:r>
      <w:r w:rsidR="008E77D9">
        <w:rPr>
          <w:rFonts w:ascii="Garamond" w:hAnsi="Garamond" w:cs="Times New Roman"/>
          <w:color w:val="000000"/>
          <w:sz w:val="24"/>
          <w:szCs w:val="24"/>
        </w:rPr>
        <w:t>it dhe protokollit të Autoritetit;</w:t>
      </w:r>
    </w:p>
    <w:p w14:paraId="04E3662A" w14:textId="153EC108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Të nxisë komunikim më të mirë me publikun në tërësi nëpërmjet publikimit të </w:t>
      </w:r>
      <w:proofErr w:type="spellStart"/>
      <w:r w:rsidRPr="008E77D9">
        <w:rPr>
          <w:rFonts w:ascii="Garamond" w:hAnsi="Garamond" w:cs="Times New Roman"/>
          <w:i/>
          <w:color w:val="000000"/>
          <w:sz w:val="24"/>
          <w:szCs w:val="24"/>
        </w:rPr>
        <w:t>Newsletter</w:t>
      </w:r>
      <w:proofErr w:type="spellEnd"/>
      <w:r w:rsidR="008E77D9">
        <w:rPr>
          <w:rFonts w:ascii="Garamond" w:hAnsi="Garamond" w:cs="Times New Roman"/>
          <w:color w:val="000000"/>
          <w:sz w:val="24"/>
          <w:szCs w:val="24"/>
        </w:rPr>
        <w:t>-it mujor të Autoritetit;</w:t>
      </w:r>
    </w:p>
    <w:p w14:paraId="22D2FCC7" w14:textId="015F14A8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Të përmirësojë treguesit e transparencës për vendosjen në dispozicion të qytetarëve të një kategor</w:t>
      </w:r>
      <w:r w:rsidR="008E77D9">
        <w:rPr>
          <w:rFonts w:ascii="Garamond" w:hAnsi="Garamond" w:cs="Times New Roman"/>
          <w:color w:val="000000"/>
          <w:sz w:val="24"/>
          <w:szCs w:val="24"/>
        </w:rPr>
        <w:t>ie më të gjerë të informacionit;</w:t>
      </w:r>
    </w:p>
    <w:p w14:paraId="13381585" w14:textId="4870A231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Të angazhojë kapacitetet administrative të institucionit për intensifikimin e monitorimeve dhe përfundimin në një kohë të arsyeshme të procedurave hetimore jo vetëm në tregjet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sensitive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dhe me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impakt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të drejtpërdrejtë në mirëqenien e konsumatorit, por edhe në tregjet e tjera referuar rekomandimeve të BE-së dhe OECD-së, si në tregun e tregtimit të vajit vegjetal, tregun e tregtimit të karburanteve, tregun e shërbimeve të telefonisë celulare, tregun e </w:t>
      </w:r>
      <w:r w:rsidR="008E77D9">
        <w:rPr>
          <w:rFonts w:ascii="Garamond" w:hAnsi="Garamond" w:cs="Times New Roman"/>
          <w:color w:val="000000"/>
          <w:sz w:val="24"/>
          <w:szCs w:val="24"/>
        </w:rPr>
        <w:t>barnave dhe pajisjeve mjekësore;</w:t>
      </w:r>
    </w:p>
    <w:p w14:paraId="699E3DC5" w14:textId="5E574A69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Të mbajë në monitorim përqendrimin e autorizuar në tregun e telefonisë celulare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me qëllim vlerësimin e efekteve që do të sjellë në treg ndryshimi i kontrollit të </w:t>
      </w:r>
      <w:r w:rsidR="008E77D9">
        <w:rPr>
          <w:rFonts w:ascii="Garamond" w:hAnsi="Garamond" w:cs="Times New Roman"/>
          <w:color w:val="000000"/>
          <w:sz w:val="24"/>
          <w:szCs w:val="24"/>
        </w:rPr>
        <w:t xml:space="preserve">shoqërive </w:t>
      </w:r>
      <w:proofErr w:type="spellStart"/>
      <w:r w:rsidR="008E77D9">
        <w:rPr>
          <w:rFonts w:ascii="Garamond" w:hAnsi="Garamond" w:cs="Times New Roman"/>
          <w:color w:val="000000"/>
          <w:sz w:val="24"/>
          <w:szCs w:val="24"/>
        </w:rPr>
        <w:t>respektive</w:t>
      </w:r>
      <w:proofErr w:type="spellEnd"/>
      <w:r w:rsidR="008E77D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6B4A014" w14:textId="37808586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Të përfshijë sa më parë ndryshimet për rishikim të ligjit nr. 9121/2003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“Për mbrojtjen e konkurrencës”, të ndryshuar, në procesin e konsultimit publik, me qëllim paraqitjen e ty</w:t>
      </w:r>
      <w:r w:rsidR="008E77D9">
        <w:rPr>
          <w:rFonts w:ascii="Garamond" w:hAnsi="Garamond" w:cs="Times New Roman"/>
          <w:color w:val="000000"/>
          <w:sz w:val="24"/>
          <w:szCs w:val="24"/>
        </w:rPr>
        <w:t>re në Kuvend brenda vitit 2022;</w:t>
      </w:r>
    </w:p>
    <w:p w14:paraId="0A6E2697" w14:textId="5C3BF10D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Të angazhojë kapacitetet e tij administrative për adresimin e rekomandimeve cilësore për entet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dhe institucionet e administratës qendrore, si dhe për pasurimin e Platformës Parlamentare </w:t>
      </w:r>
      <w:proofErr w:type="spellStart"/>
      <w:r w:rsidRPr="008E77D9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me këto rekomandime</w:t>
      </w:r>
      <w:r w:rsidR="008E77D9">
        <w:rPr>
          <w:rFonts w:ascii="Garamond" w:hAnsi="Garamond" w:cs="Times New Roman"/>
          <w:color w:val="000000"/>
          <w:sz w:val="24"/>
          <w:szCs w:val="24"/>
        </w:rPr>
        <w:t>,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duke përditësua</w:t>
      </w:r>
      <w:r w:rsidR="008E77D9">
        <w:rPr>
          <w:rFonts w:ascii="Garamond" w:hAnsi="Garamond" w:cs="Times New Roman"/>
          <w:color w:val="000000"/>
          <w:sz w:val="24"/>
          <w:szCs w:val="24"/>
        </w:rPr>
        <w:t>r statusin e tyre në vazhdimësi;</w:t>
      </w:r>
    </w:p>
    <w:p w14:paraId="3ECB2421" w14:textId="2153E69C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Të përfshihet më shumë në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advokacinë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e reformave që promovojnë konkurrencën në procedurat e prokurimit publik, si dhe të organizojë tryeza për bashkësinë e biznesit në mënyrë që të sigurohet konkurrenca në</w:t>
      </w:r>
      <w:r w:rsidR="008E77D9">
        <w:rPr>
          <w:rFonts w:ascii="Garamond" w:hAnsi="Garamond" w:cs="Times New Roman"/>
          <w:color w:val="000000"/>
          <w:sz w:val="24"/>
          <w:szCs w:val="24"/>
        </w:rPr>
        <w:t xml:space="preserve"> procedurat e prokurimit publik;</w:t>
      </w:r>
    </w:p>
    <w:p w14:paraId="1235E573" w14:textId="0A99748A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Të fokusohet në promovimin e mëtejshëm të kulturës së konkurrencës dhe komunikimin e vazhdueshëm me biznesin, si dhe të intensifikojë marrëdhëniet me botën akademike për çështjet e rregullimit të tregut, me qëllim sigurimin e njohurive të nevojshme për shumë profesionistë në fush</w:t>
      </w:r>
      <w:r w:rsidR="008E77D9">
        <w:rPr>
          <w:rFonts w:ascii="Garamond" w:hAnsi="Garamond" w:cs="Times New Roman"/>
          <w:color w:val="000000"/>
          <w:sz w:val="24"/>
          <w:szCs w:val="24"/>
        </w:rPr>
        <w:t>ën e ligjit të konkurrencës;</w:t>
      </w:r>
    </w:p>
    <w:p w14:paraId="38B02FFD" w14:textId="150C74DD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Të bëjë vlerësimin ligjor dhe të japë asistencën e nevojshme për ndihmën shtetërore për plotësimin e kuadrit ligjor dhe nënligjor, si dhe të bëjë vlerësime </w:t>
      </w:r>
      <w:proofErr w:type="spellStart"/>
      <w:r w:rsidRPr="001F5478">
        <w:rPr>
          <w:rFonts w:ascii="Garamond" w:hAnsi="Garamond" w:cs="Times New Roman"/>
          <w:i/>
          <w:iCs/>
          <w:color w:val="000000"/>
          <w:sz w:val="24"/>
          <w:szCs w:val="24"/>
        </w:rPr>
        <w:t>ex</w:t>
      </w:r>
      <w:proofErr w:type="spellEnd"/>
      <w:r w:rsidRPr="001F5478">
        <w:rPr>
          <w:rFonts w:ascii="Garamond" w:hAnsi="Garamond" w:cs="Times New Roman"/>
          <w:i/>
          <w:iCs/>
          <w:color w:val="000000"/>
          <w:sz w:val="24"/>
          <w:szCs w:val="24"/>
        </w:rPr>
        <w:t>-post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për rastet e dhënies së ndihmës shtetërore kur ka shqetësime pë</w:t>
      </w:r>
      <w:r w:rsidR="008E77D9">
        <w:rPr>
          <w:rFonts w:ascii="Garamond" w:hAnsi="Garamond" w:cs="Times New Roman"/>
          <w:color w:val="000000"/>
          <w:sz w:val="24"/>
          <w:szCs w:val="24"/>
        </w:rPr>
        <w:t>r konkurrencën;</w:t>
      </w:r>
    </w:p>
    <w:p w14:paraId="5A2DD420" w14:textId="0C00CE5C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Të bëjë përpjekje për akomodimin e nevojave buxhetore për pajisjen me ambiente të përshtatshme të</w:t>
      </w:r>
      <w:r w:rsidR="008E77D9">
        <w:rPr>
          <w:rFonts w:ascii="Garamond" w:hAnsi="Garamond" w:cs="Times New Roman"/>
          <w:color w:val="000000"/>
          <w:sz w:val="24"/>
          <w:szCs w:val="24"/>
        </w:rPr>
        <w:t xml:space="preserve"> punës për stafin e Autoritetit;</w:t>
      </w:r>
    </w:p>
    <w:p w14:paraId="2B2FB9F3" w14:textId="1AF37BF3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Të angazhohet në organizimin e takimeve periodike me sipërmarrjen dhe botën akademike për të ndarë eksperiencat më të mira për parimet dhe kuad</w:t>
      </w:r>
      <w:r w:rsidR="008E77D9">
        <w:rPr>
          <w:rFonts w:ascii="Garamond" w:hAnsi="Garamond" w:cs="Times New Roman"/>
          <w:color w:val="000000"/>
          <w:sz w:val="24"/>
          <w:szCs w:val="24"/>
        </w:rPr>
        <w:t>rin rregullator të konkurrencës;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0FD6F73" w14:textId="7449A72A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Të bashkëpunojë me institucionet homologe të Bashkimit </w:t>
      </w:r>
      <w:r w:rsidR="008E77D9" w:rsidRPr="001F5478">
        <w:rPr>
          <w:rFonts w:ascii="Garamond" w:hAnsi="Garamond" w:cs="Times New Roman"/>
          <w:color w:val="000000"/>
          <w:sz w:val="24"/>
          <w:szCs w:val="24"/>
        </w:rPr>
        <w:t>Evropian</w:t>
      </w: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për të huazuar praktikat më të mira në fushën e konkurrencës dhe të sigurojë asistencën e ekspertëve ndërkombëtarë për çështj</w:t>
      </w:r>
      <w:r w:rsidR="008E77D9">
        <w:rPr>
          <w:rFonts w:ascii="Garamond" w:hAnsi="Garamond" w:cs="Times New Roman"/>
          <w:color w:val="000000"/>
          <w:sz w:val="24"/>
          <w:szCs w:val="24"/>
        </w:rPr>
        <w:t>e me rëndësi;</w:t>
      </w:r>
    </w:p>
    <w:p w14:paraId="012A6F8A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>Kuvendi u kërkon organeve ekzekutive të të gjitha niveleve të bashkëpunojnë me Autoritetin e Konkurrencës:</w:t>
      </w:r>
    </w:p>
    <w:p w14:paraId="76B2BB96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Duke zbatuar detyrimin për të kërkuar paraprakisht vlerësimin ligjor të Autoritetit të Konkurrencës për çdo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projektakt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 normativ, që ka si objekt ose pasojë dhënien e të drejtave ekskluzive, kufizime sasiore apo cilësore të konkurrencës në tregje ose sektorë të ndryshëm të ekonomisë, veçanërisht për kontratat </w:t>
      </w:r>
      <w:proofErr w:type="spellStart"/>
      <w:r w:rsidRPr="001F5478">
        <w:rPr>
          <w:rFonts w:ascii="Garamond" w:hAnsi="Garamond" w:cs="Times New Roman"/>
          <w:color w:val="000000"/>
          <w:sz w:val="24"/>
          <w:szCs w:val="24"/>
        </w:rPr>
        <w:t>koncesionare</w:t>
      </w:r>
      <w:proofErr w:type="spellEnd"/>
      <w:r w:rsidRPr="001F5478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41D37250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Përfshirjen e Autoritetit për konsultime të përhershme në procesin e përgatitjes dhe miratimit të akteve ligjore dhe nënligjore për të siguruar një konkurrencë të lirë dhe efektive në treg.</w:t>
      </w:r>
    </w:p>
    <w:p w14:paraId="67D5349C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76C372E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D8D96EF" w14:textId="77777777" w:rsidR="001F5478" w:rsidRP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KRYETARE</w:t>
      </w:r>
    </w:p>
    <w:p w14:paraId="7F7F1A32" w14:textId="51A8CA34" w:rsidR="008E77D9" w:rsidRDefault="001F5478" w:rsidP="008E77D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Lindita </w:t>
      </w:r>
      <w:proofErr w:type="spellStart"/>
      <w:r w:rsidRPr="001F5478">
        <w:rPr>
          <w:rFonts w:ascii="Garamond" w:hAnsi="Garamond" w:cs="Times New Roman"/>
          <w:b/>
          <w:bCs/>
          <w:color w:val="000000"/>
          <w:sz w:val="24"/>
          <w:szCs w:val="24"/>
        </w:rPr>
        <w:t>Nikolla</w:t>
      </w:r>
      <w:proofErr w:type="spellEnd"/>
    </w:p>
    <w:p w14:paraId="4C29E09F" w14:textId="536219D6" w:rsidR="008E77D9" w:rsidRPr="001F5478" w:rsidRDefault="008E77D9" w:rsidP="008E77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5478">
        <w:rPr>
          <w:rFonts w:ascii="Garamond" w:hAnsi="Garamond" w:cs="Times New Roman"/>
          <w:color w:val="000000"/>
          <w:sz w:val="24"/>
          <w:szCs w:val="24"/>
        </w:rPr>
        <w:t>Miratuar në datën 12.5.2022</w:t>
      </w:r>
      <w:r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BE423A5" w14:textId="77777777" w:rsidR="001F5478" w:rsidRDefault="001F5478" w:rsidP="001F54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0"/>
          <w:szCs w:val="20"/>
        </w:rPr>
      </w:pPr>
    </w:p>
    <w:p w14:paraId="4284E62D" w14:textId="77777777" w:rsidR="008E77D9" w:rsidRPr="001F5478" w:rsidRDefault="008E77D9" w:rsidP="001F54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0"/>
          <w:szCs w:val="20"/>
        </w:rPr>
      </w:pPr>
    </w:p>
    <w:p w14:paraId="2BBA2B42" w14:textId="2EC24B81" w:rsidR="007A744F" w:rsidRPr="001F5478" w:rsidRDefault="007A744F" w:rsidP="001F5478">
      <w:pPr>
        <w:spacing w:after="0" w:line="240" w:lineRule="auto"/>
        <w:ind w:firstLine="284"/>
        <w:rPr>
          <w:rFonts w:ascii="Garamond" w:hAnsi="Garamond"/>
        </w:rPr>
      </w:pPr>
    </w:p>
    <w:sectPr w:rsidR="007A744F" w:rsidRPr="001F5478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B4AA2" w14:textId="77777777" w:rsidR="008E77D9" w:rsidRDefault="008E77D9" w:rsidP="00C86383">
      <w:pPr>
        <w:spacing w:after="0" w:line="240" w:lineRule="auto"/>
      </w:pPr>
      <w:r>
        <w:separator/>
      </w:r>
    </w:p>
  </w:endnote>
  <w:endnote w:type="continuationSeparator" w:id="0">
    <w:p w14:paraId="45A49183" w14:textId="77777777" w:rsidR="008E77D9" w:rsidRDefault="008E77D9" w:rsidP="00C86383">
      <w:pPr>
        <w:spacing w:after="0" w:line="240" w:lineRule="auto"/>
      </w:pPr>
      <w:r>
        <w:continuationSeparator/>
      </w:r>
    </w:p>
  </w:endnote>
  <w:endnote w:type="continuationNotice" w:id="1">
    <w:p w14:paraId="703187D1" w14:textId="77777777" w:rsidR="00514B76" w:rsidRDefault="00514B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8E77D9" w:rsidRPr="00E7684C" w:rsidRDefault="008E77D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35A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8E77D9" w:rsidRDefault="008E77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9968E5" w14:textId="77777777" w:rsidR="008E77D9" w:rsidRDefault="008E77D9" w:rsidP="00C86383">
      <w:pPr>
        <w:spacing w:after="0" w:line="240" w:lineRule="auto"/>
      </w:pPr>
      <w:r>
        <w:separator/>
      </w:r>
    </w:p>
  </w:footnote>
  <w:footnote w:type="continuationSeparator" w:id="0">
    <w:p w14:paraId="1091C7D9" w14:textId="77777777" w:rsidR="008E77D9" w:rsidRDefault="008E77D9" w:rsidP="00C86383">
      <w:pPr>
        <w:spacing w:after="0" w:line="240" w:lineRule="auto"/>
      </w:pPr>
      <w:r>
        <w:continuationSeparator/>
      </w:r>
    </w:p>
  </w:footnote>
  <w:footnote w:type="continuationNotice" w:id="1">
    <w:p w14:paraId="4DC15660" w14:textId="77777777" w:rsidR="00514B76" w:rsidRDefault="00514B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F4CD5"/>
    <w:rsid w:val="001F5478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14B76"/>
    <w:rsid w:val="00520F5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E77D9"/>
    <w:rsid w:val="008F0F64"/>
    <w:rsid w:val="008F3C04"/>
    <w:rsid w:val="008F3C44"/>
    <w:rsid w:val="008F668F"/>
    <w:rsid w:val="008F6781"/>
    <w:rsid w:val="009051F4"/>
    <w:rsid w:val="0092415F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413A"/>
    <w:rsid w:val="00AE5AB4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BF6711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C6F24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35A9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266C3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B99E389C-DA3A-4E6D-852D-241E5CFE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A417D428BA4416A7276F946A0E8B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1848-1</Nr_x002e__x0020_akti>
    <Data_x0020_e_x0020_Krijimit xmlns="0e656187-b300-4fb0-8bf4-3a50f872073c">2022-05-18T09:11:32Z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2022-05-16T22:00:00Z</Date_x0020_protokolli>
    <Titulli xmlns="0e656187-b300-4fb0-8bf4-3a50f872073c">Për vlerësimin e veprimtarisë së autoritetit të konkurrencës për vitin 2021</Titulli>
    <Modifikuesi xmlns="0e656187-b300-4fb0-8bf4-3a50f872073c">nevila.samarxhi</Modifikuesi>
    <Nr_x002e__x0020_prot_x0020_QBZ xmlns="0e656187-b300-4fb0-8bf4-3a50f872073c">780/5</Nr_x002e__x0020_prot_x0020_QBZ>
    <Data_x0020_e_x0020_Modifikimit xmlns="0e656187-b300-4fb0-8bf4-3a50f872073c">2022-05-18T09:33:55Z</Data_x0020_e_x0020_Modifikimit>
    <Dekretuar xmlns="0e656187-b300-4fb0-8bf4-3a50f872073c">false</Dekretuar>
    <Data xmlns="0e656187-b300-4fb0-8bf4-3a50f872073c">2022-05-16T22:00:00Z</Data>
    <Nr_x002e__x0020_protokolli_x0020_i_x0020_aktit xmlns="0e656187-b300-4fb0-8bf4-3a50f872073c">1848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A417D428BA4416A7276F946A0E8B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D86A2-90C2-4F03-8DA4-114392C03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06D60E-9261-4B1B-A6E2-6A18D4EB9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1C7BFDD-AB63-46D5-A9E0-A8B796381D79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E17F6DC-6B19-4314-849D-22FC758CB9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8FAA09-DFE4-4ADF-AC1E-8E29E88D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13B0F3-5CB8-410A-8124-CC2BC09EC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 Cahani</cp:lastModifiedBy>
  <cp:revision>44</cp:revision>
  <cp:lastPrinted>2022-05-13T08:32:00Z</cp:lastPrinted>
  <dcterms:created xsi:type="dcterms:W3CDTF">2019-04-04T07:08:00Z</dcterms:created>
  <dcterms:modified xsi:type="dcterms:W3CDTF">2022-05-18T10:09:00Z</dcterms:modified>
</cp:coreProperties>
</file>